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1386D455" w:rsidR="006A5CFC" w:rsidRPr="00506CDD" w:rsidRDefault="0040198D">
      <w:pPr>
        <w:rPr>
          <w:rFonts w:ascii="Arial" w:hAnsi="Arial" w:cs="Arial"/>
          <w:sz w:val="32"/>
          <w:szCs w:val="32"/>
        </w:rPr>
      </w:pPr>
      <w:r w:rsidRPr="00506CDD">
        <w:rPr>
          <w:rFonts w:ascii="Arial" w:hAnsi="Arial" w:cs="Arial"/>
          <w:sz w:val="32"/>
          <w:szCs w:val="32"/>
        </w:rPr>
        <w:t>T</w:t>
      </w:r>
      <w:r w:rsidR="00506CDD" w:rsidRPr="00506CDD">
        <w:rPr>
          <w:rFonts w:ascii="Arial" w:hAnsi="Arial" w:cs="Arial"/>
          <w:sz w:val="32"/>
          <w:szCs w:val="32"/>
        </w:rPr>
        <w:t>itle Page:</w:t>
      </w:r>
      <w:r w:rsidR="00BD2EE2">
        <w:rPr>
          <w:rFonts w:ascii="Arial" w:hAnsi="Arial" w:cs="Arial"/>
          <w:sz w:val="32"/>
          <w:szCs w:val="32"/>
        </w:rPr>
        <w:t xml:space="preserve"> </w:t>
      </w:r>
      <w:r w:rsidR="00325E8F">
        <w:rPr>
          <w:rFonts w:ascii="Arial" w:hAnsi="Arial" w:cs="Arial"/>
          <w:sz w:val="32"/>
          <w:szCs w:val="32"/>
        </w:rPr>
        <w:t>Academic and Employability skills</w:t>
      </w:r>
    </w:p>
    <w:p w14:paraId="3BEDB360" w14:textId="77777777" w:rsidR="00ED5964" w:rsidRDefault="00ED5964"/>
    <w:p w14:paraId="2EF804A0" w14:textId="4288C7BC" w:rsidR="00ED5964" w:rsidRDefault="00506CDD" w:rsidP="00ED5964">
      <w:pPr>
        <w:jc w:val="both"/>
        <w:rPr>
          <w:rFonts w:asciiTheme="minorBidi" w:hAnsiTheme="minorBidi"/>
          <w:sz w:val="28"/>
          <w:szCs w:val="28"/>
        </w:rPr>
      </w:pPr>
      <w:r>
        <w:rPr>
          <w:rFonts w:asciiTheme="minorBidi" w:hAnsiTheme="minorBidi"/>
          <w:sz w:val="28"/>
          <w:szCs w:val="28"/>
        </w:rPr>
        <w:t>Name</w:t>
      </w:r>
      <w:r w:rsidR="008453B3">
        <w:rPr>
          <w:rFonts w:asciiTheme="minorBidi" w:hAnsiTheme="minorBidi"/>
          <w:sz w:val="28"/>
          <w:szCs w:val="28"/>
        </w:rPr>
        <w:t>:</w:t>
      </w:r>
      <w:r w:rsidR="00ED5964">
        <w:rPr>
          <w:rFonts w:asciiTheme="minorBidi" w:hAnsiTheme="minorBidi"/>
          <w:sz w:val="28"/>
          <w:szCs w:val="28"/>
        </w:rPr>
        <w:t xml:space="preserve"> </w:t>
      </w:r>
      <w:r w:rsidR="00856671">
        <w:rPr>
          <w:rFonts w:asciiTheme="minorBidi" w:hAnsiTheme="minorBidi"/>
          <w:sz w:val="28"/>
          <w:szCs w:val="28"/>
        </w:rPr>
        <w:t>Siakha Bi</w:t>
      </w:r>
    </w:p>
    <w:p w14:paraId="485B6F49" w14:textId="1FE9CB0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32829">
        <w:rPr>
          <w:rFonts w:asciiTheme="minorBidi" w:hAnsiTheme="minorBidi"/>
          <w:sz w:val="28"/>
          <w:szCs w:val="28"/>
        </w:rPr>
        <w:t>2512334</w:t>
      </w:r>
    </w:p>
    <w:p w14:paraId="3C1E7A20" w14:textId="7FF91648" w:rsidR="00ED5964" w:rsidRDefault="00ED5964" w:rsidP="00ED5964">
      <w:pPr>
        <w:jc w:val="both"/>
        <w:rPr>
          <w:rFonts w:asciiTheme="minorBidi" w:hAnsiTheme="minorBidi"/>
          <w:sz w:val="28"/>
          <w:szCs w:val="28"/>
        </w:rPr>
      </w:pPr>
      <w:r>
        <w:rPr>
          <w:rFonts w:asciiTheme="minorBidi" w:hAnsiTheme="minorBidi"/>
          <w:sz w:val="28"/>
          <w:szCs w:val="28"/>
        </w:rPr>
        <w:t>Module Code:</w:t>
      </w:r>
      <w:r w:rsidR="00506CDD">
        <w:rPr>
          <w:rFonts w:asciiTheme="minorBidi" w:hAnsiTheme="minorBidi"/>
          <w:sz w:val="28"/>
          <w:szCs w:val="28"/>
        </w:rPr>
        <w:t xml:space="preserve"> </w:t>
      </w:r>
      <w:r w:rsidR="00C32829">
        <w:rPr>
          <w:rFonts w:asciiTheme="minorBidi" w:hAnsiTheme="minorBidi"/>
          <w:sz w:val="28"/>
          <w:szCs w:val="28"/>
        </w:rPr>
        <w:t>LCHS4001</w:t>
      </w:r>
    </w:p>
    <w:p w14:paraId="4EEB2DA3" w14:textId="4E8D8F6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036A8">
        <w:rPr>
          <w:rFonts w:asciiTheme="minorBidi" w:hAnsiTheme="minorBidi"/>
          <w:sz w:val="28"/>
          <w:szCs w:val="28"/>
        </w:rPr>
        <w:t>Task 3</w:t>
      </w:r>
      <w:r w:rsidR="0040198D">
        <w:rPr>
          <w:rFonts w:asciiTheme="minorBidi" w:hAnsiTheme="minorBidi"/>
          <w:sz w:val="28"/>
          <w:szCs w:val="28"/>
        </w:rPr>
        <w:t xml:space="preserve"> – Written Report</w:t>
      </w:r>
    </w:p>
    <w:p w14:paraId="112342CB" w14:textId="230D34B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32829">
        <w:rPr>
          <w:rFonts w:asciiTheme="minorBidi" w:hAnsiTheme="minorBidi"/>
          <w:sz w:val="28"/>
          <w:szCs w:val="28"/>
        </w:rPr>
        <w:t>Reza Tag</w:t>
      </w:r>
      <w:r w:rsidR="004707A0">
        <w:rPr>
          <w:rFonts w:asciiTheme="minorBidi" w:hAnsiTheme="minorBidi"/>
          <w:sz w:val="28"/>
          <w:szCs w:val="28"/>
        </w:rPr>
        <w:t>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A2DFAA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001491">
        <w:rPr>
          <w:rFonts w:asciiTheme="minorBidi" w:hAnsiTheme="minorBidi"/>
          <w:sz w:val="28"/>
          <w:szCs w:val="28"/>
        </w:rPr>
        <w:t xml:space="preserve"> </w:t>
      </w:r>
      <w:r w:rsidR="00F403CC">
        <w:rPr>
          <w:rFonts w:asciiTheme="minorBidi" w:hAnsiTheme="minorBidi"/>
          <w:sz w:val="28"/>
          <w:szCs w:val="28"/>
        </w:rPr>
        <w:t>18</w:t>
      </w:r>
      <w:r w:rsidR="00F403CC" w:rsidRPr="00F403CC">
        <w:rPr>
          <w:rFonts w:asciiTheme="minorBidi" w:hAnsiTheme="minorBidi"/>
          <w:sz w:val="28"/>
          <w:szCs w:val="28"/>
          <w:vertAlign w:val="superscript"/>
        </w:rPr>
        <w:t>th</w:t>
      </w:r>
      <w:r w:rsidR="00F403CC">
        <w:rPr>
          <w:rFonts w:asciiTheme="minorBidi" w:hAnsiTheme="minorBidi"/>
          <w:sz w:val="28"/>
          <w:szCs w:val="28"/>
        </w:rPr>
        <w:t xml:space="preserve"> March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6B4479B4" w:rsidR="002A5577" w:rsidRPr="00242974" w:rsidRDefault="002E71BA" w:rsidP="002A5577">
      <w:pPr>
        <w:rPr>
          <w:b/>
          <w:bCs/>
          <w:sz w:val="21"/>
          <w:szCs w:val="21"/>
        </w:rPr>
      </w:pPr>
      <w:r w:rsidRPr="00242974">
        <w:rPr>
          <w:b/>
          <w:bCs/>
          <w:sz w:val="21"/>
          <w:szCs w:val="21"/>
        </w:rPr>
        <w:br w:type="page"/>
      </w:r>
    </w:p>
    <w:p w14:paraId="0CAE5527" w14:textId="2811B489" w:rsidR="00AC7BE2" w:rsidRPr="0071762B" w:rsidRDefault="00AA77C8" w:rsidP="0071762B">
      <w:pPr>
        <w:pStyle w:val="Heading1"/>
        <w:rPr>
          <w:color w:val="4472C4" w:themeColor="accent1"/>
        </w:rPr>
      </w:pPr>
      <w:bookmarkStart w:id="0" w:name="_Toc21210051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3B716F82" w14:textId="7B03ED56" w:rsidR="00681C2E" w:rsidRPr="00681C2E" w:rsidRDefault="00A035CD" w:rsidP="00FB6BD1">
      <w:pPr>
        <w:pStyle w:val="Heading2"/>
        <w:numPr>
          <w:ilvl w:val="1"/>
          <w:numId w:val="23"/>
        </w:numPr>
        <w:spacing w:line="360" w:lineRule="auto"/>
        <w:rPr>
          <w:color w:val="4472C4" w:themeColor="accent1"/>
        </w:rPr>
      </w:pPr>
      <w:bookmarkStart w:id="1" w:name="_Toc212100518"/>
      <w:r w:rsidRPr="002976D4">
        <w:rPr>
          <w:color w:val="4472C4" w:themeColor="accent1"/>
        </w:rPr>
        <w:t>Introduction</w:t>
      </w:r>
      <w:bookmarkEnd w:id="1"/>
    </w:p>
    <w:p w14:paraId="5D304EAD" w14:textId="06485EA5" w:rsidR="004F000C" w:rsidRPr="00FB1C2C" w:rsidRDefault="004F000C" w:rsidP="00802001">
      <w:pPr>
        <w:spacing w:line="360" w:lineRule="auto"/>
        <w:rPr>
          <w:rFonts w:ascii="Arial" w:hAnsi="Arial" w:cs="Arial"/>
          <w:sz w:val="22"/>
        </w:rPr>
      </w:pPr>
      <w:r w:rsidRPr="00FB1C2C">
        <w:rPr>
          <w:rFonts w:ascii="Arial" w:hAnsi="Arial" w:cs="Arial"/>
          <w:sz w:val="22"/>
        </w:rPr>
        <w:t>This report examines the role of a social worker in the health and social care sector. Social workers help individuals, families, and communities improve their wellbeing, manage challenges, and access appropriate support (Ferguson, 2017). This role is important for protecting vulnerable people, promoting fairness, and improving quality of life (Department of Health, 2018). Social workers play a key part in preventing crises, supporting mental health, and enabling better social outcome</w:t>
      </w:r>
      <w:r w:rsidR="00407961">
        <w:rPr>
          <w:rFonts w:ascii="Arial" w:hAnsi="Arial" w:cs="Arial"/>
          <w:sz w:val="22"/>
        </w:rPr>
        <w:t>s</w:t>
      </w:r>
      <w:r w:rsidR="00D36C56">
        <w:rPr>
          <w:rFonts w:ascii="Arial" w:hAnsi="Arial" w:cs="Arial"/>
          <w:sz w:val="22"/>
        </w:rPr>
        <w:t>,</w:t>
      </w:r>
      <w:r w:rsidRPr="00FB1C2C">
        <w:rPr>
          <w:rFonts w:ascii="Arial" w:hAnsi="Arial" w:cs="Arial"/>
          <w:sz w:val="22"/>
        </w:rPr>
        <w:t xml:space="preserve"> </w:t>
      </w:r>
      <w:r w:rsidR="00953524" w:rsidRPr="00FB1C2C">
        <w:rPr>
          <w:rFonts w:ascii="Arial" w:hAnsi="Arial" w:cs="Arial"/>
          <w:sz w:val="22"/>
        </w:rPr>
        <w:t>skills,</w:t>
      </w:r>
      <w:r w:rsidR="004707A0" w:rsidRPr="00FB1C2C">
        <w:rPr>
          <w:rFonts w:ascii="Arial" w:hAnsi="Arial" w:cs="Arial"/>
          <w:sz w:val="22"/>
        </w:rPr>
        <w:t xml:space="preserve"> </w:t>
      </w:r>
      <w:r w:rsidRPr="00FB1C2C">
        <w:rPr>
          <w:rFonts w:ascii="Arial" w:hAnsi="Arial" w:cs="Arial"/>
          <w:sz w:val="22"/>
        </w:rPr>
        <w:t>and strategies to improve practice</w:t>
      </w:r>
      <w:r w:rsidR="004707A0" w:rsidRPr="00FB1C2C">
        <w:rPr>
          <w:rFonts w:ascii="Arial" w:hAnsi="Arial" w:cs="Arial"/>
          <w:sz w:val="22"/>
        </w:rPr>
        <w:t>.</w:t>
      </w:r>
      <w:r w:rsidR="00802001" w:rsidRPr="00802001">
        <w:rPr>
          <w:rFonts w:ascii="Arial" w:hAnsi="Arial" w:cs="Arial"/>
          <w:sz w:val="22"/>
        </w:rPr>
        <w:t xml:space="preserve"> </w:t>
      </w:r>
      <w:r w:rsidR="00802001" w:rsidRPr="00FB1C2C">
        <w:rPr>
          <w:rFonts w:ascii="Arial" w:hAnsi="Arial" w:cs="Arial"/>
          <w:sz w:val="22"/>
        </w:rPr>
        <w:t>The report covers a description of the social worker role, background information, an evaluation of important</w:t>
      </w:r>
      <w:r w:rsidR="00BC52C3">
        <w:rPr>
          <w:rFonts w:ascii="Arial" w:hAnsi="Arial" w:cs="Arial"/>
          <w:sz w:val="22"/>
        </w:rPr>
        <w:t xml:space="preserve"> skills and stra</w:t>
      </w:r>
      <w:r w:rsidR="00681C2E">
        <w:rPr>
          <w:rFonts w:ascii="Arial" w:hAnsi="Arial" w:cs="Arial"/>
          <w:sz w:val="22"/>
        </w:rPr>
        <w:t>tegies.</w:t>
      </w:r>
    </w:p>
    <w:p w14:paraId="3FCD41CA" w14:textId="58648A26" w:rsidR="00A035CD" w:rsidRPr="00FE7E58" w:rsidRDefault="00A035CD" w:rsidP="008F1491">
      <w:pPr>
        <w:spacing w:after="0"/>
        <w:jc w:val="both"/>
        <w:rPr>
          <w:sz w:val="21"/>
          <w:szCs w:val="21"/>
        </w:rPr>
      </w:pPr>
    </w:p>
    <w:p w14:paraId="72FA0722" w14:textId="72F38486" w:rsidR="006607DA" w:rsidRPr="00802001" w:rsidRDefault="006912C4" w:rsidP="008F50F4">
      <w:pPr>
        <w:pStyle w:val="Heading2"/>
        <w:numPr>
          <w:ilvl w:val="1"/>
          <w:numId w:val="23"/>
        </w:numPr>
        <w:spacing w:line="360" w:lineRule="auto"/>
        <w:rPr>
          <w:color w:val="4472C4" w:themeColor="accent1"/>
          <w:szCs w:val="24"/>
        </w:rPr>
      </w:pPr>
      <w:bookmarkStart w:id="2" w:name="_Toc212100519"/>
      <w:r w:rsidRPr="002976D4">
        <w:rPr>
          <w:color w:val="4472C4" w:themeColor="accent1"/>
          <w:szCs w:val="24"/>
        </w:rPr>
        <w:t>Description</w:t>
      </w:r>
      <w:r w:rsidR="00070818" w:rsidRPr="002976D4">
        <w:rPr>
          <w:color w:val="4472C4" w:themeColor="accent1"/>
          <w:szCs w:val="24"/>
        </w:rPr>
        <w:t xml:space="preserve"> of</w:t>
      </w:r>
      <w:r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2A60B5">
        <w:rPr>
          <w:color w:val="4472C4" w:themeColor="accent1"/>
          <w:szCs w:val="24"/>
        </w:rPr>
        <w:t xml:space="preserve">social worker </w:t>
      </w:r>
      <w:r w:rsidR="008B0B22" w:rsidRPr="002976D4">
        <w:rPr>
          <w:color w:val="4472C4" w:themeColor="accent1"/>
          <w:szCs w:val="24"/>
        </w:rPr>
        <w:t xml:space="preserve">in </w:t>
      </w:r>
      <w:bookmarkEnd w:id="2"/>
      <w:r w:rsidR="00953524" w:rsidRPr="002976D4">
        <w:rPr>
          <w:color w:val="4472C4" w:themeColor="accent1"/>
          <w:szCs w:val="24"/>
        </w:rPr>
        <w:t>healthcare</w:t>
      </w:r>
      <w:r w:rsidR="008B0B22" w:rsidRPr="002976D4">
        <w:rPr>
          <w:color w:val="4472C4" w:themeColor="accent1"/>
          <w:szCs w:val="24"/>
        </w:rPr>
        <w:t xml:space="preserve"> </w:t>
      </w:r>
    </w:p>
    <w:p w14:paraId="611AA048" w14:textId="6AB8E301" w:rsidR="00A37A4B" w:rsidRDefault="0069427D" w:rsidP="00A37A4B">
      <w:pPr>
        <w:pStyle w:val="Heading2"/>
        <w:spacing w:line="360" w:lineRule="auto"/>
        <w:rPr>
          <w:rFonts w:ascii="Arial" w:hAnsi="Arial" w:cs="Arial"/>
          <w:color w:val="000000" w:themeColor="text1"/>
          <w:sz w:val="22"/>
          <w:szCs w:val="22"/>
        </w:rPr>
      </w:pPr>
      <w:r w:rsidRPr="00FB1C2C">
        <w:rPr>
          <w:rFonts w:ascii="Arial" w:hAnsi="Arial" w:cs="Arial"/>
          <w:color w:val="000000" w:themeColor="text1"/>
          <w:sz w:val="22"/>
          <w:szCs w:val="22"/>
        </w:rPr>
        <w:t>Social workers play a vital role in the health and social care sector b</w:t>
      </w:r>
      <w:r w:rsidR="006607DA" w:rsidRPr="00FB1C2C">
        <w:rPr>
          <w:rFonts w:ascii="Arial" w:hAnsi="Arial" w:cs="Arial"/>
          <w:color w:val="000000" w:themeColor="text1"/>
          <w:sz w:val="22"/>
          <w:szCs w:val="22"/>
        </w:rPr>
        <w:t xml:space="preserve">y </w:t>
      </w:r>
      <w:r w:rsidRPr="00FB1C2C">
        <w:rPr>
          <w:rFonts w:ascii="Arial" w:hAnsi="Arial" w:cs="Arial"/>
          <w:color w:val="000000" w:themeColor="text1"/>
          <w:sz w:val="22"/>
          <w:szCs w:val="22"/>
        </w:rPr>
        <w:t>supporting individuals, families, and communities. Their work involves assessing clients’ needs, developing care plans, safeguarding vulnerable people, providing counselling, and connecting clients to healthcare, housing, or financial support (Ferguson, 2017). Social workers also collaborate closely with other professionals, such as nurses, doctors, teachers, and support staff, to ensure care is coordinated and tailored to each client’s unique needs (Department of Health, 2018)</w:t>
      </w:r>
      <w:r w:rsidR="00A37A4B">
        <w:rPr>
          <w:rFonts w:ascii="Arial" w:hAnsi="Arial" w:cs="Arial"/>
          <w:color w:val="000000" w:themeColor="text1"/>
          <w:sz w:val="22"/>
          <w:szCs w:val="22"/>
        </w:rPr>
        <w:t>. To per</w:t>
      </w:r>
      <w:r w:rsidR="00A97F2F">
        <w:rPr>
          <w:rFonts w:ascii="Arial" w:hAnsi="Arial" w:cs="Arial"/>
          <w:color w:val="000000" w:themeColor="text1"/>
          <w:sz w:val="22"/>
          <w:szCs w:val="22"/>
        </w:rPr>
        <w:t>form their role effectively, social workers require a range of essential skills.</w:t>
      </w:r>
    </w:p>
    <w:p w14:paraId="3F9D6A49" w14:textId="77777777" w:rsidR="00A37A4B" w:rsidRDefault="00A37A4B" w:rsidP="00A37A4B">
      <w:pPr>
        <w:pStyle w:val="Heading2"/>
        <w:spacing w:line="360" w:lineRule="auto"/>
        <w:rPr>
          <w:rFonts w:ascii="Arial" w:hAnsi="Arial" w:cs="Arial"/>
          <w:color w:val="000000" w:themeColor="text1"/>
          <w:sz w:val="22"/>
          <w:szCs w:val="22"/>
        </w:rPr>
      </w:pPr>
    </w:p>
    <w:p w14:paraId="65000B9D" w14:textId="218440A4" w:rsidR="006607DA" w:rsidRPr="00FB1C2C" w:rsidRDefault="0069427D" w:rsidP="008F50F4">
      <w:pPr>
        <w:pStyle w:val="Heading2"/>
        <w:spacing w:line="360" w:lineRule="auto"/>
        <w:rPr>
          <w:rFonts w:ascii="Arial" w:hAnsi="Arial" w:cs="Arial"/>
          <w:color w:val="000000" w:themeColor="text1"/>
          <w:sz w:val="22"/>
          <w:szCs w:val="22"/>
        </w:rPr>
      </w:pPr>
      <w:r w:rsidRPr="00FB1C2C">
        <w:rPr>
          <w:rFonts w:ascii="Arial" w:hAnsi="Arial" w:cs="Arial"/>
          <w:color w:val="000000" w:themeColor="text1"/>
          <w:sz w:val="22"/>
          <w:szCs w:val="22"/>
        </w:rPr>
        <w:t>One of the most important responsibilities of social workers is safeguarding, which protects children, older adults, and other at-risk groups from harm (NICE, 2017)</w:t>
      </w:r>
      <w:r w:rsidR="00A97F2F">
        <w:rPr>
          <w:rFonts w:ascii="Arial" w:hAnsi="Arial" w:cs="Arial"/>
          <w:color w:val="000000" w:themeColor="text1"/>
          <w:sz w:val="22"/>
          <w:szCs w:val="22"/>
        </w:rPr>
        <w:t>.</w:t>
      </w:r>
      <w:r w:rsidRPr="00FB1C2C">
        <w:rPr>
          <w:rFonts w:ascii="Arial" w:hAnsi="Arial" w:cs="Arial"/>
          <w:color w:val="000000" w:themeColor="text1"/>
          <w:sz w:val="22"/>
          <w:szCs w:val="22"/>
        </w:rPr>
        <w:t xml:space="preserve"> </w:t>
      </w:r>
      <w:r w:rsidR="00EC2BD6" w:rsidRPr="00FB1C2C">
        <w:rPr>
          <w:rFonts w:ascii="Arial" w:hAnsi="Arial" w:cs="Arial"/>
          <w:color w:val="000000" w:themeColor="text1"/>
          <w:sz w:val="22"/>
          <w:szCs w:val="22"/>
        </w:rPr>
        <w:t>Effective communication</w:t>
      </w:r>
      <w:r w:rsidRPr="00FB1C2C">
        <w:rPr>
          <w:rFonts w:ascii="Arial" w:hAnsi="Arial" w:cs="Arial"/>
          <w:color w:val="000000" w:themeColor="text1"/>
          <w:sz w:val="22"/>
          <w:szCs w:val="22"/>
        </w:rPr>
        <w:t xml:space="preserve"> allows them to explain plans clearly and build trust with clients, while empathy helps them understand and respond to clients’ emotions. Critical thinking and problem-solving enable them to assess complex situations and make informed decisions. Other important skills include organisation, resilience, time management, and the ability to manage high-pressure or emotionally challenging cases (Howe, 2019; Trevithick, 2012). By combining these practical, interpersonal, and analytical skills, social workers </w:t>
      </w:r>
      <w:r w:rsidR="00953524" w:rsidRPr="00FB1C2C">
        <w:rPr>
          <w:rFonts w:ascii="Arial" w:hAnsi="Arial" w:cs="Arial"/>
          <w:color w:val="000000" w:themeColor="text1"/>
          <w:sz w:val="22"/>
          <w:szCs w:val="22"/>
        </w:rPr>
        <w:t>can</w:t>
      </w:r>
      <w:r w:rsidRPr="00FB1C2C">
        <w:rPr>
          <w:rFonts w:ascii="Arial" w:hAnsi="Arial" w:cs="Arial"/>
          <w:color w:val="000000" w:themeColor="text1"/>
          <w:sz w:val="22"/>
          <w:szCs w:val="22"/>
        </w:rPr>
        <w:t xml:space="preserve"> provide effective support, improve clients’ wellbeing, and contribute positively to the wider health and social care system.</w:t>
      </w:r>
    </w:p>
    <w:p w14:paraId="025743D4" w14:textId="77777777" w:rsidR="00FB1C2C" w:rsidRPr="00FB1C2C" w:rsidRDefault="00FB1C2C" w:rsidP="00681C2E">
      <w:pPr>
        <w:spacing w:line="276" w:lineRule="auto"/>
        <w:rPr>
          <w:rFonts w:ascii="Arial" w:hAnsi="Arial" w:cs="Arial"/>
          <w:color w:val="000000" w:themeColor="text1"/>
          <w:sz w:val="22"/>
        </w:rPr>
      </w:pPr>
    </w:p>
    <w:p w14:paraId="6ABAC3F6" w14:textId="12714A6A" w:rsidR="00D92589" w:rsidRDefault="002A60B5" w:rsidP="00D92589">
      <w:pPr>
        <w:pStyle w:val="ListParagraph"/>
        <w:numPr>
          <w:ilvl w:val="1"/>
          <w:numId w:val="23"/>
        </w:numPr>
        <w:spacing w:after="0" w:line="360" w:lineRule="auto"/>
        <w:jc w:val="both"/>
        <w:rPr>
          <w:color w:val="4472C4" w:themeColor="accent1"/>
          <w:sz w:val="28"/>
          <w:szCs w:val="28"/>
        </w:rPr>
      </w:pPr>
      <w:r w:rsidRPr="002A60B5">
        <w:rPr>
          <w:color w:val="4472C4" w:themeColor="accent1"/>
          <w:sz w:val="28"/>
          <w:szCs w:val="28"/>
        </w:rPr>
        <w:t xml:space="preserve">Evaluation of the skills needed for social worker </w:t>
      </w:r>
      <w:r w:rsidR="007138EF" w:rsidRPr="002A60B5">
        <w:rPr>
          <w:color w:val="4472C4" w:themeColor="accent1"/>
          <w:sz w:val="28"/>
          <w:szCs w:val="28"/>
        </w:rPr>
        <w:t xml:space="preserve">in </w:t>
      </w:r>
      <w:r w:rsidR="00953524" w:rsidRPr="002A60B5">
        <w:rPr>
          <w:color w:val="4472C4" w:themeColor="accent1"/>
          <w:sz w:val="28"/>
          <w:szCs w:val="28"/>
        </w:rPr>
        <w:t>healthcare.</w:t>
      </w:r>
    </w:p>
    <w:p w14:paraId="28889F23" w14:textId="01550C30" w:rsidR="00D811CF" w:rsidRPr="00F70CA8" w:rsidRDefault="009741BA" w:rsidP="00681C2E">
      <w:pPr>
        <w:spacing w:after="0" w:line="360" w:lineRule="auto"/>
        <w:jc w:val="both"/>
        <w:rPr>
          <w:color w:val="4472C4" w:themeColor="accent1"/>
          <w:sz w:val="28"/>
          <w:szCs w:val="28"/>
        </w:rPr>
      </w:pPr>
      <w:r w:rsidRPr="00D92589">
        <w:rPr>
          <w:rFonts w:ascii="Arial" w:hAnsi="Arial" w:cs="Arial"/>
          <w:color w:val="000000" w:themeColor="text1"/>
          <w:sz w:val="22"/>
        </w:rPr>
        <w:t>Social work often involves complex cases where multiple professionals need to work to</w:t>
      </w:r>
      <w:r w:rsidR="00D92589" w:rsidRPr="00D92589">
        <w:rPr>
          <w:rFonts w:ascii="Arial" w:hAnsi="Arial" w:cs="Arial"/>
          <w:color w:val="000000" w:themeColor="text1"/>
          <w:sz w:val="22"/>
        </w:rPr>
        <w:t>g</w:t>
      </w:r>
      <w:r w:rsidRPr="00D92589">
        <w:rPr>
          <w:rFonts w:ascii="Arial" w:hAnsi="Arial" w:cs="Arial"/>
          <w:color w:val="000000" w:themeColor="text1"/>
          <w:sz w:val="22"/>
        </w:rPr>
        <w:t xml:space="preserve">ether, so these skills are critical for ensuring that decisions are well-informed and client-focused </w:t>
      </w:r>
      <w:r w:rsidRPr="00D92589">
        <w:rPr>
          <w:rFonts w:ascii="Arial" w:hAnsi="Arial" w:cs="Arial"/>
          <w:color w:val="000000" w:themeColor="text1"/>
          <w:sz w:val="22"/>
        </w:rPr>
        <w:lastRenderedPageBreak/>
        <w:t>(Department of Health, 2018; Howe, 2019).</w:t>
      </w:r>
      <w:r w:rsidR="00F70CA8">
        <w:rPr>
          <w:color w:val="4472C4" w:themeColor="accent1"/>
          <w:sz w:val="28"/>
          <w:szCs w:val="28"/>
        </w:rPr>
        <w:t xml:space="preserve"> </w:t>
      </w:r>
      <w:r w:rsidR="00F70CA8" w:rsidRPr="00F70CA8">
        <w:rPr>
          <w:rFonts w:ascii="Arial" w:hAnsi="Arial" w:cs="Arial"/>
          <w:sz w:val="22"/>
        </w:rPr>
        <w:t>They</w:t>
      </w:r>
      <w:r w:rsidR="00D811CF" w:rsidRPr="00F70CA8">
        <w:rPr>
          <w:rFonts w:ascii="Arial" w:hAnsi="Arial" w:cs="Arial"/>
          <w:sz w:val="22"/>
        </w:rPr>
        <w:t xml:space="preserve"> </w:t>
      </w:r>
      <w:r w:rsidR="00D811CF" w:rsidRPr="00FB1C2C">
        <w:rPr>
          <w:rFonts w:ascii="Arial" w:hAnsi="Arial" w:cs="Arial"/>
          <w:color w:val="000000" w:themeColor="text1"/>
          <w:sz w:val="22"/>
        </w:rPr>
        <w:t>require a wide range of skills to perform their role effectively, with communication, empathy, and critical thinking being the most important. These skills are essential not only for supporting clients but also for helping nurses, carers, and support staff provide coordinated, safe, and high-quality care.</w:t>
      </w:r>
    </w:p>
    <w:p w14:paraId="43501799" w14:textId="77777777" w:rsidR="00DA3AD7" w:rsidRPr="00FB1C2C" w:rsidRDefault="00DA3AD7" w:rsidP="00681C2E">
      <w:pPr>
        <w:spacing w:after="0" w:line="360" w:lineRule="auto"/>
        <w:jc w:val="both"/>
        <w:rPr>
          <w:rFonts w:ascii="Arial" w:hAnsi="Arial" w:cs="Arial"/>
          <w:color w:val="000000" w:themeColor="text1"/>
          <w:sz w:val="22"/>
        </w:rPr>
      </w:pPr>
    </w:p>
    <w:p w14:paraId="1C4DD7CF" w14:textId="714A8C1B" w:rsidR="00D811CF" w:rsidRPr="00FB1C2C" w:rsidRDefault="00DA3AD7" w:rsidP="00681C2E">
      <w:pPr>
        <w:spacing w:after="0" w:line="360" w:lineRule="auto"/>
        <w:jc w:val="both"/>
        <w:rPr>
          <w:rFonts w:ascii="Arial" w:hAnsi="Arial" w:cs="Arial"/>
          <w:color w:val="000000" w:themeColor="text1"/>
          <w:sz w:val="22"/>
        </w:rPr>
      </w:pPr>
      <w:r w:rsidRPr="00FB1C2C">
        <w:rPr>
          <w:rFonts w:ascii="Arial" w:hAnsi="Arial" w:cs="Arial"/>
          <w:color w:val="000000" w:themeColor="text1"/>
          <w:sz w:val="22"/>
        </w:rPr>
        <w:t>Communication allows social workers to share information clearly with clients and colleagues (Department of Health, 2018; Howe, 2019). Training programs and research show that structured communication learning improves social workers’ effectiveness (Reith</w:t>
      </w:r>
      <w:r w:rsidRPr="00FB1C2C">
        <w:rPr>
          <w:rFonts w:ascii="Arial" w:hAnsi="Arial" w:cs="Arial"/>
          <w:color w:val="000000" w:themeColor="text1"/>
          <w:sz w:val="22"/>
        </w:rPr>
        <w:noBreakHyphen/>
        <w:t>Hall, 2022). Poor communication can lead to misunderstandings and mistakes. For example, in 2019, a UK case showed that unclear communication between a social worker and nursing staff resulted in a vulnerable adult not receiving timely medical attention, worsening their condition (Howe, 2019). Effective communication builds trust and ensures all staff understand client needs.</w:t>
      </w:r>
    </w:p>
    <w:p w14:paraId="715CEEB9" w14:textId="261EFA0E" w:rsidR="00D811CF" w:rsidRPr="00FB1C2C" w:rsidRDefault="00311021" w:rsidP="008F50F4">
      <w:pPr>
        <w:spacing w:after="0" w:line="360" w:lineRule="auto"/>
        <w:jc w:val="both"/>
        <w:rPr>
          <w:rFonts w:ascii="Arial" w:hAnsi="Arial" w:cs="Arial"/>
          <w:color w:val="000000" w:themeColor="text1"/>
          <w:sz w:val="22"/>
        </w:rPr>
      </w:pPr>
      <w:r w:rsidRPr="00FB1C2C">
        <w:rPr>
          <w:rFonts w:ascii="Arial" w:hAnsi="Arial" w:cs="Arial"/>
          <w:color w:val="000000" w:themeColor="text1"/>
          <w:sz w:val="22"/>
        </w:rPr>
        <w:t>Empathy enables social workers to understand clients’ feelings and experiences. Research shows that developing emotional intelligence, reflective ability, and empathy improves social workers’ professional competence and effectiveness (Stanley and Mettilda, 2020). Without empathy, clients may feel ignored or undervalued, reducing their willingness to engage (Trevithick, 2012). For instance, a young person in foster care may disengage if their concerns are dismissed. Empathy also benefits carers and support staff, as social workers model compassionate behaviour and guide the team in delivering sensitive care (Gerdes and Segal, 2011).</w:t>
      </w:r>
    </w:p>
    <w:p w14:paraId="2C9D7516" w14:textId="00CF4C07" w:rsidR="00CA637C" w:rsidRPr="00FB1C2C" w:rsidRDefault="00D811CF" w:rsidP="008F50F4">
      <w:pPr>
        <w:spacing w:after="0" w:line="360" w:lineRule="auto"/>
        <w:jc w:val="both"/>
        <w:rPr>
          <w:rFonts w:ascii="Arial" w:hAnsi="Arial" w:cs="Arial"/>
          <w:color w:val="000000" w:themeColor="text1"/>
          <w:sz w:val="22"/>
        </w:rPr>
      </w:pPr>
      <w:r w:rsidRPr="00FB1C2C">
        <w:rPr>
          <w:rFonts w:ascii="Arial" w:hAnsi="Arial" w:cs="Arial"/>
          <w:color w:val="000000" w:themeColor="text1"/>
          <w:sz w:val="22"/>
        </w:rPr>
        <w:t>Critical thinking and problem-solving are crucial when assessing risks, making decisions, and planning interventions. The Baby P case in 2013 highlighted how poor risk assessment and weak decision-making contributed</w:t>
      </w:r>
      <w:r w:rsidR="00C411EC">
        <w:rPr>
          <w:rFonts w:ascii="Arial" w:hAnsi="Arial" w:cs="Arial"/>
          <w:color w:val="000000" w:themeColor="text1"/>
          <w:sz w:val="22"/>
        </w:rPr>
        <w:t xml:space="preserve"> </w:t>
      </w:r>
      <w:r w:rsidRPr="00FB1C2C">
        <w:rPr>
          <w:rFonts w:ascii="Arial" w:hAnsi="Arial" w:cs="Arial"/>
          <w:color w:val="000000" w:themeColor="text1"/>
          <w:sz w:val="22"/>
        </w:rPr>
        <w:t>to a child’s death (Ferguson, 2017). Social workers’ decisions directly affect the safety and wellbeing of clients and influence the work of nurses, carers, and support staff. Lacking critical thinking can lead to unsafe practices, delays in care, and increased stress for colleagues.</w:t>
      </w:r>
    </w:p>
    <w:p w14:paraId="08E8EE5E" w14:textId="77777777" w:rsidR="002E68F9" w:rsidRDefault="002E68F9" w:rsidP="008F50F4">
      <w:pPr>
        <w:spacing w:after="0" w:line="360" w:lineRule="auto"/>
        <w:jc w:val="both"/>
        <w:rPr>
          <w:rFonts w:ascii="Arial" w:hAnsi="Arial" w:cs="Arial"/>
          <w:color w:val="000000" w:themeColor="text1"/>
          <w:sz w:val="22"/>
        </w:rPr>
      </w:pPr>
    </w:p>
    <w:p w14:paraId="76C705E4" w14:textId="5A91881A" w:rsidR="00CA637C" w:rsidRPr="00B45713" w:rsidRDefault="00796CF1" w:rsidP="008F50F4">
      <w:pPr>
        <w:spacing w:after="0" w:line="360" w:lineRule="auto"/>
        <w:jc w:val="both"/>
        <w:rPr>
          <w:rFonts w:ascii="Arial" w:hAnsi="Arial" w:cs="Arial"/>
          <w:color w:val="000000" w:themeColor="text1"/>
          <w:sz w:val="22"/>
        </w:rPr>
      </w:pPr>
      <w:r w:rsidRPr="00B45713">
        <w:rPr>
          <w:rFonts w:ascii="Arial" w:hAnsi="Arial" w:cs="Arial"/>
          <w:color w:val="000000" w:themeColor="text1"/>
          <w:sz w:val="22"/>
        </w:rPr>
        <w:t>They help professionals provide effective, client-</w:t>
      </w:r>
      <w:r w:rsidR="00953524" w:rsidRPr="00B45713">
        <w:rPr>
          <w:rFonts w:ascii="Arial" w:hAnsi="Arial" w:cs="Arial"/>
          <w:color w:val="000000" w:themeColor="text1"/>
          <w:sz w:val="22"/>
        </w:rPr>
        <w:t>centred</w:t>
      </w:r>
      <w:r w:rsidRPr="00B45713">
        <w:rPr>
          <w:rFonts w:ascii="Arial" w:hAnsi="Arial" w:cs="Arial"/>
          <w:color w:val="000000" w:themeColor="text1"/>
          <w:sz w:val="22"/>
        </w:rPr>
        <w:t xml:space="preserve"> support and enable the wider health and social care team to deliver coordinated, high-quality care. These skills ensure that vulnerable individuals are safeguarded, interventions are appropriate, and all staff can work efficiently and safely (British Association of Social Workers, 2021; Social Work England, 2022).</w:t>
      </w:r>
    </w:p>
    <w:p w14:paraId="67F0EBCA" w14:textId="77777777" w:rsidR="00CA637C" w:rsidRDefault="00CA637C" w:rsidP="00CA637C">
      <w:pPr>
        <w:spacing w:after="0" w:line="240" w:lineRule="auto"/>
        <w:jc w:val="both"/>
        <w:rPr>
          <w:color w:val="4472C4" w:themeColor="accent1"/>
          <w:sz w:val="28"/>
          <w:szCs w:val="28"/>
        </w:rPr>
      </w:pPr>
    </w:p>
    <w:p w14:paraId="51865BCA" w14:textId="77777777" w:rsidR="00F60C92" w:rsidRDefault="003003FD" w:rsidP="008F50F4">
      <w:pPr>
        <w:spacing w:after="0" w:line="360" w:lineRule="auto"/>
        <w:jc w:val="both"/>
        <w:rPr>
          <w:color w:val="4472C4" w:themeColor="accent1"/>
          <w:sz w:val="28"/>
          <w:szCs w:val="28"/>
        </w:rPr>
      </w:pPr>
      <w:bookmarkStart w:id="3" w:name="_Toc212100520"/>
      <w:r w:rsidRPr="00B45713">
        <w:rPr>
          <w:color w:val="4472C4" w:themeColor="accent1"/>
          <w:sz w:val="28"/>
          <w:szCs w:val="28"/>
        </w:rPr>
        <w:t>Strategies</w:t>
      </w:r>
      <w:r w:rsidR="00183CB9" w:rsidRPr="00B45713">
        <w:rPr>
          <w:color w:val="4472C4" w:themeColor="accent1"/>
          <w:sz w:val="28"/>
          <w:szCs w:val="28"/>
        </w:rPr>
        <w:t xml:space="preserve"> to improve the skills</w:t>
      </w:r>
      <w:r w:rsidR="005D5457" w:rsidRPr="00B45713">
        <w:rPr>
          <w:color w:val="4472C4" w:themeColor="accent1"/>
          <w:sz w:val="28"/>
          <w:szCs w:val="28"/>
        </w:rPr>
        <w:t xml:space="preserve"> </w:t>
      </w:r>
      <w:r w:rsidR="00165B42" w:rsidRPr="00B45713">
        <w:rPr>
          <w:color w:val="4472C4" w:themeColor="accent1"/>
          <w:sz w:val="28"/>
          <w:szCs w:val="28"/>
        </w:rPr>
        <w:t>F</w:t>
      </w:r>
      <w:bookmarkEnd w:id="3"/>
      <w:r w:rsidR="00165B42" w:rsidRPr="00B45713">
        <w:rPr>
          <w:color w:val="4472C4" w:themeColor="accent1"/>
          <w:sz w:val="28"/>
          <w:szCs w:val="28"/>
        </w:rPr>
        <w:t>or Social Worker</w:t>
      </w:r>
    </w:p>
    <w:p w14:paraId="65C01032" w14:textId="0C5FC7F3" w:rsidR="00AC3042" w:rsidRPr="00F60C92" w:rsidRDefault="00AC3042" w:rsidP="008F50F4">
      <w:pPr>
        <w:spacing w:after="0" w:line="360" w:lineRule="auto"/>
        <w:jc w:val="both"/>
        <w:rPr>
          <w:color w:val="4472C4" w:themeColor="accent1"/>
          <w:sz w:val="28"/>
          <w:szCs w:val="28"/>
        </w:rPr>
      </w:pPr>
      <w:r w:rsidRPr="00FB1C2C">
        <w:rPr>
          <w:rFonts w:ascii="Arial" w:hAnsi="Arial" w:cs="Arial"/>
          <w:color w:val="000000" w:themeColor="text1"/>
          <w:sz w:val="22"/>
        </w:rPr>
        <w:t xml:space="preserve">Developing key skills is essential for social workers to provide effective support to clients and collaborate with other health and social care professionals. Three useful strategies to improve </w:t>
      </w:r>
      <w:r w:rsidRPr="00FB1C2C">
        <w:rPr>
          <w:rFonts w:ascii="Arial" w:hAnsi="Arial" w:cs="Arial"/>
          <w:color w:val="000000" w:themeColor="text1"/>
          <w:sz w:val="22"/>
        </w:rPr>
        <w:lastRenderedPageBreak/>
        <w:t>these skills are continuous professional development (CPD), reflective practice, and mentoring/supervision. Each helps social workers strengthen communication, empathy, and critical thinking, while also supporting nurses, carers, and support staff in delivering coordinated care.</w:t>
      </w:r>
    </w:p>
    <w:p w14:paraId="13A2104B" w14:textId="77777777" w:rsidR="008F50F4" w:rsidRPr="00FB1C2C" w:rsidRDefault="008F50F4" w:rsidP="008F50F4">
      <w:pPr>
        <w:spacing w:after="0" w:line="360" w:lineRule="auto"/>
        <w:jc w:val="both"/>
        <w:rPr>
          <w:rFonts w:ascii="Arial" w:hAnsi="Arial" w:cs="Arial"/>
          <w:color w:val="000000" w:themeColor="text1"/>
          <w:sz w:val="22"/>
        </w:rPr>
      </w:pPr>
    </w:p>
    <w:p w14:paraId="143A3964" w14:textId="77777777" w:rsidR="00AC3042" w:rsidRDefault="00AC3042" w:rsidP="008F50F4">
      <w:pPr>
        <w:spacing w:after="0" w:line="360" w:lineRule="auto"/>
        <w:jc w:val="both"/>
        <w:rPr>
          <w:rFonts w:ascii="Arial" w:hAnsi="Arial" w:cs="Arial"/>
          <w:color w:val="000000" w:themeColor="text1"/>
          <w:sz w:val="22"/>
        </w:rPr>
      </w:pPr>
      <w:r w:rsidRPr="00FB1C2C">
        <w:rPr>
          <w:rFonts w:ascii="Arial" w:hAnsi="Arial" w:cs="Arial"/>
          <w:color w:val="000000" w:themeColor="text1"/>
          <w:sz w:val="22"/>
        </w:rPr>
        <w:t>Continuous Professional Development (CPD) involves attending training sessions, workshops, or courses to gain new knowledge and update existing skills. For example, safeguarding workshops help social workers identify risks, manage complex cases, and make informed decisions that protect vulnerable individuals (Howe, 2019). CPD also helps social workers stay up to date with legislation, policies, and best practices, ensuring they remain competent and confident. By participating in CPD, social workers improve client support and provide guidance to colleagues, including nurses and carers. This strategy was chosen because social work is constantly evolving, and ongoing learning is essential for high-quality practice.</w:t>
      </w:r>
    </w:p>
    <w:p w14:paraId="7F1C3B4D" w14:textId="77777777" w:rsidR="008F50F4" w:rsidRPr="00FB1C2C" w:rsidRDefault="008F50F4" w:rsidP="008F50F4">
      <w:pPr>
        <w:spacing w:after="0" w:line="360" w:lineRule="auto"/>
        <w:jc w:val="both"/>
        <w:rPr>
          <w:rFonts w:ascii="Arial" w:hAnsi="Arial" w:cs="Arial"/>
          <w:color w:val="000000" w:themeColor="text1"/>
          <w:sz w:val="22"/>
        </w:rPr>
      </w:pPr>
    </w:p>
    <w:p w14:paraId="18B86209" w14:textId="5D5848F9" w:rsidR="00AC3042" w:rsidRDefault="00AC3042" w:rsidP="008F50F4">
      <w:pPr>
        <w:spacing w:after="0" w:line="360" w:lineRule="auto"/>
        <w:jc w:val="both"/>
        <w:rPr>
          <w:rFonts w:ascii="Arial" w:hAnsi="Arial" w:cs="Arial"/>
          <w:color w:val="000000" w:themeColor="text1"/>
          <w:sz w:val="22"/>
        </w:rPr>
      </w:pPr>
      <w:r w:rsidRPr="00FB1C2C">
        <w:rPr>
          <w:rFonts w:ascii="Arial" w:hAnsi="Arial" w:cs="Arial"/>
          <w:color w:val="000000" w:themeColor="text1"/>
          <w:sz w:val="22"/>
        </w:rPr>
        <w:t xml:space="preserve">Reflective Practice encourages social workers to think critically about their actions, decisions, and interactions with clients. For instance, after a challenging case, a social worker may reflect on the effectiveness of communication or the accuracy of risk assessments (Trevithick, 2012). Reflective practice promotes self-awareness, empathy, and </w:t>
      </w:r>
      <w:r w:rsidR="00EC2BD6" w:rsidRPr="00FB1C2C">
        <w:rPr>
          <w:rFonts w:ascii="Arial" w:hAnsi="Arial" w:cs="Arial"/>
          <w:color w:val="000000" w:themeColor="text1"/>
          <w:sz w:val="22"/>
        </w:rPr>
        <w:t>critical thinking skills</w:t>
      </w:r>
      <w:r w:rsidRPr="00FB1C2C">
        <w:rPr>
          <w:rFonts w:ascii="Arial" w:hAnsi="Arial" w:cs="Arial"/>
          <w:color w:val="000000" w:themeColor="text1"/>
          <w:sz w:val="22"/>
        </w:rPr>
        <w:t>, enabling social workers to learn from experience and adjust their approach for future cases. It also supports colleagues by sharing lessons learned, improving teamwork and client outcomes. This strategy is important because it develops professional judgment, which is crucial in complex or high-pressure situations.</w:t>
      </w:r>
    </w:p>
    <w:p w14:paraId="3F13BD9D" w14:textId="77777777" w:rsidR="008F50F4" w:rsidRPr="00FB1C2C" w:rsidRDefault="008F50F4" w:rsidP="008F50F4">
      <w:pPr>
        <w:spacing w:after="0" w:line="360" w:lineRule="auto"/>
        <w:jc w:val="both"/>
        <w:rPr>
          <w:rFonts w:ascii="Arial" w:hAnsi="Arial" w:cs="Arial"/>
          <w:color w:val="000000" w:themeColor="text1"/>
          <w:sz w:val="22"/>
        </w:rPr>
      </w:pPr>
    </w:p>
    <w:p w14:paraId="7495A94A" w14:textId="77777777" w:rsidR="00AC3042" w:rsidRDefault="00AC3042" w:rsidP="008F50F4">
      <w:pPr>
        <w:spacing w:after="0" w:line="360" w:lineRule="auto"/>
        <w:jc w:val="both"/>
        <w:rPr>
          <w:rFonts w:ascii="Arial" w:hAnsi="Arial" w:cs="Arial"/>
          <w:color w:val="000000" w:themeColor="text1"/>
          <w:sz w:val="22"/>
        </w:rPr>
      </w:pPr>
      <w:r w:rsidRPr="00FB1C2C">
        <w:rPr>
          <w:rFonts w:ascii="Arial" w:hAnsi="Arial" w:cs="Arial"/>
          <w:color w:val="000000" w:themeColor="text1"/>
          <w:sz w:val="22"/>
        </w:rPr>
        <w:t>Mentoring and Supervision provide guidance and feedback from experienced colleagues or managers. For example, a newly qualified social worker may discuss a complex safeguarding case with a supervisor to ensure safe and effective decisions (Ferguson, 2017). Mentoring helps build confidence, maintain professional standards, and develop practical skills. It also</w:t>
      </w:r>
      <w:r w:rsidRPr="00AC3042">
        <w:rPr>
          <w:rFonts w:ascii="Arial" w:hAnsi="Arial" w:cs="Arial"/>
          <w:color w:val="000000" w:themeColor="text1"/>
          <w:sz w:val="22"/>
        </w:rPr>
        <w:t xml:space="preserve"> fosters collaboration across the wider care team, supporting nurses, carers, and other staff in coordinated care. This strategy was chosen because it encourages learning through experience while ensuring accountability and safe practice.</w:t>
      </w:r>
    </w:p>
    <w:p w14:paraId="4F32A6A8" w14:textId="77777777" w:rsidR="003279AE" w:rsidRDefault="003279AE" w:rsidP="008F50F4">
      <w:pPr>
        <w:spacing w:after="0" w:line="360" w:lineRule="auto"/>
        <w:jc w:val="both"/>
        <w:rPr>
          <w:rFonts w:ascii="Arial" w:hAnsi="Arial" w:cs="Arial"/>
          <w:color w:val="000000" w:themeColor="text1"/>
          <w:sz w:val="22"/>
        </w:rPr>
      </w:pPr>
    </w:p>
    <w:p w14:paraId="2703A512" w14:textId="1417EAD1" w:rsidR="00500295" w:rsidRPr="004A4CA5" w:rsidRDefault="003279AE" w:rsidP="00B25AB1">
      <w:pPr>
        <w:spacing w:after="0" w:line="360" w:lineRule="auto"/>
        <w:jc w:val="both"/>
        <w:rPr>
          <w:rFonts w:ascii="Arial" w:hAnsi="Arial" w:cs="Arial"/>
          <w:color w:val="000000" w:themeColor="text1"/>
          <w:sz w:val="22"/>
        </w:rPr>
      </w:pPr>
      <w:r w:rsidRPr="003279AE">
        <w:rPr>
          <w:rFonts w:ascii="Arial" w:hAnsi="Arial" w:cs="Arial"/>
          <w:color w:val="000000" w:themeColor="text1"/>
          <w:sz w:val="22"/>
        </w:rPr>
        <w:t>By applying these strategies consistently, social workers can deliver high-quality, safe, and compassionate care while supporting colleagues and promoting positive outcomes for clients (British Association of Social Workers, 2021; Social Work England, 2022).</w:t>
      </w:r>
      <w:r>
        <w:rPr>
          <w:rFonts w:ascii="Arial" w:hAnsi="Arial" w:cs="Arial"/>
          <w:color w:val="000000" w:themeColor="text1"/>
          <w:sz w:val="22"/>
        </w:rPr>
        <w:t xml:space="preserve"> </w:t>
      </w:r>
      <w:r w:rsidR="00AC3042" w:rsidRPr="00AC3042">
        <w:rPr>
          <w:rFonts w:ascii="Arial" w:hAnsi="Arial" w:cs="Arial"/>
          <w:color w:val="000000" w:themeColor="text1"/>
          <w:sz w:val="22"/>
        </w:rPr>
        <w:t>In summary, CPD, reflective practice, and mentoring/supervision are effective strategies to improve social work skills. They enhance knowledge, empathy, communication, and decision-making, benefiting both social workers and the wider health and social care team</w:t>
      </w:r>
      <w:r w:rsidR="00B25AB1">
        <w:rPr>
          <w:rFonts w:ascii="Arial" w:hAnsi="Arial" w:cs="Arial"/>
          <w:color w:val="000000" w:themeColor="text1"/>
          <w:sz w:val="22"/>
        </w:rPr>
        <w:t>.</w:t>
      </w:r>
    </w:p>
    <w:p w14:paraId="18212B03" w14:textId="3EA955C3" w:rsidR="009A1819" w:rsidRDefault="00A946CB" w:rsidP="008F50F4">
      <w:pPr>
        <w:pStyle w:val="Heading2"/>
        <w:numPr>
          <w:ilvl w:val="1"/>
          <w:numId w:val="23"/>
        </w:numPr>
        <w:spacing w:line="360" w:lineRule="auto"/>
        <w:rPr>
          <w:color w:val="4472C4" w:themeColor="accent1"/>
          <w:szCs w:val="24"/>
        </w:rPr>
      </w:pPr>
      <w:bookmarkStart w:id="4" w:name="_Toc212100521"/>
      <w:r w:rsidRPr="002976D4">
        <w:rPr>
          <w:color w:val="4472C4" w:themeColor="accent1"/>
          <w:szCs w:val="24"/>
        </w:rPr>
        <w:lastRenderedPageBreak/>
        <w:t>Conclusion</w:t>
      </w:r>
      <w:bookmarkEnd w:id="4"/>
      <w:r w:rsidR="001D0FAB">
        <w:rPr>
          <w:color w:val="4472C4" w:themeColor="accent1"/>
          <w:szCs w:val="24"/>
        </w:rPr>
        <w:t xml:space="preserve"> </w:t>
      </w:r>
    </w:p>
    <w:p w14:paraId="7F557D2E" w14:textId="3B0043E9" w:rsidR="00C54800" w:rsidRDefault="00681C2E" w:rsidP="00891061">
      <w:pPr>
        <w:spacing w:line="360" w:lineRule="auto"/>
        <w:rPr>
          <w:rFonts w:ascii="Arial" w:hAnsi="Arial" w:cs="Arial"/>
          <w:sz w:val="22"/>
        </w:rPr>
      </w:pPr>
      <w:r w:rsidRPr="00FB1C2C">
        <w:rPr>
          <w:rFonts w:ascii="Arial" w:hAnsi="Arial" w:cs="Arial"/>
          <w:sz w:val="22"/>
        </w:rPr>
        <w:t>The report covers a description of the social worker role, background information, an evaluation of important</w:t>
      </w:r>
      <w:r>
        <w:rPr>
          <w:rFonts w:ascii="Arial" w:hAnsi="Arial" w:cs="Arial"/>
          <w:sz w:val="22"/>
        </w:rPr>
        <w:t xml:space="preserve"> skills and </w:t>
      </w:r>
      <w:r w:rsidR="00891061">
        <w:rPr>
          <w:rFonts w:ascii="Arial" w:hAnsi="Arial" w:cs="Arial"/>
          <w:sz w:val="22"/>
        </w:rPr>
        <w:t>strategies.</w:t>
      </w:r>
      <w:r w:rsidR="00891061" w:rsidRPr="009A1819">
        <w:rPr>
          <w:rFonts w:ascii="Arial" w:hAnsi="Arial" w:cs="Arial"/>
          <w:sz w:val="22"/>
        </w:rPr>
        <w:t xml:space="preserve"> Skills</w:t>
      </w:r>
      <w:r w:rsidR="009A1819" w:rsidRPr="009A1819">
        <w:rPr>
          <w:rFonts w:ascii="Arial" w:hAnsi="Arial" w:cs="Arial"/>
          <w:sz w:val="22"/>
        </w:rPr>
        <w:t xml:space="preserve"> such as communication, empathy, and critical thinking are essential for safeguarding, effective decision-making, and building trust with clients. These skills also help nurses, carers, and support staff deliver coordinated care. Social workers face challenges such as emotionally demanding cases, complex decision-making, and time pressures. Strategies like continuous professional development, reflective practice, and mentoring help strengthen these skills.</w:t>
      </w:r>
      <w:r w:rsidR="00802001">
        <w:rPr>
          <w:rFonts w:ascii="Arial" w:hAnsi="Arial" w:cs="Arial"/>
          <w:sz w:val="22"/>
        </w:rPr>
        <w:t xml:space="preserve"> </w:t>
      </w:r>
      <w:r w:rsidR="00953524">
        <w:rPr>
          <w:rFonts w:ascii="Arial" w:hAnsi="Arial" w:cs="Arial"/>
          <w:sz w:val="22"/>
        </w:rPr>
        <w:t>Therefore,</w:t>
      </w:r>
      <w:r w:rsidR="009A1819" w:rsidRPr="009A1819">
        <w:rPr>
          <w:rFonts w:ascii="Arial" w:hAnsi="Arial" w:cs="Arial"/>
          <w:sz w:val="22"/>
        </w:rPr>
        <w:t xml:space="preserve"> </w:t>
      </w:r>
      <w:r w:rsidR="00802001">
        <w:rPr>
          <w:rFonts w:ascii="Arial" w:hAnsi="Arial" w:cs="Arial"/>
          <w:sz w:val="22"/>
        </w:rPr>
        <w:t xml:space="preserve">by </w:t>
      </w:r>
      <w:r w:rsidR="009A1819" w:rsidRPr="009A1819">
        <w:rPr>
          <w:rFonts w:ascii="Arial" w:hAnsi="Arial" w:cs="Arial"/>
          <w:sz w:val="22"/>
        </w:rPr>
        <w:t>applying these strategies, social workers improve client outcomes and contribute to a more effective health and social care system.</w:t>
      </w:r>
    </w:p>
    <w:p w14:paraId="60EE1F37" w14:textId="77777777" w:rsidR="00113380" w:rsidRDefault="00113380" w:rsidP="00891061">
      <w:pPr>
        <w:spacing w:line="360" w:lineRule="auto"/>
        <w:rPr>
          <w:rFonts w:ascii="Arial" w:hAnsi="Arial" w:cs="Arial"/>
          <w:sz w:val="22"/>
        </w:rPr>
      </w:pPr>
    </w:p>
    <w:p w14:paraId="1BD3FF11" w14:textId="77777777" w:rsidR="00113380" w:rsidRDefault="00113380" w:rsidP="008F50F4">
      <w:pPr>
        <w:spacing w:line="360" w:lineRule="auto"/>
        <w:rPr>
          <w:rFonts w:ascii="Arial" w:hAnsi="Arial" w:cs="Arial"/>
          <w:sz w:val="22"/>
        </w:rPr>
      </w:pPr>
    </w:p>
    <w:p w14:paraId="679231CE" w14:textId="77777777" w:rsidR="00113380" w:rsidRDefault="00113380" w:rsidP="008F50F4">
      <w:pPr>
        <w:spacing w:line="360" w:lineRule="auto"/>
        <w:rPr>
          <w:rFonts w:ascii="Arial" w:hAnsi="Arial" w:cs="Arial"/>
          <w:sz w:val="22"/>
        </w:rPr>
      </w:pPr>
    </w:p>
    <w:p w14:paraId="1ACAC607" w14:textId="77777777" w:rsidR="00113380" w:rsidRDefault="00113380" w:rsidP="008F50F4">
      <w:pPr>
        <w:spacing w:line="360" w:lineRule="auto"/>
        <w:rPr>
          <w:rFonts w:ascii="Arial" w:hAnsi="Arial" w:cs="Arial"/>
          <w:sz w:val="22"/>
        </w:rPr>
      </w:pPr>
    </w:p>
    <w:p w14:paraId="4FCCC365" w14:textId="77777777" w:rsidR="00113380" w:rsidRDefault="00113380" w:rsidP="008F50F4">
      <w:pPr>
        <w:spacing w:line="360" w:lineRule="auto"/>
        <w:rPr>
          <w:rFonts w:ascii="Arial" w:hAnsi="Arial" w:cs="Arial"/>
          <w:sz w:val="22"/>
        </w:rPr>
      </w:pPr>
    </w:p>
    <w:p w14:paraId="420A355B" w14:textId="77777777" w:rsidR="00113380" w:rsidRDefault="00113380" w:rsidP="008F50F4">
      <w:pPr>
        <w:spacing w:line="360" w:lineRule="auto"/>
        <w:rPr>
          <w:rFonts w:ascii="Arial" w:hAnsi="Arial" w:cs="Arial"/>
          <w:sz w:val="22"/>
        </w:rPr>
      </w:pPr>
    </w:p>
    <w:p w14:paraId="5BA0F0E7" w14:textId="77777777" w:rsidR="00113380" w:rsidRDefault="00113380" w:rsidP="008F50F4">
      <w:pPr>
        <w:spacing w:line="360" w:lineRule="auto"/>
        <w:rPr>
          <w:rFonts w:ascii="Arial" w:hAnsi="Arial" w:cs="Arial"/>
          <w:sz w:val="22"/>
        </w:rPr>
      </w:pPr>
    </w:p>
    <w:p w14:paraId="076F904B" w14:textId="77777777" w:rsidR="00113380" w:rsidRDefault="00113380" w:rsidP="008F50F4">
      <w:pPr>
        <w:spacing w:line="360" w:lineRule="auto"/>
        <w:rPr>
          <w:rFonts w:ascii="Arial" w:hAnsi="Arial" w:cs="Arial"/>
          <w:sz w:val="22"/>
        </w:rPr>
      </w:pPr>
    </w:p>
    <w:p w14:paraId="5D7389BB" w14:textId="77777777" w:rsidR="00113380" w:rsidRDefault="00113380" w:rsidP="008F50F4">
      <w:pPr>
        <w:spacing w:line="360" w:lineRule="auto"/>
        <w:rPr>
          <w:rFonts w:ascii="Arial" w:hAnsi="Arial" w:cs="Arial"/>
          <w:sz w:val="22"/>
        </w:rPr>
      </w:pPr>
    </w:p>
    <w:p w14:paraId="72409E1A" w14:textId="77777777" w:rsidR="00113380" w:rsidRDefault="00113380" w:rsidP="008F50F4">
      <w:pPr>
        <w:spacing w:line="360" w:lineRule="auto"/>
        <w:rPr>
          <w:rFonts w:ascii="Arial" w:hAnsi="Arial" w:cs="Arial"/>
          <w:sz w:val="22"/>
        </w:rPr>
      </w:pPr>
    </w:p>
    <w:p w14:paraId="22391540" w14:textId="77777777" w:rsidR="00113380" w:rsidRDefault="00113380" w:rsidP="008F50F4">
      <w:pPr>
        <w:spacing w:line="360" w:lineRule="auto"/>
        <w:rPr>
          <w:rFonts w:ascii="Arial" w:hAnsi="Arial" w:cs="Arial"/>
          <w:sz w:val="22"/>
        </w:rPr>
      </w:pPr>
    </w:p>
    <w:p w14:paraId="187B40D3" w14:textId="77777777" w:rsidR="00113380" w:rsidRDefault="00113380" w:rsidP="008F50F4">
      <w:pPr>
        <w:spacing w:line="360" w:lineRule="auto"/>
        <w:rPr>
          <w:rFonts w:ascii="Arial" w:hAnsi="Arial" w:cs="Arial"/>
          <w:sz w:val="22"/>
        </w:rPr>
      </w:pPr>
    </w:p>
    <w:p w14:paraId="005B303D" w14:textId="77777777" w:rsidR="00113380" w:rsidRDefault="00113380" w:rsidP="008F50F4">
      <w:pPr>
        <w:spacing w:line="360" w:lineRule="auto"/>
        <w:rPr>
          <w:rFonts w:ascii="Arial" w:hAnsi="Arial" w:cs="Arial"/>
          <w:sz w:val="22"/>
        </w:rPr>
      </w:pPr>
    </w:p>
    <w:p w14:paraId="5F6A6D7A" w14:textId="77777777" w:rsidR="00113380" w:rsidRDefault="00113380" w:rsidP="008F50F4">
      <w:pPr>
        <w:spacing w:line="360" w:lineRule="auto"/>
        <w:rPr>
          <w:rFonts w:ascii="Arial" w:hAnsi="Arial" w:cs="Arial"/>
          <w:sz w:val="22"/>
        </w:rPr>
      </w:pPr>
    </w:p>
    <w:p w14:paraId="281B4939" w14:textId="77777777" w:rsidR="0078070C" w:rsidRDefault="0078070C" w:rsidP="008F50F4">
      <w:pPr>
        <w:spacing w:line="360" w:lineRule="auto"/>
        <w:rPr>
          <w:rFonts w:ascii="Arial" w:hAnsi="Arial" w:cs="Arial"/>
          <w:sz w:val="22"/>
        </w:rPr>
      </w:pPr>
    </w:p>
    <w:p w14:paraId="5D55F1B7" w14:textId="77777777" w:rsidR="0078070C" w:rsidRDefault="0078070C" w:rsidP="008F50F4">
      <w:pPr>
        <w:spacing w:line="360" w:lineRule="auto"/>
        <w:rPr>
          <w:rFonts w:ascii="Arial" w:hAnsi="Arial" w:cs="Arial"/>
          <w:sz w:val="22"/>
        </w:rPr>
      </w:pPr>
    </w:p>
    <w:p w14:paraId="35924E3E" w14:textId="77777777" w:rsidR="0078070C" w:rsidRDefault="0078070C" w:rsidP="008F50F4">
      <w:pPr>
        <w:spacing w:line="360" w:lineRule="auto"/>
        <w:rPr>
          <w:rFonts w:ascii="Arial" w:hAnsi="Arial" w:cs="Arial"/>
          <w:sz w:val="22"/>
        </w:rPr>
      </w:pPr>
    </w:p>
    <w:p w14:paraId="7D5101E0" w14:textId="77777777" w:rsidR="0078070C" w:rsidRPr="00BD2EE2" w:rsidRDefault="0078070C" w:rsidP="008F50F4">
      <w:pPr>
        <w:spacing w:line="360" w:lineRule="auto"/>
        <w:rPr>
          <w:rFonts w:ascii="Arial" w:hAnsi="Arial" w:cs="Arial"/>
          <w:sz w:val="22"/>
        </w:rPr>
      </w:pPr>
    </w:p>
    <w:p w14:paraId="00CCB65F" w14:textId="024965C0" w:rsidR="00B81CD8" w:rsidRPr="00113380" w:rsidRDefault="00226D31" w:rsidP="00113380">
      <w:pPr>
        <w:pStyle w:val="Heading2"/>
        <w:numPr>
          <w:ilvl w:val="1"/>
          <w:numId w:val="23"/>
        </w:numPr>
        <w:spacing w:line="360" w:lineRule="auto"/>
        <w:rPr>
          <w:color w:val="4472C4" w:themeColor="accent1"/>
          <w:szCs w:val="24"/>
        </w:rPr>
      </w:pPr>
      <w:bookmarkStart w:id="5" w:name="_Toc212100522"/>
      <w:r w:rsidRPr="002976D4">
        <w:rPr>
          <w:color w:val="4472C4" w:themeColor="accent1"/>
          <w:szCs w:val="24"/>
        </w:rPr>
        <w:lastRenderedPageBreak/>
        <w:t>Reference List</w:t>
      </w:r>
      <w:bookmarkEnd w:id="5"/>
    </w:p>
    <w:p w14:paraId="7E5AA259"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British Association of Social Workers (2021) </w:t>
      </w:r>
      <w:r w:rsidRPr="00113380">
        <w:rPr>
          <w:rFonts w:ascii="Arial" w:hAnsi="Arial" w:cs="Arial"/>
          <w:i/>
          <w:iCs/>
          <w:sz w:val="22"/>
        </w:rPr>
        <w:t>Professional Capabilities Framework</w:t>
      </w:r>
      <w:r w:rsidRPr="00113380">
        <w:rPr>
          <w:rFonts w:ascii="Arial" w:hAnsi="Arial" w:cs="Arial"/>
          <w:sz w:val="22"/>
        </w:rPr>
        <w:t xml:space="preserve">. Available at: </w:t>
      </w:r>
      <w:hyperlink r:id="rId9" w:tgtFrame="_new" w:history="1">
        <w:r w:rsidRPr="00113380">
          <w:rPr>
            <w:rStyle w:val="Hyperlink"/>
            <w:rFonts w:ascii="Arial" w:hAnsi="Arial" w:cs="Arial"/>
            <w:sz w:val="22"/>
          </w:rPr>
          <w:t>https://www.basw.co.uk</w:t>
        </w:r>
      </w:hyperlink>
      <w:r w:rsidRPr="00113380">
        <w:rPr>
          <w:rFonts w:ascii="Arial" w:hAnsi="Arial" w:cs="Arial"/>
          <w:sz w:val="22"/>
        </w:rPr>
        <w:t xml:space="preserve"> (Accessed: 15 March 2026).</w:t>
      </w:r>
    </w:p>
    <w:p w14:paraId="76132119"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Department of Health (2018) </w:t>
      </w:r>
      <w:r w:rsidRPr="00113380">
        <w:rPr>
          <w:rFonts w:ascii="Arial" w:hAnsi="Arial" w:cs="Arial"/>
          <w:i/>
          <w:iCs/>
          <w:sz w:val="22"/>
        </w:rPr>
        <w:t>Working Together to Safeguard Children</w:t>
      </w:r>
      <w:r w:rsidRPr="00113380">
        <w:rPr>
          <w:rFonts w:ascii="Arial" w:hAnsi="Arial" w:cs="Arial"/>
          <w:sz w:val="22"/>
        </w:rPr>
        <w:t>. London: Department of Health.</w:t>
      </w:r>
    </w:p>
    <w:p w14:paraId="56E9A428"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Ferguson, H. (2017) </w:t>
      </w:r>
      <w:r w:rsidRPr="00113380">
        <w:rPr>
          <w:rFonts w:ascii="Arial" w:hAnsi="Arial" w:cs="Arial"/>
          <w:i/>
          <w:iCs/>
          <w:sz w:val="22"/>
        </w:rPr>
        <w:t>Social Work and Social Justice: A Guide for Practitioners</w:t>
      </w:r>
      <w:r w:rsidRPr="00113380">
        <w:rPr>
          <w:rFonts w:ascii="Arial" w:hAnsi="Arial" w:cs="Arial"/>
          <w:sz w:val="22"/>
        </w:rPr>
        <w:t>. 3rd edn. London: Sage.</w:t>
      </w:r>
    </w:p>
    <w:p w14:paraId="5C4B77E8"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Gerdes, K.E. and Segal, E. (2011) ‘Importance of empathy for social work practice: integrating new science’, </w:t>
      </w:r>
      <w:r w:rsidRPr="00113380">
        <w:rPr>
          <w:rFonts w:ascii="Arial" w:hAnsi="Arial" w:cs="Arial"/>
          <w:i/>
          <w:iCs/>
          <w:sz w:val="22"/>
        </w:rPr>
        <w:t>Social Work</w:t>
      </w:r>
      <w:r w:rsidRPr="00113380">
        <w:rPr>
          <w:rFonts w:ascii="Arial" w:hAnsi="Arial" w:cs="Arial"/>
          <w:sz w:val="22"/>
        </w:rPr>
        <w:t>, 56(2), pp. 141–148.</w:t>
      </w:r>
    </w:p>
    <w:p w14:paraId="5643F644"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Howe, D. (2019) </w:t>
      </w:r>
      <w:r w:rsidRPr="00113380">
        <w:rPr>
          <w:rFonts w:ascii="Arial" w:hAnsi="Arial" w:cs="Arial"/>
          <w:i/>
          <w:iCs/>
          <w:sz w:val="22"/>
        </w:rPr>
        <w:t>Skills in Social Work Practice</w:t>
      </w:r>
      <w:r w:rsidRPr="00113380">
        <w:rPr>
          <w:rFonts w:ascii="Arial" w:hAnsi="Arial" w:cs="Arial"/>
          <w:sz w:val="22"/>
        </w:rPr>
        <w:t>. 5th edn. London: Palgrave Macmillan.</w:t>
      </w:r>
    </w:p>
    <w:p w14:paraId="084B79A1"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NICE (2017) </w:t>
      </w:r>
      <w:r w:rsidRPr="00113380">
        <w:rPr>
          <w:rFonts w:ascii="Arial" w:hAnsi="Arial" w:cs="Arial"/>
          <w:i/>
          <w:iCs/>
          <w:sz w:val="22"/>
        </w:rPr>
        <w:t>Child Abuse and Neglect: Guidance (NG76)</w:t>
      </w:r>
      <w:r w:rsidRPr="00113380">
        <w:rPr>
          <w:rFonts w:ascii="Arial" w:hAnsi="Arial" w:cs="Arial"/>
          <w:sz w:val="22"/>
        </w:rPr>
        <w:t xml:space="preserve">. Available at: </w:t>
      </w:r>
      <w:hyperlink r:id="rId10" w:tgtFrame="_new" w:history="1">
        <w:r w:rsidRPr="00113380">
          <w:rPr>
            <w:rStyle w:val="Hyperlink"/>
            <w:rFonts w:ascii="Arial" w:hAnsi="Arial" w:cs="Arial"/>
            <w:sz w:val="22"/>
          </w:rPr>
          <w:t>https://www.nice.org.uk/guidance/ng76</w:t>
        </w:r>
      </w:hyperlink>
      <w:r w:rsidRPr="00113380">
        <w:rPr>
          <w:rFonts w:ascii="Arial" w:hAnsi="Arial" w:cs="Arial"/>
          <w:sz w:val="22"/>
        </w:rPr>
        <w:t xml:space="preserve"> (Accessed: 15 March 2026).</w:t>
      </w:r>
    </w:p>
    <w:p w14:paraId="5285D0AE" w14:textId="77777777" w:rsidR="00B81CD8" w:rsidRPr="00113380" w:rsidRDefault="00B81CD8" w:rsidP="00113380">
      <w:pPr>
        <w:spacing w:line="360" w:lineRule="auto"/>
        <w:rPr>
          <w:rFonts w:ascii="Arial" w:hAnsi="Arial" w:cs="Arial"/>
          <w:sz w:val="22"/>
        </w:rPr>
      </w:pPr>
      <w:r w:rsidRPr="00113380">
        <w:rPr>
          <w:rFonts w:ascii="Arial" w:hAnsi="Arial" w:cs="Arial"/>
          <w:sz w:val="22"/>
        </w:rPr>
        <w:t>Reith</w:t>
      </w:r>
      <w:r w:rsidRPr="00113380">
        <w:rPr>
          <w:rFonts w:ascii="Arial" w:hAnsi="Arial" w:cs="Arial"/>
          <w:sz w:val="22"/>
        </w:rPr>
        <w:noBreakHyphen/>
        <w:t xml:space="preserve">Hall, E. (2022) ‘The teaching and learning of communication skills for social work students: a realist synthesis protocol’, </w:t>
      </w:r>
      <w:r w:rsidRPr="00113380">
        <w:rPr>
          <w:rFonts w:ascii="Arial" w:hAnsi="Arial" w:cs="Arial"/>
          <w:i/>
          <w:iCs/>
          <w:sz w:val="22"/>
        </w:rPr>
        <w:t>Systematic Reviews</w:t>
      </w:r>
      <w:r w:rsidRPr="00113380">
        <w:rPr>
          <w:rFonts w:ascii="Arial" w:hAnsi="Arial" w:cs="Arial"/>
          <w:sz w:val="22"/>
        </w:rPr>
        <w:t>, 11, 266.</w:t>
      </w:r>
    </w:p>
    <w:p w14:paraId="72A39014"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Social Work England (2022) </w:t>
      </w:r>
      <w:r w:rsidRPr="00113380">
        <w:rPr>
          <w:rFonts w:ascii="Arial" w:hAnsi="Arial" w:cs="Arial"/>
          <w:i/>
          <w:iCs/>
          <w:sz w:val="22"/>
        </w:rPr>
        <w:t>Professional Standards</w:t>
      </w:r>
      <w:r w:rsidRPr="00113380">
        <w:rPr>
          <w:rFonts w:ascii="Arial" w:hAnsi="Arial" w:cs="Arial"/>
          <w:sz w:val="22"/>
        </w:rPr>
        <w:t xml:space="preserve">. Available at: </w:t>
      </w:r>
      <w:hyperlink r:id="rId11" w:tgtFrame="_new" w:history="1">
        <w:r w:rsidRPr="00113380">
          <w:rPr>
            <w:rStyle w:val="Hyperlink"/>
            <w:rFonts w:ascii="Arial" w:hAnsi="Arial" w:cs="Arial"/>
            <w:sz w:val="22"/>
          </w:rPr>
          <w:t>https://www.socialworkengland.org.uk</w:t>
        </w:r>
      </w:hyperlink>
      <w:r w:rsidRPr="00113380">
        <w:rPr>
          <w:rFonts w:ascii="Arial" w:hAnsi="Arial" w:cs="Arial"/>
          <w:sz w:val="22"/>
        </w:rPr>
        <w:t xml:space="preserve"> (Accessed: 15 March 2026).</w:t>
      </w:r>
    </w:p>
    <w:p w14:paraId="07DB4C8D" w14:textId="77777777" w:rsidR="00B81CD8" w:rsidRPr="00113380" w:rsidRDefault="00B81CD8" w:rsidP="00113380">
      <w:pPr>
        <w:spacing w:line="360" w:lineRule="auto"/>
        <w:rPr>
          <w:rFonts w:ascii="Arial" w:hAnsi="Arial" w:cs="Arial"/>
          <w:sz w:val="22"/>
        </w:rPr>
      </w:pPr>
      <w:r w:rsidRPr="00113380">
        <w:rPr>
          <w:rFonts w:ascii="Arial" w:hAnsi="Arial" w:cs="Arial"/>
          <w:sz w:val="22"/>
        </w:rPr>
        <w:t xml:space="preserve">Stanley, S. and Mettilda, G. (2020) ‘Professional competencies in social work students: emotional intelligence, reflective ability and empathy — a comparative and longitudinal analysis’, </w:t>
      </w:r>
      <w:r w:rsidRPr="00113380">
        <w:rPr>
          <w:rFonts w:ascii="Arial" w:hAnsi="Arial" w:cs="Arial"/>
          <w:i/>
          <w:iCs/>
          <w:sz w:val="22"/>
        </w:rPr>
        <w:t>Social Work Education</w:t>
      </w:r>
      <w:r w:rsidRPr="00113380">
        <w:rPr>
          <w:rFonts w:ascii="Arial" w:hAnsi="Arial" w:cs="Arial"/>
          <w:sz w:val="22"/>
        </w:rPr>
        <w:t>, 40(7), pp. 827–842.</w:t>
      </w:r>
    </w:p>
    <w:p w14:paraId="1871C49A" w14:textId="0458E153" w:rsidR="004A1053" w:rsidRPr="00113380" w:rsidRDefault="00B81CD8" w:rsidP="00113380">
      <w:pPr>
        <w:spacing w:line="360" w:lineRule="auto"/>
        <w:rPr>
          <w:rFonts w:ascii="Arial" w:hAnsi="Arial" w:cs="Arial"/>
          <w:sz w:val="22"/>
        </w:rPr>
      </w:pPr>
      <w:r w:rsidRPr="00113380">
        <w:rPr>
          <w:rFonts w:ascii="Arial" w:hAnsi="Arial" w:cs="Arial"/>
          <w:sz w:val="22"/>
        </w:rPr>
        <w:t xml:space="preserve">Trevithick, P. (2012) </w:t>
      </w:r>
      <w:r w:rsidRPr="00113380">
        <w:rPr>
          <w:rFonts w:ascii="Arial" w:hAnsi="Arial" w:cs="Arial"/>
          <w:i/>
          <w:iCs/>
          <w:sz w:val="22"/>
        </w:rPr>
        <w:t>Social Work Skills and Knowledge: A Practice Handbook</w:t>
      </w:r>
      <w:r w:rsidRPr="00113380">
        <w:rPr>
          <w:rFonts w:ascii="Arial" w:hAnsi="Arial" w:cs="Arial"/>
          <w:sz w:val="22"/>
        </w:rPr>
        <w:t>. 3rd edn. Maidenhead: Open University Press.</w:t>
      </w:r>
    </w:p>
    <w:p w14:paraId="758FF22A" w14:textId="77777777" w:rsidR="00B81CD8" w:rsidRPr="00113380" w:rsidRDefault="00B81CD8" w:rsidP="00113380">
      <w:pPr>
        <w:pStyle w:val="ListParagraph"/>
        <w:spacing w:line="360" w:lineRule="auto"/>
        <w:ind w:left="435"/>
        <w:rPr>
          <w:rFonts w:ascii="Arial" w:hAnsi="Arial" w:cs="Arial"/>
          <w:sz w:val="22"/>
        </w:rPr>
      </w:pPr>
    </w:p>
    <w:p w14:paraId="715BF151" w14:textId="77777777" w:rsidR="00B81CD8" w:rsidRPr="00113380" w:rsidRDefault="00B81CD8" w:rsidP="00113380">
      <w:pPr>
        <w:pStyle w:val="ListParagraph"/>
        <w:spacing w:line="360" w:lineRule="auto"/>
        <w:ind w:left="435"/>
        <w:rPr>
          <w:rFonts w:ascii="Arial" w:hAnsi="Arial" w:cs="Arial"/>
          <w:sz w:val="22"/>
        </w:rPr>
      </w:pPr>
    </w:p>
    <w:p w14:paraId="5D7C5A58" w14:textId="77777777" w:rsidR="00B81CD8" w:rsidRPr="00113380" w:rsidRDefault="00B81CD8" w:rsidP="00113380">
      <w:pPr>
        <w:pStyle w:val="ListParagraph"/>
        <w:spacing w:line="360" w:lineRule="auto"/>
        <w:ind w:left="435"/>
        <w:rPr>
          <w:rFonts w:ascii="Arial" w:hAnsi="Arial" w:cs="Arial"/>
          <w:sz w:val="22"/>
        </w:rPr>
      </w:pPr>
    </w:p>
    <w:p w14:paraId="2C7EC0B3" w14:textId="77777777" w:rsidR="00B81CD8" w:rsidRPr="00113380" w:rsidRDefault="00B81CD8" w:rsidP="00113380">
      <w:pPr>
        <w:pStyle w:val="ListParagraph"/>
        <w:spacing w:line="360" w:lineRule="auto"/>
        <w:ind w:left="435"/>
        <w:rPr>
          <w:rFonts w:ascii="Arial" w:hAnsi="Arial" w:cs="Arial"/>
          <w:sz w:val="22"/>
        </w:rPr>
      </w:pPr>
    </w:p>
    <w:p w14:paraId="1D9E26C2" w14:textId="77777777" w:rsidR="00B81CD8" w:rsidRPr="00113380" w:rsidRDefault="00B81CD8" w:rsidP="00113380">
      <w:pPr>
        <w:pStyle w:val="ListParagraph"/>
        <w:spacing w:line="360" w:lineRule="auto"/>
        <w:ind w:left="435"/>
        <w:rPr>
          <w:rFonts w:ascii="Arial" w:hAnsi="Arial" w:cs="Arial"/>
          <w:sz w:val="22"/>
        </w:rPr>
      </w:pPr>
    </w:p>
    <w:p w14:paraId="099C4BE7" w14:textId="77777777" w:rsidR="00B81CD8" w:rsidRPr="00113380" w:rsidRDefault="00B81CD8" w:rsidP="00113380">
      <w:pPr>
        <w:pStyle w:val="ListParagraph"/>
        <w:spacing w:line="360" w:lineRule="auto"/>
        <w:ind w:left="435"/>
        <w:rPr>
          <w:rFonts w:ascii="Arial" w:hAnsi="Arial" w:cs="Arial"/>
          <w:sz w:val="22"/>
        </w:rPr>
      </w:pPr>
    </w:p>
    <w:p w14:paraId="66317B4F" w14:textId="77777777" w:rsidR="00B81CD8" w:rsidRPr="00113380" w:rsidRDefault="00B81CD8" w:rsidP="00113380">
      <w:pPr>
        <w:pStyle w:val="ListParagraph"/>
        <w:spacing w:line="360" w:lineRule="auto"/>
        <w:ind w:left="435"/>
        <w:rPr>
          <w:rFonts w:ascii="Arial" w:hAnsi="Arial" w:cs="Arial"/>
          <w:sz w:val="22"/>
        </w:rPr>
      </w:pPr>
    </w:p>
    <w:p w14:paraId="2993E3C5" w14:textId="77777777" w:rsidR="00B81CD8" w:rsidRDefault="00B81CD8" w:rsidP="004A1053">
      <w:pPr>
        <w:pStyle w:val="ListParagraph"/>
        <w:ind w:left="435"/>
        <w:rPr>
          <w:rFonts w:ascii="Arial" w:hAnsi="Arial" w:cs="Arial"/>
          <w:sz w:val="22"/>
        </w:rPr>
      </w:pPr>
    </w:p>
    <w:p w14:paraId="6FC019F5" w14:textId="77777777" w:rsidR="00B81CD8" w:rsidRDefault="00B81CD8" w:rsidP="004A1053">
      <w:pPr>
        <w:pStyle w:val="ListParagraph"/>
        <w:ind w:left="435"/>
        <w:rPr>
          <w:rFonts w:ascii="Arial" w:hAnsi="Arial" w:cs="Arial"/>
          <w:sz w:val="22"/>
        </w:rPr>
      </w:pPr>
    </w:p>
    <w:p w14:paraId="124C7963" w14:textId="77777777" w:rsidR="00B81CD8" w:rsidRDefault="00B81CD8" w:rsidP="004A1053">
      <w:pPr>
        <w:pStyle w:val="ListParagraph"/>
        <w:ind w:left="435"/>
        <w:rPr>
          <w:rFonts w:ascii="Arial" w:hAnsi="Arial" w:cs="Arial"/>
          <w:sz w:val="22"/>
        </w:rPr>
      </w:pPr>
    </w:p>
    <w:p w14:paraId="2550212A" w14:textId="77777777" w:rsidR="00B81CD8" w:rsidRDefault="00B81CD8" w:rsidP="004A1053">
      <w:pPr>
        <w:pStyle w:val="ListParagraph"/>
        <w:ind w:left="435"/>
        <w:rPr>
          <w:rFonts w:ascii="Arial" w:hAnsi="Arial" w:cs="Arial"/>
          <w:sz w:val="22"/>
        </w:rPr>
      </w:pPr>
    </w:p>
    <w:p w14:paraId="4FCAFFF5" w14:textId="77777777" w:rsidR="002D31AC" w:rsidRPr="004A64F8" w:rsidRDefault="002D31AC" w:rsidP="005E44B5">
      <w:pPr>
        <w:rPr>
          <w:color w:val="000000" w:themeColor="text1"/>
        </w:rPr>
      </w:pPr>
    </w:p>
    <w:sectPr w:rsidR="002D31AC" w:rsidRPr="004A64F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1A0F6" w14:textId="77777777" w:rsidR="006823AF" w:rsidRDefault="006823AF" w:rsidP="003C7C97">
      <w:pPr>
        <w:spacing w:after="0" w:line="240" w:lineRule="auto"/>
      </w:pPr>
      <w:r>
        <w:separator/>
      </w:r>
    </w:p>
  </w:endnote>
  <w:endnote w:type="continuationSeparator" w:id="0">
    <w:p w14:paraId="3ADB3F68" w14:textId="77777777" w:rsidR="006823AF" w:rsidRDefault="006823A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33372"/>
      <w:docPartObj>
        <w:docPartGallery w:val="Page Numbers (Bottom of Page)"/>
        <w:docPartUnique/>
      </w:docPartObj>
    </w:sdtPr>
    <w:sdtEndPr>
      <w:rPr>
        <w:noProof/>
      </w:rPr>
    </w:sdtEndPr>
    <w:sdtContent>
      <w:p w14:paraId="63EE8063" w14:textId="58B8F184" w:rsidR="004707A0" w:rsidRDefault="004707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77C6A8" w14:textId="77777777" w:rsidR="004707A0" w:rsidRDefault="00470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22C16" w14:textId="77777777" w:rsidR="006823AF" w:rsidRDefault="006823AF" w:rsidP="003C7C97">
      <w:pPr>
        <w:spacing w:after="0" w:line="240" w:lineRule="auto"/>
      </w:pPr>
      <w:r>
        <w:separator/>
      </w:r>
    </w:p>
  </w:footnote>
  <w:footnote w:type="continuationSeparator" w:id="0">
    <w:p w14:paraId="609BD5FC" w14:textId="77777777" w:rsidR="006823AF" w:rsidRDefault="006823A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1137644"/>
    <w:multiLevelType w:val="multilevel"/>
    <w:tmpl w:val="B9CC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C22225"/>
    <w:multiLevelType w:val="multilevel"/>
    <w:tmpl w:val="29D0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C6CFC"/>
    <w:multiLevelType w:val="multilevel"/>
    <w:tmpl w:val="B126B6B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6D574BD"/>
    <w:multiLevelType w:val="multilevel"/>
    <w:tmpl w:val="A07A1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8"/>
  </w:num>
  <w:num w:numId="2" w16cid:durableId="351032333">
    <w:abstractNumId w:val="2"/>
  </w:num>
  <w:num w:numId="3" w16cid:durableId="1067413603">
    <w:abstractNumId w:val="11"/>
  </w:num>
  <w:num w:numId="4" w16cid:durableId="931426930">
    <w:abstractNumId w:val="22"/>
  </w:num>
  <w:num w:numId="5" w16cid:durableId="1422484198">
    <w:abstractNumId w:val="19"/>
  </w:num>
  <w:num w:numId="6" w16cid:durableId="552929862">
    <w:abstractNumId w:val="20"/>
  </w:num>
  <w:num w:numId="7" w16cid:durableId="587203086">
    <w:abstractNumId w:val="23"/>
  </w:num>
  <w:num w:numId="8" w16cid:durableId="389156196">
    <w:abstractNumId w:val="16"/>
  </w:num>
  <w:num w:numId="9" w16cid:durableId="1393503788">
    <w:abstractNumId w:val="5"/>
  </w:num>
  <w:num w:numId="10" w16cid:durableId="1579359955">
    <w:abstractNumId w:val="13"/>
  </w:num>
  <w:num w:numId="11" w16cid:durableId="806699681">
    <w:abstractNumId w:val="15"/>
  </w:num>
  <w:num w:numId="12" w16cid:durableId="1314750107">
    <w:abstractNumId w:val="12"/>
  </w:num>
  <w:num w:numId="13" w16cid:durableId="1766919701">
    <w:abstractNumId w:val="18"/>
  </w:num>
  <w:num w:numId="14" w16cid:durableId="1957908719">
    <w:abstractNumId w:val="10"/>
  </w:num>
  <w:num w:numId="15" w16cid:durableId="1132019979">
    <w:abstractNumId w:val="4"/>
  </w:num>
  <w:num w:numId="16" w16cid:durableId="1457524365">
    <w:abstractNumId w:val="7"/>
  </w:num>
  <w:num w:numId="17" w16cid:durableId="1386294306">
    <w:abstractNumId w:val="24"/>
  </w:num>
  <w:num w:numId="18" w16cid:durableId="1838374920">
    <w:abstractNumId w:val="21"/>
  </w:num>
  <w:num w:numId="19" w16cid:durableId="1827044992">
    <w:abstractNumId w:val="9"/>
  </w:num>
  <w:num w:numId="20" w16cid:durableId="895820667">
    <w:abstractNumId w:val="17"/>
  </w:num>
  <w:num w:numId="21" w16cid:durableId="817497522">
    <w:abstractNumId w:val="25"/>
  </w:num>
  <w:num w:numId="22" w16cid:durableId="725690465">
    <w:abstractNumId w:val="0"/>
  </w:num>
  <w:num w:numId="23" w16cid:durableId="2050909300">
    <w:abstractNumId w:val="6"/>
  </w:num>
  <w:num w:numId="24" w16cid:durableId="1962222270">
    <w:abstractNumId w:val="14"/>
  </w:num>
  <w:num w:numId="25" w16cid:durableId="2081823875">
    <w:abstractNumId w:val="3"/>
  </w:num>
  <w:num w:numId="26" w16cid:durableId="8940461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491"/>
    <w:rsid w:val="00015762"/>
    <w:rsid w:val="000162D2"/>
    <w:rsid w:val="0001715D"/>
    <w:rsid w:val="00022C42"/>
    <w:rsid w:val="00027B15"/>
    <w:rsid w:val="00030A05"/>
    <w:rsid w:val="00070818"/>
    <w:rsid w:val="0008238F"/>
    <w:rsid w:val="00082EC6"/>
    <w:rsid w:val="00085388"/>
    <w:rsid w:val="00092613"/>
    <w:rsid w:val="000D41DC"/>
    <w:rsid w:val="00113380"/>
    <w:rsid w:val="00125D37"/>
    <w:rsid w:val="00127C1A"/>
    <w:rsid w:val="00131457"/>
    <w:rsid w:val="00133CC9"/>
    <w:rsid w:val="00150D81"/>
    <w:rsid w:val="001637F7"/>
    <w:rsid w:val="00165B42"/>
    <w:rsid w:val="00166CEB"/>
    <w:rsid w:val="001711FB"/>
    <w:rsid w:val="00172CED"/>
    <w:rsid w:val="00173C2C"/>
    <w:rsid w:val="00183CB9"/>
    <w:rsid w:val="00184A9A"/>
    <w:rsid w:val="001947DF"/>
    <w:rsid w:val="001B22BB"/>
    <w:rsid w:val="001B619C"/>
    <w:rsid w:val="001D0FAB"/>
    <w:rsid w:val="001D1D3C"/>
    <w:rsid w:val="001D6763"/>
    <w:rsid w:val="001E4D0D"/>
    <w:rsid w:val="001F21B7"/>
    <w:rsid w:val="00215506"/>
    <w:rsid w:val="002205D4"/>
    <w:rsid w:val="00222C3A"/>
    <w:rsid w:val="0022639F"/>
    <w:rsid w:val="00226D31"/>
    <w:rsid w:val="00236401"/>
    <w:rsid w:val="002370CE"/>
    <w:rsid w:val="0024130E"/>
    <w:rsid w:val="00242974"/>
    <w:rsid w:val="00257E1C"/>
    <w:rsid w:val="00261F93"/>
    <w:rsid w:val="00262583"/>
    <w:rsid w:val="002647FD"/>
    <w:rsid w:val="002976D4"/>
    <w:rsid w:val="002A5577"/>
    <w:rsid w:val="002A60B5"/>
    <w:rsid w:val="002B4AA4"/>
    <w:rsid w:val="002B5626"/>
    <w:rsid w:val="002D31AC"/>
    <w:rsid w:val="002E68F9"/>
    <w:rsid w:val="002E71BA"/>
    <w:rsid w:val="002F5066"/>
    <w:rsid w:val="003003FD"/>
    <w:rsid w:val="0030255C"/>
    <w:rsid w:val="00310245"/>
    <w:rsid w:val="00311021"/>
    <w:rsid w:val="00316C95"/>
    <w:rsid w:val="00321E39"/>
    <w:rsid w:val="00325E8F"/>
    <w:rsid w:val="003279AE"/>
    <w:rsid w:val="003458DB"/>
    <w:rsid w:val="003523D3"/>
    <w:rsid w:val="00364C35"/>
    <w:rsid w:val="0037421B"/>
    <w:rsid w:val="0039168C"/>
    <w:rsid w:val="00396F60"/>
    <w:rsid w:val="003A51D6"/>
    <w:rsid w:val="003A54C2"/>
    <w:rsid w:val="003B0DA9"/>
    <w:rsid w:val="003B125E"/>
    <w:rsid w:val="003B2A5E"/>
    <w:rsid w:val="003C7C97"/>
    <w:rsid w:val="003F0577"/>
    <w:rsid w:val="003F60A2"/>
    <w:rsid w:val="0040198D"/>
    <w:rsid w:val="00406B8D"/>
    <w:rsid w:val="00407961"/>
    <w:rsid w:val="00410068"/>
    <w:rsid w:val="00412E38"/>
    <w:rsid w:val="0041618E"/>
    <w:rsid w:val="0042295C"/>
    <w:rsid w:val="0042447A"/>
    <w:rsid w:val="00426EEC"/>
    <w:rsid w:val="004466C3"/>
    <w:rsid w:val="004552CE"/>
    <w:rsid w:val="004707A0"/>
    <w:rsid w:val="00480342"/>
    <w:rsid w:val="00480D08"/>
    <w:rsid w:val="00481FF7"/>
    <w:rsid w:val="004A1053"/>
    <w:rsid w:val="004A4CA5"/>
    <w:rsid w:val="004A64F8"/>
    <w:rsid w:val="004B4156"/>
    <w:rsid w:val="004C7D76"/>
    <w:rsid w:val="004D5CC9"/>
    <w:rsid w:val="004E29B5"/>
    <w:rsid w:val="004E61A6"/>
    <w:rsid w:val="004F000C"/>
    <w:rsid w:val="00500240"/>
    <w:rsid w:val="00500295"/>
    <w:rsid w:val="00501AAF"/>
    <w:rsid w:val="0050224E"/>
    <w:rsid w:val="00506CDD"/>
    <w:rsid w:val="005157F5"/>
    <w:rsid w:val="00527AFA"/>
    <w:rsid w:val="005419DA"/>
    <w:rsid w:val="005678AC"/>
    <w:rsid w:val="005709B1"/>
    <w:rsid w:val="00572B3B"/>
    <w:rsid w:val="00574249"/>
    <w:rsid w:val="00583632"/>
    <w:rsid w:val="005836D2"/>
    <w:rsid w:val="00587C58"/>
    <w:rsid w:val="0059096E"/>
    <w:rsid w:val="00594037"/>
    <w:rsid w:val="005952A4"/>
    <w:rsid w:val="005A7FD4"/>
    <w:rsid w:val="005B1A84"/>
    <w:rsid w:val="005C5D9C"/>
    <w:rsid w:val="005D1489"/>
    <w:rsid w:val="005D1AF9"/>
    <w:rsid w:val="005D5457"/>
    <w:rsid w:val="005E2699"/>
    <w:rsid w:val="005E44B5"/>
    <w:rsid w:val="00600DF0"/>
    <w:rsid w:val="00612DEA"/>
    <w:rsid w:val="00614572"/>
    <w:rsid w:val="006232DF"/>
    <w:rsid w:val="00631F2E"/>
    <w:rsid w:val="006404DB"/>
    <w:rsid w:val="006457C0"/>
    <w:rsid w:val="00652BB7"/>
    <w:rsid w:val="006607DA"/>
    <w:rsid w:val="00661758"/>
    <w:rsid w:val="0067002C"/>
    <w:rsid w:val="006717DA"/>
    <w:rsid w:val="0067612C"/>
    <w:rsid w:val="00676FEB"/>
    <w:rsid w:val="00681C2E"/>
    <w:rsid w:val="006823AF"/>
    <w:rsid w:val="006858D0"/>
    <w:rsid w:val="006912C4"/>
    <w:rsid w:val="0069427D"/>
    <w:rsid w:val="006A5CFC"/>
    <w:rsid w:val="006C5138"/>
    <w:rsid w:val="006C689B"/>
    <w:rsid w:val="006D72B8"/>
    <w:rsid w:val="006E005C"/>
    <w:rsid w:val="006E3E13"/>
    <w:rsid w:val="006E6EE5"/>
    <w:rsid w:val="006F0029"/>
    <w:rsid w:val="00702D65"/>
    <w:rsid w:val="0070472C"/>
    <w:rsid w:val="007138EF"/>
    <w:rsid w:val="0071762B"/>
    <w:rsid w:val="00741053"/>
    <w:rsid w:val="007632A9"/>
    <w:rsid w:val="00774092"/>
    <w:rsid w:val="007766FF"/>
    <w:rsid w:val="0078070C"/>
    <w:rsid w:val="00782830"/>
    <w:rsid w:val="0078603C"/>
    <w:rsid w:val="0078664A"/>
    <w:rsid w:val="0079200A"/>
    <w:rsid w:val="00796CF1"/>
    <w:rsid w:val="007A3F44"/>
    <w:rsid w:val="007B0F6D"/>
    <w:rsid w:val="007C62C3"/>
    <w:rsid w:val="007D0546"/>
    <w:rsid w:val="007D25AA"/>
    <w:rsid w:val="007F0873"/>
    <w:rsid w:val="007F79B1"/>
    <w:rsid w:val="00802001"/>
    <w:rsid w:val="00805726"/>
    <w:rsid w:val="00815117"/>
    <w:rsid w:val="00816D80"/>
    <w:rsid w:val="00822DDF"/>
    <w:rsid w:val="00824FA2"/>
    <w:rsid w:val="008453B3"/>
    <w:rsid w:val="008520F8"/>
    <w:rsid w:val="00855F34"/>
    <w:rsid w:val="00856671"/>
    <w:rsid w:val="008755DA"/>
    <w:rsid w:val="00877F85"/>
    <w:rsid w:val="008826B6"/>
    <w:rsid w:val="00891061"/>
    <w:rsid w:val="008A70BF"/>
    <w:rsid w:val="008B0B22"/>
    <w:rsid w:val="008C58B0"/>
    <w:rsid w:val="008C591B"/>
    <w:rsid w:val="008C6182"/>
    <w:rsid w:val="008F1491"/>
    <w:rsid w:val="008F50F2"/>
    <w:rsid w:val="008F50F4"/>
    <w:rsid w:val="00926458"/>
    <w:rsid w:val="00933720"/>
    <w:rsid w:val="009472BD"/>
    <w:rsid w:val="00953524"/>
    <w:rsid w:val="0095540B"/>
    <w:rsid w:val="009741BA"/>
    <w:rsid w:val="00977783"/>
    <w:rsid w:val="00987283"/>
    <w:rsid w:val="009947C9"/>
    <w:rsid w:val="009A1819"/>
    <w:rsid w:val="009C2D3B"/>
    <w:rsid w:val="009C7E52"/>
    <w:rsid w:val="009E4934"/>
    <w:rsid w:val="009E6304"/>
    <w:rsid w:val="009F0AAC"/>
    <w:rsid w:val="009F40A7"/>
    <w:rsid w:val="009F5CE6"/>
    <w:rsid w:val="00A035CD"/>
    <w:rsid w:val="00A04F6E"/>
    <w:rsid w:val="00A1298C"/>
    <w:rsid w:val="00A2406B"/>
    <w:rsid w:val="00A250DE"/>
    <w:rsid w:val="00A37A4B"/>
    <w:rsid w:val="00A462C9"/>
    <w:rsid w:val="00A50E80"/>
    <w:rsid w:val="00A513B0"/>
    <w:rsid w:val="00A52DEC"/>
    <w:rsid w:val="00A63F7F"/>
    <w:rsid w:val="00A667CE"/>
    <w:rsid w:val="00A700FE"/>
    <w:rsid w:val="00A701E1"/>
    <w:rsid w:val="00A75042"/>
    <w:rsid w:val="00A774BC"/>
    <w:rsid w:val="00A819C4"/>
    <w:rsid w:val="00A82678"/>
    <w:rsid w:val="00A946CB"/>
    <w:rsid w:val="00A97F2F"/>
    <w:rsid w:val="00AA77C8"/>
    <w:rsid w:val="00AC2B79"/>
    <w:rsid w:val="00AC3042"/>
    <w:rsid w:val="00AC7BE2"/>
    <w:rsid w:val="00AD0E06"/>
    <w:rsid w:val="00AD39F3"/>
    <w:rsid w:val="00AE35BF"/>
    <w:rsid w:val="00AF5159"/>
    <w:rsid w:val="00B1067E"/>
    <w:rsid w:val="00B23B0A"/>
    <w:rsid w:val="00B25AB1"/>
    <w:rsid w:val="00B45713"/>
    <w:rsid w:val="00B64BE2"/>
    <w:rsid w:val="00B67C50"/>
    <w:rsid w:val="00B81790"/>
    <w:rsid w:val="00B81BBC"/>
    <w:rsid w:val="00B81CD8"/>
    <w:rsid w:val="00BC3480"/>
    <w:rsid w:val="00BC52C3"/>
    <w:rsid w:val="00BD03D5"/>
    <w:rsid w:val="00BD2EE2"/>
    <w:rsid w:val="00BF62B2"/>
    <w:rsid w:val="00C04F67"/>
    <w:rsid w:val="00C3215E"/>
    <w:rsid w:val="00C32829"/>
    <w:rsid w:val="00C411EC"/>
    <w:rsid w:val="00C44933"/>
    <w:rsid w:val="00C45272"/>
    <w:rsid w:val="00C47770"/>
    <w:rsid w:val="00C53C8D"/>
    <w:rsid w:val="00C54800"/>
    <w:rsid w:val="00C60D88"/>
    <w:rsid w:val="00C62DEB"/>
    <w:rsid w:val="00C75856"/>
    <w:rsid w:val="00C81E89"/>
    <w:rsid w:val="00C85A7C"/>
    <w:rsid w:val="00C95214"/>
    <w:rsid w:val="00CA07BA"/>
    <w:rsid w:val="00CA637C"/>
    <w:rsid w:val="00CB0A56"/>
    <w:rsid w:val="00CC2143"/>
    <w:rsid w:val="00CC3F59"/>
    <w:rsid w:val="00CD33C8"/>
    <w:rsid w:val="00CD4774"/>
    <w:rsid w:val="00D10AAF"/>
    <w:rsid w:val="00D27540"/>
    <w:rsid w:val="00D36C56"/>
    <w:rsid w:val="00D4006B"/>
    <w:rsid w:val="00D40D7A"/>
    <w:rsid w:val="00D45485"/>
    <w:rsid w:val="00D465A4"/>
    <w:rsid w:val="00D47D90"/>
    <w:rsid w:val="00D62C9F"/>
    <w:rsid w:val="00D64A0D"/>
    <w:rsid w:val="00D71925"/>
    <w:rsid w:val="00D750B4"/>
    <w:rsid w:val="00D811CF"/>
    <w:rsid w:val="00D81C18"/>
    <w:rsid w:val="00D8461A"/>
    <w:rsid w:val="00D92589"/>
    <w:rsid w:val="00D95CAF"/>
    <w:rsid w:val="00DA3AD7"/>
    <w:rsid w:val="00DB60B6"/>
    <w:rsid w:val="00DB7FE2"/>
    <w:rsid w:val="00DC1CC6"/>
    <w:rsid w:val="00DC33F4"/>
    <w:rsid w:val="00E022BA"/>
    <w:rsid w:val="00E067A8"/>
    <w:rsid w:val="00E13924"/>
    <w:rsid w:val="00E14095"/>
    <w:rsid w:val="00E15C94"/>
    <w:rsid w:val="00E15FD5"/>
    <w:rsid w:val="00E1725A"/>
    <w:rsid w:val="00E32BAB"/>
    <w:rsid w:val="00E33758"/>
    <w:rsid w:val="00E360DA"/>
    <w:rsid w:val="00E46D7B"/>
    <w:rsid w:val="00E46EE7"/>
    <w:rsid w:val="00E53E5E"/>
    <w:rsid w:val="00E64035"/>
    <w:rsid w:val="00E64325"/>
    <w:rsid w:val="00E673C5"/>
    <w:rsid w:val="00E67967"/>
    <w:rsid w:val="00E82723"/>
    <w:rsid w:val="00E964FC"/>
    <w:rsid w:val="00EA29A5"/>
    <w:rsid w:val="00EB1EDD"/>
    <w:rsid w:val="00EC107C"/>
    <w:rsid w:val="00EC2BD6"/>
    <w:rsid w:val="00EC7EBE"/>
    <w:rsid w:val="00EC7FD2"/>
    <w:rsid w:val="00ED5964"/>
    <w:rsid w:val="00EF66D2"/>
    <w:rsid w:val="00F036A8"/>
    <w:rsid w:val="00F1720B"/>
    <w:rsid w:val="00F3440E"/>
    <w:rsid w:val="00F36ADC"/>
    <w:rsid w:val="00F403CC"/>
    <w:rsid w:val="00F56F1D"/>
    <w:rsid w:val="00F57656"/>
    <w:rsid w:val="00F605C6"/>
    <w:rsid w:val="00F60C92"/>
    <w:rsid w:val="00F6785B"/>
    <w:rsid w:val="00F70CA8"/>
    <w:rsid w:val="00F82DE1"/>
    <w:rsid w:val="00F915D6"/>
    <w:rsid w:val="00FA050D"/>
    <w:rsid w:val="00FA17D1"/>
    <w:rsid w:val="00FB1C2C"/>
    <w:rsid w:val="00FB6BD1"/>
    <w:rsid w:val="00FC777B"/>
    <w:rsid w:val="00FE7E58"/>
    <w:rsid w:val="00FF2835"/>
    <w:rsid w:val="00FF2B0A"/>
    <w:rsid w:val="00FF316B"/>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C81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cialworkengland.org.uk" TargetMode="External"/><Relationship Id="rId5" Type="http://schemas.openxmlformats.org/officeDocument/2006/relationships/webSettings" Target="webSettings.xml"/><Relationship Id="rId10" Type="http://schemas.openxmlformats.org/officeDocument/2006/relationships/hyperlink" Target="https://www.nice.org.uk/guidance/ng76" TargetMode="External"/><Relationship Id="rId4" Type="http://schemas.openxmlformats.org/officeDocument/2006/relationships/settings" Target="settings.xml"/><Relationship Id="rId9" Type="http://schemas.openxmlformats.org/officeDocument/2006/relationships/hyperlink" Target="https://www.basw.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1533</Words>
  <Characters>9693</Characters>
  <Application>Microsoft Office Word</Application>
  <DocSecurity>0</DocSecurity>
  <Lines>225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Siakha Bi</cp:lastModifiedBy>
  <cp:revision>9</cp:revision>
  <dcterms:created xsi:type="dcterms:W3CDTF">2026-03-17T14:04:00Z</dcterms:created>
  <dcterms:modified xsi:type="dcterms:W3CDTF">2026-03-18T21:18:00Z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