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2C675" w14:textId="5B0F94D1" w:rsidR="005B424B" w:rsidRDefault="005B424B" w:rsidP="005B424B">
      <w:pPr>
        <w:pStyle w:val="Title"/>
      </w:pPr>
      <w:r>
        <w:rPr>
          <w:noProof/>
        </w:rPr>
        <w:drawing>
          <wp:inline distT="0" distB="0" distL="0" distR="0" wp14:anchorId="7FCCFB60" wp14:editId="75D48FD4">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officeArt object" descr="Discover University of Wales Trinity Saint David"/>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inline>
        </w:drawing>
      </w:r>
    </w:p>
    <w:p w14:paraId="03E94FE4" w14:textId="59B9EBC8" w:rsidR="005B424B" w:rsidRDefault="005B424B" w:rsidP="005B424B">
      <w:pPr>
        <w:pStyle w:val="Title"/>
      </w:pPr>
    </w:p>
    <w:p w14:paraId="4C97450D" w14:textId="6240E50E" w:rsidR="005B424B" w:rsidRDefault="005B424B" w:rsidP="005B424B"/>
    <w:p w14:paraId="6B86632B" w14:textId="4D764BEA" w:rsidR="005B424B" w:rsidRDefault="005B424B" w:rsidP="005B424B">
      <w:pPr>
        <w:pStyle w:val="Title"/>
      </w:pPr>
      <w:r>
        <w:t>Module:</w:t>
      </w:r>
      <w:r>
        <w:t xml:space="preserve"> </w:t>
      </w:r>
      <w:r>
        <w:t>BMMB7006</w:t>
      </w:r>
      <w:r>
        <w:t xml:space="preserve"> </w:t>
      </w:r>
      <w:r>
        <w:t>Global Business Challenges</w:t>
      </w:r>
    </w:p>
    <w:p w14:paraId="160963C4" w14:textId="77777777" w:rsidR="005B424B" w:rsidRPr="005B424B" w:rsidRDefault="005B424B" w:rsidP="005B424B"/>
    <w:p w14:paraId="26C15FAA" w14:textId="174799BF" w:rsidR="00923E77" w:rsidRPr="005B424B" w:rsidRDefault="00923E77" w:rsidP="005B424B">
      <w:pPr>
        <w:pStyle w:val="Title"/>
      </w:pPr>
      <w:r w:rsidRPr="005B424B">
        <w:t>Artificial Intelligence</w:t>
      </w:r>
      <w:r w:rsidR="00965A33" w:rsidRPr="005B424B">
        <w:t xml:space="preserve"> </w:t>
      </w:r>
      <w:r w:rsidRPr="005B424B">
        <w:t>in</w:t>
      </w:r>
      <w:r w:rsidR="00965A33" w:rsidRPr="005B424B">
        <w:t xml:space="preserve"> </w:t>
      </w:r>
      <w:r w:rsidRPr="005B424B">
        <w:t>Drug</w:t>
      </w:r>
      <w:r w:rsidR="00965A33" w:rsidRPr="005B424B">
        <w:t xml:space="preserve"> </w:t>
      </w:r>
      <w:r w:rsidRPr="005B424B">
        <w:t>Discovery</w:t>
      </w:r>
      <w:r w:rsidR="00BD3F18" w:rsidRPr="005B424B">
        <w:t>:</w:t>
      </w:r>
      <w:r w:rsidR="00965A33" w:rsidRPr="005B424B">
        <w:t xml:space="preserve"> </w:t>
      </w:r>
      <w:r w:rsidRPr="005B424B">
        <w:t>Data Governance, Ethical Risk, and Regulatory Compliance at Pfizer Inc.</w:t>
      </w:r>
    </w:p>
    <w:p w14:paraId="30E1F9EC" w14:textId="705EA936" w:rsidR="005B424B" w:rsidRDefault="005B424B" w:rsidP="005B424B"/>
    <w:p w14:paraId="7A8E771F" w14:textId="77777777" w:rsidR="005B424B" w:rsidRDefault="005B424B" w:rsidP="005B424B"/>
    <w:p w14:paraId="43DA9D3C" w14:textId="5F1FE74A" w:rsidR="005B424B" w:rsidRDefault="005B424B" w:rsidP="005B424B">
      <w:pPr>
        <w:pStyle w:val="Title"/>
      </w:pPr>
      <w:r>
        <w:t xml:space="preserve">Name: </w:t>
      </w:r>
      <w:r w:rsidRPr="005B424B">
        <w:t xml:space="preserve">Md </w:t>
      </w:r>
      <w:proofErr w:type="spellStart"/>
      <w:r w:rsidRPr="005B424B">
        <w:t>Eftanoor</w:t>
      </w:r>
      <w:proofErr w:type="spellEnd"/>
      <w:r w:rsidRPr="005B424B">
        <w:t xml:space="preserve"> </w:t>
      </w:r>
    </w:p>
    <w:p w14:paraId="1E8E720C" w14:textId="331965AF" w:rsidR="005B424B" w:rsidRPr="005B424B" w:rsidRDefault="005B424B" w:rsidP="005B424B">
      <w:pPr>
        <w:pStyle w:val="Title"/>
      </w:pPr>
      <w:r w:rsidRPr="005B424B">
        <w:t>ID: 2509788</w:t>
      </w:r>
    </w:p>
    <w:p w14:paraId="36422C54" w14:textId="583F4161" w:rsidR="00923E77" w:rsidRPr="00A40949" w:rsidRDefault="00923E77" w:rsidP="00740354">
      <w:pPr>
        <w:rPr>
          <w:rFonts w:ascii="Arial" w:hAnsi="Arial" w:cs="Arial"/>
        </w:rPr>
      </w:pPr>
    </w:p>
    <w:p w14:paraId="23AB6FCE" w14:textId="1485AC22" w:rsidR="00923E77" w:rsidRPr="00A40949" w:rsidRDefault="00965A33" w:rsidP="00740354">
      <w:pPr>
        <w:pStyle w:val="Heading1"/>
        <w:numPr>
          <w:ilvl w:val="0"/>
          <w:numId w:val="0"/>
        </w:numPr>
        <w:ind w:left="432" w:hanging="432"/>
        <w:rPr>
          <w:rFonts w:cs="Arial"/>
        </w:rPr>
      </w:pPr>
      <w:r w:rsidRPr="00A40949">
        <w:rPr>
          <w:rFonts w:cs="Arial"/>
        </w:rPr>
        <w:br w:type="column"/>
      </w:r>
      <w:bookmarkStart w:id="0" w:name="_Toc228020189"/>
      <w:r w:rsidR="00923E77" w:rsidRPr="00A40949">
        <w:rPr>
          <w:rFonts w:cs="Arial"/>
        </w:rPr>
        <w:lastRenderedPageBreak/>
        <w:t>Executive Summary</w:t>
      </w:r>
      <w:bookmarkEnd w:id="0"/>
    </w:p>
    <w:p w14:paraId="0E4CAEFA" w14:textId="77777777" w:rsidR="002038CB" w:rsidRPr="00A40949" w:rsidRDefault="002038CB" w:rsidP="002038CB">
      <w:pPr>
        <w:jc w:val="both"/>
        <w:rPr>
          <w:rFonts w:ascii="Arial" w:hAnsi="Arial" w:cs="Arial"/>
        </w:rPr>
      </w:pPr>
      <w:r w:rsidRPr="00A40949">
        <w:rPr>
          <w:rFonts w:ascii="Arial" w:hAnsi="Arial" w:cs="Arial"/>
        </w:rPr>
        <w:t>Pfizer Inc. stands at the crossroads between pharmaceutical innovation and the rapid adoption of artificial intelligence, and AI-integrated platforms are now integrated throughout its drug discovery, clinical trial, and regulatory submission processes. The report will recommend to the senior Pfizer leadership, via RFD Global, the strategic, ethical and regulatory implications of applying AI in the pharmaceutical R&amp;D pipeline. The analysis uses the Five Forces, PESTLE, macroeconomic risk evaluation, and a Pfizer AI Risk Governance Matrix based on ISO 31000 risk types combined with PESTLE dimensions.</w:t>
      </w:r>
    </w:p>
    <w:p w14:paraId="2EE161A5" w14:textId="6E5B437F" w:rsidR="002038CB" w:rsidRPr="00A40949" w:rsidRDefault="002038CB" w:rsidP="002038CB">
      <w:pPr>
        <w:jc w:val="both"/>
        <w:rPr>
          <w:rFonts w:ascii="Arial" w:hAnsi="Arial" w:cs="Arial"/>
        </w:rPr>
      </w:pPr>
      <w:r w:rsidRPr="00A40949">
        <w:rPr>
          <w:rFonts w:ascii="Arial" w:hAnsi="Arial" w:cs="Arial"/>
        </w:rPr>
        <w:t xml:space="preserve">There are five major risk areas: technological entrants disrupting competition, macroeconomic limitations on AI capital expenditure, vulnerabilities to data governance in sensitive health data management, systemic bias in algorithms, and the compliance burden of divergent MHRA and FDA regulatory frameworks. The problem of patient trust is specifically addressed by </w:t>
      </w:r>
      <w:r w:rsidR="00BD3F18">
        <w:rPr>
          <w:rFonts w:ascii="Arial" w:hAnsi="Arial" w:cs="Arial"/>
        </w:rPr>
        <w:t>analysing</w:t>
      </w:r>
      <w:r w:rsidRPr="00A40949">
        <w:rPr>
          <w:rFonts w:ascii="Arial" w:hAnsi="Arial" w:cs="Arial"/>
        </w:rPr>
        <w:t xml:space="preserve"> the way in which algorithmic opacity is a threat to the social licence </w:t>
      </w:r>
      <w:r w:rsidR="00BD3F18">
        <w:rPr>
          <w:rFonts w:ascii="Arial" w:hAnsi="Arial" w:cs="Arial"/>
        </w:rPr>
        <w:t>on which Pfizer bases its commercial model</w:t>
      </w:r>
      <w:r w:rsidRPr="00A40949">
        <w:rPr>
          <w:rFonts w:ascii="Arial" w:hAnsi="Arial" w:cs="Arial"/>
        </w:rPr>
        <w:t>.</w:t>
      </w:r>
    </w:p>
    <w:p w14:paraId="1FE4DAB6" w14:textId="4B481DF4" w:rsidR="00923E77" w:rsidRPr="00A40949" w:rsidRDefault="002038CB" w:rsidP="002038CB">
      <w:pPr>
        <w:jc w:val="both"/>
        <w:rPr>
          <w:rFonts w:ascii="Arial" w:hAnsi="Arial" w:cs="Arial"/>
        </w:rPr>
      </w:pPr>
      <w:r w:rsidRPr="00A40949">
        <w:rPr>
          <w:rFonts w:ascii="Arial" w:hAnsi="Arial" w:cs="Arial"/>
        </w:rPr>
        <w:t xml:space="preserve">Among the key recommendations are to have a board-level AI Governance Council, to implement federated learning architectures, to </w:t>
      </w:r>
      <w:r w:rsidR="00BD3F18">
        <w:rPr>
          <w:rFonts w:ascii="Arial" w:hAnsi="Arial" w:cs="Arial"/>
        </w:rPr>
        <w:t>audit</w:t>
      </w:r>
      <w:r w:rsidRPr="00A40949">
        <w:rPr>
          <w:rFonts w:ascii="Arial" w:hAnsi="Arial" w:cs="Arial"/>
        </w:rPr>
        <w:t xml:space="preserve"> algorithmic fairness and incorporate it into the clinical pipeline, and to establish a bilateral regulatory sandbox between the MHRA and FDA. The implementation will be in three phases over three years</w:t>
      </w:r>
      <w:r w:rsidR="00BD3F18">
        <w:rPr>
          <w:rFonts w:ascii="Arial" w:hAnsi="Arial" w:cs="Arial"/>
        </w:rPr>
        <w:t>,</w:t>
      </w:r>
      <w:r w:rsidRPr="00A40949">
        <w:rPr>
          <w:rFonts w:ascii="Arial" w:hAnsi="Arial" w:cs="Arial"/>
        </w:rPr>
        <w:t xml:space="preserve"> with cost justification based on industry benchmarks.</w:t>
      </w:r>
    </w:p>
    <w:p w14:paraId="6C0C3BB5" w14:textId="5A89B71D" w:rsidR="00923E77" w:rsidRPr="00A40949" w:rsidRDefault="00923E77" w:rsidP="00740354">
      <w:pPr>
        <w:rPr>
          <w:rFonts w:ascii="Arial" w:hAnsi="Arial" w:cs="Arial"/>
        </w:rPr>
      </w:pPr>
    </w:p>
    <w:p w14:paraId="2C5B7C00" w14:textId="4487E5D5" w:rsidR="00923E77" w:rsidRPr="00A40949" w:rsidRDefault="00923E77" w:rsidP="00740354">
      <w:pPr>
        <w:rPr>
          <w:rFonts w:ascii="Arial" w:hAnsi="Arial" w:cs="Arial"/>
        </w:rPr>
      </w:pPr>
    </w:p>
    <w:p w14:paraId="7C411E9C" w14:textId="77777777" w:rsidR="00740354" w:rsidRPr="00A40949" w:rsidRDefault="00965A33" w:rsidP="00740354">
      <w:pPr>
        <w:pStyle w:val="TOCHeading"/>
        <w:spacing w:before="0" w:line="360" w:lineRule="auto"/>
        <w:rPr>
          <w:rFonts w:ascii="Arial" w:hAnsi="Arial" w:cs="Arial"/>
        </w:rPr>
      </w:pPr>
      <w:r w:rsidRPr="00A40949">
        <w:rPr>
          <w:rFonts w:ascii="Arial" w:hAnsi="Arial" w:cs="Arial"/>
        </w:rPr>
        <w:br w:type="column"/>
      </w:r>
    </w:p>
    <w:sdt>
      <w:sdtPr>
        <w:rPr>
          <w:rFonts w:ascii="Arial" w:hAnsi="Arial" w:cs="Arial"/>
        </w:rPr>
        <w:id w:val="1581096664"/>
        <w:docPartObj>
          <w:docPartGallery w:val="Table of Contents"/>
          <w:docPartUnique/>
        </w:docPartObj>
      </w:sdtPr>
      <w:sdtEndPr>
        <w:rPr>
          <w:b/>
          <w:bCs/>
          <w:noProof/>
        </w:rPr>
      </w:sdtEndPr>
      <w:sdtContent>
        <w:p w14:paraId="3AE6787F" w14:textId="3514DBCD" w:rsidR="00740354" w:rsidRPr="00A40949" w:rsidRDefault="00740354" w:rsidP="00740354">
          <w:pPr>
            <w:rPr>
              <w:rFonts w:ascii="Arial" w:hAnsi="Arial" w:cs="Arial"/>
              <w:b/>
              <w:bCs/>
              <w:sz w:val="28"/>
              <w:szCs w:val="28"/>
            </w:rPr>
          </w:pPr>
          <w:r w:rsidRPr="00A40949">
            <w:rPr>
              <w:rFonts w:ascii="Arial" w:hAnsi="Arial" w:cs="Arial"/>
              <w:b/>
              <w:bCs/>
              <w:sz w:val="28"/>
              <w:szCs w:val="28"/>
            </w:rPr>
            <w:t>Contents</w:t>
          </w:r>
        </w:p>
        <w:p w14:paraId="126AF276" w14:textId="443EB3FD" w:rsidR="000372A5" w:rsidRPr="00A40949" w:rsidRDefault="00740354">
          <w:pPr>
            <w:pStyle w:val="TOC1"/>
            <w:tabs>
              <w:tab w:val="right" w:leader="dot" w:pos="9350"/>
            </w:tabs>
            <w:rPr>
              <w:rFonts w:ascii="Arial" w:eastAsiaTheme="minorEastAsia" w:hAnsi="Arial" w:cs="Arial"/>
              <w:noProof/>
              <w:lang w:eastAsia="en-GB"/>
            </w:rPr>
          </w:pPr>
          <w:r w:rsidRPr="00A40949">
            <w:rPr>
              <w:rFonts w:ascii="Arial" w:hAnsi="Arial" w:cs="Arial"/>
            </w:rPr>
            <w:fldChar w:fldCharType="begin"/>
          </w:r>
          <w:r w:rsidRPr="00A40949">
            <w:rPr>
              <w:rFonts w:ascii="Arial" w:hAnsi="Arial" w:cs="Arial"/>
            </w:rPr>
            <w:instrText xml:space="preserve"> TOC \o "1-3" \h \z \u </w:instrText>
          </w:r>
          <w:r w:rsidRPr="00A40949">
            <w:rPr>
              <w:rFonts w:ascii="Arial" w:hAnsi="Arial" w:cs="Arial"/>
            </w:rPr>
            <w:fldChar w:fldCharType="separate"/>
          </w:r>
          <w:hyperlink w:anchor="_Toc228020189" w:history="1">
            <w:r w:rsidR="000372A5" w:rsidRPr="00A40949">
              <w:rPr>
                <w:rStyle w:val="Hyperlink"/>
                <w:rFonts w:ascii="Arial" w:hAnsi="Arial" w:cs="Arial"/>
                <w:noProof/>
              </w:rPr>
              <w:t>Executive Summary</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_Toc228020189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2</w:t>
            </w:r>
            <w:r w:rsidR="000372A5" w:rsidRPr="00A40949">
              <w:rPr>
                <w:rFonts w:ascii="Arial" w:hAnsi="Arial" w:cs="Arial"/>
                <w:noProof/>
                <w:webHidden/>
              </w:rPr>
              <w:fldChar w:fldCharType="end"/>
            </w:r>
          </w:hyperlink>
        </w:p>
        <w:p w14:paraId="2BE4606D" w14:textId="342554EB" w:rsidR="000372A5" w:rsidRPr="00A40949" w:rsidRDefault="005820B9">
          <w:pPr>
            <w:pStyle w:val="TOC1"/>
            <w:tabs>
              <w:tab w:val="right" w:leader="dot" w:pos="9350"/>
            </w:tabs>
            <w:rPr>
              <w:rFonts w:ascii="Arial" w:eastAsiaTheme="minorEastAsia" w:hAnsi="Arial" w:cs="Arial"/>
              <w:noProof/>
              <w:lang w:eastAsia="en-GB"/>
            </w:rPr>
          </w:pPr>
          <w:hyperlink w:anchor="_Toc228020190" w:history="1">
            <w:r w:rsidR="000372A5" w:rsidRPr="00A40949">
              <w:rPr>
                <w:rStyle w:val="Hyperlink"/>
                <w:rFonts w:ascii="Arial" w:hAnsi="Arial" w:cs="Arial"/>
                <w:noProof/>
              </w:rPr>
              <w:t>Introduction</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_Toc228020190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4</w:t>
            </w:r>
            <w:r w:rsidR="000372A5" w:rsidRPr="00A40949">
              <w:rPr>
                <w:rFonts w:ascii="Arial" w:hAnsi="Arial" w:cs="Arial"/>
                <w:noProof/>
                <w:webHidden/>
              </w:rPr>
              <w:fldChar w:fldCharType="end"/>
            </w:r>
          </w:hyperlink>
        </w:p>
        <w:p w14:paraId="7353FAFA" w14:textId="303771B5" w:rsidR="000372A5" w:rsidRPr="00A40949" w:rsidRDefault="005820B9">
          <w:pPr>
            <w:pStyle w:val="TOC1"/>
            <w:tabs>
              <w:tab w:val="right" w:leader="dot" w:pos="9350"/>
            </w:tabs>
            <w:rPr>
              <w:rFonts w:ascii="Arial" w:eastAsiaTheme="minorEastAsia" w:hAnsi="Arial" w:cs="Arial"/>
              <w:noProof/>
              <w:lang w:eastAsia="en-GB"/>
            </w:rPr>
          </w:pPr>
          <w:hyperlink w:anchor="_Toc228020191" w:history="1">
            <w:r w:rsidR="000372A5" w:rsidRPr="00A40949">
              <w:rPr>
                <w:rStyle w:val="Hyperlink"/>
                <w:rFonts w:ascii="Arial" w:hAnsi="Arial" w:cs="Arial"/>
                <w:noProof/>
              </w:rPr>
              <w:t>Main Findings</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_Toc228020191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4</w:t>
            </w:r>
            <w:r w:rsidR="000372A5" w:rsidRPr="00A40949">
              <w:rPr>
                <w:rFonts w:ascii="Arial" w:hAnsi="Arial" w:cs="Arial"/>
                <w:noProof/>
                <w:webHidden/>
              </w:rPr>
              <w:fldChar w:fldCharType="end"/>
            </w:r>
          </w:hyperlink>
        </w:p>
        <w:p w14:paraId="77D050AA" w14:textId="12EEFA5D" w:rsidR="000372A5" w:rsidRPr="00A40949" w:rsidRDefault="005820B9">
          <w:pPr>
            <w:pStyle w:val="TOC2"/>
            <w:tabs>
              <w:tab w:val="right" w:leader="dot" w:pos="9350"/>
            </w:tabs>
            <w:rPr>
              <w:rFonts w:ascii="Arial" w:eastAsiaTheme="minorEastAsia" w:hAnsi="Arial" w:cs="Arial"/>
              <w:noProof/>
              <w:lang w:eastAsia="en-GB"/>
            </w:rPr>
          </w:pPr>
          <w:hyperlink w:anchor="_Toc228020192" w:history="1">
            <w:r w:rsidR="000372A5" w:rsidRPr="00A40949">
              <w:rPr>
                <w:rStyle w:val="Hyperlink"/>
                <w:rFonts w:ascii="Arial" w:hAnsi="Arial" w:cs="Arial"/>
                <w:noProof/>
              </w:rPr>
              <w:t>Porter's Five Forces: Competitive Dynamics in AI-Enabled Pharmaceutical Research</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_Toc228020192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4</w:t>
            </w:r>
            <w:r w:rsidR="000372A5" w:rsidRPr="00A40949">
              <w:rPr>
                <w:rFonts w:ascii="Arial" w:hAnsi="Arial" w:cs="Arial"/>
                <w:noProof/>
                <w:webHidden/>
              </w:rPr>
              <w:fldChar w:fldCharType="end"/>
            </w:r>
          </w:hyperlink>
        </w:p>
        <w:p w14:paraId="0DB36FBD" w14:textId="60B75D51" w:rsidR="000372A5" w:rsidRPr="00A40949" w:rsidRDefault="005820B9">
          <w:pPr>
            <w:pStyle w:val="TOC2"/>
            <w:tabs>
              <w:tab w:val="right" w:leader="dot" w:pos="9350"/>
            </w:tabs>
            <w:rPr>
              <w:rFonts w:ascii="Arial" w:eastAsiaTheme="minorEastAsia" w:hAnsi="Arial" w:cs="Arial"/>
              <w:noProof/>
              <w:lang w:eastAsia="en-GB"/>
            </w:rPr>
          </w:pPr>
          <w:hyperlink w:anchor="_Toc228020193" w:history="1">
            <w:r w:rsidR="000372A5" w:rsidRPr="00A40949">
              <w:rPr>
                <w:rStyle w:val="Hyperlink"/>
                <w:rFonts w:ascii="Arial" w:hAnsi="Arial" w:cs="Arial"/>
                <w:noProof/>
              </w:rPr>
              <w:t>PESTLE Analysis: Macro-Environmental Risk in AI Adoption</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_Toc228020193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6</w:t>
            </w:r>
            <w:r w:rsidR="000372A5" w:rsidRPr="00A40949">
              <w:rPr>
                <w:rFonts w:ascii="Arial" w:hAnsi="Arial" w:cs="Arial"/>
                <w:noProof/>
                <w:webHidden/>
              </w:rPr>
              <w:fldChar w:fldCharType="end"/>
            </w:r>
          </w:hyperlink>
        </w:p>
        <w:p w14:paraId="37D26161" w14:textId="550BB7E6" w:rsidR="000372A5" w:rsidRPr="00A40949" w:rsidRDefault="005820B9">
          <w:pPr>
            <w:pStyle w:val="TOC2"/>
            <w:tabs>
              <w:tab w:val="right" w:leader="dot" w:pos="9350"/>
            </w:tabs>
            <w:rPr>
              <w:rFonts w:ascii="Arial" w:eastAsiaTheme="minorEastAsia" w:hAnsi="Arial" w:cs="Arial"/>
              <w:noProof/>
              <w:lang w:eastAsia="en-GB"/>
            </w:rPr>
          </w:pPr>
          <w:hyperlink w:anchor="_Toc228020194" w:history="1">
            <w:r w:rsidR="000372A5" w:rsidRPr="00A40949">
              <w:rPr>
                <w:rStyle w:val="Hyperlink"/>
                <w:rFonts w:ascii="Arial" w:hAnsi="Arial" w:cs="Arial"/>
                <w:noProof/>
              </w:rPr>
              <w:t>Macroeconomic Context: Monetary Policy, Inflation, and AI Capital Allocation</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_Toc228020194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8</w:t>
            </w:r>
            <w:r w:rsidR="000372A5" w:rsidRPr="00A40949">
              <w:rPr>
                <w:rFonts w:ascii="Arial" w:hAnsi="Arial" w:cs="Arial"/>
                <w:noProof/>
                <w:webHidden/>
              </w:rPr>
              <w:fldChar w:fldCharType="end"/>
            </w:r>
          </w:hyperlink>
        </w:p>
        <w:p w14:paraId="1CEE972A" w14:textId="0D4D15B1" w:rsidR="000372A5" w:rsidRPr="00A40949" w:rsidRDefault="005820B9">
          <w:pPr>
            <w:pStyle w:val="TOC2"/>
            <w:tabs>
              <w:tab w:val="right" w:leader="dot" w:pos="9350"/>
            </w:tabs>
            <w:rPr>
              <w:rFonts w:ascii="Arial" w:eastAsiaTheme="minorEastAsia" w:hAnsi="Arial" w:cs="Arial"/>
              <w:noProof/>
              <w:lang w:eastAsia="en-GB"/>
            </w:rPr>
          </w:pPr>
          <w:hyperlink w:anchor="_Toc228020195" w:history="1">
            <w:r w:rsidR="000372A5" w:rsidRPr="00A40949">
              <w:rPr>
                <w:rStyle w:val="Hyperlink"/>
                <w:rFonts w:ascii="Arial" w:hAnsi="Arial" w:cs="Arial"/>
                <w:noProof/>
              </w:rPr>
              <w:t>AI in Drug Discovery and Clinical Trial Development</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_Toc228020195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9</w:t>
            </w:r>
            <w:r w:rsidR="000372A5" w:rsidRPr="00A40949">
              <w:rPr>
                <w:rFonts w:ascii="Arial" w:hAnsi="Arial" w:cs="Arial"/>
                <w:noProof/>
                <w:webHidden/>
              </w:rPr>
              <w:fldChar w:fldCharType="end"/>
            </w:r>
          </w:hyperlink>
        </w:p>
        <w:p w14:paraId="0829E055" w14:textId="00C82B72" w:rsidR="000372A5" w:rsidRPr="00A40949" w:rsidRDefault="005820B9">
          <w:pPr>
            <w:pStyle w:val="TOC2"/>
            <w:tabs>
              <w:tab w:val="right" w:leader="dot" w:pos="9350"/>
            </w:tabs>
            <w:rPr>
              <w:rFonts w:ascii="Arial" w:eastAsiaTheme="minorEastAsia" w:hAnsi="Arial" w:cs="Arial"/>
              <w:noProof/>
              <w:lang w:eastAsia="en-GB"/>
            </w:rPr>
          </w:pPr>
          <w:hyperlink w:anchor="_Toc228020196" w:history="1">
            <w:r w:rsidR="000372A5" w:rsidRPr="00A40949">
              <w:rPr>
                <w:rStyle w:val="Hyperlink"/>
                <w:rFonts w:ascii="Arial" w:hAnsi="Arial" w:cs="Arial"/>
                <w:noProof/>
              </w:rPr>
              <w:t>Data Governance and Sensitive Health Data</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_Toc228020196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10</w:t>
            </w:r>
            <w:r w:rsidR="000372A5" w:rsidRPr="00A40949">
              <w:rPr>
                <w:rFonts w:ascii="Arial" w:hAnsi="Arial" w:cs="Arial"/>
                <w:noProof/>
                <w:webHidden/>
              </w:rPr>
              <w:fldChar w:fldCharType="end"/>
            </w:r>
          </w:hyperlink>
        </w:p>
        <w:p w14:paraId="498FC796" w14:textId="736B73E8" w:rsidR="000372A5" w:rsidRPr="00A40949" w:rsidRDefault="005820B9">
          <w:pPr>
            <w:pStyle w:val="TOC2"/>
            <w:tabs>
              <w:tab w:val="right" w:leader="dot" w:pos="9350"/>
            </w:tabs>
            <w:rPr>
              <w:rFonts w:ascii="Arial" w:eastAsiaTheme="minorEastAsia" w:hAnsi="Arial" w:cs="Arial"/>
              <w:noProof/>
              <w:lang w:eastAsia="en-GB"/>
            </w:rPr>
          </w:pPr>
          <w:hyperlink w:anchor="_Toc228020197" w:history="1">
            <w:r w:rsidR="000372A5" w:rsidRPr="00A40949">
              <w:rPr>
                <w:rStyle w:val="Hyperlink"/>
                <w:rFonts w:ascii="Arial" w:hAnsi="Arial" w:cs="Arial"/>
                <w:noProof/>
              </w:rPr>
              <w:t>Bias, Fairness, and Ethical Risk in Medical AI</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_Toc228020197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11</w:t>
            </w:r>
            <w:r w:rsidR="000372A5" w:rsidRPr="00A40949">
              <w:rPr>
                <w:rFonts w:ascii="Arial" w:hAnsi="Arial" w:cs="Arial"/>
                <w:noProof/>
                <w:webHidden/>
              </w:rPr>
              <w:fldChar w:fldCharType="end"/>
            </w:r>
          </w:hyperlink>
        </w:p>
        <w:p w14:paraId="2BE8B3DD" w14:textId="6F6A2C80" w:rsidR="000372A5" w:rsidRPr="00A40949" w:rsidRDefault="005820B9">
          <w:pPr>
            <w:pStyle w:val="TOC2"/>
            <w:tabs>
              <w:tab w:val="right" w:leader="dot" w:pos="9350"/>
            </w:tabs>
            <w:rPr>
              <w:rFonts w:ascii="Arial" w:eastAsiaTheme="minorEastAsia" w:hAnsi="Arial" w:cs="Arial"/>
              <w:noProof/>
              <w:lang w:eastAsia="en-GB"/>
            </w:rPr>
          </w:pPr>
          <w:hyperlink w:anchor="_Toc228020198" w:history="1">
            <w:r w:rsidR="000372A5" w:rsidRPr="00A40949">
              <w:rPr>
                <w:rStyle w:val="Hyperlink"/>
                <w:rFonts w:ascii="Arial" w:hAnsi="Arial" w:cs="Arial"/>
                <w:noProof/>
              </w:rPr>
              <w:t>Regulatory Compliance: UK MHRA versus FDA Framework</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_Toc228020198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13</w:t>
            </w:r>
            <w:r w:rsidR="000372A5" w:rsidRPr="00A40949">
              <w:rPr>
                <w:rFonts w:ascii="Arial" w:hAnsi="Arial" w:cs="Arial"/>
                <w:noProof/>
                <w:webHidden/>
              </w:rPr>
              <w:fldChar w:fldCharType="end"/>
            </w:r>
          </w:hyperlink>
        </w:p>
        <w:p w14:paraId="1948EE1E" w14:textId="77C06EB9" w:rsidR="000372A5" w:rsidRPr="00A40949" w:rsidRDefault="005820B9">
          <w:pPr>
            <w:pStyle w:val="TOC2"/>
            <w:tabs>
              <w:tab w:val="right" w:leader="dot" w:pos="9350"/>
            </w:tabs>
            <w:rPr>
              <w:rFonts w:ascii="Arial" w:eastAsiaTheme="minorEastAsia" w:hAnsi="Arial" w:cs="Arial"/>
              <w:noProof/>
              <w:lang w:eastAsia="en-GB"/>
            </w:rPr>
          </w:pPr>
          <w:hyperlink w:anchor="_Toc228020199" w:history="1">
            <w:r w:rsidR="000372A5" w:rsidRPr="00A40949">
              <w:rPr>
                <w:rStyle w:val="Hyperlink"/>
                <w:rFonts w:ascii="Arial" w:hAnsi="Arial" w:cs="Arial"/>
                <w:noProof/>
              </w:rPr>
              <w:t>Patient Trust and Algorithmic Opacity</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_Toc228020199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16</w:t>
            </w:r>
            <w:r w:rsidR="000372A5" w:rsidRPr="00A40949">
              <w:rPr>
                <w:rFonts w:ascii="Arial" w:hAnsi="Arial" w:cs="Arial"/>
                <w:noProof/>
                <w:webHidden/>
              </w:rPr>
              <w:fldChar w:fldCharType="end"/>
            </w:r>
          </w:hyperlink>
        </w:p>
        <w:p w14:paraId="1DE3BDA8" w14:textId="202EC027" w:rsidR="000372A5" w:rsidRPr="00A40949" w:rsidRDefault="005820B9">
          <w:pPr>
            <w:pStyle w:val="TOC1"/>
            <w:tabs>
              <w:tab w:val="right" w:leader="dot" w:pos="9350"/>
            </w:tabs>
            <w:rPr>
              <w:rFonts w:ascii="Arial" w:eastAsiaTheme="minorEastAsia" w:hAnsi="Arial" w:cs="Arial"/>
              <w:noProof/>
              <w:lang w:eastAsia="en-GB"/>
            </w:rPr>
          </w:pPr>
          <w:hyperlink w:anchor="_Toc228020200" w:history="1">
            <w:r w:rsidR="000372A5" w:rsidRPr="00A40949">
              <w:rPr>
                <w:rStyle w:val="Hyperlink"/>
                <w:rFonts w:ascii="Arial" w:hAnsi="Arial" w:cs="Arial"/>
                <w:noProof/>
              </w:rPr>
              <w:t>Implementation Plan</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_Toc228020200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17</w:t>
            </w:r>
            <w:r w:rsidR="000372A5" w:rsidRPr="00A40949">
              <w:rPr>
                <w:rFonts w:ascii="Arial" w:hAnsi="Arial" w:cs="Arial"/>
                <w:noProof/>
                <w:webHidden/>
              </w:rPr>
              <w:fldChar w:fldCharType="end"/>
            </w:r>
          </w:hyperlink>
        </w:p>
        <w:p w14:paraId="44EF97D1" w14:textId="1FA0DE41" w:rsidR="000372A5" w:rsidRPr="00A40949" w:rsidRDefault="005820B9">
          <w:pPr>
            <w:pStyle w:val="TOC1"/>
            <w:tabs>
              <w:tab w:val="right" w:leader="dot" w:pos="9350"/>
            </w:tabs>
            <w:rPr>
              <w:rFonts w:ascii="Arial" w:eastAsiaTheme="minorEastAsia" w:hAnsi="Arial" w:cs="Arial"/>
              <w:noProof/>
              <w:lang w:eastAsia="en-GB"/>
            </w:rPr>
          </w:pPr>
          <w:hyperlink w:anchor="_Toc228020201" w:history="1">
            <w:r w:rsidR="000372A5" w:rsidRPr="00A40949">
              <w:rPr>
                <w:rStyle w:val="Hyperlink"/>
                <w:rFonts w:ascii="Arial" w:hAnsi="Arial" w:cs="Arial"/>
                <w:noProof/>
              </w:rPr>
              <w:t>Conclusion</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_Toc228020201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19</w:t>
            </w:r>
            <w:r w:rsidR="000372A5" w:rsidRPr="00A40949">
              <w:rPr>
                <w:rFonts w:ascii="Arial" w:hAnsi="Arial" w:cs="Arial"/>
                <w:noProof/>
                <w:webHidden/>
              </w:rPr>
              <w:fldChar w:fldCharType="end"/>
            </w:r>
          </w:hyperlink>
        </w:p>
        <w:p w14:paraId="36A01933" w14:textId="7D2CBF08" w:rsidR="000372A5" w:rsidRPr="00A40949" w:rsidRDefault="005820B9">
          <w:pPr>
            <w:pStyle w:val="TOC1"/>
            <w:tabs>
              <w:tab w:val="right" w:leader="dot" w:pos="9350"/>
            </w:tabs>
            <w:rPr>
              <w:rFonts w:ascii="Arial" w:eastAsiaTheme="minorEastAsia" w:hAnsi="Arial" w:cs="Arial"/>
              <w:noProof/>
              <w:lang w:eastAsia="en-GB"/>
            </w:rPr>
          </w:pPr>
          <w:hyperlink w:anchor="_Toc228020202" w:history="1">
            <w:r w:rsidR="000372A5" w:rsidRPr="00A40949">
              <w:rPr>
                <w:rStyle w:val="Hyperlink"/>
                <w:rFonts w:ascii="Arial" w:hAnsi="Arial" w:cs="Arial"/>
                <w:noProof/>
              </w:rPr>
              <w:t>References</w:t>
            </w:r>
            <w:r w:rsidR="000372A5" w:rsidRPr="00A40949">
              <w:rPr>
                <w:rFonts w:ascii="Arial" w:hAnsi="Arial" w:cs="Arial"/>
                <w:noProof/>
                <w:webHidden/>
              </w:rPr>
              <w:tab/>
            </w:r>
            <w:r w:rsidR="000372A5" w:rsidRPr="00A40949">
              <w:rPr>
                <w:rFonts w:ascii="Arial" w:hAnsi="Arial" w:cs="Arial"/>
                <w:noProof/>
                <w:webHidden/>
              </w:rPr>
              <w:fldChar w:fldCharType="begin"/>
            </w:r>
            <w:r w:rsidR="000372A5" w:rsidRPr="00A40949">
              <w:rPr>
                <w:rFonts w:ascii="Arial" w:hAnsi="Arial" w:cs="Arial"/>
                <w:noProof/>
                <w:webHidden/>
              </w:rPr>
              <w:instrText xml:space="preserve"> PAGEREF _Toc228020202 \h </w:instrText>
            </w:r>
            <w:r w:rsidR="000372A5" w:rsidRPr="00A40949">
              <w:rPr>
                <w:rFonts w:ascii="Arial" w:hAnsi="Arial" w:cs="Arial"/>
                <w:noProof/>
                <w:webHidden/>
              </w:rPr>
            </w:r>
            <w:r w:rsidR="000372A5" w:rsidRPr="00A40949">
              <w:rPr>
                <w:rFonts w:ascii="Arial" w:hAnsi="Arial" w:cs="Arial"/>
                <w:noProof/>
                <w:webHidden/>
              </w:rPr>
              <w:fldChar w:fldCharType="separate"/>
            </w:r>
            <w:r w:rsidR="00EF5379">
              <w:rPr>
                <w:rFonts w:ascii="Arial" w:hAnsi="Arial" w:cs="Arial"/>
                <w:noProof/>
                <w:webHidden/>
              </w:rPr>
              <w:t>21</w:t>
            </w:r>
            <w:r w:rsidR="000372A5" w:rsidRPr="00A40949">
              <w:rPr>
                <w:rFonts w:ascii="Arial" w:hAnsi="Arial" w:cs="Arial"/>
                <w:noProof/>
                <w:webHidden/>
              </w:rPr>
              <w:fldChar w:fldCharType="end"/>
            </w:r>
          </w:hyperlink>
        </w:p>
        <w:p w14:paraId="36A96F56" w14:textId="36F37F10" w:rsidR="00740354" w:rsidRPr="00A40949" w:rsidRDefault="00740354" w:rsidP="00740354">
          <w:pPr>
            <w:rPr>
              <w:rFonts w:ascii="Arial" w:hAnsi="Arial" w:cs="Arial"/>
            </w:rPr>
          </w:pPr>
          <w:r w:rsidRPr="00A40949">
            <w:rPr>
              <w:rFonts w:ascii="Arial" w:hAnsi="Arial" w:cs="Arial"/>
              <w:b/>
              <w:bCs/>
              <w:noProof/>
            </w:rPr>
            <w:fldChar w:fldCharType="end"/>
          </w:r>
        </w:p>
      </w:sdtContent>
    </w:sdt>
    <w:p w14:paraId="4CB0DF8B" w14:textId="358032CD" w:rsidR="00923E77" w:rsidRPr="00A40949" w:rsidRDefault="00965A33" w:rsidP="00740354">
      <w:pPr>
        <w:pStyle w:val="Heading1"/>
        <w:numPr>
          <w:ilvl w:val="0"/>
          <w:numId w:val="0"/>
        </w:numPr>
        <w:ind w:left="432" w:hanging="432"/>
        <w:rPr>
          <w:rFonts w:cs="Arial"/>
        </w:rPr>
      </w:pPr>
      <w:r w:rsidRPr="00A40949">
        <w:rPr>
          <w:rFonts w:cs="Arial"/>
        </w:rPr>
        <w:br w:type="column"/>
      </w:r>
      <w:bookmarkStart w:id="1" w:name="_Toc228020190"/>
      <w:r w:rsidR="00923E77" w:rsidRPr="00A40949">
        <w:rPr>
          <w:rFonts w:cs="Arial"/>
        </w:rPr>
        <w:lastRenderedPageBreak/>
        <w:t>Introduction</w:t>
      </w:r>
      <w:bookmarkEnd w:id="1"/>
    </w:p>
    <w:p w14:paraId="094636A9" w14:textId="77777777" w:rsidR="00795F5D" w:rsidRPr="00A40949" w:rsidRDefault="00795F5D" w:rsidP="00795F5D">
      <w:pPr>
        <w:jc w:val="both"/>
        <w:rPr>
          <w:rFonts w:ascii="Arial" w:hAnsi="Arial" w:cs="Arial"/>
        </w:rPr>
      </w:pPr>
      <w:r w:rsidRPr="00A40949">
        <w:rPr>
          <w:rFonts w:ascii="Arial" w:hAnsi="Arial" w:cs="Arial"/>
        </w:rPr>
        <w:t>Pfizer Inc. has operations in over 125 countries with a revenue of over 58 billion USD in 2023, and has placed AI-based discovery platforms as the heart of its pipeline acceleration programme. This has seen RFD Global contracted to counsel top Pfizer executives on the political, technological, regulatory, and competitive pressures remaking its AI threat landscape, particularly relating to data governance, ethical AI application, macroeconomic risk of capital allocation, and cross-jurisdictional regulation.</w:t>
      </w:r>
    </w:p>
    <w:p w14:paraId="65ABAB9D" w14:textId="77777777" w:rsidR="00795F5D" w:rsidRPr="00A40949" w:rsidRDefault="00795F5D" w:rsidP="00795F5D">
      <w:pPr>
        <w:jc w:val="both"/>
        <w:rPr>
          <w:rFonts w:ascii="Arial" w:hAnsi="Arial" w:cs="Arial"/>
        </w:rPr>
      </w:pPr>
      <w:r w:rsidRPr="00A40949">
        <w:rPr>
          <w:rFonts w:ascii="Arial" w:hAnsi="Arial" w:cs="Arial"/>
        </w:rPr>
        <w:t>This is a unique junction of pressure in the pharmaceutical sector. The scientific potential of AI to speed up drug candidate discovery and clinical trial design is enormous, but it is also laced with profound concerns regarding bias in training datasets, control of patient data, and the ability of fragmented regulatory systems to conduct evidence generated by AI with sufficient rigour. Pfizer is especially vulnerable to these pressures since it has a global presence, with UK and US regulatory regimes representing two distinct and dynamic AI regulation frameworks.</w:t>
      </w:r>
    </w:p>
    <w:p w14:paraId="0AD2C93C" w14:textId="1E00D2B5" w:rsidR="00923E77" w:rsidRPr="00A40949" w:rsidRDefault="00795F5D" w:rsidP="00795F5D">
      <w:pPr>
        <w:jc w:val="both"/>
        <w:rPr>
          <w:rFonts w:ascii="Arial" w:hAnsi="Arial" w:cs="Arial"/>
        </w:rPr>
      </w:pPr>
      <w:r w:rsidRPr="00A40949">
        <w:rPr>
          <w:rFonts w:ascii="Arial" w:hAnsi="Arial" w:cs="Arial"/>
        </w:rPr>
        <w:t xml:space="preserve">The competitive lens used in this report is </w:t>
      </w:r>
      <w:r w:rsidR="00BD3F18">
        <w:rPr>
          <w:rFonts w:ascii="Arial" w:hAnsi="Arial" w:cs="Arial"/>
        </w:rPr>
        <w:t>Porter's Five Forces,</w:t>
      </w:r>
      <w:r w:rsidRPr="00A40949">
        <w:rPr>
          <w:rFonts w:ascii="Arial" w:hAnsi="Arial" w:cs="Arial"/>
        </w:rPr>
        <w:t xml:space="preserve"> and the macro-environmental base is the PESTLE. They are complemented with a macroeconomic risk analysis, a special analysis of patient trust relationships, and an original Pfizer AI Risk Governance Matrix. The report ends with an implemented plan with a costed, academically sound implementation plan and a future risk scenario.</w:t>
      </w:r>
    </w:p>
    <w:p w14:paraId="537EACFB" w14:textId="7E2440FB" w:rsidR="00923E77" w:rsidRPr="00A40949" w:rsidRDefault="00923E77" w:rsidP="00740354">
      <w:pPr>
        <w:pStyle w:val="Heading1"/>
        <w:numPr>
          <w:ilvl w:val="0"/>
          <w:numId w:val="0"/>
        </w:numPr>
        <w:rPr>
          <w:rFonts w:cs="Arial"/>
        </w:rPr>
      </w:pPr>
      <w:bookmarkStart w:id="2" w:name="_Toc228020191"/>
      <w:r w:rsidRPr="00A40949">
        <w:rPr>
          <w:rFonts w:cs="Arial"/>
        </w:rPr>
        <w:t>Main Findings</w:t>
      </w:r>
      <w:bookmarkEnd w:id="2"/>
    </w:p>
    <w:p w14:paraId="3987BBFB" w14:textId="2560AE05" w:rsidR="00AD4190" w:rsidRPr="00A40949" w:rsidRDefault="00923E77" w:rsidP="00AD4190">
      <w:pPr>
        <w:pStyle w:val="Heading2"/>
        <w:rPr>
          <w:rFonts w:cs="Arial"/>
        </w:rPr>
      </w:pPr>
      <w:bookmarkStart w:id="3" w:name="_Toc228020192"/>
      <w:r w:rsidRPr="00A40949">
        <w:rPr>
          <w:rFonts w:cs="Arial"/>
        </w:rPr>
        <w:t>Porter's Five Forces: Competitive Dynamics in AI-Enabled Pharmaceutical</w:t>
      </w:r>
      <w:r w:rsidR="00AD4190" w:rsidRPr="00A40949">
        <w:rPr>
          <w:rFonts w:cs="Arial"/>
        </w:rPr>
        <w:t xml:space="preserve"> </w:t>
      </w:r>
      <w:r w:rsidRPr="00A40949">
        <w:rPr>
          <w:rFonts w:cs="Arial"/>
        </w:rPr>
        <w:t>Research</w:t>
      </w:r>
      <w:bookmarkEnd w:id="3"/>
    </w:p>
    <w:p w14:paraId="44B7801A" w14:textId="46D05136" w:rsidR="00795F5D" w:rsidRPr="00A40949" w:rsidRDefault="00795F5D" w:rsidP="00795F5D">
      <w:pPr>
        <w:jc w:val="both"/>
        <w:rPr>
          <w:rFonts w:ascii="Arial" w:hAnsi="Arial" w:cs="Arial"/>
        </w:rPr>
      </w:pPr>
      <w:r w:rsidRPr="00A40949">
        <w:rPr>
          <w:rFonts w:ascii="Arial" w:hAnsi="Arial" w:cs="Arial"/>
        </w:rPr>
        <w:t xml:space="preserve">The Five Forces framework indicates that the AI pharmaceutical environment is marked with a growing competitive intensity, a changed supplier strength, and </w:t>
      </w:r>
      <w:r w:rsidR="00BD3F18">
        <w:rPr>
          <w:rFonts w:ascii="Arial" w:hAnsi="Arial" w:cs="Arial"/>
        </w:rPr>
        <w:t>a new threat of substitutes,</w:t>
      </w:r>
      <w:r w:rsidRPr="00A40949">
        <w:rPr>
          <w:rFonts w:ascii="Arial" w:hAnsi="Arial" w:cs="Arial"/>
        </w:rPr>
        <w:t xml:space="preserve"> which have significant impacts on the strategic placement of Pfizer.</w:t>
      </w:r>
    </w:p>
    <w:p w14:paraId="4EBA40EF" w14:textId="77777777" w:rsidR="00795F5D" w:rsidRPr="00A40949" w:rsidRDefault="00795F5D" w:rsidP="00795F5D">
      <w:pPr>
        <w:jc w:val="both"/>
        <w:rPr>
          <w:rFonts w:ascii="Arial" w:hAnsi="Arial" w:cs="Arial"/>
        </w:rPr>
      </w:pPr>
      <w:r w:rsidRPr="00A40949">
        <w:rPr>
          <w:rFonts w:ascii="Arial" w:hAnsi="Arial" w:cs="Arial"/>
        </w:rPr>
        <w:t>The threat posed by new entrants is high due to the decreasing cost of AI infrastructure and the access of technology companies to the pharmaceutical discovery research arena. A structurally distinct competitive paradigm to traditional pharmaceutical incumbents are organisations like Google DeepMind, with its AlphaFold protein structure prediction system, and completely AI-native discovery companies. Bajwa, Munir, Nori and Williams (2021) note that AI is opening up entry opportunities to non-</w:t>
      </w:r>
      <w:r w:rsidRPr="00A40949">
        <w:rPr>
          <w:rFonts w:ascii="Arial" w:hAnsi="Arial" w:cs="Arial"/>
        </w:rPr>
        <w:lastRenderedPageBreak/>
        <w:t>traditional actors who have better computational power but lack the clinical development experience and regulatory networks developed by incumbent pharmaceutical firms over decades. The strategic reaction that Pfizer should undertake is the further development of the same capabilities as barriers to entry that technology companies can hardly imitate.</w:t>
      </w:r>
    </w:p>
    <w:p w14:paraId="5A59E258" w14:textId="0687CC99" w:rsidR="00795F5D" w:rsidRPr="00A40949" w:rsidRDefault="00795F5D" w:rsidP="00795F5D">
      <w:pPr>
        <w:jc w:val="both"/>
        <w:rPr>
          <w:rFonts w:ascii="Arial" w:hAnsi="Arial" w:cs="Arial"/>
        </w:rPr>
      </w:pPr>
      <w:r w:rsidRPr="00A40949">
        <w:rPr>
          <w:rFonts w:ascii="Arial" w:hAnsi="Arial" w:cs="Arial"/>
        </w:rPr>
        <w:t>The power of suppliers has changed significantly during the AI age. Combined, Amazon Web Services, Microsoft Azure, and Google Cloud hold a monopoly in the infrastructure of AI in pharmaceutical companies, producing dependency relationships that subject Pfizer to pricing risks and vendor lock-in. The specialist AI talent market is also highly concentrated</w:t>
      </w:r>
      <w:r w:rsidR="00BD3F18">
        <w:rPr>
          <w:rFonts w:ascii="Arial" w:hAnsi="Arial" w:cs="Arial"/>
        </w:rPr>
        <w:t xml:space="preserve">, and the </w:t>
      </w:r>
      <w:r w:rsidRPr="00A40949">
        <w:rPr>
          <w:rFonts w:ascii="Arial" w:hAnsi="Arial" w:cs="Arial"/>
        </w:rPr>
        <w:t xml:space="preserve">worldwide shortage of talent allows </w:t>
      </w:r>
      <w:r w:rsidR="00BD3F18">
        <w:rPr>
          <w:rFonts w:ascii="Arial" w:hAnsi="Arial" w:cs="Arial"/>
        </w:rPr>
        <w:t>individual</w:t>
      </w:r>
      <w:r w:rsidRPr="00A40949">
        <w:rPr>
          <w:rFonts w:ascii="Arial" w:hAnsi="Arial" w:cs="Arial"/>
        </w:rPr>
        <w:t xml:space="preserve"> researchers to have a high salary premium imposed on them. According to Niazi and Mariam (2025), pharmaceutical companies are relying more on a limited number of specialist AI vendors to perform core discovery functions, which, in the absence of strategic partnership agreements with explicit data portability terms, represents a major vulnerability in their supply chain.</w:t>
      </w:r>
    </w:p>
    <w:p w14:paraId="454D3BC9" w14:textId="07681DE9" w:rsidR="00795F5D" w:rsidRPr="00A40949" w:rsidRDefault="00795F5D" w:rsidP="00795F5D">
      <w:pPr>
        <w:jc w:val="both"/>
        <w:rPr>
          <w:rFonts w:ascii="Arial" w:hAnsi="Arial" w:cs="Arial"/>
        </w:rPr>
      </w:pPr>
      <w:r w:rsidRPr="00A40949">
        <w:rPr>
          <w:rFonts w:ascii="Arial" w:hAnsi="Arial" w:cs="Arial"/>
        </w:rPr>
        <w:t xml:space="preserve">Health technology assessment bodies and procurement agencies mediate buyer power. National health systems like NHS England and the US Department of Veterans Affairs are setting up more advanced and intricate AI governance needs, and their readiness to cover AI-aided therapeutics will rely on the quality of governance and transparency records that pharmaceutical </w:t>
      </w:r>
      <w:r w:rsidR="00BD3F18">
        <w:rPr>
          <w:rFonts w:ascii="Arial" w:hAnsi="Arial" w:cs="Arial"/>
        </w:rPr>
        <w:t>organisations</w:t>
      </w:r>
      <w:r w:rsidRPr="00A40949">
        <w:rPr>
          <w:rFonts w:ascii="Arial" w:hAnsi="Arial" w:cs="Arial"/>
        </w:rPr>
        <w:t xml:space="preserve"> submit. </w:t>
      </w:r>
      <w:proofErr w:type="spellStart"/>
      <w:r w:rsidRPr="00A40949">
        <w:rPr>
          <w:rFonts w:ascii="Arial" w:hAnsi="Arial" w:cs="Arial"/>
        </w:rPr>
        <w:t>Bouderhem</w:t>
      </w:r>
      <w:proofErr w:type="spellEnd"/>
      <w:r w:rsidRPr="00A40949">
        <w:rPr>
          <w:rFonts w:ascii="Arial" w:hAnsi="Arial" w:cs="Arial"/>
        </w:rPr>
        <w:t xml:space="preserve"> (2024) terms this a governance race where companies that invest first in provable infrastructure of AI ethics enjoy disproportionate confidence of buyers when compared to those </w:t>
      </w:r>
      <w:r w:rsidR="00BD3F18">
        <w:rPr>
          <w:rFonts w:ascii="Arial" w:hAnsi="Arial" w:cs="Arial"/>
        </w:rPr>
        <w:t>that</w:t>
      </w:r>
      <w:r w:rsidRPr="00A40949">
        <w:rPr>
          <w:rFonts w:ascii="Arial" w:hAnsi="Arial" w:cs="Arial"/>
        </w:rPr>
        <w:t xml:space="preserve"> approach governance as a post-hoc effort.</w:t>
      </w:r>
    </w:p>
    <w:p w14:paraId="3EFB647D" w14:textId="77777777" w:rsidR="00795F5D" w:rsidRPr="00A40949" w:rsidRDefault="00795F5D" w:rsidP="00795F5D">
      <w:pPr>
        <w:jc w:val="both"/>
        <w:rPr>
          <w:rFonts w:ascii="Arial" w:hAnsi="Arial" w:cs="Arial"/>
        </w:rPr>
      </w:pPr>
      <w:r w:rsidRPr="00A40949">
        <w:rPr>
          <w:rFonts w:ascii="Arial" w:hAnsi="Arial" w:cs="Arial"/>
        </w:rPr>
        <w:t>The risk of substitutes can be illustrated by the presence of open-source AI models of drug discovery, which commoditise the elements of the AI discovery value chain and diminish differentiation that companies investing in proprietary platforms can offer. Ferreira and Carneiro (2025) cite the emergence of open-source generative chemistry tools as a competitive force that has forced companies such as Pfizer to compete based on clinical execution and regulatory science sophistication and depth, but not exclusively on computational novelty.</w:t>
      </w:r>
    </w:p>
    <w:p w14:paraId="4AFCF8AF" w14:textId="0DAB4DC8" w:rsidR="00923E77" w:rsidRPr="00A40949" w:rsidRDefault="00795F5D" w:rsidP="00795F5D">
      <w:pPr>
        <w:jc w:val="both"/>
        <w:rPr>
          <w:rFonts w:ascii="Arial" w:hAnsi="Arial" w:cs="Arial"/>
        </w:rPr>
      </w:pPr>
      <w:r w:rsidRPr="00A40949">
        <w:rPr>
          <w:rFonts w:ascii="Arial" w:hAnsi="Arial" w:cs="Arial"/>
        </w:rPr>
        <w:t xml:space="preserve">There is a growing intensity in competition among the large pharmaceutical incumbents. Pfizer, Novartis, AstraZeneca, and Roche have all made very big AI bets and the distinction between them is increasingly defined by the quality of governance, the breadth of access to data and the regulatory credibility. The 2022 partnership with </w:t>
      </w:r>
      <w:proofErr w:type="spellStart"/>
      <w:r w:rsidRPr="00A40949">
        <w:rPr>
          <w:rFonts w:ascii="Arial" w:hAnsi="Arial" w:cs="Arial"/>
        </w:rPr>
        <w:lastRenderedPageBreak/>
        <w:t>CytoReason</w:t>
      </w:r>
      <w:proofErr w:type="spellEnd"/>
      <w:r w:rsidRPr="00A40949">
        <w:rPr>
          <w:rFonts w:ascii="Arial" w:hAnsi="Arial" w:cs="Arial"/>
        </w:rPr>
        <w:t>, an AI-based disease modelling and compound prioritisation effort, is another example of how Pfizer is pursuing the partnership model whereby incumbents gain AI capabilities without necessarily developing these capabilities internally (Pfizer, 2022). The strategic risk of this model is that the capabilities gained through partnerships are easy to imitate by competitors compared to proprietary systems built in an organic way.</w:t>
      </w:r>
    </w:p>
    <w:p w14:paraId="65DD2784" w14:textId="77777777" w:rsidR="00923E77" w:rsidRPr="00A40949" w:rsidRDefault="00923E77" w:rsidP="00740354">
      <w:pPr>
        <w:jc w:val="both"/>
        <w:rPr>
          <w:rFonts w:ascii="Arial" w:hAnsi="Arial" w:cs="Arial"/>
        </w:rPr>
      </w:pPr>
      <w:r w:rsidRPr="00A40949">
        <w:rPr>
          <w:rFonts w:ascii="Arial" w:hAnsi="Arial" w:cs="Arial"/>
        </w:rPr>
        <w:t>Table 1: Porter's Five Forces Assessment for Pfizer in AI-Enabled Pharmaceutical Research</w:t>
      </w:r>
    </w:p>
    <w:tbl>
      <w:tblPr>
        <w:tblStyle w:val="PlainTable1"/>
        <w:tblW w:w="0" w:type="auto"/>
        <w:tblLook w:val="04A0" w:firstRow="1" w:lastRow="0" w:firstColumn="1" w:lastColumn="0" w:noHBand="0" w:noVBand="1"/>
      </w:tblPr>
      <w:tblGrid>
        <w:gridCol w:w="1843"/>
        <w:gridCol w:w="1410"/>
        <w:gridCol w:w="2869"/>
        <w:gridCol w:w="2894"/>
      </w:tblGrid>
      <w:tr w:rsidR="00923E77" w:rsidRPr="00A40949" w14:paraId="3C8BD0E5" w14:textId="77777777" w:rsidTr="00037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1D9E7" w14:textId="77777777" w:rsidR="00923E77" w:rsidRPr="00A40949" w:rsidRDefault="00923E77" w:rsidP="00740354">
            <w:pPr>
              <w:jc w:val="both"/>
              <w:rPr>
                <w:rFonts w:ascii="Arial" w:hAnsi="Arial" w:cs="Arial"/>
              </w:rPr>
            </w:pPr>
            <w:r w:rsidRPr="00A40949">
              <w:rPr>
                <w:rFonts w:ascii="Arial" w:hAnsi="Arial" w:cs="Arial"/>
              </w:rPr>
              <w:t>Force</w:t>
            </w:r>
          </w:p>
        </w:tc>
        <w:tc>
          <w:tcPr>
            <w:tcW w:w="0" w:type="auto"/>
            <w:hideMark/>
          </w:tcPr>
          <w:p w14:paraId="295162CA"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Intensity</w:t>
            </w:r>
          </w:p>
        </w:tc>
        <w:tc>
          <w:tcPr>
            <w:tcW w:w="0" w:type="auto"/>
            <w:hideMark/>
          </w:tcPr>
          <w:p w14:paraId="32479A34"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Key Driver</w:t>
            </w:r>
          </w:p>
        </w:tc>
        <w:tc>
          <w:tcPr>
            <w:tcW w:w="0" w:type="auto"/>
            <w:hideMark/>
          </w:tcPr>
          <w:p w14:paraId="7FF386EB"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Strategic Implication for Pfizer</w:t>
            </w:r>
          </w:p>
        </w:tc>
      </w:tr>
      <w:tr w:rsidR="00923E77" w:rsidRPr="00A40949" w14:paraId="7CC50727"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9ADD7" w14:textId="77777777" w:rsidR="00923E77" w:rsidRPr="00A40949" w:rsidRDefault="00923E77" w:rsidP="00740354">
            <w:pPr>
              <w:jc w:val="both"/>
              <w:rPr>
                <w:rFonts w:ascii="Arial" w:hAnsi="Arial" w:cs="Arial"/>
              </w:rPr>
            </w:pPr>
            <w:r w:rsidRPr="00A40949">
              <w:rPr>
                <w:rFonts w:ascii="Arial" w:hAnsi="Arial" w:cs="Arial"/>
              </w:rPr>
              <w:t>Threat of New Entrants</w:t>
            </w:r>
          </w:p>
        </w:tc>
        <w:tc>
          <w:tcPr>
            <w:tcW w:w="0" w:type="auto"/>
            <w:hideMark/>
          </w:tcPr>
          <w:p w14:paraId="6BEF0A56"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High</w:t>
            </w:r>
          </w:p>
        </w:tc>
        <w:tc>
          <w:tcPr>
            <w:tcW w:w="0" w:type="auto"/>
            <w:hideMark/>
          </w:tcPr>
          <w:p w14:paraId="4C6C8166"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Technology firms with superior AI infrastructure</w:t>
            </w:r>
          </w:p>
        </w:tc>
        <w:tc>
          <w:tcPr>
            <w:tcW w:w="0" w:type="auto"/>
            <w:hideMark/>
          </w:tcPr>
          <w:p w14:paraId="79ACFF24"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Deepen clinical and regulatory expertise as durable barriers</w:t>
            </w:r>
          </w:p>
        </w:tc>
      </w:tr>
      <w:tr w:rsidR="00923E77" w:rsidRPr="00A40949" w14:paraId="4017E444"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2DB065C5" w14:textId="77777777" w:rsidR="00923E77" w:rsidRPr="00A40949" w:rsidRDefault="00923E77" w:rsidP="00740354">
            <w:pPr>
              <w:jc w:val="both"/>
              <w:rPr>
                <w:rFonts w:ascii="Arial" w:hAnsi="Arial" w:cs="Arial"/>
              </w:rPr>
            </w:pPr>
            <w:r w:rsidRPr="00A40949">
              <w:rPr>
                <w:rFonts w:ascii="Arial" w:hAnsi="Arial" w:cs="Arial"/>
              </w:rPr>
              <w:t>Supplier Power</w:t>
            </w:r>
          </w:p>
        </w:tc>
        <w:tc>
          <w:tcPr>
            <w:tcW w:w="0" w:type="auto"/>
            <w:hideMark/>
          </w:tcPr>
          <w:p w14:paraId="633D011E"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High</w:t>
            </w:r>
          </w:p>
        </w:tc>
        <w:tc>
          <w:tcPr>
            <w:tcW w:w="0" w:type="auto"/>
            <w:hideMark/>
          </w:tcPr>
          <w:p w14:paraId="3660D1D6"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Cloud infrastructure and AI talent concentration</w:t>
            </w:r>
          </w:p>
        </w:tc>
        <w:tc>
          <w:tcPr>
            <w:tcW w:w="0" w:type="auto"/>
            <w:hideMark/>
          </w:tcPr>
          <w:p w14:paraId="3B5ED4D6"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Negotiate data portability provisions in vendor contracts</w:t>
            </w:r>
          </w:p>
        </w:tc>
      </w:tr>
      <w:tr w:rsidR="00923E77" w:rsidRPr="00A40949" w14:paraId="1BFA6ABA"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9CEC54" w14:textId="77777777" w:rsidR="00923E77" w:rsidRPr="00A40949" w:rsidRDefault="00923E77" w:rsidP="00740354">
            <w:pPr>
              <w:jc w:val="both"/>
              <w:rPr>
                <w:rFonts w:ascii="Arial" w:hAnsi="Arial" w:cs="Arial"/>
              </w:rPr>
            </w:pPr>
            <w:r w:rsidRPr="00A40949">
              <w:rPr>
                <w:rFonts w:ascii="Arial" w:hAnsi="Arial" w:cs="Arial"/>
              </w:rPr>
              <w:t>Buyer Power</w:t>
            </w:r>
          </w:p>
        </w:tc>
        <w:tc>
          <w:tcPr>
            <w:tcW w:w="0" w:type="auto"/>
            <w:hideMark/>
          </w:tcPr>
          <w:p w14:paraId="7223345F"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Moderate-High</w:t>
            </w:r>
          </w:p>
        </w:tc>
        <w:tc>
          <w:tcPr>
            <w:tcW w:w="0" w:type="auto"/>
            <w:hideMark/>
          </w:tcPr>
          <w:p w14:paraId="4B9D030B"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NHS and US federal procurement AI governance demands</w:t>
            </w:r>
          </w:p>
        </w:tc>
        <w:tc>
          <w:tcPr>
            <w:tcW w:w="0" w:type="auto"/>
            <w:hideMark/>
          </w:tcPr>
          <w:p w14:paraId="618A9170"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Invest in demonstrable AI ethics to secure reimbursement access</w:t>
            </w:r>
          </w:p>
        </w:tc>
      </w:tr>
      <w:tr w:rsidR="00923E77" w:rsidRPr="00A40949" w14:paraId="144477F9"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70DD30C4" w14:textId="77777777" w:rsidR="00923E77" w:rsidRPr="00A40949" w:rsidRDefault="00923E77" w:rsidP="00740354">
            <w:pPr>
              <w:jc w:val="both"/>
              <w:rPr>
                <w:rFonts w:ascii="Arial" w:hAnsi="Arial" w:cs="Arial"/>
              </w:rPr>
            </w:pPr>
            <w:r w:rsidRPr="00A40949">
              <w:rPr>
                <w:rFonts w:ascii="Arial" w:hAnsi="Arial" w:cs="Arial"/>
              </w:rPr>
              <w:t>Threat of Substitutes</w:t>
            </w:r>
          </w:p>
        </w:tc>
        <w:tc>
          <w:tcPr>
            <w:tcW w:w="0" w:type="auto"/>
            <w:hideMark/>
          </w:tcPr>
          <w:p w14:paraId="70A4CF2E"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Moderate</w:t>
            </w:r>
          </w:p>
        </w:tc>
        <w:tc>
          <w:tcPr>
            <w:tcW w:w="0" w:type="auto"/>
            <w:hideMark/>
          </w:tcPr>
          <w:p w14:paraId="7DACFAD6"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Open-source generative chemistry platforms</w:t>
            </w:r>
          </w:p>
        </w:tc>
        <w:tc>
          <w:tcPr>
            <w:tcW w:w="0" w:type="auto"/>
            <w:hideMark/>
          </w:tcPr>
          <w:p w14:paraId="701FEFEE"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Compete on regulatory science depth, not computational novelty</w:t>
            </w:r>
          </w:p>
        </w:tc>
      </w:tr>
      <w:tr w:rsidR="00923E77" w:rsidRPr="00A40949" w14:paraId="08DE1DDF"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BB3E56" w14:textId="77777777" w:rsidR="00923E77" w:rsidRPr="00A40949" w:rsidRDefault="00923E77" w:rsidP="00740354">
            <w:pPr>
              <w:jc w:val="both"/>
              <w:rPr>
                <w:rFonts w:ascii="Arial" w:hAnsi="Arial" w:cs="Arial"/>
              </w:rPr>
            </w:pPr>
            <w:r w:rsidRPr="00A40949">
              <w:rPr>
                <w:rFonts w:ascii="Arial" w:hAnsi="Arial" w:cs="Arial"/>
              </w:rPr>
              <w:t>Competitive Rivalry</w:t>
            </w:r>
          </w:p>
        </w:tc>
        <w:tc>
          <w:tcPr>
            <w:tcW w:w="0" w:type="auto"/>
            <w:hideMark/>
          </w:tcPr>
          <w:p w14:paraId="27532988"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High</w:t>
            </w:r>
          </w:p>
        </w:tc>
        <w:tc>
          <w:tcPr>
            <w:tcW w:w="0" w:type="auto"/>
            <w:hideMark/>
          </w:tcPr>
          <w:p w14:paraId="3C6D1A67" w14:textId="136117FF"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 xml:space="preserve">Novartis, AstraZeneca, </w:t>
            </w:r>
            <w:r w:rsidR="00BD3F18">
              <w:rPr>
                <w:rFonts w:ascii="Arial" w:hAnsi="Arial" w:cs="Arial"/>
              </w:rPr>
              <w:t xml:space="preserve">and </w:t>
            </w:r>
            <w:r w:rsidRPr="00A40949">
              <w:rPr>
                <w:rFonts w:ascii="Arial" w:hAnsi="Arial" w:cs="Arial"/>
              </w:rPr>
              <w:t xml:space="preserve">Roche </w:t>
            </w:r>
            <w:r w:rsidR="00BD3F18">
              <w:rPr>
                <w:rFonts w:ascii="Arial" w:hAnsi="Arial" w:cs="Arial"/>
              </w:rPr>
              <w:t xml:space="preserve">are </w:t>
            </w:r>
            <w:r w:rsidRPr="00A40949">
              <w:rPr>
                <w:rFonts w:ascii="Arial" w:hAnsi="Arial" w:cs="Arial"/>
              </w:rPr>
              <w:t>all accelerating AI programmes</w:t>
            </w:r>
          </w:p>
        </w:tc>
        <w:tc>
          <w:tcPr>
            <w:tcW w:w="0" w:type="auto"/>
            <w:hideMark/>
          </w:tcPr>
          <w:p w14:paraId="409AACA5" w14:textId="1FD27392"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 xml:space="preserve">Governance credibility as </w:t>
            </w:r>
            <w:r w:rsidR="00BD3F18">
              <w:rPr>
                <w:rFonts w:ascii="Arial" w:hAnsi="Arial" w:cs="Arial"/>
              </w:rPr>
              <w:t xml:space="preserve">the </w:t>
            </w:r>
            <w:r w:rsidRPr="00A40949">
              <w:rPr>
                <w:rFonts w:ascii="Arial" w:hAnsi="Arial" w:cs="Arial"/>
              </w:rPr>
              <w:t>primary differentiator among peers</w:t>
            </w:r>
          </w:p>
        </w:tc>
      </w:tr>
    </w:tbl>
    <w:p w14:paraId="67C35C59" w14:textId="2FBD3AD7" w:rsidR="00923E77" w:rsidRPr="00A40949" w:rsidRDefault="00923E77" w:rsidP="00AD4190">
      <w:pPr>
        <w:pStyle w:val="Heading2"/>
        <w:rPr>
          <w:rFonts w:cs="Arial"/>
        </w:rPr>
      </w:pPr>
      <w:bookmarkStart w:id="4" w:name="_Toc228020193"/>
      <w:r w:rsidRPr="00A40949">
        <w:rPr>
          <w:rFonts w:cs="Arial"/>
        </w:rPr>
        <w:t>PESTLE Analysis: Macro-Environmental Risk in AI Adoption</w:t>
      </w:r>
      <w:bookmarkEnd w:id="4"/>
    </w:p>
    <w:p w14:paraId="03F8AB52" w14:textId="4BFD6A58" w:rsidR="00B81936" w:rsidRPr="00A40949" w:rsidRDefault="00B81936" w:rsidP="00B81936">
      <w:pPr>
        <w:jc w:val="both"/>
        <w:rPr>
          <w:rFonts w:ascii="Arial" w:hAnsi="Arial" w:cs="Arial"/>
        </w:rPr>
      </w:pPr>
      <w:r w:rsidRPr="00A40949">
        <w:rPr>
          <w:rFonts w:ascii="Arial" w:hAnsi="Arial" w:cs="Arial"/>
        </w:rPr>
        <w:t xml:space="preserve">The macro-environmental analysis that should be developed to supplement the above competitive analysis is </w:t>
      </w:r>
      <w:r w:rsidR="00BD3F18">
        <w:rPr>
          <w:rFonts w:ascii="Arial" w:hAnsi="Arial" w:cs="Arial"/>
        </w:rPr>
        <w:t>organised</w:t>
      </w:r>
      <w:r w:rsidRPr="00A40949">
        <w:rPr>
          <w:rFonts w:ascii="Arial" w:hAnsi="Arial" w:cs="Arial"/>
        </w:rPr>
        <w:t xml:space="preserve"> using the PESTLE framework, which highlights the forces of the external environment in which the AI governance strategy of Pfizer should be built.</w:t>
      </w:r>
    </w:p>
    <w:p w14:paraId="75D10BB4" w14:textId="1E0FB68C" w:rsidR="00B81936" w:rsidRPr="00A40949" w:rsidRDefault="00B81936" w:rsidP="00B81936">
      <w:pPr>
        <w:jc w:val="both"/>
        <w:rPr>
          <w:rFonts w:ascii="Arial" w:hAnsi="Arial" w:cs="Arial"/>
        </w:rPr>
      </w:pPr>
      <w:r w:rsidRPr="00A40949">
        <w:rPr>
          <w:rFonts w:ascii="Arial" w:hAnsi="Arial" w:cs="Arial"/>
        </w:rPr>
        <w:t xml:space="preserve">On the political front, AI governance has turned out to be a legislative priority in the UK and the US. The Brexit split between UK and EU regulations on AI presents a jurisdictional challenge to the European business of Pfizer, and J and colleagues (2019) see practical AI implementation in medicine as the prerequisite of interoperability standards that governments are yet to enforce. Socially, Ocana and colleagues (2025) note that AI-based early drug development provides accuracy in biomarker targeting, although the accuracy is a mirage in cases where training datasets are not representative of the demographic diversity of patient groups that the </w:t>
      </w:r>
      <w:r w:rsidRPr="00A40949">
        <w:rPr>
          <w:rFonts w:ascii="Arial" w:hAnsi="Arial" w:cs="Arial"/>
        </w:rPr>
        <w:lastRenderedPageBreak/>
        <w:t xml:space="preserve">therapy will eventually treat. Malheiro, Santos and Figueiras (2025) build </w:t>
      </w:r>
      <w:r w:rsidR="00BD3F18">
        <w:rPr>
          <w:rFonts w:ascii="Arial" w:hAnsi="Arial" w:cs="Arial"/>
        </w:rPr>
        <w:t xml:space="preserve">on the critique, observing that the pipeline can perpetuate historical health inequalities once AI implementation is undertaken without a systematic consideration of the </w:t>
      </w:r>
      <w:proofErr w:type="spellStart"/>
      <w:r w:rsidR="00BD3F18">
        <w:rPr>
          <w:rFonts w:ascii="Arial" w:hAnsi="Arial" w:cs="Arial"/>
        </w:rPr>
        <w:t>datasets'</w:t>
      </w:r>
      <w:proofErr w:type="spellEnd"/>
      <w:r w:rsidRPr="00A40949">
        <w:rPr>
          <w:rFonts w:ascii="Arial" w:hAnsi="Arial" w:cs="Arial"/>
        </w:rPr>
        <w:t xml:space="preserve"> representativeness.</w:t>
      </w:r>
    </w:p>
    <w:p w14:paraId="53909392" w14:textId="79925828" w:rsidR="00923E77" w:rsidRPr="00A40949" w:rsidRDefault="00B81936" w:rsidP="00B81936">
      <w:pPr>
        <w:jc w:val="both"/>
        <w:rPr>
          <w:rFonts w:ascii="Arial" w:hAnsi="Arial" w:cs="Arial"/>
        </w:rPr>
      </w:pPr>
      <w:r w:rsidRPr="00A40949">
        <w:rPr>
          <w:rFonts w:ascii="Arial" w:hAnsi="Arial" w:cs="Arial"/>
        </w:rPr>
        <w:t xml:space="preserve">Pfizer AI ecosystems form compounding technical dependencies and increase the impact of model failure or data contamination. Carini and Seyhan (2024) </w:t>
      </w:r>
      <w:r w:rsidR="00BD3F18">
        <w:rPr>
          <w:rFonts w:ascii="Arial" w:hAnsi="Arial" w:cs="Arial"/>
        </w:rPr>
        <w:t>recognise</w:t>
      </w:r>
      <w:r w:rsidRPr="00A40949">
        <w:rPr>
          <w:rFonts w:ascii="Arial" w:hAnsi="Arial" w:cs="Arial"/>
        </w:rPr>
        <w:t xml:space="preserve"> overconfidence in domains with sparse data as a typical failure mode of precision medicine AI, which generates predictions that are statistically consistent but clinically invalid on edge cases. In law, the 2023 guidance on AI and data protection by the ICO defines that the GDPR principles</w:t>
      </w:r>
      <w:r w:rsidR="00BD3F18">
        <w:rPr>
          <w:rFonts w:ascii="Arial" w:hAnsi="Arial" w:cs="Arial"/>
        </w:rPr>
        <w:t>, such as data minimisation, purpose limitation, and accountability,</w:t>
      </w:r>
      <w:r w:rsidRPr="00A40949">
        <w:rPr>
          <w:rFonts w:ascii="Arial" w:hAnsi="Arial" w:cs="Arial"/>
        </w:rPr>
        <w:t xml:space="preserve"> fully apply to AI systems used in health data, and that explainability requirements are challenging when using complex neural network architectures (ICO, 2023). According to Pham (2025), the most impactful legal issue with AI-mediated patient harm is the unresolved liability framework, which pharmaceutical developers of AI have to deal with. On the environmental front, the energy usage of large-scale AI model training is a new sustainability risk, and Papadopoulou and partners (2025) believe that ethical AI implementation should include environmental sustainability as a facet of the do good imperative to move beyond patient safety to environmental effects.</w:t>
      </w:r>
    </w:p>
    <w:p w14:paraId="6C7A2FD0" w14:textId="77777777" w:rsidR="00923E77" w:rsidRPr="00A40949" w:rsidRDefault="00923E77" w:rsidP="00740354">
      <w:pPr>
        <w:jc w:val="both"/>
        <w:rPr>
          <w:rFonts w:ascii="Arial" w:hAnsi="Arial" w:cs="Arial"/>
          <w:b/>
          <w:bCs/>
        </w:rPr>
      </w:pPr>
      <w:r w:rsidRPr="00A40949">
        <w:rPr>
          <w:rFonts w:ascii="Arial" w:hAnsi="Arial" w:cs="Arial"/>
          <w:b/>
          <w:bCs/>
        </w:rPr>
        <w:t>Table 2: PESTLE Analysis Summary for Pfizer AI Adoption</w:t>
      </w:r>
    </w:p>
    <w:tbl>
      <w:tblPr>
        <w:tblStyle w:val="PlainTable1"/>
        <w:tblW w:w="0" w:type="auto"/>
        <w:tblLook w:val="04A0" w:firstRow="1" w:lastRow="0" w:firstColumn="1" w:lastColumn="0" w:noHBand="0" w:noVBand="1"/>
      </w:tblPr>
      <w:tblGrid>
        <w:gridCol w:w="1883"/>
        <w:gridCol w:w="2295"/>
        <w:gridCol w:w="2709"/>
        <w:gridCol w:w="2129"/>
      </w:tblGrid>
      <w:tr w:rsidR="00923E77" w:rsidRPr="00A40949" w14:paraId="3D8EEAA5" w14:textId="77777777" w:rsidTr="00037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892E5B" w14:textId="77777777" w:rsidR="00923E77" w:rsidRPr="00A40949" w:rsidRDefault="00923E77" w:rsidP="00740354">
            <w:pPr>
              <w:jc w:val="both"/>
              <w:rPr>
                <w:rFonts w:ascii="Arial" w:hAnsi="Arial" w:cs="Arial"/>
              </w:rPr>
            </w:pPr>
            <w:r w:rsidRPr="00A40949">
              <w:rPr>
                <w:rFonts w:ascii="Arial" w:hAnsi="Arial" w:cs="Arial"/>
              </w:rPr>
              <w:t>Dimension</w:t>
            </w:r>
          </w:p>
        </w:tc>
        <w:tc>
          <w:tcPr>
            <w:tcW w:w="0" w:type="auto"/>
            <w:hideMark/>
          </w:tcPr>
          <w:p w14:paraId="77C43332"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Key Opportunity</w:t>
            </w:r>
          </w:p>
        </w:tc>
        <w:tc>
          <w:tcPr>
            <w:tcW w:w="0" w:type="auto"/>
            <w:hideMark/>
          </w:tcPr>
          <w:p w14:paraId="3CECF2B6"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Primary Risk</w:t>
            </w:r>
          </w:p>
        </w:tc>
        <w:tc>
          <w:tcPr>
            <w:tcW w:w="0" w:type="auto"/>
            <w:hideMark/>
          </w:tcPr>
          <w:p w14:paraId="6927F92C"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Governance Priority</w:t>
            </w:r>
          </w:p>
        </w:tc>
      </w:tr>
      <w:tr w:rsidR="00923E77" w:rsidRPr="00A40949" w14:paraId="2EF6CE85"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CC97BB" w14:textId="77777777" w:rsidR="00923E77" w:rsidRPr="00A40949" w:rsidRDefault="00923E77" w:rsidP="00740354">
            <w:pPr>
              <w:jc w:val="both"/>
              <w:rPr>
                <w:rFonts w:ascii="Arial" w:hAnsi="Arial" w:cs="Arial"/>
              </w:rPr>
            </w:pPr>
            <w:r w:rsidRPr="00A40949">
              <w:rPr>
                <w:rFonts w:ascii="Arial" w:hAnsi="Arial" w:cs="Arial"/>
              </w:rPr>
              <w:t>Political</w:t>
            </w:r>
          </w:p>
        </w:tc>
        <w:tc>
          <w:tcPr>
            <w:tcW w:w="0" w:type="auto"/>
            <w:hideMark/>
          </w:tcPr>
          <w:p w14:paraId="79E5A7F6"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MHRA autonomy to create innovation-friendly AI regulation</w:t>
            </w:r>
          </w:p>
        </w:tc>
        <w:tc>
          <w:tcPr>
            <w:tcW w:w="0" w:type="auto"/>
            <w:hideMark/>
          </w:tcPr>
          <w:p w14:paraId="7A69900F" w14:textId="778F2C51"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 xml:space="preserve">Regulatory divergence between </w:t>
            </w:r>
            <w:r w:rsidR="00BD3F18">
              <w:rPr>
                <w:rFonts w:ascii="Arial" w:hAnsi="Arial" w:cs="Arial"/>
              </w:rPr>
              <w:t xml:space="preserve">the </w:t>
            </w:r>
            <w:r w:rsidRPr="00A40949">
              <w:rPr>
                <w:rFonts w:ascii="Arial" w:hAnsi="Arial" w:cs="Arial"/>
              </w:rPr>
              <w:t xml:space="preserve">UK, </w:t>
            </w:r>
            <w:r w:rsidR="00BD3F18">
              <w:rPr>
                <w:rFonts w:ascii="Arial" w:hAnsi="Arial" w:cs="Arial"/>
              </w:rPr>
              <w:t xml:space="preserve">the </w:t>
            </w:r>
            <w:r w:rsidRPr="00A40949">
              <w:rPr>
                <w:rFonts w:ascii="Arial" w:hAnsi="Arial" w:cs="Arial"/>
              </w:rPr>
              <w:t xml:space="preserve">US, and </w:t>
            </w:r>
            <w:r w:rsidR="00BD3F18">
              <w:rPr>
                <w:rFonts w:ascii="Arial" w:hAnsi="Arial" w:cs="Arial"/>
              </w:rPr>
              <w:t xml:space="preserve">the </w:t>
            </w:r>
            <w:r w:rsidRPr="00A40949">
              <w:rPr>
                <w:rFonts w:ascii="Arial" w:hAnsi="Arial" w:cs="Arial"/>
              </w:rPr>
              <w:t>EU</w:t>
            </w:r>
          </w:p>
        </w:tc>
        <w:tc>
          <w:tcPr>
            <w:tcW w:w="0" w:type="auto"/>
            <w:hideMark/>
          </w:tcPr>
          <w:p w14:paraId="3EC88DDB"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Proactive agency engagement</w:t>
            </w:r>
          </w:p>
        </w:tc>
      </w:tr>
      <w:tr w:rsidR="00923E77" w:rsidRPr="00A40949" w14:paraId="3657FEC1"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4D5D947D" w14:textId="77777777" w:rsidR="00923E77" w:rsidRPr="00A40949" w:rsidRDefault="00923E77" w:rsidP="00740354">
            <w:pPr>
              <w:jc w:val="both"/>
              <w:rPr>
                <w:rFonts w:ascii="Arial" w:hAnsi="Arial" w:cs="Arial"/>
              </w:rPr>
            </w:pPr>
            <w:r w:rsidRPr="00A40949">
              <w:rPr>
                <w:rFonts w:ascii="Arial" w:hAnsi="Arial" w:cs="Arial"/>
              </w:rPr>
              <w:t>Economic</w:t>
            </w:r>
          </w:p>
        </w:tc>
        <w:tc>
          <w:tcPr>
            <w:tcW w:w="0" w:type="auto"/>
            <w:hideMark/>
          </w:tcPr>
          <w:p w14:paraId="1A1666E4"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AI reduces pipeline attrition rates exceeding 90%</w:t>
            </w:r>
          </w:p>
        </w:tc>
        <w:tc>
          <w:tcPr>
            <w:tcW w:w="0" w:type="auto"/>
            <w:hideMark/>
          </w:tcPr>
          <w:p w14:paraId="6875E662" w14:textId="0B3886AE"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 xml:space="preserve">Higher cost of capital under </w:t>
            </w:r>
            <w:r w:rsidR="00BD3F18">
              <w:rPr>
                <w:rFonts w:ascii="Arial" w:hAnsi="Arial" w:cs="Arial"/>
              </w:rPr>
              <w:t xml:space="preserve">an </w:t>
            </w:r>
            <w:r w:rsidRPr="00A40949">
              <w:rPr>
                <w:rFonts w:ascii="Arial" w:hAnsi="Arial" w:cs="Arial"/>
              </w:rPr>
              <w:t>elevated interest rate environment</w:t>
            </w:r>
          </w:p>
        </w:tc>
        <w:tc>
          <w:tcPr>
            <w:tcW w:w="0" w:type="auto"/>
            <w:hideMark/>
          </w:tcPr>
          <w:p w14:paraId="0E14283A"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Phased, optionality-preserving capital deployment</w:t>
            </w:r>
          </w:p>
        </w:tc>
      </w:tr>
      <w:tr w:rsidR="00923E77" w:rsidRPr="00A40949" w14:paraId="4AB244E1"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5091A" w14:textId="77777777" w:rsidR="00923E77" w:rsidRPr="00A40949" w:rsidRDefault="00923E77" w:rsidP="00740354">
            <w:pPr>
              <w:jc w:val="both"/>
              <w:rPr>
                <w:rFonts w:ascii="Arial" w:hAnsi="Arial" w:cs="Arial"/>
              </w:rPr>
            </w:pPr>
            <w:r w:rsidRPr="00A40949">
              <w:rPr>
                <w:rFonts w:ascii="Arial" w:hAnsi="Arial" w:cs="Arial"/>
              </w:rPr>
              <w:t>Social</w:t>
            </w:r>
          </w:p>
        </w:tc>
        <w:tc>
          <w:tcPr>
            <w:tcW w:w="0" w:type="auto"/>
            <w:hideMark/>
          </w:tcPr>
          <w:p w14:paraId="4FCB263A"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Precision biomarker targeting improves therapeutic outcomes</w:t>
            </w:r>
          </w:p>
        </w:tc>
        <w:tc>
          <w:tcPr>
            <w:tcW w:w="0" w:type="auto"/>
            <w:hideMark/>
          </w:tcPr>
          <w:p w14:paraId="3F865B9B"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Underrepresented populations in training data entrench health inequity</w:t>
            </w:r>
          </w:p>
        </w:tc>
        <w:tc>
          <w:tcPr>
            <w:tcW w:w="0" w:type="auto"/>
            <w:hideMark/>
          </w:tcPr>
          <w:p w14:paraId="20752FAA"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Mandatory dataset diversity audits</w:t>
            </w:r>
          </w:p>
        </w:tc>
      </w:tr>
      <w:tr w:rsidR="00923E77" w:rsidRPr="00A40949" w14:paraId="5919B0C0"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34094774" w14:textId="77777777" w:rsidR="00923E77" w:rsidRPr="00A40949" w:rsidRDefault="00923E77" w:rsidP="00740354">
            <w:pPr>
              <w:jc w:val="both"/>
              <w:rPr>
                <w:rFonts w:ascii="Arial" w:hAnsi="Arial" w:cs="Arial"/>
              </w:rPr>
            </w:pPr>
            <w:r w:rsidRPr="00A40949">
              <w:rPr>
                <w:rFonts w:ascii="Arial" w:hAnsi="Arial" w:cs="Arial"/>
              </w:rPr>
              <w:t>Technological</w:t>
            </w:r>
          </w:p>
        </w:tc>
        <w:tc>
          <w:tcPr>
            <w:tcW w:w="0" w:type="auto"/>
            <w:hideMark/>
          </w:tcPr>
          <w:p w14:paraId="6306ED34" w14:textId="39FDC2FA"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 xml:space="preserve">AI integrates across </w:t>
            </w:r>
            <w:r w:rsidR="00BD3F18">
              <w:rPr>
                <w:rFonts w:ascii="Arial" w:hAnsi="Arial" w:cs="Arial"/>
              </w:rPr>
              <w:t xml:space="preserve">the </w:t>
            </w:r>
            <w:r w:rsidRPr="00A40949">
              <w:rPr>
                <w:rFonts w:ascii="Arial" w:hAnsi="Arial" w:cs="Arial"/>
              </w:rPr>
              <w:t>full discovery-to-trial pipeline</w:t>
            </w:r>
          </w:p>
        </w:tc>
        <w:tc>
          <w:tcPr>
            <w:tcW w:w="0" w:type="auto"/>
            <w:hideMark/>
          </w:tcPr>
          <w:p w14:paraId="1BC6C959" w14:textId="64EF7910"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 xml:space="preserve">Compounding technical dependencies </w:t>
            </w:r>
            <w:r w:rsidR="00BD3F18">
              <w:rPr>
                <w:rFonts w:ascii="Arial" w:hAnsi="Arial" w:cs="Arial"/>
              </w:rPr>
              <w:t>amplifies</w:t>
            </w:r>
            <w:r w:rsidRPr="00A40949">
              <w:rPr>
                <w:rFonts w:ascii="Arial" w:hAnsi="Arial" w:cs="Arial"/>
              </w:rPr>
              <w:t xml:space="preserve"> model failure risk</w:t>
            </w:r>
          </w:p>
        </w:tc>
        <w:tc>
          <w:tcPr>
            <w:tcW w:w="0" w:type="auto"/>
            <w:hideMark/>
          </w:tcPr>
          <w:p w14:paraId="34270C90"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Embedded performance monitoring infrastructure</w:t>
            </w:r>
          </w:p>
        </w:tc>
      </w:tr>
      <w:tr w:rsidR="00923E77" w:rsidRPr="00A40949" w14:paraId="38C825D4"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9E97AE" w14:textId="77777777" w:rsidR="00923E77" w:rsidRPr="00A40949" w:rsidRDefault="00923E77" w:rsidP="00740354">
            <w:pPr>
              <w:jc w:val="both"/>
              <w:rPr>
                <w:rFonts w:ascii="Arial" w:hAnsi="Arial" w:cs="Arial"/>
              </w:rPr>
            </w:pPr>
            <w:r w:rsidRPr="00A40949">
              <w:rPr>
                <w:rFonts w:ascii="Arial" w:hAnsi="Arial" w:cs="Arial"/>
              </w:rPr>
              <w:lastRenderedPageBreak/>
              <w:t>Legal</w:t>
            </w:r>
          </w:p>
        </w:tc>
        <w:tc>
          <w:tcPr>
            <w:tcW w:w="0" w:type="auto"/>
            <w:hideMark/>
          </w:tcPr>
          <w:p w14:paraId="642DD78F"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Proactive ICO and FDA engagement demonstrates governance maturity</w:t>
            </w:r>
          </w:p>
        </w:tc>
        <w:tc>
          <w:tcPr>
            <w:tcW w:w="0" w:type="auto"/>
            <w:hideMark/>
          </w:tcPr>
          <w:p w14:paraId="4DB371A0"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Unresolved AI liability frameworks for patient harm</w:t>
            </w:r>
          </w:p>
        </w:tc>
        <w:tc>
          <w:tcPr>
            <w:tcW w:w="0" w:type="auto"/>
            <w:hideMark/>
          </w:tcPr>
          <w:p w14:paraId="781AD772"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AI Governance Council with legal representation</w:t>
            </w:r>
          </w:p>
        </w:tc>
      </w:tr>
      <w:tr w:rsidR="00923E77" w:rsidRPr="00A40949" w14:paraId="457107E7"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716001C4" w14:textId="77777777" w:rsidR="00923E77" w:rsidRPr="00A40949" w:rsidRDefault="00923E77" w:rsidP="00740354">
            <w:pPr>
              <w:jc w:val="both"/>
              <w:rPr>
                <w:rFonts w:ascii="Arial" w:hAnsi="Arial" w:cs="Arial"/>
              </w:rPr>
            </w:pPr>
            <w:r w:rsidRPr="00A40949">
              <w:rPr>
                <w:rFonts w:ascii="Arial" w:hAnsi="Arial" w:cs="Arial"/>
              </w:rPr>
              <w:t>Environmental</w:t>
            </w:r>
          </w:p>
        </w:tc>
        <w:tc>
          <w:tcPr>
            <w:tcW w:w="0" w:type="auto"/>
            <w:hideMark/>
          </w:tcPr>
          <w:p w14:paraId="0B30AE8C"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Efficiency gains reduce laboratory resource consumption</w:t>
            </w:r>
          </w:p>
        </w:tc>
        <w:tc>
          <w:tcPr>
            <w:tcW w:w="0" w:type="auto"/>
            <w:hideMark/>
          </w:tcPr>
          <w:p w14:paraId="65A4EB87" w14:textId="671D1C72"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 xml:space="preserve">AI </w:t>
            </w:r>
            <w:r w:rsidR="00BD3F18">
              <w:rPr>
                <w:rFonts w:ascii="Arial" w:hAnsi="Arial" w:cs="Arial"/>
              </w:rPr>
              <w:t>computing</w:t>
            </w:r>
            <w:r w:rsidRPr="00A40949">
              <w:rPr>
                <w:rFonts w:ascii="Arial" w:hAnsi="Arial" w:cs="Arial"/>
              </w:rPr>
              <w:t xml:space="preserve"> energy increases carbon disclosure obligations</w:t>
            </w:r>
          </w:p>
        </w:tc>
        <w:tc>
          <w:tcPr>
            <w:tcW w:w="0" w:type="auto"/>
            <w:hideMark/>
          </w:tcPr>
          <w:p w14:paraId="02EC7C81"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Sustainable AI infrastructure procurement policy</w:t>
            </w:r>
          </w:p>
        </w:tc>
      </w:tr>
    </w:tbl>
    <w:p w14:paraId="35E22D56" w14:textId="20BC9278" w:rsidR="00923E77" w:rsidRPr="00A40949" w:rsidRDefault="00923E77" w:rsidP="00AD4190">
      <w:pPr>
        <w:pStyle w:val="Heading2"/>
        <w:rPr>
          <w:rFonts w:cs="Arial"/>
        </w:rPr>
      </w:pPr>
      <w:bookmarkStart w:id="5" w:name="_Toc228020194"/>
      <w:r w:rsidRPr="00A40949">
        <w:rPr>
          <w:rFonts w:cs="Arial"/>
        </w:rPr>
        <w:t>Macroeconomic Context: Monetary Policy, Inflation, and AI Capital Allocation</w:t>
      </w:r>
      <w:bookmarkEnd w:id="5"/>
    </w:p>
    <w:p w14:paraId="72D5A689" w14:textId="77777777" w:rsidR="00013902" w:rsidRPr="00A40949" w:rsidRDefault="00013902" w:rsidP="00013902">
      <w:pPr>
        <w:jc w:val="both"/>
        <w:rPr>
          <w:rFonts w:ascii="Arial" w:hAnsi="Arial" w:cs="Arial"/>
        </w:rPr>
      </w:pPr>
      <w:r w:rsidRPr="00A40949">
        <w:rPr>
          <w:rFonts w:ascii="Arial" w:hAnsi="Arial" w:cs="Arial"/>
        </w:rPr>
        <w:t>The main gap in the pharmaceutical AI governance evaluations is the lack of consideration of macroeconomic conditions as a factor of AI investment viability and risk exposure. The macroeconomic conditions that Pfizer will have to deal with in 2025 are marked by the high real interest rates, a constant rise in input costs, and fluctuation in exchange rates in its key operating currencies, all with direct implications on the capital allocation decisions that support its AI strategy.</w:t>
      </w:r>
    </w:p>
    <w:p w14:paraId="0962CC62" w14:textId="2282083B" w:rsidR="00013902" w:rsidRPr="00A40949" w:rsidRDefault="00013902" w:rsidP="00013902">
      <w:pPr>
        <w:jc w:val="both"/>
        <w:rPr>
          <w:rFonts w:ascii="Arial" w:hAnsi="Arial" w:cs="Arial"/>
        </w:rPr>
      </w:pPr>
      <w:r w:rsidRPr="00A40949">
        <w:rPr>
          <w:rFonts w:ascii="Arial" w:hAnsi="Arial" w:cs="Arial"/>
        </w:rPr>
        <w:t xml:space="preserve">After the cycles of aggressive monetary policy tightening of the Bank of England and the US Federal Reserve between 2022 and 2024, real interest rates are structurally higher than the near-zero setting </w:t>
      </w:r>
      <w:r w:rsidR="00BD3F18">
        <w:rPr>
          <w:rFonts w:ascii="Arial" w:hAnsi="Arial" w:cs="Arial"/>
        </w:rPr>
        <w:t>to which most pharmaceutical AI investment plans were initially tuned</w:t>
      </w:r>
      <w:r w:rsidRPr="00A40949">
        <w:rPr>
          <w:rFonts w:ascii="Arial" w:hAnsi="Arial" w:cs="Arial"/>
        </w:rPr>
        <w:t xml:space="preserve">. According to the IMF April 2025 World Economic Outlook, the global economy will grow by 2.8 </w:t>
      </w:r>
      <w:r w:rsidR="00BD3F18">
        <w:rPr>
          <w:rFonts w:ascii="Arial" w:hAnsi="Arial" w:cs="Arial"/>
        </w:rPr>
        <w:t>per cent</w:t>
      </w:r>
      <w:r w:rsidRPr="00A40949">
        <w:rPr>
          <w:rFonts w:ascii="Arial" w:hAnsi="Arial" w:cs="Arial"/>
        </w:rPr>
        <w:t xml:space="preserve"> in 2025, lower than the trend before the pandemic, and the advanced economy central banks will continue to have a restrictive policy stance due to the continued services inflation. In the case of Pfizer, it will </w:t>
      </w:r>
      <w:proofErr w:type="spellStart"/>
      <w:r w:rsidRPr="00A40949">
        <w:rPr>
          <w:rFonts w:ascii="Arial" w:hAnsi="Arial" w:cs="Arial"/>
        </w:rPr>
        <w:t>imply</w:t>
      </w:r>
      <w:proofErr w:type="spellEnd"/>
      <w:r w:rsidRPr="00A40949">
        <w:rPr>
          <w:rFonts w:ascii="Arial" w:hAnsi="Arial" w:cs="Arial"/>
        </w:rPr>
        <w:t xml:space="preserve"> an increased cost of capital on long-horizon AI infrastructure investment. Those projects that were deemed financially viable using the assumptions of the discount rate in the year 2020 will need to be reconsidered in the present circumstances</w:t>
      </w:r>
      <w:r w:rsidR="00BD3F18">
        <w:rPr>
          <w:rFonts w:ascii="Arial" w:hAnsi="Arial" w:cs="Arial"/>
        </w:rPr>
        <w:t>,</w:t>
      </w:r>
      <w:r w:rsidRPr="00A40949">
        <w:rPr>
          <w:rFonts w:ascii="Arial" w:hAnsi="Arial" w:cs="Arial"/>
        </w:rPr>
        <w:t xml:space="preserve"> and the opportunity cost of capital invested in AI governance infrastructure will have to be compared to the competing demands of Pfizer in pipeline development and manufacturing capacity.</w:t>
      </w:r>
    </w:p>
    <w:p w14:paraId="2E4793C2" w14:textId="5A8261D6" w:rsidR="00013902" w:rsidRPr="00A40949" w:rsidRDefault="00013902" w:rsidP="00013902">
      <w:pPr>
        <w:jc w:val="both"/>
        <w:rPr>
          <w:rFonts w:ascii="Arial" w:hAnsi="Arial" w:cs="Arial"/>
        </w:rPr>
      </w:pPr>
      <w:r w:rsidRPr="00A40949">
        <w:rPr>
          <w:rFonts w:ascii="Arial" w:hAnsi="Arial" w:cs="Arial"/>
        </w:rPr>
        <w:t>The second macroeconomic risk is exchange-rate volatility. Pfizer is reported in USD, but has high revenues in GBP, EUR, JPY, and various emerging market currencies. According to the 2024 Global Economic Prospects by the World Bank, the structural properties of the international monetary system that will continue to exist in the medium term are currency fragmentation and dollar dominance. The actual amount of AI regulatory compliance infrastructure in the UK</w:t>
      </w:r>
      <w:r w:rsidR="00BD3F18">
        <w:rPr>
          <w:rFonts w:ascii="Arial" w:hAnsi="Arial" w:cs="Arial"/>
        </w:rPr>
        <w:t>, when converted to USD,</w:t>
      </w:r>
      <w:r w:rsidRPr="00A40949">
        <w:rPr>
          <w:rFonts w:ascii="Arial" w:hAnsi="Arial" w:cs="Arial"/>
        </w:rPr>
        <w:t xml:space="preserve"> is vulnerable to GBP/USD fluctuations. The real cost of MHRA compliance investments </w:t>
      </w:r>
      <w:r w:rsidRPr="00A40949">
        <w:rPr>
          <w:rFonts w:ascii="Arial" w:hAnsi="Arial" w:cs="Arial"/>
        </w:rPr>
        <w:lastRenderedPageBreak/>
        <w:t xml:space="preserve">grows by an equivalent percentage in response to a ten </w:t>
      </w:r>
      <w:r w:rsidR="00BD3F18">
        <w:rPr>
          <w:rFonts w:ascii="Arial" w:hAnsi="Arial" w:cs="Arial"/>
        </w:rPr>
        <w:t>per cent</w:t>
      </w:r>
      <w:r w:rsidRPr="00A40949">
        <w:rPr>
          <w:rFonts w:ascii="Arial" w:hAnsi="Arial" w:cs="Arial"/>
        </w:rPr>
        <w:t xml:space="preserve"> depreciation of sterling, which is not unreasonable given the current account deficit the UK has run. The AI investment planning at Pfizer should then consider the exchange-rate sensitivity analysis, which should be implemented to stress-test every stage of the implementation plan with </w:t>
      </w:r>
      <w:r w:rsidR="00BD3F18">
        <w:rPr>
          <w:rFonts w:ascii="Arial" w:hAnsi="Arial" w:cs="Arial"/>
        </w:rPr>
        <w:t>regard</w:t>
      </w:r>
      <w:r w:rsidRPr="00A40949">
        <w:rPr>
          <w:rFonts w:ascii="Arial" w:hAnsi="Arial" w:cs="Arial"/>
        </w:rPr>
        <w:t xml:space="preserve"> to plausible currency scenarios.</w:t>
      </w:r>
    </w:p>
    <w:p w14:paraId="3275CC96" w14:textId="5B7F708D" w:rsidR="00923E77" w:rsidRPr="00A40949" w:rsidRDefault="00013902" w:rsidP="00013902">
      <w:pPr>
        <w:jc w:val="both"/>
        <w:rPr>
          <w:rFonts w:ascii="Arial" w:hAnsi="Arial" w:cs="Arial"/>
        </w:rPr>
      </w:pPr>
      <w:r w:rsidRPr="00A40949">
        <w:rPr>
          <w:rFonts w:ascii="Arial" w:hAnsi="Arial" w:cs="Arial"/>
        </w:rPr>
        <w:t>A third macroeconomic aspect is technology trade policy. The BIS has reported increasing bifurcation of technology supply chains around geopolitical fault lines, and US export restrictions on advanced semiconductor technologies used in AI compute infrastructure give rise to supply chain risk, which was not foreseen when Pfizer was making its initial investments in AI platforms. The AI infrastructure procurement policy must clearly consider technology provenance and supply chain resilience, such that no important capability relies on hardware that could be unilaterally exported by any jurisdiction. The macroeconomic analysis warrants a slower and more gradual approach to the deployment of AI capital than the scientific opportunity analysis would suggest alone, and the implementation plan in Section 3 is limited by this fact to the use of a gradual investment for maintaining optionality in the face of macroeconomic uncertainty.</w:t>
      </w:r>
    </w:p>
    <w:p w14:paraId="6C36641E" w14:textId="374B7E98" w:rsidR="00923E77" w:rsidRPr="00A40949" w:rsidRDefault="00923E77" w:rsidP="00AD4190">
      <w:pPr>
        <w:pStyle w:val="Heading2"/>
        <w:rPr>
          <w:rFonts w:cs="Arial"/>
        </w:rPr>
      </w:pPr>
      <w:bookmarkStart w:id="6" w:name="_Toc228020195"/>
      <w:r w:rsidRPr="00A40949">
        <w:rPr>
          <w:rFonts w:cs="Arial"/>
        </w:rPr>
        <w:t>AI in Drug Discovery and Clinical Trial Development</w:t>
      </w:r>
      <w:bookmarkEnd w:id="6"/>
    </w:p>
    <w:p w14:paraId="3E46F67E" w14:textId="48101CB2" w:rsidR="00A85DC8" w:rsidRPr="00A40949" w:rsidRDefault="00A85DC8" w:rsidP="00A85DC8">
      <w:pPr>
        <w:jc w:val="both"/>
        <w:rPr>
          <w:rFonts w:ascii="Arial" w:hAnsi="Arial" w:cs="Arial"/>
        </w:rPr>
      </w:pPr>
      <w:r w:rsidRPr="00A40949">
        <w:rPr>
          <w:rFonts w:ascii="Arial" w:hAnsi="Arial" w:cs="Arial"/>
        </w:rPr>
        <w:t>AI implementation in the pharmaceutical R&amp;D continuum is at the exploratory level and is operational at Pfizer-sized companies. Its uses are currently found in identifying targets with multi-omics data integration, optimisation of lead molecules with generative chemistry systems, patient stratification to design clinical cohorts, and real-time signal detection in post-market pharmacovigilance systems.</w:t>
      </w:r>
    </w:p>
    <w:p w14:paraId="436B1D36" w14:textId="3107B961" w:rsidR="00A85DC8" w:rsidRPr="00A40949" w:rsidRDefault="00A85DC8" w:rsidP="00A85DC8">
      <w:pPr>
        <w:jc w:val="both"/>
        <w:rPr>
          <w:rFonts w:ascii="Arial" w:hAnsi="Arial" w:cs="Arial"/>
        </w:rPr>
      </w:pPr>
      <w:r w:rsidRPr="00A40949">
        <w:rPr>
          <w:rFonts w:ascii="Arial" w:hAnsi="Arial" w:cs="Arial"/>
        </w:rPr>
        <w:t xml:space="preserve">In the context of clinical trials, Askin, Burkhalter, </w:t>
      </w:r>
      <w:proofErr w:type="spellStart"/>
      <w:r w:rsidRPr="00A40949">
        <w:rPr>
          <w:rFonts w:ascii="Arial" w:hAnsi="Arial" w:cs="Arial"/>
        </w:rPr>
        <w:t>Calado</w:t>
      </w:r>
      <w:proofErr w:type="spellEnd"/>
      <w:r w:rsidRPr="00A40949">
        <w:rPr>
          <w:rFonts w:ascii="Arial" w:hAnsi="Arial" w:cs="Arial"/>
        </w:rPr>
        <w:t xml:space="preserve"> and El </w:t>
      </w:r>
      <w:proofErr w:type="spellStart"/>
      <w:r w:rsidRPr="00A40949">
        <w:rPr>
          <w:rFonts w:ascii="Arial" w:hAnsi="Arial" w:cs="Arial"/>
        </w:rPr>
        <w:t>Dakrouni</w:t>
      </w:r>
      <w:proofErr w:type="spellEnd"/>
      <w:r w:rsidRPr="00A40949">
        <w:rPr>
          <w:rFonts w:ascii="Arial" w:hAnsi="Arial" w:cs="Arial"/>
        </w:rPr>
        <w:t xml:space="preserve"> (2023) maintain that AI can dramatically shorten patient recruitment timelines by scaling and matching trial eligibility criteria to electronic health records, but the quality of these matching algorithms relies on the completeness and standardisation of the underlying health record systems, which differ significantly across national healthcare infrastructures. Cruz Rivera and co-authors (2020) discuss methodological rigour and state that with the introduction of AI into clinical trial protocols, the introduction of the SPIRIT-AI extension was required to report interventions with adequate transparency to allow scientific reproducibility and regulatory scrutiny. Liu and colleagues (2020) applied this reasoning to the publication phase with the CONSORT-AI framework, </w:t>
      </w:r>
      <w:r w:rsidRPr="00A40949">
        <w:rPr>
          <w:rFonts w:ascii="Arial" w:hAnsi="Arial" w:cs="Arial"/>
        </w:rPr>
        <w:lastRenderedPageBreak/>
        <w:t>which defined the minimum standards of disclosing the characteristics of the AI model, provenance of training data and performance indicators.</w:t>
      </w:r>
    </w:p>
    <w:p w14:paraId="42F85FB5" w14:textId="09F7D1B0" w:rsidR="00923E77" w:rsidRPr="00A40949" w:rsidRDefault="00A85DC8" w:rsidP="00A85DC8">
      <w:pPr>
        <w:jc w:val="both"/>
        <w:rPr>
          <w:rFonts w:ascii="Arial" w:hAnsi="Arial" w:cs="Arial"/>
        </w:rPr>
      </w:pPr>
      <w:r w:rsidRPr="00A40949">
        <w:rPr>
          <w:rFonts w:ascii="Arial" w:hAnsi="Arial" w:cs="Arial"/>
        </w:rPr>
        <w:t xml:space="preserve">Vasey </w:t>
      </w:r>
      <w:r w:rsidR="005C6278">
        <w:rPr>
          <w:rFonts w:ascii="Arial" w:hAnsi="Arial" w:cs="Arial"/>
        </w:rPr>
        <w:t>et al.</w:t>
      </w:r>
      <w:r w:rsidRPr="00A40949">
        <w:rPr>
          <w:rFonts w:ascii="Arial" w:hAnsi="Arial" w:cs="Arial"/>
        </w:rPr>
        <w:t xml:space="preserve"> (2022) took the landscape to a more specific level with DECIDE-AI, which covers the initial clinical assessment of AI-based decision support systems and highlights the significance of future safety surveillance prior to mass implementation. As shown by Sedano and co-authors (2025), AI can have a significant impact on endpoint sensitivity and responder identification in clinical trials, but it requires model development and trial design to be combined at the outset, as opposed to being implemented post-factum. Moons and colleagues (2025) introduce PROBAST + AI as a systematic method of testing quality and risk of bias in prediction models, which the Pfizer clinical AI governance role should use as a normative in their practice. </w:t>
      </w:r>
      <w:proofErr w:type="spellStart"/>
      <w:r w:rsidRPr="00A40949">
        <w:rPr>
          <w:rFonts w:ascii="Arial" w:hAnsi="Arial" w:cs="Arial"/>
        </w:rPr>
        <w:t>Mirakhori</w:t>
      </w:r>
      <w:proofErr w:type="spellEnd"/>
      <w:r w:rsidRPr="00A40949">
        <w:rPr>
          <w:rFonts w:ascii="Arial" w:hAnsi="Arial" w:cs="Arial"/>
        </w:rPr>
        <w:t xml:space="preserve"> and </w:t>
      </w:r>
      <w:proofErr w:type="spellStart"/>
      <w:r w:rsidRPr="00A40949">
        <w:rPr>
          <w:rFonts w:ascii="Arial" w:hAnsi="Arial" w:cs="Arial"/>
        </w:rPr>
        <w:t>Niazi</w:t>
      </w:r>
      <w:proofErr w:type="spellEnd"/>
      <w:r w:rsidRPr="00A40949">
        <w:rPr>
          <w:rFonts w:ascii="Arial" w:hAnsi="Arial" w:cs="Arial"/>
        </w:rPr>
        <w:t xml:space="preserve"> (2025) highlight a structural mismatch between the rate of AI innovation and the ability of regulatory science to offer consistent evaluation frameworks</w:t>
      </w:r>
      <w:r w:rsidR="00BD3F18">
        <w:rPr>
          <w:rFonts w:ascii="Arial" w:hAnsi="Arial" w:cs="Arial"/>
        </w:rPr>
        <w:t>, as a result of the current regulatory review architecture, which</w:t>
      </w:r>
      <w:r w:rsidRPr="00A40949">
        <w:rPr>
          <w:rFonts w:ascii="Arial" w:hAnsi="Arial" w:cs="Arial"/>
        </w:rPr>
        <w:t xml:space="preserve"> was not built with the consideration of AI-generated evidence. Vora </w:t>
      </w:r>
      <w:r w:rsidR="005C6278">
        <w:rPr>
          <w:rFonts w:ascii="Arial" w:hAnsi="Arial" w:cs="Arial"/>
        </w:rPr>
        <w:t>et al.</w:t>
      </w:r>
      <w:r w:rsidRPr="00A40949">
        <w:rPr>
          <w:rFonts w:ascii="Arial" w:hAnsi="Arial" w:cs="Arial"/>
        </w:rPr>
        <w:t xml:space="preserve"> (2023) capture AI uses along the spectrum of pharmaceutical technologies, making AI a generative technology that can suggest new formulation hypotheses not available to traditional research design. The ethical minimum of AI implementation suggested by Papadopoulou and others (2025)</w:t>
      </w:r>
      <w:r w:rsidR="00BD3F18">
        <w:rPr>
          <w:rFonts w:ascii="Arial" w:hAnsi="Arial" w:cs="Arial"/>
        </w:rPr>
        <w:t xml:space="preserve"> is </w:t>
      </w:r>
      <w:r w:rsidRPr="00A40949">
        <w:rPr>
          <w:rFonts w:ascii="Arial" w:hAnsi="Arial" w:cs="Arial"/>
        </w:rPr>
        <w:t>a positive obligation of beneficence, in which organisations capable of enhancing health outcomes have a positive moral duty to do so fairly by using the capacity to do so.</w:t>
      </w:r>
    </w:p>
    <w:p w14:paraId="4D7C8030" w14:textId="25AC6364" w:rsidR="00923E77" w:rsidRPr="00A40949" w:rsidRDefault="00923E77" w:rsidP="00AD4190">
      <w:pPr>
        <w:pStyle w:val="Heading2"/>
        <w:rPr>
          <w:rFonts w:cs="Arial"/>
        </w:rPr>
      </w:pPr>
      <w:bookmarkStart w:id="7" w:name="_Toc228020196"/>
      <w:r w:rsidRPr="00A40949">
        <w:rPr>
          <w:rFonts w:cs="Arial"/>
        </w:rPr>
        <w:t>Data Governance and Sensitive Health Data</w:t>
      </w:r>
      <w:bookmarkEnd w:id="7"/>
    </w:p>
    <w:p w14:paraId="076B06B4" w14:textId="64195794" w:rsidR="00A85DC8" w:rsidRPr="00A40949" w:rsidRDefault="00A85DC8" w:rsidP="00A85DC8">
      <w:pPr>
        <w:jc w:val="both"/>
        <w:rPr>
          <w:rFonts w:ascii="Arial" w:hAnsi="Arial" w:cs="Arial"/>
        </w:rPr>
      </w:pPr>
      <w:r w:rsidRPr="00A40949">
        <w:rPr>
          <w:rFonts w:ascii="Arial" w:hAnsi="Arial" w:cs="Arial"/>
        </w:rPr>
        <w:t xml:space="preserve">The basis of AI activities at Pfizer is the ability to access </w:t>
      </w:r>
      <w:r w:rsidR="00BD3F18">
        <w:rPr>
          <w:rFonts w:ascii="Arial" w:hAnsi="Arial" w:cs="Arial"/>
        </w:rPr>
        <w:t>large</w:t>
      </w:r>
      <w:r w:rsidRPr="00A40949">
        <w:rPr>
          <w:rFonts w:ascii="Arial" w:hAnsi="Arial" w:cs="Arial"/>
        </w:rPr>
        <w:t xml:space="preserve"> amounts of sensitive health information on patients. The management of </w:t>
      </w:r>
      <w:r w:rsidR="00BD3F18">
        <w:rPr>
          <w:rFonts w:ascii="Arial" w:hAnsi="Arial" w:cs="Arial"/>
        </w:rPr>
        <w:t>these</w:t>
      </w:r>
      <w:r w:rsidRPr="00A40949">
        <w:rPr>
          <w:rFonts w:ascii="Arial" w:hAnsi="Arial" w:cs="Arial"/>
        </w:rPr>
        <w:t xml:space="preserve"> data sets </w:t>
      </w:r>
      <w:proofErr w:type="spellStart"/>
      <w:r w:rsidR="00BD3F18">
        <w:rPr>
          <w:rFonts w:ascii="Arial" w:hAnsi="Arial" w:cs="Arial"/>
        </w:rPr>
        <w:t>sets</w:t>
      </w:r>
      <w:proofErr w:type="spellEnd"/>
      <w:r w:rsidR="00BD3F18">
        <w:rPr>
          <w:rFonts w:ascii="Arial" w:hAnsi="Arial" w:cs="Arial"/>
        </w:rPr>
        <w:t xml:space="preserve"> </w:t>
      </w:r>
      <w:r w:rsidRPr="00A40949">
        <w:rPr>
          <w:rFonts w:ascii="Arial" w:hAnsi="Arial" w:cs="Arial"/>
        </w:rPr>
        <w:t>the legal compliance requirements together with ethical responsibilities that go beyond the official regulatory requirements.</w:t>
      </w:r>
    </w:p>
    <w:p w14:paraId="2FECD733" w14:textId="37900845" w:rsidR="00A85DC8" w:rsidRPr="00A40949" w:rsidRDefault="00A85DC8" w:rsidP="00A85DC8">
      <w:pPr>
        <w:jc w:val="both"/>
        <w:rPr>
          <w:rFonts w:ascii="Arial" w:hAnsi="Arial" w:cs="Arial"/>
        </w:rPr>
      </w:pPr>
      <w:r w:rsidRPr="00A40949">
        <w:rPr>
          <w:rFonts w:ascii="Arial" w:hAnsi="Arial" w:cs="Arial"/>
        </w:rPr>
        <w:t xml:space="preserve">Ahmed and colleagues (2025) note the tensions between the scientific worth of large-scale data integration and personal rights to informational self-determination and state that healthcare </w:t>
      </w:r>
      <w:r w:rsidR="00BD3F18">
        <w:rPr>
          <w:rFonts w:ascii="Arial" w:hAnsi="Arial" w:cs="Arial"/>
        </w:rPr>
        <w:t>has</w:t>
      </w:r>
      <w:r w:rsidRPr="00A40949">
        <w:rPr>
          <w:rFonts w:ascii="Arial" w:hAnsi="Arial" w:cs="Arial"/>
        </w:rPr>
        <w:t xml:space="preserve"> yet to establish governance norms sufficient to the extent or pace of AI-based data use. Pharmaceutical companies are particularly in a sensitive position</w:t>
      </w:r>
      <w:r w:rsidR="00BD3F18">
        <w:rPr>
          <w:rFonts w:ascii="Arial" w:hAnsi="Arial" w:cs="Arial"/>
        </w:rPr>
        <w:t>,</w:t>
      </w:r>
      <w:r w:rsidRPr="00A40949">
        <w:rPr>
          <w:rFonts w:ascii="Arial" w:hAnsi="Arial" w:cs="Arial"/>
        </w:rPr>
        <w:t xml:space="preserve"> considering the commercial interests that can be in conflict with patient-centred data stewardship. Williamson and </w:t>
      </w:r>
      <w:proofErr w:type="spellStart"/>
      <w:r w:rsidRPr="00A40949">
        <w:rPr>
          <w:rFonts w:ascii="Arial" w:hAnsi="Arial" w:cs="Arial"/>
        </w:rPr>
        <w:t>Prybotok</w:t>
      </w:r>
      <w:proofErr w:type="spellEnd"/>
      <w:r w:rsidRPr="00A40949">
        <w:rPr>
          <w:rFonts w:ascii="Arial" w:hAnsi="Arial" w:cs="Arial"/>
        </w:rPr>
        <w:t xml:space="preserve"> (2024) record that patients always underestimate the degree of reuse of their health information in the development of AI models, and the consent systems in use in most jurisdictions today were created to </w:t>
      </w:r>
      <w:r w:rsidRPr="00A40949">
        <w:rPr>
          <w:rFonts w:ascii="Arial" w:hAnsi="Arial" w:cs="Arial"/>
        </w:rPr>
        <w:lastRenderedPageBreak/>
        <w:t>support one-time research instead of ongoing, continuously improving AI systems that add new information.</w:t>
      </w:r>
    </w:p>
    <w:p w14:paraId="563F9081" w14:textId="30D39139" w:rsidR="00923E77" w:rsidRPr="00A40949" w:rsidRDefault="00A85DC8" w:rsidP="00A85DC8">
      <w:pPr>
        <w:jc w:val="both"/>
        <w:rPr>
          <w:rFonts w:ascii="Arial" w:hAnsi="Arial" w:cs="Arial"/>
        </w:rPr>
      </w:pPr>
      <w:r w:rsidRPr="00A40949">
        <w:rPr>
          <w:rFonts w:ascii="Arial" w:hAnsi="Arial" w:cs="Arial"/>
        </w:rPr>
        <w:t xml:space="preserve">According to Khalid and colleagues (2023), the three major methodological families that allow AI models to be trained on distributed health data sources, with a lack of centralised data aggregation, are federated learning, differential privacy, and homomorphic encryption, all of which involve trade-offs between privacy protection and model performance that must be carefully considered in terms of technical and ethical aspects. Rieke et al. (2020) laid the groundwork </w:t>
      </w:r>
      <w:r w:rsidR="00BD3F18">
        <w:rPr>
          <w:rFonts w:ascii="Arial" w:hAnsi="Arial" w:cs="Arial"/>
        </w:rPr>
        <w:t>for federated learning by showing that federated models were able to be performance-matched to centrally trained models on medical imaging tasks, and that they</w:t>
      </w:r>
      <w:r w:rsidRPr="00A40949">
        <w:rPr>
          <w:rFonts w:ascii="Arial" w:hAnsi="Arial" w:cs="Arial"/>
        </w:rPr>
        <w:t xml:space="preserve"> maintained institutional boundaries required to ensure regulatory compliance and patient trust. The evidence base is extended by Li and colleagues (2025) into the transfusion medicine field, and by Eden and colleagues (2025) </w:t>
      </w:r>
      <w:r w:rsidR="00BD3F18">
        <w:rPr>
          <w:rFonts w:ascii="Arial" w:hAnsi="Arial" w:cs="Arial"/>
        </w:rPr>
        <w:t xml:space="preserve">into </w:t>
      </w:r>
      <w:r w:rsidRPr="00A40949">
        <w:rPr>
          <w:rFonts w:ascii="Arial" w:hAnsi="Arial" w:cs="Arial"/>
        </w:rPr>
        <w:t xml:space="preserve">the gaps in governance in the federated learning deployment field, with the finding that accountability assigning when federated model outputs harm patients is underdeveloped. </w:t>
      </w:r>
      <w:proofErr w:type="spellStart"/>
      <w:r w:rsidRPr="00A40949">
        <w:rPr>
          <w:rFonts w:ascii="Arial" w:hAnsi="Arial" w:cs="Arial"/>
        </w:rPr>
        <w:t>Giuffrè</w:t>
      </w:r>
      <w:proofErr w:type="spellEnd"/>
      <w:r w:rsidRPr="00A40949">
        <w:rPr>
          <w:rFonts w:ascii="Arial" w:hAnsi="Arial" w:cs="Arial"/>
        </w:rPr>
        <w:t xml:space="preserve"> and </w:t>
      </w:r>
      <w:proofErr w:type="spellStart"/>
      <w:r w:rsidRPr="00A40949">
        <w:rPr>
          <w:rFonts w:ascii="Arial" w:hAnsi="Arial" w:cs="Arial"/>
        </w:rPr>
        <w:t>Shung</w:t>
      </w:r>
      <w:proofErr w:type="spellEnd"/>
      <w:r w:rsidRPr="00A40949">
        <w:rPr>
          <w:rFonts w:ascii="Arial" w:hAnsi="Arial" w:cs="Arial"/>
        </w:rPr>
        <w:t xml:space="preserve"> (2023) opine that synthetic health information with high fidelity can maintain statistical characteristics of actual patient information and remove identifiability risks, which are especially attractive to Pfizer in </w:t>
      </w:r>
      <w:r w:rsidR="00BD3F18">
        <w:rPr>
          <w:rFonts w:ascii="Arial" w:hAnsi="Arial" w:cs="Arial"/>
        </w:rPr>
        <w:t xml:space="preserve">the </w:t>
      </w:r>
      <w:r w:rsidRPr="00A40949">
        <w:rPr>
          <w:rFonts w:ascii="Arial" w:hAnsi="Arial" w:cs="Arial"/>
        </w:rPr>
        <w:t xml:space="preserve">research of rare diseases. Wu </w:t>
      </w:r>
      <w:r w:rsidR="005C6278">
        <w:rPr>
          <w:rFonts w:ascii="Arial" w:hAnsi="Arial" w:cs="Arial"/>
        </w:rPr>
        <w:t>et al.</w:t>
      </w:r>
      <w:r w:rsidRPr="00A40949">
        <w:rPr>
          <w:rFonts w:ascii="Arial" w:hAnsi="Arial" w:cs="Arial"/>
        </w:rPr>
        <w:t xml:space="preserve"> (2021) use a critical perspective on FDA regulation of AI medical devices, discovering that approvals are often not transparent about training data composition and subgroup performance, and that synthetic data approaches do not necessarily mitigate these issues unless the generative model is inherently biased with respect to the underlying training data.</w:t>
      </w:r>
    </w:p>
    <w:p w14:paraId="5F97793B" w14:textId="4E4CB02B" w:rsidR="00923E77" w:rsidRPr="00A40949" w:rsidRDefault="00923E77" w:rsidP="00AD4190">
      <w:pPr>
        <w:pStyle w:val="Heading2"/>
        <w:rPr>
          <w:rFonts w:cs="Arial"/>
        </w:rPr>
      </w:pPr>
      <w:bookmarkStart w:id="8" w:name="_Toc228020197"/>
      <w:r w:rsidRPr="00A40949">
        <w:rPr>
          <w:rFonts w:cs="Arial"/>
        </w:rPr>
        <w:t>Bias, Fairness, and Ethical Risk in Medical AI</w:t>
      </w:r>
      <w:bookmarkEnd w:id="8"/>
    </w:p>
    <w:p w14:paraId="6DF51A98" w14:textId="28A1F285" w:rsidR="00EF726F" w:rsidRPr="00A40949" w:rsidRDefault="00EF726F" w:rsidP="00EF726F">
      <w:pPr>
        <w:jc w:val="both"/>
        <w:rPr>
          <w:rFonts w:ascii="Arial" w:hAnsi="Arial" w:cs="Arial"/>
        </w:rPr>
      </w:pPr>
      <w:r w:rsidRPr="00A40949">
        <w:rPr>
          <w:rFonts w:ascii="Arial" w:hAnsi="Arial" w:cs="Arial"/>
        </w:rPr>
        <w:t xml:space="preserve">The most acutely presented ethical risk area of AI in pharmaceutical research is algorithmic bias. In the case of Pfizer, where their commercial and ethical responsibility spreads out across the patient populations the world over, it is not just a technical failure mode, but a </w:t>
      </w:r>
      <w:r w:rsidR="00BD3F18">
        <w:rPr>
          <w:rFonts w:ascii="Arial" w:hAnsi="Arial" w:cs="Arial"/>
        </w:rPr>
        <w:t>first-order</w:t>
      </w:r>
      <w:r w:rsidRPr="00A40949">
        <w:rPr>
          <w:rFonts w:ascii="Arial" w:hAnsi="Arial" w:cs="Arial"/>
        </w:rPr>
        <w:t xml:space="preserve"> governance and reputational risk.</w:t>
      </w:r>
    </w:p>
    <w:p w14:paraId="6F0A38BF" w14:textId="71CC050D" w:rsidR="00EF726F" w:rsidRPr="00A40949" w:rsidRDefault="00EF726F" w:rsidP="00EF726F">
      <w:pPr>
        <w:jc w:val="both"/>
        <w:rPr>
          <w:rFonts w:ascii="Arial" w:hAnsi="Arial" w:cs="Arial"/>
        </w:rPr>
      </w:pPr>
      <w:r w:rsidRPr="00A40949">
        <w:rPr>
          <w:rFonts w:ascii="Arial" w:hAnsi="Arial" w:cs="Arial"/>
        </w:rPr>
        <w:t xml:space="preserve">According to </w:t>
      </w:r>
      <w:proofErr w:type="spellStart"/>
      <w:r w:rsidRPr="00A40949">
        <w:rPr>
          <w:rFonts w:ascii="Arial" w:hAnsi="Arial" w:cs="Arial"/>
        </w:rPr>
        <w:t>Challen</w:t>
      </w:r>
      <w:proofErr w:type="spellEnd"/>
      <w:r w:rsidRPr="00A40949">
        <w:rPr>
          <w:rFonts w:ascii="Arial" w:hAnsi="Arial" w:cs="Arial"/>
        </w:rPr>
        <w:t xml:space="preserve">, Denny, Pitt, </w:t>
      </w:r>
      <w:proofErr w:type="spellStart"/>
      <w:r w:rsidRPr="00A40949">
        <w:rPr>
          <w:rFonts w:ascii="Arial" w:hAnsi="Arial" w:cs="Arial"/>
        </w:rPr>
        <w:t>Gompels</w:t>
      </w:r>
      <w:proofErr w:type="spellEnd"/>
      <w:r w:rsidRPr="00A40949">
        <w:rPr>
          <w:rFonts w:ascii="Arial" w:hAnsi="Arial" w:cs="Arial"/>
        </w:rPr>
        <w:t xml:space="preserve">, Edwards and </w:t>
      </w:r>
      <w:proofErr w:type="spellStart"/>
      <w:r w:rsidRPr="00A40949">
        <w:rPr>
          <w:rFonts w:ascii="Arial" w:hAnsi="Arial" w:cs="Arial"/>
        </w:rPr>
        <w:t>Tsaneva-Atanasova</w:t>
      </w:r>
      <w:proofErr w:type="spellEnd"/>
      <w:r w:rsidRPr="00A40949">
        <w:rPr>
          <w:rFonts w:ascii="Arial" w:hAnsi="Arial" w:cs="Arial"/>
        </w:rPr>
        <w:t xml:space="preserve"> (2019), four main mechanisms of bias in healthcare AI are: selection bias in training data assembly, measurement bias due to differing data quality across subgroups, algorithmic bias in decisions made by the choice of model design, and deployment bias due to application to populations that are not similar to validation cohorts. Chen et al. (2023) </w:t>
      </w:r>
      <w:r w:rsidR="00BD3F18">
        <w:rPr>
          <w:rFonts w:ascii="Arial" w:hAnsi="Arial" w:cs="Arial"/>
        </w:rPr>
        <w:t>generalise</w:t>
      </w:r>
      <w:r w:rsidRPr="00A40949">
        <w:rPr>
          <w:rFonts w:ascii="Arial" w:hAnsi="Arial" w:cs="Arial"/>
        </w:rPr>
        <w:t xml:space="preserve"> this model to algorithmic fairness, since the set of possible </w:t>
      </w:r>
      <w:r w:rsidRPr="00A40949">
        <w:rPr>
          <w:rFonts w:ascii="Arial" w:hAnsi="Arial" w:cs="Arial"/>
        </w:rPr>
        <w:lastRenderedPageBreak/>
        <w:t xml:space="preserve">competing mathematical definitions of fairness cannot simultaneously hold, practitioners must make explicit normative decisions regarding which fairness criterion is more important in a particular clinical setting. Larrazabal et al. (2020) showed that using gender imbalanced medical imaging training data leads to statistically significant performance deterioration of underrepresented groups in models. In a study by Seyyed-Kalantari and colleagues (2021), AI algorithms on chest radiographs systematically underperformed in </w:t>
      </w:r>
      <w:r w:rsidR="00BD3F18">
        <w:rPr>
          <w:rFonts w:ascii="Arial" w:hAnsi="Arial" w:cs="Arial"/>
        </w:rPr>
        <w:t xml:space="preserve">underserved patients and improved on the performance gap after adjusting for </w:t>
      </w:r>
      <w:r w:rsidRPr="00A40949">
        <w:rPr>
          <w:rFonts w:ascii="Arial" w:hAnsi="Arial" w:cs="Arial"/>
        </w:rPr>
        <w:t>clinical complexity.</w:t>
      </w:r>
    </w:p>
    <w:p w14:paraId="762FD738" w14:textId="5950D173" w:rsidR="00EF726F" w:rsidRPr="00A40949" w:rsidRDefault="00EF726F" w:rsidP="00EF726F">
      <w:pPr>
        <w:jc w:val="both"/>
        <w:rPr>
          <w:rFonts w:ascii="Arial" w:hAnsi="Arial" w:cs="Arial"/>
        </w:rPr>
      </w:pPr>
      <w:proofErr w:type="spellStart"/>
      <w:r w:rsidRPr="00A40949">
        <w:rPr>
          <w:rFonts w:ascii="Arial" w:hAnsi="Arial" w:cs="Arial"/>
        </w:rPr>
        <w:t>Norori</w:t>
      </w:r>
      <w:proofErr w:type="spellEnd"/>
      <w:r w:rsidRPr="00A40949">
        <w:rPr>
          <w:rFonts w:ascii="Arial" w:hAnsi="Arial" w:cs="Arial"/>
        </w:rPr>
        <w:t xml:space="preserve">, Hu, </w:t>
      </w:r>
      <w:proofErr w:type="spellStart"/>
      <w:r w:rsidRPr="00A40949">
        <w:rPr>
          <w:rFonts w:ascii="Arial" w:hAnsi="Arial" w:cs="Arial"/>
        </w:rPr>
        <w:t>Aellen</w:t>
      </w:r>
      <w:proofErr w:type="spellEnd"/>
      <w:r w:rsidRPr="00A40949">
        <w:rPr>
          <w:rFonts w:ascii="Arial" w:hAnsi="Arial" w:cs="Arial"/>
        </w:rPr>
        <w:t xml:space="preserve">, </w:t>
      </w:r>
      <w:proofErr w:type="spellStart"/>
      <w:r w:rsidRPr="00A40949">
        <w:rPr>
          <w:rFonts w:ascii="Arial" w:hAnsi="Arial" w:cs="Arial"/>
        </w:rPr>
        <w:t>Faraci</w:t>
      </w:r>
      <w:proofErr w:type="spellEnd"/>
      <w:r w:rsidRPr="00A40949">
        <w:rPr>
          <w:rFonts w:ascii="Arial" w:hAnsi="Arial" w:cs="Arial"/>
        </w:rPr>
        <w:t xml:space="preserve"> and </w:t>
      </w:r>
      <w:proofErr w:type="spellStart"/>
      <w:r w:rsidRPr="00A40949">
        <w:rPr>
          <w:rFonts w:ascii="Arial" w:hAnsi="Arial" w:cs="Arial"/>
        </w:rPr>
        <w:t>Tzovara</w:t>
      </w:r>
      <w:proofErr w:type="spellEnd"/>
      <w:r w:rsidRPr="00A40949">
        <w:rPr>
          <w:rFonts w:ascii="Arial" w:hAnsi="Arial" w:cs="Arial"/>
        </w:rPr>
        <w:t xml:space="preserve"> (2021) suggest </w:t>
      </w:r>
      <w:r w:rsidR="00BD3F18">
        <w:rPr>
          <w:rFonts w:ascii="Arial" w:hAnsi="Arial" w:cs="Arial"/>
        </w:rPr>
        <w:t>that, to combat bias, a transition to open science standards, such as the public availability of training data and training performance disaggregated by demographic subgroup,</w:t>
      </w:r>
      <w:r w:rsidRPr="00A40949">
        <w:rPr>
          <w:rFonts w:ascii="Arial" w:hAnsi="Arial" w:cs="Arial"/>
        </w:rPr>
        <w:t xml:space="preserve"> is necessary, which is complicated by pharmaceutical intellectual property barriers. Cross, Choma and Onofrey (2024) note that bias is a structural phenomenon and not a failure of exceptional nature and propose that bias auditing should be regarded as a regulatory requirement. Huang and colleagues (2024) discuss pre-processing, in-processing and post-processing mitigation measures, whereas Gao and colleagues (2025) believe that the definition of fairness should be context-dependent</w:t>
      </w:r>
      <w:r w:rsidR="00BD3F18">
        <w:rPr>
          <w:rFonts w:ascii="Arial" w:hAnsi="Arial" w:cs="Arial"/>
        </w:rPr>
        <w:t>,</w:t>
      </w:r>
      <w:r w:rsidRPr="00A40949">
        <w:rPr>
          <w:rFonts w:ascii="Arial" w:hAnsi="Arial" w:cs="Arial"/>
        </w:rPr>
        <w:t xml:space="preserve"> as the suitable criterion of a screening tool is not the same as that of a treatment allocation model. Naik and colleagues (2022) discuss accountability explicitly, stating who should be accountable in situations where AI-mediated clinical decisions result in patient harm, when there is no supervision of clinical judgment. Zhang and Zhang (2023) introduce a reliable governing structure of medical AI that incorporates transparency, accountability, and contestability, and contestability is the least implemented concept. </w:t>
      </w:r>
      <w:proofErr w:type="spellStart"/>
      <w:r w:rsidRPr="00A40949">
        <w:rPr>
          <w:rFonts w:ascii="Arial" w:hAnsi="Arial" w:cs="Arial"/>
        </w:rPr>
        <w:t>Goktas</w:t>
      </w:r>
      <w:proofErr w:type="spellEnd"/>
      <w:r w:rsidRPr="00A40949">
        <w:rPr>
          <w:rFonts w:ascii="Arial" w:hAnsi="Arial" w:cs="Arial"/>
        </w:rPr>
        <w:t xml:space="preserve"> and </w:t>
      </w:r>
      <w:proofErr w:type="spellStart"/>
      <w:r w:rsidRPr="00A40949">
        <w:rPr>
          <w:rFonts w:ascii="Arial" w:hAnsi="Arial" w:cs="Arial"/>
        </w:rPr>
        <w:t>Grzybowski</w:t>
      </w:r>
      <w:proofErr w:type="spellEnd"/>
      <w:r w:rsidRPr="00A40949">
        <w:rPr>
          <w:rFonts w:ascii="Arial" w:hAnsi="Arial" w:cs="Arial"/>
        </w:rPr>
        <w:t xml:space="preserve"> (2025) find that the road towards clinical trustworthy AI goes beyond technical rigour and needs an institutional culture of ethical reflexivity</w:t>
      </w:r>
      <w:r w:rsidR="00BD3F18">
        <w:rPr>
          <w:rFonts w:ascii="Arial" w:hAnsi="Arial" w:cs="Arial"/>
        </w:rPr>
        <w:t>,</w:t>
      </w:r>
      <w:r w:rsidRPr="00A40949">
        <w:rPr>
          <w:rFonts w:ascii="Arial" w:hAnsi="Arial" w:cs="Arial"/>
        </w:rPr>
        <w:t xml:space="preserve"> which pharmaceutical leadership must work to foster.</w:t>
      </w:r>
    </w:p>
    <w:p w14:paraId="4B9FC1B7" w14:textId="68C39EAE" w:rsidR="00923E77" w:rsidRPr="00A40949" w:rsidRDefault="00EF726F" w:rsidP="00EF726F">
      <w:pPr>
        <w:jc w:val="both"/>
        <w:rPr>
          <w:rFonts w:ascii="Arial" w:hAnsi="Arial" w:cs="Arial"/>
        </w:rPr>
      </w:pPr>
      <w:r w:rsidRPr="00A40949">
        <w:rPr>
          <w:rFonts w:ascii="Arial" w:hAnsi="Arial" w:cs="Arial"/>
        </w:rPr>
        <w:t>The report suggests a new analytical tool: the Pfizer AI Risk Governance Matrix</w:t>
      </w:r>
      <w:r w:rsidR="00BD3F18">
        <w:rPr>
          <w:rFonts w:ascii="Arial" w:hAnsi="Arial" w:cs="Arial"/>
        </w:rPr>
        <w:t>, which</w:t>
      </w:r>
      <w:r w:rsidRPr="00A40949">
        <w:rPr>
          <w:rFonts w:ascii="Arial" w:hAnsi="Arial" w:cs="Arial"/>
        </w:rPr>
        <w:t xml:space="preserve"> will combine the macro-environmental dimensions of the PESTLE analysis with the risk management process categories of ISO 31000 risk identification, risk assessment, risk treatment, and risk monitoring. The matrix converts an analytical taxonomy into a governance workflow by ascribing both temporal and functional ownership to each risk dimension. Regulatory divergence political risk is managed at </w:t>
      </w:r>
      <w:r w:rsidR="00BD3F18">
        <w:rPr>
          <w:rFonts w:ascii="Arial" w:hAnsi="Arial" w:cs="Arial"/>
        </w:rPr>
        <w:t xml:space="preserve">the </w:t>
      </w:r>
      <w:r w:rsidRPr="00A40949">
        <w:rPr>
          <w:rFonts w:ascii="Arial" w:hAnsi="Arial" w:cs="Arial"/>
        </w:rPr>
        <w:t xml:space="preserve">risk treatment level by taking proactive agency action. The model failure technological risk is one that needs constant attention by having an embedded performance surveillance. Legal risk </w:t>
      </w:r>
      <w:r w:rsidRPr="00A40949">
        <w:rPr>
          <w:rFonts w:ascii="Arial" w:hAnsi="Arial" w:cs="Arial"/>
        </w:rPr>
        <w:lastRenderedPageBreak/>
        <w:t xml:space="preserve">in terms of compliance with GDPR and uncertainty of liability needs to be evaluated in the model development, not post-hoc. Social and ethical risk due to bias </w:t>
      </w:r>
      <w:r w:rsidR="00BD3F18">
        <w:rPr>
          <w:rFonts w:ascii="Arial" w:hAnsi="Arial" w:cs="Arial"/>
        </w:rPr>
        <w:t>needs</w:t>
      </w:r>
      <w:r w:rsidRPr="00A40949">
        <w:rPr>
          <w:rFonts w:ascii="Arial" w:hAnsi="Arial" w:cs="Arial"/>
        </w:rPr>
        <w:t xml:space="preserve"> to be treated at the training data assembly level. The sustainability reporting infrastructure should monitor environmental risk related to </w:t>
      </w:r>
      <w:r w:rsidR="00BD3F18">
        <w:rPr>
          <w:rFonts w:ascii="Arial" w:hAnsi="Arial" w:cs="Arial"/>
        </w:rPr>
        <w:t>computing</w:t>
      </w:r>
      <w:r w:rsidRPr="00A40949">
        <w:rPr>
          <w:rFonts w:ascii="Arial" w:hAnsi="Arial" w:cs="Arial"/>
        </w:rPr>
        <w:t xml:space="preserve"> emissions. Batool, </w:t>
      </w:r>
      <w:proofErr w:type="spellStart"/>
      <w:r w:rsidRPr="00A40949">
        <w:rPr>
          <w:rFonts w:ascii="Arial" w:hAnsi="Arial" w:cs="Arial"/>
        </w:rPr>
        <w:t>Zowghi</w:t>
      </w:r>
      <w:proofErr w:type="spellEnd"/>
      <w:r w:rsidRPr="00A40949">
        <w:rPr>
          <w:rFonts w:ascii="Arial" w:hAnsi="Arial" w:cs="Arial"/>
        </w:rPr>
        <w:t xml:space="preserve"> and </w:t>
      </w:r>
      <w:proofErr w:type="spellStart"/>
      <w:r w:rsidRPr="00A40949">
        <w:rPr>
          <w:rFonts w:ascii="Arial" w:hAnsi="Arial" w:cs="Arial"/>
        </w:rPr>
        <w:t>Bano</w:t>
      </w:r>
      <w:proofErr w:type="spellEnd"/>
      <w:r w:rsidRPr="00A40949">
        <w:rPr>
          <w:rFonts w:ascii="Arial" w:hAnsi="Arial" w:cs="Arial"/>
        </w:rPr>
        <w:t xml:space="preserve"> (2025) point to the lack of operational specificity as the main weakness of the published AI governance frameworks, which the Pfizer AI Risk Governance Matrix is specifically designed to mitigate. </w:t>
      </w:r>
      <w:r w:rsidR="00BD3F18">
        <w:rPr>
          <w:rFonts w:ascii="Arial" w:hAnsi="Arial" w:cs="Arial"/>
        </w:rPr>
        <w:t xml:space="preserve">The </w:t>
      </w:r>
      <w:r w:rsidRPr="00A40949">
        <w:rPr>
          <w:rFonts w:ascii="Arial" w:hAnsi="Arial" w:cs="Arial"/>
        </w:rPr>
        <w:t>AI Governance Council should review the matrix quarterly and report annually to the board.</w:t>
      </w:r>
    </w:p>
    <w:p w14:paraId="4AD75DA0" w14:textId="77777777" w:rsidR="00923E77" w:rsidRPr="00A40949" w:rsidRDefault="00923E77" w:rsidP="00740354">
      <w:pPr>
        <w:jc w:val="both"/>
        <w:rPr>
          <w:rFonts w:ascii="Arial" w:hAnsi="Arial" w:cs="Arial"/>
          <w:b/>
          <w:bCs/>
        </w:rPr>
      </w:pPr>
      <w:r w:rsidRPr="00A40949">
        <w:rPr>
          <w:rFonts w:ascii="Arial" w:hAnsi="Arial" w:cs="Arial"/>
          <w:b/>
          <w:bCs/>
        </w:rPr>
        <w:t>Table 3: Pfizer AI Risk Governance Matrix (PESTLE x ISO 31000)</w:t>
      </w:r>
    </w:p>
    <w:tbl>
      <w:tblPr>
        <w:tblStyle w:val="PlainTable1"/>
        <w:tblW w:w="0" w:type="auto"/>
        <w:tblLook w:val="04A0" w:firstRow="1" w:lastRow="0" w:firstColumn="1" w:lastColumn="0" w:noHBand="0" w:noVBand="1"/>
      </w:tblPr>
      <w:tblGrid>
        <w:gridCol w:w="1891"/>
        <w:gridCol w:w="1652"/>
        <w:gridCol w:w="1601"/>
        <w:gridCol w:w="1984"/>
        <w:gridCol w:w="1888"/>
      </w:tblGrid>
      <w:tr w:rsidR="00923E77" w:rsidRPr="00A40949" w14:paraId="62FF4F83" w14:textId="77777777" w:rsidTr="00037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F9C4A" w14:textId="77777777" w:rsidR="00923E77" w:rsidRPr="00A40949" w:rsidRDefault="00923E77" w:rsidP="00740354">
            <w:pPr>
              <w:jc w:val="both"/>
              <w:rPr>
                <w:rFonts w:ascii="Arial" w:hAnsi="Arial" w:cs="Arial"/>
              </w:rPr>
            </w:pPr>
            <w:r w:rsidRPr="00A40949">
              <w:rPr>
                <w:rFonts w:ascii="Arial" w:hAnsi="Arial" w:cs="Arial"/>
              </w:rPr>
              <w:t>PESTLE Dimension</w:t>
            </w:r>
          </w:p>
        </w:tc>
        <w:tc>
          <w:tcPr>
            <w:tcW w:w="0" w:type="auto"/>
            <w:hideMark/>
          </w:tcPr>
          <w:p w14:paraId="148BA292"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Primary Risk</w:t>
            </w:r>
          </w:p>
        </w:tc>
        <w:tc>
          <w:tcPr>
            <w:tcW w:w="0" w:type="auto"/>
            <w:hideMark/>
          </w:tcPr>
          <w:p w14:paraId="4BE86CCB"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ISO 31000 Stage</w:t>
            </w:r>
          </w:p>
        </w:tc>
        <w:tc>
          <w:tcPr>
            <w:tcW w:w="0" w:type="auto"/>
            <w:hideMark/>
          </w:tcPr>
          <w:p w14:paraId="2EA2729A"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Governance Action</w:t>
            </w:r>
          </w:p>
        </w:tc>
        <w:tc>
          <w:tcPr>
            <w:tcW w:w="0" w:type="auto"/>
            <w:hideMark/>
          </w:tcPr>
          <w:p w14:paraId="29134308"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Accountability</w:t>
            </w:r>
          </w:p>
        </w:tc>
      </w:tr>
      <w:tr w:rsidR="00923E77" w:rsidRPr="00A40949" w14:paraId="7FBCE63B"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9A4AF9" w14:textId="77777777" w:rsidR="00923E77" w:rsidRPr="00A40949" w:rsidRDefault="00923E77" w:rsidP="00740354">
            <w:pPr>
              <w:jc w:val="both"/>
              <w:rPr>
                <w:rFonts w:ascii="Arial" w:hAnsi="Arial" w:cs="Arial"/>
              </w:rPr>
            </w:pPr>
            <w:r w:rsidRPr="00A40949">
              <w:rPr>
                <w:rFonts w:ascii="Arial" w:hAnsi="Arial" w:cs="Arial"/>
              </w:rPr>
              <w:t>Political</w:t>
            </w:r>
          </w:p>
        </w:tc>
        <w:tc>
          <w:tcPr>
            <w:tcW w:w="0" w:type="auto"/>
            <w:hideMark/>
          </w:tcPr>
          <w:p w14:paraId="753B325B"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Regulatory divergence MHRA/FDA</w:t>
            </w:r>
          </w:p>
        </w:tc>
        <w:tc>
          <w:tcPr>
            <w:tcW w:w="0" w:type="auto"/>
            <w:hideMark/>
          </w:tcPr>
          <w:p w14:paraId="7B07CFA8"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Risk Treatment</w:t>
            </w:r>
          </w:p>
        </w:tc>
        <w:tc>
          <w:tcPr>
            <w:tcW w:w="0" w:type="auto"/>
            <w:hideMark/>
          </w:tcPr>
          <w:p w14:paraId="75B650F2"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Proactive regulatory sandbox engagement</w:t>
            </w:r>
          </w:p>
        </w:tc>
        <w:tc>
          <w:tcPr>
            <w:tcW w:w="0" w:type="auto"/>
            <w:hideMark/>
          </w:tcPr>
          <w:p w14:paraId="6E4C49EC"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Chief Regulatory Officer</w:t>
            </w:r>
          </w:p>
        </w:tc>
      </w:tr>
      <w:tr w:rsidR="00923E77" w:rsidRPr="00A40949" w14:paraId="3AF052C1"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0CD95D3F" w14:textId="77777777" w:rsidR="00923E77" w:rsidRPr="00A40949" w:rsidRDefault="00923E77" w:rsidP="00740354">
            <w:pPr>
              <w:jc w:val="both"/>
              <w:rPr>
                <w:rFonts w:ascii="Arial" w:hAnsi="Arial" w:cs="Arial"/>
              </w:rPr>
            </w:pPr>
            <w:r w:rsidRPr="00A40949">
              <w:rPr>
                <w:rFonts w:ascii="Arial" w:hAnsi="Arial" w:cs="Arial"/>
              </w:rPr>
              <w:t>Economic</w:t>
            </w:r>
          </w:p>
        </w:tc>
        <w:tc>
          <w:tcPr>
            <w:tcW w:w="0" w:type="auto"/>
            <w:hideMark/>
          </w:tcPr>
          <w:p w14:paraId="09DAFE73"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Capital misallocation under rate volatility</w:t>
            </w:r>
          </w:p>
        </w:tc>
        <w:tc>
          <w:tcPr>
            <w:tcW w:w="0" w:type="auto"/>
            <w:hideMark/>
          </w:tcPr>
          <w:p w14:paraId="31603CF9"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Risk Assessment</w:t>
            </w:r>
          </w:p>
        </w:tc>
        <w:tc>
          <w:tcPr>
            <w:tcW w:w="0" w:type="auto"/>
            <w:hideMark/>
          </w:tcPr>
          <w:p w14:paraId="540FE2F7"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Macroeconomic sensitivity analysis in AI business cases</w:t>
            </w:r>
          </w:p>
        </w:tc>
        <w:tc>
          <w:tcPr>
            <w:tcW w:w="0" w:type="auto"/>
            <w:hideMark/>
          </w:tcPr>
          <w:p w14:paraId="0082F4A7"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CFO</w:t>
            </w:r>
          </w:p>
        </w:tc>
      </w:tr>
      <w:tr w:rsidR="00923E77" w:rsidRPr="00A40949" w14:paraId="00D1E9D8"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396C6" w14:textId="77777777" w:rsidR="00923E77" w:rsidRPr="00A40949" w:rsidRDefault="00923E77" w:rsidP="00740354">
            <w:pPr>
              <w:jc w:val="both"/>
              <w:rPr>
                <w:rFonts w:ascii="Arial" w:hAnsi="Arial" w:cs="Arial"/>
              </w:rPr>
            </w:pPr>
            <w:r w:rsidRPr="00A40949">
              <w:rPr>
                <w:rFonts w:ascii="Arial" w:hAnsi="Arial" w:cs="Arial"/>
              </w:rPr>
              <w:t>Social</w:t>
            </w:r>
          </w:p>
        </w:tc>
        <w:tc>
          <w:tcPr>
            <w:tcW w:w="0" w:type="auto"/>
            <w:hideMark/>
          </w:tcPr>
          <w:p w14:paraId="0EDBF503"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Health inequity from biased training data</w:t>
            </w:r>
          </w:p>
        </w:tc>
        <w:tc>
          <w:tcPr>
            <w:tcW w:w="0" w:type="auto"/>
            <w:hideMark/>
          </w:tcPr>
          <w:p w14:paraId="275327B8"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Risk Treatment</w:t>
            </w:r>
          </w:p>
        </w:tc>
        <w:tc>
          <w:tcPr>
            <w:tcW w:w="0" w:type="auto"/>
            <w:hideMark/>
          </w:tcPr>
          <w:p w14:paraId="3C277717"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Mandatory dataset diversity audits before model deployment</w:t>
            </w:r>
          </w:p>
        </w:tc>
        <w:tc>
          <w:tcPr>
            <w:tcW w:w="0" w:type="auto"/>
            <w:hideMark/>
          </w:tcPr>
          <w:p w14:paraId="51107E81"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Chief AI Ethics Officer</w:t>
            </w:r>
          </w:p>
        </w:tc>
      </w:tr>
      <w:tr w:rsidR="00923E77" w:rsidRPr="00A40949" w14:paraId="6C2B6E96"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1004A1D1" w14:textId="77777777" w:rsidR="00923E77" w:rsidRPr="00A40949" w:rsidRDefault="00923E77" w:rsidP="00740354">
            <w:pPr>
              <w:jc w:val="both"/>
              <w:rPr>
                <w:rFonts w:ascii="Arial" w:hAnsi="Arial" w:cs="Arial"/>
              </w:rPr>
            </w:pPr>
            <w:r w:rsidRPr="00A40949">
              <w:rPr>
                <w:rFonts w:ascii="Arial" w:hAnsi="Arial" w:cs="Arial"/>
              </w:rPr>
              <w:t>Technological</w:t>
            </w:r>
          </w:p>
        </w:tc>
        <w:tc>
          <w:tcPr>
            <w:tcW w:w="0" w:type="auto"/>
            <w:hideMark/>
          </w:tcPr>
          <w:p w14:paraId="1CC0980F"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Model failure and silent degradation</w:t>
            </w:r>
          </w:p>
        </w:tc>
        <w:tc>
          <w:tcPr>
            <w:tcW w:w="0" w:type="auto"/>
            <w:hideMark/>
          </w:tcPr>
          <w:p w14:paraId="23964138"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Risk Monitoring</w:t>
            </w:r>
          </w:p>
        </w:tc>
        <w:tc>
          <w:tcPr>
            <w:tcW w:w="0" w:type="auto"/>
            <w:hideMark/>
          </w:tcPr>
          <w:p w14:paraId="5650C14B"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Embedded continuous performance surveillance</w:t>
            </w:r>
          </w:p>
        </w:tc>
        <w:tc>
          <w:tcPr>
            <w:tcW w:w="0" w:type="auto"/>
            <w:hideMark/>
          </w:tcPr>
          <w:p w14:paraId="7314486D"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CTO</w:t>
            </w:r>
          </w:p>
        </w:tc>
      </w:tr>
      <w:tr w:rsidR="00923E77" w:rsidRPr="00A40949" w14:paraId="36F65948"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3E6D65" w14:textId="77777777" w:rsidR="00923E77" w:rsidRPr="00A40949" w:rsidRDefault="00923E77" w:rsidP="00740354">
            <w:pPr>
              <w:jc w:val="both"/>
              <w:rPr>
                <w:rFonts w:ascii="Arial" w:hAnsi="Arial" w:cs="Arial"/>
              </w:rPr>
            </w:pPr>
            <w:r w:rsidRPr="00A40949">
              <w:rPr>
                <w:rFonts w:ascii="Arial" w:hAnsi="Arial" w:cs="Arial"/>
              </w:rPr>
              <w:t>Legal</w:t>
            </w:r>
          </w:p>
        </w:tc>
        <w:tc>
          <w:tcPr>
            <w:tcW w:w="0" w:type="auto"/>
            <w:hideMark/>
          </w:tcPr>
          <w:p w14:paraId="4AF7B41A"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GDPR explainability and liability exposure</w:t>
            </w:r>
          </w:p>
        </w:tc>
        <w:tc>
          <w:tcPr>
            <w:tcW w:w="0" w:type="auto"/>
            <w:hideMark/>
          </w:tcPr>
          <w:p w14:paraId="1BC51F51"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Risk Identification and Assessment</w:t>
            </w:r>
          </w:p>
        </w:tc>
        <w:tc>
          <w:tcPr>
            <w:tcW w:w="0" w:type="auto"/>
            <w:hideMark/>
          </w:tcPr>
          <w:p w14:paraId="744F200B"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Legal review integrated into model architecture phase</w:t>
            </w:r>
          </w:p>
        </w:tc>
        <w:tc>
          <w:tcPr>
            <w:tcW w:w="0" w:type="auto"/>
            <w:hideMark/>
          </w:tcPr>
          <w:p w14:paraId="1A8D39FD"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General Counsel</w:t>
            </w:r>
          </w:p>
        </w:tc>
      </w:tr>
      <w:tr w:rsidR="00923E77" w:rsidRPr="00A40949" w14:paraId="19B59220"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23CBE5BE" w14:textId="77777777" w:rsidR="00923E77" w:rsidRPr="00A40949" w:rsidRDefault="00923E77" w:rsidP="00740354">
            <w:pPr>
              <w:jc w:val="both"/>
              <w:rPr>
                <w:rFonts w:ascii="Arial" w:hAnsi="Arial" w:cs="Arial"/>
              </w:rPr>
            </w:pPr>
            <w:r w:rsidRPr="00A40949">
              <w:rPr>
                <w:rFonts w:ascii="Arial" w:hAnsi="Arial" w:cs="Arial"/>
              </w:rPr>
              <w:t>Environmental</w:t>
            </w:r>
          </w:p>
        </w:tc>
        <w:tc>
          <w:tcPr>
            <w:tcW w:w="0" w:type="auto"/>
            <w:hideMark/>
          </w:tcPr>
          <w:p w14:paraId="6039618B"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AI compute emissions disclosure</w:t>
            </w:r>
          </w:p>
        </w:tc>
        <w:tc>
          <w:tcPr>
            <w:tcW w:w="0" w:type="auto"/>
            <w:hideMark/>
          </w:tcPr>
          <w:p w14:paraId="14600231"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Risk Monitoring</w:t>
            </w:r>
          </w:p>
        </w:tc>
        <w:tc>
          <w:tcPr>
            <w:tcW w:w="0" w:type="auto"/>
            <w:hideMark/>
          </w:tcPr>
          <w:p w14:paraId="4240CC78"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Sustainability reporting covering digital infrastructure</w:t>
            </w:r>
          </w:p>
        </w:tc>
        <w:tc>
          <w:tcPr>
            <w:tcW w:w="0" w:type="auto"/>
            <w:hideMark/>
          </w:tcPr>
          <w:p w14:paraId="4AF0FA0D"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Chief Sustainability Officer</w:t>
            </w:r>
          </w:p>
        </w:tc>
      </w:tr>
    </w:tbl>
    <w:p w14:paraId="3745B216" w14:textId="7425435D" w:rsidR="00923E77" w:rsidRPr="00A40949" w:rsidRDefault="00923E77" w:rsidP="00AD4190">
      <w:pPr>
        <w:pStyle w:val="Heading2"/>
        <w:rPr>
          <w:rFonts w:cs="Arial"/>
        </w:rPr>
      </w:pPr>
      <w:bookmarkStart w:id="9" w:name="_Toc228020198"/>
      <w:r w:rsidRPr="00A40949">
        <w:rPr>
          <w:rFonts w:cs="Arial"/>
        </w:rPr>
        <w:t>Regulatory Compliance: UK MHRA versus FDA Framework</w:t>
      </w:r>
      <w:bookmarkEnd w:id="9"/>
    </w:p>
    <w:p w14:paraId="2D3B6D69" w14:textId="77777777" w:rsidR="005C0C82" w:rsidRPr="00A40949" w:rsidRDefault="005C0C82" w:rsidP="005C0C82">
      <w:pPr>
        <w:jc w:val="both"/>
        <w:rPr>
          <w:rFonts w:ascii="Arial" w:hAnsi="Arial" w:cs="Arial"/>
        </w:rPr>
      </w:pPr>
      <w:r w:rsidRPr="00A40949">
        <w:rPr>
          <w:rFonts w:ascii="Arial" w:hAnsi="Arial" w:cs="Arial"/>
        </w:rPr>
        <w:t xml:space="preserve">The current regulatory framework of AI in pharmaceutical development is defined by an effective but unresolved conflict between encouraging innovation and patient safety. In the case of Pfizer, which functions under both MHRA and FDA regulations, </w:t>
      </w:r>
      <w:r w:rsidRPr="00A40949">
        <w:rPr>
          <w:rFonts w:ascii="Arial" w:hAnsi="Arial" w:cs="Arial"/>
        </w:rPr>
        <w:lastRenderedPageBreak/>
        <w:t>this conflict is compounded by the difference in the scopes, approaches and speed of regulatory adjustment between the two systems.</w:t>
      </w:r>
    </w:p>
    <w:p w14:paraId="5BE11FB2" w14:textId="4B3F5AC0" w:rsidR="005C0C82" w:rsidRPr="00A40949" w:rsidRDefault="005C0C82" w:rsidP="005C0C82">
      <w:pPr>
        <w:jc w:val="both"/>
        <w:rPr>
          <w:rFonts w:ascii="Arial" w:hAnsi="Arial" w:cs="Arial"/>
        </w:rPr>
      </w:pPr>
      <w:r w:rsidRPr="00A40949">
        <w:rPr>
          <w:rFonts w:ascii="Arial" w:hAnsi="Arial" w:cs="Arial"/>
        </w:rPr>
        <w:t xml:space="preserve">MHRA has defined its AI regulatory strategy in terms of principles instead of prescriptive rule-based architecture and has dedicated itself to ensuring its framework promotes patient safety and industry innovation until 2030 (Medicines and Healthcare products Regulatory Agency, 2024b). Its impact assessment </w:t>
      </w:r>
      <w:r w:rsidR="00BD3F18">
        <w:rPr>
          <w:rFonts w:ascii="Arial" w:hAnsi="Arial" w:cs="Arial"/>
        </w:rPr>
        <w:t>recognises the software-as-a-medical-device category as the most problematic, as AI systems might alter their behaviour over time as they continue to learn, a feature that current pre-market approval models were</w:t>
      </w:r>
      <w:r w:rsidRPr="00A40949">
        <w:rPr>
          <w:rFonts w:ascii="Arial" w:hAnsi="Arial" w:cs="Arial"/>
        </w:rPr>
        <w:t xml:space="preserve"> not originally designed to address (Medicines and Healthcare products Regulatory Agency, 2024a). Batool, </w:t>
      </w:r>
      <w:proofErr w:type="spellStart"/>
      <w:r w:rsidRPr="00A40949">
        <w:rPr>
          <w:rFonts w:ascii="Arial" w:hAnsi="Arial" w:cs="Arial"/>
        </w:rPr>
        <w:t>Zowghi</w:t>
      </w:r>
      <w:proofErr w:type="spellEnd"/>
      <w:r w:rsidRPr="00A40949">
        <w:rPr>
          <w:rFonts w:ascii="Arial" w:hAnsi="Arial" w:cs="Arial"/>
        </w:rPr>
        <w:t xml:space="preserve"> and </w:t>
      </w:r>
      <w:proofErr w:type="spellStart"/>
      <w:r w:rsidRPr="00A40949">
        <w:rPr>
          <w:rFonts w:ascii="Arial" w:hAnsi="Arial" w:cs="Arial"/>
        </w:rPr>
        <w:t>Bano</w:t>
      </w:r>
      <w:proofErr w:type="spellEnd"/>
      <w:r w:rsidRPr="00A40949">
        <w:rPr>
          <w:rFonts w:ascii="Arial" w:hAnsi="Arial" w:cs="Arial"/>
        </w:rPr>
        <w:t xml:space="preserve"> (2025) frame this in a global trend of regulatory institutions favouring adaptive governance frameworks to strict rule-sets, as epistemic uncertainty exists about what AI can and cannot do, and what risks it poses.</w:t>
      </w:r>
    </w:p>
    <w:p w14:paraId="6689E599" w14:textId="657BD74F" w:rsidR="005C0C82" w:rsidRPr="00A40949" w:rsidRDefault="005C0C82" w:rsidP="005C0C82">
      <w:pPr>
        <w:jc w:val="both"/>
        <w:rPr>
          <w:rFonts w:ascii="Arial" w:hAnsi="Arial" w:cs="Arial"/>
        </w:rPr>
      </w:pPr>
      <w:r w:rsidRPr="00A40949">
        <w:rPr>
          <w:rFonts w:ascii="Arial" w:hAnsi="Arial" w:cs="Arial"/>
        </w:rPr>
        <w:t xml:space="preserve">A more methodologically different approach has been worked out by the FDA. Its 2025 policy on the </w:t>
      </w:r>
      <w:r w:rsidR="00BD3F18">
        <w:rPr>
          <w:rFonts w:ascii="Arial" w:hAnsi="Arial" w:cs="Arial"/>
        </w:rPr>
        <w:t>utilisation of AI in regulatory decisions related to drug and biological products portends vast growth in its involvement in the use of AI-generated evidence in submissions (U.S. Food and Drug Administration</w:t>
      </w:r>
      <w:r w:rsidRPr="00A40949">
        <w:rPr>
          <w:rFonts w:ascii="Arial" w:hAnsi="Arial" w:cs="Arial"/>
        </w:rPr>
        <w:t xml:space="preserve">, 2025). The agency has also suggested a credibility framework of AI models contained in drug and biological product submissions, which sets a systematic methodology in evaluating </w:t>
      </w:r>
      <w:r w:rsidR="00BD3F18">
        <w:rPr>
          <w:rFonts w:ascii="Arial" w:hAnsi="Arial" w:cs="Arial"/>
        </w:rPr>
        <w:t>the context of use, risk level, and evidence requirements (U.S. Food and Drug Administration</w:t>
      </w:r>
      <w:r w:rsidRPr="00A40949">
        <w:rPr>
          <w:rFonts w:ascii="Arial" w:hAnsi="Arial" w:cs="Arial"/>
        </w:rPr>
        <w:t>, 2025). The FDA would admit in a 2023 discussion paper that the agency was still in its fledgling phases in developing its evaluative methodology (U.S. Food and Drug Administration</w:t>
      </w:r>
      <w:r w:rsidR="007A7D20">
        <w:rPr>
          <w:rFonts w:ascii="Arial" w:hAnsi="Arial" w:cs="Arial"/>
        </w:rPr>
        <w:t xml:space="preserve">, </w:t>
      </w:r>
      <w:r w:rsidRPr="00A40949">
        <w:rPr>
          <w:rFonts w:ascii="Arial" w:hAnsi="Arial" w:cs="Arial"/>
        </w:rPr>
        <w:t>2023), although the rate at which it has been providing guidance has surpassed what the MHRA has published.</w:t>
      </w:r>
    </w:p>
    <w:p w14:paraId="533A1B09" w14:textId="079F8BF1" w:rsidR="005C0C82" w:rsidRPr="00A40949" w:rsidRDefault="005C0C82" w:rsidP="005C0C82">
      <w:pPr>
        <w:jc w:val="both"/>
        <w:rPr>
          <w:rFonts w:ascii="Arial" w:hAnsi="Arial" w:cs="Arial"/>
        </w:rPr>
      </w:pPr>
      <w:r w:rsidRPr="00A40949">
        <w:rPr>
          <w:rFonts w:ascii="Arial" w:hAnsi="Arial" w:cs="Arial"/>
        </w:rPr>
        <w:t xml:space="preserve">The differences between </w:t>
      </w:r>
      <w:r w:rsidR="00BD3F18">
        <w:rPr>
          <w:rFonts w:ascii="Arial" w:hAnsi="Arial" w:cs="Arial"/>
        </w:rPr>
        <w:t xml:space="preserve">the </w:t>
      </w:r>
      <w:r w:rsidRPr="00A40949">
        <w:rPr>
          <w:rFonts w:ascii="Arial" w:hAnsi="Arial" w:cs="Arial"/>
        </w:rPr>
        <w:t xml:space="preserve">MHRA and FDA ways of doing things pose a two-fold burden of compliance that goes beyond documentation and procedures. Pham (2025) lists regulatory fragmentation among the worst systemic risks pharmaceutical AI innovation is likely to encounter, suggesting that the existence of duplicative compliance costs can lead to perverse incentives to pursue AI development in a jurisdiction with less stringent regulatory frameworks. Also introduced in the guidance by the ICO of 2023, the UK context also provides that AI systems that handle health data must be able to explain </w:t>
      </w:r>
      <w:r w:rsidR="00BD3F18">
        <w:rPr>
          <w:rFonts w:ascii="Arial" w:hAnsi="Arial" w:cs="Arial"/>
        </w:rPr>
        <w:t>their</w:t>
      </w:r>
      <w:r w:rsidRPr="00A40949">
        <w:rPr>
          <w:rFonts w:ascii="Arial" w:hAnsi="Arial" w:cs="Arial"/>
        </w:rPr>
        <w:t xml:space="preserve"> output in terms that the data subject can understand, which again proves especially difficult with complex neural network architectures (ICO, 2023).</w:t>
      </w:r>
    </w:p>
    <w:p w14:paraId="2D9A7E0F" w14:textId="772C1D28" w:rsidR="00923E77" w:rsidRPr="00A40949" w:rsidRDefault="005C0C82" w:rsidP="005C0C82">
      <w:pPr>
        <w:jc w:val="both"/>
        <w:rPr>
          <w:rFonts w:ascii="Arial" w:hAnsi="Arial" w:cs="Arial"/>
        </w:rPr>
      </w:pPr>
      <w:r w:rsidRPr="00A40949">
        <w:rPr>
          <w:rFonts w:ascii="Arial" w:hAnsi="Arial" w:cs="Arial"/>
        </w:rPr>
        <w:lastRenderedPageBreak/>
        <w:t xml:space="preserve">This report suggests a particular, novel solution to MHRA/FDA divergence: Pfizer ought to actively promote and engage in a bilateral regulatory sandbox agreement between MHRA and FDA regarding pharmaceutical AI submissions. Three strategic goals could be met with a sandbox where a specified number of AI-assisted submissions is reviewed sequentially by the two agencies on the same basis using harmonised documentation standards: reducing Pfizer’s dual compliance burden by producing a single standard of evidentiary standard that would be recognised by both regulators; making Pfizer a credible regulatory science partner producing intelligence on changing regulatory expectations before competitors; and creating a channel through which the two regimes can </w:t>
      </w:r>
      <w:proofErr w:type="spellStart"/>
      <w:r w:rsidRPr="00A40949">
        <w:rPr>
          <w:rFonts w:ascii="Arial" w:hAnsi="Arial" w:cs="Arial"/>
        </w:rPr>
        <w:t>iter</w:t>
      </w:r>
      <w:proofErr w:type="spellEnd"/>
      <w:r w:rsidRPr="00A40949">
        <w:rPr>
          <w:rFonts w:ascii="Arial" w:hAnsi="Arial" w:cs="Arial"/>
        </w:rPr>
        <w:t xml:space="preserve"> </w:t>
      </w:r>
      <w:proofErr w:type="spellStart"/>
      <w:r w:rsidRPr="00A40949">
        <w:rPr>
          <w:rFonts w:ascii="Arial" w:hAnsi="Arial" w:cs="Arial"/>
        </w:rPr>
        <w:t>Giuffrè</w:t>
      </w:r>
      <w:proofErr w:type="spellEnd"/>
      <w:r w:rsidRPr="00A40949">
        <w:rPr>
          <w:rFonts w:ascii="Arial" w:hAnsi="Arial" w:cs="Arial"/>
        </w:rPr>
        <w:t xml:space="preserve"> and </w:t>
      </w:r>
      <w:proofErr w:type="spellStart"/>
      <w:r w:rsidRPr="00A40949">
        <w:rPr>
          <w:rFonts w:ascii="Arial" w:hAnsi="Arial" w:cs="Arial"/>
        </w:rPr>
        <w:t>Shung</w:t>
      </w:r>
      <w:proofErr w:type="spellEnd"/>
      <w:r w:rsidRPr="00A40949">
        <w:rPr>
          <w:rFonts w:ascii="Arial" w:hAnsi="Arial" w:cs="Arial"/>
        </w:rPr>
        <w:t xml:space="preserve"> (2023) observe that regulatory frameworks are still struggling to understand what synthetic data means in clinical AI submissions, and a regulatory sandbox would give such an unresolved question an organised experimental platform in which it could be answered in a collaborative way instead of an adversarial one.</w:t>
      </w:r>
    </w:p>
    <w:p w14:paraId="1AE2DA6C" w14:textId="77777777" w:rsidR="00923E77" w:rsidRPr="00A40949" w:rsidRDefault="00923E77" w:rsidP="00740354">
      <w:pPr>
        <w:jc w:val="both"/>
        <w:rPr>
          <w:rFonts w:ascii="Arial" w:hAnsi="Arial" w:cs="Arial"/>
          <w:b/>
          <w:bCs/>
        </w:rPr>
      </w:pPr>
      <w:r w:rsidRPr="00A40949">
        <w:rPr>
          <w:rFonts w:ascii="Arial" w:hAnsi="Arial" w:cs="Arial"/>
          <w:b/>
          <w:bCs/>
        </w:rPr>
        <w:t>Table 4: MHRA versus FDA AI Regulatory Framework Comparison</w:t>
      </w:r>
    </w:p>
    <w:tbl>
      <w:tblPr>
        <w:tblStyle w:val="PlainTable1"/>
        <w:tblW w:w="0" w:type="auto"/>
        <w:tblLook w:val="04A0" w:firstRow="1" w:lastRow="0" w:firstColumn="1" w:lastColumn="0" w:noHBand="0" w:noVBand="1"/>
      </w:tblPr>
      <w:tblGrid>
        <w:gridCol w:w="1957"/>
        <w:gridCol w:w="2140"/>
        <w:gridCol w:w="2280"/>
        <w:gridCol w:w="2639"/>
      </w:tblGrid>
      <w:tr w:rsidR="00923E77" w:rsidRPr="00A40949" w14:paraId="09B6E778" w14:textId="77777777" w:rsidTr="00037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E213F7" w14:textId="77777777" w:rsidR="00923E77" w:rsidRPr="00A40949" w:rsidRDefault="00923E77" w:rsidP="00740354">
            <w:pPr>
              <w:jc w:val="both"/>
              <w:rPr>
                <w:rFonts w:ascii="Arial" w:hAnsi="Arial" w:cs="Arial"/>
              </w:rPr>
            </w:pPr>
            <w:r w:rsidRPr="00A40949">
              <w:rPr>
                <w:rFonts w:ascii="Arial" w:hAnsi="Arial" w:cs="Arial"/>
              </w:rPr>
              <w:t>Dimension</w:t>
            </w:r>
          </w:p>
        </w:tc>
        <w:tc>
          <w:tcPr>
            <w:tcW w:w="0" w:type="auto"/>
            <w:hideMark/>
          </w:tcPr>
          <w:p w14:paraId="7B249D14"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UK MHRA</w:t>
            </w:r>
          </w:p>
        </w:tc>
        <w:tc>
          <w:tcPr>
            <w:tcW w:w="0" w:type="auto"/>
            <w:hideMark/>
          </w:tcPr>
          <w:p w14:paraId="46AB0ADE"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US FDA</w:t>
            </w:r>
          </w:p>
        </w:tc>
        <w:tc>
          <w:tcPr>
            <w:tcW w:w="0" w:type="auto"/>
            <w:hideMark/>
          </w:tcPr>
          <w:p w14:paraId="2ACCB134"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Compliance Implication for Pfizer</w:t>
            </w:r>
          </w:p>
        </w:tc>
      </w:tr>
      <w:tr w:rsidR="00923E77" w:rsidRPr="00A40949" w14:paraId="3E9F44F2"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DA9653" w14:textId="77777777" w:rsidR="00923E77" w:rsidRPr="00A40949" w:rsidRDefault="00923E77" w:rsidP="00740354">
            <w:pPr>
              <w:jc w:val="both"/>
              <w:rPr>
                <w:rFonts w:ascii="Arial" w:hAnsi="Arial" w:cs="Arial"/>
              </w:rPr>
            </w:pPr>
            <w:r w:rsidRPr="00A40949">
              <w:rPr>
                <w:rFonts w:ascii="Arial" w:hAnsi="Arial" w:cs="Arial"/>
              </w:rPr>
              <w:t>Regulatory Approach</w:t>
            </w:r>
          </w:p>
        </w:tc>
        <w:tc>
          <w:tcPr>
            <w:tcW w:w="0" w:type="auto"/>
            <w:hideMark/>
          </w:tcPr>
          <w:p w14:paraId="04C5BCAE"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Principles-based, adaptive</w:t>
            </w:r>
          </w:p>
        </w:tc>
        <w:tc>
          <w:tcPr>
            <w:tcW w:w="0" w:type="auto"/>
            <w:hideMark/>
          </w:tcPr>
          <w:p w14:paraId="30E4207A"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Prescriptive credibility framework</w:t>
            </w:r>
          </w:p>
        </w:tc>
        <w:tc>
          <w:tcPr>
            <w:tcW w:w="0" w:type="auto"/>
            <w:hideMark/>
          </w:tcPr>
          <w:p w14:paraId="3ABEA3D0"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Dual documentation standards required</w:t>
            </w:r>
          </w:p>
        </w:tc>
      </w:tr>
      <w:tr w:rsidR="00923E77" w:rsidRPr="00A40949" w14:paraId="27F4B996"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7F24BE58" w14:textId="77777777" w:rsidR="00923E77" w:rsidRPr="00A40949" w:rsidRDefault="00923E77" w:rsidP="00740354">
            <w:pPr>
              <w:jc w:val="both"/>
              <w:rPr>
                <w:rFonts w:ascii="Arial" w:hAnsi="Arial" w:cs="Arial"/>
              </w:rPr>
            </w:pPr>
            <w:r w:rsidRPr="00A40949">
              <w:rPr>
                <w:rFonts w:ascii="Arial" w:hAnsi="Arial" w:cs="Arial"/>
              </w:rPr>
              <w:t>AI-Specific Guidance</w:t>
            </w:r>
          </w:p>
        </w:tc>
        <w:tc>
          <w:tcPr>
            <w:tcW w:w="0" w:type="auto"/>
            <w:hideMark/>
          </w:tcPr>
          <w:p w14:paraId="3FA72C48"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Strategy to 2030; software-as-medical-device focus</w:t>
            </w:r>
          </w:p>
        </w:tc>
        <w:tc>
          <w:tcPr>
            <w:tcW w:w="0" w:type="auto"/>
            <w:hideMark/>
          </w:tcPr>
          <w:p w14:paraId="0B5A98CE"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2025 credibility framework and considerations guidance</w:t>
            </w:r>
          </w:p>
        </w:tc>
        <w:tc>
          <w:tcPr>
            <w:tcW w:w="0" w:type="auto"/>
            <w:hideMark/>
          </w:tcPr>
          <w:p w14:paraId="2DA4D7BA" w14:textId="1A20395E"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 xml:space="preserve">FDA guidance </w:t>
            </w:r>
            <w:r w:rsidR="00BD3F18">
              <w:rPr>
                <w:rFonts w:ascii="Arial" w:hAnsi="Arial" w:cs="Arial"/>
              </w:rPr>
              <w:t xml:space="preserve">is </w:t>
            </w:r>
            <w:r w:rsidRPr="00A40949">
              <w:rPr>
                <w:rFonts w:ascii="Arial" w:hAnsi="Arial" w:cs="Arial"/>
              </w:rPr>
              <w:t xml:space="preserve">more operationally developed; MHRA </w:t>
            </w:r>
            <w:r w:rsidR="00BD3F18">
              <w:rPr>
                <w:rFonts w:ascii="Arial" w:hAnsi="Arial" w:cs="Arial"/>
              </w:rPr>
              <w:t xml:space="preserve">is </w:t>
            </w:r>
            <w:r w:rsidRPr="00A40949">
              <w:rPr>
                <w:rFonts w:ascii="Arial" w:hAnsi="Arial" w:cs="Arial"/>
              </w:rPr>
              <w:t>catching up</w:t>
            </w:r>
          </w:p>
        </w:tc>
      </w:tr>
      <w:tr w:rsidR="00923E77" w:rsidRPr="00A40949" w14:paraId="5EA48F98"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80801D" w14:textId="77777777" w:rsidR="00923E77" w:rsidRPr="00A40949" w:rsidRDefault="00923E77" w:rsidP="00740354">
            <w:pPr>
              <w:jc w:val="both"/>
              <w:rPr>
                <w:rFonts w:ascii="Arial" w:hAnsi="Arial" w:cs="Arial"/>
              </w:rPr>
            </w:pPr>
            <w:r w:rsidRPr="00A40949">
              <w:rPr>
                <w:rFonts w:ascii="Arial" w:hAnsi="Arial" w:cs="Arial"/>
              </w:rPr>
              <w:t>Post-Market Monitoring</w:t>
            </w:r>
          </w:p>
        </w:tc>
        <w:tc>
          <w:tcPr>
            <w:tcW w:w="0" w:type="auto"/>
            <w:hideMark/>
          </w:tcPr>
          <w:p w14:paraId="46BFC375"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Risk-proportionate surveillance</w:t>
            </w:r>
          </w:p>
        </w:tc>
        <w:tc>
          <w:tcPr>
            <w:tcW w:w="0" w:type="auto"/>
            <w:hideMark/>
          </w:tcPr>
          <w:p w14:paraId="45BA4123" w14:textId="3652FAAA" w:rsidR="00923E77" w:rsidRPr="00A40949" w:rsidRDefault="00BD3F18"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 performance</w:t>
            </w:r>
            <w:r w:rsidR="00923E77" w:rsidRPr="00A40949">
              <w:rPr>
                <w:rFonts w:ascii="Arial" w:hAnsi="Arial" w:cs="Arial"/>
              </w:rPr>
              <w:t xml:space="preserve"> monitoring plan </w:t>
            </w:r>
            <w:r>
              <w:rPr>
                <w:rFonts w:ascii="Arial" w:hAnsi="Arial" w:cs="Arial"/>
              </w:rPr>
              <w:t xml:space="preserve">is </w:t>
            </w:r>
            <w:r w:rsidR="00923E77" w:rsidRPr="00A40949">
              <w:rPr>
                <w:rFonts w:ascii="Arial" w:hAnsi="Arial" w:cs="Arial"/>
              </w:rPr>
              <w:t>required in submissions</w:t>
            </w:r>
          </w:p>
        </w:tc>
        <w:tc>
          <w:tcPr>
            <w:tcW w:w="0" w:type="auto"/>
            <w:hideMark/>
          </w:tcPr>
          <w:p w14:paraId="1561A932" w14:textId="449E5B7D"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 xml:space="preserve">Greater post-approval AI monitoring burden under </w:t>
            </w:r>
            <w:r w:rsidR="00BD3F18">
              <w:rPr>
                <w:rFonts w:ascii="Arial" w:hAnsi="Arial" w:cs="Arial"/>
              </w:rPr>
              <w:t xml:space="preserve">the </w:t>
            </w:r>
            <w:r w:rsidRPr="00A40949">
              <w:rPr>
                <w:rFonts w:ascii="Arial" w:hAnsi="Arial" w:cs="Arial"/>
              </w:rPr>
              <w:t>FDA</w:t>
            </w:r>
          </w:p>
        </w:tc>
      </w:tr>
      <w:tr w:rsidR="00923E77" w:rsidRPr="00A40949" w14:paraId="4C4749A0"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6A25AF68" w14:textId="77777777" w:rsidR="00923E77" w:rsidRPr="00A40949" w:rsidRDefault="00923E77" w:rsidP="00740354">
            <w:pPr>
              <w:jc w:val="both"/>
              <w:rPr>
                <w:rFonts w:ascii="Arial" w:hAnsi="Arial" w:cs="Arial"/>
              </w:rPr>
            </w:pPr>
            <w:r w:rsidRPr="00A40949">
              <w:rPr>
                <w:rFonts w:ascii="Arial" w:hAnsi="Arial" w:cs="Arial"/>
              </w:rPr>
              <w:t>Training Data Transparency</w:t>
            </w:r>
          </w:p>
        </w:tc>
        <w:tc>
          <w:tcPr>
            <w:tcW w:w="0" w:type="auto"/>
            <w:hideMark/>
          </w:tcPr>
          <w:p w14:paraId="42C705EB"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GDPR data minimisation and purpose limitation via ICO</w:t>
            </w:r>
          </w:p>
        </w:tc>
        <w:tc>
          <w:tcPr>
            <w:tcW w:w="0" w:type="auto"/>
            <w:hideMark/>
          </w:tcPr>
          <w:p w14:paraId="683AD9BE"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Transparency in training data composition expected</w:t>
            </w:r>
          </w:p>
        </w:tc>
        <w:tc>
          <w:tcPr>
            <w:tcW w:w="0" w:type="auto"/>
            <w:hideMark/>
          </w:tcPr>
          <w:p w14:paraId="34C031E7" w14:textId="0567ADBA" w:rsidR="00923E77" w:rsidRPr="00A40949" w:rsidRDefault="00BD3F18"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w:t>
            </w:r>
            <w:r w:rsidR="00923E77" w:rsidRPr="00A40949">
              <w:rPr>
                <w:rFonts w:ascii="Arial" w:hAnsi="Arial" w:cs="Arial"/>
              </w:rPr>
              <w:t xml:space="preserve">UK requires explainability; </w:t>
            </w:r>
            <w:r>
              <w:rPr>
                <w:rFonts w:ascii="Arial" w:hAnsi="Arial" w:cs="Arial"/>
              </w:rPr>
              <w:t xml:space="preserve">the </w:t>
            </w:r>
            <w:r w:rsidR="00923E77" w:rsidRPr="00A40949">
              <w:rPr>
                <w:rFonts w:ascii="Arial" w:hAnsi="Arial" w:cs="Arial"/>
              </w:rPr>
              <w:t>FDA requires demographic subgroup performance</w:t>
            </w:r>
          </w:p>
        </w:tc>
      </w:tr>
      <w:tr w:rsidR="00923E77" w:rsidRPr="00A40949" w14:paraId="31AAF166" w14:textId="77777777" w:rsidTr="00037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06FBD" w14:textId="77777777" w:rsidR="00923E77" w:rsidRPr="00A40949" w:rsidRDefault="00923E77" w:rsidP="00740354">
            <w:pPr>
              <w:jc w:val="both"/>
              <w:rPr>
                <w:rFonts w:ascii="Arial" w:hAnsi="Arial" w:cs="Arial"/>
              </w:rPr>
            </w:pPr>
            <w:r w:rsidRPr="00A40949">
              <w:rPr>
                <w:rFonts w:ascii="Arial" w:hAnsi="Arial" w:cs="Arial"/>
              </w:rPr>
              <w:t>Liability Framework</w:t>
            </w:r>
          </w:p>
        </w:tc>
        <w:tc>
          <w:tcPr>
            <w:tcW w:w="0" w:type="auto"/>
            <w:hideMark/>
          </w:tcPr>
          <w:p w14:paraId="6E2BA616"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Common law development stage</w:t>
            </w:r>
          </w:p>
        </w:tc>
        <w:tc>
          <w:tcPr>
            <w:tcW w:w="0" w:type="auto"/>
            <w:hideMark/>
          </w:tcPr>
          <w:p w14:paraId="1B8F8092"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Tort law; evolving FDA enforcement</w:t>
            </w:r>
          </w:p>
        </w:tc>
        <w:tc>
          <w:tcPr>
            <w:tcW w:w="0" w:type="auto"/>
            <w:hideMark/>
          </w:tcPr>
          <w:p w14:paraId="6B442E23" w14:textId="4ADE417F"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 xml:space="preserve">Neither jurisdiction has settled </w:t>
            </w:r>
            <w:r w:rsidR="00BD3F18">
              <w:rPr>
                <w:rFonts w:ascii="Arial" w:hAnsi="Arial" w:cs="Arial"/>
              </w:rPr>
              <w:t xml:space="preserve">an </w:t>
            </w:r>
            <w:r w:rsidRPr="00A40949">
              <w:rPr>
                <w:rFonts w:ascii="Arial" w:hAnsi="Arial" w:cs="Arial"/>
              </w:rPr>
              <w:t>AI-specific liability doctrine</w:t>
            </w:r>
          </w:p>
        </w:tc>
      </w:tr>
      <w:tr w:rsidR="00923E77" w:rsidRPr="00A40949" w14:paraId="3C70FDF6" w14:textId="77777777" w:rsidTr="000372A5">
        <w:tc>
          <w:tcPr>
            <w:cnfStyle w:val="001000000000" w:firstRow="0" w:lastRow="0" w:firstColumn="1" w:lastColumn="0" w:oddVBand="0" w:evenVBand="0" w:oddHBand="0" w:evenHBand="0" w:firstRowFirstColumn="0" w:firstRowLastColumn="0" w:lastRowFirstColumn="0" w:lastRowLastColumn="0"/>
            <w:tcW w:w="0" w:type="auto"/>
            <w:hideMark/>
          </w:tcPr>
          <w:p w14:paraId="05FB9320" w14:textId="77777777" w:rsidR="00923E77" w:rsidRPr="00A40949" w:rsidRDefault="00923E77" w:rsidP="00740354">
            <w:pPr>
              <w:jc w:val="both"/>
              <w:rPr>
                <w:rFonts w:ascii="Arial" w:hAnsi="Arial" w:cs="Arial"/>
              </w:rPr>
            </w:pPr>
            <w:r w:rsidRPr="00A40949">
              <w:rPr>
                <w:rFonts w:ascii="Arial" w:hAnsi="Arial" w:cs="Arial"/>
              </w:rPr>
              <w:t>Regulatory Sandbox</w:t>
            </w:r>
          </w:p>
        </w:tc>
        <w:tc>
          <w:tcPr>
            <w:tcW w:w="0" w:type="auto"/>
            <w:hideMark/>
          </w:tcPr>
          <w:p w14:paraId="1F47E787"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No formal mechanism yet</w:t>
            </w:r>
          </w:p>
        </w:tc>
        <w:tc>
          <w:tcPr>
            <w:tcW w:w="0" w:type="auto"/>
            <w:hideMark/>
          </w:tcPr>
          <w:p w14:paraId="2489E2A9"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Limited pilot programmes</w:t>
            </w:r>
          </w:p>
        </w:tc>
        <w:tc>
          <w:tcPr>
            <w:tcW w:w="0" w:type="auto"/>
            <w:hideMark/>
          </w:tcPr>
          <w:p w14:paraId="58C94536" w14:textId="42025AAB"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 xml:space="preserve">Pfizer should advocate for </w:t>
            </w:r>
            <w:r w:rsidR="00BD3F18">
              <w:rPr>
                <w:rFonts w:ascii="Arial" w:hAnsi="Arial" w:cs="Arial"/>
              </w:rPr>
              <w:t xml:space="preserve">a </w:t>
            </w:r>
            <w:r w:rsidRPr="00A40949">
              <w:rPr>
                <w:rFonts w:ascii="Arial" w:hAnsi="Arial" w:cs="Arial"/>
              </w:rPr>
              <w:t xml:space="preserve">bilateral sandbox as </w:t>
            </w:r>
            <w:r w:rsidR="00BD3F18">
              <w:rPr>
                <w:rFonts w:ascii="Arial" w:hAnsi="Arial" w:cs="Arial"/>
              </w:rPr>
              <w:t xml:space="preserve">the </w:t>
            </w:r>
            <w:r w:rsidRPr="00A40949">
              <w:rPr>
                <w:rFonts w:ascii="Arial" w:hAnsi="Arial" w:cs="Arial"/>
              </w:rPr>
              <w:t>first mover</w:t>
            </w:r>
          </w:p>
        </w:tc>
      </w:tr>
    </w:tbl>
    <w:p w14:paraId="7F2A0A4B" w14:textId="08E4F6D5" w:rsidR="00923E77" w:rsidRPr="00A40949" w:rsidRDefault="00923E77" w:rsidP="00AD4190">
      <w:pPr>
        <w:pStyle w:val="Heading2"/>
        <w:rPr>
          <w:rFonts w:cs="Arial"/>
        </w:rPr>
      </w:pPr>
      <w:bookmarkStart w:id="10" w:name="_Toc228020199"/>
      <w:r w:rsidRPr="00A40949">
        <w:rPr>
          <w:rFonts w:cs="Arial"/>
        </w:rPr>
        <w:lastRenderedPageBreak/>
        <w:t>Patient Trust and Algorithmic Opacity</w:t>
      </w:r>
      <w:bookmarkEnd w:id="10"/>
    </w:p>
    <w:p w14:paraId="09D0AE1E" w14:textId="77777777" w:rsidR="0050055A" w:rsidRPr="00A40949" w:rsidRDefault="0050055A" w:rsidP="0050055A">
      <w:pPr>
        <w:jc w:val="both"/>
        <w:rPr>
          <w:rFonts w:ascii="Arial" w:hAnsi="Arial" w:cs="Arial"/>
        </w:rPr>
      </w:pPr>
      <w:r w:rsidRPr="00A40949">
        <w:rPr>
          <w:rFonts w:ascii="Arial" w:hAnsi="Arial" w:cs="Arial"/>
        </w:rPr>
        <w:t>The above sections have covered the technical, governance, and regulatory aspects of the AI risk environment of Pfizer. This part deals with one of the less common but equally important dimensions that are not yet subject to a careful analytical approach in the pharmaceutical AI literature: patient trust dynamics in healthcare mediated by algorithms.</w:t>
      </w:r>
    </w:p>
    <w:p w14:paraId="25B47DE1" w14:textId="2FCE8F50" w:rsidR="0050055A" w:rsidRPr="00A40949" w:rsidRDefault="0050055A" w:rsidP="0050055A">
      <w:pPr>
        <w:jc w:val="both"/>
        <w:rPr>
          <w:rFonts w:ascii="Arial" w:hAnsi="Arial" w:cs="Arial"/>
        </w:rPr>
      </w:pPr>
      <w:r w:rsidRPr="00A40949">
        <w:rPr>
          <w:rFonts w:ascii="Arial" w:hAnsi="Arial" w:cs="Arial"/>
        </w:rPr>
        <w:t xml:space="preserve">The commercial and ethical legitimacy of the AI-assisted development of pharmaceuticals is an enabling condition of trust. Unless patients are willing to provide health information to AI training systems, to </w:t>
      </w:r>
      <w:r w:rsidR="00BD3F18">
        <w:rPr>
          <w:rFonts w:ascii="Arial" w:hAnsi="Arial" w:cs="Arial"/>
        </w:rPr>
        <w:t>enrol</w:t>
      </w:r>
      <w:r w:rsidRPr="00A40949">
        <w:rPr>
          <w:rFonts w:ascii="Arial" w:hAnsi="Arial" w:cs="Arial"/>
        </w:rPr>
        <w:t xml:space="preserve"> in AI-designed clinical trials, and to receive therapeutics the development of which was influenced by algorithmic decision-making, the whole pharmaceutical AI business is exposed to the loss of social licence. In their original model of organisational trust</w:t>
      </w:r>
      <w:r w:rsidR="00BD3F18">
        <w:rPr>
          <w:rFonts w:ascii="Arial" w:hAnsi="Arial" w:cs="Arial"/>
        </w:rPr>
        <w:t>,</w:t>
      </w:r>
      <w:r w:rsidRPr="00A40949">
        <w:rPr>
          <w:rFonts w:ascii="Arial" w:hAnsi="Arial" w:cs="Arial"/>
        </w:rPr>
        <w:t xml:space="preserve"> Mayer, Davis and </w:t>
      </w:r>
      <w:proofErr w:type="spellStart"/>
      <w:r w:rsidRPr="00A40949">
        <w:rPr>
          <w:rFonts w:ascii="Arial" w:hAnsi="Arial" w:cs="Arial"/>
        </w:rPr>
        <w:t>Schoorman</w:t>
      </w:r>
      <w:proofErr w:type="spellEnd"/>
      <w:r w:rsidRPr="00A40949">
        <w:rPr>
          <w:rFonts w:ascii="Arial" w:hAnsi="Arial" w:cs="Arial"/>
        </w:rPr>
        <w:t xml:space="preserve"> (1995) distinguish between three antecedents: ability, competence to do the role of the person being trusted in, benevolence, the will to do what is in the interest of the trustee, and integrity, acting according to acceptable norms. When applied to the AI governance of Pfizer, this framework shows three different vulnerabilities. An ability trust is at risk when AI models make incorrect predictions or go silent during deployment. The benevolence trust is endangered when patients feel that AI investments are aimed at commercial efficiency goals without considering patient welfare. Integrity trust is at risk because the obscurity of algorithm decision-making does not allow patients to comprehend how AI-generated outputs influenced their care trajectories or clinical trial enrolment.</w:t>
      </w:r>
    </w:p>
    <w:p w14:paraId="184DF76F" w14:textId="1F1A28F3" w:rsidR="0050055A" w:rsidRPr="00A40949" w:rsidRDefault="0050055A" w:rsidP="0050055A">
      <w:pPr>
        <w:jc w:val="both"/>
        <w:rPr>
          <w:rFonts w:ascii="Arial" w:hAnsi="Arial" w:cs="Arial"/>
        </w:rPr>
      </w:pPr>
      <w:r w:rsidRPr="00A40949">
        <w:rPr>
          <w:rFonts w:ascii="Arial" w:hAnsi="Arial" w:cs="Arial"/>
        </w:rPr>
        <w:t xml:space="preserve">The issue of algorithmic opaqueness is especially severe in the context of pharmaceutical AI since deep learning models, one of the most efficient frameworks to predict drug-target interactions and model clinical outcomes, are inherently opaque. Williamson and </w:t>
      </w:r>
      <w:proofErr w:type="spellStart"/>
      <w:r w:rsidRPr="00A40949">
        <w:rPr>
          <w:rFonts w:ascii="Arial" w:hAnsi="Arial" w:cs="Arial"/>
        </w:rPr>
        <w:t>Prybutok</w:t>
      </w:r>
      <w:proofErr w:type="spellEnd"/>
      <w:r w:rsidRPr="00A40949">
        <w:rPr>
          <w:rFonts w:ascii="Arial" w:hAnsi="Arial" w:cs="Arial"/>
        </w:rPr>
        <w:t xml:space="preserve"> (2024) report that patients who were informed about the use of AI in their treatment always refer to transparency as the driving factor of consent to AI-assisted care. Zhang and Zhang (2023) put this in terms of governance, with the authors stating that the most unimplemented principle in the existing healthcare AI governance is contestability, which is the right of the patients to be provided with an explanation of the decision made by AI and the ability to challenge the decision made by AI through easily accessible means. Chinta and others (2025) introduce participatory design as an approach of engaging patients with various communities as </w:t>
      </w:r>
      <w:r w:rsidRPr="00A40949">
        <w:rPr>
          <w:rFonts w:ascii="Arial" w:hAnsi="Arial" w:cs="Arial"/>
        </w:rPr>
        <w:lastRenderedPageBreak/>
        <w:t xml:space="preserve">a more effective path to equitable AI results as opposed to </w:t>
      </w:r>
      <w:r w:rsidR="00BD3F18">
        <w:rPr>
          <w:rFonts w:ascii="Arial" w:hAnsi="Arial" w:cs="Arial"/>
        </w:rPr>
        <w:t xml:space="preserve">the </w:t>
      </w:r>
      <w:r w:rsidRPr="00A40949">
        <w:rPr>
          <w:rFonts w:ascii="Arial" w:hAnsi="Arial" w:cs="Arial"/>
        </w:rPr>
        <w:t>optimisation of technical fairness only.</w:t>
      </w:r>
    </w:p>
    <w:p w14:paraId="0ECAF49F" w14:textId="705789FB" w:rsidR="00923E77" w:rsidRPr="00A40949" w:rsidRDefault="0050055A" w:rsidP="0050055A">
      <w:pPr>
        <w:jc w:val="both"/>
        <w:rPr>
          <w:rFonts w:ascii="Arial" w:hAnsi="Arial" w:cs="Arial"/>
        </w:rPr>
      </w:pPr>
      <w:r w:rsidRPr="00A40949">
        <w:rPr>
          <w:rFonts w:ascii="Arial" w:hAnsi="Arial" w:cs="Arial"/>
        </w:rPr>
        <w:t xml:space="preserve">The reaction of Pfizer to the problem of algorithmic </w:t>
      </w:r>
      <w:r w:rsidR="00BD3F18">
        <w:rPr>
          <w:rFonts w:ascii="Arial" w:hAnsi="Arial" w:cs="Arial"/>
        </w:rPr>
        <w:t>opacity</w:t>
      </w:r>
      <w:r w:rsidRPr="00A40949">
        <w:rPr>
          <w:rFonts w:ascii="Arial" w:hAnsi="Arial" w:cs="Arial"/>
        </w:rPr>
        <w:t xml:space="preserve"> should work on three levels. At the technical tier, the company must invest in explainability systems such as SHAP and LIME </w:t>
      </w:r>
      <w:r w:rsidR="00BD3F18">
        <w:rPr>
          <w:rFonts w:ascii="Arial" w:hAnsi="Arial" w:cs="Arial"/>
        </w:rPr>
        <w:t>for</w:t>
      </w:r>
      <w:r w:rsidRPr="00A40949">
        <w:rPr>
          <w:rFonts w:ascii="Arial" w:hAnsi="Arial" w:cs="Arial"/>
        </w:rPr>
        <w:t xml:space="preserve"> all patient-facing and submission-relevant AI outputs, honestly documenting the limitations of those systems instead of purporting them to be full causal explanations. On the governance side, a Patient Trust Advisory Panel of patient advocates, clinical ethicists, and independent data scientists must be authorized to review the design of AI systems and audit the quality of the explanations provided prior to their implementation. On the communication level, a plain language AI Disclosure Standard that is used in all therapeutic fields should inform the patients in clear language when AI has helped in a clinical decision that will impact them and provide a specific method of seeking further clarification. These three interventions target the competence, benevolence and integrity trust antecedents characterized by Mayer and colleagues (1995), establishing competence evidence, exhibiting patient-centred benevolence, and indicating integrity with institutional commitment to transparency that algorithmic opacities are now subverting.</w:t>
      </w:r>
    </w:p>
    <w:p w14:paraId="1B172C24" w14:textId="751A3383" w:rsidR="00923E77" w:rsidRPr="00A40949" w:rsidRDefault="00923E77" w:rsidP="00740354">
      <w:pPr>
        <w:pStyle w:val="Heading1"/>
        <w:numPr>
          <w:ilvl w:val="0"/>
          <w:numId w:val="0"/>
        </w:numPr>
        <w:ind w:left="432" w:hanging="432"/>
        <w:rPr>
          <w:rFonts w:cs="Arial"/>
        </w:rPr>
      </w:pPr>
      <w:bookmarkStart w:id="11" w:name="_Toc228020200"/>
      <w:r w:rsidRPr="00A40949">
        <w:rPr>
          <w:rFonts w:cs="Arial"/>
        </w:rPr>
        <w:t>Implementation Plan</w:t>
      </w:r>
      <w:bookmarkEnd w:id="11"/>
    </w:p>
    <w:p w14:paraId="63051347" w14:textId="583044BA" w:rsidR="00923E77" w:rsidRPr="00A40949" w:rsidRDefault="00475CA4" w:rsidP="00740354">
      <w:pPr>
        <w:jc w:val="both"/>
        <w:rPr>
          <w:rFonts w:ascii="Arial" w:hAnsi="Arial" w:cs="Arial"/>
        </w:rPr>
      </w:pPr>
      <w:r w:rsidRPr="00A40949">
        <w:rPr>
          <w:rFonts w:ascii="Arial" w:hAnsi="Arial" w:cs="Arial"/>
        </w:rPr>
        <w:t xml:space="preserve">The plan below is a translation of the analytical findings in the report into a sequence of academically and industry-benchmarked advisory </w:t>
      </w:r>
      <w:r w:rsidR="00BD3F18">
        <w:rPr>
          <w:rFonts w:ascii="Arial" w:hAnsi="Arial" w:cs="Arial"/>
        </w:rPr>
        <w:t>programmes</w:t>
      </w:r>
      <w:r w:rsidRPr="00A40949">
        <w:rPr>
          <w:rFonts w:ascii="Arial" w:hAnsi="Arial" w:cs="Arial"/>
        </w:rPr>
        <w:t>. The costs are based on the 2024 Deloitte Global AI in Biopharma Survey, which found median AI governance programme investment of USD 4.2 million in mid-phase pharmaceutical companies, and McKinsey 2024 State of AI in Life Sciences, which found federated infrastructure deployment costs ranging between USD 8 and 15 million in enterprise-scale pharmaceutical operations.</w:t>
      </w:r>
    </w:p>
    <w:p w14:paraId="54C17F75" w14:textId="77777777" w:rsidR="00923E77" w:rsidRPr="00A40949" w:rsidRDefault="00923E77" w:rsidP="00740354">
      <w:pPr>
        <w:jc w:val="both"/>
        <w:rPr>
          <w:rFonts w:ascii="Arial" w:hAnsi="Arial" w:cs="Arial"/>
        </w:rPr>
      </w:pPr>
      <w:r w:rsidRPr="00A40949">
        <w:rPr>
          <w:rFonts w:ascii="Arial" w:hAnsi="Arial" w:cs="Arial"/>
        </w:rPr>
        <w:t>Table 5: Pfizer AI Governance Implementation Plan</w:t>
      </w:r>
    </w:p>
    <w:tbl>
      <w:tblPr>
        <w:tblStyle w:val="PlainTable1"/>
        <w:tblW w:w="0" w:type="auto"/>
        <w:tblLook w:val="04A0" w:firstRow="1" w:lastRow="0" w:firstColumn="1" w:lastColumn="0" w:noHBand="0" w:noVBand="1"/>
      </w:tblPr>
      <w:tblGrid>
        <w:gridCol w:w="1558"/>
        <w:gridCol w:w="1364"/>
        <w:gridCol w:w="1711"/>
        <w:gridCol w:w="1292"/>
        <w:gridCol w:w="1305"/>
        <w:gridCol w:w="1786"/>
      </w:tblGrid>
      <w:tr w:rsidR="00923E77" w:rsidRPr="00A40949" w14:paraId="36C73F2B" w14:textId="77777777" w:rsidTr="00475C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437E3A" w14:textId="77777777" w:rsidR="00923E77" w:rsidRPr="00A40949" w:rsidRDefault="00923E77" w:rsidP="00740354">
            <w:pPr>
              <w:jc w:val="both"/>
              <w:rPr>
                <w:rFonts w:ascii="Arial" w:hAnsi="Arial" w:cs="Arial"/>
              </w:rPr>
            </w:pPr>
            <w:r w:rsidRPr="00A40949">
              <w:rPr>
                <w:rFonts w:ascii="Arial" w:hAnsi="Arial" w:cs="Arial"/>
              </w:rPr>
              <w:t>Phase</w:t>
            </w:r>
          </w:p>
        </w:tc>
        <w:tc>
          <w:tcPr>
            <w:tcW w:w="1414" w:type="dxa"/>
            <w:hideMark/>
          </w:tcPr>
          <w:p w14:paraId="1E4E3EEE"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Timeframe</w:t>
            </w:r>
          </w:p>
        </w:tc>
        <w:tc>
          <w:tcPr>
            <w:tcW w:w="1775" w:type="dxa"/>
            <w:hideMark/>
          </w:tcPr>
          <w:p w14:paraId="3AD0EB5B"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Key Actions</w:t>
            </w:r>
          </w:p>
        </w:tc>
        <w:tc>
          <w:tcPr>
            <w:tcW w:w="0" w:type="auto"/>
            <w:hideMark/>
          </w:tcPr>
          <w:p w14:paraId="7BE1D30E"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Academic Basis</w:t>
            </w:r>
          </w:p>
        </w:tc>
        <w:tc>
          <w:tcPr>
            <w:tcW w:w="0" w:type="auto"/>
            <w:hideMark/>
          </w:tcPr>
          <w:p w14:paraId="216AA77D"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Estimated Cost</w:t>
            </w:r>
          </w:p>
        </w:tc>
        <w:tc>
          <w:tcPr>
            <w:tcW w:w="0" w:type="auto"/>
            <w:hideMark/>
          </w:tcPr>
          <w:p w14:paraId="13A8335D" w14:textId="77777777" w:rsidR="00923E77" w:rsidRPr="00A40949" w:rsidRDefault="00923E77" w:rsidP="00740354">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Accountability</w:t>
            </w:r>
          </w:p>
        </w:tc>
      </w:tr>
      <w:tr w:rsidR="00923E77" w:rsidRPr="00A40949" w14:paraId="78E6C772" w14:textId="77777777" w:rsidTr="00475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F19EF" w14:textId="77777777" w:rsidR="00923E77" w:rsidRPr="00A40949" w:rsidRDefault="00923E77" w:rsidP="00740354">
            <w:pPr>
              <w:jc w:val="both"/>
              <w:rPr>
                <w:rFonts w:ascii="Arial" w:hAnsi="Arial" w:cs="Arial"/>
              </w:rPr>
            </w:pPr>
            <w:r w:rsidRPr="00A40949">
              <w:rPr>
                <w:rFonts w:ascii="Arial" w:hAnsi="Arial" w:cs="Arial"/>
              </w:rPr>
              <w:t>Phase 1: Foundation</w:t>
            </w:r>
          </w:p>
        </w:tc>
        <w:tc>
          <w:tcPr>
            <w:tcW w:w="1414" w:type="dxa"/>
            <w:hideMark/>
          </w:tcPr>
          <w:p w14:paraId="682299F9"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0-12 months</w:t>
            </w:r>
          </w:p>
        </w:tc>
        <w:tc>
          <w:tcPr>
            <w:tcW w:w="1775" w:type="dxa"/>
            <w:hideMark/>
          </w:tcPr>
          <w:p w14:paraId="1279CF7C" w14:textId="72E3F35E"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 xml:space="preserve">Establish AI Governance Council; baseline bias audit using Challen et al. (2019) taxonomy; unified </w:t>
            </w:r>
            <w:r w:rsidRPr="00A40949">
              <w:rPr>
                <w:rFonts w:ascii="Arial" w:hAnsi="Arial" w:cs="Arial"/>
              </w:rPr>
              <w:lastRenderedPageBreak/>
              <w:t>MHRA/FDA documentation standard; appoint Chief AI Ethics Officer; establish Patient Trust Advisory Panel; initiate regulatory sandbox proposal</w:t>
            </w:r>
            <w:r w:rsidR="00BD3F18">
              <w:rPr>
                <w:rFonts w:ascii="Arial" w:hAnsi="Arial" w:cs="Arial"/>
              </w:rPr>
              <w:t>.</w:t>
            </w:r>
          </w:p>
        </w:tc>
        <w:tc>
          <w:tcPr>
            <w:tcW w:w="0" w:type="auto"/>
            <w:hideMark/>
          </w:tcPr>
          <w:p w14:paraId="66197C58"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lastRenderedPageBreak/>
              <w:t>Challen et al. (2019); FDA (2025); Mayer et al. (1995)</w:t>
            </w:r>
          </w:p>
        </w:tc>
        <w:tc>
          <w:tcPr>
            <w:tcW w:w="0" w:type="auto"/>
            <w:hideMark/>
          </w:tcPr>
          <w:p w14:paraId="7AC433ED"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USD 3.5-5M</w:t>
            </w:r>
          </w:p>
        </w:tc>
        <w:tc>
          <w:tcPr>
            <w:tcW w:w="0" w:type="auto"/>
            <w:hideMark/>
          </w:tcPr>
          <w:p w14:paraId="540903E2"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Chief Scientific Officer and General Counsel</w:t>
            </w:r>
          </w:p>
        </w:tc>
      </w:tr>
      <w:tr w:rsidR="00923E77" w:rsidRPr="00A40949" w14:paraId="4EE87FAD" w14:textId="77777777" w:rsidTr="00475CA4">
        <w:tc>
          <w:tcPr>
            <w:cnfStyle w:val="001000000000" w:firstRow="0" w:lastRow="0" w:firstColumn="1" w:lastColumn="0" w:oddVBand="0" w:evenVBand="0" w:oddHBand="0" w:evenHBand="0" w:firstRowFirstColumn="0" w:firstRowLastColumn="0" w:lastRowFirstColumn="0" w:lastRowLastColumn="0"/>
            <w:tcW w:w="0" w:type="auto"/>
            <w:hideMark/>
          </w:tcPr>
          <w:p w14:paraId="487E5228" w14:textId="77777777" w:rsidR="00923E77" w:rsidRPr="00A40949" w:rsidRDefault="00923E77" w:rsidP="00740354">
            <w:pPr>
              <w:jc w:val="both"/>
              <w:rPr>
                <w:rFonts w:ascii="Arial" w:hAnsi="Arial" w:cs="Arial"/>
              </w:rPr>
            </w:pPr>
            <w:r w:rsidRPr="00A40949">
              <w:rPr>
                <w:rFonts w:ascii="Arial" w:hAnsi="Arial" w:cs="Arial"/>
              </w:rPr>
              <w:t>Phase 2: Architecture</w:t>
            </w:r>
          </w:p>
        </w:tc>
        <w:tc>
          <w:tcPr>
            <w:tcW w:w="1414" w:type="dxa"/>
            <w:hideMark/>
          </w:tcPr>
          <w:p w14:paraId="3122982E"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12-24 months</w:t>
            </w:r>
          </w:p>
        </w:tc>
        <w:tc>
          <w:tcPr>
            <w:tcW w:w="1775" w:type="dxa"/>
            <w:hideMark/>
          </w:tcPr>
          <w:p w14:paraId="1734F9C6" w14:textId="0B882F1E"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Deploy federated learning infrastructure; integrate differential privacy protocols across discovery platforms; pilot PROBAST+AI in two therapeutic areas; embed SHAP and LIME explainability in patient-facing outputs; operationalise AI Risk Governance Matrix</w:t>
            </w:r>
            <w:r w:rsidR="00BD3F18">
              <w:rPr>
                <w:rFonts w:ascii="Arial" w:hAnsi="Arial" w:cs="Arial"/>
              </w:rPr>
              <w:t>.</w:t>
            </w:r>
          </w:p>
        </w:tc>
        <w:tc>
          <w:tcPr>
            <w:tcW w:w="0" w:type="auto"/>
            <w:hideMark/>
          </w:tcPr>
          <w:p w14:paraId="665EEB55"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Rieke et al. (2020); Li et al. (2025); Khalid et al. (2023); Moons et al. (2025)</w:t>
            </w:r>
          </w:p>
        </w:tc>
        <w:tc>
          <w:tcPr>
            <w:tcW w:w="0" w:type="auto"/>
            <w:hideMark/>
          </w:tcPr>
          <w:p w14:paraId="627703E1"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USD 8-12M</w:t>
            </w:r>
          </w:p>
        </w:tc>
        <w:tc>
          <w:tcPr>
            <w:tcW w:w="0" w:type="auto"/>
            <w:hideMark/>
          </w:tcPr>
          <w:p w14:paraId="0ADCAD14" w14:textId="77777777" w:rsidR="00923E77" w:rsidRPr="00A40949" w:rsidRDefault="00923E77" w:rsidP="00740354">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40949">
              <w:rPr>
                <w:rFonts w:ascii="Arial" w:hAnsi="Arial" w:cs="Arial"/>
              </w:rPr>
              <w:t>CTO and Head of Clinical Operations</w:t>
            </w:r>
          </w:p>
        </w:tc>
      </w:tr>
      <w:tr w:rsidR="00923E77" w:rsidRPr="00A40949" w14:paraId="2E478560" w14:textId="77777777" w:rsidTr="00475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76FE84" w14:textId="77777777" w:rsidR="00923E77" w:rsidRPr="00A40949" w:rsidRDefault="00923E77" w:rsidP="00740354">
            <w:pPr>
              <w:jc w:val="both"/>
              <w:rPr>
                <w:rFonts w:ascii="Arial" w:hAnsi="Arial" w:cs="Arial"/>
              </w:rPr>
            </w:pPr>
            <w:r w:rsidRPr="00A40949">
              <w:rPr>
                <w:rFonts w:ascii="Arial" w:hAnsi="Arial" w:cs="Arial"/>
              </w:rPr>
              <w:t>Phase 3: Maturity</w:t>
            </w:r>
          </w:p>
        </w:tc>
        <w:tc>
          <w:tcPr>
            <w:tcW w:w="1414" w:type="dxa"/>
            <w:hideMark/>
          </w:tcPr>
          <w:p w14:paraId="180EF2A9"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24-36 months</w:t>
            </w:r>
          </w:p>
        </w:tc>
        <w:tc>
          <w:tcPr>
            <w:tcW w:w="1775" w:type="dxa"/>
            <w:hideMark/>
          </w:tcPr>
          <w:p w14:paraId="107FF5AB" w14:textId="5EB04488"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 xml:space="preserve">Integrate fairness auditing into trial protocol approval workflow; publish annual AI Transparency Report; achieve </w:t>
            </w:r>
            <w:r w:rsidRPr="00A40949">
              <w:rPr>
                <w:rFonts w:ascii="Arial" w:hAnsi="Arial" w:cs="Arial"/>
              </w:rPr>
              <w:lastRenderedPageBreak/>
              <w:t>bilateral regulatory sandbox participation; operationalise plain-language AI Disclosure Standard; full ISO 31000 matrix review</w:t>
            </w:r>
            <w:r w:rsidR="00BD3F18">
              <w:rPr>
                <w:rFonts w:ascii="Arial" w:hAnsi="Arial" w:cs="Arial"/>
              </w:rPr>
              <w:t>.</w:t>
            </w:r>
          </w:p>
        </w:tc>
        <w:tc>
          <w:tcPr>
            <w:tcW w:w="0" w:type="auto"/>
            <w:hideMark/>
          </w:tcPr>
          <w:p w14:paraId="18006469"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lastRenderedPageBreak/>
              <w:t>Cross et al. (2024); Zhang and Zhang (2023); Batool et al. (2025)</w:t>
            </w:r>
          </w:p>
        </w:tc>
        <w:tc>
          <w:tcPr>
            <w:tcW w:w="0" w:type="auto"/>
            <w:hideMark/>
          </w:tcPr>
          <w:p w14:paraId="6218C7F7"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USD 5-8M</w:t>
            </w:r>
          </w:p>
        </w:tc>
        <w:tc>
          <w:tcPr>
            <w:tcW w:w="0" w:type="auto"/>
            <w:hideMark/>
          </w:tcPr>
          <w:p w14:paraId="6BBC34EE" w14:textId="77777777" w:rsidR="00923E77" w:rsidRPr="00A40949" w:rsidRDefault="00923E77" w:rsidP="00740354">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40949">
              <w:rPr>
                <w:rFonts w:ascii="Arial" w:hAnsi="Arial" w:cs="Arial"/>
              </w:rPr>
              <w:t>Board AI Committee</w:t>
            </w:r>
          </w:p>
        </w:tc>
      </w:tr>
    </w:tbl>
    <w:p w14:paraId="5914A7C7" w14:textId="26A85AB9" w:rsidR="00923E77" w:rsidRPr="00A40949" w:rsidRDefault="00475CA4" w:rsidP="00740354">
      <w:pPr>
        <w:jc w:val="both"/>
        <w:rPr>
          <w:rFonts w:ascii="Arial" w:hAnsi="Arial" w:cs="Arial"/>
        </w:rPr>
      </w:pPr>
      <w:r w:rsidRPr="00A40949">
        <w:rPr>
          <w:rFonts w:ascii="Arial" w:hAnsi="Arial" w:cs="Arial"/>
        </w:rPr>
        <w:t xml:space="preserve">Estimated three-year investment: USD 17-25 million, which is about 0.03 to 0.04 </w:t>
      </w:r>
      <w:r w:rsidR="00BD3F18">
        <w:rPr>
          <w:rFonts w:ascii="Arial" w:hAnsi="Arial" w:cs="Arial"/>
        </w:rPr>
        <w:t>per cent of Pfizer's yearly revenue</w:t>
      </w:r>
      <w:r w:rsidRPr="00A40949">
        <w:rPr>
          <w:rFonts w:ascii="Arial" w:hAnsi="Arial" w:cs="Arial"/>
        </w:rPr>
        <w:t>. This is a commensurate amount of expenditure considering the compliance, reputational and competitive risk profile as reported in this report.</w:t>
      </w:r>
    </w:p>
    <w:p w14:paraId="087565AC" w14:textId="7DA5FDB0" w:rsidR="00923E77" w:rsidRPr="00A40949" w:rsidRDefault="00923E77" w:rsidP="00740354">
      <w:pPr>
        <w:pStyle w:val="Heading1"/>
        <w:numPr>
          <w:ilvl w:val="0"/>
          <w:numId w:val="0"/>
        </w:numPr>
        <w:ind w:left="432" w:hanging="432"/>
        <w:rPr>
          <w:rFonts w:cs="Arial"/>
        </w:rPr>
      </w:pPr>
      <w:bookmarkStart w:id="12" w:name="_Toc228020201"/>
      <w:r w:rsidRPr="00A40949">
        <w:rPr>
          <w:rFonts w:cs="Arial"/>
        </w:rPr>
        <w:t>Conclusion</w:t>
      </w:r>
      <w:bookmarkEnd w:id="12"/>
    </w:p>
    <w:p w14:paraId="0F8310B7" w14:textId="49A4EC0F" w:rsidR="00475CA4" w:rsidRPr="00A40949" w:rsidRDefault="00475CA4" w:rsidP="00475CA4">
      <w:pPr>
        <w:jc w:val="both"/>
        <w:rPr>
          <w:rFonts w:ascii="Arial" w:hAnsi="Arial" w:cs="Arial"/>
        </w:rPr>
      </w:pPr>
      <w:r w:rsidRPr="00A40949">
        <w:rPr>
          <w:rFonts w:ascii="Arial" w:hAnsi="Arial" w:cs="Arial"/>
        </w:rPr>
        <w:t xml:space="preserve">This report has contended that the quality of the Pfizer governance architecture cannot be divorced </w:t>
      </w:r>
      <w:r w:rsidR="00BD3F18">
        <w:rPr>
          <w:rFonts w:ascii="Arial" w:hAnsi="Arial" w:cs="Arial"/>
        </w:rPr>
        <w:t>from</w:t>
      </w:r>
      <w:r w:rsidRPr="00A40949">
        <w:rPr>
          <w:rFonts w:ascii="Arial" w:hAnsi="Arial" w:cs="Arial"/>
        </w:rPr>
        <w:t xml:space="preserve"> its competitive position in the AI-enabled pharmaceutical environment. Porters 5 forces analysis shows a competitive environment where the entry of technology companies, supplier concentrated markets and commoditising discovery tools are weakening traditional barriers safeguarding existing pharmaceutical companies and where credibility in governance is being found to be the main differentiator among peer competitors. The PESTLE and macroeconomic analysis shows that high interest rates, fluctuations in exchange rates and fragmentation in trade of technology all place restrictions on AI capital allocation that strategic planning </w:t>
      </w:r>
      <w:proofErr w:type="spellStart"/>
      <w:r w:rsidRPr="00A40949">
        <w:rPr>
          <w:rFonts w:ascii="Arial" w:hAnsi="Arial" w:cs="Arial"/>
        </w:rPr>
        <w:t>can not</w:t>
      </w:r>
      <w:proofErr w:type="spellEnd"/>
      <w:r w:rsidRPr="00A40949">
        <w:rPr>
          <w:rFonts w:ascii="Arial" w:hAnsi="Arial" w:cs="Arial"/>
        </w:rPr>
        <w:t xml:space="preserve"> responsibly disregard. The data governance analysis, algorithmic bias analysis, and patient trust analysis all lead to one conclusion: the integrity of the Pfizer AI outputs is not a technical quality of the models that run in the systems but a governance quality of the institutional system in which the models run.</w:t>
      </w:r>
    </w:p>
    <w:p w14:paraId="3224EC70" w14:textId="00F73A94" w:rsidR="00475CA4" w:rsidRPr="00A40949" w:rsidRDefault="00475CA4" w:rsidP="00475CA4">
      <w:pPr>
        <w:jc w:val="both"/>
        <w:rPr>
          <w:rFonts w:ascii="Arial" w:hAnsi="Arial" w:cs="Arial"/>
        </w:rPr>
      </w:pPr>
      <w:r w:rsidRPr="00A40949">
        <w:rPr>
          <w:rFonts w:ascii="Arial" w:hAnsi="Arial" w:cs="Arial"/>
        </w:rPr>
        <w:t>The Pfizer AI Risk Governance Matrix</w:t>
      </w:r>
      <w:r w:rsidR="00BD3F18">
        <w:rPr>
          <w:rFonts w:ascii="Arial" w:hAnsi="Arial" w:cs="Arial"/>
        </w:rPr>
        <w:t>, created as a part of the report, is an innovative contribution: the combination of the PESTLE dimensions with the ISO 31000 risk process categories and functional assignment of the risk domain makes</w:t>
      </w:r>
      <w:r w:rsidRPr="00A40949">
        <w:rPr>
          <w:rFonts w:ascii="Arial" w:hAnsi="Arial" w:cs="Arial"/>
        </w:rPr>
        <w:t xml:space="preserve"> this framework a static analysis framework into a continuous operation governance cycle. The regulatory sandbox proposal is a second original contribution, which provides Pfizer with the first-mover advantage to address the MHRA/FDA documentation divergence as a systemic market risk identified by Pham (2025), instead of having to </w:t>
      </w:r>
      <w:r w:rsidRPr="00A40949">
        <w:rPr>
          <w:rFonts w:ascii="Arial" w:hAnsi="Arial" w:cs="Arial"/>
        </w:rPr>
        <w:lastRenderedPageBreak/>
        <w:t>wait to reach convergence by the more gradual process of multilateral regulatory dialogue.</w:t>
      </w:r>
    </w:p>
    <w:p w14:paraId="1565469B" w14:textId="4D8F41C1" w:rsidR="000372A5" w:rsidRPr="00A40949" w:rsidRDefault="00475CA4" w:rsidP="00475CA4">
      <w:pPr>
        <w:jc w:val="both"/>
        <w:rPr>
          <w:rFonts w:ascii="Arial" w:hAnsi="Arial" w:cs="Arial"/>
        </w:rPr>
      </w:pPr>
      <w:r w:rsidRPr="00A40949">
        <w:rPr>
          <w:rFonts w:ascii="Arial" w:hAnsi="Arial" w:cs="Arial"/>
        </w:rPr>
        <w:t>The most urgent board risk scenario that requires attention is as follows. Unless Pfizer aligns its standards for MHRA and FDA submissions of AI applications by 2027 and has a functioning AI Governance Council with board responsibility by 2026, a high-profile adverse event involving AI in a clinical trial, or a regulatory disallowance of an AI-based submission in either jurisdiction, would cascade into simultaneous scrutiny by both the MHRA and FDA, leading to However, in a competitive world where AstraZeneca, Novartis, and Google DeepMind are all spending heavily on AI governance credibility, Pfizer cannot risk being the company where AI governance failure turns into the cautionary example of the pharmaceutical industry.</w:t>
      </w:r>
    </w:p>
    <w:p w14:paraId="7FA2F90F" w14:textId="77777777" w:rsidR="000372A5" w:rsidRPr="00A40949" w:rsidRDefault="000372A5">
      <w:pPr>
        <w:rPr>
          <w:rFonts w:ascii="Arial" w:hAnsi="Arial" w:cs="Arial"/>
        </w:rPr>
      </w:pPr>
      <w:r w:rsidRPr="00A40949">
        <w:rPr>
          <w:rFonts w:ascii="Arial" w:hAnsi="Arial" w:cs="Arial"/>
        </w:rPr>
        <w:br w:type="page"/>
      </w:r>
    </w:p>
    <w:p w14:paraId="44F3B050" w14:textId="0AD7D5AC" w:rsidR="00923E77" w:rsidRPr="00A40949" w:rsidRDefault="000372A5" w:rsidP="000372A5">
      <w:pPr>
        <w:pStyle w:val="Heading1"/>
        <w:numPr>
          <w:ilvl w:val="0"/>
          <w:numId w:val="0"/>
        </w:numPr>
        <w:ind w:left="432" w:hanging="432"/>
        <w:rPr>
          <w:rFonts w:cs="Arial"/>
        </w:rPr>
      </w:pPr>
      <w:bookmarkStart w:id="13" w:name="_Toc228020202"/>
      <w:r w:rsidRPr="00A40949">
        <w:rPr>
          <w:rFonts w:cs="Arial"/>
        </w:rPr>
        <w:lastRenderedPageBreak/>
        <w:t>References</w:t>
      </w:r>
      <w:bookmarkEnd w:id="13"/>
    </w:p>
    <w:p w14:paraId="665BB01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Ahmed, M.M., </w:t>
      </w:r>
      <w:proofErr w:type="spellStart"/>
      <w:r w:rsidRPr="00A40949">
        <w:rPr>
          <w:rFonts w:ascii="Arial" w:hAnsi="Arial" w:cs="Arial"/>
        </w:rPr>
        <w:t>Okesanya</w:t>
      </w:r>
      <w:proofErr w:type="spellEnd"/>
      <w:r w:rsidRPr="00A40949">
        <w:rPr>
          <w:rFonts w:ascii="Arial" w:hAnsi="Arial" w:cs="Arial"/>
        </w:rPr>
        <w:t xml:space="preserve">, O.J., </w:t>
      </w:r>
      <w:proofErr w:type="spellStart"/>
      <w:r w:rsidRPr="00A40949">
        <w:rPr>
          <w:rFonts w:ascii="Arial" w:hAnsi="Arial" w:cs="Arial"/>
        </w:rPr>
        <w:t>Oweidat</w:t>
      </w:r>
      <w:proofErr w:type="spellEnd"/>
      <w:r w:rsidRPr="00A40949">
        <w:rPr>
          <w:rFonts w:ascii="Arial" w:hAnsi="Arial" w:cs="Arial"/>
        </w:rPr>
        <w:t>, M., Othman, Z.K., Musa, S.S. and Lucero-</w:t>
      </w:r>
      <w:proofErr w:type="spellStart"/>
      <w:r w:rsidRPr="00A40949">
        <w:rPr>
          <w:rFonts w:ascii="Arial" w:hAnsi="Arial" w:cs="Arial"/>
        </w:rPr>
        <w:t>Prisno</w:t>
      </w:r>
      <w:proofErr w:type="spellEnd"/>
      <w:r w:rsidRPr="00A40949">
        <w:rPr>
          <w:rFonts w:ascii="Arial" w:hAnsi="Arial" w:cs="Arial"/>
        </w:rPr>
        <w:t xml:space="preserve"> III, D.E. (2025). The ethics of data mining in healthcare: challenges, frameworks, and future directions. </w:t>
      </w:r>
      <w:proofErr w:type="spellStart"/>
      <w:r w:rsidRPr="00A40949">
        <w:rPr>
          <w:rFonts w:ascii="Arial" w:hAnsi="Arial" w:cs="Arial"/>
        </w:rPr>
        <w:t>BioData</w:t>
      </w:r>
      <w:proofErr w:type="spellEnd"/>
      <w:r w:rsidRPr="00A40949">
        <w:rPr>
          <w:rFonts w:ascii="Arial" w:hAnsi="Arial" w:cs="Arial"/>
        </w:rPr>
        <w:t xml:space="preserve"> Mining, 18(1). </w:t>
      </w:r>
      <w:proofErr w:type="spellStart"/>
      <w:r w:rsidRPr="00A40949">
        <w:rPr>
          <w:rFonts w:ascii="Arial" w:hAnsi="Arial" w:cs="Arial"/>
        </w:rPr>
        <w:t>doi:https</w:t>
      </w:r>
      <w:proofErr w:type="spellEnd"/>
      <w:r w:rsidRPr="00A40949">
        <w:rPr>
          <w:rFonts w:ascii="Arial" w:hAnsi="Arial" w:cs="Arial"/>
        </w:rPr>
        <w:t>://doi.org/10.1186/s13040-025-00461-w.</w:t>
      </w:r>
    </w:p>
    <w:p w14:paraId="66808CB2" w14:textId="468A98E2"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Askin, S., Burkhalter, D., Calado, G. and Samar El </w:t>
      </w:r>
      <w:proofErr w:type="spellStart"/>
      <w:r w:rsidRPr="00A40949">
        <w:rPr>
          <w:rFonts w:ascii="Arial" w:hAnsi="Arial" w:cs="Arial"/>
        </w:rPr>
        <w:t>Dakrouni</w:t>
      </w:r>
      <w:proofErr w:type="spellEnd"/>
      <w:r w:rsidRPr="00A40949">
        <w:rPr>
          <w:rFonts w:ascii="Arial" w:hAnsi="Arial" w:cs="Arial"/>
        </w:rPr>
        <w:t xml:space="preserve"> (2023). Artificial intelligence applied to clinical trials: Opportunities and challenges. Artificial Intelligence Applied to </w:t>
      </w:r>
      <w:r w:rsidR="00BD3F18">
        <w:rPr>
          <w:rFonts w:ascii="Arial" w:hAnsi="Arial" w:cs="Arial"/>
        </w:rPr>
        <w:t>Clinical Trials: Opportunities and Challenges</w:t>
      </w:r>
      <w:r w:rsidRPr="00A40949">
        <w:rPr>
          <w:rFonts w:ascii="Arial" w:hAnsi="Arial" w:cs="Arial"/>
        </w:rPr>
        <w:t xml:space="preserve">, [online] 13(2). </w:t>
      </w:r>
      <w:proofErr w:type="spellStart"/>
      <w:r w:rsidRPr="00A40949">
        <w:rPr>
          <w:rFonts w:ascii="Arial" w:hAnsi="Arial" w:cs="Arial"/>
        </w:rPr>
        <w:t>doi:https</w:t>
      </w:r>
      <w:proofErr w:type="spellEnd"/>
      <w:r w:rsidRPr="00A40949">
        <w:rPr>
          <w:rFonts w:ascii="Arial" w:hAnsi="Arial" w:cs="Arial"/>
        </w:rPr>
        <w:t>://doi.org/10.1007/s12553-023-00738-2.</w:t>
      </w:r>
    </w:p>
    <w:p w14:paraId="6CA27708"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Bajwa, J., Munir, U., Nori, A. and Williams, B. (2021). Artificial intelligence in healthcare: Transforming the practice of medicine. Future Healthcare Journal, [online] 8(2), pp.188–194. </w:t>
      </w:r>
      <w:proofErr w:type="spellStart"/>
      <w:r w:rsidRPr="00A40949">
        <w:rPr>
          <w:rFonts w:ascii="Arial" w:hAnsi="Arial" w:cs="Arial"/>
        </w:rPr>
        <w:t>doi:https</w:t>
      </w:r>
      <w:proofErr w:type="spellEnd"/>
      <w:r w:rsidRPr="00A40949">
        <w:rPr>
          <w:rFonts w:ascii="Arial" w:hAnsi="Arial" w:cs="Arial"/>
        </w:rPr>
        <w:t>://doi.org/10.7861/fhj.2021-0095.</w:t>
      </w:r>
    </w:p>
    <w:p w14:paraId="2FBD5D1A"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Batool, A., </w:t>
      </w:r>
      <w:proofErr w:type="spellStart"/>
      <w:r w:rsidRPr="00A40949">
        <w:rPr>
          <w:rFonts w:ascii="Arial" w:hAnsi="Arial" w:cs="Arial"/>
        </w:rPr>
        <w:t>Zowghi</w:t>
      </w:r>
      <w:proofErr w:type="spellEnd"/>
      <w:r w:rsidRPr="00A40949">
        <w:rPr>
          <w:rFonts w:ascii="Arial" w:hAnsi="Arial" w:cs="Arial"/>
        </w:rPr>
        <w:t xml:space="preserve">, D. and Bano, M. (2025). AI governance: A systematic literature review. AI and Ethics, [online] 5. </w:t>
      </w:r>
      <w:proofErr w:type="spellStart"/>
      <w:r w:rsidRPr="00A40949">
        <w:rPr>
          <w:rFonts w:ascii="Arial" w:hAnsi="Arial" w:cs="Arial"/>
        </w:rPr>
        <w:t>doi:https</w:t>
      </w:r>
      <w:proofErr w:type="spellEnd"/>
      <w:r w:rsidRPr="00A40949">
        <w:rPr>
          <w:rFonts w:ascii="Arial" w:hAnsi="Arial" w:cs="Arial"/>
        </w:rPr>
        <w:t>://doi.org/10.1007/s43681-024-00653-w.</w:t>
      </w:r>
    </w:p>
    <w:p w14:paraId="0EA97734" w14:textId="77777777" w:rsidR="00A40949" w:rsidRPr="00A40949" w:rsidRDefault="00A40949" w:rsidP="00A40949">
      <w:pPr>
        <w:pStyle w:val="NormalWeb"/>
        <w:spacing w:before="0" w:beforeAutospacing="0" w:after="240" w:afterAutospacing="0" w:line="360" w:lineRule="auto"/>
        <w:jc w:val="both"/>
        <w:rPr>
          <w:rFonts w:ascii="Arial" w:hAnsi="Arial" w:cs="Arial"/>
        </w:rPr>
      </w:pPr>
      <w:proofErr w:type="spellStart"/>
      <w:r w:rsidRPr="00A40949">
        <w:rPr>
          <w:rFonts w:ascii="Arial" w:hAnsi="Arial" w:cs="Arial"/>
        </w:rPr>
        <w:t>Bouderhem</w:t>
      </w:r>
      <w:proofErr w:type="spellEnd"/>
      <w:r w:rsidRPr="00A40949">
        <w:rPr>
          <w:rFonts w:ascii="Arial" w:hAnsi="Arial" w:cs="Arial"/>
        </w:rPr>
        <w:t xml:space="preserve">, R. (2024). Shaping the future of AI in healthcare through ethics and governance. Humanities and Social Sciences Communications, [online] 11(1), pp.1–12. </w:t>
      </w:r>
      <w:proofErr w:type="spellStart"/>
      <w:r w:rsidRPr="00A40949">
        <w:rPr>
          <w:rFonts w:ascii="Arial" w:hAnsi="Arial" w:cs="Arial"/>
        </w:rPr>
        <w:t>doi:https</w:t>
      </w:r>
      <w:proofErr w:type="spellEnd"/>
      <w:r w:rsidRPr="00A40949">
        <w:rPr>
          <w:rFonts w:ascii="Arial" w:hAnsi="Arial" w:cs="Arial"/>
        </w:rPr>
        <w:t>://doi.org/10.1057/s41599-024-02894-w.</w:t>
      </w:r>
    </w:p>
    <w:p w14:paraId="164EC7AE"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Carini, C. and Seyhan, A.A. (2024). Tribulations and future opportunities for artificial intelligence in precision medicine. Journal of Translational Medicine, 22(1). </w:t>
      </w:r>
      <w:proofErr w:type="spellStart"/>
      <w:r w:rsidRPr="00A40949">
        <w:rPr>
          <w:rFonts w:ascii="Arial" w:hAnsi="Arial" w:cs="Arial"/>
        </w:rPr>
        <w:t>doi:https</w:t>
      </w:r>
      <w:proofErr w:type="spellEnd"/>
      <w:r w:rsidRPr="00A40949">
        <w:rPr>
          <w:rFonts w:ascii="Arial" w:hAnsi="Arial" w:cs="Arial"/>
        </w:rPr>
        <w:t>://doi.org/10.1186/s12967-024-05067-0.</w:t>
      </w:r>
    </w:p>
    <w:p w14:paraId="674F241E"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Challen, R., Denny, J., Pitt, M., </w:t>
      </w:r>
      <w:proofErr w:type="spellStart"/>
      <w:r w:rsidRPr="00A40949">
        <w:rPr>
          <w:rFonts w:ascii="Arial" w:hAnsi="Arial" w:cs="Arial"/>
        </w:rPr>
        <w:t>Gompels</w:t>
      </w:r>
      <w:proofErr w:type="spellEnd"/>
      <w:r w:rsidRPr="00A40949">
        <w:rPr>
          <w:rFonts w:ascii="Arial" w:hAnsi="Arial" w:cs="Arial"/>
        </w:rPr>
        <w:t xml:space="preserve">, L., Edwards, T. and Tsaneva-Atanasova, K. (2019). Artificial intelligence, bias and clinical safety. BMJ Quality &amp; Safety, [online] 28(3), pp.231–237. </w:t>
      </w:r>
      <w:proofErr w:type="spellStart"/>
      <w:r w:rsidRPr="00A40949">
        <w:rPr>
          <w:rFonts w:ascii="Arial" w:hAnsi="Arial" w:cs="Arial"/>
        </w:rPr>
        <w:t>doi:https</w:t>
      </w:r>
      <w:proofErr w:type="spellEnd"/>
      <w:r w:rsidRPr="00A40949">
        <w:rPr>
          <w:rFonts w:ascii="Arial" w:hAnsi="Arial" w:cs="Arial"/>
        </w:rPr>
        <w:t>://doi.org/10.1136/bmjqs-2018-008370.</w:t>
      </w:r>
    </w:p>
    <w:p w14:paraId="62297ECB"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Chen, R.J., Wang, J.J., Williamson, D., Chen, T.Y., </w:t>
      </w:r>
      <w:proofErr w:type="spellStart"/>
      <w:r w:rsidRPr="00A40949">
        <w:rPr>
          <w:rFonts w:ascii="Arial" w:hAnsi="Arial" w:cs="Arial"/>
        </w:rPr>
        <w:t>Lipkova</w:t>
      </w:r>
      <w:proofErr w:type="spellEnd"/>
      <w:r w:rsidRPr="00A40949">
        <w:rPr>
          <w:rFonts w:ascii="Arial" w:hAnsi="Arial" w:cs="Arial"/>
        </w:rPr>
        <w:t xml:space="preserve">, J., Lu, M.Y., Sahai, S. and Mahmood, F. (2023). Algorithmic fairness in artificial intelligence for medicine and healthcare. Nature biomedical engineering, 7(6), pp.719–742. </w:t>
      </w:r>
      <w:proofErr w:type="spellStart"/>
      <w:r w:rsidRPr="00A40949">
        <w:rPr>
          <w:rFonts w:ascii="Arial" w:hAnsi="Arial" w:cs="Arial"/>
        </w:rPr>
        <w:t>doi:https</w:t>
      </w:r>
      <w:proofErr w:type="spellEnd"/>
      <w:r w:rsidRPr="00A40949">
        <w:rPr>
          <w:rFonts w:ascii="Arial" w:hAnsi="Arial" w:cs="Arial"/>
        </w:rPr>
        <w:t>://doi.org/10.1038/s41551-023-01056-8.</w:t>
      </w:r>
    </w:p>
    <w:p w14:paraId="6CF22129"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lastRenderedPageBreak/>
        <w:t xml:space="preserve">Chinta, S.V., Wang, Z., </w:t>
      </w:r>
      <w:proofErr w:type="spellStart"/>
      <w:r w:rsidRPr="00A40949">
        <w:rPr>
          <w:rFonts w:ascii="Arial" w:hAnsi="Arial" w:cs="Arial"/>
        </w:rPr>
        <w:t>Palikhe</w:t>
      </w:r>
      <w:proofErr w:type="spellEnd"/>
      <w:r w:rsidRPr="00A40949">
        <w:rPr>
          <w:rFonts w:ascii="Arial" w:hAnsi="Arial" w:cs="Arial"/>
        </w:rPr>
        <w:t xml:space="preserve">, A., Zhang, X., Kashif, A., Smith, M.A., Liu, J. and Zhang, W. (2025). AI-driven healthcare: Fairness in AI healthcare: A survey. PLOS Digital Health, 4(5), p.e0000864. </w:t>
      </w:r>
      <w:proofErr w:type="spellStart"/>
      <w:r w:rsidRPr="00A40949">
        <w:rPr>
          <w:rFonts w:ascii="Arial" w:hAnsi="Arial" w:cs="Arial"/>
        </w:rPr>
        <w:t>doi:https</w:t>
      </w:r>
      <w:proofErr w:type="spellEnd"/>
      <w:r w:rsidRPr="00A40949">
        <w:rPr>
          <w:rFonts w:ascii="Arial" w:hAnsi="Arial" w:cs="Arial"/>
        </w:rPr>
        <w:t>://doi.org/10.1371/journal.pdig.0000864.</w:t>
      </w:r>
    </w:p>
    <w:p w14:paraId="1FEF25EC"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Cross, J.L., Choma, M.A. and Onofrey, J.A. (2024). Bias in medical AI: Implications for clinical decision-making. PLOS Digital Health, 3(11), p.e0000651. </w:t>
      </w:r>
      <w:proofErr w:type="spellStart"/>
      <w:r w:rsidRPr="00A40949">
        <w:rPr>
          <w:rFonts w:ascii="Arial" w:hAnsi="Arial" w:cs="Arial"/>
        </w:rPr>
        <w:t>doi:https</w:t>
      </w:r>
      <w:proofErr w:type="spellEnd"/>
      <w:r w:rsidRPr="00A40949">
        <w:rPr>
          <w:rFonts w:ascii="Arial" w:hAnsi="Arial" w:cs="Arial"/>
        </w:rPr>
        <w:t>://doi.org/10.1371/journal.pdig.0000651.</w:t>
      </w:r>
    </w:p>
    <w:p w14:paraId="348E844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Cruz Rivera, S., Liu, X., Chan, A.-W., Denniston, A.K. and Calvert, M.J. (2020). Guidelines for clinical trial protocols for interventions involving artificial intelligence: The SPIRIT-AI extension. Nature Medicine, 26(9), pp.1351–1363. </w:t>
      </w:r>
      <w:proofErr w:type="spellStart"/>
      <w:r w:rsidRPr="00A40949">
        <w:rPr>
          <w:rFonts w:ascii="Arial" w:hAnsi="Arial" w:cs="Arial"/>
        </w:rPr>
        <w:t>doi:https</w:t>
      </w:r>
      <w:proofErr w:type="spellEnd"/>
      <w:r w:rsidRPr="00A40949">
        <w:rPr>
          <w:rFonts w:ascii="Arial" w:hAnsi="Arial" w:cs="Arial"/>
        </w:rPr>
        <w:t>://doi.org/10.1038/s41591-020-1037-7.</w:t>
      </w:r>
    </w:p>
    <w:p w14:paraId="5A769FAB"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Eden, R., Chukwudi, I., Bain, C., Barbieri, S., Callaway, L., de Jersey, S., George, Y., Gorse, A.-D., Lawley, M., </w:t>
      </w:r>
      <w:proofErr w:type="spellStart"/>
      <w:r w:rsidRPr="00A40949">
        <w:rPr>
          <w:rFonts w:ascii="Arial" w:hAnsi="Arial" w:cs="Arial"/>
        </w:rPr>
        <w:t>Marendy</w:t>
      </w:r>
      <w:proofErr w:type="spellEnd"/>
      <w:r w:rsidRPr="00A40949">
        <w:rPr>
          <w:rFonts w:ascii="Arial" w:hAnsi="Arial" w:cs="Arial"/>
        </w:rPr>
        <w:t xml:space="preserve">, P., McPhail, S.M., Nguyen, A., </w:t>
      </w:r>
      <w:proofErr w:type="spellStart"/>
      <w:r w:rsidRPr="00A40949">
        <w:rPr>
          <w:rFonts w:ascii="Arial" w:hAnsi="Arial" w:cs="Arial"/>
        </w:rPr>
        <w:t>Samadbeik</w:t>
      </w:r>
      <w:proofErr w:type="spellEnd"/>
      <w:r w:rsidRPr="00A40949">
        <w:rPr>
          <w:rFonts w:ascii="Arial" w:hAnsi="Arial" w:cs="Arial"/>
        </w:rPr>
        <w:t xml:space="preserve">, M. and Sullivan, C. (2025). A scoping review of the governance of federated learning in healthcare. </w:t>
      </w:r>
      <w:proofErr w:type="spellStart"/>
      <w:r w:rsidRPr="00A40949">
        <w:rPr>
          <w:rFonts w:ascii="Arial" w:hAnsi="Arial" w:cs="Arial"/>
        </w:rPr>
        <w:t>npj</w:t>
      </w:r>
      <w:proofErr w:type="spellEnd"/>
      <w:r w:rsidRPr="00A40949">
        <w:rPr>
          <w:rFonts w:ascii="Arial" w:hAnsi="Arial" w:cs="Arial"/>
        </w:rPr>
        <w:t xml:space="preserve"> Digital Medicine, [online] 8(1). </w:t>
      </w:r>
      <w:proofErr w:type="spellStart"/>
      <w:r w:rsidRPr="00A40949">
        <w:rPr>
          <w:rFonts w:ascii="Arial" w:hAnsi="Arial" w:cs="Arial"/>
        </w:rPr>
        <w:t>doi:https</w:t>
      </w:r>
      <w:proofErr w:type="spellEnd"/>
      <w:r w:rsidRPr="00A40949">
        <w:rPr>
          <w:rFonts w:ascii="Arial" w:hAnsi="Arial" w:cs="Arial"/>
        </w:rPr>
        <w:t>://doi.org/10.1038/s41746-025-01836-3.</w:t>
      </w:r>
    </w:p>
    <w:p w14:paraId="13D83C37" w14:textId="564BBAA3"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Ferreira, F.J.N. </w:t>
      </w:r>
      <w:r w:rsidR="00BD3F18">
        <w:rPr>
          <w:rFonts w:ascii="Arial" w:hAnsi="Arial" w:cs="Arial"/>
        </w:rPr>
        <w:t>e</w:t>
      </w:r>
      <w:r w:rsidRPr="00A40949">
        <w:rPr>
          <w:rFonts w:ascii="Arial" w:hAnsi="Arial" w:cs="Arial"/>
        </w:rPr>
        <w:t xml:space="preserve"> Carneiro, A.S. (2025). AI-Driven drug discovery: A comprehensive review. ACS Omega, 10(23). </w:t>
      </w:r>
      <w:proofErr w:type="spellStart"/>
      <w:r w:rsidRPr="00A40949">
        <w:rPr>
          <w:rFonts w:ascii="Arial" w:hAnsi="Arial" w:cs="Arial"/>
        </w:rPr>
        <w:t>doi:https</w:t>
      </w:r>
      <w:proofErr w:type="spellEnd"/>
      <w:r w:rsidRPr="00A40949">
        <w:rPr>
          <w:rFonts w:ascii="Arial" w:hAnsi="Arial" w:cs="Arial"/>
        </w:rPr>
        <w:t>://doi.org/10.1021/acsomega.5c00549.</w:t>
      </w:r>
    </w:p>
    <w:p w14:paraId="698ABC54"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Gao, J., Chou, B., McCaw, Z.R., Thurston, H., Varghese, P., Hong, C. and </w:t>
      </w:r>
      <w:proofErr w:type="spellStart"/>
      <w:r w:rsidRPr="00A40949">
        <w:rPr>
          <w:rFonts w:ascii="Arial" w:hAnsi="Arial" w:cs="Arial"/>
        </w:rPr>
        <w:t>Gronsbell</w:t>
      </w:r>
      <w:proofErr w:type="spellEnd"/>
      <w:r w:rsidRPr="00A40949">
        <w:rPr>
          <w:rFonts w:ascii="Arial" w:hAnsi="Arial" w:cs="Arial"/>
        </w:rPr>
        <w:t xml:space="preserve">, J. (2025). What is fair? Defining fairness in machine learning for health. Statistics in Medicine, 44(20-22). </w:t>
      </w:r>
      <w:proofErr w:type="spellStart"/>
      <w:r w:rsidRPr="00A40949">
        <w:rPr>
          <w:rFonts w:ascii="Arial" w:hAnsi="Arial" w:cs="Arial"/>
        </w:rPr>
        <w:t>doi:https</w:t>
      </w:r>
      <w:proofErr w:type="spellEnd"/>
      <w:r w:rsidRPr="00A40949">
        <w:rPr>
          <w:rFonts w:ascii="Arial" w:hAnsi="Arial" w:cs="Arial"/>
        </w:rPr>
        <w:t>://doi.org/10.1002/sim.70234.</w:t>
      </w:r>
    </w:p>
    <w:p w14:paraId="0A67E51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Giuffrè, M. and Shung, D.L. (2023). Harnessing the power of synthetic data in healthcare: innovation, application, and privacy. </w:t>
      </w:r>
      <w:proofErr w:type="spellStart"/>
      <w:r w:rsidRPr="00A40949">
        <w:rPr>
          <w:rFonts w:ascii="Arial" w:hAnsi="Arial" w:cs="Arial"/>
        </w:rPr>
        <w:t>npj</w:t>
      </w:r>
      <w:proofErr w:type="spellEnd"/>
      <w:r w:rsidRPr="00A40949">
        <w:rPr>
          <w:rFonts w:ascii="Arial" w:hAnsi="Arial" w:cs="Arial"/>
        </w:rPr>
        <w:t xml:space="preserve"> Digital Medicine, [online] 6(1), pp.1–8. </w:t>
      </w:r>
      <w:proofErr w:type="spellStart"/>
      <w:r w:rsidRPr="00A40949">
        <w:rPr>
          <w:rFonts w:ascii="Arial" w:hAnsi="Arial" w:cs="Arial"/>
        </w:rPr>
        <w:t>doi:https</w:t>
      </w:r>
      <w:proofErr w:type="spellEnd"/>
      <w:r w:rsidRPr="00A40949">
        <w:rPr>
          <w:rFonts w:ascii="Arial" w:hAnsi="Arial" w:cs="Arial"/>
        </w:rPr>
        <w:t>://doi.org/10.1038/s41746-023-00927-3.</w:t>
      </w:r>
    </w:p>
    <w:p w14:paraId="4ECD7A60" w14:textId="77777777" w:rsidR="00A40949" w:rsidRPr="00A40949" w:rsidRDefault="00A40949" w:rsidP="00A40949">
      <w:pPr>
        <w:pStyle w:val="NormalWeb"/>
        <w:spacing w:before="0" w:beforeAutospacing="0" w:after="240" w:afterAutospacing="0" w:line="360" w:lineRule="auto"/>
        <w:jc w:val="both"/>
        <w:rPr>
          <w:rFonts w:ascii="Arial" w:hAnsi="Arial" w:cs="Arial"/>
        </w:rPr>
      </w:pPr>
      <w:proofErr w:type="spellStart"/>
      <w:r w:rsidRPr="00A40949">
        <w:rPr>
          <w:rFonts w:ascii="Arial" w:hAnsi="Arial" w:cs="Arial"/>
        </w:rPr>
        <w:t>Goktas</w:t>
      </w:r>
      <w:proofErr w:type="spellEnd"/>
      <w:r w:rsidRPr="00A40949">
        <w:rPr>
          <w:rFonts w:ascii="Arial" w:hAnsi="Arial" w:cs="Arial"/>
        </w:rPr>
        <w:t xml:space="preserve">, P. and Grzybowski, A. (2025). Shaping the future of healthcare: Ethical clinical challenges and pathways to trustworthy AI. Journal of Clinical Medicine, [online] 14(5), pp.1605–1605. </w:t>
      </w:r>
      <w:proofErr w:type="spellStart"/>
      <w:r w:rsidRPr="00A40949">
        <w:rPr>
          <w:rFonts w:ascii="Arial" w:hAnsi="Arial" w:cs="Arial"/>
        </w:rPr>
        <w:t>doi:https</w:t>
      </w:r>
      <w:proofErr w:type="spellEnd"/>
      <w:r w:rsidRPr="00A40949">
        <w:rPr>
          <w:rFonts w:ascii="Arial" w:hAnsi="Arial" w:cs="Arial"/>
        </w:rPr>
        <w:t>://doi.org/10.3390/jcm14051605.</w:t>
      </w:r>
    </w:p>
    <w:p w14:paraId="3BDCA3D8"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Huang, Y., Guo, J., Chen, W.-H., Lin, H.-Y., Tang, H., Wang, F., Xu, H. and Bian, J. (2024). A scoping review of fair machine learning techniques when using real-world </w:t>
      </w:r>
      <w:r w:rsidRPr="00A40949">
        <w:rPr>
          <w:rFonts w:ascii="Arial" w:hAnsi="Arial" w:cs="Arial"/>
        </w:rPr>
        <w:lastRenderedPageBreak/>
        <w:t xml:space="preserve">data. Journal of Biomedical Informatics, pp.104622–104622. </w:t>
      </w:r>
      <w:proofErr w:type="spellStart"/>
      <w:r w:rsidRPr="00A40949">
        <w:rPr>
          <w:rFonts w:ascii="Arial" w:hAnsi="Arial" w:cs="Arial"/>
        </w:rPr>
        <w:t>doi:https</w:t>
      </w:r>
      <w:proofErr w:type="spellEnd"/>
      <w:r w:rsidRPr="00A40949">
        <w:rPr>
          <w:rFonts w:ascii="Arial" w:hAnsi="Arial" w:cs="Arial"/>
        </w:rPr>
        <w:t>://doi.org/10.1016/j.jbi.2024.104622.</w:t>
      </w:r>
    </w:p>
    <w:p w14:paraId="1A866FA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ICO (2023). Guidance on AI and data protection. [online] ico.org.uk. Available at: https://ico.org.uk/for-organisations/uk-gdpr-guidance-and-resources/artificial-intelligence/guidance-on-ai-and-data-protection/.</w:t>
      </w:r>
    </w:p>
    <w:p w14:paraId="32775ABA"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J, H., </w:t>
      </w:r>
      <w:proofErr w:type="spellStart"/>
      <w:r w:rsidRPr="00A40949">
        <w:rPr>
          <w:rFonts w:ascii="Arial" w:hAnsi="Arial" w:cs="Arial"/>
        </w:rPr>
        <w:t>Sl</w:t>
      </w:r>
      <w:proofErr w:type="spellEnd"/>
      <w:r w:rsidRPr="00A40949">
        <w:rPr>
          <w:rFonts w:ascii="Arial" w:hAnsi="Arial" w:cs="Arial"/>
        </w:rPr>
        <w:t>, B., J, X., J, X., X, Z. and K, Z. (2019). The Practical Implementation of Artificial Intelligence Technologies in Medicine. [online] Nature medicine. Available at: https://pubmed.ncbi.nlm.nih.gov/30617336/.</w:t>
      </w:r>
    </w:p>
    <w:p w14:paraId="27E0565B"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Khalid, N., Qayyum, A., Bilal, M., Al-Fuqaha, A. and Qadir, J. (2023). Privacy-preserving artificial intelligence in healthcare: Techniques and applications. Computers in Biology and Medicine, 158(1), p.106848. </w:t>
      </w:r>
      <w:proofErr w:type="spellStart"/>
      <w:r w:rsidRPr="00A40949">
        <w:rPr>
          <w:rFonts w:ascii="Arial" w:hAnsi="Arial" w:cs="Arial"/>
        </w:rPr>
        <w:t>doi:https</w:t>
      </w:r>
      <w:proofErr w:type="spellEnd"/>
      <w:r w:rsidRPr="00A40949">
        <w:rPr>
          <w:rFonts w:ascii="Arial" w:hAnsi="Arial" w:cs="Arial"/>
        </w:rPr>
        <w:t>://doi.org/10.1016/j.compbiomed.2023.106848.</w:t>
      </w:r>
    </w:p>
    <w:p w14:paraId="645DB128"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Larrazabal, A.J., Nieto, N., Peterson, V., Milone, D.H. and Ferrante, E. (2020). Gender imbalance in medical imaging datasets produces biased classifiers for computer-aided diagnosis. Proceedings of the National Academy of Sciences, [online] 117(23), pp.12592–12594. </w:t>
      </w:r>
      <w:proofErr w:type="spellStart"/>
      <w:r w:rsidRPr="00A40949">
        <w:rPr>
          <w:rFonts w:ascii="Arial" w:hAnsi="Arial" w:cs="Arial"/>
        </w:rPr>
        <w:t>doi:https</w:t>
      </w:r>
      <w:proofErr w:type="spellEnd"/>
      <w:r w:rsidRPr="00A40949">
        <w:rPr>
          <w:rFonts w:ascii="Arial" w:hAnsi="Arial" w:cs="Arial"/>
        </w:rPr>
        <w:t>://doi.org/10.1073/pnas.1919012117.</w:t>
      </w:r>
    </w:p>
    <w:p w14:paraId="79622C09"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Li, N., Lewin, A., Ning, S., Waito, M., Zeller, M.P., Tinmouth, A. and Shih, A.W. (2025). Privacy-preserving federated data access and federated learning: Improved data sharing and AI model development in transfusion medicine. Transfusion, [online] 65(1), pp.22–28. </w:t>
      </w:r>
      <w:proofErr w:type="spellStart"/>
      <w:r w:rsidRPr="00A40949">
        <w:rPr>
          <w:rFonts w:ascii="Arial" w:hAnsi="Arial" w:cs="Arial"/>
        </w:rPr>
        <w:t>doi:https</w:t>
      </w:r>
      <w:proofErr w:type="spellEnd"/>
      <w:r w:rsidRPr="00A40949">
        <w:rPr>
          <w:rFonts w:ascii="Arial" w:hAnsi="Arial" w:cs="Arial"/>
        </w:rPr>
        <w:t>://doi.org/10.1111/trf.18077.</w:t>
      </w:r>
    </w:p>
    <w:p w14:paraId="464053AC"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Liu, X., Cruz Rivera, S., Moher, D., Calvert, M.J., Denniston, A.K., </w:t>
      </w:r>
      <w:proofErr w:type="spellStart"/>
      <w:r w:rsidRPr="00A40949">
        <w:rPr>
          <w:rFonts w:ascii="Arial" w:hAnsi="Arial" w:cs="Arial"/>
        </w:rPr>
        <w:t>Ashrafian</w:t>
      </w:r>
      <w:proofErr w:type="spellEnd"/>
      <w:r w:rsidRPr="00A40949">
        <w:rPr>
          <w:rFonts w:ascii="Arial" w:hAnsi="Arial" w:cs="Arial"/>
        </w:rPr>
        <w:t xml:space="preserve">, H., Beam, A.L., Chan, A.-W., Collins, G.S., </w:t>
      </w:r>
      <w:proofErr w:type="spellStart"/>
      <w:r w:rsidRPr="00A40949">
        <w:rPr>
          <w:rFonts w:ascii="Arial" w:hAnsi="Arial" w:cs="Arial"/>
        </w:rPr>
        <w:t>Deeks</w:t>
      </w:r>
      <w:proofErr w:type="spellEnd"/>
      <w:r w:rsidRPr="00A40949">
        <w:rPr>
          <w:rFonts w:ascii="Arial" w:hAnsi="Arial" w:cs="Arial"/>
        </w:rPr>
        <w:t xml:space="preserve">, A.D.J., </w:t>
      </w:r>
      <w:proofErr w:type="spellStart"/>
      <w:r w:rsidRPr="00A40949">
        <w:rPr>
          <w:rFonts w:ascii="Arial" w:hAnsi="Arial" w:cs="Arial"/>
        </w:rPr>
        <w:t>ElZarrad</w:t>
      </w:r>
      <w:proofErr w:type="spellEnd"/>
      <w:r w:rsidRPr="00A40949">
        <w:rPr>
          <w:rFonts w:ascii="Arial" w:hAnsi="Arial" w:cs="Arial"/>
        </w:rPr>
        <w:t xml:space="preserve">, M.K., Espinoza, C., Esteva, A., Faes, L., Ferrante di </w:t>
      </w:r>
      <w:proofErr w:type="spellStart"/>
      <w:r w:rsidRPr="00A40949">
        <w:rPr>
          <w:rFonts w:ascii="Arial" w:hAnsi="Arial" w:cs="Arial"/>
        </w:rPr>
        <w:t>Ruffano</w:t>
      </w:r>
      <w:proofErr w:type="spellEnd"/>
      <w:r w:rsidRPr="00A40949">
        <w:rPr>
          <w:rFonts w:ascii="Arial" w:hAnsi="Arial" w:cs="Arial"/>
        </w:rPr>
        <w:t xml:space="preserve">, L., Fletcher, J., Golub, R., Harvey, H., Haug, C. and Holmes, C. (2020). Reporting guidelines for clinical trial reports for interventions involving artificial intelligence: The CONSORT-AI extension. The Lancet Digital Health, [online] 2(10), pp.e537–e548. </w:t>
      </w:r>
      <w:proofErr w:type="spellStart"/>
      <w:r w:rsidRPr="00A40949">
        <w:rPr>
          <w:rFonts w:ascii="Arial" w:hAnsi="Arial" w:cs="Arial"/>
        </w:rPr>
        <w:t>doi:https</w:t>
      </w:r>
      <w:proofErr w:type="spellEnd"/>
      <w:r w:rsidRPr="00A40949">
        <w:rPr>
          <w:rFonts w:ascii="Arial" w:hAnsi="Arial" w:cs="Arial"/>
        </w:rPr>
        <w:t>://doi.org/10.1016/S2589-7500(20)30218-1.</w:t>
      </w:r>
    </w:p>
    <w:p w14:paraId="2CD6D7C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lastRenderedPageBreak/>
        <w:t xml:space="preserve">Malheiro, V., Santos, B. and Figueiras, A. (2025). The potential of artificial intelligence in pharmaceutical innovation: From drug discovery to clinical trials. Pharmaceuticals, [online] 18(6), pp.788–788. </w:t>
      </w:r>
      <w:proofErr w:type="spellStart"/>
      <w:r w:rsidRPr="00A40949">
        <w:rPr>
          <w:rFonts w:ascii="Arial" w:hAnsi="Arial" w:cs="Arial"/>
        </w:rPr>
        <w:t>doi:https</w:t>
      </w:r>
      <w:proofErr w:type="spellEnd"/>
      <w:r w:rsidRPr="00A40949">
        <w:rPr>
          <w:rFonts w:ascii="Arial" w:hAnsi="Arial" w:cs="Arial"/>
        </w:rPr>
        <w:t>://doi.org/10.3390/ph18060788.</w:t>
      </w:r>
    </w:p>
    <w:p w14:paraId="4921F05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Medicines and Healthcare products Regulatory Agency (2024a). Impact of AI on the regulation of medical products. [online] GOV.UK. Available at: http://www.gov.uk/government/publications/impact-of-ai-on-the-regulation-of-medical-products [Accessed 24 Apr. 2026].</w:t>
      </w:r>
    </w:p>
    <w:p w14:paraId="360F53FD"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Medicines and Healthcare products Regulatory Agency (2024b). MHRA’s AI regulatory strategy ensures patient safety and industry innovation into 2030. [online] GOV.UK. Available at: https://www.gov.uk/government/news/mhras-ai-regulatory-strategy-ensures-patient-safety-and-industry-innovation-into-2030.</w:t>
      </w:r>
    </w:p>
    <w:p w14:paraId="0515E4D5" w14:textId="77777777" w:rsidR="00A40949" w:rsidRPr="00A40949" w:rsidRDefault="00A40949" w:rsidP="00A40949">
      <w:pPr>
        <w:pStyle w:val="NormalWeb"/>
        <w:spacing w:before="0" w:beforeAutospacing="0" w:after="240" w:afterAutospacing="0" w:line="360" w:lineRule="auto"/>
        <w:jc w:val="both"/>
        <w:rPr>
          <w:rFonts w:ascii="Arial" w:hAnsi="Arial" w:cs="Arial"/>
        </w:rPr>
      </w:pPr>
      <w:proofErr w:type="spellStart"/>
      <w:r w:rsidRPr="00A40949">
        <w:rPr>
          <w:rFonts w:ascii="Arial" w:hAnsi="Arial" w:cs="Arial"/>
        </w:rPr>
        <w:t>Mirakhori</w:t>
      </w:r>
      <w:proofErr w:type="spellEnd"/>
      <w:r w:rsidRPr="00A40949">
        <w:rPr>
          <w:rFonts w:ascii="Arial" w:hAnsi="Arial" w:cs="Arial"/>
        </w:rPr>
        <w:t xml:space="preserve">, F. and Niazi, S.K. (2025). Harnessing the AI/ML in drug and biological products discovery and development: The regulatory perspective. Pharmaceuticals, [online] 18(1), pp.47–47. </w:t>
      </w:r>
      <w:proofErr w:type="spellStart"/>
      <w:r w:rsidRPr="00A40949">
        <w:rPr>
          <w:rFonts w:ascii="Arial" w:hAnsi="Arial" w:cs="Arial"/>
        </w:rPr>
        <w:t>doi:https</w:t>
      </w:r>
      <w:proofErr w:type="spellEnd"/>
      <w:r w:rsidRPr="00A40949">
        <w:rPr>
          <w:rFonts w:ascii="Arial" w:hAnsi="Arial" w:cs="Arial"/>
        </w:rPr>
        <w:t>://doi.org/10.3390/ph18010047.</w:t>
      </w:r>
    </w:p>
    <w:p w14:paraId="33F883A4"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Moons, K.G.M., Damen, J.A.A., Kaul, T., Hooft, L., Navarro, C.A., Dhiman, P., Beam, A.L., </w:t>
      </w:r>
      <w:proofErr w:type="spellStart"/>
      <w:r w:rsidRPr="00A40949">
        <w:rPr>
          <w:rFonts w:ascii="Arial" w:hAnsi="Arial" w:cs="Arial"/>
        </w:rPr>
        <w:t>Calster</w:t>
      </w:r>
      <w:proofErr w:type="spellEnd"/>
      <w:r w:rsidRPr="00A40949">
        <w:rPr>
          <w:rFonts w:ascii="Arial" w:hAnsi="Arial" w:cs="Arial"/>
        </w:rPr>
        <w:t xml:space="preserve">, B.V., </w:t>
      </w:r>
      <w:proofErr w:type="spellStart"/>
      <w:r w:rsidRPr="00A40949">
        <w:rPr>
          <w:rFonts w:ascii="Arial" w:hAnsi="Arial" w:cs="Arial"/>
        </w:rPr>
        <w:t>Celi</w:t>
      </w:r>
      <w:proofErr w:type="spellEnd"/>
      <w:r w:rsidRPr="00A40949">
        <w:rPr>
          <w:rFonts w:ascii="Arial" w:hAnsi="Arial" w:cs="Arial"/>
        </w:rPr>
        <w:t xml:space="preserve">, L.A., </w:t>
      </w:r>
      <w:proofErr w:type="spellStart"/>
      <w:r w:rsidRPr="00A40949">
        <w:rPr>
          <w:rFonts w:ascii="Arial" w:hAnsi="Arial" w:cs="Arial"/>
        </w:rPr>
        <w:t>Denaxas</w:t>
      </w:r>
      <w:proofErr w:type="spellEnd"/>
      <w:r w:rsidRPr="00A40949">
        <w:rPr>
          <w:rFonts w:ascii="Arial" w:hAnsi="Arial" w:cs="Arial"/>
        </w:rPr>
        <w:t xml:space="preserve">, S., Denniston, A.K., Ghassemi, M., Heinze, G., Kengne, A.P., Maier-Hein, L., Liu, X., Logullo, P., McCradden, M.D., Liu, N. and Oakden-Rayner, L. (2025). PROBAST+AI: an updated quality, risk of bias, and applicability assessment tool for prediction models using regression or artificial intelligence methods. BMJ, pp.e082505–e082505. </w:t>
      </w:r>
      <w:proofErr w:type="spellStart"/>
      <w:r w:rsidRPr="00A40949">
        <w:rPr>
          <w:rFonts w:ascii="Arial" w:hAnsi="Arial" w:cs="Arial"/>
        </w:rPr>
        <w:t>doi:https</w:t>
      </w:r>
      <w:proofErr w:type="spellEnd"/>
      <w:r w:rsidRPr="00A40949">
        <w:rPr>
          <w:rFonts w:ascii="Arial" w:hAnsi="Arial" w:cs="Arial"/>
        </w:rPr>
        <w:t>://doi.org/10.1136/bmj-2024-082505.</w:t>
      </w:r>
    </w:p>
    <w:p w14:paraId="5FDEF043"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Naik, N., Hameed, B.M.Z., Shetty, D.K., Swain, D., Shah, M., Paul, R., Aggarwal, K., Ibrahim, S., Patil, V., Smriti, K., Shetty, S., Rai, B.P., </w:t>
      </w:r>
      <w:proofErr w:type="spellStart"/>
      <w:r w:rsidRPr="00A40949">
        <w:rPr>
          <w:rFonts w:ascii="Arial" w:hAnsi="Arial" w:cs="Arial"/>
        </w:rPr>
        <w:t>Chlosta</w:t>
      </w:r>
      <w:proofErr w:type="spellEnd"/>
      <w:r w:rsidRPr="00A40949">
        <w:rPr>
          <w:rFonts w:ascii="Arial" w:hAnsi="Arial" w:cs="Arial"/>
        </w:rPr>
        <w:t xml:space="preserve">, P. and Somani, B.K. (2022). Legal and ethical consideration in artificial intelligence in healthcare: Who takes responsibility? Frontiers in Surgery, [online] 9(862322), pp.1–6. </w:t>
      </w:r>
      <w:proofErr w:type="spellStart"/>
      <w:r w:rsidRPr="00A40949">
        <w:rPr>
          <w:rFonts w:ascii="Arial" w:hAnsi="Arial" w:cs="Arial"/>
        </w:rPr>
        <w:t>doi:https</w:t>
      </w:r>
      <w:proofErr w:type="spellEnd"/>
      <w:r w:rsidRPr="00A40949">
        <w:rPr>
          <w:rFonts w:ascii="Arial" w:hAnsi="Arial" w:cs="Arial"/>
        </w:rPr>
        <w:t>://doi.org/10.3389/fsurg.2022.862322.</w:t>
      </w:r>
    </w:p>
    <w:p w14:paraId="06B41156"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Niazi, S.K. and Mariam, Z. (2025). Artificial intelligence in drug development: Reshaping the therapeutic landscape. Therapeutic Advances in Drug Safety, 16. </w:t>
      </w:r>
      <w:proofErr w:type="spellStart"/>
      <w:r w:rsidRPr="00A40949">
        <w:rPr>
          <w:rFonts w:ascii="Arial" w:hAnsi="Arial" w:cs="Arial"/>
        </w:rPr>
        <w:t>doi:https</w:t>
      </w:r>
      <w:proofErr w:type="spellEnd"/>
      <w:r w:rsidRPr="00A40949">
        <w:rPr>
          <w:rFonts w:ascii="Arial" w:hAnsi="Arial" w:cs="Arial"/>
        </w:rPr>
        <w:t>://doi.org/10.1177/20420986251321704.</w:t>
      </w:r>
    </w:p>
    <w:p w14:paraId="4509BF4C"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lastRenderedPageBreak/>
        <w:t xml:space="preserve">Norori, N., Hu, Q., </w:t>
      </w:r>
      <w:proofErr w:type="spellStart"/>
      <w:r w:rsidRPr="00A40949">
        <w:rPr>
          <w:rFonts w:ascii="Arial" w:hAnsi="Arial" w:cs="Arial"/>
        </w:rPr>
        <w:t>Aellen</w:t>
      </w:r>
      <w:proofErr w:type="spellEnd"/>
      <w:r w:rsidRPr="00A40949">
        <w:rPr>
          <w:rFonts w:ascii="Arial" w:hAnsi="Arial" w:cs="Arial"/>
        </w:rPr>
        <w:t xml:space="preserve">, F.M., </w:t>
      </w:r>
      <w:proofErr w:type="spellStart"/>
      <w:r w:rsidRPr="00A40949">
        <w:rPr>
          <w:rFonts w:ascii="Arial" w:hAnsi="Arial" w:cs="Arial"/>
        </w:rPr>
        <w:t>Faraci</w:t>
      </w:r>
      <w:proofErr w:type="spellEnd"/>
      <w:r w:rsidRPr="00A40949">
        <w:rPr>
          <w:rFonts w:ascii="Arial" w:hAnsi="Arial" w:cs="Arial"/>
        </w:rPr>
        <w:t xml:space="preserve">, F.D. and </w:t>
      </w:r>
      <w:proofErr w:type="spellStart"/>
      <w:r w:rsidRPr="00A40949">
        <w:rPr>
          <w:rFonts w:ascii="Arial" w:hAnsi="Arial" w:cs="Arial"/>
        </w:rPr>
        <w:t>Tzovara</w:t>
      </w:r>
      <w:proofErr w:type="spellEnd"/>
      <w:r w:rsidRPr="00A40949">
        <w:rPr>
          <w:rFonts w:ascii="Arial" w:hAnsi="Arial" w:cs="Arial"/>
        </w:rPr>
        <w:t xml:space="preserve">, A. (2021). Addressing bias in big data and AI for health care: A call for open science. Patterns, [online] 2(10), p.100347. </w:t>
      </w:r>
      <w:proofErr w:type="spellStart"/>
      <w:r w:rsidRPr="00A40949">
        <w:rPr>
          <w:rFonts w:ascii="Arial" w:hAnsi="Arial" w:cs="Arial"/>
        </w:rPr>
        <w:t>doi:https</w:t>
      </w:r>
      <w:proofErr w:type="spellEnd"/>
      <w:r w:rsidRPr="00A40949">
        <w:rPr>
          <w:rFonts w:ascii="Arial" w:hAnsi="Arial" w:cs="Arial"/>
        </w:rPr>
        <w:t>://doi.org/10.1016/j.patter.2021.100347.</w:t>
      </w:r>
    </w:p>
    <w:p w14:paraId="21FCA326"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Ocana, A., </w:t>
      </w:r>
      <w:proofErr w:type="spellStart"/>
      <w:r w:rsidRPr="00A40949">
        <w:rPr>
          <w:rFonts w:ascii="Arial" w:hAnsi="Arial" w:cs="Arial"/>
        </w:rPr>
        <w:t>Pandiella</w:t>
      </w:r>
      <w:proofErr w:type="spellEnd"/>
      <w:r w:rsidRPr="00A40949">
        <w:rPr>
          <w:rFonts w:ascii="Arial" w:hAnsi="Arial" w:cs="Arial"/>
        </w:rPr>
        <w:t xml:space="preserve">, A., Privat, C., Bravo, I., Luengo-Oroz, M., Amir, E. and </w:t>
      </w:r>
      <w:proofErr w:type="spellStart"/>
      <w:r w:rsidRPr="00A40949">
        <w:rPr>
          <w:rFonts w:ascii="Arial" w:hAnsi="Arial" w:cs="Arial"/>
        </w:rPr>
        <w:t>Gyorffy</w:t>
      </w:r>
      <w:proofErr w:type="spellEnd"/>
      <w:r w:rsidRPr="00A40949">
        <w:rPr>
          <w:rFonts w:ascii="Arial" w:hAnsi="Arial" w:cs="Arial"/>
        </w:rPr>
        <w:t xml:space="preserve">, B. (2025). Integrating artificial intelligence in drug discovery and early drug development: A transformative approach. Biomarker Research, 13(1). </w:t>
      </w:r>
      <w:proofErr w:type="spellStart"/>
      <w:r w:rsidRPr="00A40949">
        <w:rPr>
          <w:rFonts w:ascii="Arial" w:hAnsi="Arial" w:cs="Arial"/>
        </w:rPr>
        <w:t>doi:https</w:t>
      </w:r>
      <w:proofErr w:type="spellEnd"/>
      <w:r w:rsidRPr="00A40949">
        <w:rPr>
          <w:rFonts w:ascii="Arial" w:hAnsi="Arial" w:cs="Arial"/>
        </w:rPr>
        <w:t>://doi.org/10.1186/s40364-025-00758-2.</w:t>
      </w:r>
    </w:p>
    <w:p w14:paraId="740BA8CA"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Papadopoulou, E., Exarchos, T., Jenko, S., </w:t>
      </w:r>
      <w:proofErr w:type="spellStart"/>
      <w:r w:rsidRPr="00A40949">
        <w:rPr>
          <w:rFonts w:ascii="Arial" w:hAnsi="Arial" w:cs="Arial"/>
        </w:rPr>
        <w:t>Krepelkova</w:t>
      </w:r>
      <w:proofErr w:type="spellEnd"/>
      <w:r w:rsidRPr="00A40949">
        <w:rPr>
          <w:rFonts w:ascii="Arial" w:hAnsi="Arial" w:cs="Arial"/>
        </w:rPr>
        <w:t xml:space="preserve">, K. and </w:t>
      </w:r>
      <w:proofErr w:type="spellStart"/>
      <w:r w:rsidRPr="00A40949">
        <w:rPr>
          <w:rFonts w:ascii="Arial" w:hAnsi="Arial" w:cs="Arial"/>
        </w:rPr>
        <w:t>Namorado</w:t>
      </w:r>
      <w:proofErr w:type="spellEnd"/>
      <w:r w:rsidRPr="00A40949">
        <w:rPr>
          <w:rFonts w:ascii="Arial" w:hAnsi="Arial" w:cs="Arial"/>
        </w:rPr>
        <w:t xml:space="preserve">, J. (2025). Artificial intelligence (AI) in health systems: Introducing a ‘do good’ approach. AI and Ethics. </w:t>
      </w:r>
      <w:proofErr w:type="spellStart"/>
      <w:r w:rsidRPr="00A40949">
        <w:rPr>
          <w:rFonts w:ascii="Arial" w:hAnsi="Arial" w:cs="Arial"/>
        </w:rPr>
        <w:t>doi:https</w:t>
      </w:r>
      <w:proofErr w:type="spellEnd"/>
      <w:r w:rsidRPr="00A40949">
        <w:rPr>
          <w:rFonts w:ascii="Arial" w:hAnsi="Arial" w:cs="Arial"/>
        </w:rPr>
        <w:t>://doi.org/10.1007/s43681-025-00757-x.</w:t>
      </w:r>
    </w:p>
    <w:p w14:paraId="7E57523A"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Pfizer (2022). </w:t>
      </w:r>
      <w:proofErr w:type="spellStart"/>
      <w:r w:rsidRPr="00A40949">
        <w:rPr>
          <w:rFonts w:ascii="Arial" w:hAnsi="Arial" w:cs="Arial"/>
        </w:rPr>
        <w:t>CytoReason</w:t>
      </w:r>
      <w:proofErr w:type="spellEnd"/>
      <w:r w:rsidRPr="00A40949">
        <w:rPr>
          <w:rFonts w:ascii="Arial" w:hAnsi="Arial" w:cs="Arial"/>
        </w:rPr>
        <w:t xml:space="preserve"> announces expanded collaboration deal with </w:t>
      </w:r>
      <w:proofErr w:type="spellStart"/>
      <w:r w:rsidRPr="00A40949">
        <w:rPr>
          <w:rFonts w:ascii="Arial" w:hAnsi="Arial" w:cs="Arial"/>
        </w:rPr>
        <w:t>pfizer</w:t>
      </w:r>
      <w:proofErr w:type="spellEnd"/>
      <w:r w:rsidRPr="00A40949">
        <w:rPr>
          <w:rFonts w:ascii="Arial" w:hAnsi="Arial" w:cs="Arial"/>
        </w:rPr>
        <w:t xml:space="preserve"> to deliver AI for drug discovery and development | </w:t>
      </w:r>
      <w:proofErr w:type="spellStart"/>
      <w:r w:rsidRPr="00A40949">
        <w:rPr>
          <w:rFonts w:ascii="Arial" w:hAnsi="Arial" w:cs="Arial"/>
        </w:rPr>
        <w:t>pfizer</w:t>
      </w:r>
      <w:proofErr w:type="spellEnd"/>
      <w:r w:rsidRPr="00A40949">
        <w:rPr>
          <w:rFonts w:ascii="Arial" w:hAnsi="Arial" w:cs="Arial"/>
        </w:rPr>
        <w:t>. [online] www.pfizer.com. Available at: https://www.pfizer.com/news/press-release/press-release-detail/cytoreason-announces-expanded-collaboration-deal-pfizer.</w:t>
      </w:r>
    </w:p>
    <w:p w14:paraId="76FA7D38"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Pham, T. (2025). Ethical and legal considerations in healthcare AI: Innovation and policy for safe and fair use. Royal Society Open Science, [online] 12(5). </w:t>
      </w:r>
      <w:proofErr w:type="spellStart"/>
      <w:r w:rsidRPr="00A40949">
        <w:rPr>
          <w:rFonts w:ascii="Arial" w:hAnsi="Arial" w:cs="Arial"/>
        </w:rPr>
        <w:t>doi:https</w:t>
      </w:r>
      <w:proofErr w:type="spellEnd"/>
      <w:r w:rsidRPr="00A40949">
        <w:rPr>
          <w:rFonts w:ascii="Arial" w:hAnsi="Arial" w:cs="Arial"/>
        </w:rPr>
        <w:t>://doi.org/10.1098/rsos.241873.</w:t>
      </w:r>
    </w:p>
    <w:p w14:paraId="02A2BAD1" w14:textId="399A0511"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U.S. Food and Drug Administration. (2025). Considerations for the Use of Artificial Intelligence. [online] U.S. Food and Drug Administration. Available at: https://www.fda.gov/regulatory-information/search-fda-guidance-documents/considerations-use-artificial-intelligence-support-regulatory-decision-making-drug-and-biological.</w:t>
      </w:r>
    </w:p>
    <w:p w14:paraId="37E5A5F0"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Rieke, N., Hancox, J., Li, W., </w:t>
      </w:r>
      <w:proofErr w:type="spellStart"/>
      <w:r w:rsidRPr="00A40949">
        <w:rPr>
          <w:rFonts w:ascii="Arial" w:hAnsi="Arial" w:cs="Arial"/>
        </w:rPr>
        <w:t>Milletarì</w:t>
      </w:r>
      <w:proofErr w:type="spellEnd"/>
      <w:r w:rsidRPr="00A40949">
        <w:rPr>
          <w:rFonts w:ascii="Arial" w:hAnsi="Arial" w:cs="Arial"/>
        </w:rPr>
        <w:t xml:space="preserve">, F., Roth, H.R., </w:t>
      </w:r>
      <w:proofErr w:type="spellStart"/>
      <w:r w:rsidRPr="00A40949">
        <w:rPr>
          <w:rFonts w:ascii="Arial" w:hAnsi="Arial" w:cs="Arial"/>
        </w:rPr>
        <w:t>Albarqouni</w:t>
      </w:r>
      <w:proofErr w:type="spellEnd"/>
      <w:r w:rsidRPr="00A40949">
        <w:rPr>
          <w:rFonts w:ascii="Arial" w:hAnsi="Arial" w:cs="Arial"/>
        </w:rPr>
        <w:t xml:space="preserve">, S., Bakas, S., Galtier, M.N., Landman, B.A., Maier-Hein, K., </w:t>
      </w:r>
      <w:proofErr w:type="spellStart"/>
      <w:r w:rsidRPr="00A40949">
        <w:rPr>
          <w:rFonts w:ascii="Arial" w:hAnsi="Arial" w:cs="Arial"/>
        </w:rPr>
        <w:t>Ourselin</w:t>
      </w:r>
      <w:proofErr w:type="spellEnd"/>
      <w:r w:rsidRPr="00A40949">
        <w:rPr>
          <w:rFonts w:ascii="Arial" w:hAnsi="Arial" w:cs="Arial"/>
        </w:rPr>
        <w:t xml:space="preserve">, S., Sheller, M., Summers, R.M., Trask, A., Xu, D., Baust, M. and Cardoso, M.J. (2020). The future of digital health with federated learning. </w:t>
      </w:r>
      <w:proofErr w:type="spellStart"/>
      <w:r w:rsidRPr="00A40949">
        <w:rPr>
          <w:rFonts w:ascii="Arial" w:hAnsi="Arial" w:cs="Arial"/>
        </w:rPr>
        <w:t>npj</w:t>
      </w:r>
      <w:proofErr w:type="spellEnd"/>
      <w:r w:rsidRPr="00A40949">
        <w:rPr>
          <w:rFonts w:ascii="Arial" w:hAnsi="Arial" w:cs="Arial"/>
        </w:rPr>
        <w:t xml:space="preserve"> Digital Medicine, [online] 3(1), pp.1–7. </w:t>
      </w:r>
      <w:proofErr w:type="spellStart"/>
      <w:r w:rsidRPr="00A40949">
        <w:rPr>
          <w:rFonts w:ascii="Arial" w:hAnsi="Arial" w:cs="Arial"/>
        </w:rPr>
        <w:t>doi:https</w:t>
      </w:r>
      <w:proofErr w:type="spellEnd"/>
      <w:r w:rsidRPr="00A40949">
        <w:rPr>
          <w:rFonts w:ascii="Arial" w:hAnsi="Arial" w:cs="Arial"/>
        </w:rPr>
        <w:t>://doi.org/10.1038/s41746-020-00323-1.</w:t>
      </w:r>
    </w:p>
    <w:p w14:paraId="001BC302"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Sedano, R., </w:t>
      </w:r>
      <w:proofErr w:type="spellStart"/>
      <w:r w:rsidRPr="00A40949">
        <w:rPr>
          <w:rFonts w:ascii="Arial" w:hAnsi="Arial" w:cs="Arial"/>
        </w:rPr>
        <w:t>Solitano</w:t>
      </w:r>
      <w:proofErr w:type="spellEnd"/>
      <w:r w:rsidRPr="00A40949">
        <w:rPr>
          <w:rFonts w:ascii="Arial" w:hAnsi="Arial" w:cs="Arial"/>
        </w:rPr>
        <w:t xml:space="preserve">, V., Vuyyuru, S.K., Yuan, Y., </w:t>
      </w:r>
      <w:proofErr w:type="spellStart"/>
      <w:r w:rsidRPr="00A40949">
        <w:rPr>
          <w:rFonts w:ascii="Arial" w:hAnsi="Arial" w:cs="Arial"/>
        </w:rPr>
        <w:t>Hanžel</w:t>
      </w:r>
      <w:proofErr w:type="spellEnd"/>
      <w:r w:rsidRPr="00A40949">
        <w:rPr>
          <w:rFonts w:ascii="Arial" w:hAnsi="Arial" w:cs="Arial"/>
        </w:rPr>
        <w:t xml:space="preserve">, J., Ma, C., Nardone, O.M. and Jairath, V. (2025). Artificial intelligence to revolutionize IBD clinical trials: A </w:t>
      </w:r>
      <w:r w:rsidRPr="00A40949">
        <w:rPr>
          <w:rFonts w:ascii="Arial" w:hAnsi="Arial" w:cs="Arial"/>
        </w:rPr>
        <w:lastRenderedPageBreak/>
        <w:t xml:space="preserve">comprehensive review. Therapeutic Advances in Gastroenterology, [online] 18. </w:t>
      </w:r>
      <w:proofErr w:type="spellStart"/>
      <w:r w:rsidRPr="00A40949">
        <w:rPr>
          <w:rFonts w:ascii="Arial" w:hAnsi="Arial" w:cs="Arial"/>
        </w:rPr>
        <w:t>doi:https</w:t>
      </w:r>
      <w:proofErr w:type="spellEnd"/>
      <w:r w:rsidRPr="00A40949">
        <w:rPr>
          <w:rFonts w:ascii="Arial" w:hAnsi="Arial" w:cs="Arial"/>
        </w:rPr>
        <w:t>://doi.org/10.1177/17562848251321915.</w:t>
      </w:r>
    </w:p>
    <w:p w14:paraId="4414CD89"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Seyyed-Kalantari, L., Zhang, H., McDermott, M.B.A., Chen, I.Y. and Ghassemi, M. (2021). Underdiagnosis bias of artificial intelligence algorithms applied to chest radiographs in under-served patient populations. Nature Medicine, [online] 27(12), pp.2176–2182. </w:t>
      </w:r>
      <w:proofErr w:type="spellStart"/>
      <w:r w:rsidRPr="00A40949">
        <w:rPr>
          <w:rFonts w:ascii="Arial" w:hAnsi="Arial" w:cs="Arial"/>
        </w:rPr>
        <w:t>doi:https</w:t>
      </w:r>
      <w:proofErr w:type="spellEnd"/>
      <w:r w:rsidRPr="00A40949">
        <w:rPr>
          <w:rFonts w:ascii="Arial" w:hAnsi="Arial" w:cs="Arial"/>
        </w:rPr>
        <w:t>://doi.org/10.1038/s41591-021-01595-0.</w:t>
      </w:r>
    </w:p>
    <w:p w14:paraId="6D1DE83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U.S. Food and Drug Administration. (2025). FDA proposes framework to advance credibility of AI models used for drug and biological product submissions. [online] U.S. Food and Drug Administration. Available at: https://www.fda.gov/news-events/press-announcements/fda-proposes-framework-advance-credibility-ai-models-used-drug-and-biological-product-submissions.</w:t>
      </w:r>
    </w:p>
    <w:p w14:paraId="2F639B32" w14:textId="2E0F92A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U.S. Food and Drug Administration. (2023)</w:t>
      </w:r>
      <w:r w:rsidR="007A7D20">
        <w:rPr>
          <w:rFonts w:ascii="Arial" w:hAnsi="Arial" w:cs="Arial"/>
        </w:rPr>
        <w:t xml:space="preserve"> </w:t>
      </w:r>
      <w:r w:rsidRPr="00A40949">
        <w:rPr>
          <w:rFonts w:ascii="Arial" w:hAnsi="Arial" w:cs="Arial"/>
        </w:rPr>
        <w:t>FDA Roundup: May 12, 2023; announcement of the discussion paper Using Artificial Intelligence and Machine Learning in the Development of Drug and Biological Products. [online] U.S. Food and Drug Administration. Available at: https://www.fda.gov/news-events/press-announcements/fda-roundup-may-12-2023.</w:t>
      </w:r>
    </w:p>
    <w:p w14:paraId="1B458CA2"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Vasey, B., Nagendran, M., Campbell, B., Clifton, D.A., Collins, G.S., </w:t>
      </w:r>
      <w:proofErr w:type="spellStart"/>
      <w:r w:rsidRPr="00A40949">
        <w:rPr>
          <w:rFonts w:ascii="Arial" w:hAnsi="Arial" w:cs="Arial"/>
        </w:rPr>
        <w:t>Denaxas</w:t>
      </w:r>
      <w:proofErr w:type="spellEnd"/>
      <w:r w:rsidRPr="00A40949">
        <w:rPr>
          <w:rFonts w:ascii="Arial" w:hAnsi="Arial" w:cs="Arial"/>
        </w:rPr>
        <w:t xml:space="preserve">, S., Denniston, A.K., Faes, L., Geerts, B., Ibrahim, M., Liu, X., Mateen, B.A., Mathur, P., McCradden, M.D., Morgan, L., Ordish, J., Rogers, C., Saria, S., Ting, D.S.W. and Watkinson, P. (2022). Reporting guideline for the early-stage clinical evaluation of decision support systems driven by artificial intelligence: DECIDE-AI. Nature Medicine, [online] 28(5), pp.924–933. </w:t>
      </w:r>
      <w:proofErr w:type="spellStart"/>
      <w:r w:rsidRPr="00A40949">
        <w:rPr>
          <w:rFonts w:ascii="Arial" w:hAnsi="Arial" w:cs="Arial"/>
        </w:rPr>
        <w:t>doi:https</w:t>
      </w:r>
      <w:proofErr w:type="spellEnd"/>
      <w:r w:rsidRPr="00A40949">
        <w:rPr>
          <w:rFonts w:ascii="Arial" w:hAnsi="Arial" w:cs="Arial"/>
        </w:rPr>
        <w:t>://doi.org/10.1038/s41591-022-01772-9.</w:t>
      </w:r>
    </w:p>
    <w:p w14:paraId="5630D08F"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Vora, L.K., Gholap, A.D., Jetha, K., Thakur, R.R.S., Solanki, H.K. and Chavda, V.P. (2023). Artificial intelligence in pharmaceutical technology and drug delivery design. Pharmaceutics, [online] 15(7), pp.1916–1916. </w:t>
      </w:r>
      <w:proofErr w:type="spellStart"/>
      <w:r w:rsidRPr="00A40949">
        <w:rPr>
          <w:rFonts w:ascii="Arial" w:hAnsi="Arial" w:cs="Arial"/>
        </w:rPr>
        <w:t>doi:https</w:t>
      </w:r>
      <w:proofErr w:type="spellEnd"/>
      <w:r w:rsidRPr="00A40949">
        <w:rPr>
          <w:rFonts w:ascii="Arial" w:hAnsi="Arial" w:cs="Arial"/>
        </w:rPr>
        <w:t>://doi.org/10.3390/pharmaceutics15071916.</w:t>
      </w:r>
    </w:p>
    <w:p w14:paraId="29BDD026"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Williamson, S.M. and </w:t>
      </w:r>
      <w:proofErr w:type="spellStart"/>
      <w:r w:rsidRPr="00A40949">
        <w:rPr>
          <w:rFonts w:ascii="Arial" w:hAnsi="Arial" w:cs="Arial"/>
        </w:rPr>
        <w:t>Prybutok</w:t>
      </w:r>
      <w:proofErr w:type="spellEnd"/>
      <w:r w:rsidRPr="00A40949">
        <w:rPr>
          <w:rFonts w:ascii="Arial" w:hAnsi="Arial" w:cs="Arial"/>
        </w:rPr>
        <w:t xml:space="preserve">, V. (2024). Balancing privacy and progress: A review of privacy challenges, systemic oversight, and patient perceptions in ai-driven </w:t>
      </w:r>
      <w:r w:rsidRPr="00A40949">
        <w:rPr>
          <w:rFonts w:ascii="Arial" w:hAnsi="Arial" w:cs="Arial"/>
        </w:rPr>
        <w:lastRenderedPageBreak/>
        <w:t xml:space="preserve">healthcare. Applied Sciences, [online] 14(2), p.675. </w:t>
      </w:r>
      <w:proofErr w:type="spellStart"/>
      <w:r w:rsidRPr="00A40949">
        <w:rPr>
          <w:rFonts w:ascii="Arial" w:hAnsi="Arial" w:cs="Arial"/>
        </w:rPr>
        <w:t>doi:https</w:t>
      </w:r>
      <w:proofErr w:type="spellEnd"/>
      <w:r w:rsidRPr="00A40949">
        <w:rPr>
          <w:rFonts w:ascii="Arial" w:hAnsi="Arial" w:cs="Arial"/>
        </w:rPr>
        <w:t>://doi.org/10.3390/app14020675.</w:t>
      </w:r>
    </w:p>
    <w:p w14:paraId="71E6FF3E"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Wu, E., Wu, K., </w:t>
      </w:r>
      <w:proofErr w:type="spellStart"/>
      <w:r w:rsidRPr="00A40949">
        <w:rPr>
          <w:rFonts w:ascii="Arial" w:hAnsi="Arial" w:cs="Arial"/>
        </w:rPr>
        <w:t>Daneshjou</w:t>
      </w:r>
      <w:proofErr w:type="spellEnd"/>
      <w:r w:rsidRPr="00A40949">
        <w:rPr>
          <w:rFonts w:ascii="Arial" w:hAnsi="Arial" w:cs="Arial"/>
        </w:rPr>
        <w:t xml:space="preserve">, R., Ouyang, D., Ho, D.E. and Zou, J. (2021). How medical AI devices are evaluated: Limitations and recommendations from an analysis of FDA approvals. Nature Medicine, 27(4), pp.582–584. </w:t>
      </w:r>
      <w:proofErr w:type="spellStart"/>
      <w:r w:rsidRPr="00A40949">
        <w:rPr>
          <w:rFonts w:ascii="Arial" w:hAnsi="Arial" w:cs="Arial"/>
        </w:rPr>
        <w:t>doi:https</w:t>
      </w:r>
      <w:proofErr w:type="spellEnd"/>
      <w:r w:rsidRPr="00A40949">
        <w:rPr>
          <w:rFonts w:ascii="Arial" w:hAnsi="Arial" w:cs="Arial"/>
        </w:rPr>
        <w:t>://doi.org/10.1038/s41591-021-01312-x.</w:t>
      </w:r>
    </w:p>
    <w:p w14:paraId="45DAEBA1" w14:textId="77777777" w:rsidR="00A40949" w:rsidRPr="00A40949" w:rsidRDefault="00A40949" w:rsidP="00A40949">
      <w:pPr>
        <w:pStyle w:val="NormalWeb"/>
        <w:spacing w:before="0" w:beforeAutospacing="0" w:after="240" w:afterAutospacing="0" w:line="360" w:lineRule="auto"/>
        <w:jc w:val="both"/>
        <w:rPr>
          <w:rFonts w:ascii="Arial" w:hAnsi="Arial" w:cs="Arial"/>
        </w:rPr>
      </w:pPr>
      <w:r w:rsidRPr="00A40949">
        <w:rPr>
          <w:rFonts w:ascii="Arial" w:hAnsi="Arial" w:cs="Arial"/>
        </w:rPr>
        <w:t xml:space="preserve">Zhang, J. and Zhang, Z. (2023). Ethics and governance of trustworthy medical artificial intelligence. BMC Medical Informatics and Decision Making, [online] 23(1), p.7. </w:t>
      </w:r>
      <w:proofErr w:type="spellStart"/>
      <w:r w:rsidRPr="00A40949">
        <w:rPr>
          <w:rFonts w:ascii="Arial" w:hAnsi="Arial" w:cs="Arial"/>
        </w:rPr>
        <w:t>doi:https</w:t>
      </w:r>
      <w:proofErr w:type="spellEnd"/>
      <w:r w:rsidRPr="00A40949">
        <w:rPr>
          <w:rFonts w:ascii="Arial" w:hAnsi="Arial" w:cs="Arial"/>
        </w:rPr>
        <w:t>://doi.org/10.1186/s12911-023-02103-9.</w:t>
      </w:r>
    </w:p>
    <w:p w14:paraId="7A8E4DEF" w14:textId="77777777" w:rsidR="00A40949" w:rsidRPr="00A40949" w:rsidRDefault="00A40949" w:rsidP="00A40949">
      <w:pPr>
        <w:jc w:val="both"/>
        <w:rPr>
          <w:rFonts w:ascii="Arial" w:hAnsi="Arial" w:cs="Arial"/>
        </w:rPr>
      </w:pPr>
    </w:p>
    <w:p w14:paraId="73FB8AFF" w14:textId="77777777" w:rsidR="000372A5" w:rsidRPr="00A40949" w:rsidRDefault="000372A5" w:rsidP="00740354">
      <w:pPr>
        <w:jc w:val="both"/>
        <w:rPr>
          <w:rFonts w:ascii="Arial" w:hAnsi="Arial" w:cs="Arial"/>
        </w:rPr>
      </w:pPr>
    </w:p>
    <w:p w14:paraId="076EF61C" w14:textId="77777777" w:rsidR="002B1E5F" w:rsidRPr="00A40949" w:rsidRDefault="002B1E5F" w:rsidP="00740354">
      <w:pPr>
        <w:rPr>
          <w:rFonts w:ascii="Arial" w:hAnsi="Arial" w:cs="Arial"/>
        </w:rPr>
      </w:pPr>
    </w:p>
    <w:sectPr w:rsidR="002B1E5F" w:rsidRPr="00A40949" w:rsidSect="00EF5379">
      <w:footerReference w:type="default" r:id="rId9"/>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7A557" w14:textId="77777777" w:rsidR="005820B9" w:rsidRDefault="005820B9" w:rsidP="00576CA6">
      <w:pPr>
        <w:spacing w:line="240" w:lineRule="auto"/>
      </w:pPr>
      <w:r>
        <w:separator/>
      </w:r>
    </w:p>
  </w:endnote>
  <w:endnote w:type="continuationSeparator" w:id="0">
    <w:p w14:paraId="3B71C4DD" w14:textId="77777777" w:rsidR="005820B9" w:rsidRDefault="005820B9" w:rsidP="00576C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5768832"/>
      <w:docPartObj>
        <w:docPartGallery w:val="Page Numbers (Bottom of Page)"/>
        <w:docPartUnique/>
      </w:docPartObj>
    </w:sdtPr>
    <w:sdtEndPr>
      <w:rPr>
        <w:noProof/>
      </w:rPr>
    </w:sdtEndPr>
    <w:sdtContent>
      <w:p w14:paraId="7CE98531" w14:textId="68E80584" w:rsidR="00EF5379" w:rsidRDefault="00EF5379" w:rsidP="00EF53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88987" w14:textId="77777777" w:rsidR="005820B9" w:rsidRDefault="005820B9" w:rsidP="00576CA6">
      <w:pPr>
        <w:spacing w:line="240" w:lineRule="auto"/>
      </w:pPr>
      <w:r>
        <w:separator/>
      </w:r>
    </w:p>
  </w:footnote>
  <w:footnote w:type="continuationSeparator" w:id="0">
    <w:p w14:paraId="4878F9CC" w14:textId="77777777" w:rsidR="005820B9" w:rsidRDefault="005820B9" w:rsidP="00576C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73230"/>
    <w:multiLevelType w:val="multilevel"/>
    <w:tmpl w:val="617A23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CA37123"/>
    <w:multiLevelType w:val="multilevel"/>
    <w:tmpl w:val="1C1240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E60F5F"/>
    <w:multiLevelType w:val="hybridMultilevel"/>
    <w:tmpl w:val="E8BC2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1A2E8F"/>
    <w:multiLevelType w:val="multilevel"/>
    <w:tmpl w:val="EDB86134"/>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B445913"/>
    <w:multiLevelType w:val="multilevel"/>
    <w:tmpl w:val="F01E6A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593C92"/>
    <w:multiLevelType w:val="multilevel"/>
    <w:tmpl w:val="11ECDE6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ED74933"/>
    <w:multiLevelType w:val="multilevel"/>
    <w:tmpl w:val="A6EAE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6"/>
  </w:num>
  <w:num w:numId="3">
    <w:abstractNumId w:val="0"/>
  </w:num>
  <w:num w:numId="4">
    <w:abstractNumId w:val="0"/>
  </w:num>
  <w:num w:numId="5">
    <w:abstractNumId w:val="0"/>
  </w:num>
  <w:num w:numId="6">
    <w:abstractNumId w:val="5"/>
  </w:num>
  <w:num w:numId="7">
    <w:abstractNumId w:val="3"/>
  </w:num>
  <w:num w:numId="8">
    <w:abstractNumId w:val="3"/>
  </w:num>
  <w:num w:numId="9">
    <w:abstractNumId w:val="3"/>
  </w:num>
  <w:num w:numId="10">
    <w:abstractNumId w:val="3"/>
  </w:num>
  <w:num w:numId="11">
    <w:abstractNumId w:val="3"/>
  </w:num>
  <w:num w:numId="12">
    <w:abstractNumId w:val="1"/>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E65"/>
    <w:rsid w:val="00013902"/>
    <w:rsid w:val="000372A5"/>
    <w:rsid w:val="000A6B86"/>
    <w:rsid w:val="00104D87"/>
    <w:rsid w:val="001E74D0"/>
    <w:rsid w:val="002038CB"/>
    <w:rsid w:val="002B1E5F"/>
    <w:rsid w:val="002D481C"/>
    <w:rsid w:val="003A1AC6"/>
    <w:rsid w:val="003B7ED9"/>
    <w:rsid w:val="004511C6"/>
    <w:rsid w:val="00475CA4"/>
    <w:rsid w:val="0050055A"/>
    <w:rsid w:val="00526CD6"/>
    <w:rsid w:val="00576CA6"/>
    <w:rsid w:val="005820B9"/>
    <w:rsid w:val="005B272E"/>
    <w:rsid w:val="005B424B"/>
    <w:rsid w:val="005C0C82"/>
    <w:rsid w:val="005C6278"/>
    <w:rsid w:val="006016DB"/>
    <w:rsid w:val="00626C66"/>
    <w:rsid w:val="006E1541"/>
    <w:rsid w:val="00740354"/>
    <w:rsid w:val="00794B4C"/>
    <w:rsid w:val="00795F5D"/>
    <w:rsid w:val="007A7D20"/>
    <w:rsid w:val="007D739B"/>
    <w:rsid w:val="00864867"/>
    <w:rsid w:val="00867626"/>
    <w:rsid w:val="00907CA8"/>
    <w:rsid w:val="00923E77"/>
    <w:rsid w:val="00965A33"/>
    <w:rsid w:val="009875A6"/>
    <w:rsid w:val="00A20099"/>
    <w:rsid w:val="00A40949"/>
    <w:rsid w:val="00A834F1"/>
    <w:rsid w:val="00A85DC8"/>
    <w:rsid w:val="00AD4190"/>
    <w:rsid w:val="00AD7000"/>
    <w:rsid w:val="00B77275"/>
    <w:rsid w:val="00B81936"/>
    <w:rsid w:val="00BC3FC7"/>
    <w:rsid w:val="00BD3F18"/>
    <w:rsid w:val="00C27946"/>
    <w:rsid w:val="00C74D89"/>
    <w:rsid w:val="00C85C96"/>
    <w:rsid w:val="00CD5318"/>
    <w:rsid w:val="00DA2E65"/>
    <w:rsid w:val="00DD1BEA"/>
    <w:rsid w:val="00DF395A"/>
    <w:rsid w:val="00E01C6E"/>
    <w:rsid w:val="00EF5379"/>
    <w:rsid w:val="00EF726F"/>
    <w:rsid w:val="00FD5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38B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D0"/>
    <w:rPr>
      <w:rFonts w:ascii="Times New Roman" w:hAnsi="Times New Roman"/>
      <w:lang w:val="en-GB"/>
    </w:rPr>
  </w:style>
  <w:style w:type="paragraph" w:styleId="Heading1">
    <w:name w:val="heading 1"/>
    <w:basedOn w:val="Normal"/>
    <w:next w:val="Normal"/>
    <w:link w:val="Heading1Char"/>
    <w:autoRedefine/>
    <w:uiPriority w:val="9"/>
    <w:qFormat/>
    <w:rsid w:val="000372A5"/>
    <w:pPr>
      <w:keepNext/>
      <w:keepLines/>
      <w:numPr>
        <w:numId w:val="11"/>
      </w:numPr>
      <w:outlineLvl w:val="0"/>
    </w:pPr>
    <w:rPr>
      <w:rFonts w:ascii="Arial" w:eastAsiaTheme="majorEastAsia" w:hAnsi="Arial" w:cstheme="majorBidi"/>
      <w:b/>
      <w:color w:val="000000" w:themeColor="text1"/>
      <w:sz w:val="28"/>
      <w:szCs w:val="40"/>
      <w:lang w:val="en-US"/>
    </w:rPr>
  </w:style>
  <w:style w:type="paragraph" w:styleId="Heading2">
    <w:name w:val="heading 2"/>
    <w:basedOn w:val="Normal"/>
    <w:next w:val="Normal"/>
    <w:link w:val="Heading2Char"/>
    <w:autoRedefine/>
    <w:uiPriority w:val="9"/>
    <w:unhideWhenUsed/>
    <w:qFormat/>
    <w:rsid w:val="00AD4190"/>
    <w:pPr>
      <w:keepNext/>
      <w:keepLines/>
      <w:spacing w:before="160" w:after="80"/>
      <w:ind w:left="576" w:hanging="576"/>
      <w:outlineLvl w:val="1"/>
    </w:pPr>
    <w:rPr>
      <w:rFonts w:ascii="Arial" w:eastAsiaTheme="majorEastAsia" w:hAnsi="Arial" w:cstheme="majorBidi"/>
      <w:b/>
      <w:color w:val="000000" w:themeColor="text1"/>
      <w:szCs w:val="32"/>
      <w:lang w:val="en-US"/>
    </w:rPr>
  </w:style>
  <w:style w:type="paragraph" w:styleId="Heading3">
    <w:name w:val="heading 3"/>
    <w:basedOn w:val="Normal"/>
    <w:next w:val="Normal"/>
    <w:link w:val="Heading3Char"/>
    <w:autoRedefine/>
    <w:uiPriority w:val="9"/>
    <w:unhideWhenUsed/>
    <w:qFormat/>
    <w:rsid w:val="00C27946"/>
    <w:pPr>
      <w:keepNext/>
      <w:keepLines/>
      <w:numPr>
        <w:ilvl w:val="2"/>
        <w:numId w:val="9"/>
      </w:numPr>
      <w:spacing w:before="160" w:after="80"/>
      <w:outlineLvl w:val="2"/>
    </w:pPr>
    <w:rPr>
      <w:rFonts w:eastAsiaTheme="majorEastAsia" w:cstheme="majorBidi"/>
      <w:i/>
      <w:color w:val="000000" w:themeColor="text1"/>
      <w:szCs w:val="28"/>
      <w:lang w:val="en-US"/>
    </w:rPr>
  </w:style>
  <w:style w:type="paragraph" w:styleId="Heading4">
    <w:name w:val="heading 4"/>
    <w:basedOn w:val="Normal"/>
    <w:next w:val="Normal"/>
    <w:link w:val="Heading4Char"/>
    <w:uiPriority w:val="9"/>
    <w:semiHidden/>
    <w:unhideWhenUsed/>
    <w:qFormat/>
    <w:rsid w:val="00DA2E6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2E6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A2E6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2E6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2E6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2E6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2A5"/>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AD4190"/>
    <w:rPr>
      <w:rFonts w:ascii="Arial" w:eastAsiaTheme="majorEastAsia" w:hAnsi="Arial" w:cstheme="majorBidi"/>
      <w:b/>
      <w:color w:val="000000" w:themeColor="text1"/>
      <w:szCs w:val="32"/>
    </w:rPr>
  </w:style>
  <w:style w:type="paragraph" w:styleId="Title">
    <w:name w:val="Title"/>
    <w:basedOn w:val="Normal"/>
    <w:next w:val="Normal"/>
    <w:link w:val="TitleChar"/>
    <w:autoRedefine/>
    <w:uiPriority w:val="10"/>
    <w:qFormat/>
    <w:rsid w:val="005B424B"/>
    <w:pPr>
      <w:contextualSpacing/>
      <w:jc w:val="center"/>
    </w:pPr>
    <w:rPr>
      <w:rFonts w:ascii="Arial" w:eastAsiaTheme="majorEastAsia" w:hAnsi="Arial" w:cs="Arial"/>
      <w:b/>
      <w:spacing w:val="-10"/>
      <w:kern w:val="28"/>
      <w:sz w:val="32"/>
      <w:szCs w:val="40"/>
    </w:rPr>
  </w:style>
  <w:style w:type="character" w:customStyle="1" w:styleId="TitleChar">
    <w:name w:val="Title Char"/>
    <w:basedOn w:val="DefaultParagraphFont"/>
    <w:link w:val="Title"/>
    <w:uiPriority w:val="10"/>
    <w:rsid w:val="005B424B"/>
    <w:rPr>
      <w:rFonts w:ascii="Arial" w:eastAsiaTheme="majorEastAsia" w:hAnsi="Arial" w:cs="Arial"/>
      <w:b/>
      <w:spacing w:val="-10"/>
      <w:kern w:val="28"/>
      <w:sz w:val="32"/>
      <w:szCs w:val="40"/>
      <w:lang w:val="en-GB"/>
    </w:rPr>
  </w:style>
  <w:style w:type="character" w:customStyle="1" w:styleId="Heading3Char">
    <w:name w:val="Heading 3 Char"/>
    <w:basedOn w:val="DefaultParagraphFont"/>
    <w:link w:val="Heading3"/>
    <w:uiPriority w:val="9"/>
    <w:rsid w:val="00C27946"/>
    <w:rPr>
      <w:rFonts w:ascii="Times New Roman" w:eastAsiaTheme="majorEastAsia" w:hAnsi="Times New Roman" w:cstheme="majorBidi"/>
      <w:i/>
      <w:color w:val="000000" w:themeColor="text1"/>
      <w:szCs w:val="28"/>
    </w:rPr>
  </w:style>
  <w:style w:type="character" w:customStyle="1" w:styleId="Heading4Char">
    <w:name w:val="Heading 4 Char"/>
    <w:basedOn w:val="DefaultParagraphFont"/>
    <w:link w:val="Heading4"/>
    <w:uiPriority w:val="9"/>
    <w:semiHidden/>
    <w:rsid w:val="00DA2E6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A2E6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A2E6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A2E6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A2E6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A2E65"/>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DA2E6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E6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A2E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2E65"/>
    <w:rPr>
      <w:rFonts w:ascii="Times New Roman" w:hAnsi="Times New Roman"/>
      <w:i/>
      <w:iCs/>
      <w:color w:val="404040" w:themeColor="text1" w:themeTint="BF"/>
      <w:lang w:val="en-GB"/>
    </w:rPr>
  </w:style>
  <w:style w:type="paragraph" w:styleId="ListParagraph">
    <w:name w:val="List Paragraph"/>
    <w:basedOn w:val="Normal"/>
    <w:uiPriority w:val="34"/>
    <w:qFormat/>
    <w:rsid w:val="00DA2E65"/>
    <w:pPr>
      <w:ind w:left="720"/>
      <w:contextualSpacing/>
    </w:pPr>
  </w:style>
  <w:style w:type="character" w:styleId="IntenseEmphasis">
    <w:name w:val="Intense Emphasis"/>
    <w:basedOn w:val="DefaultParagraphFont"/>
    <w:uiPriority w:val="21"/>
    <w:qFormat/>
    <w:rsid w:val="00DA2E65"/>
    <w:rPr>
      <w:i/>
      <w:iCs/>
      <w:color w:val="2F5496" w:themeColor="accent1" w:themeShade="BF"/>
    </w:rPr>
  </w:style>
  <w:style w:type="paragraph" w:styleId="IntenseQuote">
    <w:name w:val="Intense Quote"/>
    <w:basedOn w:val="Normal"/>
    <w:next w:val="Normal"/>
    <w:link w:val="IntenseQuoteChar"/>
    <w:uiPriority w:val="30"/>
    <w:qFormat/>
    <w:rsid w:val="00DA2E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2E65"/>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DA2E65"/>
    <w:rPr>
      <w:b/>
      <w:bCs/>
      <w:smallCaps/>
      <w:color w:val="2F5496" w:themeColor="accent1" w:themeShade="BF"/>
      <w:spacing w:val="5"/>
    </w:rPr>
  </w:style>
  <w:style w:type="paragraph" w:styleId="TOCHeading">
    <w:name w:val="TOC Heading"/>
    <w:basedOn w:val="Heading1"/>
    <w:next w:val="Normal"/>
    <w:uiPriority w:val="39"/>
    <w:unhideWhenUsed/>
    <w:qFormat/>
    <w:rsid w:val="00740354"/>
    <w:pPr>
      <w:numPr>
        <w:numId w:val="0"/>
      </w:numPr>
      <w:spacing w:before="24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740354"/>
    <w:pPr>
      <w:spacing w:after="100"/>
    </w:pPr>
  </w:style>
  <w:style w:type="paragraph" w:styleId="TOC2">
    <w:name w:val="toc 2"/>
    <w:basedOn w:val="Normal"/>
    <w:next w:val="Normal"/>
    <w:autoRedefine/>
    <w:uiPriority w:val="39"/>
    <w:unhideWhenUsed/>
    <w:rsid w:val="00740354"/>
    <w:pPr>
      <w:spacing w:after="100"/>
      <w:ind w:left="240"/>
    </w:pPr>
  </w:style>
  <w:style w:type="character" w:styleId="Hyperlink">
    <w:name w:val="Hyperlink"/>
    <w:basedOn w:val="DefaultParagraphFont"/>
    <w:uiPriority w:val="99"/>
    <w:unhideWhenUsed/>
    <w:rsid w:val="00740354"/>
    <w:rPr>
      <w:color w:val="0563C1" w:themeColor="hyperlink"/>
      <w:u w:val="single"/>
    </w:rPr>
  </w:style>
  <w:style w:type="table" w:styleId="PlainTable1">
    <w:name w:val="Plain Table 1"/>
    <w:basedOn w:val="TableNormal"/>
    <w:uiPriority w:val="41"/>
    <w:rsid w:val="000372A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A40949"/>
    <w:pPr>
      <w:spacing w:before="100" w:beforeAutospacing="1" w:after="100" w:afterAutospacing="1" w:line="240" w:lineRule="auto"/>
    </w:pPr>
    <w:rPr>
      <w:rFonts w:eastAsia="Times New Roman" w:cs="Times New Roman"/>
      <w:kern w:val="0"/>
      <w:lang w:val="en-US"/>
      <w14:ligatures w14:val="none"/>
    </w:rPr>
  </w:style>
  <w:style w:type="paragraph" w:styleId="Header">
    <w:name w:val="header"/>
    <w:basedOn w:val="Normal"/>
    <w:link w:val="HeaderChar"/>
    <w:uiPriority w:val="99"/>
    <w:unhideWhenUsed/>
    <w:rsid w:val="00576CA6"/>
    <w:pPr>
      <w:tabs>
        <w:tab w:val="center" w:pos="4680"/>
        <w:tab w:val="right" w:pos="9360"/>
      </w:tabs>
      <w:spacing w:line="240" w:lineRule="auto"/>
    </w:pPr>
  </w:style>
  <w:style w:type="character" w:customStyle="1" w:styleId="HeaderChar">
    <w:name w:val="Header Char"/>
    <w:basedOn w:val="DefaultParagraphFont"/>
    <w:link w:val="Header"/>
    <w:uiPriority w:val="99"/>
    <w:rsid w:val="00576CA6"/>
    <w:rPr>
      <w:rFonts w:ascii="Times New Roman" w:hAnsi="Times New Roman"/>
      <w:lang w:val="en-GB"/>
    </w:rPr>
  </w:style>
  <w:style w:type="paragraph" w:styleId="Footer">
    <w:name w:val="footer"/>
    <w:basedOn w:val="Normal"/>
    <w:link w:val="FooterChar"/>
    <w:uiPriority w:val="99"/>
    <w:unhideWhenUsed/>
    <w:rsid w:val="00576CA6"/>
    <w:pPr>
      <w:tabs>
        <w:tab w:val="center" w:pos="4680"/>
        <w:tab w:val="right" w:pos="9360"/>
      </w:tabs>
      <w:spacing w:line="240" w:lineRule="auto"/>
    </w:pPr>
  </w:style>
  <w:style w:type="character" w:customStyle="1" w:styleId="FooterChar">
    <w:name w:val="Footer Char"/>
    <w:basedOn w:val="DefaultParagraphFont"/>
    <w:link w:val="Footer"/>
    <w:uiPriority w:val="99"/>
    <w:rsid w:val="00576CA6"/>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29B3B8-FF48-4B77-8139-29A37310B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8065</Words>
  <Characters>45972</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2026-04-26T18:18:00Z</dcterms:created>
  <dcterms:modified xsi:type="dcterms:W3CDTF">2026-04-26T19:55:00Z</dcterms:modified>
</cp:coreProperties>
</file>