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319C68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23B5A">
              <w:rPr>
                <w:b/>
                <w:color w:val="auto"/>
                <w:sz w:val="32"/>
              </w:rPr>
              <w:t>SEAN HOLMES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13D2271" w:rsidR="00575A8F" w:rsidRDefault="000926D3" w:rsidP="00E6298B">
            <w:pPr>
              <w:overflowPunct/>
              <w:autoSpaceDE/>
              <w:autoSpaceDN/>
              <w:adjustRightInd/>
              <w:ind w:right="107"/>
              <w:textAlignment w:val="auto"/>
              <w:rPr>
                <w:b/>
                <w:color w:val="auto"/>
                <w:sz w:val="32"/>
              </w:rPr>
            </w:pPr>
            <w:r w:rsidRPr="000926D3">
              <w:rPr>
                <w:b/>
                <w:color w:val="auto"/>
                <w:sz w:val="32"/>
              </w:rPr>
              <w:t>2222324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0CD1EB0" w14:textId="7F050F66" w:rsidR="00223351" w:rsidRDefault="00E375DB" w:rsidP="00CF211C">
      <w:pPr>
        <w:spacing w:line="480" w:lineRule="auto"/>
        <w:ind w:right="107"/>
        <w:jc w:val="both"/>
        <w:rPr>
          <w:sz w:val="24"/>
          <w:szCs w:val="24"/>
        </w:rPr>
      </w:pPr>
      <w:r>
        <w:rPr>
          <w:sz w:val="24"/>
          <w:szCs w:val="24"/>
        </w:rPr>
        <w:t xml:space="preserve">Bowden </w:t>
      </w:r>
      <w:r w:rsidR="006550EA">
        <w:rPr>
          <w:sz w:val="24"/>
          <w:szCs w:val="24"/>
        </w:rPr>
        <w:t>et</w:t>
      </w:r>
      <w:r>
        <w:rPr>
          <w:sz w:val="24"/>
          <w:szCs w:val="24"/>
        </w:rPr>
        <w:t xml:space="preserve"> </w:t>
      </w:r>
      <w:r w:rsidR="006550EA">
        <w:rPr>
          <w:sz w:val="24"/>
          <w:szCs w:val="24"/>
        </w:rPr>
        <w:t>a</w:t>
      </w:r>
      <w:r>
        <w:rPr>
          <w:sz w:val="24"/>
          <w:szCs w:val="24"/>
        </w:rPr>
        <w:t xml:space="preserve">l (2000) states that stress is a term that due its overuse has become more confusing and that setting stress as a defined term would be impossible due to the variety of meanings for it. However, they go onto state that the dictionary definition is the idea of the Human reacting to the environment where it demands more of the Human than it can take, be over a short period or long period of time. </w:t>
      </w:r>
    </w:p>
    <w:p w14:paraId="3495C8BD" w14:textId="77777777" w:rsidR="00223351" w:rsidRDefault="00223351" w:rsidP="00CF211C">
      <w:pPr>
        <w:spacing w:line="480" w:lineRule="auto"/>
        <w:ind w:right="107"/>
        <w:jc w:val="both"/>
        <w:rPr>
          <w:sz w:val="24"/>
          <w:szCs w:val="24"/>
        </w:rPr>
      </w:pPr>
    </w:p>
    <w:p w14:paraId="44D92745" w14:textId="26E545A5" w:rsidR="003D626B" w:rsidRDefault="00E375DB" w:rsidP="00CF211C">
      <w:pPr>
        <w:spacing w:line="480" w:lineRule="auto"/>
        <w:ind w:right="107"/>
        <w:jc w:val="both"/>
        <w:rPr>
          <w:sz w:val="24"/>
          <w:szCs w:val="24"/>
        </w:rPr>
      </w:pPr>
      <w:r>
        <w:rPr>
          <w:sz w:val="24"/>
          <w:szCs w:val="24"/>
        </w:rPr>
        <w:t xml:space="preserve">As Harkness &amp; Hayden (2019) state </w:t>
      </w:r>
      <w:r w:rsidR="00223351">
        <w:rPr>
          <w:sz w:val="24"/>
          <w:szCs w:val="24"/>
        </w:rPr>
        <w:t xml:space="preserve">that being exposed to stress is normal for all Humans. They also state that Depression and Suicidality is linked to stress due to events causing people stress. Which corroborates what Bowden </w:t>
      </w:r>
      <w:r w:rsidR="006550EA">
        <w:rPr>
          <w:sz w:val="24"/>
          <w:szCs w:val="24"/>
        </w:rPr>
        <w:t>e</w:t>
      </w:r>
      <w:r w:rsidR="00223351">
        <w:rPr>
          <w:sz w:val="24"/>
          <w:szCs w:val="24"/>
        </w:rPr>
        <w:t xml:space="preserve">t </w:t>
      </w:r>
      <w:r w:rsidR="006550EA">
        <w:rPr>
          <w:sz w:val="24"/>
          <w:szCs w:val="24"/>
        </w:rPr>
        <w:t>a</w:t>
      </w:r>
      <w:r w:rsidR="00223351">
        <w:rPr>
          <w:sz w:val="24"/>
          <w:szCs w:val="24"/>
        </w:rPr>
        <w:t xml:space="preserve">l (2000) states that terms like depression and anxiety are directly linked and sometimes interchangeable with stress. However, Harkness &amp; Hayden (2019) do list examples of what could cause stress, giving two categories of them that they list as minor and major stresses, from traumatic events to normal, everyday events. </w:t>
      </w:r>
      <w:r w:rsidR="003D626B">
        <w:rPr>
          <w:sz w:val="24"/>
          <w:szCs w:val="24"/>
        </w:rPr>
        <w:t xml:space="preserve">Cooper &amp; Stephen (2007) also corroborate the above, however adds to it by stating that too much stress can also negatively </w:t>
      </w:r>
      <w:proofErr w:type="spellStart"/>
      <w:proofErr w:type="gramStart"/>
      <w:r w:rsidR="003D626B">
        <w:rPr>
          <w:sz w:val="24"/>
          <w:szCs w:val="24"/>
        </w:rPr>
        <w:t>effect</w:t>
      </w:r>
      <w:proofErr w:type="spellEnd"/>
      <w:proofErr w:type="gramEnd"/>
      <w:r w:rsidR="003D626B">
        <w:rPr>
          <w:sz w:val="24"/>
          <w:szCs w:val="24"/>
        </w:rPr>
        <w:t xml:space="preserve"> your health.</w:t>
      </w:r>
    </w:p>
    <w:p w14:paraId="1D9D4C1D" w14:textId="77777777" w:rsidR="00074A54" w:rsidRDefault="00074A54" w:rsidP="00CF211C">
      <w:pPr>
        <w:spacing w:line="480" w:lineRule="auto"/>
        <w:ind w:right="107"/>
        <w:jc w:val="both"/>
        <w:rPr>
          <w:sz w:val="24"/>
          <w:szCs w:val="24"/>
        </w:rPr>
      </w:pPr>
    </w:p>
    <w:p w14:paraId="117A6089" w14:textId="18500102" w:rsidR="00074A54" w:rsidRDefault="00074A54" w:rsidP="00CF211C">
      <w:pPr>
        <w:spacing w:line="480" w:lineRule="auto"/>
        <w:ind w:right="107"/>
        <w:jc w:val="both"/>
        <w:rPr>
          <w:sz w:val="24"/>
          <w:szCs w:val="24"/>
        </w:rPr>
      </w:pPr>
      <w:r>
        <w:rPr>
          <w:sz w:val="24"/>
          <w:szCs w:val="24"/>
        </w:rPr>
        <w:lastRenderedPageBreak/>
        <w:t xml:space="preserve">Ju-Yu et al (2018) label resilience as what allows people to adapt to stress and difficulties in life, avoiding disorders and the negative pathways that people delve down or get from being stressed. </w:t>
      </w:r>
    </w:p>
    <w:p w14:paraId="485E8930" w14:textId="77777777" w:rsidR="00DB7EF9" w:rsidRDefault="00DB7EF9" w:rsidP="00CF211C">
      <w:pPr>
        <w:spacing w:line="480" w:lineRule="auto"/>
        <w:ind w:right="107"/>
        <w:jc w:val="both"/>
        <w:rPr>
          <w:sz w:val="24"/>
          <w:szCs w:val="24"/>
        </w:rPr>
      </w:pPr>
    </w:p>
    <w:p w14:paraId="7B9E6CD8" w14:textId="77777777" w:rsidR="00547983" w:rsidRDefault="00547983" w:rsidP="00CF211C">
      <w:pPr>
        <w:spacing w:line="480" w:lineRule="auto"/>
        <w:ind w:right="107"/>
        <w:jc w:val="both"/>
        <w:rPr>
          <w:sz w:val="24"/>
          <w:szCs w:val="24"/>
        </w:rPr>
      </w:pPr>
    </w:p>
    <w:p w14:paraId="59B99B24" w14:textId="77777777" w:rsidR="00547983" w:rsidRDefault="00DB7EF9" w:rsidP="00CF211C">
      <w:pPr>
        <w:spacing w:line="480" w:lineRule="auto"/>
        <w:ind w:right="107"/>
        <w:jc w:val="both"/>
        <w:rPr>
          <w:sz w:val="24"/>
          <w:szCs w:val="24"/>
        </w:rPr>
      </w:pPr>
      <w:r>
        <w:rPr>
          <w:sz w:val="24"/>
          <w:szCs w:val="24"/>
        </w:rPr>
        <w:t xml:space="preserve">Cooper et al (2018) labels four different types of resilience, emotion-focused, problem-focused, solution-focused and change-focused. Emotion-Focused is about managing the emotional response to a problem. Problem-Focused is about identifying and resolving the </w:t>
      </w:r>
      <w:proofErr w:type="spellStart"/>
      <w:r>
        <w:rPr>
          <w:sz w:val="24"/>
          <w:szCs w:val="24"/>
        </w:rPr>
        <w:t>route</w:t>
      </w:r>
      <w:proofErr w:type="spellEnd"/>
      <w:r>
        <w:rPr>
          <w:sz w:val="24"/>
          <w:szCs w:val="24"/>
        </w:rPr>
        <w:t xml:space="preserve"> cause of the problem. Solution-focused is about gathering as many solutions as possible, to give us a wider ability to adept and preparedness for the future. Change-focused is about embracing the ability to adapt as the tendency is to react negatively to change due to it being unfamiliar, this focus of resilience aims to reduce the </w:t>
      </w:r>
      <w:proofErr w:type="gramStart"/>
      <w:r>
        <w:rPr>
          <w:sz w:val="24"/>
          <w:szCs w:val="24"/>
        </w:rPr>
        <w:t>amount</w:t>
      </w:r>
      <w:proofErr w:type="gramEnd"/>
      <w:r>
        <w:rPr>
          <w:sz w:val="24"/>
          <w:szCs w:val="24"/>
        </w:rPr>
        <w:t xml:space="preserve"> of changes in our life.</w:t>
      </w:r>
      <w:r w:rsidR="00547983">
        <w:rPr>
          <w:sz w:val="24"/>
          <w:szCs w:val="24"/>
        </w:rPr>
        <w:t xml:space="preserve"> </w:t>
      </w:r>
    </w:p>
    <w:p w14:paraId="40D5B4A7" w14:textId="5C3E7DB2" w:rsidR="00DB7EF9" w:rsidRDefault="00547983" w:rsidP="00CF211C">
      <w:pPr>
        <w:spacing w:line="480" w:lineRule="auto"/>
        <w:ind w:right="107"/>
        <w:jc w:val="both"/>
        <w:rPr>
          <w:sz w:val="24"/>
          <w:szCs w:val="24"/>
        </w:rPr>
      </w:pPr>
      <w:r>
        <w:rPr>
          <w:sz w:val="24"/>
          <w:szCs w:val="24"/>
        </w:rPr>
        <w:t xml:space="preserve">Throughout the last decade I have upheld a routine where after work, school I would go to the gym </w:t>
      </w:r>
      <w:r w:rsidR="003D626B">
        <w:rPr>
          <w:sz w:val="24"/>
          <w:szCs w:val="24"/>
        </w:rPr>
        <w:t>and other activities at certain times throughout my day</w:t>
      </w:r>
      <w:r>
        <w:rPr>
          <w:sz w:val="24"/>
          <w:szCs w:val="24"/>
        </w:rPr>
        <w:t xml:space="preserve">. Developing a routine that doesn’t change which is what Change-Focused is all about. This helped </w:t>
      </w:r>
      <w:r w:rsidR="003B5D4A">
        <w:rPr>
          <w:sz w:val="24"/>
          <w:szCs w:val="24"/>
        </w:rPr>
        <w:t xml:space="preserve">me to concentrate, which </w:t>
      </w:r>
      <w:proofErr w:type="spellStart"/>
      <w:r w:rsidR="003B5D4A">
        <w:rPr>
          <w:sz w:val="24"/>
          <w:szCs w:val="24"/>
        </w:rPr>
        <w:t>his</w:t>
      </w:r>
      <w:proofErr w:type="spellEnd"/>
      <w:r w:rsidR="003B5D4A">
        <w:rPr>
          <w:sz w:val="24"/>
          <w:szCs w:val="24"/>
        </w:rPr>
        <w:t xml:space="preserve"> what Cooper et al (2018) had mentioned throughout my Initial </w:t>
      </w:r>
      <w:r w:rsidR="00F03EA1">
        <w:rPr>
          <w:sz w:val="24"/>
          <w:szCs w:val="24"/>
        </w:rPr>
        <w:t>Training</w:t>
      </w:r>
      <w:r w:rsidR="003B5D4A">
        <w:rPr>
          <w:sz w:val="24"/>
          <w:szCs w:val="24"/>
        </w:rPr>
        <w:t>.</w:t>
      </w:r>
    </w:p>
    <w:p w14:paraId="775E66DC" w14:textId="77777777" w:rsidR="00A57B0A" w:rsidRDefault="00A57B0A" w:rsidP="00CF211C">
      <w:pPr>
        <w:spacing w:line="480" w:lineRule="auto"/>
        <w:ind w:right="107"/>
        <w:jc w:val="both"/>
        <w:rPr>
          <w:sz w:val="24"/>
          <w:szCs w:val="24"/>
        </w:rPr>
      </w:pPr>
    </w:p>
    <w:p w14:paraId="5411A5AE" w14:textId="77777777" w:rsidR="00A57B0A" w:rsidRDefault="00A57B0A" w:rsidP="00CF211C">
      <w:pPr>
        <w:spacing w:line="480" w:lineRule="auto"/>
        <w:ind w:right="107"/>
        <w:jc w:val="both"/>
        <w:rPr>
          <w:sz w:val="24"/>
          <w:szCs w:val="24"/>
        </w:rPr>
      </w:pPr>
      <w:r>
        <w:rPr>
          <w:sz w:val="24"/>
          <w:szCs w:val="24"/>
        </w:rPr>
        <w:t xml:space="preserve">As Ju-Yu et al (2018) detail that addictive behaviours tend to begin due to stress as a method to manage it, especially when it could trigger a relapse into them. However, not everyone who is stressed develops an addiction as they could have factors or abilities that give them resilience to the effects of stress from having an optimistic outlook to humour are listed as resilient factors. </w:t>
      </w:r>
    </w:p>
    <w:p w14:paraId="43AEC8EE" w14:textId="7DB7CEA4" w:rsidR="00BE25DF" w:rsidRDefault="00BE25DF" w:rsidP="00CF211C">
      <w:pPr>
        <w:spacing w:line="480" w:lineRule="auto"/>
        <w:ind w:right="107"/>
        <w:jc w:val="both"/>
        <w:rPr>
          <w:sz w:val="24"/>
          <w:szCs w:val="24"/>
        </w:rPr>
      </w:pPr>
      <w:r>
        <w:rPr>
          <w:sz w:val="24"/>
          <w:szCs w:val="24"/>
        </w:rPr>
        <w:lastRenderedPageBreak/>
        <w:t>That throughout the initial 6 months learning, humour has been constantly used and thereafter when on shift</w:t>
      </w:r>
      <w:r w:rsidR="001F5E0E">
        <w:rPr>
          <w:sz w:val="24"/>
          <w:szCs w:val="24"/>
        </w:rPr>
        <w:t xml:space="preserve"> and due to enjoying the job, has given me a positive outlook which</w:t>
      </w:r>
      <w:r>
        <w:rPr>
          <w:sz w:val="24"/>
          <w:szCs w:val="24"/>
        </w:rPr>
        <w:t xml:space="preserve"> as Ju-Yu et al (2018) had stated develops and are factors of resilience.</w:t>
      </w:r>
    </w:p>
    <w:p w14:paraId="153C5344" w14:textId="77777777" w:rsidR="00547983" w:rsidRDefault="00547983" w:rsidP="00CF211C">
      <w:pPr>
        <w:spacing w:line="480" w:lineRule="auto"/>
        <w:ind w:right="107"/>
        <w:jc w:val="both"/>
        <w:rPr>
          <w:sz w:val="24"/>
          <w:szCs w:val="24"/>
        </w:rPr>
      </w:pPr>
    </w:p>
    <w:p w14:paraId="59A52492" w14:textId="77777777" w:rsidR="00D2389E" w:rsidRDefault="00D2389E" w:rsidP="00CF211C">
      <w:pPr>
        <w:spacing w:line="480" w:lineRule="auto"/>
        <w:ind w:right="107"/>
        <w:jc w:val="both"/>
        <w:rPr>
          <w:sz w:val="24"/>
          <w:szCs w:val="24"/>
        </w:rPr>
      </w:pPr>
    </w:p>
    <w:p w14:paraId="72EA3CCC" w14:textId="4B5F6F9D" w:rsidR="0048153E" w:rsidRDefault="006550EA" w:rsidP="00CF211C">
      <w:pPr>
        <w:spacing w:line="480" w:lineRule="auto"/>
        <w:ind w:right="107"/>
        <w:jc w:val="both"/>
        <w:rPr>
          <w:sz w:val="24"/>
          <w:szCs w:val="24"/>
        </w:rPr>
      </w:pPr>
      <w:r>
        <w:rPr>
          <w:sz w:val="24"/>
          <w:szCs w:val="24"/>
        </w:rPr>
        <w:t xml:space="preserve">Cooper et al (2018) state that prioritisation of goals gives us a structure that allows us to see more clearly on what needs to be done, allowing us to focus on what is required to be done. However, too many goals and it has a negative effect, making you frustrated and in turn stressed. However, </w:t>
      </w:r>
      <w:r w:rsidR="005E1DBD">
        <w:rPr>
          <w:sz w:val="24"/>
          <w:szCs w:val="24"/>
        </w:rPr>
        <w:t>if we d</w:t>
      </w:r>
      <w:r w:rsidR="00FC1B6E">
        <w:rPr>
          <w:sz w:val="24"/>
          <w:szCs w:val="24"/>
        </w:rPr>
        <w:t xml:space="preserve">elegate to </w:t>
      </w:r>
      <w:proofErr w:type="gramStart"/>
      <w:r w:rsidR="00FC1B6E">
        <w:rPr>
          <w:sz w:val="24"/>
          <w:szCs w:val="24"/>
        </w:rPr>
        <w:t>others</w:t>
      </w:r>
      <w:proofErr w:type="gramEnd"/>
      <w:r w:rsidR="005E1DBD">
        <w:rPr>
          <w:sz w:val="24"/>
          <w:szCs w:val="24"/>
        </w:rPr>
        <w:t xml:space="preserve"> it allows us to cut down on the amount of tasks, we ourselves have</w:t>
      </w:r>
      <w:r w:rsidR="00FC1B6E">
        <w:rPr>
          <w:sz w:val="24"/>
          <w:szCs w:val="24"/>
        </w:rPr>
        <w:t>.</w:t>
      </w:r>
      <w:r w:rsidR="0048153E">
        <w:rPr>
          <w:sz w:val="24"/>
          <w:szCs w:val="24"/>
        </w:rPr>
        <w:t xml:space="preserve"> </w:t>
      </w:r>
    </w:p>
    <w:p w14:paraId="5A1F1F3A" w14:textId="27060551" w:rsidR="0048153E" w:rsidRDefault="0048153E" w:rsidP="00CF211C">
      <w:pPr>
        <w:spacing w:line="480" w:lineRule="auto"/>
        <w:ind w:right="107"/>
        <w:jc w:val="both"/>
        <w:rPr>
          <w:sz w:val="24"/>
          <w:szCs w:val="24"/>
        </w:rPr>
      </w:pPr>
      <w:r>
        <w:rPr>
          <w:sz w:val="24"/>
          <w:szCs w:val="24"/>
        </w:rPr>
        <w:t>Cooper et al (2018) also label that the tasks set require time in order to be more attainable, so that giving each an adequate amount of time and spacing them out from each other.</w:t>
      </w:r>
      <w:r w:rsidR="003C4E1C">
        <w:rPr>
          <w:sz w:val="24"/>
          <w:szCs w:val="24"/>
        </w:rPr>
        <w:t xml:space="preserve"> Cooper &amp; Stephen (2007) whilst stating that Time-management is also necessary </w:t>
      </w:r>
      <w:r w:rsidR="000D3D8B">
        <w:rPr>
          <w:sz w:val="24"/>
          <w:szCs w:val="24"/>
        </w:rPr>
        <w:t xml:space="preserve">in order to ensure tasks still get completely, they also </w:t>
      </w:r>
      <w:r w:rsidR="003C4E1C">
        <w:rPr>
          <w:sz w:val="24"/>
          <w:szCs w:val="24"/>
        </w:rPr>
        <w:t xml:space="preserve">state that having support from </w:t>
      </w:r>
      <w:r w:rsidR="000D3D8B">
        <w:rPr>
          <w:sz w:val="24"/>
          <w:szCs w:val="24"/>
        </w:rPr>
        <w:t>colleagues</w:t>
      </w:r>
      <w:r w:rsidR="001E45A9">
        <w:rPr>
          <w:sz w:val="24"/>
          <w:szCs w:val="24"/>
        </w:rPr>
        <w:t xml:space="preserve"> and friends helps</w:t>
      </w:r>
      <w:r w:rsidR="000D3D8B">
        <w:rPr>
          <w:sz w:val="24"/>
          <w:szCs w:val="24"/>
        </w:rPr>
        <w:t>.</w:t>
      </w:r>
    </w:p>
    <w:p w14:paraId="7AE5CA71" w14:textId="77777777" w:rsidR="004D4290" w:rsidRDefault="004D4290" w:rsidP="00CF211C">
      <w:pPr>
        <w:spacing w:line="480" w:lineRule="auto"/>
        <w:ind w:right="107"/>
        <w:jc w:val="both"/>
        <w:rPr>
          <w:sz w:val="24"/>
          <w:szCs w:val="24"/>
        </w:rPr>
      </w:pPr>
    </w:p>
    <w:p w14:paraId="072D695D" w14:textId="743D107E" w:rsidR="00535203" w:rsidRDefault="004D4290" w:rsidP="00CF211C">
      <w:pPr>
        <w:spacing w:line="480" w:lineRule="auto"/>
        <w:ind w:right="107"/>
        <w:jc w:val="both"/>
        <w:rPr>
          <w:sz w:val="24"/>
          <w:szCs w:val="24"/>
        </w:rPr>
      </w:pPr>
      <w:r>
        <w:rPr>
          <w:sz w:val="24"/>
          <w:szCs w:val="24"/>
        </w:rPr>
        <w:t xml:space="preserve">As Cooper et al (2018) and Cooper &amp; Stephen (2007) advised, </w:t>
      </w:r>
      <w:r w:rsidR="00FC1B6E">
        <w:rPr>
          <w:sz w:val="24"/>
          <w:szCs w:val="24"/>
        </w:rPr>
        <w:t>I applied</w:t>
      </w:r>
      <w:r w:rsidR="0048153E">
        <w:rPr>
          <w:sz w:val="24"/>
          <w:szCs w:val="24"/>
        </w:rPr>
        <w:t xml:space="preserve"> this</w:t>
      </w:r>
      <w:r w:rsidR="00FC1B6E">
        <w:rPr>
          <w:sz w:val="24"/>
          <w:szCs w:val="24"/>
        </w:rPr>
        <w:t xml:space="preserve"> during my </w:t>
      </w:r>
      <w:r w:rsidR="003071A8">
        <w:rPr>
          <w:sz w:val="24"/>
          <w:szCs w:val="24"/>
        </w:rPr>
        <w:t>Initial Training</w:t>
      </w:r>
      <w:r w:rsidR="00FC1B6E">
        <w:rPr>
          <w:sz w:val="24"/>
          <w:szCs w:val="24"/>
        </w:rPr>
        <w:t xml:space="preserve"> where I</w:t>
      </w:r>
      <w:r w:rsidR="0048153E">
        <w:rPr>
          <w:sz w:val="24"/>
          <w:szCs w:val="24"/>
        </w:rPr>
        <w:t xml:space="preserve"> was able to task myself by week, goals in order to achieve within revision for the set-topics that we had learnt and might appear on the exam. This became easier when the Exam-Topics were released and I could set a topic per night.</w:t>
      </w:r>
      <w:r>
        <w:rPr>
          <w:sz w:val="24"/>
          <w:szCs w:val="24"/>
        </w:rPr>
        <w:t xml:space="preserve"> N</w:t>
      </w:r>
      <w:r w:rsidR="0048153E">
        <w:rPr>
          <w:sz w:val="24"/>
          <w:szCs w:val="24"/>
        </w:rPr>
        <w:t>ormal tasks that I would do day to day I</w:t>
      </w:r>
      <w:r w:rsidR="00FC1B6E">
        <w:rPr>
          <w:sz w:val="24"/>
          <w:szCs w:val="24"/>
        </w:rPr>
        <w:t xml:space="preserve"> could ask </w:t>
      </w:r>
      <w:r w:rsidR="005E1DBD">
        <w:rPr>
          <w:sz w:val="24"/>
          <w:szCs w:val="24"/>
        </w:rPr>
        <w:t xml:space="preserve">others </w:t>
      </w:r>
      <w:r w:rsidR="0048153E">
        <w:rPr>
          <w:sz w:val="24"/>
          <w:szCs w:val="24"/>
        </w:rPr>
        <w:t>for help</w:t>
      </w:r>
      <w:r>
        <w:rPr>
          <w:sz w:val="24"/>
          <w:szCs w:val="24"/>
        </w:rPr>
        <w:t xml:space="preserve"> or delegate to</w:t>
      </w:r>
      <w:r w:rsidR="0048153E">
        <w:rPr>
          <w:sz w:val="24"/>
          <w:szCs w:val="24"/>
        </w:rPr>
        <w:t>.</w:t>
      </w:r>
    </w:p>
    <w:p w14:paraId="409960D0" w14:textId="77777777" w:rsidR="004D4290" w:rsidRDefault="004D4290" w:rsidP="00CF211C">
      <w:pPr>
        <w:spacing w:line="480" w:lineRule="auto"/>
        <w:ind w:right="107"/>
        <w:jc w:val="both"/>
        <w:rPr>
          <w:sz w:val="24"/>
          <w:szCs w:val="24"/>
        </w:rPr>
      </w:pPr>
    </w:p>
    <w:p w14:paraId="3C94A54D" w14:textId="77777777" w:rsidR="00DF4044" w:rsidRDefault="00DF4044" w:rsidP="00CF211C">
      <w:pPr>
        <w:spacing w:line="480" w:lineRule="auto"/>
        <w:ind w:right="107"/>
        <w:jc w:val="both"/>
        <w:rPr>
          <w:sz w:val="24"/>
          <w:szCs w:val="24"/>
        </w:rPr>
      </w:pPr>
    </w:p>
    <w:p w14:paraId="69B3CCC7" w14:textId="5723DBBC" w:rsidR="00DF4044" w:rsidRDefault="00DF4044" w:rsidP="00CF211C">
      <w:pPr>
        <w:spacing w:line="480" w:lineRule="auto"/>
        <w:ind w:right="107"/>
        <w:jc w:val="both"/>
        <w:rPr>
          <w:sz w:val="24"/>
          <w:szCs w:val="24"/>
        </w:rPr>
      </w:pPr>
      <w:r>
        <w:rPr>
          <w:sz w:val="24"/>
          <w:szCs w:val="24"/>
        </w:rPr>
        <w:t xml:space="preserve">As Maroney et al (2019) found that stress in terms of loneliness and depression appeared to be stopped by playing Video Games, as people would use it to escape negative states </w:t>
      </w:r>
      <w:r>
        <w:rPr>
          <w:sz w:val="24"/>
          <w:szCs w:val="24"/>
        </w:rPr>
        <w:lastRenderedPageBreak/>
        <w:t xml:space="preserve">that is brought around by stress, seeking social interaction. That as stated by Cooper &amp; Stephen (2007) engaging with others appears to help reduce stress. That even before my initial </w:t>
      </w:r>
      <w:r w:rsidR="00F03EA1">
        <w:rPr>
          <w:sz w:val="24"/>
          <w:szCs w:val="24"/>
        </w:rPr>
        <w:t>training</w:t>
      </w:r>
      <w:r>
        <w:rPr>
          <w:sz w:val="24"/>
          <w:szCs w:val="24"/>
        </w:rPr>
        <w:t xml:space="preserve">, I played Video Games in order to destress and it continued to be beneficial to myself during the 6 months. </w:t>
      </w:r>
    </w:p>
    <w:p w14:paraId="5ABE59D9" w14:textId="77777777" w:rsidR="004D4290" w:rsidRDefault="004D4290" w:rsidP="00CF211C">
      <w:pPr>
        <w:spacing w:line="480" w:lineRule="auto"/>
        <w:ind w:right="107"/>
        <w:jc w:val="both"/>
        <w:rPr>
          <w:sz w:val="24"/>
          <w:szCs w:val="24"/>
        </w:rPr>
      </w:pPr>
    </w:p>
    <w:p w14:paraId="441A35E3" w14:textId="4BC173F9" w:rsidR="00DF4044" w:rsidRDefault="00DF4044" w:rsidP="00CF211C">
      <w:pPr>
        <w:spacing w:line="480" w:lineRule="auto"/>
        <w:ind w:right="107"/>
        <w:jc w:val="both"/>
        <w:rPr>
          <w:sz w:val="24"/>
          <w:szCs w:val="24"/>
        </w:rPr>
      </w:pPr>
      <w:r>
        <w:rPr>
          <w:sz w:val="24"/>
          <w:szCs w:val="24"/>
        </w:rPr>
        <w:t>However, as Maroney et al (2019) and stated addiction to such could bring on negative states of health, which is also corroborated by Ju-Yu et al (2018), especially Internet Gaming Disorder.</w:t>
      </w:r>
    </w:p>
    <w:p w14:paraId="6742822F" w14:textId="77777777" w:rsidR="004D4290" w:rsidRDefault="004D4290" w:rsidP="00CF211C">
      <w:pPr>
        <w:spacing w:line="480" w:lineRule="auto"/>
        <w:ind w:right="107"/>
        <w:jc w:val="both"/>
        <w:rPr>
          <w:sz w:val="24"/>
          <w:szCs w:val="24"/>
        </w:rPr>
      </w:pPr>
    </w:p>
    <w:p w14:paraId="41346914" w14:textId="77777777" w:rsidR="001B67DB" w:rsidRDefault="001B67DB" w:rsidP="00CF211C">
      <w:pPr>
        <w:spacing w:line="480" w:lineRule="auto"/>
        <w:ind w:right="107"/>
        <w:jc w:val="both"/>
        <w:rPr>
          <w:sz w:val="24"/>
          <w:szCs w:val="24"/>
        </w:rPr>
      </w:pPr>
    </w:p>
    <w:p w14:paraId="11A6709D" w14:textId="77777777" w:rsidR="00095277" w:rsidRDefault="00095277" w:rsidP="00CF211C">
      <w:pPr>
        <w:spacing w:line="480" w:lineRule="auto"/>
        <w:ind w:right="107"/>
        <w:jc w:val="both"/>
        <w:rPr>
          <w:sz w:val="24"/>
          <w:szCs w:val="24"/>
        </w:rPr>
      </w:pPr>
      <w:r>
        <w:rPr>
          <w:sz w:val="24"/>
          <w:szCs w:val="24"/>
        </w:rPr>
        <w:t xml:space="preserve">Going back to Bowden et al (2000) they inform that engaging in physical activity can be a method to cope with stress and is most frequented with net-based games, such as tennis. However, jogging was listed as a primary method used as well. However, they state that any physical activity requires a routine on how often it is done per week and that the time in the day does not necessarily matter, just that a day is chosen. </w:t>
      </w:r>
    </w:p>
    <w:p w14:paraId="2C91A864" w14:textId="7B0D79F1" w:rsidR="00115FA7" w:rsidRDefault="00095277" w:rsidP="00CF211C">
      <w:pPr>
        <w:spacing w:line="480" w:lineRule="auto"/>
        <w:ind w:right="107"/>
        <w:jc w:val="both"/>
        <w:rPr>
          <w:sz w:val="24"/>
          <w:szCs w:val="24"/>
        </w:rPr>
      </w:pPr>
      <w:r>
        <w:rPr>
          <w:sz w:val="24"/>
          <w:szCs w:val="24"/>
        </w:rPr>
        <w:t xml:space="preserve">I used physical activity by running in order to release </w:t>
      </w:r>
      <w:r w:rsidR="00E34310">
        <w:rPr>
          <w:sz w:val="24"/>
          <w:szCs w:val="24"/>
        </w:rPr>
        <w:t xml:space="preserve">and cope with </w:t>
      </w:r>
      <w:r>
        <w:rPr>
          <w:sz w:val="24"/>
          <w:szCs w:val="24"/>
        </w:rPr>
        <w:t xml:space="preserve">stress </w:t>
      </w:r>
      <w:r w:rsidR="00115FA7">
        <w:rPr>
          <w:sz w:val="24"/>
          <w:szCs w:val="24"/>
        </w:rPr>
        <w:t xml:space="preserve">every other day whilst in my </w:t>
      </w:r>
      <w:r w:rsidR="00CA3F71">
        <w:rPr>
          <w:sz w:val="24"/>
          <w:szCs w:val="24"/>
        </w:rPr>
        <w:t>Initial Training</w:t>
      </w:r>
      <w:r w:rsidR="00115FA7">
        <w:rPr>
          <w:sz w:val="24"/>
          <w:szCs w:val="24"/>
        </w:rPr>
        <w:t>.</w:t>
      </w:r>
      <w:r>
        <w:rPr>
          <w:sz w:val="24"/>
          <w:szCs w:val="24"/>
        </w:rPr>
        <w:t xml:space="preserve"> </w:t>
      </w:r>
    </w:p>
    <w:p w14:paraId="0468F7C7" w14:textId="77777777" w:rsidR="00F37F8D" w:rsidRDefault="00F37F8D" w:rsidP="00CF211C">
      <w:pPr>
        <w:spacing w:line="480" w:lineRule="auto"/>
        <w:ind w:right="107"/>
        <w:jc w:val="both"/>
        <w:rPr>
          <w:sz w:val="24"/>
          <w:szCs w:val="24"/>
        </w:rPr>
      </w:pPr>
    </w:p>
    <w:p w14:paraId="746A5406" w14:textId="77777777" w:rsidR="00115FA7" w:rsidRDefault="00115FA7" w:rsidP="00CF211C">
      <w:pPr>
        <w:spacing w:line="480" w:lineRule="auto"/>
        <w:ind w:right="107"/>
        <w:jc w:val="both"/>
        <w:rPr>
          <w:sz w:val="24"/>
          <w:szCs w:val="24"/>
        </w:rPr>
      </w:pPr>
    </w:p>
    <w:p w14:paraId="419E9B45" w14:textId="78FDCC20" w:rsidR="00095277" w:rsidRDefault="00115FA7" w:rsidP="00CF211C">
      <w:pPr>
        <w:spacing w:line="480" w:lineRule="auto"/>
        <w:ind w:right="107"/>
        <w:jc w:val="both"/>
        <w:rPr>
          <w:sz w:val="24"/>
          <w:szCs w:val="24"/>
        </w:rPr>
      </w:pPr>
      <w:r>
        <w:rPr>
          <w:sz w:val="24"/>
          <w:szCs w:val="24"/>
        </w:rPr>
        <w:t xml:space="preserve">In conclusion, whilst everything has helped develop resilience as Ju-Yu et al (2018) had stated that it is what allows people to adapt and that Cooper et al (2018) had labelled four different types, they all had agreed that it is about controlling the change, that is what the coping mechanisms to stress have allowed me to do. </w:t>
      </w:r>
    </w:p>
    <w:p w14:paraId="263C520F" w14:textId="77777777" w:rsidR="00115FA7" w:rsidRDefault="00115FA7" w:rsidP="00CF211C">
      <w:pPr>
        <w:spacing w:line="480" w:lineRule="auto"/>
        <w:ind w:right="107"/>
        <w:jc w:val="both"/>
        <w:rPr>
          <w:sz w:val="24"/>
          <w:szCs w:val="24"/>
        </w:rPr>
      </w:pPr>
    </w:p>
    <w:p w14:paraId="48945196" w14:textId="51ACAC36" w:rsidR="00AE278F" w:rsidRDefault="00115FA7" w:rsidP="00CF211C">
      <w:pPr>
        <w:spacing w:line="480" w:lineRule="auto"/>
        <w:ind w:right="107"/>
        <w:jc w:val="both"/>
        <w:rPr>
          <w:sz w:val="24"/>
          <w:szCs w:val="24"/>
        </w:rPr>
      </w:pPr>
      <w:r>
        <w:rPr>
          <w:sz w:val="24"/>
          <w:szCs w:val="24"/>
        </w:rPr>
        <w:lastRenderedPageBreak/>
        <w:t>Maroney et al (201</w:t>
      </w:r>
      <w:r w:rsidR="00AE278F">
        <w:rPr>
          <w:sz w:val="24"/>
          <w:szCs w:val="24"/>
        </w:rPr>
        <w:t>9)</w:t>
      </w:r>
      <w:r>
        <w:rPr>
          <w:sz w:val="24"/>
          <w:szCs w:val="24"/>
        </w:rPr>
        <w:t xml:space="preserve"> and Ju-Yu et al (2018) may suggest that Video-Gaming if done in excess could be dangerous due to potential addiction, it is something I have personally enjoyed for years</w:t>
      </w:r>
      <w:r w:rsidR="00AE278F">
        <w:rPr>
          <w:sz w:val="24"/>
          <w:szCs w:val="24"/>
        </w:rPr>
        <w:t xml:space="preserve">, however unlike other methods talked about is potentially the most dangerous due to the addictiveness studies have shown. </w:t>
      </w:r>
    </w:p>
    <w:p w14:paraId="612545F0" w14:textId="5CB76C84" w:rsidR="00AE278F" w:rsidRDefault="00AE278F" w:rsidP="00CF211C">
      <w:pPr>
        <w:spacing w:line="480" w:lineRule="auto"/>
        <w:ind w:right="107"/>
        <w:jc w:val="both"/>
        <w:rPr>
          <w:sz w:val="24"/>
          <w:szCs w:val="24"/>
        </w:rPr>
      </w:pPr>
      <w:r>
        <w:rPr>
          <w:sz w:val="24"/>
          <w:szCs w:val="24"/>
        </w:rPr>
        <w:t xml:space="preserve">Yet, Physical Exercise as Bowden et al (2000) had talked about will only benefit overall fitness when combined with a correct diet. </w:t>
      </w:r>
    </w:p>
    <w:p w14:paraId="18DF7D75" w14:textId="77777777" w:rsidR="00AE278F" w:rsidRDefault="00AE278F" w:rsidP="00CF211C">
      <w:pPr>
        <w:spacing w:line="480" w:lineRule="auto"/>
        <w:ind w:right="107"/>
        <w:jc w:val="both"/>
        <w:rPr>
          <w:sz w:val="24"/>
          <w:szCs w:val="24"/>
        </w:rPr>
      </w:pPr>
    </w:p>
    <w:p w14:paraId="677E5315" w14:textId="42757887" w:rsidR="00115FA7" w:rsidRDefault="00AE278F" w:rsidP="00CF211C">
      <w:pPr>
        <w:spacing w:line="480" w:lineRule="auto"/>
        <w:ind w:right="107"/>
        <w:jc w:val="both"/>
        <w:rPr>
          <w:sz w:val="24"/>
          <w:szCs w:val="24"/>
        </w:rPr>
      </w:pPr>
      <w:r>
        <w:rPr>
          <w:sz w:val="24"/>
          <w:szCs w:val="24"/>
        </w:rPr>
        <w:t>Whilst</w:t>
      </w:r>
      <w:r w:rsidR="00115FA7">
        <w:rPr>
          <w:sz w:val="24"/>
          <w:szCs w:val="24"/>
        </w:rPr>
        <w:t xml:space="preserve"> setting tasks that Bowden et al (2000) and Cooper et al (2018) had talked about</w:t>
      </w:r>
      <w:r>
        <w:rPr>
          <w:sz w:val="24"/>
          <w:szCs w:val="24"/>
        </w:rPr>
        <w:t xml:space="preserve"> helps, I have not found it to destress, but minimise stress</w:t>
      </w:r>
      <w:r w:rsidR="006126DB">
        <w:rPr>
          <w:sz w:val="24"/>
          <w:szCs w:val="24"/>
        </w:rPr>
        <w:t xml:space="preserve"> intake</w:t>
      </w:r>
      <w:r w:rsidR="00F03EA1">
        <w:rPr>
          <w:sz w:val="24"/>
          <w:szCs w:val="24"/>
        </w:rPr>
        <w:t xml:space="preserve">. </w:t>
      </w:r>
      <w:r w:rsidR="00F37F8D">
        <w:rPr>
          <w:sz w:val="24"/>
          <w:szCs w:val="24"/>
        </w:rPr>
        <w:t>C</w:t>
      </w:r>
      <w:r w:rsidR="00F03EA1">
        <w:rPr>
          <w:sz w:val="24"/>
          <w:szCs w:val="24"/>
        </w:rPr>
        <w:t>onsidering</w:t>
      </w:r>
      <w:r w:rsidR="00F37F8D">
        <w:rPr>
          <w:sz w:val="24"/>
          <w:szCs w:val="24"/>
        </w:rPr>
        <w:t xml:space="preserve"> </w:t>
      </w:r>
      <w:r w:rsidR="00F03EA1">
        <w:rPr>
          <w:sz w:val="24"/>
          <w:szCs w:val="24"/>
        </w:rPr>
        <w:t>it is in a list of other methods it highlights that it has a small effect when used by itself</w:t>
      </w:r>
      <w:r w:rsidR="00115FA7">
        <w:rPr>
          <w:sz w:val="24"/>
          <w:szCs w:val="24"/>
        </w:rPr>
        <w:t xml:space="preserve">. </w:t>
      </w:r>
    </w:p>
    <w:p w14:paraId="06D92AC8" w14:textId="77777777" w:rsidR="001B67DB" w:rsidRDefault="001B67DB" w:rsidP="00E6298B">
      <w:pPr>
        <w:ind w:right="107"/>
        <w:jc w:val="both"/>
        <w:rPr>
          <w:sz w:val="24"/>
          <w:szCs w:val="24"/>
        </w:rPr>
      </w:pPr>
    </w:p>
    <w:p w14:paraId="3DE6AA25" w14:textId="77777777" w:rsidR="00B73FA0" w:rsidRDefault="00B73FA0" w:rsidP="00E6298B">
      <w:pPr>
        <w:ind w:right="107"/>
        <w:jc w:val="both"/>
        <w:rPr>
          <w:sz w:val="24"/>
          <w:szCs w:val="24"/>
        </w:rPr>
      </w:pPr>
    </w:p>
    <w:p w14:paraId="65B57A18" w14:textId="77777777" w:rsidR="00B73FA0" w:rsidRDefault="00B73FA0" w:rsidP="00E6298B">
      <w:pPr>
        <w:ind w:right="107"/>
        <w:jc w:val="both"/>
        <w:rPr>
          <w:sz w:val="24"/>
          <w:szCs w:val="24"/>
        </w:rPr>
      </w:pPr>
    </w:p>
    <w:p w14:paraId="434D91CB" w14:textId="77777777" w:rsidR="00B73FA0" w:rsidRDefault="00B73FA0" w:rsidP="00E6298B">
      <w:pPr>
        <w:ind w:right="107"/>
        <w:jc w:val="both"/>
        <w:rPr>
          <w:sz w:val="24"/>
          <w:szCs w:val="24"/>
        </w:rPr>
      </w:pPr>
    </w:p>
    <w:p w14:paraId="32D92179" w14:textId="77777777" w:rsidR="00B73FA0" w:rsidRDefault="00B73FA0" w:rsidP="00E6298B">
      <w:pPr>
        <w:ind w:right="107"/>
        <w:jc w:val="both"/>
        <w:rPr>
          <w:sz w:val="24"/>
          <w:szCs w:val="24"/>
        </w:rPr>
      </w:pPr>
    </w:p>
    <w:p w14:paraId="501A4E70" w14:textId="7B9F03BA" w:rsidR="001B67DB" w:rsidRPr="00B73FA0" w:rsidRDefault="00FE02A4" w:rsidP="00E6298B">
      <w:pPr>
        <w:ind w:right="107"/>
        <w:jc w:val="both"/>
        <w:rPr>
          <w:b/>
          <w:bCs/>
          <w:sz w:val="24"/>
          <w:szCs w:val="24"/>
        </w:rPr>
      </w:pPr>
      <w:r w:rsidRPr="00B73FA0">
        <w:rPr>
          <w:b/>
          <w:bCs/>
          <w:sz w:val="24"/>
          <w:szCs w:val="24"/>
        </w:rPr>
        <w:t xml:space="preserve">Word Count: </w:t>
      </w:r>
      <w:r w:rsidR="004C4244" w:rsidRPr="00B73FA0">
        <w:rPr>
          <w:b/>
          <w:bCs/>
          <w:sz w:val="24"/>
          <w:szCs w:val="24"/>
        </w:rPr>
        <w:t>109</w:t>
      </w:r>
      <w:r w:rsidR="004555F1" w:rsidRPr="00B73FA0">
        <w:rPr>
          <w:b/>
          <w:bCs/>
          <w:sz w:val="24"/>
          <w:szCs w:val="24"/>
        </w:rPr>
        <w:t>8</w:t>
      </w:r>
    </w:p>
    <w:p w14:paraId="60DA1A6C" w14:textId="77777777" w:rsidR="001B67DB" w:rsidRDefault="001B67DB" w:rsidP="00E6298B">
      <w:pPr>
        <w:ind w:right="107"/>
        <w:jc w:val="both"/>
        <w:rPr>
          <w:sz w:val="24"/>
          <w:szCs w:val="24"/>
        </w:rPr>
      </w:pPr>
    </w:p>
    <w:p w14:paraId="48797EDF" w14:textId="77777777" w:rsidR="0059363C" w:rsidRDefault="0059363C" w:rsidP="00E6298B">
      <w:pPr>
        <w:ind w:right="107"/>
        <w:jc w:val="both"/>
        <w:rPr>
          <w:sz w:val="24"/>
          <w:szCs w:val="24"/>
        </w:rPr>
      </w:pPr>
    </w:p>
    <w:p w14:paraId="5F0778E6" w14:textId="77777777" w:rsidR="0048153E" w:rsidRDefault="0048153E" w:rsidP="00E6298B">
      <w:pPr>
        <w:ind w:right="107"/>
        <w:jc w:val="both"/>
        <w:rPr>
          <w:sz w:val="24"/>
          <w:szCs w:val="24"/>
        </w:rPr>
      </w:pPr>
    </w:p>
    <w:p w14:paraId="3FF08841" w14:textId="77777777" w:rsidR="00223351" w:rsidRDefault="00223351" w:rsidP="00E6298B">
      <w:pPr>
        <w:ind w:right="107"/>
        <w:jc w:val="both"/>
        <w:rPr>
          <w:sz w:val="24"/>
          <w:szCs w:val="24"/>
        </w:rPr>
      </w:pPr>
    </w:p>
    <w:p w14:paraId="469B2CCC" w14:textId="77777777" w:rsidR="00E375DB" w:rsidRDefault="00E375DB" w:rsidP="00E6298B">
      <w:pPr>
        <w:ind w:right="107"/>
        <w:jc w:val="both"/>
        <w:rPr>
          <w:sz w:val="24"/>
          <w:szCs w:val="24"/>
        </w:rPr>
      </w:pPr>
    </w:p>
    <w:p w14:paraId="3B855813" w14:textId="4A4EA84B" w:rsidR="00FF7784" w:rsidRPr="00270EEB" w:rsidRDefault="00E375DB" w:rsidP="00E6298B">
      <w:pPr>
        <w:ind w:right="107"/>
        <w:jc w:val="both"/>
        <w:rPr>
          <w:sz w:val="24"/>
          <w:szCs w:val="24"/>
        </w:rPr>
      </w:pPr>
      <w:r>
        <w:rPr>
          <w:sz w:val="24"/>
          <w:szCs w:val="24"/>
        </w:rPr>
        <w:t xml:space="preserve">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3FD5BE0D" w14:textId="4F280A7D" w:rsidR="009C21DA" w:rsidRDefault="009C21DA" w:rsidP="00CF211C">
      <w:pPr>
        <w:spacing w:line="480" w:lineRule="auto"/>
        <w:ind w:right="107"/>
        <w:jc w:val="both"/>
        <w:rPr>
          <w:sz w:val="24"/>
          <w:szCs w:val="24"/>
        </w:rPr>
      </w:pPr>
      <w:r>
        <w:rPr>
          <w:sz w:val="24"/>
          <w:szCs w:val="24"/>
        </w:rPr>
        <w:t xml:space="preserve">As Stadler (2019) states that communication is a core aspect to positive encounters between different cultures and that learning to speak another language isn’t enough to ensure success when interacting with other cultures, due to the varying other differences between the cultures. </w:t>
      </w:r>
    </w:p>
    <w:p w14:paraId="5531195F" w14:textId="77777777" w:rsidR="009C21DA" w:rsidRDefault="009C21DA" w:rsidP="00CF211C">
      <w:pPr>
        <w:spacing w:line="480" w:lineRule="auto"/>
        <w:ind w:right="107"/>
        <w:jc w:val="both"/>
        <w:rPr>
          <w:sz w:val="24"/>
          <w:szCs w:val="24"/>
        </w:rPr>
      </w:pPr>
    </w:p>
    <w:p w14:paraId="446C7F40" w14:textId="7C9B542B" w:rsidR="008E145C" w:rsidRDefault="007841C5" w:rsidP="00CF211C">
      <w:pPr>
        <w:spacing w:line="480" w:lineRule="auto"/>
        <w:ind w:right="107"/>
        <w:jc w:val="both"/>
        <w:rPr>
          <w:sz w:val="24"/>
          <w:szCs w:val="24"/>
        </w:rPr>
      </w:pPr>
      <w:r>
        <w:rPr>
          <w:sz w:val="24"/>
          <w:szCs w:val="24"/>
        </w:rPr>
        <w:t>Lac and Donaldson (2020) refer to a model called the Drama Triangle which is used to highlight what the Victim, Rescuer and Persecutor are. Persecutors are posed as a person who is constantly angry at others, resentful for their failings and regarded as behaviourally toxi</w:t>
      </w:r>
      <w:r w:rsidR="00892443">
        <w:rPr>
          <w:sz w:val="24"/>
          <w:szCs w:val="24"/>
        </w:rPr>
        <w:t>c</w:t>
      </w:r>
      <w:r>
        <w:rPr>
          <w:sz w:val="24"/>
          <w:szCs w:val="24"/>
        </w:rPr>
        <w:t>. Rescuers are posed as a person who feels the need to help others, going out of their way in order to save others. Victims are posed as people who are helpless, oppressed and weak. Requiring others to help or support them.</w:t>
      </w:r>
      <w:r w:rsidR="008E145C" w:rsidRPr="008E145C">
        <w:rPr>
          <w:sz w:val="24"/>
          <w:szCs w:val="24"/>
        </w:rPr>
        <w:t xml:space="preserve"> </w:t>
      </w:r>
      <w:r w:rsidR="008E145C">
        <w:rPr>
          <w:sz w:val="24"/>
          <w:szCs w:val="24"/>
        </w:rPr>
        <w:t xml:space="preserve">Lloyd (2001) backs this up with a similar explanation, however states that the Victim in the triangle ends up inviting others to see them as in need of help or able to be taken advantage of.  </w:t>
      </w:r>
    </w:p>
    <w:p w14:paraId="58109608" w14:textId="115A84BB" w:rsidR="007841C5" w:rsidRDefault="007841C5" w:rsidP="00CF211C">
      <w:pPr>
        <w:spacing w:line="480" w:lineRule="auto"/>
        <w:ind w:right="107"/>
        <w:jc w:val="both"/>
        <w:rPr>
          <w:sz w:val="24"/>
          <w:szCs w:val="24"/>
        </w:rPr>
      </w:pPr>
    </w:p>
    <w:p w14:paraId="308B7ACF" w14:textId="77777777" w:rsidR="008E145C" w:rsidRDefault="008E145C" w:rsidP="00CF211C">
      <w:pPr>
        <w:spacing w:line="480" w:lineRule="auto"/>
        <w:ind w:right="107"/>
        <w:jc w:val="both"/>
        <w:rPr>
          <w:sz w:val="24"/>
          <w:szCs w:val="24"/>
        </w:rPr>
      </w:pPr>
    </w:p>
    <w:p w14:paraId="554DB659" w14:textId="77777777" w:rsidR="007841C5" w:rsidRDefault="007841C5" w:rsidP="00CF211C">
      <w:pPr>
        <w:spacing w:line="480" w:lineRule="auto"/>
        <w:ind w:right="107"/>
        <w:jc w:val="both"/>
        <w:rPr>
          <w:sz w:val="24"/>
          <w:szCs w:val="24"/>
        </w:rPr>
      </w:pPr>
    </w:p>
    <w:p w14:paraId="69AFC85D" w14:textId="77777777" w:rsidR="00954E8E" w:rsidRDefault="00892443" w:rsidP="00CF211C">
      <w:pPr>
        <w:spacing w:line="480" w:lineRule="auto"/>
        <w:ind w:right="107"/>
        <w:jc w:val="both"/>
        <w:rPr>
          <w:sz w:val="24"/>
          <w:szCs w:val="24"/>
        </w:rPr>
      </w:pPr>
      <w:r>
        <w:rPr>
          <w:sz w:val="24"/>
          <w:szCs w:val="24"/>
        </w:rPr>
        <w:t>As the College of Policing</w:t>
      </w:r>
      <w:r w:rsidR="005878F6">
        <w:rPr>
          <w:sz w:val="24"/>
          <w:szCs w:val="24"/>
        </w:rPr>
        <w:t xml:space="preserve"> (COP)</w:t>
      </w:r>
      <w:r>
        <w:rPr>
          <w:sz w:val="24"/>
          <w:szCs w:val="24"/>
        </w:rPr>
        <w:t xml:space="preserve"> (2020) states that Officers should be able to be aware of the situation ongoing around them being able to perceive potential threats in order to assess risk on the go. To be emotionally aware in order to identify both the emotions of others and themselves. To be able to communicate in both verbal where vocal tone, phrases and terminology used is adequate to the situation. Alongside being aware of non-verbal communication, adequate </w:t>
      </w:r>
      <w:r w:rsidR="005878F6">
        <w:rPr>
          <w:sz w:val="24"/>
          <w:szCs w:val="24"/>
        </w:rPr>
        <w:t>body language in terms of expressions, posture and positioning</w:t>
      </w:r>
      <w:r>
        <w:rPr>
          <w:sz w:val="24"/>
          <w:szCs w:val="24"/>
        </w:rPr>
        <w:t>.</w:t>
      </w:r>
      <w:r w:rsidR="005878F6">
        <w:rPr>
          <w:sz w:val="24"/>
          <w:szCs w:val="24"/>
        </w:rPr>
        <w:t xml:space="preserve"> </w:t>
      </w:r>
    </w:p>
    <w:p w14:paraId="588DC9E8" w14:textId="5A2DA437" w:rsidR="00954E8E" w:rsidRDefault="00954E8E" w:rsidP="00CF211C">
      <w:pPr>
        <w:spacing w:line="480" w:lineRule="auto"/>
        <w:ind w:right="107"/>
        <w:jc w:val="both"/>
        <w:rPr>
          <w:sz w:val="24"/>
          <w:szCs w:val="24"/>
        </w:rPr>
      </w:pPr>
      <w:r>
        <w:rPr>
          <w:sz w:val="24"/>
          <w:szCs w:val="24"/>
        </w:rPr>
        <w:t xml:space="preserve">This is backed up by Fitch (2016) </w:t>
      </w:r>
      <w:r w:rsidR="00734AB5">
        <w:rPr>
          <w:sz w:val="24"/>
          <w:szCs w:val="24"/>
        </w:rPr>
        <w:t xml:space="preserve">who </w:t>
      </w:r>
      <w:r>
        <w:rPr>
          <w:sz w:val="24"/>
          <w:szCs w:val="24"/>
        </w:rPr>
        <w:t xml:space="preserve">states that having that ability to communicate has an impact on each aspect of Law Enforcement, as it doesn’t just build rapport with others but improves Officer safety and awareness. </w:t>
      </w:r>
      <w:r w:rsidR="004555F1">
        <w:rPr>
          <w:sz w:val="24"/>
          <w:szCs w:val="24"/>
        </w:rPr>
        <w:t>A</w:t>
      </w:r>
      <w:r>
        <w:rPr>
          <w:sz w:val="24"/>
          <w:szCs w:val="24"/>
        </w:rPr>
        <w:t xml:space="preserve">lso having the added bonus of decreasing the </w:t>
      </w:r>
      <w:proofErr w:type="spellStart"/>
      <w:r>
        <w:rPr>
          <w:sz w:val="24"/>
          <w:szCs w:val="24"/>
        </w:rPr>
        <w:t>build up</w:t>
      </w:r>
      <w:proofErr w:type="spellEnd"/>
      <w:r>
        <w:rPr>
          <w:sz w:val="24"/>
          <w:szCs w:val="24"/>
        </w:rPr>
        <w:t xml:space="preserve"> of stress, due to the better rapport that can be applied to both the job and personal life. </w:t>
      </w:r>
    </w:p>
    <w:p w14:paraId="690B45A8" w14:textId="5287B9BF" w:rsidR="00954E8E" w:rsidRDefault="00954E8E" w:rsidP="00CF211C">
      <w:pPr>
        <w:spacing w:line="480" w:lineRule="auto"/>
        <w:ind w:right="107"/>
        <w:jc w:val="both"/>
        <w:rPr>
          <w:sz w:val="24"/>
          <w:szCs w:val="24"/>
        </w:rPr>
      </w:pPr>
    </w:p>
    <w:p w14:paraId="573F14E3" w14:textId="17A67CB7" w:rsidR="003800DD" w:rsidRDefault="005878F6" w:rsidP="00CF211C">
      <w:pPr>
        <w:spacing w:line="480" w:lineRule="auto"/>
        <w:ind w:right="107"/>
        <w:jc w:val="both"/>
        <w:rPr>
          <w:sz w:val="24"/>
          <w:szCs w:val="24"/>
        </w:rPr>
      </w:pPr>
      <w:r>
        <w:rPr>
          <w:sz w:val="24"/>
          <w:szCs w:val="24"/>
        </w:rPr>
        <w:t xml:space="preserve">COP (2020) also states that Verbal and Non-Verbal can be interpreted differently by different people and is thus </w:t>
      </w:r>
      <w:r w:rsidR="005156E0">
        <w:rPr>
          <w:sz w:val="24"/>
          <w:szCs w:val="24"/>
        </w:rPr>
        <w:t>are a high risk of being miss-understood, thus Officers are required to be aware of this in other people as well as themselves.</w:t>
      </w:r>
      <w:r>
        <w:rPr>
          <w:sz w:val="24"/>
          <w:szCs w:val="24"/>
        </w:rPr>
        <w:t xml:space="preserve"> </w:t>
      </w:r>
      <w:r w:rsidR="00892443">
        <w:rPr>
          <w:sz w:val="24"/>
          <w:szCs w:val="24"/>
        </w:rPr>
        <w:t xml:space="preserve"> </w:t>
      </w:r>
    </w:p>
    <w:p w14:paraId="105C11F4" w14:textId="77777777" w:rsidR="00DC4170" w:rsidRDefault="00DC4170" w:rsidP="00CF211C">
      <w:pPr>
        <w:spacing w:line="480" w:lineRule="auto"/>
        <w:ind w:right="107"/>
        <w:jc w:val="both"/>
        <w:rPr>
          <w:sz w:val="24"/>
          <w:szCs w:val="24"/>
        </w:rPr>
      </w:pPr>
    </w:p>
    <w:p w14:paraId="4DAB8923" w14:textId="2685357A" w:rsidR="00DC4170" w:rsidRDefault="00DC4170" w:rsidP="00CF211C">
      <w:pPr>
        <w:spacing w:line="480" w:lineRule="auto"/>
        <w:ind w:right="107"/>
        <w:jc w:val="both"/>
        <w:rPr>
          <w:sz w:val="24"/>
          <w:szCs w:val="24"/>
        </w:rPr>
      </w:pPr>
      <w:r>
        <w:rPr>
          <w:sz w:val="24"/>
          <w:szCs w:val="24"/>
        </w:rPr>
        <w:t xml:space="preserve">As COP (2020) posed that Emotional Awareness is part of Emotional Intelligence. Javidi et al (2016) states that Emotional Intelligence is the ability to control and manage </w:t>
      </w:r>
      <w:proofErr w:type="gramStart"/>
      <w:r>
        <w:rPr>
          <w:sz w:val="24"/>
          <w:szCs w:val="24"/>
        </w:rPr>
        <w:t>ones</w:t>
      </w:r>
      <w:proofErr w:type="gramEnd"/>
      <w:r>
        <w:rPr>
          <w:sz w:val="24"/>
          <w:szCs w:val="24"/>
        </w:rPr>
        <w:t xml:space="preserve"> own emotions. Whereas, Emotional Awareness as COP (2020) had stated is being aware of both your own and other </w:t>
      </w:r>
      <w:proofErr w:type="spellStart"/>
      <w:proofErr w:type="gramStart"/>
      <w:r>
        <w:rPr>
          <w:sz w:val="24"/>
          <w:szCs w:val="24"/>
        </w:rPr>
        <w:t>peoples</w:t>
      </w:r>
      <w:proofErr w:type="spellEnd"/>
      <w:proofErr w:type="gramEnd"/>
      <w:r>
        <w:rPr>
          <w:sz w:val="24"/>
          <w:szCs w:val="24"/>
        </w:rPr>
        <w:t xml:space="preserve"> emotions.</w:t>
      </w:r>
    </w:p>
    <w:p w14:paraId="121A7D2E" w14:textId="77777777" w:rsidR="003800DD" w:rsidRDefault="003800DD" w:rsidP="00CF211C">
      <w:pPr>
        <w:spacing w:line="480" w:lineRule="auto"/>
        <w:ind w:right="107"/>
        <w:jc w:val="both"/>
        <w:rPr>
          <w:sz w:val="24"/>
          <w:szCs w:val="24"/>
        </w:rPr>
      </w:pPr>
    </w:p>
    <w:p w14:paraId="22CAF532" w14:textId="77777777" w:rsidR="001D081B" w:rsidRDefault="001D081B" w:rsidP="00CF211C">
      <w:pPr>
        <w:spacing w:line="480" w:lineRule="auto"/>
        <w:ind w:right="107"/>
        <w:jc w:val="both"/>
        <w:rPr>
          <w:sz w:val="24"/>
          <w:szCs w:val="24"/>
        </w:rPr>
      </w:pPr>
    </w:p>
    <w:p w14:paraId="068517BB" w14:textId="77777777" w:rsidR="003800DD" w:rsidRDefault="003800DD" w:rsidP="00CF211C">
      <w:pPr>
        <w:spacing w:line="480" w:lineRule="auto"/>
        <w:ind w:right="107"/>
        <w:jc w:val="both"/>
        <w:rPr>
          <w:sz w:val="24"/>
          <w:szCs w:val="24"/>
        </w:rPr>
      </w:pPr>
      <w:r>
        <w:rPr>
          <w:sz w:val="24"/>
          <w:szCs w:val="24"/>
        </w:rPr>
        <w:lastRenderedPageBreak/>
        <w:t xml:space="preserve">COP (2020) shows an example model that is </w:t>
      </w:r>
      <w:proofErr w:type="spellStart"/>
      <w:r>
        <w:rPr>
          <w:sz w:val="24"/>
          <w:szCs w:val="24"/>
        </w:rPr>
        <w:t>Betari’s</w:t>
      </w:r>
      <w:proofErr w:type="spellEnd"/>
      <w:r>
        <w:rPr>
          <w:sz w:val="24"/>
          <w:szCs w:val="24"/>
        </w:rPr>
        <w:t xml:space="preserve"> Box. Where the attitude, effects the behaviour of Person 1 and this then effects the attitude and behaviour of person 2, which loops back onto Person 1. This highlights the ability to get locked into a cycle of repeating behaviour and attitude patterns with another person, unable to escape as it would keep escalating in response to each other. </w:t>
      </w:r>
    </w:p>
    <w:p w14:paraId="09CDCC36" w14:textId="77777777" w:rsidR="001D081B" w:rsidRDefault="001D081B" w:rsidP="00CF211C">
      <w:pPr>
        <w:spacing w:line="480" w:lineRule="auto"/>
        <w:ind w:right="107"/>
        <w:jc w:val="both"/>
        <w:rPr>
          <w:sz w:val="24"/>
          <w:szCs w:val="24"/>
        </w:rPr>
      </w:pPr>
    </w:p>
    <w:p w14:paraId="66CE0ECA" w14:textId="39642CDF" w:rsidR="001D081B" w:rsidRDefault="001D081B" w:rsidP="00CF211C">
      <w:pPr>
        <w:spacing w:line="480" w:lineRule="auto"/>
        <w:ind w:right="107"/>
        <w:jc w:val="both"/>
        <w:rPr>
          <w:sz w:val="24"/>
          <w:szCs w:val="24"/>
        </w:rPr>
      </w:pPr>
      <w:r>
        <w:rPr>
          <w:sz w:val="24"/>
          <w:szCs w:val="24"/>
        </w:rPr>
        <w:t xml:space="preserve">Fitch (2016) labels six principles that are involved in the IMPACT model that should allow a person to deal effectively with others. Being emotionally aware of the other and yourself, is the first where you are required to spot and control the emotions in both yourself and the other. Second is being able to listen actively in order to understand and react to their attitude and behaviour, whilst assessing the situation further by uncovering factors that could be influencing the Subject. Third is being able to invoke positive behaviour, making the other party feel safe and no requirement to protect themselves. This then leads onto the fourth, which is where you achieve rapport with the person as you’ve now established a relationship by connecting with the person. Fifth and Sixth points are to control your own emotions, behaviour and attitude in order to not </w:t>
      </w:r>
      <w:proofErr w:type="spellStart"/>
      <w:r>
        <w:rPr>
          <w:sz w:val="24"/>
          <w:szCs w:val="24"/>
        </w:rPr>
        <w:t>effect</w:t>
      </w:r>
      <w:proofErr w:type="spellEnd"/>
      <w:r>
        <w:rPr>
          <w:sz w:val="24"/>
          <w:szCs w:val="24"/>
        </w:rPr>
        <w:t xml:space="preserve"> the other persons as per seen in COP (2020) and the </w:t>
      </w:r>
      <w:proofErr w:type="spellStart"/>
      <w:r>
        <w:rPr>
          <w:sz w:val="24"/>
          <w:szCs w:val="24"/>
        </w:rPr>
        <w:t>Betari’s</w:t>
      </w:r>
      <w:proofErr w:type="spellEnd"/>
      <w:r>
        <w:rPr>
          <w:sz w:val="24"/>
          <w:szCs w:val="24"/>
        </w:rPr>
        <w:t xml:space="preserve"> Box and as Fitch (2016) continues to stand back and try to understand the other person and where they are coming from.</w:t>
      </w:r>
    </w:p>
    <w:p w14:paraId="326DDDFF" w14:textId="77777777" w:rsidR="00C6419D" w:rsidRDefault="00C6419D" w:rsidP="00CF211C">
      <w:pPr>
        <w:spacing w:line="480" w:lineRule="auto"/>
        <w:ind w:right="107"/>
        <w:jc w:val="both"/>
        <w:rPr>
          <w:sz w:val="24"/>
          <w:szCs w:val="24"/>
        </w:rPr>
      </w:pPr>
    </w:p>
    <w:p w14:paraId="282132E0" w14:textId="418E71CF" w:rsidR="00C6419D" w:rsidRDefault="00C6419D" w:rsidP="00CF211C">
      <w:pPr>
        <w:spacing w:line="480" w:lineRule="auto"/>
        <w:ind w:right="107"/>
        <w:jc w:val="both"/>
        <w:rPr>
          <w:sz w:val="24"/>
          <w:szCs w:val="24"/>
        </w:rPr>
      </w:pPr>
      <w:r>
        <w:rPr>
          <w:sz w:val="24"/>
          <w:szCs w:val="24"/>
        </w:rPr>
        <w:t>However, as Kilgallon &amp; Wright (2022) state that appears to be a simpler model from Fitch (2016), that in order to build rapport you need to find ground that you share, listening and respecting the other person, as a person. Whilst, this is not always appropriate or able to be done and at other times you may need to break the rapport in order to effect and arrest. It is essential when dealing with the public.</w:t>
      </w:r>
    </w:p>
    <w:p w14:paraId="644A03EA" w14:textId="77777777" w:rsidR="003800DD" w:rsidRDefault="003800DD" w:rsidP="00CF211C">
      <w:pPr>
        <w:spacing w:line="480" w:lineRule="auto"/>
        <w:ind w:right="107"/>
        <w:jc w:val="both"/>
        <w:rPr>
          <w:sz w:val="24"/>
          <w:szCs w:val="24"/>
        </w:rPr>
      </w:pPr>
    </w:p>
    <w:p w14:paraId="6F3182C3" w14:textId="7A4959D5" w:rsidR="001933DB" w:rsidRDefault="001933DB" w:rsidP="00CF211C">
      <w:pPr>
        <w:spacing w:line="480" w:lineRule="auto"/>
        <w:ind w:right="107"/>
        <w:jc w:val="both"/>
        <w:rPr>
          <w:sz w:val="24"/>
          <w:szCs w:val="24"/>
        </w:rPr>
      </w:pPr>
      <w:r>
        <w:rPr>
          <w:sz w:val="24"/>
          <w:szCs w:val="24"/>
        </w:rPr>
        <w:lastRenderedPageBreak/>
        <w:t>COP (2020) also listed the Five-Step Appeal as a model for Officers to use during Conflict Management, trying to convince and appeal to a person in order to make them comply with their requests. Starting with a simple appeal, which is normally asking them, raising it to reasoned where you try and explain the appeal. Going to the personal front, to try and make them realise how they might be impacted and then a Final Appeal where you ask them if there is anything reasonable you could do, to make them comply. The fifth step then is to take action, due to it being the only remaining pathway to take.</w:t>
      </w:r>
    </w:p>
    <w:p w14:paraId="1AC6BAE3" w14:textId="77777777" w:rsidR="001933DB" w:rsidRDefault="001933DB" w:rsidP="00CF211C">
      <w:pPr>
        <w:spacing w:line="480" w:lineRule="auto"/>
        <w:ind w:right="107"/>
        <w:jc w:val="both"/>
        <w:rPr>
          <w:sz w:val="24"/>
          <w:szCs w:val="24"/>
        </w:rPr>
      </w:pPr>
    </w:p>
    <w:p w14:paraId="4F0A6336" w14:textId="77777777" w:rsidR="007841C5" w:rsidRDefault="007841C5" w:rsidP="00CF211C">
      <w:pPr>
        <w:spacing w:line="480" w:lineRule="auto"/>
        <w:ind w:right="107"/>
        <w:jc w:val="both"/>
        <w:rPr>
          <w:sz w:val="24"/>
          <w:szCs w:val="24"/>
        </w:rPr>
      </w:pPr>
    </w:p>
    <w:p w14:paraId="2E748BF5" w14:textId="6C1A3E72" w:rsidR="000733B3" w:rsidRDefault="009C21DA" w:rsidP="00CF211C">
      <w:pPr>
        <w:spacing w:line="480" w:lineRule="auto"/>
        <w:ind w:right="107"/>
        <w:jc w:val="both"/>
        <w:rPr>
          <w:sz w:val="24"/>
          <w:szCs w:val="24"/>
        </w:rPr>
      </w:pPr>
      <w:r>
        <w:rPr>
          <w:sz w:val="24"/>
          <w:szCs w:val="24"/>
        </w:rPr>
        <w:t xml:space="preserve">As Stadler (2019) states that when communicating, we tend to assess who we are speaking to in order to subconsciously decide what strategy to take when talking to them. </w:t>
      </w:r>
      <w:r w:rsidR="002C0ABE">
        <w:rPr>
          <w:sz w:val="24"/>
          <w:szCs w:val="24"/>
        </w:rPr>
        <w:t xml:space="preserve">For example, during an incident I was dealing with a Family from another Country who hadn’t had a positive experience with the Police in their country of origin. Where me and my Colleague had to try our best to explain to the Subject that we were arresting, that they have rights in this country and wouldn’t be miss-treated. We had to make a language </w:t>
      </w:r>
      <w:r w:rsidR="00AD7093">
        <w:rPr>
          <w:sz w:val="24"/>
          <w:szCs w:val="24"/>
        </w:rPr>
        <w:t>simpler</w:t>
      </w:r>
      <w:r w:rsidR="002C0ABE">
        <w:rPr>
          <w:sz w:val="24"/>
          <w:szCs w:val="24"/>
        </w:rPr>
        <w:t xml:space="preserve"> to understand and often repeat sentences in order to try different ways of explaining things to them, due to the evident language barrier with both the Victim and Subject </w:t>
      </w:r>
      <w:r w:rsidR="00407341">
        <w:rPr>
          <w:sz w:val="24"/>
          <w:szCs w:val="24"/>
        </w:rPr>
        <w:t>involved</w:t>
      </w:r>
      <w:r w:rsidR="002C0ABE">
        <w:rPr>
          <w:sz w:val="24"/>
          <w:szCs w:val="24"/>
        </w:rPr>
        <w:t xml:space="preserve">. </w:t>
      </w:r>
    </w:p>
    <w:p w14:paraId="0DF142B3" w14:textId="77777777" w:rsidR="000733B3" w:rsidRDefault="000733B3" w:rsidP="00CF211C">
      <w:pPr>
        <w:spacing w:line="480" w:lineRule="auto"/>
        <w:ind w:right="107"/>
        <w:jc w:val="both"/>
        <w:rPr>
          <w:sz w:val="24"/>
          <w:szCs w:val="24"/>
        </w:rPr>
      </w:pPr>
    </w:p>
    <w:p w14:paraId="137A1DDD" w14:textId="77777777" w:rsidR="000733B3" w:rsidRDefault="000733B3" w:rsidP="00CF211C">
      <w:pPr>
        <w:spacing w:line="480" w:lineRule="auto"/>
        <w:ind w:right="107"/>
        <w:jc w:val="both"/>
        <w:rPr>
          <w:sz w:val="24"/>
          <w:szCs w:val="24"/>
        </w:rPr>
      </w:pPr>
      <w:r>
        <w:rPr>
          <w:sz w:val="24"/>
          <w:szCs w:val="24"/>
        </w:rPr>
        <w:t xml:space="preserve">Which Stalder (2019) also labels that the Language Choice can cause conflict in communication. Those more fluent in a language will find it easier to join in than someone who is not fluent. They also give a case where the language choice given had caused frustration as the other side wasn’t willing to learn the others language. This frustration can be built up due to people not understanding terminology and thus feel a burden to translate it. </w:t>
      </w:r>
    </w:p>
    <w:p w14:paraId="20EA2B3E" w14:textId="1530D4EC" w:rsidR="00861925" w:rsidRDefault="000733B3" w:rsidP="00CF211C">
      <w:pPr>
        <w:spacing w:line="480" w:lineRule="auto"/>
        <w:ind w:right="107"/>
        <w:jc w:val="both"/>
        <w:rPr>
          <w:sz w:val="24"/>
          <w:szCs w:val="24"/>
        </w:rPr>
      </w:pPr>
      <w:r>
        <w:rPr>
          <w:sz w:val="24"/>
          <w:szCs w:val="24"/>
        </w:rPr>
        <w:lastRenderedPageBreak/>
        <w:t xml:space="preserve">Which as in the incident highlighted above, was the case at the very start where the Subject had gotten frustrated due to not understanding why an arrest was taking place or what had led up to it. </w:t>
      </w:r>
    </w:p>
    <w:p w14:paraId="2B57EA10" w14:textId="77777777" w:rsidR="00954E8E" w:rsidRDefault="00954E8E" w:rsidP="00CF211C">
      <w:pPr>
        <w:spacing w:line="480" w:lineRule="auto"/>
        <w:ind w:right="107"/>
        <w:jc w:val="both"/>
        <w:rPr>
          <w:sz w:val="24"/>
          <w:szCs w:val="24"/>
        </w:rPr>
      </w:pPr>
    </w:p>
    <w:p w14:paraId="4CEC07DF" w14:textId="11385651" w:rsidR="00C61D19" w:rsidRDefault="00C61D19" w:rsidP="00CF211C">
      <w:pPr>
        <w:spacing w:line="480" w:lineRule="auto"/>
        <w:ind w:right="107"/>
        <w:jc w:val="both"/>
        <w:rPr>
          <w:sz w:val="24"/>
          <w:szCs w:val="24"/>
        </w:rPr>
      </w:pPr>
      <w:r>
        <w:rPr>
          <w:sz w:val="24"/>
          <w:szCs w:val="24"/>
        </w:rPr>
        <w:t>Fitch (2016) does highlight that a myth in communication, is that logic makes it better. However, highlights that people are the most emotional out of all species on the planet and thus a rational or logical method in communication may not always be apt. Which in the incident above, is potentially where the frustration had originated from due to the initial communication being built off of logic rather than aware of their emotion and understanding of the language.</w:t>
      </w:r>
      <w:r w:rsidR="00A72A11">
        <w:rPr>
          <w:sz w:val="24"/>
          <w:szCs w:val="24"/>
        </w:rPr>
        <w:t xml:space="preserve"> However, in the end managed to essentially flow through the IMPACT Model whilst enroute to Custody, having established rapport and provided the Subject with hope and a degree of motivation.</w:t>
      </w:r>
    </w:p>
    <w:p w14:paraId="21A3647B" w14:textId="77777777" w:rsidR="004C3BE0" w:rsidRDefault="004C3BE0" w:rsidP="00CF211C">
      <w:pPr>
        <w:spacing w:line="480" w:lineRule="auto"/>
        <w:ind w:right="107"/>
        <w:jc w:val="both"/>
        <w:rPr>
          <w:sz w:val="24"/>
          <w:szCs w:val="24"/>
        </w:rPr>
      </w:pPr>
    </w:p>
    <w:p w14:paraId="5258A13C" w14:textId="34AAC84B" w:rsidR="00ED00D4" w:rsidRDefault="00ED00D4" w:rsidP="00CF211C">
      <w:pPr>
        <w:spacing w:line="480" w:lineRule="auto"/>
        <w:ind w:right="107"/>
        <w:jc w:val="both"/>
        <w:rPr>
          <w:sz w:val="24"/>
          <w:szCs w:val="24"/>
        </w:rPr>
      </w:pPr>
      <w:r>
        <w:rPr>
          <w:sz w:val="24"/>
          <w:szCs w:val="24"/>
        </w:rPr>
        <w:t xml:space="preserve">Going back to Lac and Donaldson (2020) whilst the Police appear to fit the role of the rescuer in any incident they attend, trying to seek to help and support those in need. The role of Victim and Persecutor in this scenario varied from moment to moment. As the Persecutor had </w:t>
      </w:r>
      <w:proofErr w:type="gramStart"/>
      <w:r>
        <w:rPr>
          <w:sz w:val="24"/>
          <w:szCs w:val="24"/>
        </w:rPr>
        <w:t>became</w:t>
      </w:r>
      <w:proofErr w:type="gramEnd"/>
      <w:r>
        <w:rPr>
          <w:sz w:val="24"/>
          <w:szCs w:val="24"/>
        </w:rPr>
        <w:t xml:space="preserve"> the Victim, who was in need of help and support when they lacked the understanding and had a negative perception of the Police prior to our interaction.</w:t>
      </w:r>
    </w:p>
    <w:p w14:paraId="15FA59B5" w14:textId="77777777" w:rsidR="00174147" w:rsidRDefault="00174147" w:rsidP="00CF211C">
      <w:pPr>
        <w:spacing w:line="480" w:lineRule="auto"/>
        <w:ind w:right="107"/>
        <w:jc w:val="both"/>
        <w:rPr>
          <w:sz w:val="24"/>
          <w:szCs w:val="24"/>
        </w:rPr>
      </w:pPr>
    </w:p>
    <w:p w14:paraId="0368BD54" w14:textId="77777777" w:rsidR="00D94728" w:rsidRDefault="00D94728" w:rsidP="00CF211C">
      <w:pPr>
        <w:spacing w:line="480" w:lineRule="auto"/>
        <w:ind w:right="107"/>
        <w:jc w:val="both"/>
        <w:rPr>
          <w:sz w:val="24"/>
          <w:szCs w:val="24"/>
        </w:rPr>
      </w:pPr>
    </w:p>
    <w:p w14:paraId="48D5F910" w14:textId="56207D32" w:rsidR="00174147" w:rsidRDefault="00174147" w:rsidP="00CF211C">
      <w:pPr>
        <w:spacing w:line="480" w:lineRule="auto"/>
        <w:ind w:right="107"/>
        <w:jc w:val="both"/>
        <w:rPr>
          <w:sz w:val="24"/>
          <w:szCs w:val="24"/>
        </w:rPr>
      </w:pPr>
      <w:r>
        <w:rPr>
          <w:sz w:val="24"/>
          <w:szCs w:val="24"/>
        </w:rPr>
        <w:t xml:space="preserve">Another Incident that had a positive outcome due to the actions of myself and my colleague, is that when we were enroute to a Hospital Watch with a person who we were informed was violent and still acting out of order. Upon attending the </w:t>
      </w:r>
      <w:proofErr w:type="gramStart"/>
      <w:r>
        <w:rPr>
          <w:sz w:val="24"/>
          <w:szCs w:val="24"/>
        </w:rPr>
        <w:t>Hospital</w:t>
      </w:r>
      <w:proofErr w:type="gramEnd"/>
      <w:r>
        <w:rPr>
          <w:sz w:val="24"/>
          <w:szCs w:val="24"/>
        </w:rPr>
        <w:t xml:space="preserve"> we managed to immediately step into the IMPACT model that Fitch (2016) had highlighted. Where we began to build a rapport immediately and talk to the Subject both normally and listening to them. Where we </w:t>
      </w:r>
      <w:r>
        <w:rPr>
          <w:sz w:val="24"/>
          <w:szCs w:val="24"/>
        </w:rPr>
        <w:lastRenderedPageBreak/>
        <w:t>had managed to stop them from being violent to spending the rest of the shift without any conflict.</w:t>
      </w:r>
      <w:r w:rsidR="000D36E5">
        <w:rPr>
          <w:sz w:val="24"/>
          <w:szCs w:val="24"/>
        </w:rPr>
        <w:t xml:space="preserve"> Where as Kilgallon and Wright (2022) had mentioned about building rapport, I had managed to find the common ground with the Subject due to part of our pasts having experienced a similar event.</w:t>
      </w:r>
    </w:p>
    <w:p w14:paraId="6D7DB9B4" w14:textId="3338C506" w:rsidR="00174147" w:rsidRDefault="00174147" w:rsidP="00CF211C">
      <w:pPr>
        <w:spacing w:line="480" w:lineRule="auto"/>
        <w:ind w:right="107"/>
        <w:jc w:val="both"/>
        <w:rPr>
          <w:sz w:val="24"/>
          <w:szCs w:val="24"/>
        </w:rPr>
      </w:pPr>
    </w:p>
    <w:p w14:paraId="65ED0073" w14:textId="77777777" w:rsidR="00861925" w:rsidRDefault="00861925" w:rsidP="00CF211C">
      <w:pPr>
        <w:spacing w:line="480" w:lineRule="auto"/>
        <w:ind w:right="107"/>
        <w:jc w:val="both"/>
        <w:rPr>
          <w:sz w:val="24"/>
          <w:szCs w:val="24"/>
        </w:rPr>
      </w:pPr>
    </w:p>
    <w:p w14:paraId="04518217" w14:textId="1912ACEE" w:rsidR="008E145C" w:rsidRDefault="00861925" w:rsidP="00CF211C">
      <w:pPr>
        <w:spacing w:line="480" w:lineRule="auto"/>
        <w:ind w:right="107"/>
        <w:jc w:val="both"/>
        <w:rPr>
          <w:sz w:val="24"/>
          <w:szCs w:val="24"/>
        </w:rPr>
      </w:pPr>
      <w:r>
        <w:rPr>
          <w:sz w:val="24"/>
          <w:szCs w:val="24"/>
        </w:rPr>
        <w:t>Going to an incident that occurred, I had started off getting along with the Subject at their address. When we had to transport them to Hospital</w:t>
      </w:r>
      <w:r w:rsidR="00AD031B">
        <w:rPr>
          <w:sz w:val="24"/>
          <w:szCs w:val="24"/>
        </w:rPr>
        <w:t xml:space="preserve"> due to their mental health</w:t>
      </w:r>
      <w:r>
        <w:rPr>
          <w:sz w:val="24"/>
          <w:szCs w:val="24"/>
        </w:rPr>
        <w:t>, during the stay at the Hospital they were reminded multiple times to stop swearing</w:t>
      </w:r>
      <w:r w:rsidR="002570F5">
        <w:rPr>
          <w:sz w:val="24"/>
          <w:szCs w:val="24"/>
        </w:rPr>
        <w:t xml:space="preserve"> due to the frequency and people who were able to hear them</w:t>
      </w:r>
      <w:r>
        <w:rPr>
          <w:sz w:val="24"/>
          <w:szCs w:val="24"/>
        </w:rPr>
        <w:t>.</w:t>
      </w:r>
      <w:r w:rsidR="002570F5">
        <w:rPr>
          <w:sz w:val="24"/>
          <w:szCs w:val="24"/>
        </w:rPr>
        <w:t xml:space="preserve"> </w:t>
      </w:r>
      <w:r>
        <w:rPr>
          <w:sz w:val="24"/>
          <w:szCs w:val="24"/>
        </w:rPr>
        <w:t>Their behaviour at one point</w:t>
      </w:r>
      <w:r w:rsidR="00F64C90">
        <w:rPr>
          <w:sz w:val="24"/>
          <w:szCs w:val="24"/>
        </w:rPr>
        <w:t xml:space="preserve"> escalated in aggression as I and my Colleague had been repeating multiple times to stop swearing, starting off calm and slowly escalating to </w:t>
      </w:r>
      <w:r w:rsidR="00431893">
        <w:rPr>
          <w:sz w:val="24"/>
          <w:szCs w:val="24"/>
        </w:rPr>
        <w:t xml:space="preserve">being </w:t>
      </w:r>
      <w:r w:rsidR="00F64C90">
        <w:rPr>
          <w:sz w:val="24"/>
          <w:szCs w:val="24"/>
        </w:rPr>
        <w:t>assertive</w:t>
      </w:r>
      <w:r w:rsidR="00586986">
        <w:rPr>
          <w:sz w:val="24"/>
          <w:szCs w:val="24"/>
        </w:rPr>
        <w:t xml:space="preserve"> in tone</w:t>
      </w:r>
      <w:r w:rsidR="00FC2387">
        <w:rPr>
          <w:sz w:val="24"/>
          <w:szCs w:val="24"/>
        </w:rPr>
        <w:t>.</w:t>
      </w:r>
      <w:r w:rsidR="00F64C90">
        <w:rPr>
          <w:sz w:val="24"/>
          <w:szCs w:val="24"/>
        </w:rPr>
        <w:t xml:space="preserve"> </w:t>
      </w:r>
      <w:r w:rsidR="00FC2387">
        <w:rPr>
          <w:sz w:val="24"/>
          <w:szCs w:val="24"/>
        </w:rPr>
        <w:t>Where COP (2020) states Officers should act in a more assertive manner than aggressive, in order to assist in the Verbal Communication whilst handling conflict.</w:t>
      </w:r>
      <w:r w:rsidR="0029714F">
        <w:rPr>
          <w:sz w:val="24"/>
          <w:szCs w:val="24"/>
        </w:rPr>
        <w:t xml:space="preserve"> </w:t>
      </w:r>
      <w:r w:rsidR="00046874">
        <w:rPr>
          <w:sz w:val="24"/>
          <w:szCs w:val="24"/>
        </w:rPr>
        <w:t>Which as Lloyd (2001) states that in order to prevent conflict, using only assertive behaviour is the aim as it is seen as being the most direct and respectful approach, especially during a situation where the temptation to become aggressive, like conflict, is there.</w:t>
      </w:r>
    </w:p>
    <w:p w14:paraId="6208DC80" w14:textId="77777777" w:rsidR="008E145C" w:rsidRDefault="008E145C" w:rsidP="00CF211C">
      <w:pPr>
        <w:spacing w:line="480" w:lineRule="auto"/>
        <w:ind w:right="107"/>
        <w:jc w:val="both"/>
        <w:rPr>
          <w:sz w:val="24"/>
          <w:szCs w:val="24"/>
        </w:rPr>
      </w:pPr>
    </w:p>
    <w:p w14:paraId="6E781713" w14:textId="497DB1FB" w:rsidR="00FC2387" w:rsidRDefault="008E145C" w:rsidP="00CF211C">
      <w:pPr>
        <w:spacing w:line="480" w:lineRule="auto"/>
        <w:ind w:right="107"/>
        <w:jc w:val="both"/>
        <w:rPr>
          <w:sz w:val="24"/>
          <w:szCs w:val="24"/>
        </w:rPr>
      </w:pPr>
      <w:r>
        <w:rPr>
          <w:sz w:val="24"/>
          <w:szCs w:val="24"/>
        </w:rPr>
        <w:t xml:space="preserve">Going back to COP (2020), they listed the </w:t>
      </w:r>
      <w:r w:rsidR="0029714F">
        <w:rPr>
          <w:sz w:val="24"/>
          <w:szCs w:val="24"/>
        </w:rPr>
        <w:t xml:space="preserve">Five-Step-Appeal </w:t>
      </w:r>
      <w:r>
        <w:rPr>
          <w:sz w:val="24"/>
          <w:szCs w:val="24"/>
        </w:rPr>
        <w:t xml:space="preserve">that </w:t>
      </w:r>
      <w:r w:rsidR="0029714F">
        <w:rPr>
          <w:sz w:val="24"/>
          <w:szCs w:val="24"/>
        </w:rPr>
        <w:t xml:space="preserve">wouldn’t </w:t>
      </w:r>
      <w:proofErr w:type="gramStart"/>
      <w:r w:rsidR="0029714F">
        <w:rPr>
          <w:sz w:val="24"/>
          <w:szCs w:val="24"/>
        </w:rPr>
        <w:t>of</w:t>
      </w:r>
      <w:proofErr w:type="gramEnd"/>
      <w:r w:rsidR="0029714F">
        <w:rPr>
          <w:sz w:val="24"/>
          <w:szCs w:val="24"/>
        </w:rPr>
        <w:t xml:space="preserve"> worked due to </w:t>
      </w:r>
      <w:r w:rsidR="008E3CBC">
        <w:rPr>
          <w:sz w:val="24"/>
          <w:szCs w:val="24"/>
        </w:rPr>
        <w:t>the subject’s</w:t>
      </w:r>
      <w:r w:rsidR="0029714F">
        <w:rPr>
          <w:sz w:val="24"/>
          <w:szCs w:val="24"/>
        </w:rPr>
        <w:t xml:space="preserve"> personal situation</w:t>
      </w:r>
      <w:r w:rsidR="00F72D43">
        <w:rPr>
          <w:sz w:val="24"/>
          <w:szCs w:val="24"/>
        </w:rPr>
        <w:t xml:space="preserve"> where the personal appeal wouldn’t of worked, </w:t>
      </w:r>
      <w:r w:rsidR="007D3DD7">
        <w:rPr>
          <w:sz w:val="24"/>
          <w:szCs w:val="24"/>
        </w:rPr>
        <w:t>and that</w:t>
      </w:r>
      <w:r w:rsidR="00F72D43">
        <w:rPr>
          <w:sz w:val="24"/>
          <w:szCs w:val="24"/>
        </w:rPr>
        <w:t xml:space="preserve"> they were intoxicated where they would of likely not understood a reasoned appeal</w:t>
      </w:r>
      <w:r w:rsidR="00295CA2">
        <w:rPr>
          <w:sz w:val="24"/>
          <w:szCs w:val="24"/>
        </w:rPr>
        <w:t>.</w:t>
      </w:r>
    </w:p>
    <w:p w14:paraId="0D7F10B1" w14:textId="77777777" w:rsidR="00FC2387" w:rsidRDefault="00FC2387" w:rsidP="00CF211C">
      <w:pPr>
        <w:spacing w:line="480" w:lineRule="auto"/>
        <w:ind w:right="107"/>
        <w:jc w:val="both"/>
        <w:rPr>
          <w:sz w:val="24"/>
          <w:szCs w:val="24"/>
        </w:rPr>
      </w:pPr>
    </w:p>
    <w:p w14:paraId="787BAD43" w14:textId="1107ACAD" w:rsidR="00142114" w:rsidRDefault="00FC2387" w:rsidP="00CF211C">
      <w:pPr>
        <w:spacing w:line="480" w:lineRule="auto"/>
        <w:ind w:right="107"/>
        <w:jc w:val="both"/>
        <w:rPr>
          <w:sz w:val="24"/>
          <w:szCs w:val="24"/>
        </w:rPr>
      </w:pPr>
      <w:r>
        <w:rPr>
          <w:sz w:val="24"/>
          <w:szCs w:val="24"/>
        </w:rPr>
        <w:t>A</w:t>
      </w:r>
      <w:r w:rsidR="00F64C90">
        <w:rPr>
          <w:sz w:val="24"/>
          <w:szCs w:val="24"/>
        </w:rPr>
        <w:t>t one point the Subject</w:t>
      </w:r>
      <w:r w:rsidR="00861925">
        <w:rPr>
          <w:sz w:val="24"/>
          <w:szCs w:val="24"/>
        </w:rPr>
        <w:t xml:space="preserve"> ended up standing up in an aggressive manner against me. Where, through mine and my colleagues verbal communication were able to get them to stand down and sit back down. That, as Stadler (2019) had labelled the change in language being used </w:t>
      </w:r>
      <w:r w:rsidR="00861925">
        <w:rPr>
          <w:sz w:val="24"/>
          <w:szCs w:val="24"/>
        </w:rPr>
        <w:lastRenderedPageBreak/>
        <w:t>has managed to convince the Subject to stand down from what was threatening behaviour.</w:t>
      </w:r>
      <w:r w:rsidR="008F74DC">
        <w:rPr>
          <w:sz w:val="24"/>
          <w:szCs w:val="24"/>
        </w:rPr>
        <w:t xml:space="preserve"> I</w:t>
      </w:r>
      <w:r w:rsidR="00142114">
        <w:rPr>
          <w:sz w:val="24"/>
          <w:szCs w:val="24"/>
        </w:rPr>
        <w:t xml:space="preserve">n this situation I managed to avoid </w:t>
      </w:r>
      <w:proofErr w:type="spellStart"/>
      <w:r w:rsidR="00142114">
        <w:rPr>
          <w:sz w:val="24"/>
          <w:szCs w:val="24"/>
        </w:rPr>
        <w:t>Betari</w:t>
      </w:r>
      <w:r w:rsidR="00985AD6">
        <w:rPr>
          <w:sz w:val="24"/>
          <w:szCs w:val="24"/>
        </w:rPr>
        <w:t>’</w:t>
      </w:r>
      <w:r w:rsidR="00142114">
        <w:rPr>
          <w:sz w:val="24"/>
          <w:szCs w:val="24"/>
        </w:rPr>
        <w:t>s</w:t>
      </w:r>
      <w:proofErr w:type="spellEnd"/>
      <w:r w:rsidR="00142114">
        <w:rPr>
          <w:sz w:val="24"/>
          <w:szCs w:val="24"/>
        </w:rPr>
        <w:t xml:space="preserve"> Box</w:t>
      </w:r>
      <w:r w:rsidR="00030C81">
        <w:rPr>
          <w:sz w:val="24"/>
          <w:szCs w:val="24"/>
        </w:rPr>
        <w:t xml:space="preserve"> situation that is displayed by</w:t>
      </w:r>
      <w:r w:rsidR="00142114">
        <w:rPr>
          <w:sz w:val="24"/>
          <w:szCs w:val="24"/>
        </w:rPr>
        <w:t xml:space="preserve"> COP (2020) by</w:t>
      </w:r>
      <w:r w:rsidR="00030C81">
        <w:rPr>
          <w:sz w:val="24"/>
          <w:szCs w:val="24"/>
        </w:rPr>
        <w:t xml:space="preserve"> not allowing their aggression to change my attitude or behaviour. </w:t>
      </w:r>
    </w:p>
    <w:p w14:paraId="4830F6FD" w14:textId="77777777" w:rsidR="002570F5" w:rsidRDefault="002570F5" w:rsidP="00CF211C">
      <w:pPr>
        <w:spacing w:line="480" w:lineRule="auto"/>
        <w:ind w:right="107"/>
        <w:jc w:val="both"/>
        <w:rPr>
          <w:sz w:val="24"/>
          <w:szCs w:val="24"/>
        </w:rPr>
      </w:pPr>
    </w:p>
    <w:p w14:paraId="725EAEA4" w14:textId="4C00A46D" w:rsidR="002570F5" w:rsidRDefault="002570F5" w:rsidP="00CF211C">
      <w:pPr>
        <w:spacing w:line="480" w:lineRule="auto"/>
        <w:ind w:right="107"/>
        <w:jc w:val="both"/>
        <w:rPr>
          <w:sz w:val="24"/>
          <w:szCs w:val="24"/>
        </w:rPr>
      </w:pPr>
      <w:r>
        <w:rPr>
          <w:sz w:val="24"/>
          <w:szCs w:val="24"/>
        </w:rPr>
        <w:t>The Subject was heavily intoxicated that as COP (2020) highlights is an impact factor that makes the situation of a higher risk of conflict breaking out</w:t>
      </w:r>
      <w:r w:rsidR="00A456F3">
        <w:rPr>
          <w:sz w:val="24"/>
          <w:szCs w:val="24"/>
        </w:rPr>
        <w:t>. W</w:t>
      </w:r>
      <w:r>
        <w:rPr>
          <w:sz w:val="24"/>
          <w:szCs w:val="24"/>
        </w:rPr>
        <w:t>hen arrested, the Subject had surpassed the prior escalation and actively resisted</w:t>
      </w:r>
      <w:r w:rsidR="004E611D">
        <w:rPr>
          <w:sz w:val="24"/>
          <w:szCs w:val="24"/>
        </w:rPr>
        <w:t xml:space="preserve"> mine and my colleagues attempts to handcuff them to effect the arrest. However, through effective communication after a few moments of unarmed tactics we had managed to convince the Subject to desist and comply with my colleagues attempt to place handcuffs on them</w:t>
      </w:r>
      <w:r>
        <w:rPr>
          <w:sz w:val="24"/>
          <w:szCs w:val="24"/>
        </w:rPr>
        <w:t>.</w:t>
      </w:r>
      <w:r w:rsidR="00524671">
        <w:rPr>
          <w:sz w:val="24"/>
          <w:szCs w:val="24"/>
        </w:rPr>
        <w:t xml:space="preserve"> </w:t>
      </w:r>
      <w:r w:rsidR="001B6CB4">
        <w:rPr>
          <w:sz w:val="24"/>
          <w:szCs w:val="24"/>
        </w:rPr>
        <w:t xml:space="preserve">Which as Kilgallon &amp; Wright (2022) highlighted that at times you would need to break the rapport built. Where I had to break the </w:t>
      </w:r>
      <w:proofErr w:type="gramStart"/>
      <w:r w:rsidR="001B6CB4">
        <w:rPr>
          <w:sz w:val="24"/>
          <w:szCs w:val="24"/>
        </w:rPr>
        <w:t>rapport</w:t>
      </w:r>
      <w:proofErr w:type="gramEnd"/>
      <w:r w:rsidR="001B6CB4">
        <w:rPr>
          <w:sz w:val="24"/>
          <w:szCs w:val="24"/>
        </w:rPr>
        <w:t xml:space="preserve"> I had built in this incident, in order to effect an arrest where the Subject then vividly disliked me for having arrested them. When I attempted to reestablish the rapport with the Fitch (2016) model, didn’t work due to the fact that we had already broken the rapport I made with them earlier on when arresting.</w:t>
      </w:r>
    </w:p>
    <w:p w14:paraId="6E53F6C8" w14:textId="77777777" w:rsidR="002B5730" w:rsidRDefault="002B5730" w:rsidP="00CF211C">
      <w:pPr>
        <w:spacing w:line="480" w:lineRule="auto"/>
        <w:ind w:right="107"/>
        <w:jc w:val="both"/>
        <w:rPr>
          <w:sz w:val="24"/>
          <w:szCs w:val="24"/>
        </w:rPr>
      </w:pPr>
    </w:p>
    <w:p w14:paraId="7DEB0CB5" w14:textId="77777777" w:rsidR="002B5730" w:rsidRDefault="002B5730" w:rsidP="00CF211C">
      <w:pPr>
        <w:spacing w:line="480" w:lineRule="auto"/>
        <w:ind w:right="107"/>
        <w:jc w:val="both"/>
        <w:rPr>
          <w:sz w:val="24"/>
          <w:szCs w:val="24"/>
        </w:rPr>
      </w:pPr>
    </w:p>
    <w:p w14:paraId="440AB66C" w14:textId="12513065" w:rsidR="005B2EEA" w:rsidRDefault="002B5730" w:rsidP="00CF211C">
      <w:pPr>
        <w:spacing w:line="480" w:lineRule="auto"/>
        <w:ind w:right="107"/>
        <w:jc w:val="both"/>
        <w:rPr>
          <w:sz w:val="24"/>
          <w:szCs w:val="24"/>
        </w:rPr>
      </w:pPr>
      <w:r>
        <w:rPr>
          <w:sz w:val="24"/>
          <w:szCs w:val="24"/>
        </w:rPr>
        <w:t>In conclusion, each situation appears different and requires a different approach in what models apply and what models won’t. As seen in the latter incident I spoke about, Fitch (2016) who spoke about the IMPACT model hadn’t assisted there, nor would the COP (2020) Five Step Appeal or LEAPS, due to the nature of the Subject and how far the escalation had reached before me and my colleague had managed to identify a risk to both of us</w:t>
      </w:r>
      <w:r w:rsidR="00620D9F">
        <w:rPr>
          <w:sz w:val="24"/>
          <w:szCs w:val="24"/>
        </w:rPr>
        <w:t>. Where as seen and highlighted by Kilgallon &amp; Wright (2022) rapport was broken in order to carry out our duties as Officers</w:t>
      </w:r>
      <w:r w:rsidR="003F5AF1">
        <w:rPr>
          <w:sz w:val="24"/>
          <w:szCs w:val="24"/>
        </w:rPr>
        <w:t xml:space="preserve">. </w:t>
      </w:r>
      <w:proofErr w:type="gramStart"/>
      <w:r w:rsidR="003F5AF1">
        <w:rPr>
          <w:sz w:val="24"/>
          <w:szCs w:val="24"/>
        </w:rPr>
        <w:t>Thus</w:t>
      </w:r>
      <w:proofErr w:type="gramEnd"/>
      <w:r w:rsidR="003F5AF1">
        <w:rPr>
          <w:sz w:val="24"/>
          <w:szCs w:val="24"/>
        </w:rPr>
        <w:t xml:space="preserve"> whilst we managed the conflict, following models and building a rapport may not always be </w:t>
      </w:r>
      <w:r w:rsidR="00582CE0">
        <w:rPr>
          <w:sz w:val="24"/>
          <w:szCs w:val="24"/>
        </w:rPr>
        <w:t>effective</w:t>
      </w:r>
      <w:r>
        <w:rPr>
          <w:sz w:val="24"/>
          <w:szCs w:val="24"/>
        </w:rPr>
        <w:t xml:space="preserve">. </w:t>
      </w:r>
      <w:r w:rsidR="00C14CBA">
        <w:rPr>
          <w:sz w:val="24"/>
          <w:szCs w:val="24"/>
        </w:rPr>
        <w:t>Yet,</w:t>
      </w:r>
      <w:r>
        <w:rPr>
          <w:sz w:val="24"/>
          <w:szCs w:val="24"/>
        </w:rPr>
        <w:t xml:space="preserve"> in the earlier situation, due to how calm </w:t>
      </w:r>
      <w:r>
        <w:rPr>
          <w:sz w:val="24"/>
          <w:szCs w:val="24"/>
        </w:rPr>
        <w:lastRenderedPageBreak/>
        <w:t>the situation had remained allowed us to apply the IMPACT</w:t>
      </w:r>
      <w:r w:rsidR="00C80865">
        <w:rPr>
          <w:sz w:val="24"/>
          <w:szCs w:val="24"/>
        </w:rPr>
        <w:t xml:space="preserve"> </w:t>
      </w:r>
      <w:r w:rsidR="00E007B0">
        <w:rPr>
          <w:sz w:val="24"/>
          <w:szCs w:val="24"/>
        </w:rPr>
        <w:t xml:space="preserve">model </w:t>
      </w:r>
      <w:r w:rsidR="00C80865">
        <w:rPr>
          <w:sz w:val="24"/>
          <w:szCs w:val="24"/>
        </w:rPr>
        <w:t>from Fitch (2016)</w:t>
      </w:r>
      <w:r>
        <w:rPr>
          <w:sz w:val="24"/>
          <w:szCs w:val="24"/>
        </w:rPr>
        <w:t xml:space="preserve"> even after arrest and enroute to custody, where we managed to assist the Subject</w:t>
      </w:r>
      <w:r w:rsidR="005B2EEA">
        <w:rPr>
          <w:sz w:val="24"/>
          <w:szCs w:val="24"/>
        </w:rPr>
        <w:t xml:space="preserve"> in understanding. </w:t>
      </w:r>
    </w:p>
    <w:p w14:paraId="064E5E39" w14:textId="77777777" w:rsidR="00BC3647" w:rsidRDefault="00BC3647" w:rsidP="00CF211C">
      <w:pPr>
        <w:spacing w:line="480" w:lineRule="auto"/>
        <w:ind w:right="107"/>
        <w:jc w:val="both"/>
        <w:rPr>
          <w:sz w:val="24"/>
          <w:szCs w:val="24"/>
        </w:rPr>
      </w:pPr>
    </w:p>
    <w:p w14:paraId="45BBE3DA" w14:textId="3F0D6AF5" w:rsidR="002B5730" w:rsidRDefault="005B2EEA" w:rsidP="00CF211C">
      <w:pPr>
        <w:spacing w:line="480" w:lineRule="auto"/>
        <w:ind w:right="107"/>
        <w:jc w:val="both"/>
        <w:rPr>
          <w:sz w:val="24"/>
          <w:szCs w:val="24"/>
        </w:rPr>
      </w:pPr>
      <w:proofErr w:type="gramStart"/>
      <w:r>
        <w:rPr>
          <w:sz w:val="24"/>
          <w:szCs w:val="24"/>
        </w:rPr>
        <w:t>However</w:t>
      </w:r>
      <w:proofErr w:type="gramEnd"/>
      <w:r>
        <w:rPr>
          <w:sz w:val="24"/>
          <w:szCs w:val="24"/>
        </w:rPr>
        <w:t xml:space="preserve"> in both situation, as highlighted there are several barriers and they are different per incident. Alcohol and Mental Health in the latter that was highlighted by COP (2020) and Boyd et al (2020) had mentioned studies</w:t>
      </w:r>
      <w:r w:rsidR="005B02E6">
        <w:rPr>
          <w:sz w:val="24"/>
          <w:szCs w:val="24"/>
        </w:rPr>
        <w:t xml:space="preserve"> showed</w:t>
      </w:r>
      <w:r>
        <w:rPr>
          <w:sz w:val="24"/>
          <w:szCs w:val="24"/>
        </w:rPr>
        <w:t xml:space="preserve"> that Officers are more likely to use force when Mental Health is a factor in incidents. Whereas in the earlier it was Cultural and Language barriers which is what Stadler (2019) had highlighted</w:t>
      </w:r>
      <w:r w:rsidR="00886108">
        <w:rPr>
          <w:sz w:val="24"/>
          <w:szCs w:val="24"/>
        </w:rPr>
        <w:t xml:space="preserve"> is an issue and that joint with what Fitch (2016) is trying to get across, language being used needs to be fit for the person you are talking to</w:t>
      </w:r>
      <w:r>
        <w:rPr>
          <w:sz w:val="24"/>
          <w:szCs w:val="24"/>
        </w:rPr>
        <w:t>.</w:t>
      </w:r>
      <w:r w:rsidR="00174147">
        <w:rPr>
          <w:sz w:val="24"/>
          <w:szCs w:val="24"/>
        </w:rPr>
        <w:t xml:space="preserve"> Which can be seen with the outcome in the first incident highlighted and then the second incident where conflict was managed to be stowed before it escalated to a point where further models could be applied.</w:t>
      </w:r>
    </w:p>
    <w:p w14:paraId="0826F06B" w14:textId="77777777" w:rsidR="00A456F3" w:rsidRDefault="00A456F3" w:rsidP="002570F5">
      <w:pPr>
        <w:ind w:right="107"/>
        <w:jc w:val="both"/>
        <w:rPr>
          <w:sz w:val="24"/>
          <w:szCs w:val="24"/>
        </w:rPr>
      </w:pPr>
    </w:p>
    <w:p w14:paraId="2C95778A" w14:textId="77777777" w:rsidR="00B73FA0" w:rsidRDefault="00B73FA0" w:rsidP="002570F5">
      <w:pPr>
        <w:ind w:right="107"/>
        <w:jc w:val="both"/>
        <w:rPr>
          <w:sz w:val="24"/>
          <w:szCs w:val="24"/>
        </w:rPr>
      </w:pPr>
    </w:p>
    <w:p w14:paraId="12802911" w14:textId="77777777" w:rsidR="00B73FA0" w:rsidRDefault="00B73FA0" w:rsidP="002570F5">
      <w:pPr>
        <w:ind w:right="107"/>
        <w:jc w:val="both"/>
        <w:rPr>
          <w:sz w:val="24"/>
          <w:szCs w:val="24"/>
        </w:rPr>
      </w:pPr>
    </w:p>
    <w:p w14:paraId="6D67FDED" w14:textId="77777777" w:rsidR="00B73FA0" w:rsidRDefault="00B73FA0" w:rsidP="002570F5">
      <w:pPr>
        <w:ind w:right="107"/>
        <w:jc w:val="both"/>
        <w:rPr>
          <w:sz w:val="24"/>
          <w:szCs w:val="24"/>
        </w:rPr>
      </w:pPr>
    </w:p>
    <w:p w14:paraId="1C6ECF5D" w14:textId="77777777" w:rsidR="00B73FA0" w:rsidRDefault="00B73FA0" w:rsidP="002570F5">
      <w:pPr>
        <w:ind w:right="107"/>
        <w:jc w:val="both"/>
        <w:rPr>
          <w:sz w:val="24"/>
          <w:szCs w:val="24"/>
        </w:rPr>
      </w:pPr>
    </w:p>
    <w:p w14:paraId="4EE5D64F" w14:textId="0AF3795F" w:rsidR="00B86F87" w:rsidRPr="00B73FA0" w:rsidRDefault="00B86F87" w:rsidP="002570F5">
      <w:pPr>
        <w:ind w:right="107"/>
        <w:jc w:val="both"/>
        <w:rPr>
          <w:b/>
          <w:bCs/>
          <w:sz w:val="24"/>
          <w:szCs w:val="24"/>
        </w:rPr>
      </w:pPr>
      <w:r w:rsidRPr="00B73FA0">
        <w:rPr>
          <w:b/>
          <w:bCs/>
          <w:sz w:val="24"/>
          <w:szCs w:val="24"/>
        </w:rPr>
        <w:t xml:space="preserve">Word Count: </w:t>
      </w:r>
      <w:r w:rsidR="00582CE0" w:rsidRPr="00B73FA0">
        <w:rPr>
          <w:b/>
          <w:bCs/>
          <w:sz w:val="24"/>
          <w:szCs w:val="24"/>
        </w:rPr>
        <w:t>213</w:t>
      </w:r>
      <w:r w:rsidR="003D1498" w:rsidRPr="00B73FA0">
        <w:rPr>
          <w:b/>
          <w:bCs/>
          <w:sz w:val="24"/>
          <w:szCs w:val="24"/>
        </w:rPr>
        <w:t>7</w:t>
      </w:r>
    </w:p>
    <w:p w14:paraId="6F4BB775" w14:textId="77777777" w:rsidR="00A456F3" w:rsidRDefault="00A456F3" w:rsidP="002570F5">
      <w:pPr>
        <w:ind w:right="107"/>
        <w:jc w:val="both"/>
        <w:rPr>
          <w:sz w:val="24"/>
          <w:szCs w:val="24"/>
        </w:rPr>
      </w:pPr>
    </w:p>
    <w:p w14:paraId="7F384F58" w14:textId="77777777" w:rsidR="00954E8E" w:rsidRDefault="00954E8E" w:rsidP="002570F5">
      <w:pPr>
        <w:ind w:right="107"/>
        <w:jc w:val="both"/>
        <w:rPr>
          <w:sz w:val="24"/>
          <w:szCs w:val="24"/>
        </w:rPr>
      </w:pPr>
    </w:p>
    <w:p w14:paraId="3C1D8DDE" w14:textId="77777777" w:rsidR="00954E8E" w:rsidRDefault="00954E8E" w:rsidP="002570F5">
      <w:pPr>
        <w:ind w:right="107"/>
        <w:jc w:val="both"/>
        <w:rPr>
          <w:sz w:val="24"/>
          <w:szCs w:val="24"/>
        </w:rPr>
      </w:pPr>
    </w:p>
    <w:p w14:paraId="2AFACB86" w14:textId="77777777" w:rsidR="002570F5" w:rsidRDefault="002570F5" w:rsidP="00E6298B">
      <w:pPr>
        <w:ind w:right="107"/>
        <w:jc w:val="both"/>
        <w:rPr>
          <w:sz w:val="24"/>
          <w:szCs w:val="24"/>
        </w:rPr>
      </w:pPr>
    </w:p>
    <w:p w14:paraId="5A2DCBA2" w14:textId="77777777" w:rsidR="002F5A08" w:rsidRDefault="002F5A08" w:rsidP="00E6298B">
      <w:pPr>
        <w:ind w:right="107"/>
        <w:jc w:val="both"/>
        <w:rPr>
          <w:sz w:val="24"/>
          <w:szCs w:val="24"/>
        </w:rPr>
      </w:pPr>
    </w:p>
    <w:p w14:paraId="33F20852" w14:textId="4D2489B9" w:rsidR="00892443" w:rsidRDefault="00892443" w:rsidP="00E6298B">
      <w:pPr>
        <w:ind w:right="107"/>
        <w:jc w:val="both"/>
        <w:rPr>
          <w:sz w:val="24"/>
          <w:szCs w:val="24"/>
        </w:rPr>
      </w:pPr>
    </w:p>
    <w:p w14:paraId="7517481E" w14:textId="77777777" w:rsidR="00BD7B53" w:rsidRPr="00270EEB" w:rsidRDefault="00BD7B53"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2C6AC889" w14:textId="77777777" w:rsidR="00E630E0" w:rsidRDefault="001D7364" w:rsidP="00CF211C">
      <w:pPr>
        <w:spacing w:line="480" w:lineRule="auto"/>
        <w:ind w:right="107"/>
        <w:jc w:val="both"/>
        <w:rPr>
          <w:sz w:val="24"/>
          <w:szCs w:val="24"/>
        </w:rPr>
      </w:pPr>
      <w:r>
        <w:rPr>
          <w:sz w:val="24"/>
          <w:szCs w:val="24"/>
        </w:rPr>
        <w:t xml:space="preserve">The Ministry of Justice (MoJ) (2020) outlines twelve rights for the Victims of Crime, </w:t>
      </w:r>
      <w:r w:rsidR="00E630E0">
        <w:rPr>
          <w:sz w:val="24"/>
          <w:szCs w:val="24"/>
        </w:rPr>
        <w:t xml:space="preserve">that as Harfield (2014) outlines is a way that the government has tried to improve the services given to Witnesses and Victims. </w:t>
      </w:r>
    </w:p>
    <w:p w14:paraId="541EA5E6" w14:textId="77777777" w:rsidR="00E630E0" w:rsidRDefault="00E630E0" w:rsidP="00CF211C">
      <w:pPr>
        <w:spacing w:line="480" w:lineRule="auto"/>
        <w:ind w:right="107"/>
        <w:jc w:val="both"/>
        <w:rPr>
          <w:sz w:val="24"/>
          <w:szCs w:val="24"/>
        </w:rPr>
      </w:pPr>
    </w:p>
    <w:p w14:paraId="1BC92250" w14:textId="5DD60E89" w:rsidR="001D7364" w:rsidRDefault="00E630E0" w:rsidP="00CF211C">
      <w:pPr>
        <w:spacing w:line="480" w:lineRule="auto"/>
        <w:ind w:right="107"/>
        <w:jc w:val="both"/>
        <w:rPr>
          <w:sz w:val="24"/>
          <w:szCs w:val="24"/>
        </w:rPr>
      </w:pPr>
      <w:r>
        <w:rPr>
          <w:sz w:val="24"/>
          <w:szCs w:val="24"/>
        </w:rPr>
        <w:t xml:space="preserve">The MoJ (2020) outlines the 12 rights as the lowest standard to be offered to Victims by the Police. That the first right, to have information conveyed in a manner that is easily understood be it due to language difficulties or other barriers, the fourth right is to have a service tailored to your needs that you could be referred to further support for victims and contact them directly. The twelfth right is to be able to make a complaint if a Victim has not received their rights. These three rights, apply to all Victims no matter the crime. Whereas the rest only apply if a Crime has been reported to the Police. </w:t>
      </w:r>
    </w:p>
    <w:p w14:paraId="12172D17" w14:textId="77777777" w:rsidR="00E630E0" w:rsidRDefault="00E630E0" w:rsidP="00CF211C">
      <w:pPr>
        <w:spacing w:line="480" w:lineRule="auto"/>
        <w:ind w:right="107"/>
        <w:jc w:val="both"/>
        <w:rPr>
          <w:sz w:val="24"/>
          <w:szCs w:val="24"/>
        </w:rPr>
      </w:pPr>
    </w:p>
    <w:p w14:paraId="37A6120E" w14:textId="42100208" w:rsidR="00E630E0" w:rsidRDefault="00722311" w:rsidP="00CF211C">
      <w:pPr>
        <w:spacing w:line="480" w:lineRule="auto"/>
        <w:ind w:right="107"/>
        <w:jc w:val="both"/>
        <w:rPr>
          <w:sz w:val="24"/>
          <w:szCs w:val="24"/>
        </w:rPr>
      </w:pPr>
      <w:r>
        <w:rPr>
          <w:sz w:val="24"/>
          <w:szCs w:val="24"/>
        </w:rPr>
        <w:lastRenderedPageBreak/>
        <w:t xml:space="preserve">As Paterson &amp; Williams (2018) state that there has been a global shift in policing to a more </w:t>
      </w:r>
      <w:proofErr w:type="gramStart"/>
      <w:r>
        <w:rPr>
          <w:sz w:val="24"/>
          <w:szCs w:val="24"/>
        </w:rPr>
        <w:t>victim oriented</w:t>
      </w:r>
      <w:proofErr w:type="gramEnd"/>
      <w:r>
        <w:rPr>
          <w:sz w:val="24"/>
          <w:szCs w:val="24"/>
        </w:rPr>
        <w:t xml:space="preserve"> </w:t>
      </w:r>
      <w:r w:rsidR="00BC1FDD">
        <w:rPr>
          <w:sz w:val="24"/>
          <w:szCs w:val="24"/>
        </w:rPr>
        <w:t xml:space="preserve">policing via the Community Policing model. That the MoJ (2020) seems to aim for when they had set out the rights for victims. Paterson &amp; Williams (2018) goes onto state that Community Policing has become the norm in order to boost the confidence from the Public in Policing. This model puts Citizens and Victims at the core of Policing, rather than Crime Prevention and Law Enforcement which is the historical aim of the Police. </w:t>
      </w:r>
    </w:p>
    <w:p w14:paraId="41C0A059" w14:textId="77777777" w:rsidR="00B93C05" w:rsidRDefault="00B93C05" w:rsidP="00CF211C">
      <w:pPr>
        <w:spacing w:line="480" w:lineRule="auto"/>
        <w:ind w:right="107"/>
        <w:jc w:val="both"/>
        <w:rPr>
          <w:sz w:val="24"/>
          <w:szCs w:val="24"/>
        </w:rPr>
      </w:pPr>
    </w:p>
    <w:p w14:paraId="0F1422A4" w14:textId="77777777" w:rsidR="00B93C05" w:rsidRDefault="00B93C05" w:rsidP="00CF211C">
      <w:pPr>
        <w:spacing w:line="480" w:lineRule="auto"/>
        <w:ind w:right="107"/>
        <w:jc w:val="both"/>
        <w:rPr>
          <w:sz w:val="24"/>
          <w:szCs w:val="24"/>
        </w:rPr>
      </w:pPr>
    </w:p>
    <w:p w14:paraId="17A4280C" w14:textId="44D1B4DE" w:rsidR="00AA064D" w:rsidRDefault="00B93C05" w:rsidP="00CF211C">
      <w:pPr>
        <w:spacing w:line="480" w:lineRule="auto"/>
        <w:ind w:right="107"/>
        <w:jc w:val="both"/>
        <w:rPr>
          <w:sz w:val="24"/>
          <w:szCs w:val="24"/>
        </w:rPr>
      </w:pPr>
      <w:r>
        <w:rPr>
          <w:sz w:val="24"/>
          <w:szCs w:val="24"/>
        </w:rPr>
        <w:t>The Victim Codes of Practice are evident in most incidents that</w:t>
      </w:r>
      <w:r w:rsidR="00DD2743">
        <w:rPr>
          <w:sz w:val="24"/>
          <w:szCs w:val="24"/>
        </w:rPr>
        <w:t xml:space="preserve"> I have been involved in and has a </w:t>
      </w:r>
      <w:r>
        <w:rPr>
          <w:sz w:val="24"/>
          <w:szCs w:val="24"/>
        </w:rPr>
        <w:t xml:space="preserve">person who </w:t>
      </w:r>
      <w:r w:rsidR="00DD2743">
        <w:rPr>
          <w:sz w:val="24"/>
          <w:szCs w:val="24"/>
        </w:rPr>
        <w:t xml:space="preserve">is classed as </w:t>
      </w:r>
      <w:r>
        <w:rPr>
          <w:sz w:val="24"/>
          <w:szCs w:val="24"/>
        </w:rPr>
        <w:t>a Victim of a Crime.</w:t>
      </w:r>
      <w:r w:rsidR="00AA064D">
        <w:rPr>
          <w:sz w:val="24"/>
          <w:szCs w:val="24"/>
        </w:rPr>
        <w:t xml:space="preserve"> As in every incident we are told to keep the Victims up to date weekly and find out if they wish to make a complaint or not. Which is in line with what the MoJ (2020) and the Victim Codes they had published.</w:t>
      </w:r>
    </w:p>
    <w:p w14:paraId="661D5187" w14:textId="77777777" w:rsidR="00DD2743" w:rsidRDefault="00DD2743" w:rsidP="00CF211C">
      <w:pPr>
        <w:spacing w:line="480" w:lineRule="auto"/>
        <w:ind w:right="107"/>
        <w:jc w:val="both"/>
        <w:rPr>
          <w:sz w:val="24"/>
          <w:szCs w:val="24"/>
        </w:rPr>
      </w:pPr>
    </w:p>
    <w:p w14:paraId="564579E8" w14:textId="3333D273" w:rsidR="00D4537D" w:rsidRDefault="00B93C05" w:rsidP="00CF211C">
      <w:pPr>
        <w:spacing w:line="480" w:lineRule="auto"/>
        <w:ind w:right="107"/>
        <w:jc w:val="both"/>
        <w:rPr>
          <w:sz w:val="24"/>
          <w:szCs w:val="24"/>
        </w:rPr>
      </w:pPr>
      <w:r>
        <w:rPr>
          <w:sz w:val="24"/>
          <w:szCs w:val="24"/>
        </w:rPr>
        <w:t>Where, in an incident</w:t>
      </w:r>
      <w:r w:rsidR="00FB2CD2">
        <w:rPr>
          <w:sz w:val="24"/>
          <w:szCs w:val="24"/>
        </w:rPr>
        <w:t xml:space="preserve"> </w:t>
      </w:r>
      <w:r>
        <w:rPr>
          <w:sz w:val="24"/>
          <w:szCs w:val="24"/>
        </w:rPr>
        <w:t xml:space="preserve">I have been keeping the Victim up to date every week with progress, even if that has been none which as the MoJ (2020) had stated in right six that a Victim has the right to be given details in regards to the investigation where you are given regular updates on the case and decisions on what they wish to do about certain aspects within the case, such as making a formal complaint and thus giving a statement. </w:t>
      </w:r>
      <w:r w:rsidR="00D4537D">
        <w:rPr>
          <w:sz w:val="24"/>
          <w:szCs w:val="24"/>
        </w:rPr>
        <w:t xml:space="preserve">Which, in the incident I am referring to, I had given them the option on if they wanted to make a formal complaint where they didn’t, as they wished to resolve it without feeling the need to go down the path of supporting prosecution. However, after a few weeks of being patient they had changed their mind due to the lack of evidence to support the case. However, were kept up to date weekly by myself. Which is in line with the Codes of Practice delivered by the MoJ (2020). </w:t>
      </w:r>
    </w:p>
    <w:p w14:paraId="2EE8F034" w14:textId="77777777" w:rsidR="002D2F03" w:rsidRDefault="002D2F03" w:rsidP="00CF211C">
      <w:pPr>
        <w:spacing w:line="480" w:lineRule="auto"/>
        <w:ind w:right="107"/>
        <w:jc w:val="both"/>
        <w:rPr>
          <w:sz w:val="24"/>
          <w:szCs w:val="24"/>
        </w:rPr>
      </w:pPr>
    </w:p>
    <w:p w14:paraId="0C0CC446" w14:textId="0CBCCCC8" w:rsidR="00DB2C41" w:rsidRDefault="00953693" w:rsidP="00CF211C">
      <w:pPr>
        <w:spacing w:line="480" w:lineRule="auto"/>
        <w:ind w:right="107"/>
        <w:jc w:val="both"/>
        <w:rPr>
          <w:sz w:val="24"/>
          <w:szCs w:val="24"/>
        </w:rPr>
      </w:pPr>
      <w:r>
        <w:rPr>
          <w:sz w:val="24"/>
          <w:szCs w:val="24"/>
        </w:rPr>
        <w:lastRenderedPageBreak/>
        <w:t>Another example of this is where an incident had taken place two days prior and had a response, however when another service had found out had reported it again to Police. Where when me and my colleague had attended, we had offered to refer the person onto specific services, such as the Victim Fraud and placing a Public Protection Notification in amongst others, which the Victim had given us consent to do. Which as the MoJ (2020) has listed under Right 4 for a Victim, to be referred to tailored services to their needs</w:t>
      </w:r>
      <w:r w:rsidR="00AB1ED5">
        <w:rPr>
          <w:sz w:val="24"/>
          <w:szCs w:val="24"/>
        </w:rPr>
        <w:t>. Even though they were already referred days prior, due to another report and an extension to the incident another referral could be made for them</w:t>
      </w:r>
      <w:r>
        <w:rPr>
          <w:sz w:val="24"/>
          <w:szCs w:val="24"/>
        </w:rPr>
        <w:t xml:space="preserve">. </w:t>
      </w:r>
    </w:p>
    <w:p w14:paraId="08C22F3A" w14:textId="77777777" w:rsidR="00DB2C41" w:rsidRDefault="00DB2C41" w:rsidP="00CF211C">
      <w:pPr>
        <w:spacing w:line="480" w:lineRule="auto"/>
        <w:ind w:right="107"/>
        <w:jc w:val="both"/>
        <w:rPr>
          <w:sz w:val="24"/>
          <w:szCs w:val="24"/>
        </w:rPr>
      </w:pPr>
    </w:p>
    <w:p w14:paraId="3ED986FA" w14:textId="77777777" w:rsidR="005341AF" w:rsidRDefault="005341AF" w:rsidP="00CF211C">
      <w:pPr>
        <w:spacing w:line="480" w:lineRule="auto"/>
        <w:ind w:right="107"/>
        <w:jc w:val="both"/>
        <w:rPr>
          <w:sz w:val="24"/>
          <w:szCs w:val="24"/>
        </w:rPr>
      </w:pPr>
    </w:p>
    <w:p w14:paraId="16FCDC23" w14:textId="77777777" w:rsidR="00CF0F17" w:rsidRDefault="002D2F03" w:rsidP="00CF211C">
      <w:pPr>
        <w:spacing w:line="480" w:lineRule="auto"/>
        <w:ind w:right="107"/>
        <w:jc w:val="both"/>
        <w:rPr>
          <w:sz w:val="24"/>
          <w:szCs w:val="24"/>
        </w:rPr>
      </w:pPr>
      <w:r>
        <w:rPr>
          <w:sz w:val="24"/>
          <w:szCs w:val="24"/>
        </w:rPr>
        <w:t xml:space="preserve">Lindholt (2003) </w:t>
      </w:r>
      <w:r w:rsidR="00BD5417">
        <w:rPr>
          <w:sz w:val="24"/>
          <w:szCs w:val="24"/>
        </w:rPr>
        <w:t xml:space="preserve">highlights that the Police are a key attribute to the protection of Human Rights. Where he references that </w:t>
      </w:r>
      <w:r w:rsidR="00CF0F17">
        <w:rPr>
          <w:sz w:val="24"/>
          <w:szCs w:val="24"/>
        </w:rPr>
        <w:t xml:space="preserve">in Africa there have been a number of prevalent Human Rights Violations in Countries that are transitioning from a One-Party state to a more Democratic Regime. </w:t>
      </w:r>
    </w:p>
    <w:p w14:paraId="7C8A8C2A" w14:textId="77777777" w:rsidR="00CF0F17" w:rsidRDefault="00CF0F17" w:rsidP="00CF211C">
      <w:pPr>
        <w:spacing w:line="480" w:lineRule="auto"/>
        <w:ind w:right="107"/>
        <w:jc w:val="both"/>
        <w:rPr>
          <w:sz w:val="24"/>
          <w:szCs w:val="24"/>
        </w:rPr>
      </w:pPr>
    </w:p>
    <w:p w14:paraId="58028874" w14:textId="77777777" w:rsidR="009D673D" w:rsidRDefault="00CF0F17" w:rsidP="00CF211C">
      <w:pPr>
        <w:spacing w:line="480" w:lineRule="auto"/>
        <w:ind w:right="107"/>
        <w:jc w:val="both"/>
        <w:rPr>
          <w:sz w:val="24"/>
          <w:szCs w:val="24"/>
        </w:rPr>
      </w:pPr>
      <w:r>
        <w:rPr>
          <w:sz w:val="24"/>
          <w:szCs w:val="24"/>
        </w:rPr>
        <w:t xml:space="preserve">This is shown in an Incident where I had attended where the Family had </w:t>
      </w:r>
      <w:proofErr w:type="gramStart"/>
      <w:r>
        <w:rPr>
          <w:sz w:val="24"/>
          <w:szCs w:val="24"/>
        </w:rPr>
        <w:t>came</w:t>
      </w:r>
      <w:proofErr w:type="gramEnd"/>
      <w:r>
        <w:rPr>
          <w:sz w:val="24"/>
          <w:szCs w:val="24"/>
        </w:rPr>
        <w:t xml:space="preserve"> from a Country like such and when the Subject was being arrested, was under the belief we would treat them like they would have been treated in their own country that had worse conditions, as highlighted by Lindholt (2003)</w:t>
      </w:r>
      <w:r w:rsidR="00887934">
        <w:rPr>
          <w:sz w:val="24"/>
          <w:szCs w:val="24"/>
        </w:rPr>
        <w:t xml:space="preserve"> and the lack of protection from Police in regards to Human Rights.</w:t>
      </w:r>
      <w:r w:rsidR="005A6170">
        <w:rPr>
          <w:sz w:val="24"/>
          <w:szCs w:val="24"/>
        </w:rPr>
        <w:t xml:space="preserve"> During this incident, we had to ensure our explanation was fit when trying to explain to them why they were being arrested due to a language barrier between us as they didn’t understand English to the same level. However, did not require a translation or interpretation service. </w:t>
      </w:r>
    </w:p>
    <w:p w14:paraId="620CC916" w14:textId="77777777" w:rsidR="009D673D" w:rsidRDefault="009D673D" w:rsidP="00CF211C">
      <w:pPr>
        <w:spacing w:line="480" w:lineRule="auto"/>
        <w:ind w:right="107"/>
        <w:jc w:val="both"/>
        <w:rPr>
          <w:sz w:val="24"/>
          <w:szCs w:val="24"/>
        </w:rPr>
      </w:pPr>
    </w:p>
    <w:p w14:paraId="5C718581" w14:textId="7439A21B" w:rsidR="002D2F03" w:rsidRDefault="005A6170" w:rsidP="00CF211C">
      <w:pPr>
        <w:spacing w:line="480" w:lineRule="auto"/>
        <w:ind w:right="107"/>
        <w:jc w:val="both"/>
        <w:rPr>
          <w:sz w:val="24"/>
          <w:szCs w:val="24"/>
        </w:rPr>
      </w:pPr>
      <w:r>
        <w:rPr>
          <w:sz w:val="24"/>
          <w:szCs w:val="24"/>
        </w:rPr>
        <w:lastRenderedPageBreak/>
        <w:t>The same happened with the Victim, where they didn’t quite understand some of the words we used where me and my colleague had to rephrase certain terms used, especially in forms that we had to fill out with input from the Victim.</w:t>
      </w:r>
      <w:r w:rsidR="00814FED">
        <w:rPr>
          <w:sz w:val="24"/>
          <w:szCs w:val="24"/>
        </w:rPr>
        <w:t xml:space="preserve"> That as Stalder (2019) had said, language choice can make a difference with how people interact and participate with one another. As the choice in what language is used when talking can have a positive effect on interaction with people</w:t>
      </w:r>
      <w:r w:rsidR="00302938">
        <w:rPr>
          <w:sz w:val="24"/>
          <w:szCs w:val="24"/>
        </w:rPr>
        <w:t>. Especially when different cultures and language barriers exist which was evident in this incident</w:t>
      </w:r>
      <w:r w:rsidR="00814FED">
        <w:rPr>
          <w:sz w:val="24"/>
          <w:szCs w:val="24"/>
        </w:rPr>
        <w:t xml:space="preserve">. </w:t>
      </w:r>
    </w:p>
    <w:p w14:paraId="1A0EEB63" w14:textId="77777777" w:rsidR="0078624C" w:rsidRDefault="0078624C" w:rsidP="00CF211C">
      <w:pPr>
        <w:spacing w:line="480" w:lineRule="auto"/>
        <w:ind w:right="107"/>
        <w:jc w:val="both"/>
        <w:rPr>
          <w:sz w:val="24"/>
          <w:szCs w:val="24"/>
        </w:rPr>
      </w:pPr>
    </w:p>
    <w:p w14:paraId="1A28548D" w14:textId="77777777" w:rsidR="00B73555" w:rsidRDefault="00B73555" w:rsidP="00CF211C">
      <w:pPr>
        <w:spacing w:line="480" w:lineRule="auto"/>
        <w:ind w:right="107"/>
        <w:jc w:val="both"/>
        <w:rPr>
          <w:sz w:val="24"/>
          <w:szCs w:val="24"/>
        </w:rPr>
      </w:pPr>
    </w:p>
    <w:p w14:paraId="5F24B0DB" w14:textId="325BA5D0" w:rsidR="003947B2" w:rsidRDefault="0078624C" w:rsidP="00CF211C">
      <w:pPr>
        <w:spacing w:line="480" w:lineRule="auto"/>
        <w:ind w:right="107"/>
        <w:jc w:val="both"/>
        <w:rPr>
          <w:sz w:val="24"/>
          <w:szCs w:val="24"/>
        </w:rPr>
      </w:pPr>
      <w:r>
        <w:rPr>
          <w:sz w:val="24"/>
          <w:szCs w:val="24"/>
        </w:rPr>
        <w:t>Heading onto the Prohibition of Torture that as Crawshaw &amp; Holmstrom (2006) had detailed is that police are allowed to use force, including that of Lethal Force. Yet, there is no situation where torture should be used, even lawfully as it is a Crime under international law. Which Article 5 of the Human Rights covers, by outlawing Torture and Degrading treatment</w:t>
      </w:r>
      <w:proofErr w:type="gramStart"/>
      <w:r w:rsidR="009B23A9">
        <w:rPr>
          <w:sz w:val="24"/>
          <w:szCs w:val="24"/>
        </w:rPr>
        <w:t xml:space="preserve">. </w:t>
      </w:r>
      <w:r>
        <w:rPr>
          <w:sz w:val="24"/>
          <w:szCs w:val="24"/>
        </w:rPr>
        <w:t>.</w:t>
      </w:r>
      <w:proofErr w:type="gramEnd"/>
      <w:r w:rsidR="005C7828">
        <w:rPr>
          <w:sz w:val="24"/>
          <w:szCs w:val="24"/>
        </w:rPr>
        <w:t xml:space="preserve"> </w:t>
      </w:r>
    </w:p>
    <w:p w14:paraId="602EB78C" w14:textId="77777777" w:rsidR="003947B2" w:rsidRDefault="003947B2" w:rsidP="00CF211C">
      <w:pPr>
        <w:spacing w:line="480" w:lineRule="auto"/>
        <w:ind w:right="107"/>
        <w:jc w:val="both"/>
        <w:rPr>
          <w:sz w:val="24"/>
          <w:szCs w:val="24"/>
        </w:rPr>
      </w:pPr>
    </w:p>
    <w:p w14:paraId="595C40B4" w14:textId="326C9A76" w:rsidR="0078624C" w:rsidRPr="00270EEB" w:rsidRDefault="003947B2" w:rsidP="00CF211C">
      <w:pPr>
        <w:spacing w:line="480" w:lineRule="auto"/>
        <w:ind w:right="107"/>
        <w:jc w:val="both"/>
        <w:rPr>
          <w:sz w:val="24"/>
          <w:szCs w:val="24"/>
        </w:rPr>
      </w:pPr>
      <w:r>
        <w:rPr>
          <w:sz w:val="24"/>
          <w:szCs w:val="24"/>
        </w:rPr>
        <w:t xml:space="preserve">Where in an incident a while ago, my colleague had handcuffed a Subject and enroute to Custody I had noticed he was in severe pain where we had to pull over and loosen the handcuffs. </w:t>
      </w:r>
      <w:r w:rsidR="00B73555">
        <w:rPr>
          <w:sz w:val="24"/>
          <w:szCs w:val="24"/>
        </w:rPr>
        <w:t xml:space="preserve">That Cramshaw </w:t>
      </w:r>
      <w:r w:rsidR="009B23A9">
        <w:rPr>
          <w:sz w:val="24"/>
          <w:szCs w:val="24"/>
        </w:rPr>
        <w:t xml:space="preserve">and Holmstrom (2006) label that torture is defined as any act that causes a person severe pain, be it to suffer with it or imminent. However, they go onto state that it is only in regards to the seeking of a confession or furthering an investigation, not due to lawful sanctions placed upon a person. In which, when the Subject was </w:t>
      </w:r>
      <w:proofErr w:type="gramStart"/>
      <w:r w:rsidR="009B23A9">
        <w:rPr>
          <w:sz w:val="24"/>
          <w:szCs w:val="24"/>
        </w:rPr>
        <w:t>handcuffed</w:t>
      </w:r>
      <w:proofErr w:type="gramEnd"/>
      <w:r w:rsidR="009B23A9">
        <w:rPr>
          <w:sz w:val="24"/>
          <w:szCs w:val="24"/>
        </w:rPr>
        <w:t xml:space="preserve"> we were not actively seeking information, although it would still be classed as torture under the definition given. </w:t>
      </w:r>
    </w:p>
    <w:p w14:paraId="1967E2A8" w14:textId="77777777" w:rsidR="00025650" w:rsidRPr="00270EEB" w:rsidRDefault="00025650" w:rsidP="00CF211C">
      <w:pPr>
        <w:spacing w:line="480" w:lineRule="auto"/>
        <w:ind w:right="107"/>
        <w:jc w:val="both"/>
        <w:rPr>
          <w:sz w:val="24"/>
          <w:szCs w:val="24"/>
        </w:rPr>
      </w:pPr>
    </w:p>
    <w:p w14:paraId="416EFA95" w14:textId="77777777" w:rsidR="00025650" w:rsidRDefault="00025650" w:rsidP="00CF211C">
      <w:pPr>
        <w:spacing w:line="480" w:lineRule="auto"/>
        <w:ind w:right="107"/>
        <w:jc w:val="both"/>
        <w:rPr>
          <w:sz w:val="24"/>
          <w:szCs w:val="24"/>
        </w:rPr>
      </w:pPr>
    </w:p>
    <w:p w14:paraId="63AF4D5D" w14:textId="7936C668" w:rsidR="001F5046" w:rsidRDefault="001F5046" w:rsidP="00CF211C">
      <w:pPr>
        <w:spacing w:line="480" w:lineRule="auto"/>
        <w:ind w:right="107"/>
        <w:jc w:val="both"/>
        <w:rPr>
          <w:sz w:val="24"/>
          <w:szCs w:val="24"/>
        </w:rPr>
      </w:pPr>
      <w:r>
        <w:rPr>
          <w:sz w:val="24"/>
          <w:szCs w:val="24"/>
        </w:rPr>
        <w:lastRenderedPageBreak/>
        <w:t xml:space="preserve">As Crawshaw &amp; Holmstrom (2006) state that the power to arrest a person are baseline powers of the Police and are required in order to assist in investigations and prevent crime. However, Article 9 of the Human Rights states that no one should be arbitrarily arrested, detained or exiled. As this deprives them of their personal liberty by removing them from society for a period of time. That in an incident a while ago, having transported a person to Hospital where they were committing a Public Order Offence by swearing. Me and my colleague had exhausted all other options in order to try and stop the offence being committed before proceeding on with an arrest, that although warranted wouldn’t </w:t>
      </w:r>
      <w:proofErr w:type="gramStart"/>
      <w:r>
        <w:rPr>
          <w:sz w:val="24"/>
          <w:szCs w:val="24"/>
        </w:rPr>
        <w:t>of</w:t>
      </w:r>
      <w:proofErr w:type="gramEnd"/>
      <w:r>
        <w:rPr>
          <w:sz w:val="24"/>
          <w:szCs w:val="24"/>
        </w:rPr>
        <w:t xml:space="preserve"> helped. However, as Crawshaw and Holmstrom (2006) stated that the power of arrest can also include arresting someone for their own protection and maintaining public order. </w:t>
      </w:r>
    </w:p>
    <w:p w14:paraId="5963952F" w14:textId="77777777" w:rsidR="00C91E43" w:rsidRPr="00270EEB" w:rsidRDefault="00C91E43" w:rsidP="00CF211C">
      <w:pPr>
        <w:spacing w:line="480" w:lineRule="auto"/>
        <w:ind w:right="107"/>
        <w:jc w:val="both"/>
        <w:rPr>
          <w:sz w:val="24"/>
          <w:szCs w:val="24"/>
        </w:rPr>
      </w:pPr>
    </w:p>
    <w:p w14:paraId="598FFEC5" w14:textId="77777777" w:rsidR="00025650" w:rsidRDefault="00025650" w:rsidP="00CF211C">
      <w:pPr>
        <w:spacing w:line="480" w:lineRule="auto"/>
        <w:ind w:right="107"/>
        <w:jc w:val="both"/>
        <w:rPr>
          <w:sz w:val="24"/>
          <w:szCs w:val="24"/>
        </w:rPr>
      </w:pPr>
    </w:p>
    <w:p w14:paraId="641F65BC" w14:textId="17FC8C80" w:rsidR="001F5046" w:rsidRDefault="00C91E43" w:rsidP="00CF211C">
      <w:pPr>
        <w:spacing w:line="480" w:lineRule="auto"/>
        <w:ind w:right="107"/>
        <w:jc w:val="both"/>
        <w:rPr>
          <w:sz w:val="24"/>
          <w:szCs w:val="24"/>
        </w:rPr>
      </w:pPr>
      <w:r>
        <w:rPr>
          <w:sz w:val="24"/>
          <w:szCs w:val="24"/>
        </w:rPr>
        <w:t xml:space="preserve">As Harfield (2014) details that Officers are at times required to search a premise in order to seize evidence or arrest someone. That whilst doing so, Officers must take into considering </w:t>
      </w:r>
      <w:r w:rsidR="00470CDD">
        <w:rPr>
          <w:sz w:val="24"/>
          <w:szCs w:val="24"/>
        </w:rPr>
        <w:t xml:space="preserve">European Human Rights </w:t>
      </w:r>
      <w:r>
        <w:rPr>
          <w:sz w:val="24"/>
          <w:szCs w:val="24"/>
        </w:rPr>
        <w:t>Article 8, that is everyone has a right to a private and family life, alongside a Home and Correspondence being included in such. That no authority should be able to interfere with this right, other than in accordance with the Law</w:t>
      </w:r>
      <w:r w:rsidR="00A66ADA">
        <w:rPr>
          <w:sz w:val="24"/>
          <w:szCs w:val="24"/>
        </w:rPr>
        <w:t xml:space="preserve"> and the safety of the public interest. </w:t>
      </w:r>
      <w:r w:rsidR="00470CDD">
        <w:rPr>
          <w:sz w:val="24"/>
          <w:szCs w:val="24"/>
        </w:rPr>
        <w:t>As Crawshaw et al (2007) and Crawshaw and Holmstrom (2006) label that Article 12, under the United Declaration of Human Rights, that is also Article 8 in the European Human Rights, is the right to Privacy, Family and Home Life and that no person should be able to interfere with this right.</w:t>
      </w:r>
    </w:p>
    <w:p w14:paraId="6DC31F82" w14:textId="77777777" w:rsidR="00172D33" w:rsidRDefault="00172D33" w:rsidP="00CF211C">
      <w:pPr>
        <w:spacing w:line="480" w:lineRule="auto"/>
        <w:ind w:right="107"/>
        <w:jc w:val="both"/>
        <w:rPr>
          <w:sz w:val="24"/>
          <w:szCs w:val="24"/>
        </w:rPr>
      </w:pPr>
    </w:p>
    <w:p w14:paraId="43D15D9F" w14:textId="128E4F57" w:rsidR="00C3341B" w:rsidRDefault="00172D33" w:rsidP="00CF211C">
      <w:pPr>
        <w:spacing w:line="480" w:lineRule="auto"/>
        <w:ind w:right="107"/>
        <w:jc w:val="both"/>
        <w:rPr>
          <w:sz w:val="24"/>
          <w:szCs w:val="24"/>
        </w:rPr>
      </w:pPr>
      <w:r>
        <w:rPr>
          <w:sz w:val="24"/>
          <w:szCs w:val="24"/>
        </w:rPr>
        <w:t xml:space="preserve">Harfield (2014) explains that Section 18(4) of the Police and Criminal Evidence Act gives Officers the authority to search a premise, so long as an Inspector has authorised it and stated what the grounds and nature of the search are. In an incident when I’ve assisted in </w:t>
      </w:r>
      <w:r>
        <w:rPr>
          <w:sz w:val="24"/>
          <w:szCs w:val="24"/>
        </w:rPr>
        <w:lastRenderedPageBreak/>
        <w:t xml:space="preserve">carrying out a Section 18(4) search </w:t>
      </w:r>
      <w:r w:rsidR="00000750">
        <w:rPr>
          <w:sz w:val="24"/>
          <w:szCs w:val="24"/>
        </w:rPr>
        <w:t>on a House where t</w:t>
      </w:r>
      <w:r w:rsidR="000640FE">
        <w:rPr>
          <w:sz w:val="24"/>
          <w:szCs w:val="24"/>
        </w:rPr>
        <w:t>he Victim was still occupying.</w:t>
      </w:r>
      <w:r w:rsidR="00AD6FCF">
        <w:rPr>
          <w:sz w:val="24"/>
          <w:szCs w:val="24"/>
        </w:rPr>
        <w:t xml:space="preserve"> </w:t>
      </w:r>
      <w:r w:rsidR="00BA41B2">
        <w:rPr>
          <w:sz w:val="24"/>
          <w:szCs w:val="24"/>
        </w:rPr>
        <w:t>Where me and my colleague who carried out the search had to go through all possessions in order to find items that were potentially connected to an offence without displacing, damaging or causing too much of an issue for those were still living there and the Subject</w:t>
      </w:r>
      <w:r w:rsidR="005C11F6">
        <w:rPr>
          <w:sz w:val="24"/>
          <w:szCs w:val="24"/>
        </w:rPr>
        <w:t xml:space="preserve"> who was in custody</w:t>
      </w:r>
      <w:r w:rsidR="00BA41B2">
        <w:rPr>
          <w:sz w:val="24"/>
          <w:szCs w:val="24"/>
        </w:rPr>
        <w:t>.</w:t>
      </w:r>
      <w:r w:rsidR="008439BA">
        <w:rPr>
          <w:sz w:val="24"/>
          <w:szCs w:val="24"/>
        </w:rPr>
        <w:t xml:space="preserve"> As Crawshaw &amp; Holmstrom (2006) label that it is widely acknowledged that the duties of Law Enforcement may require them to obtain information that relates to the private life and could be harmful to such. Although go onto state that the information like this should be safeguarded in order to not interfere with their private life and thus not violate the Human Right.</w:t>
      </w:r>
      <w:r w:rsidR="00B763D8">
        <w:rPr>
          <w:sz w:val="24"/>
          <w:szCs w:val="24"/>
        </w:rPr>
        <w:t xml:space="preserve"> </w:t>
      </w:r>
    </w:p>
    <w:p w14:paraId="57D74F30" w14:textId="77777777" w:rsidR="00B763D8" w:rsidRDefault="00B763D8" w:rsidP="00CF211C">
      <w:pPr>
        <w:spacing w:line="480" w:lineRule="auto"/>
        <w:ind w:right="107"/>
        <w:jc w:val="both"/>
        <w:rPr>
          <w:sz w:val="24"/>
          <w:szCs w:val="24"/>
        </w:rPr>
      </w:pPr>
    </w:p>
    <w:p w14:paraId="4C809783" w14:textId="1FACB409" w:rsidR="00B763D8" w:rsidRDefault="00B763D8" w:rsidP="00CF211C">
      <w:pPr>
        <w:spacing w:line="480" w:lineRule="auto"/>
        <w:ind w:right="107"/>
        <w:jc w:val="both"/>
        <w:rPr>
          <w:sz w:val="24"/>
          <w:szCs w:val="24"/>
        </w:rPr>
      </w:pPr>
      <w:r>
        <w:rPr>
          <w:sz w:val="24"/>
          <w:szCs w:val="24"/>
        </w:rPr>
        <w:t>In another incident where another Section 18(4) search had taken place, we had collected a large amount of evidence that as the MoJ (2020) state in their 12 rights. Right 10 states that Victims have the right for their property to be returned or paid for the loss of said property. In which, due to the seizure of the property in this search we were able to return it to the Victim.</w:t>
      </w:r>
    </w:p>
    <w:p w14:paraId="136D52ED" w14:textId="77777777" w:rsidR="005A6170" w:rsidRDefault="005A6170" w:rsidP="00CF211C">
      <w:pPr>
        <w:spacing w:line="480" w:lineRule="auto"/>
        <w:ind w:right="107"/>
        <w:jc w:val="both"/>
        <w:rPr>
          <w:sz w:val="24"/>
          <w:szCs w:val="24"/>
        </w:rPr>
      </w:pPr>
    </w:p>
    <w:p w14:paraId="4A0A80BC" w14:textId="0DF7F0A3" w:rsidR="005A6170" w:rsidRDefault="005A6170" w:rsidP="00CF211C">
      <w:pPr>
        <w:spacing w:line="480" w:lineRule="auto"/>
        <w:ind w:right="107"/>
        <w:jc w:val="both"/>
        <w:rPr>
          <w:sz w:val="24"/>
          <w:szCs w:val="24"/>
        </w:rPr>
      </w:pPr>
    </w:p>
    <w:p w14:paraId="5B31A7E0" w14:textId="550A0A10" w:rsidR="005341AF" w:rsidRDefault="005341AF" w:rsidP="00CF211C">
      <w:pPr>
        <w:spacing w:line="480" w:lineRule="auto"/>
        <w:ind w:right="107"/>
        <w:jc w:val="both"/>
        <w:rPr>
          <w:sz w:val="24"/>
          <w:szCs w:val="24"/>
        </w:rPr>
      </w:pPr>
      <w:r>
        <w:rPr>
          <w:sz w:val="24"/>
          <w:szCs w:val="24"/>
        </w:rPr>
        <w:t xml:space="preserve">As Crawshaw et al (2007) details that Policing in regards to the security of Human Rights, tends to be dependent on the individuals handling the </w:t>
      </w:r>
      <w:proofErr w:type="gramStart"/>
      <w:r>
        <w:rPr>
          <w:sz w:val="24"/>
          <w:szCs w:val="24"/>
        </w:rPr>
        <w:t>day to day</w:t>
      </w:r>
      <w:proofErr w:type="gramEnd"/>
      <w:r>
        <w:rPr>
          <w:sz w:val="24"/>
          <w:szCs w:val="24"/>
        </w:rPr>
        <w:t xml:space="preserve"> duties and their behaviour when interacting with people</w:t>
      </w:r>
      <w:r w:rsidR="005B4A7E">
        <w:rPr>
          <w:sz w:val="24"/>
          <w:szCs w:val="24"/>
        </w:rPr>
        <w:t xml:space="preserve"> which what Lindholt (2003) had stated agrees that it would be an incorrect perception of the Police, that they are an obstacle to the protection of said Human Rights. However, as seen in incidents labelled above, caution is needed to be taken in order to not surpass the boundary of what is a Human Right Violation and acceptable action to be taken when using force or searching.</w:t>
      </w:r>
      <w:r w:rsidR="007D0D43">
        <w:rPr>
          <w:sz w:val="24"/>
          <w:szCs w:val="24"/>
        </w:rPr>
        <w:t xml:space="preserve"> Whilst the MoJ (2020) that displays the </w:t>
      </w:r>
      <w:r w:rsidR="007D0D43">
        <w:rPr>
          <w:sz w:val="24"/>
          <w:szCs w:val="24"/>
        </w:rPr>
        <w:lastRenderedPageBreak/>
        <w:t>Victim Codes takes into account the Human Rights when labelling the rights of the Victim, trying to ensure that the Victim is supported further than just the baseline.</w:t>
      </w:r>
    </w:p>
    <w:p w14:paraId="35E941D1" w14:textId="77777777" w:rsidR="001F5046" w:rsidRDefault="001F5046" w:rsidP="005341AF">
      <w:pPr>
        <w:ind w:right="107"/>
        <w:jc w:val="both"/>
        <w:rPr>
          <w:sz w:val="24"/>
          <w:szCs w:val="24"/>
        </w:rPr>
      </w:pPr>
    </w:p>
    <w:p w14:paraId="59D4583E" w14:textId="77777777" w:rsidR="00B73FA0" w:rsidRDefault="00B73FA0" w:rsidP="005341AF">
      <w:pPr>
        <w:ind w:right="107"/>
        <w:jc w:val="both"/>
        <w:rPr>
          <w:sz w:val="24"/>
          <w:szCs w:val="24"/>
        </w:rPr>
      </w:pPr>
    </w:p>
    <w:p w14:paraId="2F26795B" w14:textId="77777777" w:rsidR="00B73FA0" w:rsidRDefault="00B73FA0" w:rsidP="005341AF">
      <w:pPr>
        <w:ind w:right="107"/>
        <w:jc w:val="both"/>
        <w:rPr>
          <w:sz w:val="24"/>
          <w:szCs w:val="24"/>
        </w:rPr>
      </w:pPr>
    </w:p>
    <w:p w14:paraId="15029EC4" w14:textId="77777777" w:rsidR="00B73FA0" w:rsidRDefault="00B73FA0" w:rsidP="005341AF">
      <w:pPr>
        <w:ind w:right="107"/>
        <w:jc w:val="both"/>
        <w:rPr>
          <w:sz w:val="24"/>
          <w:szCs w:val="24"/>
        </w:rPr>
      </w:pPr>
    </w:p>
    <w:p w14:paraId="15EDB47C" w14:textId="095A7579" w:rsidR="005341AF" w:rsidRPr="00B73FA0" w:rsidRDefault="0049193F" w:rsidP="00E6298B">
      <w:pPr>
        <w:ind w:right="107"/>
        <w:jc w:val="both"/>
        <w:rPr>
          <w:b/>
          <w:bCs/>
          <w:sz w:val="24"/>
          <w:szCs w:val="24"/>
        </w:rPr>
      </w:pPr>
      <w:r w:rsidRPr="00B73FA0">
        <w:rPr>
          <w:b/>
          <w:bCs/>
          <w:sz w:val="24"/>
          <w:szCs w:val="24"/>
        </w:rPr>
        <w:t xml:space="preserve">Word Count: </w:t>
      </w:r>
      <w:r w:rsidR="000C65C7" w:rsidRPr="00B73FA0">
        <w:rPr>
          <w:b/>
          <w:bCs/>
          <w:sz w:val="24"/>
          <w:szCs w:val="24"/>
        </w:rPr>
        <w:t>1706</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2BC10BF8" w14:textId="59726881" w:rsidR="00F2625C" w:rsidRDefault="002A30C8" w:rsidP="00CF211C">
      <w:pPr>
        <w:spacing w:line="480" w:lineRule="auto"/>
        <w:ind w:right="107"/>
        <w:jc w:val="both"/>
        <w:rPr>
          <w:sz w:val="24"/>
          <w:szCs w:val="24"/>
        </w:rPr>
      </w:pPr>
      <w:r>
        <w:rPr>
          <w:sz w:val="24"/>
          <w:szCs w:val="24"/>
        </w:rPr>
        <w:t>As the College of Policing (COP) (2014) state that the National Decision Model (NDM) is able to be used by anyone in the Policing realm and that it structures a rationale of what and why they chose to take a certain action</w:t>
      </w:r>
      <w:r w:rsidR="001E03EC">
        <w:rPr>
          <w:sz w:val="24"/>
          <w:szCs w:val="24"/>
        </w:rPr>
        <w:t xml:space="preserve"> or line of enquiry</w:t>
      </w:r>
      <w:r w:rsidR="00F2625C">
        <w:rPr>
          <w:sz w:val="24"/>
          <w:szCs w:val="24"/>
        </w:rPr>
        <w:t xml:space="preserve">. </w:t>
      </w:r>
      <w:r w:rsidR="006323F8">
        <w:rPr>
          <w:sz w:val="24"/>
          <w:szCs w:val="24"/>
        </w:rPr>
        <w:t>That as Roycroft &amp; Roach (2019) state that the NDM is promoted by the Code of Ethics to be used, due to the fact it allows people to be more questioning when confronting situations and due to the Code of Ethics being embedded, more ethical in their approaches.</w:t>
      </w:r>
    </w:p>
    <w:p w14:paraId="7C47EA76" w14:textId="77777777" w:rsidR="00F2625C" w:rsidRDefault="00F2625C" w:rsidP="00CF211C">
      <w:pPr>
        <w:spacing w:line="480" w:lineRule="auto"/>
        <w:ind w:right="107"/>
        <w:jc w:val="both"/>
        <w:rPr>
          <w:sz w:val="24"/>
          <w:szCs w:val="24"/>
        </w:rPr>
      </w:pPr>
    </w:p>
    <w:p w14:paraId="573074CA" w14:textId="6DFAA155" w:rsidR="00451E5D" w:rsidRDefault="00451E5D" w:rsidP="00CF211C">
      <w:pPr>
        <w:spacing w:line="480" w:lineRule="auto"/>
        <w:ind w:right="107"/>
        <w:jc w:val="both"/>
        <w:rPr>
          <w:sz w:val="24"/>
          <w:szCs w:val="24"/>
        </w:rPr>
      </w:pPr>
    </w:p>
    <w:p w14:paraId="4511E0EA" w14:textId="557EA48F" w:rsidR="00F2625C" w:rsidRDefault="00F2625C" w:rsidP="00CF211C">
      <w:pPr>
        <w:spacing w:line="480" w:lineRule="auto"/>
        <w:ind w:right="107"/>
        <w:jc w:val="both"/>
        <w:rPr>
          <w:sz w:val="24"/>
          <w:szCs w:val="24"/>
        </w:rPr>
      </w:pPr>
      <w:r>
        <w:rPr>
          <w:sz w:val="24"/>
          <w:szCs w:val="24"/>
        </w:rPr>
        <w:t xml:space="preserve">The NDM, as COP (2014) display is made up of six parts. </w:t>
      </w:r>
      <w:r w:rsidR="0079658B">
        <w:rPr>
          <w:sz w:val="24"/>
          <w:szCs w:val="24"/>
        </w:rPr>
        <w:t>The Code of Ethics at the centre, that then branches off to the 5 remaining areas</w:t>
      </w:r>
      <w:r w:rsidR="00F6338E">
        <w:rPr>
          <w:sz w:val="24"/>
          <w:szCs w:val="24"/>
        </w:rPr>
        <w:t>, t</w:t>
      </w:r>
      <w:r w:rsidR="00FA4F00">
        <w:rPr>
          <w:sz w:val="24"/>
          <w:szCs w:val="24"/>
        </w:rPr>
        <w:t>hat as Roycroft &amp; Roach (2019) detail is in order to ensure that Officers are considering the Code of Ethics at each stage of making a decision. COP (2014) states that t</w:t>
      </w:r>
      <w:r w:rsidR="0079658B">
        <w:rPr>
          <w:sz w:val="24"/>
          <w:szCs w:val="24"/>
        </w:rPr>
        <w:t>he first</w:t>
      </w:r>
      <w:r w:rsidR="00FA4F00">
        <w:rPr>
          <w:sz w:val="24"/>
          <w:szCs w:val="24"/>
        </w:rPr>
        <w:t xml:space="preserve"> of the remaining five</w:t>
      </w:r>
      <w:r w:rsidR="0079658B">
        <w:rPr>
          <w:sz w:val="24"/>
          <w:szCs w:val="24"/>
        </w:rPr>
        <w:t xml:space="preserve"> is to gather information and </w:t>
      </w:r>
      <w:r w:rsidR="0079658B">
        <w:rPr>
          <w:sz w:val="24"/>
          <w:szCs w:val="24"/>
        </w:rPr>
        <w:lastRenderedPageBreak/>
        <w:t xml:space="preserve">intelligence at the top, in order to understand what is going on, what has and is currently happening and what more you might need. The second is to Assess the threat and develop a strategy to work forward with, in order to understand if action needs to be taken urgently and what might be causing the situation. The third is to consider the powers and policies we could use, legislation and Policing Powers under legislation. The fourth is to </w:t>
      </w:r>
      <w:r w:rsidR="00731F0C">
        <w:rPr>
          <w:sz w:val="24"/>
          <w:szCs w:val="24"/>
        </w:rPr>
        <w:t xml:space="preserve">identify what options you can take and any backups you require, COP (2014) advises that the option taken should result in the minimal risk of harm to everyone involved.  The fifth is to then take actions and after such review what you did and happened out of it. The cycle can then keep repeating until you get a result that is adequate and satisfactory and can be used for most policing incidents. </w:t>
      </w:r>
      <w:r w:rsidR="00552C43">
        <w:rPr>
          <w:sz w:val="24"/>
          <w:szCs w:val="24"/>
        </w:rPr>
        <w:t>This is further backed up by Roycroft &amp; Roach (2019)</w:t>
      </w:r>
      <w:r w:rsidR="00EB55C1">
        <w:rPr>
          <w:sz w:val="24"/>
          <w:szCs w:val="24"/>
        </w:rPr>
        <w:t xml:space="preserve"> who displays </w:t>
      </w:r>
      <w:r w:rsidR="00094146">
        <w:rPr>
          <w:sz w:val="24"/>
          <w:szCs w:val="24"/>
        </w:rPr>
        <w:t>similar</w:t>
      </w:r>
      <w:r w:rsidR="00EB55C1">
        <w:rPr>
          <w:sz w:val="24"/>
          <w:szCs w:val="24"/>
        </w:rPr>
        <w:t xml:space="preserve"> explanation</w:t>
      </w:r>
      <w:r w:rsidR="00094146">
        <w:rPr>
          <w:sz w:val="24"/>
          <w:szCs w:val="24"/>
        </w:rPr>
        <w:t>s</w:t>
      </w:r>
      <w:r w:rsidR="00EB55C1">
        <w:rPr>
          <w:sz w:val="24"/>
          <w:szCs w:val="24"/>
        </w:rPr>
        <w:t xml:space="preserve"> and </w:t>
      </w:r>
      <w:r w:rsidR="00094146">
        <w:rPr>
          <w:sz w:val="24"/>
          <w:szCs w:val="24"/>
        </w:rPr>
        <w:t xml:space="preserve">the same 6 </w:t>
      </w:r>
      <w:r w:rsidR="00EB55C1">
        <w:rPr>
          <w:sz w:val="24"/>
          <w:szCs w:val="24"/>
        </w:rPr>
        <w:t>points</w:t>
      </w:r>
      <w:r w:rsidR="00552C43">
        <w:rPr>
          <w:sz w:val="24"/>
          <w:szCs w:val="24"/>
        </w:rPr>
        <w:t>.</w:t>
      </w:r>
    </w:p>
    <w:p w14:paraId="3E5A292B" w14:textId="77777777" w:rsidR="00ED5F9F" w:rsidRDefault="00ED5F9F" w:rsidP="00CF211C">
      <w:pPr>
        <w:spacing w:line="480" w:lineRule="auto"/>
        <w:ind w:right="107"/>
        <w:jc w:val="both"/>
        <w:rPr>
          <w:sz w:val="24"/>
          <w:szCs w:val="24"/>
        </w:rPr>
      </w:pPr>
    </w:p>
    <w:p w14:paraId="6A6BCF5F" w14:textId="7EAA8017" w:rsidR="00ED5F9F" w:rsidRDefault="00ED5F9F" w:rsidP="00CF211C">
      <w:pPr>
        <w:spacing w:line="480" w:lineRule="auto"/>
        <w:ind w:right="107"/>
        <w:jc w:val="both"/>
        <w:rPr>
          <w:sz w:val="24"/>
          <w:szCs w:val="24"/>
        </w:rPr>
      </w:pPr>
      <w:r>
        <w:rPr>
          <w:sz w:val="24"/>
          <w:szCs w:val="24"/>
        </w:rPr>
        <w:t xml:space="preserve">As </w:t>
      </w:r>
      <w:proofErr w:type="spellStart"/>
      <w:r w:rsidR="00557DB6">
        <w:rPr>
          <w:sz w:val="24"/>
          <w:szCs w:val="24"/>
        </w:rPr>
        <w:t>Westmarland</w:t>
      </w:r>
      <w:proofErr w:type="spellEnd"/>
      <w:r w:rsidR="00557DB6">
        <w:rPr>
          <w:sz w:val="24"/>
          <w:szCs w:val="24"/>
        </w:rPr>
        <w:t xml:space="preserve"> &amp; Rowe (2018) state that back in 2014 the COP had released a Code of Ethics that Officers were required to follow in which makes it more explicit that Officers were required to report misdemeanours by all, including questioning other Officers that acted unprofessionally. </w:t>
      </w:r>
      <w:r w:rsidR="001E65CA">
        <w:rPr>
          <w:sz w:val="24"/>
          <w:szCs w:val="24"/>
        </w:rPr>
        <w:t xml:space="preserve">The Code of Ethics, were </w:t>
      </w:r>
      <w:r w:rsidR="00BB39AC">
        <w:rPr>
          <w:sz w:val="24"/>
          <w:szCs w:val="24"/>
        </w:rPr>
        <w:t xml:space="preserve">originally </w:t>
      </w:r>
      <w:r w:rsidR="001E65CA">
        <w:rPr>
          <w:sz w:val="24"/>
          <w:szCs w:val="24"/>
        </w:rPr>
        <w:t xml:space="preserve">released by the Committee on Standards in Public Life (CSPL) (1995) in 1995 that outlined the standards of ethics for those working in Public Sector jobs and were expected to follow and abide by. </w:t>
      </w:r>
    </w:p>
    <w:p w14:paraId="76F1054E" w14:textId="77777777" w:rsidR="001E65CA" w:rsidRDefault="001E65CA" w:rsidP="00CF211C">
      <w:pPr>
        <w:spacing w:line="480" w:lineRule="auto"/>
        <w:ind w:right="107"/>
        <w:jc w:val="both"/>
        <w:rPr>
          <w:sz w:val="24"/>
          <w:szCs w:val="24"/>
        </w:rPr>
      </w:pPr>
    </w:p>
    <w:p w14:paraId="2952FD79" w14:textId="7DE1AAD6" w:rsidR="001E65CA" w:rsidRDefault="001E65CA" w:rsidP="00CF211C">
      <w:pPr>
        <w:spacing w:line="480" w:lineRule="auto"/>
        <w:ind w:right="107"/>
        <w:jc w:val="both"/>
        <w:rPr>
          <w:sz w:val="24"/>
          <w:szCs w:val="24"/>
        </w:rPr>
      </w:pPr>
      <w:r>
        <w:rPr>
          <w:sz w:val="24"/>
          <w:szCs w:val="24"/>
        </w:rPr>
        <w:t xml:space="preserve">As the CSPL (1995) set out seven points to the Code of Ethics that are; Selflessness, Objectivity, Accountability, Openness, Honesty and Leadership. Where those who </w:t>
      </w:r>
      <w:proofErr w:type="gramStart"/>
      <w:r>
        <w:rPr>
          <w:sz w:val="24"/>
          <w:szCs w:val="24"/>
        </w:rPr>
        <w:t>held</w:t>
      </w:r>
      <w:proofErr w:type="gramEnd"/>
      <w:r>
        <w:rPr>
          <w:sz w:val="24"/>
          <w:szCs w:val="24"/>
        </w:rPr>
        <w:t xml:space="preserve"> a Public Office were required to act in the interest of the public supporting their wishes and wants, avoid obligations to others that might try to manipulate how they carry out their duties, to take no side and be rationally led when making decisions, to be honest and transparent when making said decisions, to always tell the truth and to ensure they show that they are </w:t>
      </w:r>
      <w:r>
        <w:rPr>
          <w:sz w:val="24"/>
          <w:szCs w:val="24"/>
        </w:rPr>
        <w:lastRenderedPageBreak/>
        <w:t>following these principles so that others might follow in their path</w:t>
      </w:r>
      <w:r w:rsidR="00186C54">
        <w:rPr>
          <w:sz w:val="24"/>
          <w:szCs w:val="24"/>
        </w:rPr>
        <w:t xml:space="preserve"> and do the same.</w:t>
      </w:r>
      <w:r w:rsidR="00C57FDD">
        <w:rPr>
          <w:sz w:val="24"/>
          <w:szCs w:val="24"/>
        </w:rPr>
        <w:t xml:space="preserve"> Whereas COP (2014) display two more points to the Code of Ethics that are listed as Fairness and Respect. Which seems to fall into what the CSPL (1995) were also setting out, but with more specificity in the COP variation that adds on the two points.</w:t>
      </w:r>
    </w:p>
    <w:p w14:paraId="3B2701BD" w14:textId="77777777" w:rsidR="00451E5D" w:rsidRDefault="00451E5D" w:rsidP="00CF211C">
      <w:pPr>
        <w:spacing w:line="480" w:lineRule="auto"/>
        <w:ind w:right="107"/>
        <w:jc w:val="both"/>
        <w:rPr>
          <w:sz w:val="24"/>
          <w:szCs w:val="24"/>
        </w:rPr>
      </w:pPr>
    </w:p>
    <w:p w14:paraId="53C5BB73" w14:textId="1C38CBDB" w:rsidR="001F7218" w:rsidRDefault="001F7218" w:rsidP="00CF211C">
      <w:pPr>
        <w:spacing w:line="480" w:lineRule="auto"/>
        <w:ind w:right="107"/>
        <w:jc w:val="both"/>
        <w:rPr>
          <w:sz w:val="24"/>
          <w:szCs w:val="24"/>
        </w:rPr>
      </w:pPr>
      <w:proofErr w:type="spellStart"/>
      <w:r>
        <w:rPr>
          <w:sz w:val="24"/>
          <w:szCs w:val="24"/>
        </w:rPr>
        <w:t>Westmarland</w:t>
      </w:r>
      <w:proofErr w:type="spellEnd"/>
      <w:r>
        <w:rPr>
          <w:sz w:val="24"/>
          <w:szCs w:val="24"/>
        </w:rPr>
        <w:t xml:space="preserve"> &amp; Rowe (2018) had also stated that the Code of Ethics has been introduced by the COP in order to increase professionalism within the force and that there is a large discrepancy between what Officers consider a breach of the code and not, especially with the use of discretion. </w:t>
      </w:r>
      <w:r w:rsidR="00DD413D">
        <w:rPr>
          <w:sz w:val="24"/>
          <w:szCs w:val="24"/>
        </w:rPr>
        <w:t xml:space="preserve">Which Pearson &amp; Rowe (2020) highlighted that when an Officer is able to patrol without calls coming in, it allows them to handle such issues as lights out on a vehicle or driving too fast, where they can be supplied with words of advice rather than action. </w:t>
      </w:r>
      <w:r w:rsidR="00AE0151">
        <w:rPr>
          <w:sz w:val="24"/>
          <w:szCs w:val="24"/>
        </w:rPr>
        <w:t>Where an Incident a while ago where me and my colleague pulled a car over, as they had a tail light out, due to their attitude which was apologetic and unaware of it. We gave them a verbal warning and told them to get it fixed as soon as possible and let them continue on their way.</w:t>
      </w:r>
    </w:p>
    <w:p w14:paraId="32CF6F73" w14:textId="77777777" w:rsidR="001F7218" w:rsidRDefault="001F7218" w:rsidP="00CF211C">
      <w:pPr>
        <w:spacing w:line="480" w:lineRule="auto"/>
        <w:ind w:right="107"/>
        <w:jc w:val="both"/>
        <w:rPr>
          <w:sz w:val="24"/>
          <w:szCs w:val="24"/>
        </w:rPr>
      </w:pPr>
    </w:p>
    <w:p w14:paraId="4D06A700" w14:textId="3871142F" w:rsidR="001F7218" w:rsidRDefault="001F7218" w:rsidP="00CF211C">
      <w:pPr>
        <w:spacing w:line="480" w:lineRule="auto"/>
        <w:ind w:right="107"/>
        <w:jc w:val="both"/>
        <w:rPr>
          <w:sz w:val="24"/>
          <w:szCs w:val="24"/>
        </w:rPr>
      </w:pPr>
      <w:proofErr w:type="spellStart"/>
      <w:r>
        <w:rPr>
          <w:sz w:val="24"/>
          <w:szCs w:val="24"/>
        </w:rPr>
        <w:t>Westmarland</w:t>
      </w:r>
      <w:proofErr w:type="spellEnd"/>
      <w:r>
        <w:rPr>
          <w:sz w:val="24"/>
          <w:szCs w:val="24"/>
        </w:rPr>
        <w:t xml:space="preserve"> &amp; Rowe (2018) highlight an example of an Officer pulling someone other for speeding but doesn’t issue a ticket and only gives a warning. As this might not be a bad decision on behalf of the Officer if the driver is apologetic or responding to some form of emergency, that plays directly into an incident where me and my colleague had pulled a person over for their erratic driving, where upon us finding out the Driver had a medical situation and was extremely apologetic to </w:t>
      </w:r>
      <w:proofErr w:type="gramStart"/>
      <w:r>
        <w:rPr>
          <w:sz w:val="24"/>
          <w:szCs w:val="24"/>
        </w:rPr>
        <w:t>us</w:t>
      </w:r>
      <w:proofErr w:type="gramEnd"/>
      <w:r>
        <w:rPr>
          <w:sz w:val="24"/>
          <w:szCs w:val="24"/>
        </w:rPr>
        <w:t xml:space="preserve"> we granted them leniency and let them go on their way. </w:t>
      </w:r>
    </w:p>
    <w:p w14:paraId="32C72389" w14:textId="77777777" w:rsidR="00F2625C" w:rsidRDefault="00F2625C" w:rsidP="00CF211C">
      <w:pPr>
        <w:spacing w:line="480" w:lineRule="auto"/>
        <w:ind w:right="107"/>
        <w:jc w:val="both"/>
        <w:rPr>
          <w:sz w:val="24"/>
          <w:szCs w:val="24"/>
        </w:rPr>
      </w:pPr>
    </w:p>
    <w:p w14:paraId="6BD8DEF6" w14:textId="77777777" w:rsidR="00F2625C" w:rsidRDefault="00F2625C" w:rsidP="00CF211C">
      <w:pPr>
        <w:spacing w:line="480" w:lineRule="auto"/>
        <w:ind w:right="107"/>
        <w:jc w:val="both"/>
        <w:rPr>
          <w:sz w:val="24"/>
          <w:szCs w:val="24"/>
        </w:rPr>
      </w:pPr>
    </w:p>
    <w:p w14:paraId="39808309" w14:textId="48CDBD96" w:rsidR="000B44AA" w:rsidRDefault="000B44AA" w:rsidP="00CF211C">
      <w:pPr>
        <w:spacing w:line="480" w:lineRule="auto"/>
        <w:ind w:right="107"/>
        <w:jc w:val="both"/>
        <w:rPr>
          <w:sz w:val="24"/>
          <w:szCs w:val="24"/>
        </w:rPr>
      </w:pPr>
      <w:r>
        <w:rPr>
          <w:sz w:val="24"/>
          <w:szCs w:val="24"/>
        </w:rPr>
        <w:lastRenderedPageBreak/>
        <w:t>In an incident a while ago where I was OIC</w:t>
      </w:r>
      <w:r w:rsidR="009B76C2">
        <w:rPr>
          <w:sz w:val="24"/>
          <w:szCs w:val="24"/>
        </w:rPr>
        <w:t xml:space="preserve"> for where w</w:t>
      </w:r>
      <w:r>
        <w:rPr>
          <w:sz w:val="24"/>
          <w:szCs w:val="24"/>
        </w:rPr>
        <w:t xml:space="preserve">e were outside an address that had two large dogs in and the owners not permitting us entry under Section 17. </w:t>
      </w:r>
      <w:proofErr w:type="gramStart"/>
      <w:r>
        <w:rPr>
          <w:sz w:val="24"/>
          <w:szCs w:val="24"/>
        </w:rPr>
        <w:t>However</w:t>
      </w:r>
      <w:proofErr w:type="gramEnd"/>
      <w:r>
        <w:rPr>
          <w:sz w:val="24"/>
          <w:szCs w:val="24"/>
        </w:rPr>
        <w:t xml:space="preserve"> using the NDM, the Dogs were too much of a risk to the Officers and potentially Public if they managed to leave the premises to force entry. Where we then had to wait for a Dog Unit to attend in order for us to be able to enter with a lower risk from the Dogs, as the Dog Unit could then handle it which is directly applying the NDM as displayed and detailed by COP (2014)</w:t>
      </w:r>
      <w:r w:rsidR="00747F99">
        <w:rPr>
          <w:sz w:val="24"/>
          <w:szCs w:val="24"/>
        </w:rPr>
        <w:t xml:space="preserve"> and Roycroft &amp; Roach (2019)</w:t>
      </w:r>
      <w:r>
        <w:rPr>
          <w:sz w:val="24"/>
          <w:szCs w:val="24"/>
        </w:rPr>
        <w:t>. Where if we had entered prior to the Dog Unit, we didn’t have the tools or training in order to control the dogs in the address and thus was at risk of harming Officers upon entry.</w:t>
      </w:r>
    </w:p>
    <w:p w14:paraId="13BDA142" w14:textId="77777777" w:rsidR="00BD6CDB" w:rsidRDefault="00BD6CDB" w:rsidP="00CF211C">
      <w:pPr>
        <w:spacing w:line="480" w:lineRule="auto"/>
        <w:ind w:right="107"/>
        <w:jc w:val="both"/>
        <w:rPr>
          <w:sz w:val="24"/>
          <w:szCs w:val="24"/>
        </w:rPr>
      </w:pPr>
    </w:p>
    <w:p w14:paraId="7FAA91E0" w14:textId="18A5477E" w:rsidR="000B0737" w:rsidRDefault="000B0737" w:rsidP="00CF211C">
      <w:pPr>
        <w:spacing w:line="480" w:lineRule="auto"/>
        <w:ind w:right="107"/>
        <w:jc w:val="both"/>
        <w:rPr>
          <w:sz w:val="24"/>
          <w:szCs w:val="24"/>
        </w:rPr>
      </w:pPr>
      <w:r>
        <w:rPr>
          <w:sz w:val="24"/>
          <w:szCs w:val="24"/>
        </w:rPr>
        <w:t>In another incident where after having arrested a person and breaking rapport that I had earlier built with the same person they had immediately vividly disliked me for doing so. However, whilst they were acting in a subjective manner. Me and my colleague, following the NDM as detailed by COP (2014)</w:t>
      </w:r>
      <w:r w:rsidR="00625DD7">
        <w:rPr>
          <w:sz w:val="24"/>
          <w:szCs w:val="24"/>
        </w:rPr>
        <w:t xml:space="preserve"> and Roycroft &amp; Roach (2019)</w:t>
      </w:r>
      <w:r>
        <w:rPr>
          <w:sz w:val="24"/>
          <w:szCs w:val="24"/>
        </w:rPr>
        <w:t xml:space="preserve"> had to use force in order to effect an arrest as the Subject had tried to walk out of the room, past my Colleague. Where there was little risk to the public, due to no one else being in the room and other than an open door the risk was minimal. </w:t>
      </w:r>
      <w:proofErr w:type="gramStart"/>
      <w:r>
        <w:rPr>
          <w:sz w:val="24"/>
          <w:szCs w:val="24"/>
        </w:rPr>
        <w:t>So</w:t>
      </w:r>
      <w:proofErr w:type="gramEnd"/>
      <w:r>
        <w:rPr>
          <w:sz w:val="24"/>
          <w:szCs w:val="24"/>
        </w:rPr>
        <w:t xml:space="preserve"> under Section 117 of the Police and Criminal Evidence Act we used minimal and controlled force in order to place handcuffs and escort the Subject into our Police Vehicle. However, following the Code of Ethics</w:t>
      </w:r>
      <w:r w:rsidR="00A63EE7">
        <w:rPr>
          <w:sz w:val="24"/>
          <w:szCs w:val="24"/>
        </w:rPr>
        <w:t xml:space="preserve"> as per listed by CSPL (1995) and COP (2014)</w:t>
      </w:r>
      <w:r>
        <w:rPr>
          <w:sz w:val="24"/>
          <w:szCs w:val="24"/>
        </w:rPr>
        <w:t xml:space="preserve"> I remained objective, fair and respectful towards the Subject even after having arrested them and them being aggressive towards myself</w:t>
      </w:r>
      <w:r w:rsidR="00A63EE7">
        <w:rPr>
          <w:sz w:val="24"/>
          <w:szCs w:val="24"/>
        </w:rPr>
        <w:t>. Making sure to check their welfare whilst enroute to Custody and attempting to explain to them why I had to arrest them</w:t>
      </w:r>
      <w:r>
        <w:rPr>
          <w:sz w:val="24"/>
          <w:szCs w:val="24"/>
        </w:rPr>
        <w:t>.</w:t>
      </w:r>
      <w:r w:rsidR="00994428">
        <w:rPr>
          <w:sz w:val="24"/>
          <w:szCs w:val="24"/>
        </w:rPr>
        <w:t xml:space="preserve"> </w:t>
      </w:r>
    </w:p>
    <w:p w14:paraId="255EF102" w14:textId="77777777" w:rsidR="000B44AA" w:rsidRDefault="000B44AA" w:rsidP="00CF211C">
      <w:pPr>
        <w:spacing w:line="480" w:lineRule="auto"/>
        <w:ind w:right="107"/>
        <w:jc w:val="both"/>
        <w:rPr>
          <w:sz w:val="24"/>
          <w:szCs w:val="24"/>
        </w:rPr>
      </w:pPr>
    </w:p>
    <w:p w14:paraId="1E007E33" w14:textId="77777777" w:rsidR="0035362C" w:rsidRDefault="0035362C" w:rsidP="00CF211C">
      <w:pPr>
        <w:spacing w:line="480" w:lineRule="auto"/>
        <w:ind w:right="107"/>
        <w:jc w:val="both"/>
        <w:rPr>
          <w:sz w:val="24"/>
          <w:szCs w:val="24"/>
        </w:rPr>
      </w:pPr>
    </w:p>
    <w:p w14:paraId="75CD5F2D" w14:textId="68E11571" w:rsidR="004F776B" w:rsidRDefault="00D94AD9" w:rsidP="00CF211C">
      <w:pPr>
        <w:spacing w:line="480" w:lineRule="auto"/>
        <w:ind w:right="107"/>
        <w:jc w:val="both"/>
        <w:rPr>
          <w:sz w:val="24"/>
          <w:szCs w:val="24"/>
        </w:rPr>
      </w:pPr>
      <w:r>
        <w:rPr>
          <w:sz w:val="24"/>
          <w:szCs w:val="24"/>
        </w:rPr>
        <w:lastRenderedPageBreak/>
        <w:t xml:space="preserve">As Bradshaw et al (2023) </w:t>
      </w:r>
      <w:r w:rsidR="00B075DA">
        <w:rPr>
          <w:sz w:val="24"/>
          <w:szCs w:val="24"/>
        </w:rPr>
        <w:t xml:space="preserve">states that the Criminal Procedure and Investigations Act 1996 (CPIA) see it as only informing about disclosure, however it also relates to how investigations are carried out. The legislation informs about the difference between material that should be revealed to the defence and not due to the recent issues of fears that the Police were withholding needed material. The CPIA would thus require those Investigating to provide a list of unused material to the prosecutor who will thus consider what material might need to be then be disclosed to the defence. </w:t>
      </w:r>
      <w:r w:rsidR="00E85B0B">
        <w:rPr>
          <w:sz w:val="24"/>
          <w:szCs w:val="24"/>
        </w:rPr>
        <w:t>The Code also sets out four roles which are key to an investigation, the Officer in Case</w:t>
      </w:r>
      <w:r w:rsidR="002D36B3">
        <w:rPr>
          <w:sz w:val="24"/>
          <w:szCs w:val="24"/>
        </w:rPr>
        <w:t xml:space="preserve"> (OIC)</w:t>
      </w:r>
      <w:r w:rsidR="00E85B0B">
        <w:rPr>
          <w:sz w:val="24"/>
          <w:szCs w:val="24"/>
        </w:rPr>
        <w:t xml:space="preserve"> who is in charge of the investigation, the Investigator who is any person involved in the Investigation, the Persecutor who takes charge of the Criminal Proceedings within the Investigation and then the Disclosure Officer that is only brought in on more serious cases that governs the more sensitive material. </w:t>
      </w:r>
    </w:p>
    <w:p w14:paraId="2173D604" w14:textId="77777777" w:rsidR="002D36B3" w:rsidRDefault="002D36B3" w:rsidP="00CF211C">
      <w:pPr>
        <w:spacing w:line="480" w:lineRule="auto"/>
        <w:ind w:right="107"/>
        <w:jc w:val="both"/>
        <w:rPr>
          <w:sz w:val="24"/>
          <w:szCs w:val="24"/>
        </w:rPr>
      </w:pPr>
    </w:p>
    <w:p w14:paraId="5B8A10DD" w14:textId="4B323190" w:rsidR="00F16DB0" w:rsidRDefault="002D36B3" w:rsidP="00CF211C">
      <w:pPr>
        <w:spacing w:line="480" w:lineRule="auto"/>
        <w:ind w:right="107"/>
        <w:jc w:val="both"/>
        <w:rPr>
          <w:sz w:val="24"/>
          <w:szCs w:val="24"/>
        </w:rPr>
      </w:pPr>
      <w:r>
        <w:rPr>
          <w:sz w:val="24"/>
          <w:szCs w:val="24"/>
        </w:rPr>
        <w:t xml:space="preserve">As Bradshaw et al (2023) states that the CPIA 1996 sets out under Section 22 a number of </w:t>
      </w:r>
      <w:r w:rsidR="005C2640">
        <w:rPr>
          <w:sz w:val="24"/>
          <w:szCs w:val="24"/>
        </w:rPr>
        <w:t>responsibilities</w:t>
      </w:r>
      <w:r>
        <w:rPr>
          <w:sz w:val="24"/>
          <w:szCs w:val="24"/>
        </w:rPr>
        <w:t xml:space="preserve"> that the OIC </w:t>
      </w:r>
      <w:r w:rsidR="005C2640">
        <w:rPr>
          <w:sz w:val="24"/>
          <w:szCs w:val="24"/>
        </w:rPr>
        <w:t xml:space="preserve">is responsible for ensuring. These responsibilities are in regards to the Recording, Retention, Reviewing and Revealing of Relevant Material that has </w:t>
      </w:r>
      <w:r w:rsidR="006C3FA1">
        <w:rPr>
          <w:sz w:val="24"/>
          <w:szCs w:val="24"/>
        </w:rPr>
        <w:t xml:space="preserve">influence </w:t>
      </w:r>
      <w:r w:rsidR="005C2640">
        <w:rPr>
          <w:sz w:val="24"/>
          <w:szCs w:val="24"/>
        </w:rPr>
        <w:t>on the Investigation.</w:t>
      </w:r>
      <w:r w:rsidR="00F16DB0">
        <w:rPr>
          <w:sz w:val="24"/>
          <w:szCs w:val="24"/>
        </w:rPr>
        <w:t xml:space="preserve"> That as the MoJ (2015) backs up by stating that Material that may be relevant to the investigation much be recorded in any manner possible and retained.</w:t>
      </w:r>
    </w:p>
    <w:p w14:paraId="38A3CE2E" w14:textId="77777777" w:rsidR="00F16DB0" w:rsidRDefault="00F16DB0" w:rsidP="00CF211C">
      <w:pPr>
        <w:spacing w:line="480" w:lineRule="auto"/>
        <w:ind w:right="107"/>
        <w:jc w:val="both"/>
        <w:rPr>
          <w:sz w:val="24"/>
          <w:szCs w:val="24"/>
        </w:rPr>
      </w:pPr>
    </w:p>
    <w:p w14:paraId="5FECC834" w14:textId="5DC89468" w:rsidR="002D36B3" w:rsidRDefault="00F16DB0" w:rsidP="00CF211C">
      <w:pPr>
        <w:spacing w:line="480" w:lineRule="auto"/>
        <w:ind w:right="107"/>
        <w:jc w:val="both"/>
        <w:rPr>
          <w:sz w:val="24"/>
          <w:szCs w:val="24"/>
        </w:rPr>
      </w:pPr>
      <w:r>
        <w:rPr>
          <w:sz w:val="24"/>
          <w:szCs w:val="24"/>
        </w:rPr>
        <w:t>The MoJ (2015) and Bradshaw et al (2023) mention that the following material must be gathered and kept; Crime Reports, Custody Records, Records from Telephone Recordings, Witness Statements, Exhibits mentioned in statements, Interview Records, Communications between Police and Experts, Records of the First Description of any Suspects and any Material that could cast doubt on a Witness being reliable.</w:t>
      </w:r>
      <w:r w:rsidR="00C17958">
        <w:rPr>
          <w:sz w:val="24"/>
          <w:szCs w:val="24"/>
        </w:rPr>
        <w:t xml:space="preserve"> </w:t>
      </w:r>
      <w:r w:rsidR="00CD751F">
        <w:rPr>
          <w:sz w:val="24"/>
          <w:szCs w:val="24"/>
        </w:rPr>
        <w:t xml:space="preserve">MoJ (2015) then outlines that this should then be kept for at least Six Months from the date that the Suspect is convicted or is released from Custody. </w:t>
      </w:r>
    </w:p>
    <w:p w14:paraId="22EC3C2A" w14:textId="77777777" w:rsidR="00511E87" w:rsidRDefault="00511E87" w:rsidP="00CF211C">
      <w:pPr>
        <w:spacing w:line="480" w:lineRule="auto"/>
        <w:ind w:right="107"/>
        <w:jc w:val="both"/>
        <w:rPr>
          <w:sz w:val="24"/>
          <w:szCs w:val="24"/>
        </w:rPr>
      </w:pPr>
    </w:p>
    <w:p w14:paraId="5D506006" w14:textId="77777777" w:rsidR="00511E87" w:rsidRDefault="00511E87" w:rsidP="00CF211C">
      <w:pPr>
        <w:spacing w:line="480" w:lineRule="auto"/>
        <w:ind w:right="107"/>
        <w:jc w:val="both"/>
        <w:rPr>
          <w:sz w:val="24"/>
          <w:szCs w:val="24"/>
        </w:rPr>
      </w:pPr>
    </w:p>
    <w:p w14:paraId="4B0F9B19" w14:textId="5045A241" w:rsidR="00FA11C9" w:rsidRDefault="00474BE4" w:rsidP="00CF211C">
      <w:pPr>
        <w:spacing w:line="480" w:lineRule="auto"/>
        <w:ind w:right="107"/>
        <w:jc w:val="both"/>
        <w:rPr>
          <w:sz w:val="24"/>
          <w:szCs w:val="24"/>
        </w:rPr>
      </w:pPr>
      <w:r>
        <w:rPr>
          <w:sz w:val="24"/>
          <w:szCs w:val="24"/>
        </w:rPr>
        <w:t xml:space="preserve">In the earlier incident I had recorded a Witness statement on my phone in which led us to search and use Section 17. Where I recorded and retained the Witness Statement on our Computer Systems, following my duties as OIC and an Investigator under the CPIA as per explained by both MoJ (2015) and Bradshaw et al (2023). </w:t>
      </w:r>
      <w:r w:rsidR="00FA11C9">
        <w:rPr>
          <w:sz w:val="24"/>
          <w:szCs w:val="24"/>
        </w:rPr>
        <w:t xml:space="preserve">Further to that, I have also had to build a case file in which I have to list all disclosable material in a form. In which by evaluating all material to check for relevancy I have then listed it on the Disclosure to the Prosecutor in the Case file as per the CPIA sets out the role of the OIC in MoJ (2015) and Bradshaw et al (2023). </w:t>
      </w:r>
    </w:p>
    <w:p w14:paraId="3F48B670" w14:textId="77777777" w:rsidR="00451E5D" w:rsidRDefault="00451E5D" w:rsidP="00CF211C">
      <w:pPr>
        <w:spacing w:line="480" w:lineRule="auto"/>
        <w:ind w:right="107"/>
        <w:jc w:val="both"/>
        <w:rPr>
          <w:sz w:val="24"/>
          <w:szCs w:val="24"/>
        </w:rPr>
      </w:pPr>
    </w:p>
    <w:p w14:paraId="0012F300" w14:textId="77777777" w:rsidR="00451E5D" w:rsidRDefault="00451E5D" w:rsidP="00CF211C">
      <w:pPr>
        <w:spacing w:line="480" w:lineRule="auto"/>
        <w:ind w:right="107"/>
        <w:jc w:val="both"/>
        <w:rPr>
          <w:sz w:val="24"/>
          <w:szCs w:val="24"/>
        </w:rPr>
      </w:pPr>
    </w:p>
    <w:p w14:paraId="5BE1146D" w14:textId="37AFA4B8" w:rsidR="001F7218" w:rsidRDefault="00F2625C" w:rsidP="00CF211C">
      <w:pPr>
        <w:spacing w:line="480" w:lineRule="auto"/>
        <w:ind w:right="107"/>
        <w:jc w:val="both"/>
        <w:rPr>
          <w:sz w:val="24"/>
          <w:szCs w:val="24"/>
        </w:rPr>
      </w:pPr>
      <w:r>
        <w:rPr>
          <w:sz w:val="24"/>
          <w:szCs w:val="24"/>
        </w:rPr>
        <w:t xml:space="preserve">Whilst in incidents where speed of necessary COP (2014) admits that the NDM may fall short due to the need to focus on a </w:t>
      </w:r>
      <w:proofErr w:type="gramStart"/>
      <w:r>
        <w:rPr>
          <w:sz w:val="24"/>
          <w:szCs w:val="24"/>
        </w:rPr>
        <w:t>step by step</w:t>
      </w:r>
      <w:proofErr w:type="gramEnd"/>
      <w:r>
        <w:rPr>
          <w:sz w:val="24"/>
          <w:szCs w:val="24"/>
        </w:rPr>
        <w:t xml:space="preserve"> basis within the NDM.</w:t>
      </w:r>
      <w:r w:rsidR="00196BC1">
        <w:rPr>
          <w:sz w:val="24"/>
          <w:szCs w:val="24"/>
        </w:rPr>
        <w:t xml:space="preserve"> </w:t>
      </w:r>
      <w:r w:rsidR="00DD413D">
        <w:rPr>
          <w:sz w:val="24"/>
          <w:szCs w:val="24"/>
        </w:rPr>
        <w:t xml:space="preserve">Pearson &amp; Rowe (2020) pointed out </w:t>
      </w:r>
      <w:r w:rsidR="00AA2224">
        <w:rPr>
          <w:sz w:val="24"/>
          <w:szCs w:val="24"/>
        </w:rPr>
        <w:t xml:space="preserve">that when Officers use discretion is dependent on the shift and factors within their shift and that this may provide why a vehicle is or is not stopped. </w:t>
      </w:r>
      <w:r w:rsidR="00A8795B">
        <w:rPr>
          <w:sz w:val="24"/>
          <w:szCs w:val="24"/>
        </w:rPr>
        <w:t xml:space="preserve">Which when attending a Grade 1 Response, where it requires an emergency response there might not be time to pull a vehicle over when heading </w:t>
      </w:r>
      <w:r w:rsidR="0034162F">
        <w:rPr>
          <w:sz w:val="24"/>
          <w:szCs w:val="24"/>
        </w:rPr>
        <w:t>to the call.</w:t>
      </w:r>
    </w:p>
    <w:p w14:paraId="094A7208" w14:textId="77777777" w:rsidR="001F7218" w:rsidRDefault="001F7218" w:rsidP="00E6298B">
      <w:pPr>
        <w:ind w:right="107"/>
        <w:jc w:val="both"/>
        <w:rPr>
          <w:sz w:val="24"/>
          <w:szCs w:val="24"/>
        </w:rPr>
      </w:pPr>
    </w:p>
    <w:p w14:paraId="6436491C" w14:textId="77777777" w:rsidR="00F2625C" w:rsidRDefault="00F2625C" w:rsidP="00E6298B">
      <w:pPr>
        <w:ind w:right="107"/>
        <w:jc w:val="both"/>
        <w:rPr>
          <w:sz w:val="24"/>
          <w:szCs w:val="24"/>
        </w:rPr>
      </w:pPr>
    </w:p>
    <w:p w14:paraId="084277B7" w14:textId="77777777" w:rsidR="00B73FA0" w:rsidRDefault="00B73FA0" w:rsidP="00E6298B">
      <w:pPr>
        <w:ind w:right="107"/>
        <w:jc w:val="both"/>
        <w:rPr>
          <w:sz w:val="24"/>
          <w:szCs w:val="24"/>
        </w:rPr>
      </w:pPr>
    </w:p>
    <w:p w14:paraId="42A30F1C" w14:textId="77777777" w:rsidR="00B73FA0" w:rsidRDefault="00B73FA0" w:rsidP="00E6298B">
      <w:pPr>
        <w:ind w:right="107"/>
        <w:jc w:val="both"/>
        <w:rPr>
          <w:sz w:val="24"/>
          <w:szCs w:val="24"/>
        </w:rPr>
      </w:pPr>
    </w:p>
    <w:p w14:paraId="5CE6EA59" w14:textId="77777777" w:rsidR="00B73FA0" w:rsidRDefault="00B73FA0" w:rsidP="00E6298B">
      <w:pPr>
        <w:ind w:right="107"/>
        <w:jc w:val="both"/>
        <w:rPr>
          <w:sz w:val="24"/>
          <w:szCs w:val="24"/>
        </w:rPr>
      </w:pPr>
    </w:p>
    <w:p w14:paraId="598FCA9A" w14:textId="77777777" w:rsidR="00B73FA0" w:rsidRDefault="00B73FA0" w:rsidP="00E6298B">
      <w:pPr>
        <w:ind w:right="107"/>
        <w:jc w:val="both"/>
        <w:rPr>
          <w:sz w:val="24"/>
          <w:szCs w:val="24"/>
        </w:rPr>
      </w:pPr>
    </w:p>
    <w:p w14:paraId="15B5E1E3" w14:textId="77777777" w:rsidR="00451E5D" w:rsidRDefault="00451E5D" w:rsidP="00E6298B">
      <w:pPr>
        <w:ind w:right="107"/>
        <w:jc w:val="both"/>
        <w:rPr>
          <w:sz w:val="24"/>
          <w:szCs w:val="24"/>
        </w:rPr>
      </w:pPr>
    </w:p>
    <w:p w14:paraId="585519A4" w14:textId="2A64D3A8" w:rsidR="00025650" w:rsidRPr="00270EEB" w:rsidRDefault="00451E5D" w:rsidP="00E6298B">
      <w:pPr>
        <w:ind w:right="107"/>
        <w:jc w:val="both"/>
        <w:rPr>
          <w:sz w:val="24"/>
          <w:szCs w:val="24"/>
        </w:rPr>
      </w:pPr>
      <w:r w:rsidRPr="00B73FA0">
        <w:rPr>
          <w:b/>
          <w:bCs/>
          <w:sz w:val="24"/>
          <w:szCs w:val="24"/>
        </w:rPr>
        <w:t xml:space="preserve">Word Count: </w:t>
      </w:r>
      <w:r w:rsidR="000515E0" w:rsidRPr="00B73FA0">
        <w:rPr>
          <w:b/>
          <w:bCs/>
          <w:sz w:val="24"/>
          <w:szCs w:val="24"/>
        </w:rPr>
        <w:t>1713</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23A207AC" w:rsidR="043B6711" w:rsidRDefault="043B6711" w:rsidP="1537D0F1">
      <w:pPr>
        <w:ind w:right="107"/>
        <w:jc w:val="both"/>
        <w:rPr>
          <w:sz w:val="24"/>
          <w:szCs w:val="24"/>
        </w:rPr>
      </w:pPr>
      <w:r w:rsidRPr="1537D0F1">
        <w:rPr>
          <w:sz w:val="24"/>
          <w:szCs w:val="24"/>
        </w:rPr>
        <w:t>Independent Patrol Sta</w:t>
      </w:r>
      <w:r w:rsidR="00982DDD">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64C757A" w:rsidR="043B6711" w:rsidRDefault="043B6711" w:rsidP="1537D0F1">
      <w:pPr>
        <w:ind w:right="107"/>
        <w:jc w:val="both"/>
        <w:rPr>
          <w:sz w:val="24"/>
          <w:szCs w:val="24"/>
          <w:highlight w:val="yellow"/>
        </w:rPr>
      </w:pPr>
      <w:r w:rsidRPr="1537D0F1">
        <w:rPr>
          <w:sz w:val="24"/>
          <w:szCs w:val="24"/>
          <w:highlight w:val="yellow"/>
        </w:rPr>
        <w:t>Th</w:t>
      </w:r>
      <w:r w:rsidR="00982DDD">
        <w:rPr>
          <w:sz w:val="24"/>
          <w:szCs w:val="24"/>
          <w:highlight w:val="yellow"/>
        </w:rPr>
        <w:t xml:space="preserve">e completion </w:t>
      </w:r>
      <w:r w:rsidRPr="1537D0F1">
        <w:rPr>
          <w:sz w:val="24"/>
          <w:szCs w:val="24"/>
          <w:highlight w:val="yellow"/>
        </w:rPr>
        <w:t>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sdt>
      <w:sdtPr>
        <w:rPr>
          <w:b w:val="0"/>
          <w:kern w:val="0"/>
          <w:sz w:val="20"/>
        </w:rPr>
        <w:id w:val="1289319354"/>
        <w:docPartObj>
          <w:docPartGallery w:val="Bibliographies"/>
          <w:docPartUnique/>
        </w:docPartObj>
      </w:sdtPr>
      <w:sdtContent>
        <w:p w14:paraId="08C29B61" w14:textId="47E7E5EF" w:rsidR="00FF421E" w:rsidRDefault="00FF421E">
          <w:pPr>
            <w:pStyle w:val="Heading1"/>
          </w:pPr>
          <w:r>
            <w:t>Bibliography</w:t>
          </w:r>
        </w:p>
        <w:sdt>
          <w:sdtPr>
            <w:rPr>
              <w:sz w:val="24"/>
              <w:szCs w:val="24"/>
            </w:rPr>
            <w:id w:val="111145805"/>
            <w:bibliography/>
          </w:sdtPr>
          <w:sdtEndPr>
            <w:rPr>
              <w:sz w:val="20"/>
              <w:szCs w:val="20"/>
            </w:rPr>
          </w:sdtEndPr>
          <w:sdtContent>
            <w:p w14:paraId="73EEF892" w14:textId="77777777" w:rsidR="00751922" w:rsidRPr="00CF211C" w:rsidRDefault="00FF421E" w:rsidP="00CF211C">
              <w:pPr>
                <w:pStyle w:val="Bibliography"/>
                <w:spacing w:line="360" w:lineRule="auto"/>
                <w:rPr>
                  <w:noProof/>
                  <w:sz w:val="24"/>
                  <w:szCs w:val="24"/>
                </w:rPr>
              </w:pPr>
              <w:r w:rsidRPr="00CF211C">
                <w:rPr>
                  <w:sz w:val="24"/>
                  <w:szCs w:val="24"/>
                </w:rPr>
                <w:fldChar w:fldCharType="begin"/>
              </w:r>
              <w:r w:rsidRPr="00CF211C">
                <w:rPr>
                  <w:sz w:val="24"/>
                  <w:szCs w:val="24"/>
                </w:rPr>
                <w:instrText xml:space="preserve"> BIBLIOGRAPHY </w:instrText>
              </w:r>
              <w:r w:rsidRPr="00CF211C">
                <w:rPr>
                  <w:sz w:val="24"/>
                  <w:szCs w:val="24"/>
                </w:rPr>
                <w:fldChar w:fldCharType="separate"/>
              </w:r>
              <w:r w:rsidR="00751922" w:rsidRPr="00CF211C">
                <w:rPr>
                  <w:noProof/>
                  <w:sz w:val="24"/>
                  <w:szCs w:val="24"/>
                </w:rPr>
                <w:t xml:space="preserve">Bowden, W. W., Humphrey, J. H. &amp; Yow, D. A., 2000. </w:t>
              </w:r>
              <w:r w:rsidR="00751922" w:rsidRPr="00CF211C">
                <w:rPr>
                  <w:i/>
                  <w:iCs/>
                  <w:noProof/>
                  <w:sz w:val="24"/>
                  <w:szCs w:val="24"/>
                </w:rPr>
                <w:t xml:space="preserve">Stress in College Athletics. </w:t>
              </w:r>
              <w:r w:rsidR="00751922" w:rsidRPr="00CF211C">
                <w:rPr>
                  <w:noProof/>
                  <w:sz w:val="24"/>
                  <w:szCs w:val="24"/>
                </w:rPr>
                <w:t>Oxfordshire: Taylor &amp; Francis Ltd..</w:t>
              </w:r>
            </w:p>
            <w:p w14:paraId="31C2FE0A"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Boyd, K., Dymond, A., Quinton, P. &amp; Teers, R., 2020. </w:t>
              </w:r>
              <w:r w:rsidRPr="00CF211C">
                <w:rPr>
                  <w:i/>
                  <w:iCs/>
                  <w:noProof/>
                  <w:sz w:val="24"/>
                  <w:szCs w:val="24"/>
                </w:rPr>
                <w:t xml:space="preserve">Police use of force: Tactics, assaults and safety.. </w:t>
              </w:r>
              <w:r w:rsidRPr="00CF211C">
                <w:rPr>
                  <w:noProof/>
                  <w:sz w:val="24"/>
                  <w:szCs w:val="24"/>
                </w:rPr>
                <w:t xml:space="preserve">[Online] </w:t>
              </w:r>
              <w:r w:rsidRPr="00CF211C">
                <w:rPr>
                  <w:noProof/>
                  <w:sz w:val="24"/>
                  <w:szCs w:val="24"/>
                </w:rPr>
                <w:br/>
                <w:t xml:space="preserve">Available at: </w:t>
              </w:r>
              <w:r w:rsidRPr="00CF211C">
                <w:rPr>
                  <w:noProof/>
                  <w:sz w:val="24"/>
                  <w:szCs w:val="24"/>
                  <w:u w:val="single"/>
                </w:rPr>
                <w:t>https://assets.college.police.uk/s3fs-public/2020-09/200818-use-of-force-final-report-1.0.pdf</w:t>
              </w:r>
              <w:r w:rsidRPr="00CF211C">
                <w:rPr>
                  <w:noProof/>
                  <w:sz w:val="24"/>
                  <w:szCs w:val="24"/>
                </w:rPr>
                <w:br/>
                <w:t>[Accessed 30 06 2023].</w:t>
              </w:r>
            </w:p>
            <w:p w14:paraId="209888FF"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Bradshaw, S. et al., 2023. </w:t>
              </w:r>
              <w:r w:rsidRPr="00CF211C">
                <w:rPr>
                  <w:i/>
                  <w:iCs/>
                  <w:noProof/>
                  <w:sz w:val="24"/>
                  <w:szCs w:val="24"/>
                </w:rPr>
                <w:t xml:space="preserve">Blackstone's Handbook for Policing Students. </w:t>
              </w:r>
              <w:r w:rsidRPr="00CF211C">
                <w:rPr>
                  <w:noProof/>
                  <w:sz w:val="24"/>
                  <w:szCs w:val="24"/>
                </w:rPr>
                <w:t>17th ed. Oxford: Oxford University Press.</w:t>
              </w:r>
            </w:p>
            <w:p w14:paraId="16CC5D6E"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College of Policing, 2014. </w:t>
              </w:r>
              <w:r w:rsidRPr="00CF211C">
                <w:rPr>
                  <w:i/>
                  <w:iCs/>
                  <w:noProof/>
                  <w:sz w:val="24"/>
                  <w:szCs w:val="24"/>
                </w:rPr>
                <w:t xml:space="preserve">National decision model. </w:t>
              </w:r>
              <w:r w:rsidRPr="00CF211C">
                <w:rPr>
                  <w:noProof/>
                  <w:sz w:val="24"/>
                  <w:szCs w:val="24"/>
                </w:rPr>
                <w:t xml:space="preserve">[Online] </w:t>
              </w:r>
              <w:r w:rsidRPr="00CF211C">
                <w:rPr>
                  <w:noProof/>
                  <w:sz w:val="24"/>
                  <w:szCs w:val="24"/>
                </w:rPr>
                <w:br/>
                <w:t xml:space="preserve">Available at: </w:t>
              </w:r>
              <w:r w:rsidRPr="00CF211C">
                <w:rPr>
                  <w:noProof/>
                  <w:sz w:val="24"/>
                  <w:szCs w:val="24"/>
                  <w:u w:val="single"/>
                </w:rPr>
                <w:t>https://www.college.police.uk/app/national-decision-model/national-decision-model</w:t>
              </w:r>
              <w:r w:rsidRPr="00CF211C">
                <w:rPr>
                  <w:noProof/>
                  <w:sz w:val="24"/>
                  <w:szCs w:val="24"/>
                </w:rPr>
                <w:br/>
                <w:t>[Accessed 01 07 2023].</w:t>
              </w:r>
            </w:p>
            <w:p w14:paraId="392900AE"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College of Policing, 2020. </w:t>
              </w:r>
              <w:r w:rsidRPr="00CF211C">
                <w:rPr>
                  <w:i/>
                  <w:iCs/>
                  <w:noProof/>
                  <w:sz w:val="24"/>
                  <w:szCs w:val="24"/>
                </w:rPr>
                <w:t xml:space="preserve">Conflict management using de-escalation, communication and negotiation. </w:t>
              </w:r>
              <w:r w:rsidRPr="00CF211C">
                <w:rPr>
                  <w:noProof/>
                  <w:sz w:val="24"/>
                  <w:szCs w:val="24"/>
                </w:rPr>
                <w:t xml:space="preserve">[Online] </w:t>
              </w:r>
              <w:r w:rsidRPr="00CF211C">
                <w:rPr>
                  <w:noProof/>
                  <w:sz w:val="24"/>
                  <w:szCs w:val="24"/>
                </w:rPr>
                <w:br/>
                <w:t xml:space="preserve">Available at: </w:t>
              </w:r>
              <w:r w:rsidRPr="00CF211C">
                <w:rPr>
                  <w:noProof/>
                  <w:sz w:val="24"/>
                  <w:szCs w:val="24"/>
                  <w:u w:val="single"/>
                </w:rPr>
                <w:t>https://assets.college.police.uk/s3fs-public/2020-09/Conflict-management-guidelines.pdf</w:t>
              </w:r>
              <w:r w:rsidRPr="00CF211C">
                <w:rPr>
                  <w:noProof/>
                  <w:sz w:val="24"/>
                  <w:szCs w:val="24"/>
                </w:rPr>
                <w:br/>
                <w:t>[Accessed 30 06 2023].</w:t>
              </w:r>
            </w:p>
            <w:p w14:paraId="750BE421"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Committee on Standards in Public Life, 1995. </w:t>
              </w:r>
              <w:r w:rsidRPr="00CF211C">
                <w:rPr>
                  <w:i/>
                  <w:iCs/>
                  <w:noProof/>
                  <w:sz w:val="24"/>
                  <w:szCs w:val="24"/>
                </w:rPr>
                <w:t xml:space="preserve">The Seven Principles of Public Life. </w:t>
              </w:r>
              <w:r w:rsidRPr="00CF211C">
                <w:rPr>
                  <w:noProof/>
                  <w:sz w:val="24"/>
                  <w:szCs w:val="24"/>
                </w:rPr>
                <w:t xml:space="preserve">[Online] </w:t>
              </w:r>
              <w:r w:rsidRPr="00CF211C">
                <w:rPr>
                  <w:noProof/>
                  <w:sz w:val="24"/>
                  <w:szCs w:val="24"/>
                </w:rPr>
                <w:br/>
                <w:t xml:space="preserve">Available at: </w:t>
              </w:r>
              <w:r w:rsidRPr="00CF211C">
                <w:rPr>
                  <w:noProof/>
                  <w:sz w:val="24"/>
                  <w:szCs w:val="24"/>
                  <w:u w:val="single"/>
                </w:rPr>
                <w:t>https://www.gov.uk/government/publications/the-7-principles-of-public-life/the-7-principles-of-public-life--2</w:t>
              </w:r>
              <w:r w:rsidRPr="00CF211C">
                <w:rPr>
                  <w:noProof/>
                  <w:sz w:val="24"/>
                  <w:szCs w:val="24"/>
                </w:rPr>
                <w:br/>
                <w:t>[Accessed 01 07 2023].</w:t>
              </w:r>
            </w:p>
            <w:p w14:paraId="643BCCC8"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Cooper, C. L., Hughes, R. &amp; Kinder, A., 2018. </w:t>
              </w:r>
              <w:r w:rsidRPr="00CF211C">
                <w:rPr>
                  <w:i/>
                  <w:iCs/>
                  <w:noProof/>
                  <w:sz w:val="24"/>
                  <w:szCs w:val="24"/>
                </w:rPr>
                <w:t xml:space="preserve">The Wellbeing Workout : How to Manage Stress and Develop Resilience. </w:t>
              </w:r>
              <w:r w:rsidRPr="00CF211C">
                <w:rPr>
                  <w:noProof/>
                  <w:sz w:val="24"/>
                  <w:szCs w:val="24"/>
                </w:rPr>
                <w:t>s.l.:Springer International Publishing.</w:t>
              </w:r>
            </w:p>
            <w:p w14:paraId="652C0C2A"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Cooper, G. &amp; Palmer, S., 2007. </w:t>
              </w:r>
              <w:r w:rsidRPr="00CF211C">
                <w:rPr>
                  <w:i/>
                  <w:iCs/>
                  <w:noProof/>
                  <w:sz w:val="24"/>
                  <w:szCs w:val="24"/>
                </w:rPr>
                <w:t xml:space="preserve">How to Deal with Stress. </w:t>
              </w:r>
              <w:r w:rsidRPr="00CF211C">
                <w:rPr>
                  <w:noProof/>
                  <w:sz w:val="24"/>
                  <w:szCs w:val="24"/>
                </w:rPr>
                <w:t>s.l.:Kogan Page Ltd..</w:t>
              </w:r>
            </w:p>
            <w:p w14:paraId="65DB9C98"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Crawshaw, R., Cullen, S. &amp; Williamson, T., 2007. </w:t>
              </w:r>
              <w:r w:rsidRPr="00CF211C">
                <w:rPr>
                  <w:i/>
                  <w:iCs/>
                  <w:noProof/>
                  <w:sz w:val="24"/>
                  <w:szCs w:val="24"/>
                </w:rPr>
                <w:t xml:space="preserve">Human Rights and Policing. </w:t>
              </w:r>
              <w:r w:rsidRPr="00CF211C">
                <w:rPr>
                  <w:noProof/>
                  <w:sz w:val="24"/>
                  <w:szCs w:val="24"/>
                </w:rPr>
                <w:t>2nd ed. s.l.:Martinus Nijhoff.</w:t>
              </w:r>
            </w:p>
            <w:p w14:paraId="35135E4B"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Crawshaw, R. &amp; Holmstrom, L., 2006. </w:t>
              </w:r>
              <w:r w:rsidRPr="00CF211C">
                <w:rPr>
                  <w:i/>
                  <w:iCs/>
                  <w:noProof/>
                  <w:sz w:val="24"/>
                  <w:szCs w:val="24"/>
                </w:rPr>
                <w:t xml:space="preserve">Essential cases on human rights for the police : reviews and summaries of international cases. </w:t>
              </w:r>
              <w:r w:rsidRPr="00CF211C">
                <w:rPr>
                  <w:noProof/>
                  <w:sz w:val="24"/>
                  <w:szCs w:val="24"/>
                </w:rPr>
                <w:t>s.l.:Martinus Nijhoff.</w:t>
              </w:r>
            </w:p>
            <w:p w14:paraId="43152C60" w14:textId="77777777" w:rsidR="00751922" w:rsidRPr="00CF211C" w:rsidRDefault="00751922" w:rsidP="00CF211C">
              <w:pPr>
                <w:pStyle w:val="Bibliography"/>
                <w:spacing w:line="360" w:lineRule="auto"/>
                <w:rPr>
                  <w:noProof/>
                  <w:sz w:val="24"/>
                  <w:szCs w:val="24"/>
                </w:rPr>
              </w:pPr>
              <w:r w:rsidRPr="00CF211C">
                <w:rPr>
                  <w:noProof/>
                  <w:sz w:val="24"/>
                  <w:szCs w:val="24"/>
                </w:rPr>
                <w:lastRenderedPageBreak/>
                <w:t xml:space="preserve">Fitch, B. D., 2016. </w:t>
              </w:r>
              <w:r w:rsidRPr="00CF211C">
                <w:rPr>
                  <w:i/>
                  <w:iCs/>
                  <w:noProof/>
                  <w:sz w:val="24"/>
                  <w:szCs w:val="24"/>
                </w:rPr>
                <w:t xml:space="preserve">Introduction to the IMPACT Principles. </w:t>
              </w:r>
              <w:r w:rsidRPr="00CF211C">
                <w:rPr>
                  <w:noProof/>
                  <w:sz w:val="24"/>
                  <w:szCs w:val="24"/>
                </w:rPr>
                <w:t>s.l.:SAGE Publications.</w:t>
              </w:r>
            </w:p>
            <w:p w14:paraId="1E544382"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Harfield, C., 2014. </w:t>
              </w:r>
              <w:r w:rsidRPr="00CF211C">
                <w:rPr>
                  <w:i/>
                  <w:iCs/>
                  <w:noProof/>
                  <w:sz w:val="24"/>
                  <w:szCs w:val="24"/>
                </w:rPr>
                <w:t xml:space="preserve">Blackstone's Police Operational Handbook: Practice and Procedure. </w:t>
              </w:r>
              <w:r w:rsidRPr="00CF211C">
                <w:rPr>
                  <w:noProof/>
                  <w:sz w:val="24"/>
                  <w:szCs w:val="24"/>
                </w:rPr>
                <w:t>2nd ed. s.l.:Oxford University Press.</w:t>
              </w:r>
            </w:p>
            <w:p w14:paraId="21AE8388"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Harkness, K. L. &amp; Hayden, E. P., 2019. </w:t>
              </w:r>
              <w:r w:rsidRPr="00CF211C">
                <w:rPr>
                  <w:i/>
                  <w:iCs/>
                  <w:noProof/>
                  <w:sz w:val="24"/>
                  <w:szCs w:val="24"/>
                </w:rPr>
                <w:t xml:space="preserve">The Oxford Handbook of Stress and Mental Health. </w:t>
              </w:r>
              <w:r w:rsidRPr="00CF211C">
                <w:rPr>
                  <w:noProof/>
                  <w:sz w:val="24"/>
                  <w:szCs w:val="24"/>
                </w:rPr>
                <w:t>s.l.:Oxford University Press.</w:t>
              </w:r>
            </w:p>
            <w:p w14:paraId="3EF8BFD0"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Javidi, M., Long, L. W. &amp; Normore, A. H., 2016. </w:t>
              </w:r>
              <w:r w:rsidRPr="00CF211C">
                <w:rPr>
                  <w:i/>
                  <w:iCs/>
                  <w:noProof/>
                  <w:sz w:val="24"/>
                  <w:szCs w:val="24"/>
                </w:rPr>
                <w:t xml:space="preserve">Handbook of research on effective communication, leadership, and conflict resolution. </w:t>
              </w:r>
              <w:r w:rsidRPr="00CF211C">
                <w:rPr>
                  <w:noProof/>
                  <w:sz w:val="24"/>
                  <w:szCs w:val="24"/>
                </w:rPr>
                <w:t>s.l.:IGI Global.</w:t>
              </w:r>
            </w:p>
            <w:p w14:paraId="67E36C5F"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Ju-Yu, Y. et al., 2019. Associations Among Resilience, Stress, Depression, and Internet Gaming Disorder in Young Adults.. </w:t>
              </w:r>
              <w:r w:rsidRPr="00CF211C">
                <w:rPr>
                  <w:i/>
                  <w:iCs/>
                  <w:noProof/>
                  <w:sz w:val="24"/>
                  <w:szCs w:val="24"/>
                </w:rPr>
                <w:t xml:space="preserve">International Journal of Environmental Research and Public Health, </w:t>
              </w:r>
              <w:r w:rsidRPr="00CF211C">
                <w:rPr>
                  <w:noProof/>
                  <w:sz w:val="24"/>
                  <w:szCs w:val="24"/>
                </w:rPr>
                <w:t>16(17).</w:t>
              </w:r>
            </w:p>
            <w:p w14:paraId="1AC1623D"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Kilgallon, M. &amp; Wright, M., 2022. </w:t>
              </w:r>
              <w:r w:rsidRPr="00CF211C">
                <w:rPr>
                  <w:i/>
                  <w:iCs/>
                  <w:noProof/>
                  <w:sz w:val="24"/>
                  <w:szCs w:val="24"/>
                </w:rPr>
                <w:t xml:space="preserve">Title:. </w:t>
              </w:r>
              <w:r w:rsidRPr="00CF211C">
                <w:rPr>
                  <w:noProof/>
                  <w:sz w:val="24"/>
                  <w:szCs w:val="24"/>
                </w:rPr>
                <w:t>1st ed. s.l.:Critical Publishing.</w:t>
              </w:r>
            </w:p>
            <w:p w14:paraId="07E27CF4"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Lac, A. &amp; Donaldson, C. D., 2020. Development and Validation of the Drama Triangle Scale: Are You a Victim, Rescuer, or Persecutor?. </w:t>
              </w:r>
              <w:r w:rsidRPr="00CF211C">
                <w:rPr>
                  <w:i/>
                  <w:iCs/>
                  <w:noProof/>
                  <w:sz w:val="24"/>
                  <w:szCs w:val="24"/>
                </w:rPr>
                <w:t xml:space="preserve">Journal of Interpersonal Violence, </w:t>
              </w:r>
              <w:r w:rsidRPr="00CF211C">
                <w:rPr>
                  <w:noProof/>
                  <w:sz w:val="24"/>
                  <w:szCs w:val="24"/>
                </w:rPr>
                <w:t>37(7-8).</w:t>
              </w:r>
            </w:p>
            <w:p w14:paraId="16E0585C"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Lindholt, L., De Mesquita Neto, P., Titus, D. &amp; Alemika, E. E., 2003. </w:t>
              </w:r>
              <w:r w:rsidRPr="00CF211C">
                <w:rPr>
                  <w:i/>
                  <w:iCs/>
                  <w:noProof/>
                  <w:sz w:val="24"/>
                  <w:szCs w:val="24"/>
                </w:rPr>
                <w:t xml:space="preserve">Human Rights and the Police in Transitional Countries. </w:t>
              </w:r>
              <w:r w:rsidRPr="00CF211C">
                <w:rPr>
                  <w:noProof/>
                  <w:sz w:val="24"/>
                  <w:szCs w:val="24"/>
                </w:rPr>
                <w:t>s.l.:Brill &amp; Nijhoff.</w:t>
              </w:r>
            </w:p>
            <w:p w14:paraId="37AA9258"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Lloyd, S. R., 2001. Conflict resolution: Steering clear of the 'drama triangle. </w:t>
              </w:r>
              <w:r w:rsidRPr="00CF211C">
                <w:rPr>
                  <w:i/>
                  <w:iCs/>
                  <w:noProof/>
                  <w:sz w:val="24"/>
                  <w:szCs w:val="24"/>
                </w:rPr>
                <w:t xml:space="preserve">Rural Telecommunications, </w:t>
              </w:r>
              <w:r w:rsidRPr="00CF211C">
                <w:rPr>
                  <w:noProof/>
                  <w:sz w:val="24"/>
                  <w:szCs w:val="24"/>
                </w:rPr>
                <w:t>20(5), p. 30.</w:t>
              </w:r>
            </w:p>
            <w:p w14:paraId="25BD1A67"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Maroney, N. et al., 2019. A Stress-Coping Model of Problem Online Video Game Use. </w:t>
              </w:r>
              <w:r w:rsidRPr="00CF211C">
                <w:rPr>
                  <w:i/>
                  <w:iCs/>
                  <w:noProof/>
                  <w:sz w:val="24"/>
                  <w:szCs w:val="24"/>
                </w:rPr>
                <w:t xml:space="preserve">International journal of mental health and addiction, </w:t>
              </w:r>
              <w:r w:rsidRPr="00CF211C">
                <w:rPr>
                  <w:noProof/>
                  <w:sz w:val="24"/>
                  <w:szCs w:val="24"/>
                </w:rPr>
                <w:t>17(4), pp. 845-858.</w:t>
              </w:r>
            </w:p>
            <w:p w14:paraId="62AAB27D"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Ministry of Justice, 2015. </w:t>
              </w:r>
              <w:r w:rsidRPr="00CF211C">
                <w:rPr>
                  <w:i/>
                  <w:iCs/>
                  <w:noProof/>
                  <w:sz w:val="24"/>
                  <w:szCs w:val="24"/>
                </w:rPr>
                <w:t xml:space="preserve">Criminal Procedure and Investigations Act 1996 (Section 23(1)) - Code of Practice. </w:t>
              </w:r>
              <w:r w:rsidRPr="00CF211C">
                <w:rPr>
                  <w:noProof/>
                  <w:sz w:val="24"/>
                  <w:szCs w:val="24"/>
                </w:rPr>
                <w:t xml:space="preserve">[Online] </w:t>
              </w:r>
              <w:r w:rsidRPr="00CF211C">
                <w:rPr>
                  <w:noProof/>
                  <w:sz w:val="24"/>
                  <w:szCs w:val="24"/>
                </w:rPr>
                <w:br/>
                <w:t xml:space="preserve">Available at: </w:t>
              </w:r>
              <w:r w:rsidRPr="00CF211C">
                <w:rPr>
                  <w:noProof/>
                  <w:sz w:val="24"/>
                  <w:szCs w:val="24"/>
                  <w:u w:val="single"/>
                </w:rPr>
                <w:t>https://assets.publishing.service.gov.uk/government/uploads/system/uploads/attachment_data/file/447967/code-of-practice-approved.pdf</w:t>
              </w:r>
              <w:r w:rsidRPr="00CF211C">
                <w:rPr>
                  <w:noProof/>
                  <w:sz w:val="24"/>
                  <w:szCs w:val="24"/>
                </w:rPr>
                <w:br/>
                <w:t>[Accessed 01 07 2023].</w:t>
              </w:r>
            </w:p>
            <w:p w14:paraId="498E53C7"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Ministry of Justice, 2020. </w:t>
              </w:r>
              <w:r w:rsidRPr="00CF211C">
                <w:rPr>
                  <w:i/>
                  <w:iCs/>
                  <w:noProof/>
                  <w:sz w:val="24"/>
                  <w:szCs w:val="24"/>
                </w:rPr>
                <w:t xml:space="preserve">Code of Practice for Victims of Crime in England and Wales. </w:t>
              </w:r>
              <w:r w:rsidRPr="00CF211C">
                <w:rPr>
                  <w:noProof/>
                  <w:sz w:val="24"/>
                  <w:szCs w:val="24"/>
                </w:rPr>
                <w:t xml:space="preserve">[Online] </w:t>
              </w:r>
              <w:r w:rsidRPr="00CF211C">
                <w:rPr>
                  <w:noProof/>
                  <w:sz w:val="24"/>
                  <w:szCs w:val="24"/>
                </w:rPr>
                <w:br/>
                <w:t xml:space="preserve">Available at: </w:t>
              </w:r>
              <w:r w:rsidRPr="00CF211C">
                <w:rPr>
                  <w:noProof/>
                  <w:sz w:val="24"/>
                  <w:szCs w:val="24"/>
                  <w:u w:val="single"/>
                </w:rPr>
                <w:t>https://assets.publishing.service.gov.uk/government/uploads/system/uploads/attachment_data/file/974376/victims-code-2020.pdf</w:t>
              </w:r>
              <w:r w:rsidRPr="00CF211C">
                <w:rPr>
                  <w:noProof/>
                  <w:sz w:val="24"/>
                  <w:szCs w:val="24"/>
                </w:rPr>
                <w:br/>
                <w:t>[Accessed 01 07 2023].</w:t>
              </w:r>
            </w:p>
            <w:p w14:paraId="7430E87C"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Paterson, C. &amp; Williams, A., 2018. Towards Victim-oriented Police? Some Reflections on the Concept and Purpose of Policing and Their Implications for Victim-oriented Police Reform. </w:t>
              </w:r>
              <w:r w:rsidRPr="00CF211C">
                <w:rPr>
                  <w:i/>
                  <w:iCs/>
                  <w:noProof/>
                  <w:sz w:val="24"/>
                  <w:szCs w:val="24"/>
                </w:rPr>
                <w:t xml:space="preserve">Journal of Victimology and Victim Justice, </w:t>
              </w:r>
              <w:r w:rsidRPr="00CF211C">
                <w:rPr>
                  <w:noProof/>
                  <w:sz w:val="24"/>
                  <w:szCs w:val="24"/>
                </w:rPr>
                <w:t>1(1), pp. 85-101.</w:t>
              </w:r>
            </w:p>
            <w:p w14:paraId="1353CC2B" w14:textId="77777777" w:rsidR="00751922" w:rsidRPr="00CF211C" w:rsidRDefault="00751922" w:rsidP="00CF211C">
              <w:pPr>
                <w:pStyle w:val="Bibliography"/>
                <w:spacing w:line="360" w:lineRule="auto"/>
                <w:rPr>
                  <w:noProof/>
                  <w:sz w:val="24"/>
                  <w:szCs w:val="24"/>
                </w:rPr>
              </w:pPr>
              <w:r w:rsidRPr="00CF211C">
                <w:rPr>
                  <w:noProof/>
                  <w:sz w:val="24"/>
                  <w:szCs w:val="24"/>
                </w:rPr>
                <w:lastRenderedPageBreak/>
                <w:t xml:space="preserve">Pearson, G. &amp; Rowe, M., 2020. </w:t>
              </w:r>
              <w:r w:rsidRPr="00CF211C">
                <w:rPr>
                  <w:i/>
                  <w:iCs/>
                  <w:noProof/>
                  <w:sz w:val="24"/>
                  <w:szCs w:val="24"/>
                </w:rPr>
                <w:t xml:space="preserve">Police Street Powers and Criminal Justice : Regulation and Discretion in a Time of Change. </w:t>
              </w:r>
              <w:r w:rsidRPr="00CF211C">
                <w:rPr>
                  <w:noProof/>
                  <w:sz w:val="24"/>
                  <w:szCs w:val="24"/>
                </w:rPr>
                <w:t>s.l.:Bloomsbury Publishing Plc.</w:t>
              </w:r>
            </w:p>
            <w:p w14:paraId="10CC4F7C"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Roycroft, M. &amp; Roach, J., 2019. </w:t>
              </w:r>
              <w:r w:rsidRPr="00CF211C">
                <w:rPr>
                  <w:i/>
                  <w:iCs/>
                  <w:noProof/>
                  <w:sz w:val="24"/>
                  <w:szCs w:val="24"/>
                </w:rPr>
                <w:t xml:space="preserve">Decision Making in Police Enquiries and Critical Incidents What Really Works?. </w:t>
              </w:r>
              <w:r w:rsidRPr="00CF211C">
                <w:rPr>
                  <w:noProof/>
                  <w:sz w:val="24"/>
                  <w:szCs w:val="24"/>
                </w:rPr>
                <w:t>1st ed. s.l.:Palgrave Macmillan UK.</w:t>
              </w:r>
            </w:p>
            <w:p w14:paraId="091214ED"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Stadler, S., 2019. </w:t>
              </w:r>
              <w:r w:rsidRPr="00CF211C">
                <w:rPr>
                  <w:i/>
                  <w:iCs/>
                  <w:noProof/>
                  <w:sz w:val="24"/>
                  <w:szCs w:val="24"/>
                </w:rPr>
                <w:t xml:space="preserve">Conflict, Culture and Communication. </w:t>
              </w:r>
              <w:r w:rsidRPr="00CF211C">
                <w:rPr>
                  <w:noProof/>
                  <w:sz w:val="24"/>
                  <w:szCs w:val="24"/>
                </w:rPr>
                <w:t>London: Taylor &amp; Francis Ltd.</w:t>
              </w:r>
            </w:p>
            <w:p w14:paraId="15B98983" w14:textId="77777777" w:rsidR="00751922" w:rsidRPr="00CF211C" w:rsidRDefault="00751922" w:rsidP="00CF211C">
              <w:pPr>
                <w:pStyle w:val="Bibliography"/>
                <w:spacing w:line="360" w:lineRule="auto"/>
                <w:rPr>
                  <w:noProof/>
                  <w:sz w:val="24"/>
                  <w:szCs w:val="24"/>
                </w:rPr>
              </w:pPr>
              <w:r w:rsidRPr="00CF211C">
                <w:rPr>
                  <w:noProof/>
                  <w:sz w:val="24"/>
                  <w:szCs w:val="24"/>
                </w:rPr>
                <w:t xml:space="preserve">Westmarland, L. &amp; Rowe, M., 2018. Police ethics and integrity: can a new code overturn the blue code?. </w:t>
              </w:r>
              <w:r w:rsidRPr="00CF211C">
                <w:rPr>
                  <w:i/>
                  <w:iCs/>
                  <w:noProof/>
                  <w:sz w:val="24"/>
                  <w:szCs w:val="24"/>
                </w:rPr>
                <w:t xml:space="preserve">Policing and Society, </w:t>
              </w:r>
              <w:r w:rsidRPr="00CF211C">
                <w:rPr>
                  <w:noProof/>
                  <w:sz w:val="24"/>
                  <w:szCs w:val="24"/>
                </w:rPr>
                <w:t>28(7), pp. 854 - 870.</w:t>
              </w:r>
            </w:p>
            <w:p w14:paraId="2CCFA08C" w14:textId="03B167CD" w:rsidR="00FF421E" w:rsidRDefault="00FF421E" w:rsidP="00CF211C">
              <w:pPr>
                <w:spacing w:line="360" w:lineRule="auto"/>
              </w:pPr>
              <w:r w:rsidRPr="00CF211C">
                <w:rPr>
                  <w:b/>
                  <w:bCs/>
                  <w:noProof/>
                  <w:sz w:val="24"/>
                  <w:szCs w:val="24"/>
                </w:rPr>
                <w:fldChar w:fldCharType="end"/>
              </w:r>
            </w:p>
          </w:sdtContent>
        </w:sdt>
      </w:sdtContent>
    </w:sdt>
    <w:p w14:paraId="5D682BC0" w14:textId="1D606AE3" w:rsidR="00E375DB" w:rsidRDefault="00E375DB" w:rsidP="005E5A51"/>
    <w:p w14:paraId="67963677" w14:textId="6C6F2CB1" w:rsidR="00C96772" w:rsidRPr="00270EEB" w:rsidRDefault="00C96772" w:rsidP="00E375D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950C34B" w:rsidR="641A9DDA" w:rsidRDefault="641A9DDA" w:rsidP="366F6C5C">
      <w:pPr>
        <w:jc w:val="both"/>
        <w:rPr>
          <w:rFonts w:eastAsia="Arial"/>
          <w:noProof/>
          <w:color w:val="000000" w:themeColor="text1"/>
          <w:sz w:val="24"/>
          <w:szCs w:val="24"/>
          <w:highlight w:val="yellow"/>
        </w:rPr>
      </w:pPr>
      <w:r w:rsidRPr="366F6C5C">
        <w:rPr>
          <w:rFonts w:eastAsia="Arial"/>
          <w:color w:val="000000" w:themeColor="text1"/>
          <w:sz w:val="24"/>
          <w:szCs w:val="24"/>
          <w:highlight w:val="yellow"/>
        </w:rPr>
        <w:t>Signed:</w:t>
      </w:r>
      <w:r w:rsidR="00CB095A">
        <w:rPr>
          <w:rFonts w:eastAsia="Arial"/>
          <w:color w:val="000000" w:themeColor="text1"/>
          <w:sz w:val="24"/>
          <w:szCs w:val="24"/>
          <w:highlight w:val="yellow"/>
        </w:rPr>
        <w:t xml:space="preserve"> </w:t>
      </w:r>
      <w:r w:rsidR="00CB095A">
        <w:rPr>
          <w:rFonts w:eastAsia="Arial"/>
          <w:noProof/>
          <w:color w:val="000000" w:themeColor="text1"/>
          <w:sz w:val="24"/>
          <w:szCs w:val="24"/>
          <w:highlight w:val="yellow"/>
        </w:rPr>
        <w:t xml:space="preserve"> </w:t>
      </w:r>
      <w:r w:rsidR="00CB095A">
        <w:rPr>
          <w:rFonts w:eastAsia="Arial"/>
          <w:noProof/>
          <w:color w:val="000000" w:themeColor="text1"/>
          <w:sz w:val="24"/>
          <w:szCs w:val="24"/>
          <w:highlight w:val="yellow"/>
        </w:rPr>
        <w:drawing>
          <wp:inline distT="0" distB="0" distL="0" distR="0" wp14:anchorId="6B3BFF7F" wp14:editId="77C5A4BE">
            <wp:extent cx="2863850" cy="450850"/>
            <wp:effectExtent l="0" t="0" r="0" b="6350"/>
            <wp:docPr id="1436717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63850" cy="450850"/>
                    </a:xfrm>
                    <a:prstGeom prst="rect">
                      <a:avLst/>
                    </a:prstGeom>
                    <a:noFill/>
                    <a:ln>
                      <a:noFill/>
                    </a:ln>
                  </pic:spPr>
                </pic:pic>
              </a:graphicData>
            </a:graphic>
          </wp:inline>
        </w:drawing>
      </w:r>
    </w:p>
    <w:p w14:paraId="43023A85" w14:textId="77777777" w:rsidR="00CB095A" w:rsidRDefault="00CB095A" w:rsidP="366F6C5C">
      <w:pPr>
        <w:jc w:val="both"/>
        <w:rPr>
          <w:rFonts w:eastAsia="Arial"/>
          <w:noProof/>
          <w:color w:val="000000" w:themeColor="text1"/>
          <w:sz w:val="24"/>
          <w:szCs w:val="24"/>
          <w:highlight w:val="yellow"/>
        </w:rPr>
      </w:pPr>
    </w:p>
    <w:p w14:paraId="59687748" w14:textId="4CD20E66" w:rsidR="00CB095A" w:rsidRDefault="00CB095A" w:rsidP="366F6C5C">
      <w:pPr>
        <w:jc w:val="both"/>
        <w:rPr>
          <w:color w:val="000000" w:themeColor="text1"/>
          <w:sz w:val="24"/>
          <w:szCs w:val="24"/>
          <w:highlight w:val="yellow"/>
        </w:rPr>
      </w:pPr>
      <w:r>
        <w:rPr>
          <w:rFonts w:eastAsia="Arial"/>
          <w:noProof/>
          <w:color w:val="000000" w:themeColor="text1"/>
          <w:sz w:val="24"/>
          <w:szCs w:val="24"/>
          <w:highlight w:val="yellow"/>
        </w:rPr>
        <w:t>SEAN HOLMES</w:t>
      </w:r>
    </w:p>
    <w:p w14:paraId="5A951FC3" w14:textId="567E0F34" w:rsidR="641A9DDA" w:rsidRDefault="641A9DDA" w:rsidP="366F6C5C">
      <w:pPr>
        <w:jc w:val="both"/>
        <w:rPr>
          <w:color w:val="000000" w:themeColor="text1"/>
          <w:sz w:val="24"/>
          <w:szCs w:val="24"/>
          <w:highlight w:val="yellow"/>
        </w:rPr>
      </w:pPr>
    </w:p>
    <w:p w14:paraId="0C5B59A2" w14:textId="1CD0659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CB095A">
        <w:rPr>
          <w:rFonts w:eastAsia="Arial"/>
          <w:color w:val="000000" w:themeColor="text1"/>
          <w:sz w:val="24"/>
          <w:szCs w:val="24"/>
          <w:highlight w:val="yellow"/>
        </w:rPr>
        <w:t>01/07/2023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8397C" w14:textId="77777777" w:rsidR="001F0B7D" w:rsidRDefault="001F0B7D">
      <w:r>
        <w:separator/>
      </w:r>
    </w:p>
  </w:endnote>
  <w:endnote w:type="continuationSeparator" w:id="0">
    <w:p w14:paraId="1D230C9F" w14:textId="77777777" w:rsidR="001F0B7D" w:rsidRDefault="001F0B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442F1" w14:textId="77777777" w:rsidR="001F0B7D" w:rsidRDefault="001F0B7D">
      <w:r>
        <w:separator/>
      </w:r>
    </w:p>
  </w:footnote>
  <w:footnote w:type="continuationSeparator" w:id="0">
    <w:p w14:paraId="12D9422C" w14:textId="77777777" w:rsidR="001F0B7D" w:rsidRDefault="001F0B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9740619">
    <w:abstractNumId w:val="38"/>
  </w:num>
  <w:num w:numId="2" w16cid:durableId="724715351">
    <w:abstractNumId w:val="31"/>
  </w:num>
  <w:num w:numId="3" w16cid:durableId="2143844030">
    <w:abstractNumId w:val="23"/>
  </w:num>
  <w:num w:numId="4" w16cid:durableId="1265917472">
    <w:abstractNumId w:val="1"/>
    <w:lvlOverride w:ilvl="0">
      <w:lvl w:ilvl="0">
        <w:start w:val="1"/>
        <w:numFmt w:val="bullet"/>
        <w:lvlText w:val=""/>
        <w:lvlJc w:val="left"/>
        <w:pPr>
          <w:ind w:left="720" w:hanging="360"/>
        </w:pPr>
        <w:rPr>
          <w:rFonts w:ascii="Symbol" w:hAnsi="Symbol" w:hint="default"/>
        </w:rPr>
      </w:lvl>
    </w:lvlOverride>
  </w:num>
  <w:num w:numId="5" w16cid:durableId="570963298">
    <w:abstractNumId w:val="21"/>
  </w:num>
  <w:num w:numId="6" w16cid:durableId="2072269220">
    <w:abstractNumId w:val="45"/>
  </w:num>
  <w:num w:numId="7" w16cid:durableId="1414861831">
    <w:abstractNumId w:val="47"/>
  </w:num>
  <w:num w:numId="8" w16cid:durableId="111825472">
    <w:abstractNumId w:val="34"/>
  </w:num>
  <w:num w:numId="9" w16cid:durableId="609552377">
    <w:abstractNumId w:val="32"/>
  </w:num>
  <w:num w:numId="10" w16cid:durableId="1469472703">
    <w:abstractNumId w:val="28"/>
  </w:num>
  <w:num w:numId="11" w16cid:durableId="1301616414">
    <w:abstractNumId w:val="29"/>
  </w:num>
  <w:num w:numId="12" w16cid:durableId="1937252320">
    <w:abstractNumId w:val="9"/>
  </w:num>
  <w:num w:numId="13" w16cid:durableId="1487432772">
    <w:abstractNumId w:val="33"/>
  </w:num>
  <w:num w:numId="14" w16cid:durableId="1907184047">
    <w:abstractNumId w:val="16"/>
  </w:num>
  <w:num w:numId="15" w16cid:durableId="377169042">
    <w:abstractNumId w:val="15"/>
  </w:num>
  <w:num w:numId="16" w16cid:durableId="1061556926">
    <w:abstractNumId w:val="26"/>
  </w:num>
  <w:num w:numId="17" w16cid:durableId="1058868662">
    <w:abstractNumId w:val="7"/>
  </w:num>
  <w:num w:numId="18" w16cid:durableId="2034643749">
    <w:abstractNumId w:val="25"/>
  </w:num>
  <w:num w:numId="19" w16cid:durableId="736703738">
    <w:abstractNumId w:val="14"/>
  </w:num>
  <w:num w:numId="20" w16cid:durableId="991717064">
    <w:abstractNumId w:val="12"/>
  </w:num>
  <w:num w:numId="21" w16cid:durableId="107875315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28365279">
    <w:abstractNumId w:val="22"/>
  </w:num>
  <w:num w:numId="23" w16cid:durableId="314919598">
    <w:abstractNumId w:val="17"/>
  </w:num>
  <w:num w:numId="24" w16cid:durableId="1608349849">
    <w:abstractNumId w:val="13"/>
  </w:num>
  <w:num w:numId="25" w16cid:durableId="939067304">
    <w:abstractNumId w:val="10"/>
  </w:num>
  <w:num w:numId="26" w16cid:durableId="548151535">
    <w:abstractNumId w:val="27"/>
  </w:num>
  <w:num w:numId="27" w16cid:durableId="1729455831">
    <w:abstractNumId w:val="18"/>
  </w:num>
  <w:num w:numId="28" w16cid:durableId="707486930">
    <w:abstractNumId w:val="41"/>
  </w:num>
  <w:num w:numId="29" w16cid:durableId="2052533664">
    <w:abstractNumId w:val="35"/>
  </w:num>
  <w:num w:numId="30" w16cid:durableId="83113495">
    <w:abstractNumId w:val="40"/>
  </w:num>
  <w:num w:numId="31" w16cid:durableId="1257590030">
    <w:abstractNumId w:val="19"/>
  </w:num>
  <w:num w:numId="32" w16cid:durableId="498429358">
    <w:abstractNumId w:val="43"/>
  </w:num>
  <w:num w:numId="33" w16cid:durableId="1188955010">
    <w:abstractNumId w:val="30"/>
  </w:num>
  <w:num w:numId="34" w16cid:durableId="63768244">
    <w:abstractNumId w:val="11"/>
  </w:num>
  <w:num w:numId="35" w16cid:durableId="736590115">
    <w:abstractNumId w:val="44"/>
  </w:num>
  <w:num w:numId="36" w16cid:durableId="2018921703">
    <w:abstractNumId w:val="39"/>
  </w:num>
  <w:num w:numId="37" w16cid:durableId="336201231">
    <w:abstractNumId w:val="4"/>
  </w:num>
  <w:num w:numId="38" w16cid:durableId="562525269">
    <w:abstractNumId w:val="46"/>
  </w:num>
  <w:num w:numId="39" w16cid:durableId="2099673552">
    <w:abstractNumId w:val="42"/>
  </w:num>
  <w:num w:numId="40" w16cid:durableId="2110345224">
    <w:abstractNumId w:val="36"/>
  </w:num>
  <w:num w:numId="41" w16cid:durableId="261956553">
    <w:abstractNumId w:val="37"/>
  </w:num>
  <w:num w:numId="42" w16cid:durableId="663254">
    <w:abstractNumId w:val="3"/>
  </w:num>
  <w:num w:numId="43" w16cid:durableId="862355139">
    <w:abstractNumId w:val="5"/>
  </w:num>
  <w:num w:numId="44" w16cid:durableId="1427652622">
    <w:abstractNumId w:val="24"/>
  </w:num>
  <w:num w:numId="45" w16cid:durableId="508327792">
    <w:abstractNumId w:val="6"/>
  </w:num>
  <w:num w:numId="46" w16cid:durableId="1428498775">
    <w:abstractNumId w:val="2"/>
  </w:num>
  <w:num w:numId="47" w16cid:durableId="2104570016">
    <w:abstractNumId w:val="0"/>
  </w:num>
  <w:num w:numId="48" w16cid:durableId="1793590484">
    <w:abstractNumId w:val="20"/>
  </w:num>
  <w:num w:numId="49" w16cid:durableId="190043896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750"/>
    <w:rsid w:val="00003990"/>
    <w:rsid w:val="000045B8"/>
    <w:rsid w:val="0001656A"/>
    <w:rsid w:val="00020EEC"/>
    <w:rsid w:val="00025650"/>
    <w:rsid w:val="000257C6"/>
    <w:rsid w:val="00027B1F"/>
    <w:rsid w:val="0003088B"/>
    <w:rsid w:val="00030C81"/>
    <w:rsid w:val="000325D9"/>
    <w:rsid w:val="000372B2"/>
    <w:rsid w:val="0004079F"/>
    <w:rsid w:val="00045B87"/>
    <w:rsid w:val="00045C07"/>
    <w:rsid w:val="00046874"/>
    <w:rsid w:val="000515E0"/>
    <w:rsid w:val="00054483"/>
    <w:rsid w:val="00055D43"/>
    <w:rsid w:val="00056FAC"/>
    <w:rsid w:val="00057751"/>
    <w:rsid w:val="00060DD2"/>
    <w:rsid w:val="00062E39"/>
    <w:rsid w:val="000640FE"/>
    <w:rsid w:val="00070DF3"/>
    <w:rsid w:val="000733B3"/>
    <w:rsid w:val="00074A54"/>
    <w:rsid w:val="00080E58"/>
    <w:rsid w:val="00082668"/>
    <w:rsid w:val="00083D99"/>
    <w:rsid w:val="00084EA6"/>
    <w:rsid w:val="00085699"/>
    <w:rsid w:val="00087891"/>
    <w:rsid w:val="00091F52"/>
    <w:rsid w:val="00092235"/>
    <w:rsid w:val="000926D3"/>
    <w:rsid w:val="00092970"/>
    <w:rsid w:val="00092BC7"/>
    <w:rsid w:val="00093720"/>
    <w:rsid w:val="000938E6"/>
    <w:rsid w:val="00093B3C"/>
    <w:rsid w:val="00094146"/>
    <w:rsid w:val="0009488C"/>
    <w:rsid w:val="00095277"/>
    <w:rsid w:val="00095C1B"/>
    <w:rsid w:val="00096DEA"/>
    <w:rsid w:val="000A4240"/>
    <w:rsid w:val="000A469A"/>
    <w:rsid w:val="000B0737"/>
    <w:rsid w:val="000B1E96"/>
    <w:rsid w:val="000B44AA"/>
    <w:rsid w:val="000C378F"/>
    <w:rsid w:val="000C65C7"/>
    <w:rsid w:val="000C6892"/>
    <w:rsid w:val="000C6FFE"/>
    <w:rsid w:val="000D0BB6"/>
    <w:rsid w:val="000D36E5"/>
    <w:rsid w:val="000D3D8B"/>
    <w:rsid w:val="000E26B0"/>
    <w:rsid w:val="000F1599"/>
    <w:rsid w:val="000F1769"/>
    <w:rsid w:val="000F6196"/>
    <w:rsid w:val="000F7ECD"/>
    <w:rsid w:val="00102BE2"/>
    <w:rsid w:val="00102E64"/>
    <w:rsid w:val="0010312C"/>
    <w:rsid w:val="00106DC7"/>
    <w:rsid w:val="00112391"/>
    <w:rsid w:val="00112751"/>
    <w:rsid w:val="00114F52"/>
    <w:rsid w:val="00115FA7"/>
    <w:rsid w:val="001347F8"/>
    <w:rsid w:val="0013561B"/>
    <w:rsid w:val="00137BB5"/>
    <w:rsid w:val="00137E05"/>
    <w:rsid w:val="00142114"/>
    <w:rsid w:val="001447F6"/>
    <w:rsid w:val="00147DE3"/>
    <w:rsid w:val="00150794"/>
    <w:rsid w:val="001552B7"/>
    <w:rsid w:val="001608C4"/>
    <w:rsid w:val="00171418"/>
    <w:rsid w:val="00172D33"/>
    <w:rsid w:val="00174147"/>
    <w:rsid w:val="00176199"/>
    <w:rsid w:val="00186C54"/>
    <w:rsid w:val="001932C2"/>
    <w:rsid w:val="001933DB"/>
    <w:rsid w:val="001961CF"/>
    <w:rsid w:val="00196BC1"/>
    <w:rsid w:val="001A29E5"/>
    <w:rsid w:val="001A59BB"/>
    <w:rsid w:val="001A6A51"/>
    <w:rsid w:val="001A79C4"/>
    <w:rsid w:val="001B331A"/>
    <w:rsid w:val="001B67DB"/>
    <w:rsid w:val="001B6CB4"/>
    <w:rsid w:val="001C0C77"/>
    <w:rsid w:val="001C0E74"/>
    <w:rsid w:val="001D081B"/>
    <w:rsid w:val="001D229F"/>
    <w:rsid w:val="001D7364"/>
    <w:rsid w:val="001E03EC"/>
    <w:rsid w:val="001E45A9"/>
    <w:rsid w:val="001E65CA"/>
    <w:rsid w:val="001F0B7D"/>
    <w:rsid w:val="001F1A01"/>
    <w:rsid w:val="001F4552"/>
    <w:rsid w:val="001F5046"/>
    <w:rsid w:val="001F5E0E"/>
    <w:rsid w:val="001F7218"/>
    <w:rsid w:val="002019EB"/>
    <w:rsid w:val="002030F2"/>
    <w:rsid w:val="00205051"/>
    <w:rsid w:val="00206319"/>
    <w:rsid w:val="00211F65"/>
    <w:rsid w:val="00214824"/>
    <w:rsid w:val="00220D06"/>
    <w:rsid w:val="00223351"/>
    <w:rsid w:val="002246A0"/>
    <w:rsid w:val="00224AF9"/>
    <w:rsid w:val="00230439"/>
    <w:rsid w:val="00232D1A"/>
    <w:rsid w:val="002333C2"/>
    <w:rsid w:val="00235176"/>
    <w:rsid w:val="00235E20"/>
    <w:rsid w:val="00236061"/>
    <w:rsid w:val="0024100E"/>
    <w:rsid w:val="00241C1B"/>
    <w:rsid w:val="0024288B"/>
    <w:rsid w:val="00245589"/>
    <w:rsid w:val="002526F5"/>
    <w:rsid w:val="0025394E"/>
    <w:rsid w:val="00255D8E"/>
    <w:rsid w:val="002570F5"/>
    <w:rsid w:val="002657E9"/>
    <w:rsid w:val="0026665E"/>
    <w:rsid w:val="00270EEB"/>
    <w:rsid w:val="0027147E"/>
    <w:rsid w:val="002761F4"/>
    <w:rsid w:val="002775E1"/>
    <w:rsid w:val="00277844"/>
    <w:rsid w:val="00277979"/>
    <w:rsid w:val="002808EB"/>
    <w:rsid w:val="00284539"/>
    <w:rsid w:val="00291ADD"/>
    <w:rsid w:val="00294868"/>
    <w:rsid w:val="00295CA1"/>
    <w:rsid w:val="00295CA2"/>
    <w:rsid w:val="0029714F"/>
    <w:rsid w:val="002A291A"/>
    <w:rsid w:val="002A30C8"/>
    <w:rsid w:val="002A5604"/>
    <w:rsid w:val="002B1701"/>
    <w:rsid w:val="002B23C3"/>
    <w:rsid w:val="002B443A"/>
    <w:rsid w:val="002B5730"/>
    <w:rsid w:val="002B5B35"/>
    <w:rsid w:val="002C0ABE"/>
    <w:rsid w:val="002C256A"/>
    <w:rsid w:val="002C496D"/>
    <w:rsid w:val="002D05EB"/>
    <w:rsid w:val="002D2F03"/>
    <w:rsid w:val="002D2F29"/>
    <w:rsid w:val="002D36B3"/>
    <w:rsid w:val="002D67C9"/>
    <w:rsid w:val="002E7017"/>
    <w:rsid w:val="002F4F6E"/>
    <w:rsid w:val="002F5A08"/>
    <w:rsid w:val="003015C3"/>
    <w:rsid w:val="00302938"/>
    <w:rsid w:val="00302A67"/>
    <w:rsid w:val="003071A8"/>
    <w:rsid w:val="0030C684"/>
    <w:rsid w:val="0031350A"/>
    <w:rsid w:val="00313616"/>
    <w:rsid w:val="00316815"/>
    <w:rsid w:val="003168CA"/>
    <w:rsid w:val="00321255"/>
    <w:rsid w:val="0032230D"/>
    <w:rsid w:val="00322A0B"/>
    <w:rsid w:val="00323B5A"/>
    <w:rsid w:val="0032495C"/>
    <w:rsid w:val="00335FC5"/>
    <w:rsid w:val="0034162F"/>
    <w:rsid w:val="003516C0"/>
    <w:rsid w:val="00352E59"/>
    <w:rsid w:val="0035362C"/>
    <w:rsid w:val="00354DBE"/>
    <w:rsid w:val="00355210"/>
    <w:rsid w:val="00365DF9"/>
    <w:rsid w:val="0036745D"/>
    <w:rsid w:val="00372DB4"/>
    <w:rsid w:val="00375AF5"/>
    <w:rsid w:val="003761BD"/>
    <w:rsid w:val="003800DD"/>
    <w:rsid w:val="00385414"/>
    <w:rsid w:val="00390074"/>
    <w:rsid w:val="003947B2"/>
    <w:rsid w:val="0039762B"/>
    <w:rsid w:val="003A0C37"/>
    <w:rsid w:val="003A1B6B"/>
    <w:rsid w:val="003A46C0"/>
    <w:rsid w:val="003A58FE"/>
    <w:rsid w:val="003A600E"/>
    <w:rsid w:val="003A6513"/>
    <w:rsid w:val="003B16C7"/>
    <w:rsid w:val="003B2A14"/>
    <w:rsid w:val="003B5D4A"/>
    <w:rsid w:val="003C19F1"/>
    <w:rsid w:val="003C4186"/>
    <w:rsid w:val="003C458C"/>
    <w:rsid w:val="003C4D7B"/>
    <w:rsid w:val="003C4E1C"/>
    <w:rsid w:val="003C6185"/>
    <w:rsid w:val="003D0D2D"/>
    <w:rsid w:val="003D1498"/>
    <w:rsid w:val="003D4710"/>
    <w:rsid w:val="003D626B"/>
    <w:rsid w:val="003E16D7"/>
    <w:rsid w:val="003E197E"/>
    <w:rsid w:val="003F1A37"/>
    <w:rsid w:val="003F5AF1"/>
    <w:rsid w:val="00403658"/>
    <w:rsid w:val="004046F0"/>
    <w:rsid w:val="0040668F"/>
    <w:rsid w:val="00407341"/>
    <w:rsid w:val="00412677"/>
    <w:rsid w:val="00413251"/>
    <w:rsid w:val="004202C1"/>
    <w:rsid w:val="00427963"/>
    <w:rsid w:val="00431893"/>
    <w:rsid w:val="004348AE"/>
    <w:rsid w:val="004376C0"/>
    <w:rsid w:val="0044223A"/>
    <w:rsid w:val="00450C83"/>
    <w:rsid w:val="00451851"/>
    <w:rsid w:val="00451E5D"/>
    <w:rsid w:val="00453343"/>
    <w:rsid w:val="004555F1"/>
    <w:rsid w:val="004608B9"/>
    <w:rsid w:val="00465947"/>
    <w:rsid w:val="00470BB1"/>
    <w:rsid w:val="00470CDD"/>
    <w:rsid w:val="004718F7"/>
    <w:rsid w:val="00473153"/>
    <w:rsid w:val="004743AF"/>
    <w:rsid w:val="00474BE4"/>
    <w:rsid w:val="0048153E"/>
    <w:rsid w:val="00482C17"/>
    <w:rsid w:val="004911B4"/>
    <w:rsid w:val="0049193F"/>
    <w:rsid w:val="0049196A"/>
    <w:rsid w:val="004923DA"/>
    <w:rsid w:val="00493434"/>
    <w:rsid w:val="004962F9"/>
    <w:rsid w:val="004968E2"/>
    <w:rsid w:val="004A2A49"/>
    <w:rsid w:val="004B1E4D"/>
    <w:rsid w:val="004B4C15"/>
    <w:rsid w:val="004B600B"/>
    <w:rsid w:val="004B6822"/>
    <w:rsid w:val="004B69F6"/>
    <w:rsid w:val="004B7B12"/>
    <w:rsid w:val="004C2D3A"/>
    <w:rsid w:val="004C3BE0"/>
    <w:rsid w:val="004C4244"/>
    <w:rsid w:val="004D03C4"/>
    <w:rsid w:val="004D0BF1"/>
    <w:rsid w:val="004D24D2"/>
    <w:rsid w:val="004D35A4"/>
    <w:rsid w:val="004D4290"/>
    <w:rsid w:val="004D445F"/>
    <w:rsid w:val="004E087B"/>
    <w:rsid w:val="004E44A4"/>
    <w:rsid w:val="004E611D"/>
    <w:rsid w:val="004E7B8B"/>
    <w:rsid w:val="004E7BDD"/>
    <w:rsid w:val="004F1E21"/>
    <w:rsid w:val="004F740D"/>
    <w:rsid w:val="004F776B"/>
    <w:rsid w:val="004F7B8F"/>
    <w:rsid w:val="00500748"/>
    <w:rsid w:val="005011D6"/>
    <w:rsid w:val="0050167A"/>
    <w:rsid w:val="005034CD"/>
    <w:rsid w:val="005042F1"/>
    <w:rsid w:val="00504B92"/>
    <w:rsid w:val="00511E87"/>
    <w:rsid w:val="00513C7D"/>
    <w:rsid w:val="005156E0"/>
    <w:rsid w:val="00521123"/>
    <w:rsid w:val="00521221"/>
    <w:rsid w:val="00524671"/>
    <w:rsid w:val="0052653C"/>
    <w:rsid w:val="005341AF"/>
    <w:rsid w:val="00535203"/>
    <w:rsid w:val="00536FA9"/>
    <w:rsid w:val="005414F4"/>
    <w:rsid w:val="00546187"/>
    <w:rsid w:val="005463F1"/>
    <w:rsid w:val="00547983"/>
    <w:rsid w:val="00552C43"/>
    <w:rsid w:val="00557D77"/>
    <w:rsid w:val="00557DB6"/>
    <w:rsid w:val="00562EAA"/>
    <w:rsid w:val="00563B58"/>
    <w:rsid w:val="005640C4"/>
    <w:rsid w:val="0056684C"/>
    <w:rsid w:val="00574A0C"/>
    <w:rsid w:val="00575A8F"/>
    <w:rsid w:val="00576A24"/>
    <w:rsid w:val="00576E4C"/>
    <w:rsid w:val="0057780F"/>
    <w:rsid w:val="00581E0A"/>
    <w:rsid w:val="00582CE0"/>
    <w:rsid w:val="00586986"/>
    <w:rsid w:val="00586D89"/>
    <w:rsid w:val="005878F6"/>
    <w:rsid w:val="005916B8"/>
    <w:rsid w:val="0059363C"/>
    <w:rsid w:val="005A1B4C"/>
    <w:rsid w:val="005A545C"/>
    <w:rsid w:val="005A6170"/>
    <w:rsid w:val="005B02E6"/>
    <w:rsid w:val="005B2EEA"/>
    <w:rsid w:val="005B4A7E"/>
    <w:rsid w:val="005C07BD"/>
    <w:rsid w:val="005C11F6"/>
    <w:rsid w:val="005C1567"/>
    <w:rsid w:val="005C2640"/>
    <w:rsid w:val="005C6CE5"/>
    <w:rsid w:val="005C6E3A"/>
    <w:rsid w:val="005C7828"/>
    <w:rsid w:val="005D3F07"/>
    <w:rsid w:val="005D6686"/>
    <w:rsid w:val="005E13EA"/>
    <w:rsid w:val="005E1DBD"/>
    <w:rsid w:val="005E288B"/>
    <w:rsid w:val="005E5A51"/>
    <w:rsid w:val="0060099B"/>
    <w:rsid w:val="00606E27"/>
    <w:rsid w:val="006108C9"/>
    <w:rsid w:val="006126DB"/>
    <w:rsid w:val="00616D7F"/>
    <w:rsid w:val="00620D9F"/>
    <w:rsid w:val="0062158D"/>
    <w:rsid w:val="00625DD7"/>
    <w:rsid w:val="00627EEA"/>
    <w:rsid w:val="00630F39"/>
    <w:rsid w:val="006323F8"/>
    <w:rsid w:val="006326D1"/>
    <w:rsid w:val="00632E0A"/>
    <w:rsid w:val="00633165"/>
    <w:rsid w:val="006358FC"/>
    <w:rsid w:val="0064176F"/>
    <w:rsid w:val="006447DE"/>
    <w:rsid w:val="0065276E"/>
    <w:rsid w:val="00654329"/>
    <w:rsid w:val="00654CEC"/>
    <w:rsid w:val="006550EA"/>
    <w:rsid w:val="00655507"/>
    <w:rsid w:val="006712A7"/>
    <w:rsid w:val="0067200C"/>
    <w:rsid w:val="00674FC2"/>
    <w:rsid w:val="00677E42"/>
    <w:rsid w:val="00682334"/>
    <w:rsid w:val="00684B16"/>
    <w:rsid w:val="006936EB"/>
    <w:rsid w:val="00696F65"/>
    <w:rsid w:val="006A7A6D"/>
    <w:rsid w:val="006B5E67"/>
    <w:rsid w:val="006B718C"/>
    <w:rsid w:val="006C2EB5"/>
    <w:rsid w:val="006C3FA1"/>
    <w:rsid w:val="006C7CA5"/>
    <w:rsid w:val="006D18A3"/>
    <w:rsid w:val="006D4550"/>
    <w:rsid w:val="006D5970"/>
    <w:rsid w:val="006E481E"/>
    <w:rsid w:val="006E795F"/>
    <w:rsid w:val="00700249"/>
    <w:rsid w:val="007049C7"/>
    <w:rsid w:val="0070604C"/>
    <w:rsid w:val="007069CD"/>
    <w:rsid w:val="00707BC5"/>
    <w:rsid w:val="00711A70"/>
    <w:rsid w:val="00712E6F"/>
    <w:rsid w:val="00712E90"/>
    <w:rsid w:val="00713B7E"/>
    <w:rsid w:val="007204AE"/>
    <w:rsid w:val="00722311"/>
    <w:rsid w:val="0072678F"/>
    <w:rsid w:val="00727C4C"/>
    <w:rsid w:val="00731F0C"/>
    <w:rsid w:val="00732FB9"/>
    <w:rsid w:val="00734809"/>
    <w:rsid w:val="00734AB5"/>
    <w:rsid w:val="00734E90"/>
    <w:rsid w:val="007406E1"/>
    <w:rsid w:val="00743E40"/>
    <w:rsid w:val="00745FDB"/>
    <w:rsid w:val="00747F99"/>
    <w:rsid w:val="00751263"/>
    <w:rsid w:val="00751922"/>
    <w:rsid w:val="0075704F"/>
    <w:rsid w:val="00763B2D"/>
    <w:rsid w:val="00772924"/>
    <w:rsid w:val="00772C15"/>
    <w:rsid w:val="007841C5"/>
    <w:rsid w:val="0078624C"/>
    <w:rsid w:val="007872F2"/>
    <w:rsid w:val="007908E0"/>
    <w:rsid w:val="00792181"/>
    <w:rsid w:val="00793EB3"/>
    <w:rsid w:val="00794205"/>
    <w:rsid w:val="0079658B"/>
    <w:rsid w:val="007A1F6A"/>
    <w:rsid w:val="007B0DE3"/>
    <w:rsid w:val="007B491F"/>
    <w:rsid w:val="007B7191"/>
    <w:rsid w:val="007C1634"/>
    <w:rsid w:val="007C1D94"/>
    <w:rsid w:val="007C21E3"/>
    <w:rsid w:val="007C2879"/>
    <w:rsid w:val="007C6A87"/>
    <w:rsid w:val="007C705D"/>
    <w:rsid w:val="007D0A07"/>
    <w:rsid w:val="007D0D43"/>
    <w:rsid w:val="007D133D"/>
    <w:rsid w:val="007D3DD7"/>
    <w:rsid w:val="007D3EB4"/>
    <w:rsid w:val="007D3F16"/>
    <w:rsid w:val="007D7854"/>
    <w:rsid w:val="007E0224"/>
    <w:rsid w:val="007E6077"/>
    <w:rsid w:val="007F0A59"/>
    <w:rsid w:val="007F371B"/>
    <w:rsid w:val="007F3F7E"/>
    <w:rsid w:val="007F5497"/>
    <w:rsid w:val="00813CEC"/>
    <w:rsid w:val="00814FED"/>
    <w:rsid w:val="0081534C"/>
    <w:rsid w:val="008171E4"/>
    <w:rsid w:val="008208EA"/>
    <w:rsid w:val="00823045"/>
    <w:rsid w:val="00824E67"/>
    <w:rsid w:val="00825A64"/>
    <w:rsid w:val="00826F48"/>
    <w:rsid w:val="008308AE"/>
    <w:rsid w:val="0083166E"/>
    <w:rsid w:val="00831DC3"/>
    <w:rsid w:val="008322C7"/>
    <w:rsid w:val="00834F1D"/>
    <w:rsid w:val="00836FEC"/>
    <w:rsid w:val="00841F9D"/>
    <w:rsid w:val="008420E1"/>
    <w:rsid w:val="008439BA"/>
    <w:rsid w:val="00843D58"/>
    <w:rsid w:val="00844D98"/>
    <w:rsid w:val="00846D84"/>
    <w:rsid w:val="00850FB1"/>
    <w:rsid w:val="0085230E"/>
    <w:rsid w:val="008550A1"/>
    <w:rsid w:val="00861038"/>
    <w:rsid w:val="00861925"/>
    <w:rsid w:val="0086396E"/>
    <w:rsid w:val="00864BA8"/>
    <w:rsid w:val="00864DAD"/>
    <w:rsid w:val="00866B50"/>
    <w:rsid w:val="008708F1"/>
    <w:rsid w:val="00880539"/>
    <w:rsid w:val="008859E8"/>
    <w:rsid w:val="00886108"/>
    <w:rsid w:val="0088737B"/>
    <w:rsid w:val="00887934"/>
    <w:rsid w:val="00892443"/>
    <w:rsid w:val="00892716"/>
    <w:rsid w:val="00893067"/>
    <w:rsid w:val="008933DE"/>
    <w:rsid w:val="00895FCE"/>
    <w:rsid w:val="00896FED"/>
    <w:rsid w:val="00897F3E"/>
    <w:rsid w:val="008A21B4"/>
    <w:rsid w:val="008A4576"/>
    <w:rsid w:val="008B07DE"/>
    <w:rsid w:val="008B28E7"/>
    <w:rsid w:val="008B5E70"/>
    <w:rsid w:val="008C14C7"/>
    <w:rsid w:val="008C2FFB"/>
    <w:rsid w:val="008C6EEA"/>
    <w:rsid w:val="008D5813"/>
    <w:rsid w:val="008D634E"/>
    <w:rsid w:val="008D778A"/>
    <w:rsid w:val="008E145C"/>
    <w:rsid w:val="008E3CBC"/>
    <w:rsid w:val="008F11A4"/>
    <w:rsid w:val="008F22BD"/>
    <w:rsid w:val="008F52E0"/>
    <w:rsid w:val="008F74DC"/>
    <w:rsid w:val="009079BD"/>
    <w:rsid w:val="00910B43"/>
    <w:rsid w:val="00912BD9"/>
    <w:rsid w:val="00920E5B"/>
    <w:rsid w:val="009237F4"/>
    <w:rsid w:val="00926436"/>
    <w:rsid w:val="0093018C"/>
    <w:rsid w:val="00932AFF"/>
    <w:rsid w:val="00953693"/>
    <w:rsid w:val="009544C0"/>
    <w:rsid w:val="00954E8E"/>
    <w:rsid w:val="00954FA4"/>
    <w:rsid w:val="00956AE9"/>
    <w:rsid w:val="00964CC6"/>
    <w:rsid w:val="00982DDD"/>
    <w:rsid w:val="00985AD6"/>
    <w:rsid w:val="00991FDA"/>
    <w:rsid w:val="009927A1"/>
    <w:rsid w:val="00994428"/>
    <w:rsid w:val="009A5F3B"/>
    <w:rsid w:val="009B0231"/>
    <w:rsid w:val="009B0B61"/>
    <w:rsid w:val="009B23A9"/>
    <w:rsid w:val="009B28C0"/>
    <w:rsid w:val="009B32A9"/>
    <w:rsid w:val="009B7136"/>
    <w:rsid w:val="009B76C2"/>
    <w:rsid w:val="009B7806"/>
    <w:rsid w:val="009C21DA"/>
    <w:rsid w:val="009C3AC2"/>
    <w:rsid w:val="009D25B4"/>
    <w:rsid w:val="009D4365"/>
    <w:rsid w:val="009D4E3B"/>
    <w:rsid w:val="009D673D"/>
    <w:rsid w:val="009D7BC9"/>
    <w:rsid w:val="009E1982"/>
    <w:rsid w:val="009E4D2C"/>
    <w:rsid w:val="009F0978"/>
    <w:rsid w:val="009F3AEC"/>
    <w:rsid w:val="00A00081"/>
    <w:rsid w:val="00A04DDA"/>
    <w:rsid w:val="00A072A2"/>
    <w:rsid w:val="00A10D56"/>
    <w:rsid w:val="00A11EB7"/>
    <w:rsid w:val="00A12AAE"/>
    <w:rsid w:val="00A15BF1"/>
    <w:rsid w:val="00A16DD1"/>
    <w:rsid w:val="00A22441"/>
    <w:rsid w:val="00A23F3B"/>
    <w:rsid w:val="00A24406"/>
    <w:rsid w:val="00A25F64"/>
    <w:rsid w:val="00A27CC2"/>
    <w:rsid w:val="00A40ED6"/>
    <w:rsid w:val="00A456F3"/>
    <w:rsid w:val="00A470EE"/>
    <w:rsid w:val="00A47621"/>
    <w:rsid w:val="00A479CD"/>
    <w:rsid w:val="00A50CFC"/>
    <w:rsid w:val="00A54D67"/>
    <w:rsid w:val="00A55A3F"/>
    <w:rsid w:val="00A5625C"/>
    <w:rsid w:val="00A56410"/>
    <w:rsid w:val="00A57B0A"/>
    <w:rsid w:val="00A63EE7"/>
    <w:rsid w:val="00A652F6"/>
    <w:rsid w:val="00A66ADA"/>
    <w:rsid w:val="00A72A11"/>
    <w:rsid w:val="00A732EA"/>
    <w:rsid w:val="00A7489E"/>
    <w:rsid w:val="00A8015F"/>
    <w:rsid w:val="00A80BD2"/>
    <w:rsid w:val="00A85039"/>
    <w:rsid w:val="00A87364"/>
    <w:rsid w:val="00A8795B"/>
    <w:rsid w:val="00A906AA"/>
    <w:rsid w:val="00A94C5E"/>
    <w:rsid w:val="00AA064D"/>
    <w:rsid w:val="00AA2224"/>
    <w:rsid w:val="00AA241A"/>
    <w:rsid w:val="00AA252C"/>
    <w:rsid w:val="00AA37BB"/>
    <w:rsid w:val="00AA666E"/>
    <w:rsid w:val="00AB1ED5"/>
    <w:rsid w:val="00AB5518"/>
    <w:rsid w:val="00AC01D4"/>
    <w:rsid w:val="00AC4637"/>
    <w:rsid w:val="00AC4A04"/>
    <w:rsid w:val="00AD031B"/>
    <w:rsid w:val="00AD336F"/>
    <w:rsid w:val="00AD3550"/>
    <w:rsid w:val="00AD6ECE"/>
    <w:rsid w:val="00AD6FCF"/>
    <w:rsid w:val="00AD7093"/>
    <w:rsid w:val="00AE0151"/>
    <w:rsid w:val="00AE2564"/>
    <w:rsid w:val="00AE278F"/>
    <w:rsid w:val="00AE301F"/>
    <w:rsid w:val="00AE3302"/>
    <w:rsid w:val="00AE4BC1"/>
    <w:rsid w:val="00AE7077"/>
    <w:rsid w:val="00AF5609"/>
    <w:rsid w:val="00AF5D6A"/>
    <w:rsid w:val="00AF61C2"/>
    <w:rsid w:val="00AF6CC6"/>
    <w:rsid w:val="00B0296A"/>
    <w:rsid w:val="00B03185"/>
    <w:rsid w:val="00B075DA"/>
    <w:rsid w:val="00B12295"/>
    <w:rsid w:val="00B137BE"/>
    <w:rsid w:val="00B17FA0"/>
    <w:rsid w:val="00B223BC"/>
    <w:rsid w:val="00B24344"/>
    <w:rsid w:val="00B26769"/>
    <w:rsid w:val="00B31C91"/>
    <w:rsid w:val="00B3747F"/>
    <w:rsid w:val="00B43194"/>
    <w:rsid w:val="00B47734"/>
    <w:rsid w:val="00B50FBA"/>
    <w:rsid w:val="00B558EB"/>
    <w:rsid w:val="00B577D3"/>
    <w:rsid w:val="00B60466"/>
    <w:rsid w:val="00B6548F"/>
    <w:rsid w:val="00B674CD"/>
    <w:rsid w:val="00B73555"/>
    <w:rsid w:val="00B73FA0"/>
    <w:rsid w:val="00B7502A"/>
    <w:rsid w:val="00B763D8"/>
    <w:rsid w:val="00B77305"/>
    <w:rsid w:val="00B82CC2"/>
    <w:rsid w:val="00B84A89"/>
    <w:rsid w:val="00B857F2"/>
    <w:rsid w:val="00B86F87"/>
    <w:rsid w:val="00B91DD7"/>
    <w:rsid w:val="00B92BEF"/>
    <w:rsid w:val="00B93C05"/>
    <w:rsid w:val="00B9689A"/>
    <w:rsid w:val="00BA41B2"/>
    <w:rsid w:val="00BA42AC"/>
    <w:rsid w:val="00BB06CB"/>
    <w:rsid w:val="00BB0EFE"/>
    <w:rsid w:val="00BB261F"/>
    <w:rsid w:val="00BB2887"/>
    <w:rsid w:val="00BB39AC"/>
    <w:rsid w:val="00BB3BE0"/>
    <w:rsid w:val="00BB4CAC"/>
    <w:rsid w:val="00BB5EAA"/>
    <w:rsid w:val="00BB5F11"/>
    <w:rsid w:val="00BC04FA"/>
    <w:rsid w:val="00BC1C22"/>
    <w:rsid w:val="00BC1FDD"/>
    <w:rsid w:val="00BC3647"/>
    <w:rsid w:val="00BC460B"/>
    <w:rsid w:val="00BC5725"/>
    <w:rsid w:val="00BC66D2"/>
    <w:rsid w:val="00BD30B1"/>
    <w:rsid w:val="00BD5417"/>
    <w:rsid w:val="00BD5BCC"/>
    <w:rsid w:val="00BD6CDB"/>
    <w:rsid w:val="00BD7B53"/>
    <w:rsid w:val="00BE0F7B"/>
    <w:rsid w:val="00BE10C2"/>
    <w:rsid w:val="00BE25DF"/>
    <w:rsid w:val="00C01D14"/>
    <w:rsid w:val="00C025B4"/>
    <w:rsid w:val="00C034B4"/>
    <w:rsid w:val="00C14CBA"/>
    <w:rsid w:val="00C161FD"/>
    <w:rsid w:val="00C17958"/>
    <w:rsid w:val="00C23F17"/>
    <w:rsid w:val="00C26D0D"/>
    <w:rsid w:val="00C27C95"/>
    <w:rsid w:val="00C300D2"/>
    <w:rsid w:val="00C3270F"/>
    <w:rsid w:val="00C3278B"/>
    <w:rsid w:val="00C33375"/>
    <w:rsid w:val="00C3341B"/>
    <w:rsid w:val="00C34C23"/>
    <w:rsid w:val="00C42005"/>
    <w:rsid w:val="00C44446"/>
    <w:rsid w:val="00C4664D"/>
    <w:rsid w:val="00C472AA"/>
    <w:rsid w:val="00C50A05"/>
    <w:rsid w:val="00C54AED"/>
    <w:rsid w:val="00C57FDD"/>
    <w:rsid w:val="00C61D19"/>
    <w:rsid w:val="00C63D00"/>
    <w:rsid w:val="00C6419D"/>
    <w:rsid w:val="00C6441B"/>
    <w:rsid w:val="00C67866"/>
    <w:rsid w:val="00C7108B"/>
    <w:rsid w:val="00C80865"/>
    <w:rsid w:val="00C8089F"/>
    <w:rsid w:val="00C82033"/>
    <w:rsid w:val="00C836CC"/>
    <w:rsid w:val="00C87A74"/>
    <w:rsid w:val="00C91E43"/>
    <w:rsid w:val="00C92C71"/>
    <w:rsid w:val="00C93F8F"/>
    <w:rsid w:val="00C96772"/>
    <w:rsid w:val="00CA3593"/>
    <w:rsid w:val="00CA3F71"/>
    <w:rsid w:val="00CB095A"/>
    <w:rsid w:val="00CB143A"/>
    <w:rsid w:val="00CB258E"/>
    <w:rsid w:val="00CB3C8F"/>
    <w:rsid w:val="00CB46B4"/>
    <w:rsid w:val="00CC02F1"/>
    <w:rsid w:val="00CC11A6"/>
    <w:rsid w:val="00CC135E"/>
    <w:rsid w:val="00CC2DDF"/>
    <w:rsid w:val="00CC4414"/>
    <w:rsid w:val="00CD275E"/>
    <w:rsid w:val="00CD5D3F"/>
    <w:rsid w:val="00CD751F"/>
    <w:rsid w:val="00CD7A11"/>
    <w:rsid w:val="00CE3A97"/>
    <w:rsid w:val="00CF0F17"/>
    <w:rsid w:val="00CF211C"/>
    <w:rsid w:val="00CF2B25"/>
    <w:rsid w:val="00CF3DB3"/>
    <w:rsid w:val="00D052BC"/>
    <w:rsid w:val="00D07026"/>
    <w:rsid w:val="00D11888"/>
    <w:rsid w:val="00D22C8F"/>
    <w:rsid w:val="00D2389E"/>
    <w:rsid w:val="00D245DB"/>
    <w:rsid w:val="00D27276"/>
    <w:rsid w:val="00D33491"/>
    <w:rsid w:val="00D35F8F"/>
    <w:rsid w:val="00D41A93"/>
    <w:rsid w:val="00D44F8E"/>
    <w:rsid w:val="00D4537D"/>
    <w:rsid w:val="00D57D45"/>
    <w:rsid w:val="00D607EF"/>
    <w:rsid w:val="00D60F88"/>
    <w:rsid w:val="00D625E7"/>
    <w:rsid w:val="00D6361D"/>
    <w:rsid w:val="00D646BD"/>
    <w:rsid w:val="00D7018A"/>
    <w:rsid w:val="00D71201"/>
    <w:rsid w:val="00D720C7"/>
    <w:rsid w:val="00D776CD"/>
    <w:rsid w:val="00D876E6"/>
    <w:rsid w:val="00D94728"/>
    <w:rsid w:val="00D94AD9"/>
    <w:rsid w:val="00DA1025"/>
    <w:rsid w:val="00DA22EC"/>
    <w:rsid w:val="00DA5860"/>
    <w:rsid w:val="00DB2767"/>
    <w:rsid w:val="00DB2C41"/>
    <w:rsid w:val="00DB7EF9"/>
    <w:rsid w:val="00DC4170"/>
    <w:rsid w:val="00DC4729"/>
    <w:rsid w:val="00DD2743"/>
    <w:rsid w:val="00DD413D"/>
    <w:rsid w:val="00DE5063"/>
    <w:rsid w:val="00DF4044"/>
    <w:rsid w:val="00DF4880"/>
    <w:rsid w:val="00E007B0"/>
    <w:rsid w:val="00E129FC"/>
    <w:rsid w:val="00E17160"/>
    <w:rsid w:val="00E26A18"/>
    <w:rsid w:val="00E33AC2"/>
    <w:rsid w:val="00E34310"/>
    <w:rsid w:val="00E35BEC"/>
    <w:rsid w:val="00E375DB"/>
    <w:rsid w:val="00E44C6C"/>
    <w:rsid w:val="00E50821"/>
    <w:rsid w:val="00E51F91"/>
    <w:rsid w:val="00E549D0"/>
    <w:rsid w:val="00E6298B"/>
    <w:rsid w:val="00E630E0"/>
    <w:rsid w:val="00E70279"/>
    <w:rsid w:val="00E7086E"/>
    <w:rsid w:val="00E70896"/>
    <w:rsid w:val="00E7374A"/>
    <w:rsid w:val="00E73C41"/>
    <w:rsid w:val="00E7598F"/>
    <w:rsid w:val="00E76F60"/>
    <w:rsid w:val="00E83D90"/>
    <w:rsid w:val="00E83F28"/>
    <w:rsid w:val="00E83F91"/>
    <w:rsid w:val="00E85B0B"/>
    <w:rsid w:val="00E9107A"/>
    <w:rsid w:val="00E91F62"/>
    <w:rsid w:val="00E929FD"/>
    <w:rsid w:val="00E93240"/>
    <w:rsid w:val="00E9479B"/>
    <w:rsid w:val="00EA10DA"/>
    <w:rsid w:val="00EA4D48"/>
    <w:rsid w:val="00EB2173"/>
    <w:rsid w:val="00EB55C1"/>
    <w:rsid w:val="00EB62E6"/>
    <w:rsid w:val="00EC6651"/>
    <w:rsid w:val="00ED00D4"/>
    <w:rsid w:val="00ED01F2"/>
    <w:rsid w:val="00ED1B30"/>
    <w:rsid w:val="00ED250E"/>
    <w:rsid w:val="00ED5F9F"/>
    <w:rsid w:val="00ED6516"/>
    <w:rsid w:val="00ED69BF"/>
    <w:rsid w:val="00EE1AC1"/>
    <w:rsid w:val="00EE39D6"/>
    <w:rsid w:val="00EE52AD"/>
    <w:rsid w:val="00F01F92"/>
    <w:rsid w:val="00F03EA1"/>
    <w:rsid w:val="00F10A08"/>
    <w:rsid w:val="00F1306A"/>
    <w:rsid w:val="00F16DB0"/>
    <w:rsid w:val="00F22AC5"/>
    <w:rsid w:val="00F254D1"/>
    <w:rsid w:val="00F2625C"/>
    <w:rsid w:val="00F269CF"/>
    <w:rsid w:val="00F32B82"/>
    <w:rsid w:val="00F37F8D"/>
    <w:rsid w:val="00F40157"/>
    <w:rsid w:val="00F4043E"/>
    <w:rsid w:val="00F41BBC"/>
    <w:rsid w:val="00F43B9D"/>
    <w:rsid w:val="00F444F0"/>
    <w:rsid w:val="00F505D2"/>
    <w:rsid w:val="00F50847"/>
    <w:rsid w:val="00F53F27"/>
    <w:rsid w:val="00F546D1"/>
    <w:rsid w:val="00F61AC3"/>
    <w:rsid w:val="00F6338E"/>
    <w:rsid w:val="00F64C90"/>
    <w:rsid w:val="00F66272"/>
    <w:rsid w:val="00F709C0"/>
    <w:rsid w:val="00F72D43"/>
    <w:rsid w:val="00F927A1"/>
    <w:rsid w:val="00F92E4D"/>
    <w:rsid w:val="00FA11C9"/>
    <w:rsid w:val="00FA2BC2"/>
    <w:rsid w:val="00FA3764"/>
    <w:rsid w:val="00FA4F00"/>
    <w:rsid w:val="00FA56ED"/>
    <w:rsid w:val="00FB0E66"/>
    <w:rsid w:val="00FB2CD2"/>
    <w:rsid w:val="00FB4993"/>
    <w:rsid w:val="00FB5FA6"/>
    <w:rsid w:val="00FC03FA"/>
    <w:rsid w:val="00FC1310"/>
    <w:rsid w:val="00FC1B6E"/>
    <w:rsid w:val="00FC2387"/>
    <w:rsid w:val="00FC2FF3"/>
    <w:rsid w:val="00FC3263"/>
    <w:rsid w:val="00FC51F9"/>
    <w:rsid w:val="00FC5B40"/>
    <w:rsid w:val="00FC5FF8"/>
    <w:rsid w:val="00FD3D7C"/>
    <w:rsid w:val="00FD4F8F"/>
    <w:rsid w:val="00FE02A4"/>
    <w:rsid w:val="00FE0C16"/>
    <w:rsid w:val="00FE14AD"/>
    <w:rsid w:val="00FE14B1"/>
    <w:rsid w:val="00FF0070"/>
    <w:rsid w:val="00FF421E"/>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E375DB"/>
  </w:style>
  <w:style w:type="character" w:customStyle="1" w:styleId="Heading1Char">
    <w:name w:val="Heading 1 Char"/>
    <w:basedOn w:val="DefaultParagraphFont"/>
    <w:link w:val="Heading1"/>
    <w:uiPriority w:val="9"/>
    <w:rsid w:val="00E375DB"/>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93179">
      <w:bodyDiv w:val="1"/>
      <w:marLeft w:val="0"/>
      <w:marRight w:val="0"/>
      <w:marTop w:val="0"/>
      <w:marBottom w:val="0"/>
      <w:divBdr>
        <w:top w:val="none" w:sz="0" w:space="0" w:color="auto"/>
        <w:left w:val="none" w:sz="0" w:space="0" w:color="auto"/>
        <w:bottom w:val="none" w:sz="0" w:space="0" w:color="auto"/>
        <w:right w:val="none" w:sz="0" w:space="0" w:color="auto"/>
      </w:divBdr>
    </w:div>
    <w:div w:id="99110653">
      <w:bodyDiv w:val="1"/>
      <w:marLeft w:val="0"/>
      <w:marRight w:val="0"/>
      <w:marTop w:val="0"/>
      <w:marBottom w:val="0"/>
      <w:divBdr>
        <w:top w:val="none" w:sz="0" w:space="0" w:color="auto"/>
        <w:left w:val="none" w:sz="0" w:space="0" w:color="auto"/>
        <w:bottom w:val="none" w:sz="0" w:space="0" w:color="auto"/>
        <w:right w:val="none" w:sz="0" w:space="0" w:color="auto"/>
      </w:divBdr>
    </w:div>
    <w:div w:id="112210391">
      <w:bodyDiv w:val="1"/>
      <w:marLeft w:val="0"/>
      <w:marRight w:val="0"/>
      <w:marTop w:val="0"/>
      <w:marBottom w:val="0"/>
      <w:divBdr>
        <w:top w:val="none" w:sz="0" w:space="0" w:color="auto"/>
        <w:left w:val="none" w:sz="0" w:space="0" w:color="auto"/>
        <w:bottom w:val="none" w:sz="0" w:space="0" w:color="auto"/>
        <w:right w:val="none" w:sz="0" w:space="0" w:color="auto"/>
      </w:divBdr>
    </w:div>
    <w:div w:id="136150915">
      <w:bodyDiv w:val="1"/>
      <w:marLeft w:val="0"/>
      <w:marRight w:val="0"/>
      <w:marTop w:val="0"/>
      <w:marBottom w:val="0"/>
      <w:divBdr>
        <w:top w:val="none" w:sz="0" w:space="0" w:color="auto"/>
        <w:left w:val="none" w:sz="0" w:space="0" w:color="auto"/>
        <w:bottom w:val="none" w:sz="0" w:space="0" w:color="auto"/>
        <w:right w:val="none" w:sz="0" w:space="0" w:color="auto"/>
      </w:divBdr>
    </w:div>
    <w:div w:id="203297659">
      <w:bodyDiv w:val="1"/>
      <w:marLeft w:val="0"/>
      <w:marRight w:val="0"/>
      <w:marTop w:val="0"/>
      <w:marBottom w:val="0"/>
      <w:divBdr>
        <w:top w:val="none" w:sz="0" w:space="0" w:color="auto"/>
        <w:left w:val="none" w:sz="0" w:space="0" w:color="auto"/>
        <w:bottom w:val="none" w:sz="0" w:space="0" w:color="auto"/>
        <w:right w:val="none" w:sz="0" w:space="0" w:color="auto"/>
      </w:divBdr>
    </w:div>
    <w:div w:id="209806446">
      <w:bodyDiv w:val="1"/>
      <w:marLeft w:val="0"/>
      <w:marRight w:val="0"/>
      <w:marTop w:val="0"/>
      <w:marBottom w:val="0"/>
      <w:divBdr>
        <w:top w:val="none" w:sz="0" w:space="0" w:color="auto"/>
        <w:left w:val="none" w:sz="0" w:space="0" w:color="auto"/>
        <w:bottom w:val="none" w:sz="0" w:space="0" w:color="auto"/>
        <w:right w:val="none" w:sz="0" w:space="0" w:color="auto"/>
      </w:divBdr>
    </w:div>
    <w:div w:id="214005592">
      <w:bodyDiv w:val="1"/>
      <w:marLeft w:val="0"/>
      <w:marRight w:val="0"/>
      <w:marTop w:val="0"/>
      <w:marBottom w:val="0"/>
      <w:divBdr>
        <w:top w:val="none" w:sz="0" w:space="0" w:color="auto"/>
        <w:left w:val="none" w:sz="0" w:space="0" w:color="auto"/>
        <w:bottom w:val="none" w:sz="0" w:space="0" w:color="auto"/>
        <w:right w:val="none" w:sz="0" w:space="0" w:color="auto"/>
      </w:divBdr>
    </w:div>
    <w:div w:id="293021915">
      <w:bodyDiv w:val="1"/>
      <w:marLeft w:val="0"/>
      <w:marRight w:val="0"/>
      <w:marTop w:val="0"/>
      <w:marBottom w:val="0"/>
      <w:divBdr>
        <w:top w:val="none" w:sz="0" w:space="0" w:color="auto"/>
        <w:left w:val="none" w:sz="0" w:space="0" w:color="auto"/>
        <w:bottom w:val="none" w:sz="0" w:space="0" w:color="auto"/>
        <w:right w:val="none" w:sz="0" w:space="0" w:color="auto"/>
      </w:divBdr>
    </w:div>
    <w:div w:id="304626629">
      <w:bodyDiv w:val="1"/>
      <w:marLeft w:val="0"/>
      <w:marRight w:val="0"/>
      <w:marTop w:val="0"/>
      <w:marBottom w:val="0"/>
      <w:divBdr>
        <w:top w:val="none" w:sz="0" w:space="0" w:color="auto"/>
        <w:left w:val="none" w:sz="0" w:space="0" w:color="auto"/>
        <w:bottom w:val="none" w:sz="0" w:space="0" w:color="auto"/>
        <w:right w:val="none" w:sz="0" w:space="0" w:color="auto"/>
      </w:divBdr>
    </w:div>
    <w:div w:id="306859865">
      <w:bodyDiv w:val="1"/>
      <w:marLeft w:val="0"/>
      <w:marRight w:val="0"/>
      <w:marTop w:val="0"/>
      <w:marBottom w:val="0"/>
      <w:divBdr>
        <w:top w:val="none" w:sz="0" w:space="0" w:color="auto"/>
        <w:left w:val="none" w:sz="0" w:space="0" w:color="auto"/>
        <w:bottom w:val="none" w:sz="0" w:space="0" w:color="auto"/>
        <w:right w:val="none" w:sz="0" w:space="0" w:color="auto"/>
      </w:divBdr>
    </w:div>
    <w:div w:id="309290108">
      <w:bodyDiv w:val="1"/>
      <w:marLeft w:val="0"/>
      <w:marRight w:val="0"/>
      <w:marTop w:val="0"/>
      <w:marBottom w:val="0"/>
      <w:divBdr>
        <w:top w:val="none" w:sz="0" w:space="0" w:color="auto"/>
        <w:left w:val="none" w:sz="0" w:space="0" w:color="auto"/>
        <w:bottom w:val="none" w:sz="0" w:space="0" w:color="auto"/>
        <w:right w:val="none" w:sz="0" w:space="0" w:color="auto"/>
      </w:divBdr>
    </w:div>
    <w:div w:id="366565817">
      <w:bodyDiv w:val="1"/>
      <w:marLeft w:val="0"/>
      <w:marRight w:val="0"/>
      <w:marTop w:val="0"/>
      <w:marBottom w:val="0"/>
      <w:divBdr>
        <w:top w:val="none" w:sz="0" w:space="0" w:color="auto"/>
        <w:left w:val="none" w:sz="0" w:space="0" w:color="auto"/>
        <w:bottom w:val="none" w:sz="0" w:space="0" w:color="auto"/>
        <w:right w:val="none" w:sz="0" w:space="0" w:color="auto"/>
      </w:divBdr>
    </w:div>
    <w:div w:id="392002020">
      <w:bodyDiv w:val="1"/>
      <w:marLeft w:val="0"/>
      <w:marRight w:val="0"/>
      <w:marTop w:val="0"/>
      <w:marBottom w:val="0"/>
      <w:divBdr>
        <w:top w:val="none" w:sz="0" w:space="0" w:color="auto"/>
        <w:left w:val="none" w:sz="0" w:space="0" w:color="auto"/>
        <w:bottom w:val="none" w:sz="0" w:space="0" w:color="auto"/>
        <w:right w:val="none" w:sz="0" w:space="0" w:color="auto"/>
      </w:divBdr>
    </w:div>
    <w:div w:id="410271976">
      <w:bodyDiv w:val="1"/>
      <w:marLeft w:val="0"/>
      <w:marRight w:val="0"/>
      <w:marTop w:val="0"/>
      <w:marBottom w:val="0"/>
      <w:divBdr>
        <w:top w:val="none" w:sz="0" w:space="0" w:color="auto"/>
        <w:left w:val="none" w:sz="0" w:space="0" w:color="auto"/>
        <w:bottom w:val="none" w:sz="0" w:space="0" w:color="auto"/>
        <w:right w:val="none" w:sz="0" w:space="0" w:color="auto"/>
      </w:divBdr>
    </w:div>
    <w:div w:id="426078693">
      <w:bodyDiv w:val="1"/>
      <w:marLeft w:val="0"/>
      <w:marRight w:val="0"/>
      <w:marTop w:val="0"/>
      <w:marBottom w:val="0"/>
      <w:divBdr>
        <w:top w:val="none" w:sz="0" w:space="0" w:color="auto"/>
        <w:left w:val="none" w:sz="0" w:space="0" w:color="auto"/>
        <w:bottom w:val="none" w:sz="0" w:space="0" w:color="auto"/>
        <w:right w:val="none" w:sz="0" w:space="0" w:color="auto"/>
      </w:divBdr>
    </w:div>
    <w:div w:id="604848426">
      <w:bodyDiv w:val="1"/>
      <w:marLeft w:val="0"/>
      <w:marRight w:val="0"/>
      <w:marTop w:val="0"/>
      <w:marBottom w:val="0"/>
      <w:divBdr>
        <w:top w:val="none" w:sz="0" w:space="0" w:color="auto"/>
        <w:left w:val="none" w:sz="0" w:space="0" w:color="auto"/>
        <w:bottom w:val="none" w:sz="0" w:space="0" w:color="auto"/>
        <w:right w:val="none" w:sz="0" w:space="0" w:color="auto"/>
      </w:divBdr>
    </w:div>
    <w:div w:id="709260623">
      <w:bodyDiv w:val="1"/>
      <w:marLeft w:val="0"/>
      <w:marRight w:val="0"/>
      <w:marTop w:val="0"/>
      <w:marBottom w:val="0"/>
      <w:divBdr>
        <w:top w:val="none" w:sz="0" w:space="0" w:color="auto"/>
        <w:left w:val="none" w:sz="0" w:space="0" w:color="auto"/>
        <w:bottom w:val="none" w:sz="0" w:space="0" w:color="auto"/>
        <w:right w:val="none" w:sz="0" w:space="0" w:color="auto"/>
      </w:divBdr>
    </w:div>
    <w:div w:id="749351112">
      <w:bodyDiv w:val="1"/>
      <w:marLeft w:val="0"/>
      <w:marRight w:val="0"/>
      <w:marTop w:val="0"/>
      <w:marBottom w:val="0"/>
      <w:divBdr>
        <w:top w:val="none" w:sz="0" w:space="0" w:color="auto"/>
        <w:left w:val="none" w:sz="0" w:space="0" w:color="auto"/>
        <w:bottom w:val="none" w:sz="0" w:space="0" w:color="auto"/>
        <w:right w:val="none" w:sz="0" w:space="0" w:color="auto"/>
      </w:divBdr>
    </w:div>
    <w:div w:id="839664424">
      <w:bodyDiv w:val="1"/>
      <w:marLeft w:val="0"/>
      <w:marRight w:val="0"/>
      <w:marTop w:val="0"/>
      <w:marBottom w:val="0"/>
      <w:divBdr>
        <w:top w:val="none" w:sz="0" w:space="0" w:color="auto"/>
        <w:left w:val="none" w:sz="0" w:space="0" w:color="auto"/>
        <w:bottom w:val="none" w:sz="0" w:space="0" w:color="auto"/>
        <w:right w:val="none" w:sz="0" w:space="0" w:color="auto"/>
      </w:divBdr>
    </w:div>
    <w:div w:id="902447341">
      <w:bodyDiv w:val="1"/>
      <w:marLeft w:val="0"/>
      <w:marRight w:val="0"/>
      <w:marTop w:val="0"/>
      <w:marBottom w:val="0"/>
      <w:divBdr>
        <w:top w:val="none" w:sz="0" w:space="0" w:color="auto"/>
        <w:left w:val="none" w:sz="0" w:space="0" w:color="auto"/>
        <w:bottom w:val="none" w:sz="0" w:space="0" w:color="auto"/>
        <w:right w:val="none" w:sz="0" w:space="0" w:color="auto"/>
      </w:divBdr>
    </w:div>
    <w:div w:id="1023094492">
      <w:bodyDiv w:val="1"/>
      <w:marLeft w:val="0"/>
      <w:marRight w:val="0"/>
      <w:marTop w:val="0"/>
      <w:marBottom w:val="0"/>
      <w:divBdr>
        <w:top w:val="none" w:sz="0" w:space="0" w:color="auto"/>
        <w:left w:val="none" w:sz="0" w:space="0" w:color="auto"/>
        <w:bottom w:val="none" w:sz="0" w:space="0" w:color="auto"/>
        <w:right w:val="none" w:sz="0" w:space="0" w:color="auto"/>
      </w:divBdr>
    </w:div>
    <w:div w:id="10250543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3803593">
      <w:bodyDiv w:val="1"/>
      <w:marLeft w:val="0"/>
      <w:marRight w:val="0"/>
      <w:marTop w:val="0"/>
      <w:marBottom w:val="0"/>
      <w:divBdr>
        <w:top w:val="none" w:sz="0" w:space="0" w:color="auto"/>
        <w:left w:val="none" w:sz="0" w:space="0" w:color="auto"/>
        <w:bottom w:val="none" w:sz="0" w:space="0" w:color="auto"/>
        <w:right w:val="none" w:sz="0" w:space="0" w:color="auto"/>
      </w:divBdr>
    </w:div>
    <w:div w:id="1421024980">
      <w:bodyDiv w:val="1"/>
      <w:marLeft w:val="0"/>
      <w:marRight w:val="0"/>
      <w:marTop w:val="0"/>
      <w:marBottom w:val="0"/>
      <w:divBdr>
        <w:top w:val="none" w:sz="0" w:space="0" w:color="auto"/>
        <w:left w:val="none" w:sz="0" w:space="0" w:color="auto"/>
        <w:bottom w:val="none" w:sz="0" w:space="0" w:color="auto"/>
        <w:right w:val="none" w:sz="0" w:space="0" w:color="auto"/>
      </w:divBdr>
    </w:div>
    <w:div w:id="1451898050">
      <w:bodyDiv w:val="1"/>
      <w:marLeft w:val="0"/>
      <w:marRight w:val="0"/>
      <w:marTop w:val="0"/>
      <w:marBottom w:val="0"/>
      <w:divBdr>
        <w:top w:val="none" w:sz="0" w:space="0" w:color="auto"/>
        <w:left w:val="none" w:sz="0" w:space="0" w:color="auto"/>
        <w:bottom w:val="none" w:sz="0" w:space="0" w:color="auto"/>
        <w:right w:val="none" w:sz="0" w:space="0" w:color="auto"/>
      </w:divBdr>
    </w:div>
    <w:div w:id="1487087791">
      <w:bodyDiv w:val="1"/>
      <w:marLeft w:val="0"/>
      <w:marRight w:val="0"/>
      <w:marTop w:val="0"/>
      <w:marBottom w:val="0"/>
      <w:divBdr>
        <w:top w:val="none" w:sz="0" w:space="0" w:color="auto"/>
        <w:left w:val="none" w:sz="0" w:space="0" w:color="auto"/>
        <w:bottom w:val="none" w:sz="0" w:space="0" w:color="auto"/>
        <w:right w:val="none" w:sz="0" w:space="0" w:color="auto"/>
      </w:divBdr>
    </w:div>
    <w:div w:id="16354792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02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Hum00</b:Tag>
    <b:SourceType>Book</b:SourceType>
    <b:Guid>{F0DF16D5-29C6-42EF-8F9B-CA396ACC4C22}</b:Guid>
    <b:Title>Stress in College Athletics</b:Title>
    <b:Year>2000</b:Year>
    <b:City>Oxfordshire</b:City>
    <b:Publisher>Taylor &amp; Francis Ltd.</b:Publisher>
    <b:Author>
      <b:Author>
        <b:NameList>
          <b:Person>
            <b:Last>Bowden</b:Last>
            <b:Middle>W</b:Middle>
            <b:First>William</b:First>
          </b:Person>
          <b:Person>
            <b:Last>Humphrey</b:Last>
            <b:Middle>H</b:Middle>
            <b:First>James</b:First>
          </b:Person>
          <b:Person>
            <b:Last>Yow</b:Last>
            <b:Middle>A</b:Middle>
            <b:First>Deborah</b:First>
          </b:Person>
        </b:NameList>
      </b:Author>
    </b:Author>
    <b:RefOrder>1</b:RefOrder>
  </b:Source>
  <b:Source>
    <b:Tag>Har19</b:Tag>
    <b:SourceType>Book</b:SourceType>
    <b:Guid>{44950B33-E4A9-4F4A-A019-736F4966243A}</b:Guid>
    <b:Title>The Oxford Handbook of Stress and Mental Health</b:Title>
    <b:Year>2019</b:Year>
    <b:Publisher>Oxford University Press</b:Publisher>
    <b:Author>
      <b:Author>
        <b:NameList>
          <b:Person>
            <b:Last>Harkness</b:Last>
            <b:Middle>L</b:Middle>
            <b:First>Kate</b:First>
          </b:Person>
          <b:Person>
            <b:Last>Hayden</b:Last>
            <b:Middle>P</b:Middle>
            <b:First>Elizabeth</b:First>
          </b:Person>
        </b:NameList>
      </b:Author>
    </b:Author>
    <b:RefOrder>2</b:RefOrder>
  </b:Source>
  <b:Source>
    <b:Tag>Coo18</b:Tag>
    <b:SourceType>Book</b:SourceType>
    <b:Guid>{B2B70F25-130F-403F-BF0D-AB174B2DDF12}</b:Guid>
    <b:Title>The Wellbeing Workout : How to Manage Stress and Develop Resilience</b:Title>
    <b:Year>2018</b:Year>
    <b:Publisher>Springer International Publishing</b:Publisher>
    <b:Author>
      <b:Author>
        <b:NameList>
          <b:Person>
            <b:Last>Cooper</b:Last>
            <b:Middle>L</b:Middle>
            <b:First>Cary</b:First>
          </b:Person>
          <b:Person>
            <b:Last>Hughes</b:Last>
            <b:First>Rick</b:First>
          </b:Person>
          <b:Person>
            <b:Last>Kinder</b:Last>
            <b:First>Andrew</b:First>
          </b:Person>
        </b:NameList>
      </b:Author>
    </b:Author>
    <b:RefOrder>3</b:RefOrder>
  </b:Source>
  <b:Source>
    <b:Tag>JuY19</b:Tag>
    <b:SourceType>JournalArticle</b:SourceType>
    <b:Guid>{F8991864-963E-4E31-B37D-FE21CD627235}</b:Guid>
    <b:Title>Associations Among Resilience, Stress, Depression, and Internet Gaming Disorder in Young Adults.</b:Title>
    <b:Year>2019</b:Year>
    <b:Author>
      <b:Author>
        <b:NameList>
          <b:Person>
            <b:Last>Ju-Yu</b:Last>
            <b:First>Yen</b:First>
          </b:Person>
          <b:Person>
            <b:Last>Huang-Chi</b:Last>
            <b:First>Lin</b:First>
          </b:Person>
          <b:Person>
            <b:Last>Wei-Po</b:Last>
            <b:First>Chou</b:First>
          </b:Person>
          <b:Person>
            <b:Last>Tai-Ling</b:Last>
            <b:First>Liu</b:First>
          </b:Person>
          <b:Person>
            <b:Last>Chih-Hung</b:Last>
            <b:First>Ko</b:First>
          </b:Person>
        </b:NameList>
      </b:Author>
    </b:Author>
    <b:JournalName>International Journal of Environmental Research and Public Health</b:JournalName>
    <b:Volume>16</b:Volume>
    <b:Issue>17</b:Issue>
    <b:RefOrder>4</b:RefOrder>
  </b:Source>
  <b:Source>
    <b:Tag>Coo07</b:Tag>
    <b:SourceType>Book</b:SourceType>
    <b:Guid>{5D822D5C-6A32-46D6-A248-65F67BB1C0AE}</b:Guid>
    <b:Title>How to Deal with Stress</b:Title>
    <b:Year>2007</b:Year>
    <b:Publisher>Kogan Page Ltd.</b:Publisher>
    <b:Author>
      <b:Author>
        <b:NameList>
          <b:Person>
            <b:Last>Cooper</b:Last>
            <b:First>Gary</b:First>
          </b:Person>
          <b:Person>
            <b:Last>Palmer</b:Last>
            <b:First>Stephen</b:First>
          </b:Person>
        </b:NameList>
      </b:Author>
    </b:Author>
    <b:RefOrder>5</b:RefOrder>
  </b:Source>
  <b:Source>
    <b:Tag>Mar19</b:Tag>
    <b:SourceType>JournalArticle</b:SourceType>
    <b:Guid>{BABE2371-BC90-4C04-A076-CC100ABF6F48}</b:Guid>
    <b:Title>A Stress-Coping Model of Problem Online Video Game Use</b:Title>
    <b:Year>2019</b:Year>
    <b:JournalName>International journal of mental health and addiction</b:JournalName>
    <b:Pages>845-858</b:Pages>
    <b:Volume>17</b:Volume>
    <b:Issue>4</b:Issue>
    <b:Author>
      <b:Author>
        <b:NameList>
          <b:Person>
            <b:Last>Maroney</b:Last>
            <b:First>Nick</b:First>
          </b:Person>
          <b:Person>
            <b:Last>Williams</b:Last>
            <b:Middle>J</b:Middle>
            <b:First>Benedict</b:First>
          </b:Person>
          <b:Person>
            <b:Last>Thomas</b:Last>
            <b:First>Anna</b:First>
          </b:Person>
          <b:Person>
            <b:Last>Skues</b:Last>
            <b:First>Jason</b:First>
          </b:Person>
          <b:Person>
            <b:Last>Moulding</b:Last>
            <b:First>Richard</b:First>
          </b:Person>
        </b:NameList>
      </b:Author>
    </b:Author>
    <b:RefOrder>6</b:RefOrder>
  </b:Source>
  <b:Source>
    <b:Tag>Sta19</b:Tag>
    <b:SourceType>Book</b:SourceType>
    <b:Guid>{AF24FCF6-361E-40B0-8E17-BBC1AD428351}</b:Guid>
    <b:Title>Conflict, Culture and Communication</b:Title>
    <b:Year>2019</b:Year>
    <b:City>London</b:City>
    <b:Publisher>Taylor &amp; Francis Ltd</b:Publisher>
    <b:Author>
      <b:Author>
        <b:NameList>
          <b:Person>
            <b:Last>Stadler</b:Last>
            <b:First>Stefanie</b:First>
          </b:Person>
        </b:NameList>
      </b:Author>
    </b:Author>
    <b:RefOrder>7</b:RefOrder>
  </b:Source>
  <b:Source>
    <b:Tag>Lac20</b:Tag>
    <b:SourceType>JournalArticle</b:SourceType>
    <b:Guid>{E0AF152A-2D1F-4AD2-A29C-59FA158E3ACA}</b:Guid>
    <b:Title>Development and Validation of the Drama Triangle Scale: Are You a Victim, Rescuer, or Persecutor?</b:Title>
    <b:Year>2020</b:Year>
    <b:JournalName>Journal of Interpersonal Violence</b:JournalName>
    <b:Volume>37</b:Volume>
    <b:Issue>7-8</b:Issue>
    <b:Author>
      <b:Author>
        <b:NameList>
          <b:Person>
            <b:Last>Lac</b:Last>
            <b:First>Andrew</b:First>
          </b:Person>
          <b:Person>
            <b:Last>Donaldson</b:Last>
            <b:Middle>D</b:Middle>
            <b:First>Candice</b:First>
          </b:Person>
        </b:NameList>
      </b:Author>
    </b:Author>
    <b:RefOrder>8</b:RefOrder>
  </b:Source>
  <b:Source>
    <b:Tag>Col201</b:Tag>
    <b:SourceType>DocumentFromInternetSite</b:SourceType>
    <b:Guid>{E23C63A0-BBC9-4883-B60A-E98E1DBECE41}</b:Guid>
    <b:Title>Conflict management using de-escalation, communication and negotiation</b:Title>
    <b:Year>2020</b:Year>
    <b:Author>
      <b:Author>
        <b:Corporate>College of Policing</b:Corporate>
      </b:Author>
    </b:Author>
    <b:Month>09</b:Month>
    <b:Day>01</b:Day>
    <b:YearAccessed>2023</b:YearAccessed>
    <b:MonthAccessed>06</b:MonthAccessed>
    <b:DayAccessed>30</b:DayAccessed>
    <b:URL>https://assets.college.police.uk/s3fs-public/2020-09/Conflict-management-guidelines.pdf</b:URL>
    <b:RefOrder>9</b:RefOrder>
  </b:Source>
  <b:Source>
    <b:Tag>Jav16</b:Tag>
    <b:SourceType>Book</b:SourceType>
    <b:Guid>{1E772066-8FCF-459D-B746-33C18AC05ED7}</b:Guid>
    <b:Title>Handbook of research on effective communication, leadership, and conflict resolution</b:Title>
    <b:Year>2016</b:Year>
    <b:Publisher>IGI Global</b:Publisher>
    <b:Author>
      <b:Author>
        <b:NameList>
          <b:Person>
            <b:Last>Javidi</b:Last>
            <b:First>Mitch</b:First>
          </b:Person>
          <b:Person>
            <b:Last>Long</b:Last>
            <b:Middle>W</b:Middle>
            <b:First>Larry</b:First>
          </b:Person>
          <b:Person>
            <b:Last>Normore</b:Last>
            <b:Middle>H</b:Middle>
            <b:First>Anthony</b:First>
          </b:Person>
        </b:NameList>
      </b:Author>
    </b:Author>
    <b:RefOrder>10</b:RefOrder>
  </b:Source>
  <b:Source>
    <b:Tag>Fit16</b:Tag>
    <b:SourceType>Book</b:SourceType>
    <b:Guid>{EBB5CDAC-4F24-4CE5-A285-9991F3238F20}</b:Guid>
    <b:Title>Introduction to the IMPACT Principles</b:Title>
    <b:Year>2016</b:Year>
    <b:Publisher>SAGE Publications</b:Publisher>
    <b:Author>
      <b:Author>
        <b:NameList>
          <b:Person>
            <b:Last>Fitch</b:Last>
            <b:Middle>D</b:Middle>
            <b:First>Brian</b:First>
          </b:Person>
        </b:NameList>
      </b:Author>
    </b:Author>
    <b:RefOrder>11</b:RefOrder>
  </b:Source>
  <b:Source>
    <b:Tag>Boy20</b:Tag>
    <b:SourceType>DocumentFromInternetSite</b:SourceType>
    <b:Guid>{4159D5FB-9CC4-4727-AF8D-5ADB8A9D9D5A}</b:Guid>
    <b:Title>Police use of force: Tactics, assaults and safety.</b:Title>
    <b:Year>2020</b:Year>
    <b:Month>08</b:Month>
    <b:Day>21</b:Day>
    <b:YearAccessed>2023</b:YearAccessed>
    <b:MonthAccessed>06</b:MonthAccessed>
    <b:DayAccessed>30</b:DayAccessed>
    <b:URL>https://assets.college.police.uk/s3fs-public/2020-09/200818-use-of-force-final-report-1.0.pdf</b:URL>
    <b:Author>
      <b:Author>
        <b:NameList>
          <b:Person>
            <b:Last>Boyd</b:Last>
            <b:First>Katharine</b:First>
          </b:Person>
          <b:Person>
            <b:Last>Dymond</b:Last>
            <b:First>Abi</b:First>
          </b:Person>
          <b:Person>
            <b:Last>Quinton</b:Last>
            <b:First>Paul</b:First>
          </b:Person>
          <b:Person>
            <b:Last>Teers</b:Last>
            <b:First>Rebecca</b:First>
          </b:Person>
        </b:NameList>
      </b:Author>
    </b:Author>
    <b:RefOrder>12</b:RefOrder>
  </b:Source>
  <b:Source>
    <b:Tag>Llo01</b:Tag>
    <b:SourceType>JournalArticle</b:SourceType>
    <b:Guid>{E0F7BBBB-0A67-4521-9582-E903E303F7DE}</b:Guid>
    <b:Title>Conflict resolution: Steering clear of the 'drama triangle</b:Title>
    <b:Year>2001</b:Year>
    <b:JournalName>Rural Telecommunications</b:JournalName>
    <b:Pages>30</b:Pages>
    <b:Volume>20</b:Volume>
    <b:Issue>5</b:Issue>
    <b:Author>
      <b:Author>
        <b:NameList>
          <b:Person>
            <b:Last>Lloyd</b:Last>
            <b:Middle>R</b:Middle>
            <b:First>Sam</b:First>
          </b:Person>
        </b:NameList>
      </b:Author>
    </b:Author>
    <b:RefOrder>13</b:RefOrder>
  </b:Source>
  <b:Source>
    <b:Tag>Kil22</b:Tag>
    <b:SourceType>Book</b:SourceType>
    <b:Guid>{6E71CE66-262D-48AE-86B3-78DD2AA8A8A1}</b:Guid>
    <b:Title>Title:</b:Title>
    <b:Year>2022</b:Year>
    <b:Publisher>Critical Publishing</b:Publisher>
    <b:Edition>1st</b:Edition>
    <b:Author>
      <b:Author>
        <b:NameList>
          <b:Person>
            <b:Last>Kilgallon</b:Last>
            <b:First>Mark</b:First>
          </b:Person>
          <b:Person>
            <b:Last>Wright</b:Last>
            <b:First>Martin</b:First>
          </b:Person>
        </b:NameList>
      </b:Author>
    </b:Author>
    <b:RefOrder>14</b:RefOrder>
  </b:Source>
  <b:Source>
    <b:Tag>Min20</b:Tag>
    <b:SourceType>DocumentFromInternetSite</b:SourceType>
    <b:Guid>{EEB7CCE0-1193-425A-A2BC-A72F5FCB78A4}</b:Guid>
    <b:Title>Code of Practice for Victims of Crime in England and Wales</b:Title>
    <b:Year>2020</b:Year>
    <b:Month>11</b:Month>
    <b:Day>25</b:Day>
    <b:YearAccessed>2023</b:YearAccessed>
    <b:MonthAccessed>07</b:MonthAccessed>
    <b:DayAccessed>01</b:DayAccessed>
    <b:URL>https://assets.publishing.service.gov.uk/government/uploads/system/uploads/attachment_data/file/974376/victims-code-2020.pdf</b:URL>
    <b:Author>
      <b:Author>
        <b:Corporate>Ministry of Justice</b:Corporate>
      </b:Author>
    </b:Author>
    <b:RefOrder>15</b:RefOrder>
  </b:Source>
  <b:Source>
    <b:Tag>Har14</b:Tag>
    <b:SourceType>Book</b:SourceType>
    <b:Guid>{0CD5111D-AE5E-40C5-A098-3CB278A96740}</b:Guid>
    <b:Title>Blackstone's Police Operational Handbook: Practice and Procedure</b:Title>
    <b:Year>2014</b:Year>
    <b:Publisher>Oxford University Press</b:Publisher>
    <b:Edition>2nd</b:Edition>
    <b:Author>
      <b:Author>
        <b:NameList>
          <b:Person>
            <b:Last>Harfield</b:Last>
            <b:First>Clive</b:First>
          </b:Person>
        </b:NameList>
      </b:Author>
    </b:Author>
    <b:RefOrder>16</b:RefOrder>
  </b:Source>
  <b:Source>
    <b:Tag>Pat18</b:Tag>
    <b:SourceType>JournalArticle</b:SourceType>
    <b:Guid>{C6B20EAA-4AF7-4BBB-B8DA-518CD4EBFF0E}</b:Guid>
    <b:Title>Towards Victim-oriented Police? Some Reflections on the Concept and Purpose of Policing and Their Implications for Victim-oriented Police Reform</b:Title>
    <b:Year>2018</b:Year>
    <b:JournalName>Journal of Victimology and Victim Justice</b:JournalName>
    <b:Pages>85-101</b:Pages>
    <b:Volume>1</b:Volume>
    <b:Issue>1</b:Issue>
    <b:Author>
      <b:Author>
        <b:NameList>
          <b:Person>
            <b:Last>Paterson</b:Last>
            <b:First>Craig</b:First>
          </b:Person>
          <b:Person>
            <b:Last>Williams</b:Last>
            <b:First>Andrew</b:First>
          </b:Person>
        </b:NameList>
      </b:Author>
    </b:Author>
    <b:RefOrder>17</b:RefOrder>
  </b:Source>
  <b:Source>
    <b:Tag>Cra07</b:Tag>
    <b:SourceType>Book</b:SourceType>
    <b:Guid>{3F195FB4-31D7-4BF8-994B-3981D9233BFA}</b:Guid>
    <b:Title>Human Rights and Policing</b:Title>
    <b:Year>2007</b:Year>
    <b:Publisher>Martinus Nijhoff</b:Publisher>
    <b:Edition>2nd</b:Edition>
    <b:Author>
      <b:Author>
        <b:NameList>
          <b:Person>
            <b:Last>Crawshaw</b:Last>
            <b:First>Ralph</b:First>
          </b:Person>
          <b:Person>
            <b:Last>Cullen</b:Last>
            <b:First>Stuart</b:First>
          </b:Person>
          <b:Person>
            <b:Last>Williamson</b:Last>
            <b:First>Tom</b:First>
          </b:Person>
        </b:NameList>
      </b:Author>
    </b:Author>
    <b:RefOrder>18</b:RefOrder>
  </b:Source>
  <b:Source>
    <b:Tag>Lin03</b:Tag>
    <b:SourceType>Book</b:SourceType>
    <b:Guid>{03A07AC8-160B-4DBB-A16A-F9219BE4DC69}</b:Guid>
    <b:Title>Human Rights and the Police in Transitional Countries</b:Title>
    <b:Year>2003</b:Year>
    <b:Publisher>Brill &amp; Nijhoff</b:Publisher>
    <b:Author>
      <b:Author>
        <b:NameList>
          <b:Person>
            <b:Last>Lindholt</b:Last>
            <b:First>Lone</b:First>
          </b:Person>
          <b:Person>
            <b:Last>De Mesquita Neto</b:Last>
            <b:First>Paulo</b:First>
          </b:Person>
          <b:Person>
            <b:Last>Titus</b:Last>
            <b:First>Danny</b:First>
          </b:Person>
          <b:Person>
            <b:Last>Alemika</b:Last>
            <b:Middle>E.</b:Middle>
            <b:First>Etannibi</b:First>
          </b:Person>
        </b:NameList>
      </b:Author>
    </b:Author>
    <b:RefOrder>19</b:RefOrder>
  </b:Source>
  <b:Source>
    <b:Tag>Cra06</b:Tag>
    <b:SourceType>Book</b:SourceType>
    <b:Guid>{AE615758-FDC0-4529-B69F-8EC6FAB350A4}</b:Guid>
    <b:Title>Essential cases on human rights for the police : reviews and summaries of international cases</b:Title>
    <b:Year>2006</b:Year>
    <b:Publisher>Martinus Nijhoff</b:Publisher>
    <b:Author>
      <b:Author>
        <b:NameList>
          <b:Person>
            <b:Last>Crawshaw</b:Last>
            <b:First>Ralph</b:First>
          </b:Person>
          <b:Person>
            <b:Last>Holmstrom</b:Last>
            <b:First>Leif</b:First>
          </b:Person>
        </b:NameList>
      </b:Author>
    </b:Author>
    <b:RefOrder>20</b:RefOrder>
  </b:Source>
  <b:Source>
    <b:Tag>Col14</b:Tag>
    <b:SourceType>InternetSite</b:SourceType>
    <b:Guid>{E36C6471-533D-41B9-BFD8-E46B9F264332}</b:Guid>
    <b:Title>National decision model</b:Title>
    <b:Year>2014</b:Year>
    <b:Author>
      <b:Author>
        <b:Corporate>College of Policing</b:Corporate>
      </b:Author>
    </b:Author>
    <b:YearAccessed>2023</b:YearAccessed>
    <b:MonthAccessed>07</b:MonthAccessed>
    <b:DayAccessed>01</b:DayAccessed>
    <b:URL>https://www.college.police.uk/app/national-decision-model/national-decision-model</b:URL>
    <b:RefOrder>21</b:RefOrder>
  </b:Source>
  <b:Source>
    <b:Tag>Wes18</b:Tag>
    <b:SourceType>JournalArticle</b:SourceType>
    <b:Guid>{66976498-2109-4152-8603-EA3F50CF83C8}</b:Guid>
    <b:Title>Police ethics and integrity: can a new code overturn the blue code?</b:Title>
    <b:JournalName>Policing and Society</b:JournalName>
    <b:Year>2018</b:Year>
    <b:Pages>854 - 870</b:Pages>
    <b:Volume>28</b:Volume>
    <b:Issue>7</b:Issue>
    <b:Author>
      <b:Author>
        <b:NameList>
          <b:Person>
            <b:Last>Westmarland</b:Last>
            <b:First>Louise</b:First>
          </b:Person>
          <b:Person>
            <b:Last>Rowe</b:Last>
            <b:First>Michael</b:First>
          </b:Person>
        </b:NameList>
      </b:Author>
    </b:Author>
    <b:RefOrder>22</b:RefOrder>
  </b:Source>
  <b:Source>
    <b:Tag>Com95</b:Tag>
    <b:SourceType>DocumentFromInternetSite</b:SourceType>
    <b:Guid>{714E432E-6D50-4C4F-91FE-254A68EF5A78}</b:Guid>
    <b:Title>The Seven Principles of Public Life</b:Title>
    <b:Year>1995</b:Year>
    <b:Author>
      <b:Author>
        <b:Corporate>Committee on Standards in Public Life</b:Corporate>
      </b:Author>
    </b:Author>
    <b:Month>05</b:Month>
    <b:Day>31</b:Day>
    <b:YearAccessed>2023</b:YearAccessed>
    <b:MonthAccessed>07</b:MonthAccessed>
    <b:DayAccessed>01</b:DayAccessed>
    <b:URL>https://www.gov.uk/government/publications/the-7-principles-of-public-life/the-7-principles-of-public-life--2</b:URL>
    <b:RefOrder>23</b:RefOrder>
  </b:Source>
  <b:Source>
    <b:Tag>Pea20</b:Tag>
    <b:SourceType>Book</b:SourceType>
    <b:Guid>{7811376D-0A42-4C36-B237-D58BEEE435A0}</b:Guid>
    <b:Title>Police Street Powers and Criminal Justice : Regulation and Discretion in a Time of Change</b:Title>
    <b:Year>2020</b:Year>
    <b:Publisher>Bloomsbury Publishing Plc</b:Publisher>
    <b:Author>
      <b:Author>
        <b:NameList>
          <b:Person>
            <b:Last>Pearson</b:Last>
            <b:First>Geoff</b:First>
          </b:Person>
          <b:Person>
            <b:Last>Rowe</b:Last>
            <b:First>Mike</b:First>
          </b:Person>
        </b:NameList>
      </b:Author>
    </b:Author>
    <b:RefOrder>24</b:RefOrder>
  </b:Source>
  <b:Source>
    <b:Tag>Bra23</b:Tag>
    <b:SourceType>Book</b:SourceType>
    <b:Guid>{AB4BCE1D-48DB-4C32-96EE-71419DDD3CEF}</b:Guid>
    <b:Title>Blackstone's Handbook for Policing Students</b:Title>
    <b:Year>2023</b:Year>
    <b:City>Oxford</b:City>
    <b:Publisher>Oxford University Press</b:Publisher>
    <b:Edition>17th</b:Edition>
    <b:Author>
      <b:Author>
        <b:NameList>
          <b:Person>
            <b:Last>Bradshaw</b:Last>
            <b:First>Sarah</b:First>
          </b:Person>
          <b:Person>
            <b:Last>Dickens</b:Last>
            <b:First>Tara</b:First>
          </b:Person>
          <b:Person>
            <b:Last>Parker-McLeod</b:Last>
            <b:First>Julian</b:First>
          </b:Person>
          <b:Person>
            <b:Last>Simpson</b:Last>
            <b:First>Francis</b:First>
          </b:Person>
          <b:Person>
            <b:Last>Weaver</b:Last>
            <b:First>Graham</b:First>
          </b:Person>
          <b:Person>
            <b:Last>Wood</b:Last>
            <b:First>Dominic</b:First>
          </b:Person>
        </b:NameList>
      </b:Author>
    </b:Author>
    <b:RefOrder>25</b:RefOrder>
  </b:Source>
  <b:Source>
    <b:Tag>Min15</b:Tag>
    <b:SourceType>DocumentFromInternetSite</b:SourceType>
    <b:Guid>{10FFDBBC-DBE1-48F9-82F2-D5CBF764B3A8}</b:Guid>
    <b:Title>Criminal Procedure and Investigations Act 1996 (Section 23(1)) - Code of Practice</b:Title>
    <b:Year>2015</b:Year>
    <b:Author>
      <b:Author>
        <b:Corporate>Ministry of Justice</b:Corporate>
      </b:Author>
    </b:Author>
    <b:Month>04</b:Month>
    <b:Day>15</b:Day>
    <b:YearAccessed>2023</b:YearAccessed>
    <b:MonthAccessed>07</b:MonthAccessed>
    <b:DayAccessed>01</b:DayAccessed>
    <b:URL>https://assets.publishing.service.gov.uk/government/uploads/system/uploads/attachment_data/file/447967/code-of-practice-approved.pdf</b:URL>
    <b:RefOrder>26</b:RefOrder>
  </b:Source>
  <b:Source>
    <b:Tag>Roy19</b:Tag>
    <b:SourceType>Book</b:SourceType>
    <b:Guid>{670061C6-49A8-458A-90EE-786104DBE4FE}</b:Guid>
    <b:Title>Decision Making in Police Enquiries and Critical Incidents What Really Works?</b:Title>
    <b:Year>2019</b:Year>
    <b:Publisher>Palgrave Macmillan UK</b:Publisher>
    <b:Edition>1st</b:Edition>
    <b:Author>
      <b:Author>
        <b:NameList>
          <b:Person>
            <b:Last>Roycroft</b:Last>
            <b:First>Mark</b:First>
          </b:Person>
          <b:Person>
            <b:Last>Roach</b:Last>
            <b:First>Jason</b:First>
          </b:Person>
        </b:NameList>
      </b:Author>
    </b:Author>
    <b:RefOrder>27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56C203-6694-45FA-9788-E6367F342893}">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38</Pages>
  <Words>7892</Words>
  <Characters>44986</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Sean Holmes</cp:lastModifiedBy>
  <cp:revision>334</cp:revision>
  <cp:lastPrinted>2019-08-13T11:47:00Z</cp:lastPrinted>
  <dcterms:created xsi:type="dcterms:W3CDTF">2019-08-13T11:48:00Z</dcterms:created>
  <dcterms:modified xsi:type="dcterms:W3CDTF">2023-07-01T15:59:00Z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