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707CA7" w14:textId="607C4108" w:rsidR="7A197E2D" w:rsidRDefault="074126D3" w:rsidP="074126D3">
      <w:pPr>
        <w:rPr>
          <w:rFonts w:ascii="Open Sans" w:eastAsia="Open Sans" w:hAnsi="Open Sans" w:cs="Open Sans"/>
          <w:color w:val="000000" w:themeColor="text1"/>
          <w:sz w:val="19"/>
          <w:szCs w:val="19"/>
        </w:rPr>
      </w:pPr>
      <w:r>
        <w:t>The following essay will explore the Ecological theory proposed by Bronfenbrenner (1979), particularly focusing on the key developmental stages of children and further discussing barriers to development, also this essay will be looking at ways to overcome the barriers, moreover, this essay will be summarising everything and emphasis what has been discussed.</w:t>
      </w:r>
    </w:p>
    <w:p w14:paraId="3FC95907" w14:textId="7CA837C1" w:rsidR="7A197E2D" w:rsidRDefault="074126D3" w:rsidP="074126D3">
      <w:pPr>
        <w:rPr>
          <w:rFonts w:ascii="Open Sans" w:eastAsia="Open Sans" w:hAnsi="Open Sans" w:cs="Open Sans"/>
          <w:color w:val="000000" w:themeColor="text1"/>
          <w:sz w:val="19"/>
          <w:szCs w:val="19"/>
        </w:rPr>
      </w:pPr>
      <w:r>
        <w:t>The Ecological theory is proposed to be influential in work with children and young people. (</w:t>
      </w:r>
      <w:proofErr w:type="spellStart"/>
      <w:r>
        <w:t>Derksen</w:t>
      </w:r>
      <w:proofErr w:type="spellEnd"/>
      <w:r>
        <w:t>. 2010) “</w:t>
      </w:r>
      <w:r w:rsidRPr="074126D3">
        <w:rPr>
          <w:rFonts w:ascii="Calibri" w:eastAsia="Calibri" w:hAnsi="Calibri" w:cs="Calibri"/>
        </w:rPr>
        <w:t xml:space="preserve">This theory has recently been renamed “bioecological systems theory” to emphasize that a child’s own biology is a primary environment fuelling their development”. </w:t>
      </w:r>
      <w:r w:rsidRPr="074126D3">
        <w:rPr>
          <w:rFonts w:ascii="Open Sans" w:eastAsia="Open Sans" w:hAnsi="Open Sans" w:cs="Open Sans"/>
          <w:color w:val="000000" w:themeColor="text1"/>
          <w:sz w:val="19"/>
          <w:szCs w:val="19"/>
        </w:rPr>
        <w:t xml:space="preserve">(Ryan and Paquette, 2001) this quote shows that changes in either of the systems proposed by Bronfenbrenner will cause a ripple effect within other systems, which will eventually cause there to be an impact on the child’s development. </w:t>
      </w:r>
    </w:p>
    <w:p w14:paraId="4AC86C14" w14:textId="0DCD169F" w:rsidR="00AC2DE2" w:rsidRDefault="7A197E2D" w:rsidP="7A197E2D">
      <w:r>
        <w:t>The ecological theory outlines how human development is related to various types of environmental systems (</w:t>
      </w:r>
      <w:proofErr w:type="spellStart"/>
      <w:r>
        <w:t>Ettekal</w:t>
      </w:r>
      <w:proofErr w:type="spellEnd"/>
      <w:r>
        <w:t xml:space="preserve"> and Mahoney, 2017). According to Bronfenbrenner (1979), there a four specific types of environmental systems, the first being the Micro-system. This is when people are in direct contact with individuals such as family, friends, teachers etc.  Organised out of school activities, consisting of different forms such as sports, academic clubs, projects etc are one such example of the micro-system. At this stage the relationships within the child’s life have an impact on the child’s life, these impacts go both towards and away the child. The second system is known as the Meso-system whereby an individual Is influenced by others in the system e.g. family relationships and school. A person</w:t>
      </w:r>
      <w:r w:rsidRPr="7A197E2D">
        <w:t xml:space="preserve">'s family experiences therefore can influence their school experiences. This system helps to explain the relationship between poor performance at school and neglect at home, potentially causing delay in the child’s overall intellectual development. The third stage, known as </w:t>
      </w:r>
      <w:proofErr w:type="gramStart"/>
      <w:r w:rsidRPr="7A197E2D">
        <w:t>the Exo-system,</w:t>
      </w:r>
      <w:proofErr w:type="gramEnd"/>
      <w:r w:rsidRPr="7A197E2D">
        <w:t xml:space="preserve"> involves the child’s indirect environment. For example, a member of family who works away. Whilst the child is not directly involved at this level, it can influence positive or negative emotions and behaviours.  The Macro-system comprises of cultural and social values, economic and political systems which shapes the child’s beliefs and ideas. Children living in war-torn countries for example will undergo different forms of development than in areas that are not war-torn. Chrono-system which is the final system in Bronfenbrenner’s ecological system theory. This system focuses on the change and constancy surrounding a child’s environment. This may involve changes such as family structure, e.g</w:t>
      </w:r>
      <w:r>
        <w:t xml:space="preserve">. parents getting divorced or parent’s employment status. </w:t>
      </w:r>
    </w:p>
    <w:p w14:paraId="4832782F" w14:textId="521BFEF9" w:rsidR="200F135F" w:rsidRDefault="074126D3" w:rsidP="074126D3">
      <w:pPr>
        <w:rPr>
          <w:color w:val="000000" w:themeColor="text1"/>
        </w:rPr>
      </w:pPr>
      <w:r>
        <w:t>Bronfenbrenner (2002, 263-266) defined the systems more precise by paying attention towards the child’s overall environment. (</w:t>
      </w:r>
      <w:proofErr w:type="spellStart"/>
      <w:r>
        <w:t>Härkönen</w:t>
      </w:r>
      <w:proofErr w:type="spellEnd"/>
      <w:r>
        <w:t xml:space="preserve">. 2007). Bronfenbrenner’s theory (1979) has proposed the areas that children should be able to interact with the different systems in order to develop ecologically. Throughout a child’s life, there are specific milestones that they should be meeting, </w:t>
      </w:r>
      <w:r w:rsidRPr="074126D3">
        <w:rPr>
          <w:color w:val="000000" w:themeColor="text1"/>
        </w:rPr>
        <w:t xml:space="preserve">the majority of children meet their milestones on time, some of these milestones include, beginning to smile at people, starting to make noise e.g. cooing, holding their head up, crying in hunger and pain, lets parents/carers know she is happy or sad, rolling on their tummy and back, eventually the children will be able to sit without support, they begin to show favouritism towards their toys, at around nine months a child starts to develop their fine motor skills by holding objects between their fingers, at this age they start to develop their physical development more by being able to pull themselves to a standing position, at the age of one or around that age a child starts to develop their spoken communication further, for example they are able to say no and bye </w:t>
      </w:r>
      <w:proofErr w:type="spellStart"/>
      <w:r w:rsidRPr="074126D3">
        <w:rPr>
          <w:color w:val="000000" w:themeColor="text1"/>
        </w:rPr>
        <w:t>bye</w:t>
      </w:r>
      <w:proofErr w:type="spellEnd"/>
      <w:r w:rsidRPr="074126D3">
        <w:rPr>
          <w:color w:val="000000" w:themeColor="text1"/>
        </w:rPr>
        <w:t xml:space="preserve"> to others, they are also able to say mama and dada. A child’s development continues until they die, you never stop developing (CDC, 2009), Bronfenbrenner’s theory (1979) emphasis this </w:t>
      </w:r>
      <w:proofErr w:type="gramStart"/>
      <w:r w:rsidRPr="074126D3">
        <w:rPr>
          <w:color w:val="000000" w:themeColor="text1"/>
        </w:rPr>
        <w:t>and also</w:t>
      </w:r>
      <w:proofErr w:type="gramEnd"/>
      <w:r w:rsidRPr="074126D3">
        <w:rPr>
          <w:color w:val="000000" w:themeColor="text1"/>
        </w:rPr>
        <w:t xml:space="preserve"> </w:t>
      </w:r>
      <w:proofErr w:type="spellStart"/>
      <w:r w:rsidRPr="074126D3">
        <w:rPr>
          <w:color w:val="000000" w:themeColor="text1"/>
        </w:rPr>
        <w:t>emphasis</w:t>
      </w:r>
      <w:proofErr w:type="spellEnd"/>
      <w:r w:rsidRPr="074126D3">
        <w:rPr>
          <w:color w:val="000000" w:themeColor="text1"/>
        </w:rPr>
        <w:t xml:space="preserve"> the need for your environment.</w:t>
      </w:r>
    </w:p>
    <w:p w14:paraId="7A131B00" w14:textId="4C58912A" w:rsidR="074126D3" w:rsidRDefault="074126D3">
      <w:r>
        <w:lastRenderedPageBreak/>
        <w:t>“Children are like wet cement. Whatever falls on them makes an impression” (</w:t>
      </w:r>
      <w:proofErr w:type="spellStart"/>
      <w:r>
        <w:t>Dr.</w:t>
      </w:r>
      <w:proofErr w:type="spellEnd"/>
      <w:r>
        <w:t xml:space="preserve"> Haim </w:t>
      </w:r>
      <w:proofErr w:type="spellStart"/>
      <w:r>
        <w:t>Ginott</w:t>
      </w:r>
      <w:proofErr w:type="spellEnd"/>
      <w:r>
        <w:t>, Early Child Development: A Conceptual Model p3) this shows that children’s development is reliant on those around them which is what Bronfenbrenner’s theory is based on,</w:t>
      </w:r>
    </w:p>
    <w:p w14:paraId="29871802" w14:textId="165FBBD9" w:rsidR="7A197E2D" w:rsidRDefault="074126D3" w:rsidP="074126D3">
      <w:pPr>
        <w:rPr>
          <w:rFonts w:ascii="Open Sans" w:eastAsia="Open Sans" w:hAnsi="Open Sans" w:cs="Open Sans"/>
          <w:color w:val="666666"/>
          <w:sz w:val="19"/>
          <w:szCs w:val="19"/>
        </w:rPr>
      </w:pPr>
      <w:r>
        <w:t xml:space="preserve">There are several factors that can delay a child’s milestones.  These include factors such as change in family dynamics </w:t>
      </w:r>
      <w:proofErr w:type="spellStart"/>
      <w:r>
        <w:t>e.g</w:t>
      </w:r>
      <w:proofErr w:type="spellEnd"/>
      <w:r>
        <w:t xml:space="preserve"> divorce as stated above. Other factors may result from illness or disability. Furthermore, there are factors that are not necessarily due to a child’s upbringing, family dynamics, illness etc. Illnesses such as type one diabetes can cause a delay in development as well as </w:t>
      </w:r>
      <w:proofErr w:type="spellStart"/>
      <w:proofErr w:type="gramStart"/>
      <w:r>
        <w:t>a</w:t>
      </w:r>
      <w:proofErr w:type="spellEnd"/>
      <w:proofErr w:type="gramEnd"/>
      <w:r>
        <w:t xml:space="preserve"> increase in development as there are many factors that come with type one. A child diagnosed with type one has more struggles in their lives because there is an unexplainable burden on the parents of the child to ensure that the child is well taken care of and that their blood glucose stays within a safe range, moreover, a parents stress level can be extremely heightened during the course of the day and more so in the night. Educational development can be delayed as children with T1D are not always offered support within schools. Further management of T1D is complicated by the physical, intellectual, emotional, and social development alongside behavioural development. Hypoglycaemia causes a range of reactions, these include temper tantrums and misbehaving, parents, care givers, teachers etc, must manage these symptoms without labelling the child as misbehaving, these symptoms can cause children to become more aggressive which will lead to the withdrawal from others. Bronfenbrenner’s (1979) systems suggest that a delay in one system will have a delay in another system. Poverty has an impact on children with type one diabetes because they are not able to afford the best food for good nutrition, this impacts their blood glucose because they are not eating healthy carbs, rather they are eating carbs they are able to afford. The meso-system in Bronfenbrenner's (1979) is based upon the influence of others in the system, a child in poverty is influenced by those around them, if they grow up in poverty, they are likely to always live in poverty. Type one diabetes also has an impact on children’s physical development, giving children the opportunity to physically develop through exercise can be difficult, especially is they live in poverty, team sports such as football and other high intensity sports such as gymnastics cost a lot of money, children with T1D need physical activity to increase insulin absorption, their overall development will be delayed, this is also through influences from the microsystem also known as the child's immediate family. </w:t>
      </w:r>
      <w:r w:rsidRPr="074126D3">
        <w:rPr>
          <w:rFonts w:ascii="Calibri" w:eastAsia="Calibri" w:hAnsi="Calibri" w:cs="Calibri"/>
          <w:color w:val="000000" w:themeColor="text1"/>
        </w:rPr>
        <w:t>(Streisand and Monaghan, 2014)</w:t>
      </w:r>
    </w:p>
    <w:p w14:paraId="314A7928" w14:textId="227A3A07" w:rsidR="7A197E2D" w:rsidRDefault="074126D3" w:rsidP="074126D3">
      <w:pPr>
        <w:rPr>
          <w:rFonts w:ascii="Calibri" w:eastAsia="Calibri" w:hAnsi="Calibri" w:cs="Calibri"/>
          <w:color w:val="000000" w:themeColor="text1"/>
        </w:rPr>
      </w:pPr>
      <w:r w:rsidRPr="074126D3">
        <w:rPr>
          <w:rFonts w:ascii="Calibri" w:eastAsia="Calibri" w:hAnsi="Calibri" w:cs="Calibri"/>
          <w:color w:val="000000" w:themeColor="text1"/>
        </w:rPr>
        <w:t xml:space="preserve">There are ways to overcome these barriers to development with children who have type one diabetes, having teachers and friends who understand the struggles that a child with type one faces </w:t>
      </w:r>
      <w:proofErr w:type="gramStart"/>
      <w:r w:rsidRPr="074126D3">
        <w:rPr>
          <w:rFonts w:ascii="Calibri" w:eastAsia="Calibri" w:hAnsi="Calibri" w:cs="Calibri"/>
          <w:color w:val="000000" w:themeColor="text1"/>
        </w:rPr>
        <w:t>on a daily basis</w:t>
      </w:r>
      <w:proofErr w:type="gramEnd"/>
      <w:r w:rsidRPr="074126D3">
        <w:rPr>
          <w:rFonts w:ascii="Calibri" w:eastAsia="Calibri" w:hAnsi="Calibri" w:cs="Calibri"/>
          <w:color w:val="000000" w:themeColor="text1"/>
        </w:rPr>
        <w:t xml:space="preserve"> will help them to develop at a normal rate and work well alongside their peers. Furthermore, there are many barriers to overcome with poverty, this includes having people in the mesosystem who help and give the child the opportunity to remove themselves from poverty in order to live a life that is safe for the diabetes management along with giving them more opportunity to interact with those in the different systems.</w:t>
      </w:r>
    </w:p>
    <w:p w14:paraId="3DFF539F" w14:textId="11ED930C" w:rsidR="7A197E2D" w:rsidRDefault="074126D3" w:rsidP="074126D3">
      <w:r>
        <w:t xml:space="preserve">Physical barriers cause a serious impact on the development of a child, barriers including childhood obesity, low social interactions. Bronfenbrenner’s theory suggests that children need social interactions in order to fully develop, a child who lacks in any form of physical development is delayed in all systems of Bronfenbrenner (1979) systems. </w:t>
      </w:r>
    </w:p>
    <w:p w14:paraId="50DEA009" w14:textId="50DD7F6B" w:rsidR="7A197E2D" w:rsidRDefault="074126D3" w:rsidP="074126D3">
      <w:pPr>
        <w:rPr>
          <w:rFonts w:ascii="Calibri" w:eastAsia="Calibri" w:hAnsi="Calibri" w:cs="Calibri"/>
        </w:rPr>
      </w:pPr>
      <w:r>
        <w:t>Schools have policies in place to overcome these barriers, these include ‘</w:t>
      </w:r>
      <w:r w:rsidRPr="074126D3">
        <w:rPr>
          <w:rFonts w:ascii="Calibri" w:eastAsia="Calibri" w:hAnsi="Calibri" w:cs="Calibri"/>
        </w:rPr>
        <w:t xml:space="preserve">Healthy eating in maintained schools’ (Welsh Government, 2014) this initiative ensures that children are eating a healthy balanced diet while in school and giving children the opportunity to learn about good and bad foods and showing them what drinks are able to be taken into school and what drinks they are not able to take into school, this fights childhood obesity because children are given the correct </w:t>
      </w:r>
      <w:r w:rsidRPr="074126D3">
        <w:rPr>
          <w:rFonts w:ascii="Calibri" w:eastAsia="Calibri" w:hAnsi="Calibri" w:cs="Calibri"/>
        </w:rPr>
        <w:lastRenderedPageBreak/>
        <w:t>nutrients in school. Children need social interactions, schools encourage this by giving children the opportunity to play group games, which is overcoming low social interaction in children.</w:t>
      </w:r>
    </w:p>
    <w:p w14:paraId="0F34CE80" w14:textId="7030DDD4" w:rsidR="7A197E2D" w:rsidRDefault="074126D3" w:rsidP="074126D3">
      <w:r>
        <w:t xml:space="preserve">Furthermore, there are outside forces such as technology that can be a barrier towards a child’s development, technology has a major impact on children’s lives, a child from a poor background may not have the advantages of technology in their homes, that children from a more financial background. </w:t>
      </w:r>
    </w:p>
    <w:p w14:paraId="048CEEBA" w14:textId="484BDBD9" w:rsidR="074126D3" w:rsidRDefault="074126D3" w:rsidP="074126D3">
      <w:r>
        <w:t xml:space="preserve">Technology is something that children from a poor background may not experience at home like children from a more financial background, schools are giving children the opportunity to experience technology through laptops and </w:t>
      </w:r>
      <w:proofErr w:type="spellStart"/>
      <w:r>
        <w:t>ipads</w:t>
      </w:r>
      <w:proofErr w:type="spellEnd"/>
      <w:r>
        <w:t>, most of children's work is now done digitally, there are also interactive games that children are able to play on during their free play, these games give children the opportunity to learn new things while playing with their friends, this also helps to overcome the low social interaction.</w:t>
      </w:r>
    </w:p>
    <w:p w14:paraId="774C02DB" w14:textId="166CEA04" w:rsidR="074126D3" w:rsidRDefault="074126D3" w:rsidP="074126D3">
      <w:r>
        <w:t xml:space="preserve">To recap this essay, Bronfenbrenner (1979) proposed an ecological theory which summarises the interactions that a child faces in their lives, the first system involves a child’s immediate environment, the second is what influences a child, the third being the child’s indirect environment, moreover, there is then the fourth being the policies and procedures that are a part of their life, and the final system focuses on the change in the child’s environment. The theory suggests that children need to be able to interact fully with the different systems in order to fully develop ecologically. Milestones are something that every child will meet, whether that is on time or later than others, children need to be able to meet them in order to fully develop. Simple skills such as rolling over onto their tummy and back, while it seems like a simple skill to master, some babies are not able to master the skill at the same time as others, this is not always bad, however, it can be the cause of a further health condition. Bronfenbrenner’s (1979) theory shows that children never stop developing and that the theory is used throughout a person’s lifetime. Barriers to milestones have a detrimental impact on a child, as stated above there are various impacts on a child’s development, illness being a huge factor, children need so be able to develop completely in order to fulfil their life. Overcoming all the barriers requires team work, giving children the best opportunities within school and their community, this will overall become treasures parts of a child’s life. Overall Bronfenbrenner (1979) had an impact on the world of theory as someone who has taken the work of other theorists and turned it into his own, giving the world something to work with in relation to child development and something that children are easily able to understand. His work has influenced other theorists and shows how a child needs their environment in order to fully develop. </w:t>
      </w:r>
    </w:p>
    <w:p w14:paraId="56B14C10" w14:textId="753B41EA" w:rsidR="200F135F" w:rsidRDefault="200F135F" w:rsidP="074126D3">
      <w:pPr>
        <w:rPr>
          <w:color w:val="000000" w:themeColor="text1"/>
        </w:rPr>
      </w:pPr>
    </w:p>
    <w:p w14:paraId="4814BFAC" w14:textId="58948C9F" w:rsidR="00553ECA" w:rsidRDefault="074126D3">
      <w:r>
        <w:t>References</w:t>
      </w:r>
      <w:bookmarkStart w:id="0" w:name="_GoBack"/>
      <w:bookmarkEnd w:id="0"/>
    </w:p>
    <w:p w14:paraId="141E1DF1" w14:textId="77777777" w:rsidR="00384329" w:rsidRDefault="00384329" w:rsidP="074126D3">
      <w:pPr>
        <w:pStyle w:val="ListParagraph"/>
        <w:numPr>
          <w:ilvl w:val="0"/>
          <w:numId w:val="1"/>
        </w:numPr>
        <w:rPr>
          <w:color w:val="000000" w:themeColor="text1"/>
          <w:sz w:val="19"/>
          <w:szCs w:val="19"/>
        </w:rPr>
      </w:pPr>
      <w:r w:rsidRPr="074126D3">
        <w:rPr>
          <w:rFonts w:ascii="Open Sans" w:eastAsia="Open Sans" w:hAnsi="Open Sans" w:cs="Open Sans"/>
          <w:color w:val="000000" w:themeColor="text1"/>
          <w:sz w:val="19"/>
          <w:szCs w:val="19"/>
        </w:rPr>
        <w:t xml:space="preserve">Cdc.gov. (2009). </w:t>
      </w:r>
      <w:r w:rsidRPr="074126D3">
        <w:rPr>
          <w:rFonts w:ascii="Calibri" w:eastAsia="Calibri" w:hAnsi="Calibri" w:cs="Calibri"/>
          <w:i/>
          <w:iCs/>
        </w:rPr>
        <w:t>Milestone Moments</w:t>
      </w:r>
      <w:r w:rsidRPr="074126D3">
        <w:rPr>
          <w:rFonts w:ascii="Calibri" w:eastAsia="Calibri" w:hAnsi="Calibri" w:cs="Calibri"/>
        </w:rPr>
        <w:t xml:space="preserve">. [online] Available at: </w:t>
      </w:r>
      <w:hyperlink r:id="rId5">
        <w:r w:rsidRPr="074126D3">
          <w:rPr>
            <w:rStyle w:val="Hyperlink"/>
            <w:rFonts w:ascii="Open Sans" w:eastAsia="Open Sans" w:hAnsi="Open Sans" w:cs="Open Sans"/>
            <w:color w:val="000000" w:themeColor="text1"/>
            <w:sz w:val="19"/>
            <w:szCs w:val="19"/>
          </w:rPr>
          <w:t>https://www.cdc.gov/ncbddd/actearly/pdf/parents_pdfs/milestonemomentseng508.pd</w:t>
        </w:r>
        <w:r w:rsidRPr="074126D3">
          <w:rPr>
            <w:rStyle w:val="Hyperlink"/>
            <w:rFonts w:ascii="Calibri" w:eastAsia="Calibri" w:hAnsi="Calibri" w:cs="Calibri"/>
            <w:color w:val="000000" w:themeColor="text1"/>
            <w:sz w:val="18"/>
            <w:szCs w:val="18"/>
          </w:rPr>
          <w:t>f</w:t>
        </w:r>
      </w:hyperlink>
      <w:r w:rsidRPr="074126D3">
        <w:rPr>
          <w:rFonts w:ascii="Open Sans" w:eastAsia="Open Sans" w:hAnsi="Open Sans" w:cs="Open Sans"/>
          <w:color w:val="000000" w:themeColor="text1"/>
          <w:sz w:val="19"/>
          <w:szCs w:val="19"/>
        </w:rPr>
        <w:t xml:space="preserve">  [Accessed 15 May 2019]. </w:t>
      </w:r>
    </w:p>
    <w:p w14:paraId="626F6F4E" w14:textId="77777777" w:rsidR="00384329" w:rsidRPr="00384329" w:rsidRDefault="00384329" w:rsidP="074126D3">
      <w:pPr>
        <w:pStyle w:val="ListParagraph"/>
        <w:numPr>
          <w:ilvl w:val="0"/>
          <w:numId w:val="1"/>
        </w:numPr>
        <w:rPr>
          <w:rStyle w:val="selectable"/>
          <w:color w:val="000000" w:themeColor="text1"/>
          <w:sz w:val="19"/>
          <w:szCs w:val="19"/>
        </w:rPr>
      </w:pPr>
      <w:r>
        <w:rPr>
          <w:rStyle w:val="selectable"/>
          <w:rFonts w:ascii="&amp;quot" w:hAnsi="&amp;quot"/>
          <w:color w:val="000000"/>
          <w:sz w:val="20"/>
          <w:szCs w:val="20"/>
        </w:rPr>
        <w:t xml:space="preserve">Christensen, J. (2016). </w:t>
      </w:r>
      <w:r>
        <w:rPr>
          <w:rStyle w:val="selectable"/>
          <w:rFonts w:ascii="&amp;quot" w:hAnsi="&amp;quot"/>
          <w:i/>
          <w:iCs/>
          <w:color w:val="000000"/>
          <w:sz w:val="20"/>
          <w:szCs w:val="20"/>
        </w:rPr>
        <w:t>A critical reflection of Bronfenbrenner's development ecology model</w:t>
      </w:r>
      <w:r>
        <w:rPr>
          <w:rStyle w:val="selectable"/>
          <w:rFonts w:ascii="&amp;quot" w:hAnsi="&amp;quot"/>
          <w:color w:val="000000"/>
          <w:sz w:val="20"/>
          <w:szCs w:val="20"/>
        </w:rPr>
        <w:t xml:space="preserve">. [online] research gate. Available at: </w:t>
      </w:r>
      <w:hyperlink r:id="rId6" w:history="1">
        <w:r w:rsidRPr="00EA7A37">
          <w:rPr>
            <w:rStyle w:val="Hyperlink"/>
            <w:rFonts w:ascii="&amp;quot" w:hAnsi="&amp;quot"/>
            <w:sz w:val="20"/>
            <w:szCs w:val="20"/>
          </w:rPr>
          <w:t>http://file:///C:/Users/Student/AppData/Local/Packages/Microsoft.MicrosoftEdge_8wekyb3d8bbwe/TempState/Downloads/ACriticalReflectionofBronfenbrDevEcologyModelApril16%20(1).pdf</w:t>
        </w:r>
      </w:hyperlink>
      <w:r>
        <w:rPr>
          <w:rStyle w:val="selectable"/>
          <w:rFonts w:ascii="&amp;quot" w:hAnsi="&amp;quot"/>
          <w:color w:val="000000"/>
          <w:sz w:val="20"/>
          <w:szCs w:val="20"/>
        </w:rPr>
        <w:t xml:space="preserve">  </w:t>
      </w:r>
      <w:r>
        <w:rPr>
          <w:rStyle w:val="selectable"/>
          <w:rFonts w:ascii="&amp;quot" w:hAnsi="&amp;quot"/>
          <w:color w:val="000000"/>
          <w:sz w:val="20"/>
          <w:szCs w:val="20"/>
        </w:rPr>
        <w:t xml:space="preserve"> [Accessed 18 May</w:t>
      </w:r>
    </w:p>
    <w:p w14:paraId="680DEB7C" w14:textId="77777777" w:rsidR="00384329" w:rsidRDefault="00384329" w:rsidP="074126D3">
      <w:pPr>
        <w:pStyle w:val="ListParagraph"/>
        <w:numPr>
          <w:ilvl w:val="0"/>
          <w:numId w:val="1"/>
        </w:numPr>
        <w:rPr>
          <w:color w:val="000000" w:themeColor="text1"/>
          <w:sz w:val="19"/>
          <w:szCs w:val="19"/>
        </w:rPr>
      </w:pPr>
      <w:proofErr w:type="spellStart"/>
      <w:r w:rsidRPr="074126D3">
        <w:rPr>
          <w:rFonts w:ascii="Calibri" w:eastAsia="Calibri" w:hAnsi="Calibri" w:cs="Calibri"/>
          <w:color w:val="000000" w:themeColor="text1"/>
          <w:sz w:val="19"/>
          <w:szCs w:val="19"/>
        </w:rPr>
        <w:t>Derksen</w:t>
      </w:r>
      <w:proofErr w:type="spellEnd"/>
      <w:r w:rsidRPr="074126D3">
        <w:rPr>
          <w:rFonts w:ascii="Calibri" w:eastAsia="Calibri" w:hAnsi="Calibri" w:cs="Calibri"/>
          <w:color w:val="000000" w:themeColor="text1"/>
          <w:sz w:val="19"/>
          <w:szCs w:val="19"/>
        </w:rPr>
        <w:t xml:space="preserve">, T. (2010). The Influence of Ecological Theory in Child and Youth Care: A Review of the Literature. </w:t>
      </w:r>
      <w:r w:rsidRPr="074126D3">
        <w:rPr>
          <w:rFonts w:ascii="Calibri" w:eastAsia="Calibri" w:hAnsi="Calibri" w:cs="Calibri"/>
          <w:i/>
          <w:iCs/>
        </w:rPr>
        <w:t>International Journal of Child, Youth and Family Studies</w:t>
      </w:r>
      <w:r w:rsidRPr="074126D3">
        <w:rPr>
          <w:rFonts w:ascii="Calibri" w:eastAsia="Calibri" w:hAnsi="Calibri" w:cs="Calibri"/>
        </w:rPr>
        <w:t xml:space="preserve">, [online] 1(3/4), pp.326-339. Available at: </w:t>
      </w:r>
      <w:hyperlink r:id="rId7">
        <w:r w:rsidRPr="074126D3">
          <w:rPr>
            <w:rStyle w:val="Hyperlink"/>
            <w:rFonts w:ascii="Calibri" w:eastAsia="Calibri" w:hAnsi="Calibri" w:cs="Calibri"/>
            <w:color w:val="000000" w:themeColor="text1"/>
            <w:sz w:val="19"/>
            <w:szCs w:val="19"/>
          </w:rPr>
          <w:t>http://file:///C:/Users/Student/AppData/Local/Packages/Microsoft.MicrosoftEdge_8wekyb3d8bbwe/TempState/Downloads/2091-1815-1-PB%20(1).pdf</w:t>
        </w:r>
      </w:hyperlink>
      <w:r w:rsidRPr="074126D3">
        <w:rPr>
          <w:rFonts w:ascii="Calibri" w:eastAsia="Calibri" w:hAnsi="Calibri" w:cs="Calibri"/>
          <w:color w:val="000000" w:themeColor="text1"/>
          <w:sz w:val="19"/>
          <w:szCs w:val="19"/>
        </w:rPr>
        <w:t xml:space="preserve">  [Accessed 9 May 2019]. </w:t>
      </w:r>
    </w:p>
    <w:p w14:paraId="790FE051" w14:textId="77777777" w:rsidR="00384329" w:rsidRDefault="00384329" w:rsidP="074126D3">
      <w:pPr>
        <w:pStyle w:val="ListParagraph"/>
        <w:numPr>
          <w:ilvl w:val="0"/>
          <w:numId w:val="1"/>
        </w:numPr>
        <w:rPr>
          <w:color w:val="000000" w:themeColor="text1"/>
          <w:sz w:val="19"/>
          <w:szCs w:val="19"/>
        </w:rPr>
      </w:pPr>
      <w:proofErr w:type="spellStart"/>
      <w:r w:rsidRPr="074126D3">
        <w:rPr>
          <w:rFonts w:ascii="Calibri" w:eastAsia="Calibri" w:hAnsi="Calibri" w:cs="Calibri"/>
          <w:color w:val="000000" w:themeColor="text1"/>
          <w:sz w:val="19"/>
          <w:szCs w:val="19"/>
        </w:rPr>
        <w:t>Ettekal</w:t>
      </w:r>
      <w:proofErr w:type="spellEnd"/>
      <w:r w:rsidRPr="074126D3">
        <w:rPr>
          <w:rFonts w:ascii="Calibri" w:eastAsia="Calibri" w:hAnsi="Calibri" w:cs="Calibri"/>
          <w:color w:val="000000" w:themeColor="text1"/>
          <w:sz w:val="19"/>
          <w:szCs w:val="19"/>
        </w:rPr>
        <w:t xml:space="preserve">. A, Mahoney. </w:t>
      </w:r>
      <w:proofErr w:type="gramStart"/>
      <w:r w:rsidRPr="074126D3">
        <w:rPr>
          <w:rFonts w:ascii="Calibri" w:eastAsia="Calibri" w:hAnsi="Calibri" w:cs="Calibri"/>
          <w:color w:val="000000" w:themeColor="text1"/>
          <w:sz w:val="19"/>
          <w:szCs w:val="19"/>
        </w:rPr>
        <w:t>L,J.</w:t>
      </w:r>
      <w:proofErr w:type="gramEnd"/>
      <w:r w:rsidRPr="074126D3">
        <w:rPr>
          <w:rFonts w:ascii="Calibri" w:eastAsia="Calibri" w:hAnsi="Calibri" w:cs="Calibri"/>
          <w:color w:val="000000" w:themeColor="text1"/>
          <w:sz w:val="19"/>
          <w:szCs w:val="19"/>
        </w:rPr>
        <w:t xml:space="preserve"> (2017) ‘Ecological Systems Theory’, </w:t>
      </w:r>
      <w:r w:rsidRPr="074126D3">
        <w:rPr>
          <w:rFonts w:ascii="Calibri" w:eastAsia="Calibri" w:hAnsi="Calibri" w:cs="Calibri"/>
          <w:i/>
          <w:iCs/>
        </w:rPr>
        <w:t xml:space="preserve">sage publications, </w:t>
      </w:r>
      <w:r w:rsidRPr="074126D3">
        <w:rPr>
          <w:rFonts w:ascii="Calibri" w:eastAsia="Calibri" w:hAnsi="Calibri" w:cs="Calibri"/>
        </w:rPr>
        <w:t xml:space="preserve">p239-24. (online) Available at: </w:t>
      </w:r>
      <w:hyperlink r:id="rId8">
        <w:r w:rsidRPr="074126D3">
          <w:rPr>
            <w:rStyle w:val="Hyperlink"/>
            <w:rFonts w:ascii="Calibri" w:eastAsia="Calibri" w:hAnsi="Calibri" w:cs="Calibri"/>
            <w:color w:val="0563C1"/>
            <w:sz w:val="19"/>
            <w:szCs w:val="19"/>
          </w:rPr>
          <w:t>file:///C:/Users/Student/AppData/Local/Packages/Microsoft.MicrosoftEdge_8wekyb3d8bbwe/TempState/Downloads/EttekalMahoneySageEncycEST2017%20(1).pdf</w:t>
        </w:r>
      </w:hyperlink>
      <w:r w:rsidRPr="074126D3">
        <w:rPr>
          <w:rFonts w:ascii="Calibri" w:eastAsia="Calibri" w:hAnsi="Calibri" w:cs="Calibri"/>
          <w:color w:val="0563C1"/>
          <w:sz w:val="19"/>
          <w:szCs w:val="19"/>
        </w:rPr>
        <w:t xml:space="preserve"> (accessed 9 May 2019)</w:t>
      </w:r>
      <w:r w:rsidRPr="074126D3">
        <w:rPr>
          <w:rFonts w:ascii="Calibri" w:eastAsia="Calibri" w:hAnsi="Calibri" w:cs="Calibri"/>
          <w:color w:val="000000" w:themeColor="text1"/>
          <w:sz w:val="19"/>
          <w:szCs w:val="19"/>
        </w:rPr>
        <w:t xml:space="preserve"> </w:t>
      </w:r>
    </w:p>
    <w:p w14:paraId="711D6F52" w14:textId="77777777" w:rsidR="00384329" w:rsidRDefault="00384329" w:rsidP="074126D3">
      <w:pPr>
        <w:pStyle w:val="ListParagraph"/>
        <w:numPr>
          <w:ilvl w:val="0"/>
          <w:numId w:val="1"/>
        </w:numPr>
        <w:rPr>
          <w:color w:val="000000" w:themeColor="text1"/>
        </w:rPr>
      </w:pPr>
      <w:proofErr w:type="spellStart"/>
      <w:r w:rsidRPr="074126D3">
        <w:rPr>
          <w:rFonts w:ascii="Calibri" w:eastAsia="Calibri" w:hAnsi="Calibri" w:cs="Calibri"/>
          <w:color w:val="000000" w:themeColor="text1"/>
        </w:rPr>
        <w:t>Härkönen</w:t>
      </w:r>
      <w:proofErr w:type="spellEnd"/>
      <w:r w:rsidRPr="074126D3">
        <w:rPr>
          <w:rFonts w:ascii="Calibri" w:eastAsia="Calibri" w:hAnsi="Calibri" w:cs="Calibri"/>
          <w:color w:val="000000" w:themeColor="text1"/>
        </w:rPr>
        <w:t xml:space="preserve">. U, (2007), ‘The Bronfenbrenner ecological systems theory of human development’ </w:t>
      </w:r>
      <w:r w:rsidRPr="074126D3">
        <w:rPr>
          <w:rFonts w:ascii="Calibri" w:eastAsia="Calibri" w:hAnsi="Calibri" w:cs="Calibri"/>
          <w:i/>
          <w:iCs/>
        </w:rPr>
        <w:t xml:space="preserve">University of Joensuu, Finland. </w:t>
      </w:r>
      <w:r w:rsidRPr="074126D3">
        <w:rPr>
          <w:rFonts w:ascii="Calibri" w:eastAsia="Calibri" w:hAnsi="Calibri" w:cs="Calibri"/>
        </w:rPr>
        <w:t xml:space="preserve">P1-16 (online) Available at: </w:t>
      </w:r>
      <w:hyperlink r:id="rId9">
        <w:r w:rsidRPr="074126D3">
          <w:rPr>
            <w:rStyle w:val="Hyperlink"/>
            <w:rFonts w:ascii="Calibri" w:eastAsia="Calibri" w:hAnsi="Calibri" w:cs="Calibri"/>
            <w:color w:val="0563C1"/>
          </w:rPr>
          <w:t>https://www.academia.edu/28694157/The_Bronfenbrenner_ecological_systems_theory_of_human_development</w:t>
        </w:r>
      </w:hyperlink>
      <w:r w:rsidRPr="074126D3">
        <w:rPr>
          <w:rFonts w:ascii="Calibri" w:eastAsia="Calibri" w:hAnsi="Calibri" w:cs="Calibri"/>
          <w:color w:val="0563C1"/>
        </w:rPr>
        <w:t xml:space="preserve"> (Accessed 9 May 2019) </w:t>
      </w:r>
      <w:r w:rsidRPr="074126D3">
        <w:rPr>
          <w:rFonts w:ascii="Calibri" w:eastAsia="Calibri" w:hAnsi="Calibri" w:cs="Calibri"/>
          <w:color w:val="000000" w:themeColor="text1"/>
        </w:rPr>
        <w:t xml:space="preserve"> </w:t>
      </w:r>
    </w:p>
    <w:p w14:paraId="11448C36" w14:textId="77777777" w:rsidR="00384329" w:rsidRDefault="00384329" w:rsidP="074126D3">
      <w:pPr>
        <w:pStyle w:val="ListParagraph"/>
        <w:numPr>
          <w:ilvl w:val="0"/>
          <w:numId w:val="1"/>
        </w:numPr>
        <w:rPr>
          <w:color w:val="000000" w:themeColor="text1"/>
          <w:sz w:val="19"/>
          <w:szCs w:val="19"/>
        </w:rPr>
      </w:pPr>
      <w:r w:rsidRPr="074126D3">
        <w:rPr>
          <w:rFonts w:ascii="Open Sans" w:eastAsia="Open Sans" w:hAnsi="Open Sans" w:cs="Open Sans"/>
          <w:color w:val="000000" w:themeColor="text1"/>
          <w:sz w:val="19"/>
          <w:szCs w:val="19"/>
        </w:rPr>
        <w:t xml:space="preserve">HQ, P. (2013). </w:t>
      </w:r>
      <w:r w:rsidRPr="074126D3">
        <w:rPr>
          <w:rFonts w:ascii="Calibri" w:eastAsia="Calibri" w:hAnsi="Calibri" w:cs="Calibri"/>
          <w:i/>
          <w:iCs/>
          <w:color w:val="000000" w:themeColor="text1"/>
          <w:sz w:val="19"/>
          <w:szCs w:val="19"/>
        </w:rPr>
        <w:t xml:space="preserve">What is Bronfenbrenner's Ecological Systems </w:t>
      </w:r>
      <w:proofErr w:type="gramStart"/>
      <w:r w:rsidRPr="074126D3">
        <w:rPr>
          <w:rFonts w:ascii="Calibri" w:eastAsia="Calibri" w:hAnsi="Calibri" w:cs="Calibri"/>
          <w:i/>
          <w:iCs/>
          <w:color w:val="000000" w:themeColor="text1"/>
          <w:sz w:val="19"/>
          <w:szCs w:val="19"/>
        </w:rPr>
        <w:t>Theory?</w:t>
      </w:r>
      <w:r w:rsidRPr="074126D3">
        <w:rPr>
          <w:rFonts w:ascii="Open Sans" w:eastAsia="Open Sans" w:hAnsi="Open Sans" w:cs="Open Sans"/>
          <w:color w:val="000000" w:themeColor="text1"/>
          <w:sz w:val="19"/>
          <w:szCs w:val="19"/>
        </w:rPr>
        <w:t>.</w:t>
      </w:r>
      <w:proofErr w:type="gramEnd"/>
      <w:r w:rsidRPr="074126D3">
        <w:rPr>
          <w:rFonts w:ascii="Open Sans" w:eastAsia="Open Sans" w:hAnsi="Open Sans" w:cs="Open Sans"/>
          <w:color w:val="000000" w:themeColor="text1"/>
          <w:sz w:val="19"/>
          <w:szCs w:val="19"/>
        </w:rPr>
        <w:t xml:space="preserve"> [online] Psychologynoteshq.com. Available at: </w:t>
      </w:r>
      <w:hyperlink r:id="rId10">
        <w:r w:rsidRPr="074126D3">
          <w:rPr>
            <w:rStyle w:val="Hyperlink"/>
            <w:rFonts w:ascii="Open Sans" w:eastAsia="Open Sans" w:hAnsi="Open Sans" w:cs="Open Sans"/>
            <w:color w:val="000000" w:themeColor="text1"/>
            <w:sz w:val="19"/>
            <w:szCs w:val="19"/>
          </w:rPr>
          <w:t>https://www.psychologynoteshq.com/bronfenbrenner-ecological-theory/</w:t>
        </w:r>
      </w:hyperlink>
      <w:r w:rsidRPr="074126D3">
        <w:rPr>
          <w:rFonts w:ascii="Open Sans" w:eastAsia="Open Sans" w:hAnsi="Open Sans" w:cs="Open Sans"/>
          <w:color w:val="000000" w:themeColor="text1"/>
          <w:sz w:val="19"/>
          <w:szCs w:val="19"/>
        </w:rPr>
        <w:t xml:space="preserve"> [Accessed 9 May 2019]. </w:t>
      </w:r>
    </w:p>
    <w:p w14:paraId="0DC3AAFE" w14:textId="77777777" w:rsidR="00384329" w:rsidRDefault="00384329" w:rsidP="074126D3">
      <w:pPr>
        <w:pStyle w:val="ListParagraph"/>
        <w:numPr>
          <w:ilvl w:val="0"/>
          <w:numId w:val="1"/>
        </w:numPr>
        <w:rPr>
          <w:color w:val="000000" w:themeColor="text1"/>
          <w:sz w:val="19"/>
          <w:szCs w:val="19"/>
        </w:rPr>
      </w:pPr>
      <w:proofErr w:type="spellStart"/>
      <w:r w:rsidRPr="074126D3">
        <w:rPr>
          <w:rFonts w:ascii="Open Sans" w:eastAsia="Open Sans" w:hAnsi="Open Sans" w:cs="Open Sans"/>
          <w:color w:val="000000" w:themeColor="text1"/>
          <w:sz w:val="19"/>
          <w:szCs w:val="19"/>
        </w:rPr>
        <w:t>Kamenopoulou</w:t>
      </w:r>
      <w:proofErr w:type="spellEnd"/>
      <w:r w:rsidRPr="074126D3">
        <w:rPr>
          <w:rFonts w:ascii="Open Sans" w:eastAsia="Open Sans" w:hAnsi="Open Sans" w:cs="Open Sans"/>
          <w:color w:val="000000" w:themeColor="text1"/>
          <w:sz w:val="19"/>
          <w:szCs w:val="19"/>
        </w:rPr>
        <w:t xml:space="preserve">, L. (2016). ECOLOGICAL </w:t>
      </w:r>
      <w:proofErr w:type="spellStart"/>
      <w:r w:rsidRPr="074126D3">
        <w:rPr>
          <w:rFonts w:ascii="Open Sans" w:eastAsia="Open Sans" w:hAnsi="Open Sans" w:cs="Open Sans"/>
          <w:color w:val="000000" w:themeColor="text1"/>
          <w:sz w:val="19"/>
          <w:szCs w:val="19"/>
        </w:rPr>
        <w:t>SySTEMS</w:t>
      </w:r>
      <w:proofErr w:type="spellEnd"/>
      <w:r w:rsidRPr="074126D3">
        <w:rPr>
          <w:rFonts w:ascii="Open Sans" w:eastAsia="Open Sans" w:hAnsi="Open Sans" w:cs="Open Sans"/>
          <w:color w:val="000000" w:themeColor="text1"/>
          <w:sz w:val="19"/>
          <w:szCs w:val="19"/>
        </w:rPr>
        <w:t xml:space="preserve"> </w:t>
      </w:r>
      <w:proofErr w:type="spellStart"/>
      <w:r w:rsidRPr="074126D3">
        <w:rPr>
          <w:rFonts w:ascii="Open Sans" w:eastAsia="Open Sans" w:hAnsi="Open Sans" w:cs="Open Sans"/>
          <w:color w:val="000000" w:themeColor="text1"/>
          <w:sz w:val="19"/>
          <w:szCs w:val="19"/>
        </w:rPr>
        <w:t>THEORy</w:t>
      </w:r>
      <w:proofErr w:type="spellEnd"/>
      <w:r w:rsidRPr="074126D3">
        <w:rPr>
          <w:rFonts w:ascii="Open Sans" w:eastAsia="Open Sans" w:hAnsi="Open Sans" w:cs="Open Sans"/>
          <w:color w:val="000000" w:themeColor="text1"/>
          <w:sz w:val="19"/>
          <w:szCs w:val="19"/>
        </w:rPr>
        <w:t xml:space="preserve">: A VALUABLE </w:t>
      </w:r>
      <w:proofErr w:type="spellStart"/>
      <w:r w:rsidRPr="074126D3">
        <w:rPr>
          <w:rFonts w:ascii="Open Sans" w:eastAsia="Open Sans" w:hAnsi="Open Sans" w:cs="Open Sans"/>
          <w:color w:val="000000" w:themeColor="text1"/>
          <w:sz w:val="19"/>
          <w:szCs w:val="19"/>
        </w:rPr>
        <w:t>FRAMEwORK</w:t>
      </w:r>
      <w:proofErr w:type="spellEnd"/>
      <w:r w:rsidRPr="074126D3">
        <w:rPr>
          <w:rFonts w:ascii="Open Sans" w:eastAsia="Open Sans" w:hAnsi="Open Sans" w:cs="Open Sans"/>
          <w:color w:val="000000" w:themeColor="text1"/>
          <w:sz w:val="19"/>
          <w:szCs w:val="19"/>
        </w:rPr>
        <w:t xml:space="preserve"> FOR RESEARCH ON INCLUSION AND SPECIAL EDUCATIONAL NEEDS/DISABILITIES. </w:t>
      </w:r>
      <w:r w:rsidRPr="074126D3">
        <w:rPr>
          <w:rFonts w:ascii="Calibri" w:eastAsia="Calibri" w:hAnsi="Calibri" w:cs="Calibri"/>
          <w:i/>
          <w:iCs/>
        </w:rPr>
        <w:t>Global Observatory for inclusion</w:t>
      </w:r>
      <w:r w:rsidRPr="074126D3">
        <w:rPr>
          <w:rFonts w:ascii="Calibri" w:eastAsia="Calibri" w:hAnsi="Calibri" w:cs="Calibri"/>
        </w:rPr>
        <w:t xml:space="preserve">, [online] 88(4), pp.515-527. Available at: </w:t>
      </w:r>
      <w:hyperlink r:id="rId11">
        <w:r w:rsidRPr="074126D3">
          <w:rPr>
            <w:rStyle w:val="Hyperlink"/>
            <w:rFonts w:ascii="Open Sans" w:eastAsia="Open Sans" w:hAnsi="Open Sans" w:cs="Open Sans"/>
            <w:color w:val="000000" w:themeColor="text1"/>
            <w:sz w:val="19"/>
            <w:szCs w:val="19"/>
          </w:rPr>
          <w:t>http://www.globi-observatory.org/wp-content/uploads/2016/04/Pedagogy_Leda_4_2016.pdf</w:t>
        </w:r>
      </w:hyperlink>
      <w:r w:rsidRPr="074126D3">
        <w:rPr>
          <w:rFonts w:ascii="Open Sans" w:eastAsia="Open Sans" w:hAnsi="Open Sans" w:cs="Open Sans"/>
          <w:color w:val="000000" w:themeColor="text1"/>
          <w:sz w:val="19"/>
          <w:szCs w:val="19"/>
        </w:rPr>
        <w:t xml:space="preserve">  [Accessed 9 May 2019]. </w:t>
      </w:r>
    </w:p>
    <w:p w14:paraId="26838EAB" w14:textId="77777777" w:rsidR="00384329" w:rsidRDefault="00384329" w:rsidP="074126D3">
      <w:pPr>
        <w:pStyle w:val="ListParagraph"/>
        <w:numPr>
          <w:ilvl w:val="0"/>
          <w:numId w:val="1"/>
        </w:numPr>
        <w:rPr>
          <w:color w:val="000000" w:themeColor="text1"/>
          <w:sz w:val="19"/>
          <w:szCs w:val="19"/>
        </w:rPr>
      </w:pPr>
      <w:r w:rsidRPr="074126D3">
        <w:rPr>
          <w:rFonts w:ascii="Calibri" w:eastAsia="Calibri" w:hAnsi="Calibri" w:cs="Calibri"/>
          <w:color w:val="000000" w:themeColor="text1"/>
          <w:sz w:val="19"/>
          <w:szCs w:val="19"/>
        </w:rPr>
        <w:t xml:space="preserve">Krishnan, V. (2010). </w:t>
      </w:r>
      <w:r w:rsidRPr="074126D3">
        <w:rPr>
          <w:rFonts w:ascii="Calibri" w:eastAsia="Calibri" w:hAnsi="Calibri" w:cs="Calibri"/>
          <w:i/>
          <w:iCs/>
        </w:rPr>
        <w:t>Early Child Development: A Conceptual Model*</w:t>
      </w:r>
      <w:r w:rsidRPr="074126D3">
        <w:rPr>
          <w:rFonts w:ascii="Calibri" w:eastAsia="Calibri" w:hAnsi="Calibri" w:cs="Calibri"/>
        </w:rPr>
        <w:t xml:space="preserve">. [online] Pdfs.semanticscholar.org. Available at: </w:t>
      </w:r>
      <w:hyperlink r:id="rId12">
        <w:r w:rsidRPr="074126D3">
          <w:rPr>
            <w:rStyle w:val="Hyperlink"/>
            <w:rFonts w:ascii="Calibri" w:eastAsia="Calibri" w:hAnsi="Calibri" w:cs="Calibri"/>
            <w:color w:val="000000" w:themeColor="text1"/>
            <w:sz w:val="19"/>
            <w:szCs w:val="19"/>
          </w:rPr>
          <w:t>https://pdfs.semanticscholar.org/8099/6bed2ef51e4128e5251f98242009888f4028.pdf</w:t>
        </w:r>
      </w:hyperlink>
      <w:r w:rsidRPr="074126D3">
        <w:rPr>
          <w:rFonts w:ascii="Calibri" w:eastAsia="Calibri" w:hAnsi="Calibri" w:cs="Calibri"/>
          <w:color w:val="000000" w:themeColor="text1"/>
          <w:sz w:val="19"/>
          <w:szCs w:val="19"/>
        </w:rPr>
        <w:t xml:space="preserve">  [Accessed 13 May 2019]. </w:t>
      </w:r>
    </w:p>
    <w:p w14:paraId="2004F909" w14:textId="77777777" w:rsidR="00384329" w:rsidRDefault="00384329" w:rsidP="074126D3">
      <w:pPr>
        <w:pStyle w:val="ListParagraph"/>
        <w:numPr>
          <w:ilvl w:val="0"/>
          <w:numId w:val="1"/>
        </w:numPr>
        <w:rPr>
          <w:color w:val="000000" w:themeColor="text1"/>
          <w:sz w:val="19"/>
          <w:szCs w:val="19"/>
        </w:rPr>
      </w:pPr>
      <w:proofErr w:type="spellStart"/>
      <w:r w:rsidRPr="074126D3">
        <w:rPr>
          <w:rFonts w:ascii="Calibri" w:eastAsia="Calibri" w:hAnsi="Calibri" w:cs="Calibri"/>
          <w:color w:val="000000" w:themeColor="text1"/>
          <w:sz w:val="19"/>
          <w:szCs w:val="19"/>
        </w:rPr>
        <w:t>Mokeyane</w:t>
      </w:r>
      <w:proofErr w:type="spellEnd"/>
      <w:r w:rsidRPr="074126D3">
        <w:rPr>
          <w:rFonts w:ascii="Calibri" w:eastAsia="Calibri" w:hAnsi="Calibri" w:cs="Calibri"/>
          <w:color w:val="000000" w:themeColor="text1"/>
          <w:sz w:val="19"/>
          <w:szCs w:val="19"/>
        </w:rPr>
        <w:t xml:space="preserve">, K. (2017). </w:t>
      </w:r>
      <w:r w:rsidRPr="074126D3">
        <w:rPr>
          <w:rFonts w:ascii="Calibri" w:eastAsia="Calibri" w:hAnsi="Calibri" w:cs="Calibri"/>
          <w:i/>
          <w:iCs/>
        </w:rPr>
        <w:t>Barriers to childhood development</w:t>
      </w:r>
      <w:r w:rsidRPr="074126D3">
        <w:rPr>
          <w:rFonts w:ascii="Calibri" w:eastAsia="Calibri" w:hAnsi="Calibri" w:cs="Calibri"/>
        </w:rPr>
        <w:t xml:space="preserve">. [online] Howtoadult.com. Available at: </w:t>
      </w:r>
      <w:hyperlink r:id="rId13">
        <w:r w:rsidRPr="074126D3">
          <w:rPr>
            <w:rStyle w:val="Hyperlink"/>
            <w:rFonts w:ascii="Calibri" w:eastAsia="Calibri" w:hAnsi="Calibri" w:cs="Calibri"/>
            <w:color w:val="000000" w:themeColor="text1"/>
            <w:sz w:val="19"/>
            <w:szCs w:val="19"/>
          </w:rPr>
          <w:t>https://howtoadult.com/barriers-childhood-development-3186.html</w:t>
        </w:r>
      </w:hyperlink>
      <w:r w:rsidRPr="074126D3">
        <w:rPr>
          <w:rFonts w:ascii="Calibri" w:eastAsia="Calibri" w:hAnsi="Calibri" w:cs="Calibri"/>
          <w:color w:val="000000" w:themeColor="text1"/>
          <w:sz w:val="19"/>
          <w:szCs w:val="19"/>
        </w:rPr>
        <w:t xml:space="preserve">  [Accessed 20 May 2019]. </w:t>
      </w:r>
    </w:p>
    <w:p w14:paraId="79D2899C" w14:textId="77777777" w:rsidR="00384329" w:rsidRDefault="00384329" w:rsidP="074126D3">
      <w:pPr>
        <w:pStyle w:val="ListParagraph"/>
        <w:numPr>
          <w:ilvl w:val="0"/>
          <w:numId w:val="1"/>
        </w:numPr>
        <w:rPr>
          <w:color w:val="000000" w:themeColor="text1"/>
          <w:sz w:val="19"/>
          <w:szCs w:val="19"/>
        </w:rPr>
      </w:pPr>
      <w:r w:rsidRPr="074126D3">
        <w:rPr>
          <w:rFonts w:ascii="Calibri" w:eastAsia="Calibri" w:hAnsi="Calibri" w:cs="Calibri"/>
          <w:color w:val="000000" w:themeColor="text1"/>
          <w:sz w:val="19"/>
          <w:szCs w:val="19"/>
        </w:rPr>
        <w:t xml:space="preserve">Ryan, J. and Paquette, D. (2001). </w:t>
      </w:r>
      <w:r w:rsidRPr="074126D3">
        <w:rPr>
          <w:rFonts w:ascii="Calibri" w:eastAsia="Calibri" w:hAnsi="Calibri" w:cs="Calibri"/>
          <w:i/>
          <w:iCs/>
        </w:rPr>
        <w:t>Bronfenbrenner’s Ecological Systems Theory</w:t>
      </w:r>
      <w:r w:rsidRPr="074126D3">
        <w:rPr>
          <w:rFonts w:ascii="Calibri" w:eastAsia="Calibri" w:hAnsi="Calibri" w:cs="Calibri"/>
        </w:rPr>
        <w:t xml:space="preserve">. [online] Available at: </w:t>
      </w:r>
      <w:hyperlink r:id="rId14">
        <w:r w:rsidRPr="074126D3">
          <w:rPr>
            <w:rStyle w:val="Hyperlink"/>
            <w:rFonts w:ascii="Calibri" w:eastAsia="Calibri" w:hAnsi="Calibri" w:cs="Calibri"/>
            <w:color w:val="000000" w:themeColor="text1"/>
            <w:sz w:val="19"/>
            <w:szCs w:val="19"/>
          </w:rPr>
          <w:t>http://file:///C:/Users/Student/Documents/uni/bronfenbrenners_ecological.pdf</w:t>
        </w:r>
      </w:hyperlink>
      <w:r w:rsidRPr="074126D3">
        <w:rPr>
          <w:rFonts w:ascii="Calibri" w:eastAsia="Calibri" w:hAnsi="Calibri" w:cs="Calibri"/>
          <w:color w:val="000000" w:themeColor="text1"/>
          <w:sz w:val="19"/>
          <w:szCs w:val="19"/>
        </w:rPr>
        <w:t xml:space="preserve">  [Accessed 9 May 2019].  </w:t>
      </w:r>
    </w:p>
    <w:p w14:paraId="1CF6207B" w14:textId="77777777" w:rsidR="00384329" w:rsidRDefault="00384329" w:rsidP="074126D3">
      <w:pPr>
        <w:pStyle w:val="ListParagraph"/>
        <w:numPr>
          <w:ilvl w:val="0"/>
          <w:numId w:val="1"/>
        </w:numPr>
        <w:rPr>
          <w:color w:val="000000" w:themeColor="text1"/>
          <w:sz w:val="19"/>
          <w:szCs w:val="19"/>
        </w:rPr>
      </w:pPr>
      <w:proofErr w:type="spellStart"/>
      <w:r w:rsidRPr="074126D3">
        <w:rPr>
          <w:rFonts w:ascii="Calibri" w:eastAsia="Calibri" w:hAnsi="Calibri" w:cs="Calibri"/>
          <w:color w:val="000000" w:themeColor="text1"/>
          <w:sz w:val="19"/>
          <w:szCs w:val="19"/>
        </w:rPr>
        <w:t>Sincero</w:t>
      </w:r>
      <w:proofErr w:type="spellEnd"/>
      <w:r w:rsidRPr="074126D3">
        <w:rPr>
          <w:rFonts w:ascii="Calibri" w:eastAsia="Calibri" w:hAnsi="Calibri" w:cs="Calibri"/>
          <w:color w:val="000000" w:themeColor="text1"/>
          <w:sz w:val="19"/>
          <w:szCs w:val="19"/>
        </w:rPr>
        <w:t xml:space="preserve">, S. (2019). </w:t>
      </w:r>
      <w:r w:rsidRPr="074126D3">
        <w:rPr>
          <w:rFonts w:ascii="Calibri" w:eastAsia="Calibri" w:hAnsi="Calibri" w:cs="Calibri"/>
          <w:i/>
          <w:iCs/>
        </w:rPr>
        <w:t xml:space="preserve">The Ecological Systems Theory by </w:t>
      </w:r>
      <w:proofErr w:type="spellStart"/>
      <w:r w:rsidRPr="074126D3">
        <w:rPr>
          <w:rFonts w:ascii="Calibri" w:eastAsia="Calibri" w:hAnsi="Calibri" w:cs="Calibri"/>
          <w:i/>
          <w:iCs/>
        </w:rPr>
        <w:t>Urie</w:t>
      </w:r>
      <w:proofErr w:type="spellEnd"/>
      <w:r w:rsidRPr="074126D3">
        <w:rPr>
          <w:rFonts w:ascii="Calibri" w:eastAsia="Calibri" w:hAnsi="Calibri" w:cs="Calibri"/>
          <w:i/>
          <w:iCs/>
        </w:rPr>
        <w:t xml:space="preserve"> Bronfenbrenner</w:t>
      </w:r>
      <w:r w:rsidRPr="074126D3">
        <w:rPr>
          <w:rFonts w:ascii="Calibri" w:eastAsia="Calibri" w:hAnsi="Calibri" w:cs="Calibri"/>
        </w:rPr>
        <w:t xml:space="preserve">. [online] Explorable.com. Available at: </w:t>
      </w:r>
      <w:hyperlink r:id="rId15">
        <w:r w:rsidRPr="074126D3">
          <w:rPr>
            <w:rStyle w:val="Hyperlink"/>
            <w:rFonts w:ascii="Calibri" w:eastAsia="Calibri" w:hAnsi="Calibri" w:cs="Calibri"/>
            <w:color w:val="000000" w:themeColor="text1"/>
            <w:sz w:val="19"/>
            <w:szCs w:val="19"/>
          </w:rPr>
          <w:t>https://explorable.com/ecological-systems-theory</w:t>
        </w:r>
      </w:hyperlink>
      <w:r w:rsidRPr="074126D3">
        <w:rPr>
          <w:rFonts w:ascii="Calibri" w:eastAsia="Calibri" w:hAnsi="Calibri" w:cs="Calibri"/>
          <w:color w:val="000000" w:themeColor="text1"/>
          <w:sz w:val="19"/>
          <w:szCs w:val="19"/>
        </w:rPr>
        <w:t xml:space="preserve">  [Accessed 17 May 2019]. </w:t>
      </w:r>
    </w:p>
    <w:p w14:paraId="2948DD6F" w14:textId="77777777" w:rsidR="00384329" w:rsidRDefault="00384329" w:rsidP="074126D3">
      <w:pPr>
        <w:pStyle w:val="ListParagraph"/>
        <w:numPr>
          <w:ilvl w:val="0"/>
          <w:numId w:val="1"/>
        </w:numPr>
        <w:rPr>
          <w:color w:val="000000" w:themeColor="text1"/>
          <w:sz w:val="19"/>
          <w:szCs w:val="19"/>
        </w:rPr>
      </w:pPr>
      <w:proofErr w:type="spellStart"/>
      <w:r w:rsidRPr="074126D3">
        <w:rPr>
          <w:rFonts w:ascii="Open Sans" w:eastAsia="Open Sans" w:hAnsi="Open Sans" w:cs="Open Sans"/>
          <w:color w:val="000000" w:themeColor="text1"/>
          <w:sz w:val="19"/>
          <w:szCs w:val="19"/>
        </w:rPr>
        <w:t>Spolaore</w:t>
      </w:r>
      <w:proofErr w:type="spellEnd"/>
      <w:r w:rsidRPr="074126D3">
        <w:rPr>
          <w:rFonts w:ascii="Open Sans" w:eastAsia="Open Sans" w:hAnsi="Open Sans" w:cs="Open Sans"/>
          <w:color w:val="000000" w:themeColor="text1"/>
          <w:sz w:val="19"/>
          <w:szCs w:val="19"/>
        </w:rPr>
        <w:t xml:space="preserve">, E. and </w:t>
      </w:r>
      <w:proofErr w:type="spellStart"/>
      <w:r w:rsidRPr="074126D3">
        <w:rPr>
          <w:rFonts w:ascii="Open Sans" w:eastAsia="Open Sans" w:hAnsi="Open Sans" w:cs="Open Sans"/>
          <w:color w:val="000000" w:themeColor="text1"/>
          <w:sz w:val="19"/>
          <w:szCs w:val="19"/>
        </w:rPr>
        <w:t>Wacziarg</w:t>
      </w:r>
      <w:proofErr w:type="spellEnd"/>
      <w:r w:rsidRPr="074126D3">
        <w:rPr>
          <w:rFonts w:ascii="Open Sans" w:eastAsia="Open Sans" w:hAnsi="Open Sans" w:cs="Open Sans"/>
          <w:color w:val="000000" w:themeColor="text1"/>
          <w:sz w:val="19"/>
          <w:szCs w:val="19"/>
        </w:rPr>
        <w:t xml:space="preserve">, R. (2013). </w:t>
      </w:r>
      <w:r w:rsidRPr="074126D3">
        <w:rPr>
          <w:rFonts w:ascii="Calibri" w:eastAsia="Calibri" w:hAnsi="Calibri" w:cs="Calibri"/>
          <w:i/>
          <w:iCs/>
          <w:color w:val="000000" w:themeColor="text1"/>
          <w:sz w:val="19"/>
          <w:szCs w:val="19"/>
        </w:rPr>
        <w:t>LONG-TERM BARRIERS TO ECONOMIC DEVELOPMEN</w:t>
      </w:r>
      <w:r w:rsidRPr="074126D3">
        <w:rPr>
          <w:rFonts w:ascii="Open Sans" w:eastAsia="Open Sans" w:hAnsi="Open Sans" w:cs="Open Sans"/>
          <w:color w:val="000000" w:themeColor="text1"/>
          <w:sz w:val="19"/>
          <w:szCs w:val="19"/>
        </w:rPr>
        <w:t xml:space="preserve">. [online] Nber.org. Available at: </w:t>
      </w:r>
      <w:hyperlink r:id="rId16">
        <w:r w:rsidRPr="074126D3">
          <w:rPr>
            <w:rStyle w:val="Hyperlink"/>
            <w:rFonts w:ascii="Open Sans" w:eastAsia="Open Sans" w:hAnsi="Open Sans" w:cs="Open Sans"/>
            <w:color w:val="000000" w:themeColor="text1"/>
            <w:sz w:val="19"/>
            <w:szCs w:val="19"/>
          </w:rPr>
          <w:t>https://www.nber.org/papers/w19361.pdf</w:t>
        </w:r>
      </w:hyperlink>
      <w:r w:rsidRPr="074126D3">
        <w:rPr>
          <w:rFonts w:ascii="Open Sans" w:eastAsia="Open Sans" w:hAnsi="Open Sans" w:cs="Open Sans"/>
          <w:color w:val="000000" w:themeColor="text1"/>
          <w:sz w:val="19"/>
          <w:szCs w:val="19"/>
        </w:rPr>
        <w:t xml:space="preserve"> [Accessed 19 May 2019]. </w:t>
      </w:r>
    </w:p>
    <w:p w14:paraId="6B63C17D" w14:textId="77777777" w:rsidR="00384329" w:rsidRDefault="00384329" w:rsidP="074126D3">
      <w:pPr>
        <w:pStyle w:val="ListParagraph"/>
        <w:numPr>
          <w:ilvl w:val="0"/>
          <w:numId w:val="1"/>
        </w:numPr>
        <w:rPr>
          <w:color w:val="000000" w:themeColor="text1"/>
        </w:rPr>
      </w:pPr>
      <w:r w:rsidRPr="074126D3">
        <w:rPr>
          <w:rFonts w:ascii="Calibri" w:eastAsia="Calibri" w:hAnsi="Calibri" w:cs="Calibri"/>
          <w:color w:val="000000" w:themeColor="text1"/>
        </w:rPr>
        <w:t xml:space="preserve">Streisand, R. and Monaghan, M. (2014). Young Children with Type 1 Diabetes: Challenges, Research, and Future Directions. </w:t>
      </w:r>
      <w:r w:rsidRPr="074126D3">
        <w:rPr>
          <w:rFonts w:ascii="Calibri" w:eastAsia="Calibri" w:hAnsi="Calibri" w:cs="Calibri"/>
          <w:i/>
          <w:iCs/>
        </w:rPr>
        <w:t>Current Diabetes Reports</w:t>
      </w:r>
      <w:r w:rsidRPr="074126D3">
        <w:rPr>
          <w:rFonts w:ascii="Calibri" w:eastAsia="Calibri" w:hAnsi="Calibri" w:cs="Calibri"/>
        </w:rPr>
        <w:t xml:space="preserve">, [online] 14(9). Available at: </w:t>
      </w:r>
      <w:hyperlink r:id="rId17">
        <w:r w:rsidRPr="074126D3">
          <w:rPr>
            <w:rStyle w:val="Hyperlink"/>
            <w:rFonts w:ascii="Calibri" w:eastAsia="Calibri" w:hAnsi="Calibri" w:cs="Calibri"/>
            <w:color w:val="000000" w:themeColor="text1"/>
          </w:rPr>
          <w:t>https://www.ncbi.nlm.nih.gov/pmc/articles/PMC4113115/</w:t>
        </w:r>
      </w:hyperlink>
      <w:r w:rsidRPr="074126D3">
        <w:rPr>
          <w:rFonts w:ascii="Calibri" w:eastAsia="Calibri" w:hAnsi="Calibri" w:cs="Calibri"/>
          <w:color w:val="000000" w:themeColor="text1"/>
        </w:rPr>
        <w:t xml:space="preserve">  [Accessed 17 May 2019]. </w:t>
      </w:r>
    </w:p>
    <w:p w14:paraId="6D02D444" w14:textId="77777777" w:rsidR="00384329" w:rsidRPr="00384329" w:rsidRDefault="00384329" w:rsidP="074126D3">
      <w:pPr>
        <w:pStyle w:val="ListParagraph"/>
        <w:numPr>
          <w:ilvl w:val="0"/>
          <w:numId w:val="1"/>
        </w:numPr>
        <w:rPr>
          <w:color w:val="000000" w:themeColor="text1"/>
          <w:sz w:val="19"/>
          <w:szCs w:val="19"/>
        </w:rPr>
      </w:pPr>
      <w:r w:rsidRPr="074126D3">
        <w:rPr>
          <w:rFonts w:ascii="Open Sans" w:eastAsia="Open Sans" w:hAnsi="Open Sans" w:cs="Open Sans"/>
          <w:color w:val="000000" w:themeColor="text1"/>
          <w:sz w:val="19"/>
          <w:szCs w:val="19"/>
        </w:rPr>
        <w:t xml:space="preserve">Welsh Government (2014). </w:t>
      </w:r>
      <w:r w:rsidRPr="074126D3">
        <w:rPr>
          <w:rFonts w:ascii="Calibri" w:eastAsia="Calibri" w:hAnsi="Calibri" w:cs="Calibri"/>
          <w:i/>
          <w:iCs/>
        </w:rPr>
        <w:t>Healthy eating in maintained schools</w:t>
      </w:r>
      <w:r w:rsidRPr="074126D3">
        <w:rPr>
          <w:rFonts w:ascii="Calibri" w:eastAsia="Calibri" w:hAnsi="Calibri" w:cs="Calibri"/>
        </w:rPr>
        <w:t xml:space="preserve">. Cardiff, pp.2-61. (online) Available at: </w:t>
      </w:r>
      <w:hyperlink r:id="rId18">
        <w:r w:rsidRPr="074126D3">
          <w:rPr>
            <w:rStyle w:val="Hyperlink"/>
            <w:rFonts w:ascii="Open Sans" w:eastAsia="Open Sans" w:hAnsi="Open Sans" w:cs="Open Sans"/>
            <w:color w:val="0563C1"/>
            <w:sz w:val="19"/>
            <w:szCs w:val="19"/>
          </w:rPr>
          <w:t>https://learning.gov.wales/docs/learningwales/publications/160226-healthy-eating-maintained-schools-en-v2.pdf</w:t>
        </w:r>
      </w:hyperlink>
      <w:r w:rsidRPr="074126D3">
        <w:rPr>
          <w:rFonts w:ascii="Open Sans" w:eastAsia="Open Sans" w:hAnsi="Open Sans" w:cs="Open Sans"/>
          <w:color w:val="0563C1"/>
          <w:sz w:val="19"/>
          <w:szCs w:val="19"/>
        </w:rPr>
        <w:t xml:space="preserve"> (Accessed 20 May 2019)</w:t>
      </w:r>
    </w:p>
    <w:p w14:paraId="6AD0D255" w14:textId="77777777" w:rsidR="00384329" w:rsidRDefault="00384329" w:rsidP="074126D3">
      <w:pPr>
        <w:pStyle w:val="ListParagraph"/>
        <w:numPr>
          <w:ilvl w:val="0"/>
          <w:numId w:val="1"/>
        </w:numPr>
        <w:rPr>
          <w:color w:val="000000" w:themeColor="text1"/>
          <w:sz w:val="19"/>
          <w:szCs w:val="19"/>
        </w:rPr>
      </w:pPr>
    </w:p>
    <w:p w14:paraId="0918F322" w14:textId="02B9CCA0" w:rsidR="074126D3" w:rsidRDefault="074126D3" w:rsidP="074126D3"/>
    <w:sectPr w:rsidR="074126D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4315A4"/>
    <w:multiLevelType w:val="hybridMultilevel"/>
    <w:tmpl w:val="C81A0A7C"/>
    <w:lvl w:ilvl="0" w:tplc="9E22EBF2">
      <w:start w:val="1"/>
      <w:numFmt w:val="bullet"/>
      <w:lvlText w:val=""/>
      <w:lvlJc w:val="left"/>
      <w:pPr>
        <w:ind w:left="720" w:hanging="360"/>
      </w:pPr>
      <w:rPr>
        <w:rFonts w:ascii="Symbol" w:hAnsi="Symbol" w:hint="default"/>
      </w:rPr>
    </w:lvl>
    <w:lvl w:ilvl="1" w:tplc="38D23D14">
      <w:start w:val="1"/>
      <w:numFmt w:val="bullet"/>
      <w:lvlText w:val="o"/>
      <w:lvlJc w:val="left"/>
      <w:pPr>
        <w:ind w:left="1440" w:hanging="360"/>
      </w:pPr>
      <w:rPr>
        <w:rFonts w:ascii="Courier New" w:hAnsi="Courier New" w:hint="default"/>
      </w:rPr>
    </w:lvl>
    <w:lvl w:ilvl="2" w:tplc="B4DE3ACA">
      <w:start w:val="1"/>
      <w:numFmt w:val="bullet"/>
      <w:lvlText w:val=""/>
      <w:lvlJc w:val="left"/>
      <w:pPr>
        <w:ind w:left="2160" w:hanging="360"/>
      </w:pPr>
      <w:rPr>
        <w:rFonts w:ascii="Wingdings" w:hAnsi="Wingdings" w:hint="default"/>
      </w:rPr>
    </w:lvl>
    <w:lvl w:ilvl="3" w:tplc="AFCA65F6">
      <w:start w:val="1"/>
      <w:numFmt w:val="bullet"/>
      <w:lvlText w:val=""/>
      <w:lvlJc w:val="left"/>
      <w:pPr>
        <w:ind w:left="2880" w:hanging="360"/>
      </w:pPr>
      <w:rPr>
        <w:rFonts w:ascii="Symbol" w:hAnsi="Symbol" w:hint="default"/>
      </w:rPr>
    </w:lvl>
    <w:lvl w:ilvl="4" w:tplc="F836D732">
      <w:start w:val="1"/>
      <w:numFmt w:val="bullet"/>
      <w:lvlText w:val="o"/>
      <w:lvlJc w:val="left"/>
      <w:pPr>
        <w:ind w:left="3600" w:hanging="360"/>
      </w:pPr>
      <w:rPr>
        <w:rFonts w:ascii="Courier New" w:hAnsi="Courier New" w:hint="default"/>
      </w:rPr>
    </w:lvl>
    <w:lvl w:ilvl="5" w:tplc="3C0E5B28">
      <w:start w:val="1"/>
      <w:numFmt w:val="bullet"/>
      <w:lvlText w:val=""/>
      <w:lvlJc w:val="left"/>
      <w:pPr>
        <w:ind w:left="4320" w:hanging="360"/>
      </w:pPr>
      <w:rPr>
        <w:rFonts w:ascii="Wingdings" w:hAnsi="Wingdings" w:hint="default"/>
      </w:rPr>
    </w:lvl>
    <w:lvl w:ilvl="6" w:tplc="8BB0782C">
      <w:start w:val="1"/>
      <w:numFmt w:val="bullet"/>
      <w:lvlText w:val=""/>
      <w:lvlJc w:val="left"/>
      <w:pPr>
        <w:ind w:left="5040" w:hanging="360"/>
      </w:pPr>
      <w:rPr>
        <w:rFonts w:ascii="Symbol" w:hAnsi="Symbol" w:hint="default"/>
      </w:rPr>
    </w:lvl>
    <w:lvl w:ilvl="7" w:tplc="AB5A3D34">
      <w:start w:val="1"/>
      <w:numFmt w:val="bullet"/>
      <w:lvlText w:val="o"/>
      <w:lvlJc w:val="left"/>
      <w:pPr>
        <w:ind w:left="5760" w:hanging="360"/>
      </w:pPr>
      <w:rPr>
        <w:rFonts w:ascii="Courier New" w:hAnsi="Courier New" w:hint="default"/>
      </w:rPr>
    </w:lvl>
    <w:lvl w:ilvl="8" w:tplc="5BA4132A">
      <w:start w:val="1"/>
      <w:numFmt w:val="bullet"/>
      <w:lvlText w:val=""/>
      <w:lvlJc w:val="left"/>
      <w:pPr>
        <w:ind w:left="6480" w:hanging="360"/>
      </w:pPr>
      <w:rPr>
        <w:rFonts w:ascii="Wingdings" w:hAnsi="Wingdings" w:hint="default"/>
      </w:rPr>
    </w:lvl>
  </w:abstractNum>
  <w:abstractNum w:abstractNumId="1" w15:restartNumberingAfterBreak="0">
    <w:nsid w:val="46487977"/>
    <w:multiLevelType w:val="hybridMultilevel"/>
    <w:tmpl w:val="2AC8AE24"/>
    <w:lvl w:ilvl="0" w:tplc="30F80E8C">
      <w:start w:val="1"/>
      <w:numFmt w:val="decimal"/>
      <w:lvlText w:val="%1."/>
      <w:lvlJc w:val="left"/>
      <w:pPr>
        <w:ind w:left="720" w:hanging="360"/>
      </w:pPr>
    </w:lvl>
    <w:lvl w:ilvl="1" w:tplc="8C82E3FC">
      <w:start w:val="1"/>
      <w:numFmt w:val="lowerLetter"/>
      <w:lvlText w:val="%2."/>
      <w:lvlJc w:val="left"/>
      <w:pPr>
        <w:ind w:left="1440" w:hanging="360"/>
      </w:pPr>
    </w:lvl>
    <w:lvl w:ilvl="2" w:tplc="F536DFC2">
      <w:start w:val="1"/>
      <w:numFmt w:val="lowerRoman"/>
      <w:lvlText w:val="%3."/>
      <w:lvlJc w:val="right"/>
      <w:pPr>
        <w:ind w:left="2160" w:hanging="180"/>
      </w:pPr>
    </w:lvl>
    <w:lvl w:ilvl="3" w:tplc="AE52F266">
      <w:start w:val="1"/>
      <w:numFmt w:val="decimal"/>
      <w:lvlText w:val="%4."/>
      <w:lvlJc w:val="left"/>
      <w:pPr>
        <w:ind w:left="2880" w:hanging="360"/>
      </w:pPr>
    </w:lvl>
    <w:lvl w:ilvl="4" w:tplc="D4565FEE">
      <w:start w:val="1"/>
      <w:numFmt w:val="lowerLetter"/>
      <w:lvlText w:val="%5."/>
      <w:lvlJc w:val="left"/>
      <w:pPr>
        <w:ind w:left="3600" w:hanging="360"/>
      </w:pPr>
    </w:lvl>
    <w:lvl w:ilvl="5" w:tplc="C81C9224">
      <w:start w:val="1"/>
      <w:numFmt w:val="lowerRoman"/>
      <w:lvlText w:val="%6."/>
      <w:lvlJc w:val="right"/>
      <w:pPr>
        <w:ind w:left="4320" w:hanging="180"/>
      </w:pPr>
    </w:lvl>
    <w:lvl w:ilvl="6" w:tplc="DF382A60">
      <w:start w:val="1"/>
      <w:numFmt w:val="decimal"/>
      <w:lvlText w:val="%7."/>
      <w:lvlJc w:val="left"/>
      <w:pPr>
        <w:ind w:left="5040" w:hanging="360"/>
      </w:pPr>
    </w:lvl>
    <w:lvl w:ilvl="7" w:tplc="F9886846">
      <w:start w:val="1"/>
      <w:numFmt w:val="lowerLetter"/>
      <w:lvlText w:val="%8."/>
      <w:lvlJc w:val="left"/>
      <w:pPr>
        <w:ind w:left="5760" w:hanging="360"/>
      </w:pPr>
    </w:lvl>
    <w:lvl w:ilvl="8" w:tplc="D61CA59A">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753F53B"/>
    <w:rsid w:val="00017CAE"/>
    <w:rsid w:val="00067B00"/>
    <w:rsid w:val="000958EE"/>
    <w:rsid w:val="000B2542"/>
    <w:rsid w:val="000B5CD5"/>
    <w:rsid w:val="000E51C3"/>
    <w:rsid w:val="00101A93"/>
    <w:rsid w:val="0015130D"/>
    <w:rsid w:val="001729BD"/>
    <w:rsid w:val="00192DE8"/>
    <w:rsid w:val="00193777"/>
    <w:rsid w:val="001C1A32"/>
    <w:rsid w:val="001C3E0B"/>
    <w:rsid w:val="0021117D"/>
    <w:rsid w:val="00215791"/>
    <w:rsid w:val="00233E5D"/>
    <w:rsid w:val="0026305F"/>
    <w:rsid w:val="002921B1"/>
    <w:rsid w:val="002D4122"/>
    <w:rsid w:val="002F3EEB"/>
    <w:rsid w:val="002F4B7C"/>
    <w:rsid w:val="00334F86"/>
    <w:rsid w:val="003839CB"/>
    <w:rsid w:val="00384329"/>
    <w:rsid w:val="003949B0"/>
    <w:rsid w:val="003D0D31"/>
    <w:rsid w:val="003F679D"/>
    <w:rsid w:val="00401C4E"/>
    <w:rsid w:val="00431930"/>
    <w:rsid w:val="00455667"/>
    <w:rsid w:val="0046405B"/>
    <w:rsid w:val="00491E43"/>
    <w:rsid w:val="00524D4D"/>
    <w:rsid w:val="00534087"/>
    <w:rsid w:val="00553ECA"/>
    <w:rsid w:val="0059610C"/>
    <w:rsid w:val="00636222"/>
    <w:rsid w:val="00644273"/>
    <w:rsid w:val="0071737D"/>
    <w:rsid w:val="00740673"/>
    <w:rsid w:val="0075269E"/>
    <w:rsid w:val="00794325"/>
    <w:rsid w:val="007D5570"/>
    <w:rsid w:val="00832353"/>
    <w:rsid w:val="00887AE6"/>
    <w:rsid w:val="00897114"/>
    <w:rsid w:val="008A3209"/>
    <w:rsid w:val="008A3FFE"/>
    <w:rsid w:val="008A5E2E"/>
    <w:rsid w:val="00904794"/>
    <w:rsid w:val="00986038"/>
    <w:rsid w:val="009E269D"/>
    <w:rsid w:val="00A204A9"/>
    <w:rsid w:val="00A71B5E"/>
    <w:rsid w:val="00AA6E05"/>
    <w:rsid w:val="00AC1C65"/>
    <w:rsid w:val="00AC2DE2"/>
    <w:rsid w:val="00B03643"/>
    <w:rsid w:val="00B214E6"/>
    <w:rsid w:val="00B516F4"/>
    <w:rsid w:val="00B63B4C"/>
    <w:rsid w:val="00B9743F"/>
    <w:rsid w:val="00BA02A6"/>
    <w:rsid w:val="00BD02BA"/>
    <w:rsid w:val="00BD4847"/>
    <w:rsid w:val="00BF418E"/>
    <w:rsid w:val="00C271D0"/>
    <w:rsid w:val="00C633A8"/>
    <w:rsid w:val="00C8025C"/>
    <w:rsid w:val="00C934D9"/>
    <w:rsid w:val="00CD3146"/>
    <w:rsid w:val="00CD4DDF"/>
    <w:rsid w:val="00D17866"/>
    <w:rsid w:val="00D35DD6"/>
    <w:rsid w:val="00D60F7E"/>
    <w:rsid w:val="00D9674F"/>
    <w:rsid w:val="00DA065D"/>
    <w:rsid w:val="00DA6582"/>
    <w:rsid w:val="00DB500F"/>
    <w:rsid w:val="00DE3E7C"/>
    <w:rsid w:val="00E224E5"/>
    <w:rsid w:val="00E42CAE"/>
    <w:rsid w:val="00E61444"/>
    <w:rsid w:val="00E64927"/>
    <w:rsid w:val="00E85581"/>
    <w:rsid w:val="00E94FF9"/>
    <w:rsid w:val="00EC3F77"/>
    <w:rsid w:val="00EE0B7E"/>
    <w:rsid w:val="00EE5FD2"/>
    <w:rsid w:val="00EF2CF7"/>
    <w:rsid w:val="00EF60A8"/>
    <w:rsid w:val="00F3577A"/>
    <w:rsid w:val="00F704D8"/>
    <w:rsid w:val="00F728DC"/>
    <w:rsid w:val="00FA40AD"/>
    <w:rsid w:val="00FD68D3"/>
    <w:rsid w:val="00FF1FD7"/>
    <w:rsid w:val="00FF3148"/>
    <w:rsid w:val="074126D3"/>
    <w:rsid w:val="200F135F"/>
    <w:rsid w:val="5753F53B"/>
    <w:rsid w:val="619D5CBC"/>
    <w:rsid w:val="66A62BA7"/>
    <w:rsid w:val="7A197E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53F53B"/>
  <w15:chartTrackingRefBased/>
  <w15:docId w15:val="{1CE8A339-00F6-4DA3-83BD-6C6A7FAE6B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2F4B7C"/>
    <w:rPr>
      <w:color w:val="605E5C"/>
      <w:shd w:val="clear" w:color="auto" w:fill="E1DFDD"/>
    </w:rPr>
  </w:style>
  <w:style w:type="paragraph" w:styleId="ListParagraph">
    <w:name w:val="List Paragraph"/>
    <w:basedOn w:val="Normal"/>
    <w:uiPriority w:val="34"/>
    <w:qFormat/>
    <w:pPr>
      <w:ind w:left="720"/>
      <w:contextualSpacing/>
    </w:pPr>
  </w:style>
  <w:style w:type="character" w:customStyle="1" w:styleId="selectable">
    <w:name w:val="selectable"/>
    <w:basedOn w:val="DefaultParagraphFont"/>
    <w:rsid w:val="003843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Student/AppData/Local/Packages/Microsoft.MicrosoftEdge_8wekyb3d8bbwe/TempState/Downloads/EttekalMahoneySageEncycEST2017%20(1).pdf" TargetMode="External"/><Relationship Id="rId13" Type="http://schemas.openxmlformats.org/officeDocument/2006/relationships/hyperlink" Target="https://howtoadult.com/barriers-childhood-development-3186.html" TargetMode="External"/><Relationship Id="rId18" Type="http://schemas.openxmlformats.org/officeDocument/2006/relationships/hyperlink" Target="https://learning.gov.wales/docs/learningwales/publications/160226-healthy-eating-maintained-schools-en-v2.pdf" TargetMode="External"/><Relationship Id="rId3" Type="http://schemas.openxmlformats.org/officeDocument/2006/relationships/settings" Target="settings.xml"/><Relationship Id="rId7" Type="http://schemas.openxmlformats.org/officeDocument/2006/relationships/hyperlink" Target="http://file/C:/Users/Student/AppData/Local/Packages/Microsoft.MicrosoftEdge_8wekyb3d8bbwe/TempState/Downloads/2091-1815-1-PB%20(1).pdf" TargetMode="External"/><Relationship Id="rId12" Type="http://schemas.openxmlformats.org/officeDocument/2006/relationships/hyperlink" Target="https://pdfs.semanticscholar.org/8099/6bed2ef51e4128e5251f98242009888f4028.pdf" TargetMode="External"/><Relationship Id="rId17" Type="http://schemas.openxmlformats.org/officeDocument/2006/relationships/hyperlink" Target="https://www.ncbi.nlm.nih.gov/pmc/articles/PMC4113115/" TargetMode="External"/><Relationship Id="rId2" Type="http://schemas.openxmlformats.org/officeDocument/2006/relationships/styles" Target="styles.xml"/><Relationship Id="rId16" Type="http://schemas.openxmlformats.org/officeDocument/2006/relationships/hyperlink" Target="https://www.nber.org/papers/w19361.pdf"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file:///C:/Users/Student/AppData/Local/Packages/Microsoft.MicrosoftEdge_8wekyb3d8bbwe/TempState/Downloads/ACriticalReflectionofBronfenbrDevEcologyModelApril16%20(1).pdf" TargetMode="External"/><Relationship Id="rId11" Type="http://schemas.openxmlformats.org/officeDocument/2006/relationships/hyperlink" Target="http://www.globi-observatory.org/wp-content/uploads/2016/04/Pedagogy_Leda_4_2016.pdf" TargetMode="External"/><Relationship Id="rId5" Type="http://schemas.openxmlformats.org/officeDocument/2006/relationships/hyperlink" Target="https://www.cdc.gov/ncbddd/actearly/pdf/parents_pdfs/milestonemomentseng508.pdf" TargetMode="External"/><Relationship Id="rId15" Type="http://schemas.openxmlformats.org/officeDocument/2006/relationships/hyperlink" Target="https://explorable.com/ecological-systems-theory" TargetMode="External"/><Relationship Id="rId10" Type="http://schemas.openxmlformats.org/officeDocument/2006/relationships/hyperlink" Target="https://www.psychologynoteshq.com/bronfenbrenner-ecological-theory/"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academia.edu/28694157/The_Bronfenbrenner_ecological_systems_theory_of_human_development" TargetMode="External"/><Relationship Id="rId14" Type="http://schemas.openxmlformats.org/officeDocument/2006/relationships/hyperlink" Target="http://file/C:/Users/Student/Documents/uni/bronfenbrenners_ecologic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2431</Words>
  <Characters>13861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Cox (1703980)</dc:creator>
  <cp:keywords/>
  <dc:description/>
  <cp:lastModifiedBy> </cp:lastModifiedBy>
  <cp:revision>2</cp:revision>
  <dcterms:created xsi:type="dcterms:W3CDTF">2019-05-20T22:24:00Z</dcterms:created>
  <dcterms:modified xsi:type="dcterms:W3CDTF">2019-05-20T22:24:00Z</dcterms:modified>
</cp:coreProperties>
</file>