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4894578"/>
        <w:docPartObj>
          <w:docPartGallery w:val="Cover Pages"/>
          <w:docPartUnique/>
        </w:docPartObj>
      </w:sdtPr>
      <w:sdtContent>
        <w:p w14:paraId="0258AD89" w14:textId="656D787F" w:rsidR="009D3FFD" w:rsidRDefault="009D3FFD">
          <w:r>
            <w:rPr>
              <w:noProof/>
              <w:color w:val="FFFFFF" w:themeColor="background1"/>
            </w:rPr>
            <mc:AlternateContent>
              <mc:Choice Requires="wpg">
                <w:drawing>
                  <wp:anchor distT="0" distB="0" distL="114300" distR="114300" simplePos="0" relativeHeight="251659264" behindDoc="0" locked="0" layoutInCell="1" allowOverlap="1" wp14:anchorId="0599D1CE" wp14:editId="79126F20">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7C30AF2" w14:textId="185E8CB7" w:rsidR="009D3FFD" w:rsidRDefault="009D3FFD">
                                      <w:pPr>
                                        <w:pStyle w:val="NoSpacing"/>
                                        <w:spacing w:after="120"/>
                                        <w:rPr>
                                          <w:rFonts w:asciiTheme="majorHAnsi" w:eastAsiaTheme="majorEastAsia" w:hAnsiTheme="majorHAnsi" w:cstheme="majorBidi"/>
                                          <w:color w:val="FFFFFF" w:themeColor="background1"/>
                                          <w:sz w:val="84"/>
                                          <w:szCs w:val="84"/>
                                        </w:rPr>
                                      </w:pPr>
                                      <w:r w:rsidRPr="009D3FFD">
                                        <w:rPr>
                                          <w:rFonts w:asciiTheme="majorHAnsi" w:eastAsiaTheme="majorEastAsia" w:hAnsiTheme="majorHAnsi" w:cstheme="majorBidi"/>
                                          <w:color w:val="FFFFFF" w:themeColor="background1"/>
                                          <w:sz w:val="84"/>
                                          <w:szCs w:val="84"/>
                                        </w:rPr>
                                        <w:t>Research and case scenario in Data Security and Compliance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0879E8F" w14:textId="5EC220C1" w:rsidR="009D3FFD" w:rsidRDefault="009D3FFD">
                                      <w:pPr>
                                        <w:pStyle w:val="NoSpacing"/>
                                        <w:rPr>
                                          <w:color w:val="FFFFFF" w:themeColor="background1"/>
                                          <w:sz w:val="28"/>
                                          <w:szCs w:val="28"/>
                                        </w:rPr>
                                      </w:pPr>
                                      <w:r w:rsidRPr="009D3FFD">
                                        <w:rPr>
                                          <w:color w:val="FFFFFF" w:themeColor="background1"/>
                                          <w:sz w:val="28"/>
                                          <w:szCs w:val="28"/>
                                        </w:rPr>
                                        <w:t>Data and Security Compliance (ACCA5034</w:t>
                                      </w:r>
                                      <w:r>
                                        <w:rPr>
                                          <w:color w:val="FFFFFF" w:themeColor="background1"/>
                                          <w:sz w:val="28"/>
                                          <w:szCs w:val="28"/>
                                        </w:rPr>
                                        <w: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DDABA13" w14:textId="7B07AA54" w:rsidR="009D3FFD" w:rsidRDefault="009D3FFD">
                                      <w:pPr>
                                        <w:pStyle w:val="NoSpacing"/>
                                        <w:rPr>
                                          <w:color w:val="FFFFFF" w:themeColor="background1"/>
                                          <w:sz w:val="32"/>
                                          <w:szCs w:val="32"/>
                                        </w:rPr>
                                      </w:pPr>
                                      <w:r>
                                        <w:rPr>
                                          <w:color w:val="FFFFFF" w:themeColor="background1"/>
                                          <w:sz w:val="32"/>
                                          <w:szCs w:val="32"/>
                                        </w:rPr>
                                        <w:t>Callum Wallis-Evans</w:t>
                                      </w:r>
                                    </w:p>
                                  </w:sdtContent>
                                </w:sdt>
                                <w:p w14:paraId="5B215AD8" w14:textId="67300635" w:rsidR="009D3FFD" w:rsidRPr="009D3FFD" w:rsidRDefault="00000000">
                                  <w:pPr>
                                    <w:pStyle w:val="NoSpacing"/>
                                    <w:rPr>
                                      <w:color w:val="FFFFFF" w:themeColor="background1"/>
                                      <w:sz w:val="18"/>
                                      <w:szCs w:val="18"/>
                                      <w:lang w:val="de-DE"/>
                                    </w:rPr>
                                  </w:pPr>
                                  <w:sdt>
                                    <w:sdtPr>
                                      <w:rPr>
                                        <w:caps/>
                                        <w:color w:val="FFFFFF" w:themeColor="background1"/>
                                        <w:sz w:val="18"/>
                                        <w:szCs w:val="18"/>
                                        <w:lang w:val="de-DE"/>
                                      </w:rPr>
                                      <w:alias w:val="Company"/>
                                      <w:tag w:val=""/>
                                      <w:id w:val="-775099975"/>
                                      <w:dataBinding w:prefixMappings="xmlns:ns0='http://schemas.openxmlformats.org/officeDocument/2006/extended-properties' " w:xpath="/ns0:Properties[1]/ns0:Company[1]" w:storeItemID="{6668398D-A668-4E3E-A5EB-62B293D839F1}"/>
                                      <w:text/>
                                    </w:sdtPr>
                                    <w:sdtContent>
                                      <w:r w:rsidR="009D3FFD" w:rsidRPr="009D3FFD">
                                        <w:rPr>
                                          <w:caps/>
                                          <w:color w:val="FFFFFF" w:themeColor="background1"/>
                                          <w:sz w:val="18"/>
                                          <w:szCs w:val="18"/>
                                          <w:lang w:val="de-DE"/>
                                        </w:rPr>
                                        <w:t>Software Engineering</w:t>
                                      </w:r>
                                    </w:sdtContent>
                                  </w:sdt>
                                  <w:r w:rsidR="009D3FFD" w:rsidRPr="009D3FFD">
                                    <w:rPr>
                                      <w:color w:val="FFFFFF" w:themeColor="background1"/>
                                      <w:sz w:val="18"/>
                                      <w:szCs w:val="18"/>
                                      <w:lang w:val="de-DE"/>
                                    </w:rPr>
                                    <w:t>  </w:t>
                                  </w:r>
                                  <w:sdt>
                                    <w:sdtPr>
                                      <w:rPr>
                                        <w:color w:val="FFFFFF" w:themeColor="background1"/>
                                        <w:sz w:val="18"/>
                                        <w:szCs w:val="18"/>
                                        <w:lang w:val="de-DE"/>
                                      </w:rPr>
                                      <w:alias w:val="Address"/>
                                      <w:tag w:val=""/>
                                      <w:id w:val="-669564449"/>
                                      <w:dataBinding w:prefixMappings="xmlns:ns0='http://schemas.microsoft.com/office/2006/coverPageProps' " w:xpath="/ns0:CoverPageProperties[1]/ns0:CompanyAddress[1]" w:storeItemID="{55AF091B-3C7A-41E3-B477-F2FDAA23CFDA}"/>
                                      <w:text/>
                                    </w:sdtPr>
                                    <w:sdtContent>
                                      <w:r w:rsidR="009D3FFD" w:rsidRPr="009D3FFD">
                                        <w:rPr>
                                          <w:color w:val="FFFFFF" w:themeColor="background1"/>
                                          <w:sz w:val="18"/>
                                          <w:szCs w:val="18"/>
                                          <w:lang w:val="de-DE"/>
                                        </w:rPr>
                                        <w:t>2426155@student.uwtsd.ac.u</w:t>
                                      </w:r>
                                      <w:r w:rsidR="009D3FFD">
                                        <w:rPr>
                                          <w:color w:val="FFFFFF" w:themeColor="background1"/>
                                          <w:sz w:val="18"/>
                                          <w:szCs w:val="18"/>
                                          <w:lang w:val="de-DE"/>
                                        </w:rPr>
                                        <w:t>k</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99D1CE"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7C30AF2" w14:textId="185E8CB7" w:rsidR="009D3FFD" w:rsidRDefault="009D3FFD">
                                <w:pPr>
                                  <w:pStyle w:val="NoSpacing"/>
                                  <w:spacing w:after="120"/>
                                  <w:rPr>
                                    <w:rFonts w:asciiTheme="majorHAnsi" w:eastAsiaTheme="majorEastAsia" w:hAnsiTheme="majorHAnsi" w:cstheme="majorBidi"/>
                                    <w:color w:val="FFFFFF" w:themeColor="background1"/>
                                    <w:sz w:val="84"/>
                                    <w:szCs w:val="84"/>
                                  </w:rPr>
                                </w:pPr>
                                <w:r w:rsidRPr="009D3FFD">
                                  <w:rPr>
                                    <w:rFonts w:asciiTheme="majorHAnsi" w:eastAsiaTheme="majorEastAsia" w:hAnsiTheme="majorHAnsi" w:cstheme="majorBidi"/>
                                    <w:color w:val="FFFFFF" w:themeColor="background1"/>
                                    <w:sz w:val="84"/>
                                    <w:szCs w:val="84"/>
                                  </w:rPr>
                                  <w:t>Research and case scenario in Data Security and Compliance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0879E8F" w14:textId="5EC220C1" w:rsidR="009D3FFD" w:rsidRDefault="009D3FFD">
                                <w:pPr>
                                  <w:pStyle w:val="NoSpacing"/>
                                  <w:rPr>
                                    <w:color w:val="FFFFFF" w:themeColor="background1"/>
                                    <w:sz w:val="28"/>
                                    <w:szCs w:val="28"/>
                                  </w:rPr>
                                </w:pPr>
                                <w:r w:rsidRPr="009D3FFD">
                                  <w:rPr>
                                    <w:color w:val="FFFFFF" w:themeColor="background1"/>
                                    <w:sz w:val="28"/>
                                    <w:szCs w:val="28"/>
                                  </w:rPr>
                                  <w:t>Data and Security Compliance (ACCA5034</w:t>
                                </w:r>
                                <w:r>
                                  <w:rPr>
                                    <w:color w:val="FFFFFF" w:themeColor="background1"/>
                                    <w:sz w:val="28"/>
                                    <w:szCs w:val="28"/>
                                  </w:rPr>
                                  <w:t>)</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DDABA13" w14:textId="7B07AA54" w:rsidR="009D3FFD" w:rsidRDefault="009D3FFD">
                                <w:pPr>
                                  <w:pStyle w:val="NoSpacing"/>
                                  <w:rPr>
                                    <w:color w:val="FFFFFF" w:themeColor="background1"/>
                                    <w:sz w:val="32"/>
                                    <w:szCs w:val="32"/>
                                  </w:rPr>
                                </w:pPr>
                                <w:r>
                                  <w:rPr>
                                    <w:color w:val="FFFFFF" w:themeColor="background1"/>
                                    <w:sz w:val="32"/>
                                    <w:szCs w:val="32"/>
                                  </w:rPr>
                                  <w:t>Callum Wallis-Evans</w:t>
                                </w:r>
                              </w:p>
                            </w:sdtContent>
                          </w:sdt>
                          <w:p w14:paraId="5B215AD8" w14:textId="67300635" w:rsidR="009D3FFD" w:rsidRPr="009D3FFD" w:rsidRDefault="00000000">
                            <w:pPr>
                              <w:pStyle w:val="NoSpacing"/>
                              <w:rPr>
                                <w:color w:val="FFFFFF" w:themeColor="background1"/>
                                <w:sz w:val="18"/>
                                <w:szCs w:val="18"/>
                                <w:lang w:val="de-DE"/>
                              </w:rPr>
                            </w:pPr>
                            <w:sdt>
                              <w:sdtPr>
                                <w:rPr>
                                  <w:caps/>
                                  <w:color w:val="FFFFFF" w:themeColor="background1"/>
                                  <w:sz w:val="18"/>
                                  <w:szCs w:val="18"/>
                                  <w:lang w:val="de-DE"/>
                                </w:rPr>
                                <w:alias w:val="Company"/>
                                <w:tag w:val=""/>
                                <w:id w:val="-775099975"/>
                                <w:dataBinding w:prefixMappings="xmlns:ns0='http://schemas.openxmlformats.org/officeDocument/2006/extended-properties' " w:xpath="/ns0:Properties[1]/ns0:Company[1]" w:storeItemID="{6668398D-A668-4E3E-A5EB-62B293D839F1}"/>
                                <w:text/>
                              </w:sdtPr>
                              <w:sdtContent>
                                <w:r w:rsidR="009D3FFD" w:rsidRPr="009D3FFD">
                                  <w:rPr>
                                    <w:caps/>
                                    <w:color w:val="FFFFFF" w:themeColor="background1"/>
                                    <w:sz w:val="18"/>
                                    <w:szCs w:val="18"/>
                                    <w:lang w:val="de-DE"/>
                                  </w:rPr>
                                  <w:t>Software Engineering</w:t>
                                </w:r>
                              </w:sdtContent>
                            </w:sdt>
                            <w:r w:rsidR="009D3FFD" w:rsidRPr="009D3FFD">
                              <w:rPr>
                                <w:color w:val="FFFFFF" w:themeColor="background1"/>
                                <w:sz w:val="18"/>
                                <w:szCs w:val="18"/>
                                <w:lang w:val="de-DE"/>
                              </w:rPr>
                              <w:t>  </w:t>
                            </w:r>
                            <w:sdt>
                              <w:sdtPr>
                                <w:rPr>
                                  <w:color w:val="FFFFFF" w:themeColor="background1"/>
                                  <w:sz w:val="18"/>
                                  <w:szCs w:val="18"/>
                                  <w:lang w:val="de-DE"/>
                                </w:rPr>
                                <w:alias w:val="Address"/>
                                <w:tag w:val=""/>
                                <w:id w:val="-669564449"/>
                                <w:dataBinding w:prefixMappings="xmlns:ns0='http://schemas.microsoft.com/office/2006/coverPageProps' " w:xpath="/ns0:CoverPageProperties[1]/ns0:CompanyAddress[1]" w:storeItemID="{55AF091B-3C7A-41E3-B477-F2FDAA23CFDA}"/>
                                <w:text/>
                              </w:sdtPr>
                              <w:sdtContent>
                                <w:r w:rsidR="009D3FFD" w:rsidRPr="009D3FFD">
                                  <w:rPr>
                                    <w:color w:val="FFFFFF" w:themeColor="background1"/>
                                    <w:sz w:val="18"/>
                                    <w:szCs w:val="18"/>
                                    <w:lang w:val="de-DE"/>
                                  </w:rPr>
                                  <w:t>2426155@student.uwtsd.ac.u</w:t>
                                </w:r>
                                <w:r w:rsidR="009D3FFD">
                                  <w:rPr>
                                    <w:color w:val="FFFFFF" w:themeColor="background1"/>
                                    <w:sz w:val="18"/>
                                    <w:szCs w:val="18"/>
                                    <w:lang w:val="de-DE"/>
                                  </w:rPr>
                                  <w:t>k</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221214065"/>
        <w:docPartObj>
          <w:docPartGallery w:val="Table of Contents"/>
          <w:docPartUnique/>
        </w:docPartObj>
      </w:sdtPr>
      <w:sdtEndPr>
        <w:rPr>
          <w:b/>
          <w:bCs/>
          <w:noProof/>
        </w:rPr>
      </w:sdtEndPr>
      <w:sdtContent>
        <w:p w14:paraId="5C7A4FFD" w14:textId="7E81FB84" w:rsidR="009D3FFD" w:rsidRDefault="009D3FFD">
          <w:pPr>
            <w:pStyle w:val="TOCHeading"/>
          </w:pPr>
          <w:r>
            <w:t>Contents</w:t>
          </w:r>
        </w:p>
        <w:p w14:paraId="715972C6" w14:textId="2B9D46AF" w:rsidR="008675B0" w:rsidRDefault="009D3FFD">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142104" w:history="1">
            <w:r w:rsidR="008675B0" w:rsidRPr="00F81BF5">
              <w:rPr>
                <w:rStyle w:val="Hyperlink"/>
                <w:noProof/>
              </w:rPr>
              <w:t>Introduction</w:t>
            </w:r>
            <w:r w:rsidR="008675B0">
              <w:rPr>
                <w:noProof/>
                <w:webHidden/>
              </w:rPr>
              <w:tab/>
            </w:r>
            <w:r w:rsidR="008675B0">
              <w:rPr>
                <w:noProof/>
                <w:webHidden/>
              </w:rPr>
              <w:fldChar w:fldCharType="begin"/>
            </w:r>
            <w:r w:rsidR="008675B0">
              <w:rPr>
                <w:noProof/>
                <w:webHidden/>
              </w:rPr>
              <w:instrText xml:space="preserve"> PAGEREF _Toc236142104 \h </w:instrText>
            </w:r>
            <w:r w:rsidR="008675B0">
              <w:rPr>
                <w:noProof/>
                <w:webHidden/>
              </w:rPr>
            </w:r>
            <w:r w:rsidR="008675B0">
              <w:rPr>
                <w:noProof/>
                <w:webHidden/>
              </w:rPr>
              <w:fldChar w:fldCharType="separate"/>
            </w:r>
            <w:r w:rsidR="008675B0">
              <w:rPr>
                <w:noProof/>
                <w:webHidden/>
              </w:rPr>
              <w:t>2</w:t>
            </w:r>
            <w:r w:rsidR="008675B0">
              <w:rPr>
                <w:noProof/>
                <w:webHidden/>
              </w:rPr>
              <w:fldChar w:fldCharType="end"/>
            </w:r>
          </w:hyperlink>
        </w:p>
        <w:p w14:paraId="0F95080C" w14:textId="598719F9" w:rsidR="008675B0" w:rsidRDefault="008675B0">
          <w:pPr>
            <w:pStyle w:val="TOC1"/>
            <w:tabs>
              <w:tab w:val="right" w:leader="dot" w:pos="9016"/>
            </w:tabs>
            <w:rPr>
              <w:rFonts w:eastAsiaTheme="minorEastAsia"/>
              <w:noProof/>
              <w:sz w:val="24"/>
              <w:szCs w:val="24"/>
              <w:lang w:eastAsia="en-GB"/>
            </w:rPr>
          </w:pPr>
          <w:hyperlink w:anchor="_Toc236142105" w:history="1">
            <w:r w:rsidRPr="00F81BF5">
              <w:rPr>
                <w:rStyle w:val="Hyperlink"/>
                <w:noProof/>
              </w:rPr>
              <w:t>Task 1 - Securing the Modern Enterprise: From Zero Trust to AI Governance</w:t>
            </w:r>
            <w:r>
              <w:rPr>
                <w:noProof/>
                <w:webHidden/>
              </w:rPr>
              <w:tab/>
            </w:r>
            <w:r>
              <w:rPr>
                <w:noProof/>
                <w:webHidden/>
              </w:rPr>
              <w:fldChar w:fldCharType="begin"/>
            </w:r>
            <w:r>
              <w:rPr>
                <w:noProof/>
                <w:webHidden/>
              </w:rPr>
              <w:instrText xml:space="preserve"> PAGEREF _Toc236142105 \h </w:instrText>
            </w:r>
            <w:r>
              <w:rPr>
                <w:noProof/>
                <w:webHidden/>
              </w:rPr>
            </w:r>
            <w:r>
              <w:rPr>
                <w:noProof/>
                <w:webHidden/>
              </w:rPr>
              <w:fldChar w:fldCharType="separate"/>
            </w:r>
            <w:r>
              <w:rPr>
                <w:noProof/>
                <w:webHidden/>
              </w:rPr>
              <w:t>3</w:t>
            </w:r>
            <w:r>
              <w:rPr>
                <w:noProof/>
                <w:webHidden/>
              </w:rPr>
              <w:fldChar w:fldCharType="end"/>
            </w:r>
          </w:hyperlink>
        </w:p>
        <w:p w14:paraId="63628069" w14:textId="1FC444E2" w:rsidR="008675B0" w:rsidRDefault="008675B0">
          <w:pPr>
            <w:pStyle w:val="TOC2"/>
            <w:tabs>
              <w:tab w:val="right" w:leader="dot" w:pos="9016"/>
            </w:tabs>
            <w:rPr>
              <w:rFonts w:eastAsiaTheme="minorEastAsia"/>
              <w:noProof/>
              <w:sz w:val="24"/>
              <w:szCs w:val="24"/>
              <w:lang w:eastAsia="en-GB"/>
            </w:rPr>
          </w:pPr>
          <w:hyperlink w:anchor="_Toc236142106" w:history="1">
            <w:r w:rsidRPr="00F81BF5">
              <w:rPr>
                <w:rStyle w:val="Hyperlink"/>
                <w:noProof/>
              </w:rPr>
              <w:t>Modern Cyber Threat Landscape</w:t>
            </w:r>
            <w:r>
              <w:rPr>
                <w:noProof/>
                <w:webHidden/>
              </w:rPr>
              <w:tab/>
            </w:r>
            <w:r>
              <w:rPr>
                <w:noProof/>
                <w:webHidden/>
              </w:rPr>
              <w:fldChar w:fldCharType="begin"/>
            </w:r>
            <w:r>
              <w:rPr>
                <w:noProof/>
                <w:webHidden/>
              </w:rPr>
              <w:instrText xml:space="preserve"> PAGEREF _Toc236142106 \h </w:instrText>
            </w:r>
            <w:r>
              <w:rPr>
                <w:noProof/>
                <w:webHidden/>
              </w:rPr>
            </w:r>
            <w:r>
              <w:rPr>
                <w:noProof/>
                <w:webHidden/>
              </w:rPr>
              <w:fldChar w:fldCharType="separate"/>
            </w:r>
            <w:r>
              <w:rPr>
                <w:noProof/>
                <w:webHidden/>
              </w:rPr>
              <w:t>3</w:t>
            </w:r>
            <w:r>
              <w:rPr>
                <w:noProof/>
                <w:webHidden/>
              </w:rPr>
              <w:fldChar w:fldCharType="end"/>
            </w:r>
          </w:hyperlink>
        </w:p>
        <w:p w14:paraId="54E523FF" w14:textId="7CE8D67F" w:rsidR="008675B0" w:rsidRDefault="008675B0">
          <w:pPr>
            <w:pStyle w:val="TOC2"/>
            <w:tabs>
              <w:tab w:val="right" w:leader="dot" w:pos="9016"/>
            </w:tabs>
            <w:rPr>
              <w:rFonts w:eastAsiaTheme="minorEastAsia"/>
              <w:noProof/>
              <w:sz w:val="24"/>
              <w:szCs w:val="24"/>
              <w:lang w:eastAsia="en-GB"/>
            </w:rPr>
          </w:pPr>
          <w:hyperlink w:anchor="_Toc236142107" w:history="1">
            <w:r w:rsidRPr="00F81BF5">
              <w:rPr>
                <w:rStyle w:val="Hyperlink"/>
                <w:noProof/>
              </w:rPr>
              <w:t>Zero Trust Architecture Principles</w:t>
            </w:r>
            <w:r>
              <w:rPr>
                <w:noProof/>
                <w:webHidden/>
              </w:rPr>
              <w:tab/>
            </w:r>
            <w:r>
              <w:rPr>
                <w:noProof/>
                <w:webHidden/>
              </w:rPr>
              <w:fldChar w:fldCharType="begin"/>
            </w:r>
            <w:r>
              <w:rPr>
                <w:noProof/>
                <w:webHidden/>
              </w:rPr>
              <w:instrText xml:space="preserve"> PAGEREF _Toc236142107 \h </w:instrText>
            </w:r>
            <w:r>
              <w:rPr>
                <w:noProof/>
                <w:webHidden/>
              </w:rPr>
            </w:r>
            <w:r>
              <w:rPr>
                <w:noProof/>
                <w:webHidden/>
              </w:rPr>
              <w:fldChar w:fldCharType="separate"/>
            </w:r>
            <w:r>
              <w:rPr>
                <w:noProof/>
                <w:webHidden/>
              </w:rPr>
              <w:t>5</w:t>
            </w:r>
            <w:r>
              <w:rPr>
                <w:noProof/>
                <w:webHidden/>
              </w:rPr>
              <w:fldChar w:fldCharType="end"/>
            </w:r>
          </w:hyperlink>
        </w:p>
        <w:p w14:paraId="75A2BE08" w14:textId="58F19267" w:rsidR="008675B0" w:rsidRDefault="008675B0">
          <w:pPr>
            <w:pStyle w:val="TOC2"/>
            <w:tabs>
              <w:tab w:val="right" w:leader="dot" w:pos="9016"/>
            </w:tabs>
            <w:rPr>
              <w:rFonts w:eastAsiaTheme="minorEastAsia"/>
              <w:noProof/>
              <w:sz w:val="24"/>
              <w:szCs w:val="24"/>
              <w:lang w:eastAsia="en-GB"/>
            </w:rPr>
          </w:pPr>
          <w:hyperlink w:anchor="_Toc236142108" w:history="1">
            <w:r w:rsidRPr="00F81BF5">
              <w:rPr>
                <w:rStyle w:val="Hyperlink"/>
                <w:noProof/>
              </w:rPr>
              <w:t>Enablers of Zero Trust Architecture</w:t>
            </w:r>
            <w:r>
              <w:rPr>
                <w:noProof/>
                <w:webHidden/>
              </w:rPr>
              <w:tab/>
            </w:r>
            <w:r>
              <w:rPr>
                <w:noProof/>
                <w:webHidden/>
              </w:rPr>
              <w:fldChar w:fldCharType="begin"/>
            </w:r>
            <w:r>
              <w:rPr>
                <w:noProof/>
                <w:webHidden/>
              </w:rPr>
              <w:instrText xml:space="preserve"> PAGEREF _Toc236142108 \h </w:instrText>
            </w:r>
            <w:r>
              <w:rPr>
                <w:noProof/>
                <w:webHidden/>
              </w:rPr>
            </w:r>
            <w:r>
              <w:rPr>
                <w:noProof/>
                <w:webHidden/>
              </w:rPr>
              <w:fldChar w:fldCharType="separate"/>
            </w:r>
            <w:r>
              <w:rPr>
                <w:noProof/>
                <w:webHidden/>
              </w:rPr>
              <w:t>6</w:t>
            </w:r>
            <w:r>
              <w:rPr>
                <w:noProof/>
                <w:webHidden/>
              </w:rPr>
              <w:fldChar w:fldCharType="end"/>
            </w:r>
          </w:hyperlink>
        </w:p>
        <w:p w14:paraId="7F613549" w14:textId="479F8EFF" w:rsidR="008675B0" w:rsidRDefault="008675B0">
          <w:pPr>
            <w:pStyle w:val="TOC3"/>
            <w:tabs>
              <w:tab w:val="right" w:leader="dot" w:pos="9016"/>
            </w:tabs>
            <w:rPr>
              <w:rFonts w:eastAsiaTheme="minorEastAsia"/>
              <w:noProof/>
              <w:sz w:val="24"/>
              <w:szCs w:val="24"/>
              <w:lang w:eastAsia="en-GB"/>
            </w:rPr>
          </w:pPr>
          <w:hyperlink w:anchor="_Toc236142109" w:history="1">
            <w:r w:rsidRPr="00F81BF5">
              <w:rPr>
                <w:rStyle w:val="Hyperlink"/>
                <w:noProof/>
              </w:rPr>
              <w:t>Identity Governance</w:t>
            </w:r>
            <w:r>
              <w:rPr>
                <w:noProof/>
                <w:webHidden/>
              </w:rPr>
              <w:tab/>
            </w:r>
            <w:r>
              <w:rPr>
                <w:noProof/>
                <w:webHidden/>
              </w:rPr>
              <w:fldChar w:fldCharType="begin"/>
            </w:r>
            <w:r>
              <w:rPr>
                <w:noProof/>
                <w:webHidden/>
              </w:rPr>
              <w:instrText xml:space="preserve"> PAGEREF _Toc236142109 \h </w:instrText>
            </w:r>
            <w:r>
              <w:rPr>
                <w:noProof/>
                <w:webHidden/>
              </w:rPr>
            </w:r>
            <w:r>
              <w:rPr>
                <w:noProof/>
                <w:webHidden/>
              </w:rPr>
              <w:fldChar w:fldCharType="separate"/>
            </w:r>
            <w:r>
              <w:rPr>
                <w:noProof/>
                <w:webHidden/>
              </w:rPr>
              <w:t>6</w:t>
            </w:r>
            <w:r>
              <w:rPr>
                <w:noProof/>
                <w:webHidden/>
              </w:rPr>
              <w:fldChar w:fldCharType="end"/>
            </w:r>
          </w:hyperlink>
        </w:p>
        <w:p w14:paraId="4F461F70" w14:textId="0B8D0378" w:rsidR="008675B0" w:rsidRDefault="008675B0">
          <w:pPr>
            <w:pStyle w:val="TOC3"/>
            <w:tabs>
              <w:tab w:val="right" w:leader="dot" w:pos="9016"/>
            </w:tabs>
            <w:rPr>
              <w:rFonts w:eastAsiaTheme="minorEastAsia"/>
              <w:noProof/>
              <w:sz w:val="24"/>
              <w:szCs w:val="24"/>
              <w:lang w:eastAsia="en-GB"/>
            </w:rPr>
          </w:pPr>
          <w:hyperlink w:anchor="_Toc236142110" w:history="1">
            <w:r w:rsidRPr="00F81BF5">
              <w:rPr>
                <w:rStyle w:val="Hyperlink"/>
                <w:noProof/>
              </w:rPr>
              <w:t>Zero Trust Network Access (ZTNA)</w:t>
            </w:r>
            <w:r>
              <w:rPr>
                <w:noProof/>
                <w:webHidden/>
              </w:rPr>
              <w:tab/>
            </w:r>
            <w:r>
              <w:rPr>
                <w:noProof/>
                <w:webHidden/>
              </w:rPr>
              <w:fldChar w:fldCharType="begin"/>
            </w:r>
            <w:r>
              <w:rPr>
                <w:noProof/>
                <w:webHidden/>
              </w:rPr>
              <w:instrText xml:space="preserve"> PAGEREF _Toc236142110 \h </w:instrText>
            </w:r>
            <w:r>
              <w:rPr>
                <w:noProof/>
                <w:webHidden/>
              </w:rPr>
            </w:r>
            <w:r>
              <w:rPr>
                <w:noProof/>
                <w:webHidden/>
              </w:rPr>
              <w:fldChar w:fldCharType="separate"/>
            </w:r>
            <w:r>
              <w:rPr>
                <w:noProof/>
                <w:webHidden/>
              </w:rPr>
              <w:t>6</w:t>
            </w:r>
            <w:r>
              <w:rPr>
                <w:noProof/>
                <w:webHidden/>
              </w:rPr>
              <w:fldChar w:fldCharType="end"/>
            </w:r>
          </w:hyperlink>
        </w:p>
        <w:p w14:paraId="5030F782" w14:textId="6E6DC314" w:rsidR="008675B0" w:rsidRDefault="008675B0">
          <w:pPr>
            <w:pStyle w:val="TOC3"/>
            <w:tabs>
              <w:tab w:val="right" w:leader="dot" w:pos="9016"/>
            </w:tabs>
            <w:rPr>
              <w:rFonts w:eastAsiaTheme="minorEastAsia"/>
              <w:noProof/>
              <w:sz w:val="24"/>
              <w:szCs w:val="24"/>
              <w:lang w:eastAsia="en-GB"/>
            </w:rPr>
          </w:pPr>
          <w:hyperlink w:anchor="_Toc236142111" w:history="1">
            <w:r w:rsidRPr="00F81BF5">
              <w:rPr>
                <w:rStyle w:val="Hyperlink"/>
                <w:noProof/>
              </w:rPr>
              <w:t>Secure Access Service Edge (SASE)</w:t>
            </w:r>
            <w:r>
              <w:rPr>
                <w:noProof/>
                <w:webHidden/>
              </w:rPr>
              <w:tab/>
            </w:r>
            <w:r>
              <w:rPr>
                <w:noProof/>
                <w:webHidden/>
              </w:rPr>
              <w:fldChar w:fldCharType="begin"/>
            </w:r>
            <w:r>
              <w:rPr>
                <w:noProof/>
                <w:webHidden/>
              </w:rPr>
              <w:instrText xml:space="preserve"> PAGEREF _Toc236142111 \h </w:instrText>
            </w:r>
            <w:r>
              <w:rPr>
                <w:noProof/>
                <w:webHidden/>
              </w:rPr>
            </w:r>
            <w:r>
              <w:rPr>
                <w:noProof/>
                <w:webHidden/>
              </w:rPr>
              <w:fldChar w:fldCharType="separate"/>
            </w:r>
            <w:r>
              <w:rPr>
                <w:noProof/>
                <w:webHidden/>
              </w:rPr>
              <w:t>7</w:t>
            </w:r>
            <w:r>
              <w:rPr>
                <w:noProof/>
                <w:webHidden/>
              </w:rPr>
              <w:fldChar w:fldCharType="end"/>
            </w:r>
          </w:hyperlink>
        </w:p>
        <w:p w14:paraId="01941EAE" w14:textId="0697D1D4" w:rsidR="008675B0" w:rsidRDefault="008675B0">
          <w:pPr>
            <w:pStyle w:val="TOC3"/>
            <w:tabs>
              <w:tab w:val="right" w:leader="dot" w:pos="9016"/>
            </w:tabs>
            <w:rPr>
              <w:rFonts w:eastAsiaTheme="minorEastAsia"/>
              <w:noProof/>
              <w:sz w:val="24"/>
              <w:szCs w:val="24"/>
              <w:lang w:eastAsia="en-GB"/>
            </w:rPr>
          </w:pPr>
          <w:hyperlink w:anchor="_Toc236142112" w:history="1">
            <w:r w:rsidRPr="00F81BF5">
              <w:rPr>
                <w:rStyle w:val="Hyperlink"/>
                <w:noProof/>
              </w:rPr>
              <w:t>Security Information and Event Management (SIEM)</w:t>
            </w:r>
            <w:r>
              <w:rPr>
                <w:noProof/>
                <w:webHidden/>
              </w:rPr>
              <w:tab/>
            </w:r>
            <w:r>
              <w:rPr>
                <w:noProof/>
                <w:webHidden/>
              </w:rPr>
              <w:fldChar w:fldCharType="begin"/>
            </w:r>
            <w:r>
              <w:rPr>
                <w:noProof/>
                <w:webHidden/>
              </w:rPr>
              <w:instrText xml:space="preserve"> PAGEREF _Toc236142112 \h </w:instrText>
            </w:r>
            <w:r>
              <w:rPr>
                <w:noProof/>
                <w:webHidden/>
              </w:rPr>
            </w:r>
            <w:r>
              <w:rPr>
                <w:noProof/>
                <w:webHidden/>
              </w:rPr>
              <w:fldChar w:fldCharType="separate"/>
            </w:r>
            <w:r>
              <w:rPr>
                <w:noProof/>
                <w:webHidden/>
              </w:rPr>
              <w:t>7</w:t>
            </w:r>
            <w:r>
              <w:rPr>
                <w:noProof/>
                <w:webHidden/>
              </w:rPr>
              <w:fldChar w:fldCharType="end"/>
            </w:r>
          </w:hyperlink>
        </w:p>
        <w:p w14:paraId="2A69B4A1" w14:textId="470FF381" w:rsidR="008675B0" w:rsidRDefault="008675B0">
          <w:pPr>
            <w:pStyle w:val="TOC2"/>
            <w:tabs>
              <w:tab w:val="right" w:leader="dot" w:pos="9016"/>
            </w:tabs>
            <w:rPr>
              <w:rFonts w:eastAsiaTheme="minorEastAsia"/>
              <w:noProof/>
              <w:sz w:val="24"/>
              <w:szCs w:val="24"/>
              <w:lang w:eastAsia="en-GB"/>
            </w:rPr>
          </w:pPr>
          <w:hyperlink w:anchor="_Toc236142113" w:history="1">
            <w:r w:rsidRPr="00F81BF5">
              <w:rPr>
                <w:rStyle w:val="Hyperlink"/>
                <w:noProof/>
              </w:rPr>
              <w:t>Evaluating Zero Trust Architecture</w:t>
            </w:r>
            <w:r>
              <w:rPr>
                <w:noProof/>
                <w:webHidden/>
              </w:rPr>
              <w:tab/>
            </w:r>
            <w:r>
              <w:rPr>
                <w:noProof/>
                <w:webHidden/>
              </w:rPr>
              <w:fldChar w:fldCharType="begin"/>
            </w:r>
            <w:r>
              <w:rPr>
                <w:noProof/>
                <w:webHidden/>
              </w:rPr>
              <w:instrText xml:space="preserve"> PAGEREF _Toc236142113 \h </w:instrText>
            </w:r>
            <w:r>
              <w:rPr>
                <w:noProof/>
                <w:webHidden/>
              </w:rPr>
            </w:r>
            <w:r>
              <w:rPr>
                <w:noProof/>
                <w:webHidden/>
              </w:rPr>
              <w:fldChar w:fldCharType="separate"/>
            </w:r>
            <w:r>
              <w:rPr>
                <w:noProof/>
                <w:webHidden/>
              </w:rPr>
              <w:t>9</w:t>
            </w:r>
            <w:r>
              <w:rPr>
                <w:noProof/>
                <w:webHidden/>
              </w:rPr>
              <w:fldChar w:fldCharType="end"/>
            </w:r>
          </w:hyperlink>
        </w:p>
        <w:p w14:paraId="34435FE7" w14:textId="1B1DB1A0" w:rsidR="008675B0" w:rsidRDefault="008675B0">
          <w:pPr>
            <w:pStyle w:val="TOC1"/>
            <w:tabs>
              <w:tab w:val="right" w:leader="dot" w:pos="9016"/>
            </w:tabs>
            <w:rPr>
              <w:rFonts w:eastAsiaTheme="minorEastAsia"/>
              <w:noProof/>
              <w:sz w:val="24"/>
              <w:szCs w:val="24"/>
              <w:lang w:eastAsia="en-GB"/>
            </w:rPr>
          </w:pPr>
          <w:hyperlink w:anchor="_Toc236142114" w:history="1">
            <w:r w:rsidRPr="00F81BF5">
              <w:rPr>
                <w:rStyle w:val="Hyperlink"/>
                <w:noProof/>
              </w:rPr>
              <w:t>Task 2 - Work-Based Project: Chief Information Security Officer (CISO) Proposal</w:t>
            </w:r>
            <w:r>
              <w:rPr>
                <w:noProof/>
                <w:webHidden/>
              </w:rPr>
              <w:tab/>
            </w:r>
            <w:r>
              <w:rPr>
                <w:noProof/>
                <w:webHidden/>
              </w:rPr>
              <w:fldChar w:fldCharType="begin"/>
            </w:r>
            <w:r>
              <w:rPr>
                <w:noProof/>
                <w:webHidden/>
              </w:rPr>
              <w:instrText xml:space="preserve"> PAGEREF _Toc236142114 \h </w:instrText>
            </w:r>
            <w:r>
              <w:rPr>
                <w:noProof/>
                <w:webHidden/>
              </w:rPr>
            </w:r>
            <w:r>
              <w:rPr>
                <w:noProof/>
                <w:webHidden/>
              </w:rPr>
              <w:fldChar w:fldCharType="separate"/>
            </w:r>
            <w:r>
              <w:rPr>
                <w:noProof/>
                <w:webHidden/>
              </w:rPr>
              <w:t>10</w:t>
            </w:r>
            <w:r>
              <w:rPr>
                <w:noProof/>
                <w:webHidden/>
              </w:rPr>
              <w:fldChar w:fldCharType="end"/>
            </w:r>
          </w:hyperlink>
        </w:p>
        <w:p w14:paraId="17C2F6FA" w14:textId="319FAF66" w:rsidR="008675B0" w:rsidRDefault="008675B0">
          <w:pPr>
            <w:pStyle w:val="TOC2"/>
            <w:tabs>
              <w:tab w:val="right" w:leader="dot" w:pos="9016"/>
            </w:tabs>
            <w:rPr>
              <w:rFonts w:eastAsiaTheme="minorEastAsia"/>
              <w:noProof/>
              <w:sz w:val="24"/>
              <w:szCs w:val="24"/>
              <w:lang w:eastAsia="en-GB"/>
            </w:rPr>
          </w:pPr>
          <w:hyperlink w:anchor="_Toc236142115" w:history="1">
            <w:r w:rsidRPr="00F81BF5">
              <w:rPr>
                <w:rStyle w:val="Hyperlink"/>
                <w:noProof/>
              </w:rPr>
              <w:t>Organisational Design and Resourcing</w:t>
            </w:r>
            <w:r>
              <w:rPr>
                <w:noProof/>
                <w:webHidden/>
              </w:rPr>
              <w:tab/>
            </w:r>
            <w:r>
              <w:rPr>
                <w:noProof/>
                <w:webHidden/>
              </w:rPr>
              <w:fldChar w:fldCharType="begin"/>
            </w:r>
            <w:r>
              <w:rPr>
                <w:noProof/>
                <w:webHidden/>
              </w:rPr>
              <w:instrText xml:space="preserve"> PAGEREF _Toc236142115 \h </w:instrText>
            </w:r>
            <w:r>
              <w:rPr>
                <w:noProof/>
                <w:webHidden/>
              </w:rPr>
            </w:r>
            <w:r>
              <w:rPr>
                <w:noProof/>
                <w:webHidden/>
              </w:rPr>
              <w:fldChar w:fldCharType="separate"/>
            </w:r>
            <w:r>
              <w:rPr>
                <w:noProof/>
                <w:webHidden/>
              </w:rPr>
              <w:t>10</w:t>
            </w:r>
            <w:r>
              <w:rPr>
                <w:noProof/>
                <w:webHidden/>
              </w:rPr>
              <w:fldChar w:fldCharType="end"/>
            </w:r>
          </w:hyperlink>
        </w:p>
        <w:p w14:paraId="2D898CAE" w14:textId="0A9CDFAC" w:rsidR="008675B0" w:rsidRDefault="008675B0">
          <w:pPr>
            <w:pStyle w:val="TOC2"/>
            <w:tabs>
              <w:tab w:val="right" w:leader="dot" w:pos="9016"/>
            </w:tabs>
            <w:rPr>
              <w:rFonts w:eastAsiaTheme="minorEastAsia"/>
              <w:noProof/>
              <w:sz w:val="24"/>
              <w:szCs w:val="24"/>
              <w:lang w:eastAsia="en-GB"/>
            </w:rPr>
          </w:pPr>
          <w:hyperlink w:anchor="_Toc236142116" w:history="1">
            <w:r w:rsidRPr="00F81BF5">
              <w:rPr>
                <w:rStyle w:val="Hyperlink"/>
                <w:noProof/>
              </w:rPr>
              <w:t>Policy Framework Development</w:t>
            </w:r>
            <w:r>
              <w:rPr>
                <w:noProof/>
                <w:webHidden/>
              </w:rPr>
              <w:tab/>
            </w:r>
            <w:r>
              <w:rPr>
                <w:noProof/>
                <w:webHidden/>
              </w:rPr>
              <w:fldChar w:fldCharType="begin"/>
            </w:r>
            <w:r>
              <w:rPr>
                <w:noProof/>
                <w:webHidden/>
              </w:rPr>
              <w:instrText xml:space="preserve"> PAGEREF _Toc236142116 \h </w:instrText>
            </w:r>
            <w:r>
              <w:rPr>
                <w:noProof/>
                <w:webHidden/>
              </w:rPr>
            </w:r>
            <w:r>
              <w:rPr>
                <w:noProof/>
                <w:webHidden/>
              </w:rPr>
              <w:fldChar w:fldCharType="separate"/>
            </w:r>
            <w:r>
              <w:rPr>
                <w:noProof/>
                <w:webHidden/>
              </w:rPr>
              <w:t>11</w:t>
            </w:r>
            <w:r>
              <w:rPr>
                <w:noProof/>
                <w:webHidden/>
              </w:rPr>
              <w:fldChar w:fldCharType="end"/>
            </w:r>
          </w:hyperlink>
        </w:p>
        <w:p w14:paraId="10E6C5B8" w14:textId="356B557B" w:rsidR="008675B0" w:rsidRDefault="008675B0">
          <w:pPr>
            <w:pStyle w:val="TOC3"/>
            <w:tabs>
              <w:tab w:val="right" w:leader="dot" w:pos="9016"/>
            </w:tabs>
            <w:rPr>
              <w:rFonts w:eastAsiaTheme="minorEastAsia"/>
              <w:noProof/>
              <w:sz w:val="24"/>
              <w:szCs w:val="24"/>
              <w:lang w:eastAsia="en-GB"/>
            </w:rPr>
          </w:pPr>
          <w:hyperlink w:anchor="_Toc236142117" w:history="1">
            <w:r w:rsidRPr="00F81BF5">
              <w:rPr>
                <w:rStyle w:val="Hyperlink"/>
                <w:noProof/>
              </w:rPr>
              <w:t>Executive Summary of Acceptable Use Policy for AI &amp; Cloud Services</w:t>
            </w:r>
            <w:r>
              <w:rPr>
                <w:noProof/>
                <w:webHidden/>
              </w:rPr>
              <w:tab/>
            </w:r>
            <w:r>
              <w:rPr>
                <w:noProof/>
                <w:webHidden/>
              </w:rPr>
              <w:fldChar w:fldCharType="begin"/>
            </w:r>
            <w:r>
              <w:rPr>
                <w:noProof/>
                <w:webHidden/>
              </w:rPr>
              <w:instrText xml:space="preserve"> PAGEREF _Toc236142117 \h </w:instrText>
            </w:r>
            <w:r>
              <w:rPr>
                <w:noProof/>
                <w:webHidden/>
              </w:rPr>
            </w:r>
            <w:r>
              <w:rPr>
                <w:noProof/>
                <w:webHidden/>
              </w:rPr>
              <w:fldChar w:fldCharType="separate"/>
            </w:r>
            <w:r>
              <w:rPr>
                <w:noProof/>
                <w:webHidden/>
              </w:rPr>
              <w:t>11</w:t>
            </w:r>
            <w:r>
              <w:rPr>
                <w:noProof/>
                <w:webHidden/>
              </w:rPr>
              <w:fldChar w:fldCharType="end"/>
            </w:r>
          </w:hyperlink>
        </w:p>
        <w:p w14:paraId="003BDF27" w14:textId="30945520" w:rsidR="008675B0" w:rsidRDefault="008675B0">
          <w:pPr>
            <w:pStyle w:val="TOC3"/>
            <w:tabs>
              <w:tab w:val="right" w:leader="dot" w:pos="9016"/>
            </w:tabs>
            <w:rPr>
              <w:rFonts w:eastAsiaTheme="minorEastAsia"/>
              <w:noProof/>
              <w:sz w:val="24"/>
              <w:szCs w:val="24"/>
              <w:lang w:eastAsia="en-GB"/>
            </w:rPr>
          </w:pPr>
          <w:hyperlink w:anchor="_Toc236142118" w:history="1">
            <w:r w:rsidRPr="00F81BF5">
              <w:rPr>
                <w:rStyle w:val="Hyperlink"/>
                <w:noProof/>
              </w:rPr>
              <w:t>Executive Summary of Hybrid Work and Remote Access Security Policy</w:t>
            </w:r>
            <w:r>
              <w:rPr>
                <w:noProof/>
                <w:webHidden/>
              </w:rPr>
              <w:tab/>
            </w:r>
            <w:r>
              <w:rPr>
                <w:noProof/>
                <w:webHidden/>
              </w:rPr>
              <w:fldChar w:fldCharType="begin"/>
            </w:r>
            <w:r>
              <w:rPr>
                <w:noProof/>
                <w:webHidden/>
              </w:rPr>
              <w:instrText xml:space="preserve"> PAGEREF _Toc236142118 \h </w:instrText>
            </w:r>
            <w:r>
              <w:rPr>
                <w:noProof/>
                <w:webHidden/>
              </w:rPr>
            </w:r>
            <w:r>
              <w:rPr>
                <w:noProof/>
                <w:webHidden/>
              </w:rPr>
              <w:fldChar w:fldCharType="separate"/>
            </w:r>
            <w:r>
              <w:rPr>
                <w:noProof/>
                <w:webHidden/>
              </w:rPr>
              <w:t>11</w:t>
            </w:r>
            <w:r>
              <w:rPr>
                <w:noProof/>
                <w:webHidden/>
              </w:rPr>
              <w:fldChar w:fldCharType="end"/>
            </w:r>
          </w:hyperlink>
        </w:p>
        <w:p w14:paraId="13EC98F3" w14:textId="1F716999" w:rsidR="008675B0" w:rsidRDefault="008675B0">
          <w:pPr>
            <w:pStyle w:val="TOC3"/>
            <w:tabs>
              <w:tab w:val="right" w:leader="dot" w:pos="9016"/>
            </w:tabs>
            <w:rPr>
              <w:rFonts w:eastAsiaTheme="minorEastAsia"/>
              <w:noProof/>
              <w:sz w:val="24"/>
              <w:szCs w:val="24"/>
              <w:lang w:eastAsia="en-GB"/>
            </w:rPr>
          </w:pPr>
          <w:hyperlink w:anchor="_Toc236142119" w:history="1">
            <w:r w:rsidRPr="00F81BF5">
              <w:rPr>
                <w:rStyle w:val="Hyperlink"/>
                <w:noProof/>
              </w:rPr>
              <w:t>Executive Summary of Third-Party &amp; Cloud Vendor Risk Management Policy</w:t>
            </w:r>
            <w:r>
              <w:rPr>
                <w:noProof/>
                <w:webHidden/>
              </w:rPr>
              <w:tab/>
            </w:r>
            <w:r>
              <w:rPr>
                <w:noProof/>
                <w:webHidden/>
              </w:rPr>
              <w:fldChar w:fldCharType="begin"/>
            </w:r>
            <w:r>
              <w:rPr>
                <w:noProof/>
                <w:webHidden/>
              </w:rPr>
              <w:instrText xml:space="preserve"> PAGEREF _Toc236142119 \h </w:instrText>
            </w:r>
            <w:r>
              <w:rPr>
                <w:noProof/>
                <w:webHidden/>
              </w:rPr>
            </w:r>
            <w:r>
              <w:rPr>
                <w:noProof/>
                <w:webHidden/>
              </w:rPr>
              <w:fldChar w:fldCharType="separate"/>
            </w:r>
            <w:r>
              <w:rPr>
                <w:noProof/>
                <w:webHidden/>
              </w:rPr>
              <w:t>12</w:t>
            </w:r>
            <w:r>
              <w:rPr>
                <w:noProof/>
                <w:webHidden/>
              </w:rPr>
              <w:fldChar w:fldCharType="end"/>
            </w:r>
          </w:hyperlink>
        </w:p>
        <w:p w14:paraId="76B45FD4" w14:textId="0379B37C" w:rsidR="008675B0" w:rsidRDefault="008675B0">
          <w:pPr>
            <w:pStyle w:val="TOC2"/>
            <w:tabs>
              <w:tab w:val="right" w:leader="dot" w:pos="9016"/>
            </w:tabs>
            <w:rPr>
              <w:rFonts w:eastAsiaTheme="minorEastAsia"/>
              <w:noProof/>
              <w:sz w:val="24"/>
              <w:szCs w:val="24"/>
              <w:lang w:eastAsia="en-GB"/>
            </w:rPr>
          </w:pPr>
          <w:hyperlink w:anchor="_Toc236142120" w:history="1">
            <w:r w:rsidRPr="00F81BF5">
              <w:rPr>
                <w:rStyle w:val="Hyperlink"/>
                <w:noProof/>
              </w:rPr>
              <w:t>Regulatory Compliance Strategy</w:t>
            </w:r>
            <w:r>
              <w:rPr>
                <w:noProof/>
                <w:webHidden/>
              </w:rPr>
              <w:tab/>
            </w:r>
            <w:r>
              <w:rPr>
                <w:noProof/>
                <w:webHidden/>
              </w:rPr>
              <w:fldChar w:fldCharType="begin"/>
            </w:r>
            <w:r>
              <w:rPr>
                <w:noProof/>
                <w:webHidden/>
              </w:rPr>
              <w:instrText xml:space="preserve"> PAGEREF _Toc236142120 \h </w:instrText>
            </w:r>
            <w:r>
              <w:rPr>
                <w:noProof/>
                <w:webHidden/>
              </w:rPr>
            </w:r>
            <w:r>
              <w:rPr>
                <w:noProof/>
                <w:webHidden/>
              </w:rPr>
              <w:fldChar w:fldCharType="separate"/>
            </w:r>
            <w:r>
              <w:rPr>
                <w:noProof/>
                <w:webHidden/>
              </w:rPr>
              <w:t>12</w:t>
            </w:r>
            <w:r>
              <w:rPr>
                <w:noProof/>
                <w:webHidden/>
              </w:rPr>
              <w:fldChar w:fldCharType="end"/>
            </w:r>
          </w:hyperlink>
        </w:p>
        <w:p w14:paraId="00CD4BC3" w14:textId="3CBA0425" w:rsidR="008675B0" w:rsidRDefault="008675B0">
          <w:pPr>
            <w:pStyle w:val="TOC2"/>
            <w:tabs>
              <w:tab w:val="right" w:leader="dot" w:pos="9016"/>
            </w:tabs>
            <w:rPr>
              <w:rFonts w:eastAsiaTheme="minorEastAsia"/>
              <w:noProof/>
              <w:sz w:val="24"/>
              <w:szCs w:val="24"/>
              <w:lang w:eastAsia="en-GB"/>
            </w:rPr>
          </w:pPr>
          <w:hyperlink w:anchor="_Toc236142121" w:history="1">
            <w:r w:rsidRPr="00F81BF5">
              <w:rPr>
                <w:rStyle w:val="Hyperlink"/>
                <w:noProof/>
              </w:rPr>
              <w:t>Technical Standards and Architecture</w:t>
            </w:r>
            <w:r>
              <w:rPr>
                <w:noProof/>
                <w:webHidden/>
              </w:rPr>
              <w:tab/>
            </w:r>
            <w:r>
              <w:rPr>
                <w:noProof/>
                <w:webHidden/>
              </w:rPr>
              <w:fldChar w:fldCharType="begin"/>
            </w:r>
            <w:r>
              <w:rPr>
                <w:noProof/>
                <w:webHidden/>
              </w:rPr>
              <w:instrText xml:space="preserve"> PAGEREF _Toc236142121 \h </w:instrText>
            </w:r>
            <w:r>
              <w:rPr>
                <w:noProof/>
                <w:webHidden/>
              </w:rPr>
            </w:r>
            <w:r>
              <w:rPr>
                <w:noProof/>
                <w:webHidden/>
              </w:rPr>
              <w:fldChar w:fldCharType="separate"/>
            </w:r>
            <w:r>
              <w:rPr>
                <w:noProof/>
                <w:webHidden/>
              </w:rPr>
              <w:t>14</w:t>
            </w:r>
            <w:r>
              <w:rPr>
                <w:noProof/>
                <w:webHidden/>
              </w:rPr>
              <w:fldChar w:fldCharType="end"/>
            </w:r>
          </w:hyperlink>
        </w:p>
        <w:p w14:paraId="5EE02FF6" w14:textId="272D9A37" w:rsidR="008675B0" w:rsidRDefault="008675B0">
          <w:pPr>
            <w:pStyle w:val="TOC2"/>
            <w:tabs>
              <w:tab w:val="right" w:leader="dot" w:pos="9016"/>
            </w:tabs>
            <w:rPr>
              <w:rFonts w:eastAsiaTheme="minorEastAsia"/>
              <w:noProof/>
              <w:sz w:val="24"/>
              <w:szCs w:val="24"/>
              <w:lang w:eastAsia="en-GB"/>
            </w:rPr>
          </w:pPr>
          <w:hyperlink w:anchor="_Toc236142122" w:history="1">
            <w:r w:rsidRPr="00F81BF5">
              <w:rPr>
                <w:rStyle w:val="Hyperlink"/>
                <w:noProof/>
              </w:rPr>
              <w:t>Strategic Risk Assessment</w:t>
            </w:r>
            <w:r>
              <w:rPr>
                <w:noProof/>
                <w:webHidden/>
              </w:rPr>
              <w:tab/>
            </w:r>
            <w:r>
              <w:rPr>
                <w:noProof/>
                <w:webHidden/>
              </w:rPr>
              <w:fldChar w:fldCharType="begin"/>
            </w:r>
            <w:r>
              <w:rPr>
                <w:noProof/>
                <w:webHidden/>
              </w:rPr>
              <w:instrText xml:space="preserve"> PAGEREF _Toc236142122 \h </w:instrText>
            </w:r>
            <w:r>
              <w:rPr>
                <w:noProof/>
                <w:webHidden/>
              </w:rPr>
            </w:r>
            <w:r>
              <w:rPr>
                <w:noProof/>
                <w:webHidden/>
              </w:rPr>
              <w:fldChar w:fldCharType="separate"/>
            </w:r>
            <w:r>
              <w:rPr>
                <w:noProof/>
                <w:webHidden/>
              </w:rPr>
              <w:t>15</w:t>
            </w:r>
            <w:r>
              <w:rPr>
                <w:noProof/>
                <w:webHidden/>
              </w:rPr>
              <w:fldChar w:fldCharType="end"/>
            </w:r>
          </w:hyperlink>
        </w:p>
        <w:p w14:paraId="599CCC14" w14:textId="6316791F" w:rsidR="008675B0" w:rsidRDefault="008675B0">
          <w:pPr>
            <w:pStyle w:val="TOC2"/>
            <w:tabs>
              <w:tab w:val="right" w:leader="dot" w:pos="9016"/>
            </w:tabs>
            <w:rPr>
              <w:rFonts w:eastAsiaTheme="minorEastAsia"/>
              <w:noProof/>
              <w:sz w:val="24"/>
              <w:szCs w:val="24"/>
              <w:lang w:eastAsia="en-GB"/>
            </w:rPr>
          </w:pPr>
          <w:hyperlink w:anchor="_Toc236142123" w:history="1">
            <w:r w:rsidRPr="00F81BF5">
              <w:rPr>
                <w:rStyle w:val="Hyperlink"/>
                <w:noProof/>
              </w:rPr>
              <w:t>Incident Response and Business Continuity</w:t>
            </w:r>
            <w:r>
              <w:rPr>
                <w:noProof/>
                <w:webHidden/>
              </w:rPr>
              <w:tab/>
            </w:r>
            <w:r>
              <w:rPr>
                <w:noProof/>
                <w:webHidden/>
              </w:rPr>
              <w:fldChar w:fldCharType="begin"/>
            </w:r>
            <w:r>
              <w:rPr>
                <w:noProof/>
                <w:webHidden/>
              </w:rPr>
              <w:instrText xml:space="preserve"> PAGEREF _Toc236142123 \h </w:instrText>
            </w:r>
            <w:r>
              <w:rPr>
                <w:noProof/>
                <w:webHidden/>
              </w:rPr>
            </w:r>
            <w:r>
              <w:rPr>
                <w:noProof/>
                <w:webHidden/>
              </w:rPr>
              <w:fldChar w:fldCharType="separate"/>
            </w:r>
            <w:r>
              <w:rPr>
                <w:noProof/>
                <w:webHidden/>
              </w:rPr>
              <w:t>16</w:t>
            </w:r>
            <w:r>
              <w:rPr>
                <w:noProof/>
                <w:webHidden/>
              </w:rPr>
              <w:fldChar w:fldCharType="end"/>
            </w:r>
          </w:hyperlink>
        </w:p>
        <w:p w14:paraId="6F4E0D27" w14:textId="344B5A9A" w:rsidR="008675B0" w:rsidRDefault="008675B0">
          <w:pPr>
            <w:pStyle w:val="TOC2"/>
            <w:tabs>
              <w:tab w:val="right" w:leader="dot" w:pos="9016"/>
            </w:tabs>
            <w:rPr>
              <w:rFonts w:eastAsiaTheme="minorEastAsia"/>
              <w:noProof/>
              <w:sz w:val="24"/>
              <w:szCs w:val="24"/>
              <w:lang w:eastAsia="en-GB"/>
            </w:rPr>
          </w:pPr>
          <w:hyperlink w:anchor="_Toc236142124" w:history="1">
            <w:r w:rsidRPr="00F81BF5">
              <w:rPr>
                <w:rStyle w:val="Hyperlink"/>
                <w:noProof/>
              </w:rPr>
              <w:t>Governance and Strategic Roadmap</w:t>
            </w:r>
            <w:r>
              <w:rPr>
                <w:noProof/>
                <w:webHidden/>
              </w:rPr>
              <w:tab/>
            </w:r>
            <w:r>
              <w:rPr>
                <w:noProof/>
                <w:webHidden/>
              </w:rPr>
              <w:fldChar w:fldCharType="begin"/>
            </w:r>
            <w:r>
              <w:rPr>
                <w:noProof/>
                <w:webHidden/>
              </w:rPr>
              <w:instrText xml:space="preserve"> PAGEREF _Toc236142124 \h </w:instrText>
            </w:r>
            <w:r>
              <w:rPr>
                <w:noProof/>
                <w:webHidden/>
              </w:rPr>
            </w:r>
            <w:r>
              <w:rPr>
                <w:noProof/>
                <w:webHidden/>
              </w:rPr>
              <w:fldChar w:fldCharType="separate"/>
            </w:r>
            <w:r>
              <w:rPr>
                <w:noProof/>
                <w:webHidden/>
              </w:rPr>
              <w:t>17</w:t>
            </w:r>
            <w:r>
              <w:rPr>
                <w:noProof/>
                <w:webHidden/>
              </w:rPr>
              <w:fldChar w:fldCharType="end"/>
            </w:r>
          </w:hyperlink>
        </w:p>
        <w:p w14:paraId="205B94F8" w14:textId="207DD0AA" w:rsidR="008675B0" w:rsidRDefault="008675B0">
          <w:pPr>
            <w:pStyle w:val="TOC3"/>
            <w:tabs>
              <w:tab w:val="right" w:leader="dot" w:pos="9016"/>
            </w:tabs>
            <w:rPr>
              <w:rFonts w:eastAsiaTheme="minorEastAsia"/>
              <w:noProof/>
              <w:sz w:val="24"/>
              <w:szCs w:val="24"/>
              <w:lang w:eastAsia="en-GB"/>
            </w:rPr>
          </w:pPr>
          <w:hyperlink w:anchor="_Toc236142125" w:history="1">
            <w:r w:rsidRPr="00F81BF5">
              <w:rPr>
                <w:rStyle w:val="Hyperlink"/>
                <w:noProof/>
                <w:lang w:val="en-US"/>
              </w:rPr>
              <w:t>12-Month Roadmap Strategy</w:t>
            </w:r>
            <w:r>
              <w:rPr>
                <w:noProof/>
                <w:webHidden/>
              </w:rPr>
              <w:tab/>
            </w:r>
            <w:r>
              <w:rPr>
                <w:noProof/>
                <w:webHidden/>
              </w:rPr>
              <w:fldChar w:fldCharType="begin"/>
            </w:r>
            <w:r>
              <w:rPr>
                <w:noProof/>
                <w:webHidden/>
              </w:rPr>
              <w:instrText xml:space="preserve"> PAGEREF _Toc236142125 \h </w:instrText>
            </w:r>
            <w:r>
              <w:rPr>
                <w:noProof/>
                <w:webHidden/>
              </w:rPr>
            </w:r>
            <w:r>
              <w:rPr>
                <w:noProof/>
                <w:webHidden/>
              </w:rPr>
              <w:fldChar w:fldCharType="separate"/>
            </w:r>
            <w:r>
              <w:rPr>
                <w:noProof/>
                <w:webHidden/>
              </w:rPr>
              <w:t>17</w:t>
            </w:r>
            <w:r>
              <w:rPr>
                <w:noProof/>
                <w:webHidden/>
              </w:rPr>
              <w:fldChar w:fldCharType="end"/>
            </w:r>
          </w:hyperlink>
        </w:p>
        <w:p w14:paraId="746EB50C" w14:textId="3845351B" w:rsidR="008675B0" w:rsidRDefault="008675B0">
          <w:pPr>
            <w:pStyle w:val="TOC2"/>
            <w:tabs>
              <w:tab w:val="right" w:leader="dot" w:pos="9016"/>
            </w:tabs>
            <w:rPr>
              <w:rFonts w:eastAsiaTheme="minorEastAsia"/>
              <w:noProof/>
              <w:sz w:val="24"/>
              <w:szCs w:val="24"/>
              <w:lang w:eastAsia="en-GB"/>
            </w:rPr>
          </w:pPr>
          <w:hyperlink w:anchor="_Toc236142126" w:history="1">
            <w:r w:rsidRPr="00F81BF5">
              <w:rPr>
                <w:rStyle w:val="Hyperlink"/>
                <w:noProof/>
              </w:rPr>
              <w:t>Conclusion</w:t>
            </w:r>
            <w:r>
              <w:rPr>
                <w:noProof/>
                <w:webHidden/>
              </w:rPr>
              <w:tab/>
            </w:r>
            <w:r>
              <w:rPr>
                <w:noProof/>
                <w:webHidden/>
              </w:rPr>
              <w:fldChar w:fldCharType="begin"/>
            </w:r>
            <w:r>
              <w:rPr>
                <w:noProof/>
                <w:webHidden/>
              </w:rPr>
              <w:instrText xml:space="preserve"> PAGEREF _Toc236142126 \h </w:instrText>
            </w:r>
            <w:r>
              <w:rPr>
                <w:noProof/>
                <w:webHidden/>
              </w:rPr>
            </w:r>
            <w:r>
              <w:rPr>
                <w:noProof/>
                <w:webHidden/>
              </w:rPr>
              <w:fldChar w:fldCharType="separate"/>
            </w:r>
            <w:r>
              <w:rPr>
                <w:noProof/>
                <w:webHidden/>
              </w:rPr>
              <w:t>19</w:t>
            </w:r>
            <w:r>
              <w:rPr>
                <w:noProof/>
                <w:webHidden/>
              </w:rPr>
              <w:fldChar w:fldCharType="end"/>
            </w:r>
          </w:hyperlink>
        </w:p>
        <w:p w14:paraId="56248E16" w14:textId="44DDF30B" w:rsidR="008675B0" w:rsidRDefault="008675B0">
          <w:pPr>
            <w:pStyle w:val="TOC1"/>
            <w:tabs>
              <w:tab w:val="right" w:leader="dot" w:pos="9016"/>
            </w:tabs>
            <w:rPr>
              <w:rFonts w:eastAsiaTheme="minorEastAsia"/>
              <w:noProof/>
              <w:sz w:val="24"/>
              <w:szCs w:val="24"/>
              <w:lang w:eastAsia="en-GB"/>
            </w:rPr>
          </w:pPr>
          <w:hyperlink w:anchor="_Toc236142127" w:history="1">
            <w:r w:rsidRPr="00F81BF5">
              <w:rPr>
                <w:rStyle w:val="Hyperlink"/>
                <w:noProof/>
              </w:rPr>
              <w:t>References</w:t>
            </w:r>
            <w:r>
              <w:rPr>
                <w:noProof/>
                <w:webHidden/>
              </w:rPr>
              <w:tab/>
            </w:r>
            <w:r>
              <w:rPr>
                <w:noProof/>
                <w:webHidden/>
              </w:rPr>
              <w:fldChar w:fldCharType="begin"/>
            </w:r>
            <w:r>
              <w:rPr>
                <w:noProof/>
                <w:webHidden/>
              </w:rPr>
              <w:instrText xml:space="preserve"> PAGEREF _Toc236142127 \h </w:instrText>
            </w:r>
            <w:r>
              <w:rPr>
                <w:noProof/>
                <w:webHidden/>
              </w:rPr>
            </w:r>
            <w:r>
              <w:rPr>
                <w:noProof/>
                <w:webHidden/>
              </w:rPr>
              <w:fldChar w:fldCharType="separate"/>
            </w:r>
            <w:r>
              <w:rPr>
                <w:noProof/>
                <w:webHidden/>
              </w:rPr>
              <w:t>20</w:t>
            </w:r>
            <w:r>
              <w:rPr>
                <w:noProof/>
                <w:webHidden/>
              </w:rPr>
              <w:fldChar w:fldCharType="end"/>
            </w:r>
          </w:hyperlink>
        </w:p>
        <w:p w14:paraId="5B5B7938" w14:textId="536BBE3A" w:rsidR="009D3FFD" w:rsidRDefault="009D3FFD">
          <w:r>
            <w:rPr>
              <w:b/>
              <w:bCs/>
              <w:noProof/>
            </w:rPr>
            <w:fldChar w:fldCharType="end"/>
          </w:r>
        </w:p>
      </w:sdtContent>
    </w:sdt>
    <w:p w14:paraId="5BC3F60C" w14:textId="68EC9BE3" w:rsidR="00F64D1A" w:rsidRDefault="00F64D1A"/>
    <w:p w14:paraId="5825498D" w14:textId="77777777" w:rsidR="00F64D1A" w:rsidRDefault="00F64D1A">
      <w:r>
        <w:br w:type="page"/>
      </w:r>
    </w:p>
    <w:p w14:paraId="63D4772B" w14:textId="137492AA" w:rsidR="00F64D1A" w:rsidRDefault="00F64D1A" w:rsidP="00A954B7">
      <w:pPr>
        <w:pStyle w:val="Heading2"/>
      </w:pPr>
      <w:bookmarkStart w:id="0" w:name="_Toc236142104"/>
      <w:r>
        <w:lastRenderedPageBreak/>
        <w:t>Introduction</w:t>
      </w:r>
      <w:bookmarkEnd w:id="0"/>
    </w:p>
    <w:p w14:paraId="5E76FFD9" w14:textId="189A6B40" w:rsidR="00F64424" w:rsidRDefault="00F64424" w:rsidP="00F64424">
      <w:r>
        <w:t>Task 1 of this report critically analyses the contemporary data security landscape, focusing on the implementation of Zero Trust Architecture (ZTA) as a response to increasingly complex cyber threats targeting modern IT infrastructures. The research examines the principles of Zero Trust, the limitations of traditional security approaches and the technological enablers that support adoption, including Identity Governance, Zero Trust Network Access (ZTNA), Secure Access Service Edge (SASE) and Security Information and Event Management (SIEM).</w:t>
      </w:r>
    </w:p>
    <w:p w14:paraId="025A3AB4" w14:textId="69D7E3AD" w:rsidR="00F64424" w:rsidRDefault="00F64424" w:rsidP="00F64424">
      <w:r>
        <w:t xml:space="preserve">Building upon the findings from Task 1, </w:t>
      </w:r>
      <w:r>
        <w:t xml:space="preserve">Task 2 of </w:t>
      </w:r>
      <w:r>
        <w:t>this report applies the research outcomes to develop a practical cybersecurity strategy for Aegis FinTech. The recommendations explore how organisations can anticipate, protect against, detect and respond to advanced threats through effective security governance, appropriate technologies and risk management practices.</w:t>
      </w:r>
    </w:p>
    <w:p w14:paraId="1A473F9D" w14:textId="2D5BD75D" w:rsidR="00F64424" w:rsidRDefault="00F64424" w:rsidP="00F64424">
      <w:r>
        <w:t>The report presents security policies covering AI and cloud services, hybrid working and third</w:t>
      </w:r>
      <w:r>
        <w:t xml:space="preserve"> </w:t>
      </w:r>
      <w:r>
        <w:t>party risk management, followed by a compliance roadmap</w:t>
      </w:r>
      <w:r>
        <w:t xml:space="preserve">. </w:t>
      </w:r>
      <w:r>
        <w:t>It then proposes a Zero Trust</w:t>
      </w:r>
      <w:r>
        <w:t xml:space="preserve"> </w:t>
      </w:r>
      <w:r>
        <w:t>based architecture, assesses key cybersecurity risks, outlines an incident response approach and develops a strategic roadmap for improving long</w:t>
      </w:r>
      <w:r>
        <w:t xml:space="preserve"> </w:t>
      </w:r>
      <w:r>
        <w:t>term security resilience.</w:t>
      </w:r>
    </w:p>
    <w:p w14:paraId="58CF3A18" w14:textId="3A6039E9" w:rsidR="00F64424" w:rsidRPr="00F64424" w:rsidRDefault="00F64424" w:rsidP="00F64424">
      <w:r>
        <w:t>Together, these sections demonstrate how the principles and findings from Task 1 can be translated into practical cybersecurity measures that support Aegis FinTech’s ability to manage evolving threats and maintain a resilient security posture.</w:t>
      </w:r>
    </w:p>
    <w:p w14:paraId="7A2B464A" w14:textId="77777777" w:rsidR="00F64D1A" w:rsidRDefault="00F64D1A">
      <w:pPr>
        <w:rPr>
          <w:rFonts w:asciiTheme="majorHAnsi" w:eastAsiaTheme="majorEastAsia" w:hAnsiTheme="majorHAnsi" w:cstheme="majorBidi"/>
          <w:color w:val="0F4761" w:themeColor="accent1" w:themeShade="BF"/>
          <w:sz w:val="40"/>
          <w:szCs w:val="40"/>
        </w:rPr>
      </w:pPr>
      <w:r>
        <w:br w:type="page"/>
      </w:r>
    </w:p>
    <w:p w14:paraId="5BBFD100" w14:textId="2209C324" w:rsidR="00FF6350" w:rsidRDefault="00FF6350" w:rsidP="00FF6350">
      <w:pPr>
        <w:pStyle w:val="Heading1"/>
      </w:pPr>
      <w:bookmarkStart w:id="1" w:name="_Toc236142105"/>
      <w:r>
        <w:lastRenderedPageBreak/>
        <w:t xml:space="preserve">Task 1 - </w:t>
      </w:r>
      <w:r w:rsidRPr="00FF6350">
        <w:t>Securing the Modern Enterprise</w:t>
      </w:r>
      <w:r w:rsidR="00A852C2">
        <w:t>: From</w:t>
      </w:r>
      <w:r w:rsidRPr="00FF6350">
        <w:t xml:space="preserve"> Zero Trust </w:t>
      </w:r>
      <w:r w:rsidR="00A852C2">
        <w:t>to AI Governance</w:t>
      </w:r>
      <w:bookmarkEnd w:id="1"/>
    </w:p>
    <w:p w14:paraId="69E40837" w14:textId="77777777" w:rsidR="00FF6350" w:rsidRDefault="00FF6350" w:rsidP="00FF6350"/>
    <w:p w14:paraId="0BFACCE4" w14:textId="77777777" w:rsidR="00FF6350" w:rsidRPr="00FF6350" w:rsidRDefault="00FF6350" w:rsidP="00FF6350"/>
    <w:p w14:paraId="46B9BC33" w14:textId="68C1D380" w:rsidR="007521A4" w:rsidRDefault="009F4371" w:rsidP="00FF6350">
      <w:pPr>
        <w:pStyle w:val="Heading2"/>
      </w:pPr>
      <w:bookmarkStart w:id="2" w:name="_Toc236142106"/>
      <w:r>
        <w:t xml:space="preserve">Modern </w:t>
      </w:r>
      <w:r w:rsidR="00CF0657">
        <w:t xml:space="preserve">Cyber Threat </w:t>
      </w:r>
      <w:r w:rsidR="00056DBC">
        <w:t>Landscape</w:t>
      </w:r>
      <w:bookmarkEnd w:id="2"/>
    </w:p>
    <w:p w14:paraId="369EBCBB" w14:textId="77777777" w:rsidR="00FF6350" w:rsidRPr="00FF6350" w:rsidRDefault="00FF6350" w:rsidP="00FF6350"/>
    <w:p w14:paraId="694B7986" w14:textId="6A0FE0F5" w:rsidR="007521A4" w:rsidRDefault="007521A4" w:rsidP="007521A4">
      <w:r w:rsidRPr="007521A4">
        <w:t>Over the past decade, enterprise environments have undergone significant transformation driven by the widespread adoption of cloud computing, Internet of Things (IoT) technologies, and hybrid working models</w:t>
      </w:r>
      <w:r w:rsidR="00905FE7">
        <w:t xml:space="preserve"> [1]</w:t>
      </w:r>
      <w:r w:rsidR="007A7B83">
        <w:t xml:space="preserve">, </w:t>
      </w:r>
      <w:r w:rsidR="00905FE7">
        <w:t>[2]</w:t>
      </w:r>
      <w:r w:rsidRPr="007521A4">
        <w:t>. These developments have increased reliance on distributed infrastructures, while practices such as Bring Your Own Device (BYOD) have further expanded the number of endpoints requiring secure access.</w:t>
      </w:r>
      <w:r w:rsidR="00905FE7">
        <w:t>[2]</w:t>
      </w:r>
    </w:p>
    <w:p w14:paraId="44C7DB95" w14:textId="243E0E93" w:rsidR="007521A4" w:rsidRDefault="00F41661" w:rsidP="007521A4">
      <w:r>
        <w:t>Due to</w:t>
      </w:r>
      <w:r w:rsidR="00A308B7" w:rsidRPr="00A308B7">
        <w:t xml:space="preserve"> </w:t>
      </w:r>
      <w:r w:rsidR="005B78AF">
        <w:t>infrastructures</w:t>
      </w:r>
      <w:r w:rsidR="00A308B7" w:rsidRPr="00A308B7">
        <w:t xml:space="preserve"> becom</w:t>
      </w:r>
      <w:r>
        <w:t>ing</w:t>
      </w:r>
      <w:r w:rsidR="00A308B7" w:rsidRPr="00A308B7">
        <w:t xml:space="preserve"> increasingly interconnected, the cyber threat landscape has evolved in parallel, with threat actors adapting their tactics to exploit new technologies, remote access, and identity</w:t>
      </w:r>
      <w:r w:rsidR="001156E3">
        <w:t xml:space="preserve"> </w:t>
      </w:r>
      <w:r w:rsidR="00A308B7" w:rsidRPr="00A308B7">
        <w:t>based attack vectors.</w:t>
      </w:r>
      <w:r w:rsidR="007521A4">
        <w:t xml:space="preserve"> According to the ENISA Threat Landscape 2025 report</w:t>
      </w:r>
      <w:r w:rsidR="00905FE7">
        <w:t xml:space="preserve"> </w:t>
      </w:r>
      <w:r w:rsidR="00D40C06">
        <w:t>[</w:t>
      </w:r>
      <w:r w:rsidR="00905FE7">
        <w:t>3</w:t>
      </w:r>
      <w:r w:rsidR="00314E68">
        <w:t>, p.8</w:t>
      </w:r>
      <w:r w:rsidR="00D40C06">
        <w:t>]</w:t>
      </w:r>
      <w:r w:rsidR="007521A4">
        <w:t xml:space="preserve">, phishing was recorded as the highest initial infection point at 60%. </w:t>
      </w:r>
      <w:r w:rsidR="00A308B7" w:rsidRPr="00A308B7">
        <w:t xml:space="preserve">This indicates that threat actors </w:t>
      </w:r>
      <w:r w:rsidR="00AF7996">
        <w:t>prioritise</w:t>
      </w:r>
      <w:r w:rsidR="00A308B7" w:rsidRPr="00A308B7">
        <w:t xml:space="preserve"> identities and legitimate credentials to obtain initial access, rather than relying solely on attempts to bypass </w:t>
      </w:r>
      <w:r w:rsidR="005729F8">
        <w:t xml:space="preserve">outer </w:t>
      </w:r>
      <w:r w:rsidR="00A308B7" w:rsidRPr="00A308B7">
        <w:t>network defences.</w:t>
      </w:r>
    </w:p>
    <w:p w14:paraId="6F8DDD33" w14:textId="0340CECA" w:rsidR="00EC489D" w:rsidRDefault="00EC489D" w:rsidP="007521A4">
      <w:r w:rsidRPr="00EC489D">
        <w:t xml:space="preserve">While phishing represents the most common access method, it is not the only significant pathway </w:t>
      </w:r>
      <w:r w:rsidR="00127104">
        <w:t>leveraged</w:t>
      </w:r>
      <w:r w:rsidRPr="00EC489D">
        <w:t xml:space="preserve"> by threat actors. The ENISA Threat Landscape 2025 report identifies vulnerability exploitation as the second most prevalent in</w:t>
      </w:r>
      <w:r>
        <w:t>itial infection</w:t>
      </w:r>
      <w:r w:rsidRPr="00EC489D">
        <w:t xml:space="preserve"> vector, accounting for 21.3% of observed cases</w:t>
      </w:r>
      <w:r>
        <w:t xml:space="preserve"> [3</w:t>
      </w:r>
      <w:r w:rsidR="00314E68">
        <w:t>, p.8</w:t>
      </w:r>
      <w:r>
        <w:t>]</w:t>
      </w:r>
      <w:r w:rsidRPr="00EC489D">
        <w:t xml:space="preserve">. Unlike phishing, which primarily targets human behaviour and identity credentials, </w:t>
      </w:r>
      <w:r>
        <w:t>this</w:t>
      </w:r>
      <w:r w:rsidRPr="00EC489D">
        <w:t xml:space="preserve"> highlights the continued risk posed by weaknesses within applications, systems, and digital infrastructure. This </w:t>
      </w:r>
      <w:r w:rsidR="00AD2342">
        <w:t>shows</w:t>
      </w:r>
      <w:r w:rsidRPr="00EC489D">
        <w:t xml:space="preserve"> that modern organisations must address both human and technological vulnerabilities, as </w:t>
      </w:r>
      <w:r w:rsidR="00127104">
        <w:t>threat actors</w:t>
      </w:r>
      <w:r w:rsidR="00AF7996">
        <w:t xml:space="preserve"> progressively</w:t>
      </w:r>
      <w:r w:rsidRPr="00EC489D">
        <w:t xml:space="preserve"> combine social engineering techniques with technical </w:t>
      </w:r>
      <w:r w:rsidR="00127104">
        <w:t>attacks</w:t>
      </w:r>
      <w:r w:rsidRPr="00EC489D">
        <w:t xml:space="preserve"> to gain unauthorised access.</w:t>
      </w:r>
    </w:p>
    <w:p w14:paraId="098BF3DA" w14:textId="32DA99E5" w:rsidR="00EC489D" w:rsidRDefault="00EC489D" w:rsidP="007521A4">
      <w:r>
        <w:t>If an initial compromise is successful, the consequences extend further than just an initial breach</w:t>
      </w:r>
      <w:r w:rsidR="00D746C5">
        <w:t xml:space="preserve">. </w:t>
      </w:r>
      <w:r w:rsidRPr="00EC489D">
        <w:t>ENISA identifies ransomware, banking trojans, and infostealers as accounting for the majority of malicious code deployed following successful intrusions</w:t>
      </w:r>
      <w:r w:rsidR="00314E68">
        <w:t xml:space="preserve"> [3, p.9]</w:t>
      </w:r>
      <w:r w:rsidRPr="00EC489D">
        <w:t>, d</w:t>
      </w:r>
      <w:r w:rsidR="00AD2342">
        <w:t>isplaying</w:t>
      </w:r>
      <w:r w:rsidRPr="00EC489D">
        <w:t xml:space="preserve"> the significant impact</w:t>
      </w:r>
      <w:r w:rsidR="00D746C5">
        <w:t xml:space="preserve"> of a successful attack</w:t>
      </w:r>
      <w:r w:rsidRPr="00EC489D">
        <w:t xml:space="preserve">. </w:t>
      </w:r>
      <w:r w:rsidR="00F64A3C">
        <w:t>Additionally</w:t>
      </w:r>
      <w:r w:rsidRPr="00EC489D">
        <w:t>, a considerable proportion of recorded intrusions resulted in data breaches and information being leaked through cybercriminal channels</w:t>
      </w:r>
      <w:r w:rsidR="00314E68">
        <w:t xml:space="preserve"> [3, p.9]</w:t>
      </w:r>
      <w:r w:rsidRPr="00EC489D">
        <w:t xml:space="preserve">, </w:t>
      </w:r>
      <w:r w:rsidR="00674E00">
        <w:t>showing</w:t>
      </w:r>
      <w:r w:rsidRPr="00EC489D">
        <w:t xml:space="preserve"> that attackers increasingly pursue </w:t>
      </w:r>
      <w:r w:rsidR="00F64A3C">
        <w:t>sensitive data</w:t>
      </w:r>
      <w:r w:rsidRPr="00EC489D">
        <w:t xml:space="preserve"> alongside </w:t>
      </w:r>
      <w:r w:rsidR="00D746C5">
        <w:t>financial gain</w:t>
      </w:r>
      <w:r w:rsidR="00F64A3C">
        <w:t xml:space="preserve"> and</w:t>
      </w:r>
      <w:r w:rsidR="00D746C5">
        <w:t xml:space="preserve"> operational disruption</w:t>
      </w:r>
      <w:r w:rsidRPr="00EC489D">
        <w:t xml:space="preserve">. This evolution demonstrates that organisations must not only prevent initial access but also limit the ability of compromised </w:t>
      </w:r>
      <w:r w:rsidR="00F64A3C">
        <w:t>profiles</w:t>
      </w:r>
      <w:r w:rsidRPr="00EC489D">
        <w:t xml:space="preserve"> or devices to access critical resources.</w:t>
      </w:r>
    </w:p>
    <w:p w14:paraId="1AD8A37D" w14:textId="67FE21F5" w:rsidR="0099374A" w:rsidRDefault="006D448A" w:rsidP="007521A4">
      <w:r w:rsidRPr="006D448A">
        <w:t xml:space="preserve">Conventional perimeter security assumes that organisational resources exist within clearly defined network boundaries where trusted users and devices are protected from external entities [1]. However, NIST SP 800-207 argues that </w:t>
      </w:r>
      <w:r w:rsidR="00AF7996">
        <w:t>the growth of</w:t>
      </w:r>
      <w:r w:rsidRPr="006D448A">
        <w:t xml:space="preserve"> infrastructures ha</w:t>
      </w:r>
      <w:r w:rsidR="00AF7996">
        <w:t>s</w:t>
      </w:r>
      <w:r w:rsidRPr="006D448A">
        <w:t xml:space="preserve"> reduced the effectiveness of this approach because network boundaries are no longer clearly defined and </w:t>
      </w:r>
      <w:r w:rsidR="00AB59A1">
        <w:t>earlier security</w:t>
      </w:r>
      <w:r w:rsidRPr="006D448A">
        <w:t xml:space="preserve"> models provide limited protection against internal compromise [4, p. 1].</w:t>
      </w:r>
      <w:r w:rsidR="00C845CA">
        <w:t xml:space="preserve"> N</w:t>
      </w:r>
      <w:r w:rsidR="00127104">
        <w:t>etwork</w:t>
      </w:r>
      <w:r w:rsidRPr="006D448A">
        <w:t xml:space="preserve"> infrastructures</w:t>
      </w:r>
      <w:r w:rsidR="00127104">
        <w:t xml:space="preserve"> have extended</w:t>
      </w:r>
      <w:r w:rsidR="00C845CA">
        <w:t xml:space="preserve"> and </w:t>
      </w:r>
      <w:r w:rsidRPr="006D448A">
        <w:t xml:space="preserve">modern cyber threats </w:t>
      </w:r>
      <w:r w:rsidR="00674E00">
        <w:t>more often target</w:t>
      </w:r>
      <w:r w:rsidRPr="006D448A">
        <w:t xml:space="preserve"> credentials</w:t>
      </w:r>
      <w:r w:rsidR="00F64A3C">
        <w:t xml:space="preserve"> through </w:t>
      </w:r>
      <w:r w:rsidRPr="006D448A">
        <w:t>social engineering and the expanded attack surface [3</w:t>
      </w:r>
      <w:r w:rsidR="00C845CA">
        <w:t>]</w:t>
      </w:r>
      <w:r w:rsidRPr="006D448A">
        <w:t xml:space="preserve"> [4]</w:t>
      </w:r>
      <w:r w:rsidR="00C845CA">
        <w:t>, and as a result</w:t>
      </w:r>
      <w:r w:rsidRPr="006D448A">
        <w:t xml:space="preserve"> relying on </w:t>
      </w:r>
      <w:r w:rsidRPr="006D448A">
        <w:lastRenderedPageBreak/>
        <w:t xml:space="preserve">network location as the primary basis of trust </w:t>
      </w:r>
      <w:r w:rsidR="00AB59A1">
        <w:t>has become inadequate</w:t>
      </w:r>
      <w:r w:rsidRPr="006D448A">
        <w:t xml:space="preserve"> for protecting modern </w:t>
      </w:r>
      <w:r w:rsidR="005B78AF">
        <w:t>organisations</w:t>
      </w:r>
      <w:r w:rsidRPr="006D448A">
        <w:t>.</w:t>
      </w:r>
    </w:p>
    <w:p w14:paraId="412686C7" w14:textId="22A85C64" w:rsidR="00CF0657" w:rsidRDefault="00CF0657" w:rsidP="00A954B7">
      <w:pPr>
        <w:pStyle w:val="Heading2"/>
      </w:pPr>
      <w:r>
        <w:br w:type="page"/>
      </w:r>
      <w:bookmarkStart w:id="3" w:name="_Toc236142107"/>
      <w:r>
        <w:lastRenderedPageBreak/>
        <w:t>Zero Trust Architecture Principles</w:t>
      </w:r>
      <w:bookmarkEnd w:id="3"/>
    </w:p>
    <w:p w14:paraId="40913E73" w14:textId="77777777" w:rsidR="0099374A" w:rsidRDefault="0099374A" w:rsidP="0099374A"/>
    <w:p w14:paraId="17B873D6" w14:textId="148904AB" w:rsidR="0099374A" w:rsidRDefault="008E0DF7" w:rsidP="008E0DF7">
      <w:r>
        <w:t xml:space="preserve">The limitations of </w:t>
      </w:r>
      <w:r w:rsidR="00AB59A1">
        <w:t>conventional</w:t>
      </w:r>
      <w:r>
        <w:t xml:space="preserve"> security have </w:t>
      </w:r>
      <w:r w:rsidR="003054CC">
        <w:t>encouraged</w:t>
      </w:r>
      <w:r>
        <w:t xml:space="preserve"> organisations to </w:t>
      </w:r>
      <w:r w:rsidR="003054CC">
        <w:t>reconsider</w:t>
      </w:r>
      <w:r>
        <w:t xml:space="preserve"> security models that rely on network location as the basis of trust.</w:t>
      </w:r>
      <w:r w:rsidR="00AF7996">
        <w:t xml:space="preserve"> </w:t>
      </w:r>
      <w:r>
        <w:t xml:space="preserve">Zero Trust has </w:t>
      </w:r>
      <w:r w:rsidR="00A105ED">
        <w:t>developed</w:t>
      </w:r>
      <w:r>
        <w:t xml:space="preserve"> as a </w:t>
      </w:r>
      <w:r w:rsidR="003054CC">
        <w:t>security approach that challenges the assumption that internal network entities should automatically be trusted</w:t>
      </w:r>
      <w:r w:rsidR="0084769E" w:rsidRPr="0084769E">
        <w:t xml:space="preserve"> </w:t>
      </w:r>
      <w:r w:rsidR="00DA743F">
        <w:t>[4].</w:t>
      </w:r>
      <w:r w:rsidR="00D725D2">
        <w:t xml:space="preserve"> </w:t>
      </w:r>
      <w:r w:rsidR="00001EB4">
        <w:t>Instead of</w:t>
      </w:r>
      <w:r w:rsidR="00AB29D2" w:rsidRPr="00AB29D2">
        <w:t xml:space="preserve"> referring to a specific security product or architecture, Zero Trust provides a framework for applying security principles that </w:t>
      </w:r>
      <w:r w:rsidR="007436BD">
        <w:t>govern</w:t>
      </w:r>
      <w:r w:rsidR="00AB29D2" w:rsidRPr="00AB29D2">
        <w:t xml:space="preserve"> how organisations make access decisions</w:t>
      </w:r>
      <w:r w:rsidR="00AB29D2">
        <w:t xml:space="preserve"> </w:t>
      </w:r>
      <w:r w:rsidR="00A105ED">
        <w:t>[4</w:t>
      </w:r>
      <w:r w:rsidR="003836D3">
        <w:t>, p. 1</w:t>
      </w:r>
      <w:r>
        <w:t>].</w:t>
      </w:r>
    </w:p>
    <w:p w14:paraId="36E403C3" w14:textId="57E9BD37" w:rsidR="00EE0D27" w:rsidRDefault="00C9389A" w:rsidP="00EE0D27">
      <w:r w:rsidRPr="00C9389A">
        <w:t>Central to this approach is the removal of implicit trust from security decisions. Unlike traditional models that often grant broad access after successful authentication within the</w:t>
      </w:r>
      <w:r w:rsidR="007436BD">
        <w:t xml:space="preserve"> network</w:t>
      </w:r>
      <w:r w:rsidRPr="00C9389A">
        <w:t xml:space="preserve">, Zero Trust requires access decisions to be assessed according to factors such as identity, device condition, and the context of the request. NIST SP 800-207 identifies principles such as continuous </w:t>
      </w:r>
      <w:r w:rsidR="006A52AF">
        <w:t>verification</w:t>
      </w:r>
      <w:r w:rsidRPr="00C9389A">
        <w:t>, least</w:t>
      </w:r>
      <w:r w:rsidR="001156E3">
        <w:t xml:space="preserve"> </w:t>
      </w:r>
      <w:r w:rsidRPr="00C9389A">
        <w:t>privilege access, and</w:t>
      </w:r>
      <w:r w:rsidR="00BC660A" w:rsidRPr="00BC660A">
        <w:t xml:space="preserve"> assuming breach as foundations of this approach </w:t>
      </w:r>
      <w:r w:rsidR="00EE0D27">
        <w:t>[4</w:t>
      </w:r>
      <w:r w:rsidR="003836D3">
        <w:t>, p. 6</w:t>
      </w:r>
      <w:r w:rsidR="00EE0D27">
        <w:t>].</w:t>
      </w:r>
    </w:p>
    <w:p w14:paraId="60BE1365" w14:textId="4D542D10" w:rsidR="00EE0D27" w:rsidRPr="006906D0" w:rsidRDefault="007B5D9B" w:rsidP="00EE0D27">
      <w:r>
        <w:t>C</w:t>
      </w:r>
      <w:r w:rsidR="00C9389A" w:rsidRPr="00C9389A">
        <w:t xml:space="preserve">ontinuous </w:t>
      </w:r>
      <w:r w:rsidR="00C9389A">
        <w:t>verification</w:t>
      </w:r>
      <w:r>
        <w:t xml:space="preserve"> </w:t>
      </w:r>
      <w:r w:rsidR="00EE0D27" w:rsidRPr="006906D0">
        <w:t>addresses weaknesses in perimeter</w:t>
      </w:r>
      <w:r w:rsidR="005729F8">
        <w:t xml:space="preserve"> </w:t>
      </w:r>
      <w:r w:rsidR="00EE0D27" w:rsidRPr="006906D0">
        <w:t xml:space="preserve">based security, where compromised credentials or devices can enable </w:t>
      </w:r>
      <w:r w:rsidR="00127104">
        <w:t>malicious actors</w:t>
      </w:r>
      <w:r w:rsidR="00EE0D27" w:rsidRPr="006906D0">
        <w:t xml:space="preserve"> to move within trusted environments</w:t>
      </w:r>
      <w:r w:rsidR="00BC660A">
        <w:t>.</w:t>
      </w:r>
      <w:r w:rsidR="00BC660A" w:rsidRPr="00BC660A">
        <w:t xml:space="preserve"> </w:t>
      </w:r>
      <w:r w:rsidR="00567C9D">
        <w:t>A l</w:t>
      </w:r>
      <w:r w:rsidR="00BC660A">
        <w:t>iterature</w:t>
      </w:r>
      <w:r w:rsidR="00567C9D">
        <w:t xml:space="preserve"> review</w:t>
      </w:r>
      <w:r w:rsidR="00BC660A">
        <w:t xml:space="preserve"> on</w:t>
      </w:r>
      <w:r w:rsidR="00BC660A" w:rsidRPr="00BC660A">
        <w:t xml:space="preserve"> </w:t>
      </w:r>
      <w:r w:rsidR="00567C9D">
        <w:t xml:space="preserve">the early adoption of </w:t>
      </w:r>
      <w:r w:rsidR="00BC660A" w:rsidRPr="00BC660A">
        <w:t>Zero</w:t>
      </w:r>
      <w:r w:rsidR="00D725D2">
        <w:t xml:space="preserve"> Trust</w:t>
      </w:r>
      <w:r w:rsidR="00BC660A" w:rsidRPr="00BC660A">
        <w:t xml:space="preserve"> highlights that modern working practices and infrastructure changes have weakened the reliability of network location as an indicator of trust, increasing the importance of identity</w:t>
      </w:r>
      <w:r w:rsidR="00161D47">
        <w:t xml:space="preserve"> </w:t>
      </w:r>
      <w:r w:rsidR="00BC660A" w:rsidRPr="00BC660A">
        <w:t>focus</w:t>
      </w:r>
      <w:r w:rsidR="00161D47">
        <w:t>s</w:t>
      </w:r>
      <w:r w:rsidR="00BC660A" w:rsidRPr="00BC660A">
        <w:t>ed security</w:t>
      </w:r>
      <w:r w:rsidR="006A52AF" w:rsidRPr="006A52AF">
        <w:t xml:space="preserve"> </w:t>
      </w:r>
      <w:r w:rsidR="00EE0D27" w:rsidRPr="006906D0">
        <w:t>[6].</w:t>
      </w:r>
    </w:p>
    <w:p w14:paraId="14AC6AEA" w14:textId="30956433" w:rsidR="00EE0D27" w:rsidRPr="006906D0" w:rsidRDefault="006A52AF" w:rsidP="00EE0D27">
      <w:r w:rsidRPr="006A52AF">
        <w:t>Another important principle is least</w:t>
      </w:r>
      <w:r w:rsidR="001156E3">
        <w:t xml:space="preserve"> </w:t>
      </w:r>
      <w:r w:rsidRPr="006A52AF">
        <w:t>privilege access, which limits the level of access granted to users, devices, and applications according to their specific requirements</w:t>
      </w:r>
      <w:r w:rsidR="00EE0D27" w:rsidRPr="006906D0">
        <w:t xml:space="preserve">. </w:t>
      </w:r>
      <w:r w:rsidRPr="006A52AF">
        <w:t xml:space="preserve">NIST </w:t>
      </w:r>
      <w:r w:rsidR="00674E00">
        <w:t>outlines</w:t>
      </w:r>
      <w:r w:rsidRPr="006A52AF">
        <w:t xml:space="preserve"> least privilege as a mechanism for reducing the consequences of compromise by restricting unnecessary access and limiting attacker movement within enterprise environments </w:t>
      </w:r>
      <w:r w:rsidR="00EE0D27" w:rsidRPr="006906D0">
        <w:t xml:space="preserve">[4]. Fernandez et al. argue that while least privilege is not a new security concept, Zero Trust provides a more structured approach by applying these established principles through dynamic and </w:t>
      </w:r>
      <w:r w:rsidR="00161D47">
        <w:t xml:space="preserve">more </w:t>
      </w:r>
      <w:r w:rsidR="00EE0D27" w:rsidRPr="006906D0">
        <w:t>specific access decisions [5].</w:t>
      </w:r>
    </w:p>
    <w:p w14:paraId="115CAB21" w14:textId="592C5D24" w:rsidR="00C82F46" w:rsidRDefault="006A52AF" w:rsidP="008E0DF7">
      <w:r w:rsidRPr="006A52AF">
        <w:t xml:space="preserve">Finally, Zero Trust operates on the premise that security incidents should be considered possible even within an organisation’s environment. </w:t>
      </w:r>
      <w:r w:rsidR="00673BCA">
        <w:t xml:space="preserve">Whereas </w:t>
      </w:r>
      <w:r w:rsidR="00AB59A1">
        <w:t>existing</w:t>
      </w:r>
      <w:r w:rsidR="00673BCA">
        <w:t xml:space="preserve"> security</w:t>
      </w:r>
      <w:r w:rsidR="00AB59A1">
        <w:t xml:space="preserve"> approaches</w:t>
      </w:r>
      <w:r w:rsidRPr="006A52AF">
        <w:t xml:space="preserve"> focus exclusively on preventing external intrusion, this approach aims to minimise the damage caused if compromise occurs</w:t>
      </w:r>
      <w:r w:rsidR="00EE0D27" w:rsidRPr="006906D0">
        <w:t xml:space="preserve">. </w:t>
      </w:r>
      <w:r w:rsidRPr="006A52AF">
        <w:t xml:space="preserve">Consequently, security efforts shift from </w:t>
      </w:r>
      <w:r w:rsidR="00673BCA">
        <w:t>exclusively</w:t>
      </w:r>
      <w:r w:rsidRPr="006A52AF">
        <w:t xml:space="preserve"> preventing </w:t>
      </w:r>
      <w:r w:rsidR="005B78AF">
        <w:t>outer</w:t>
      </w:r>
      <w:r w:rsidRPr="006A52AF">
        <w:t xml:space="preserve"> breaches towards limiting the consequences of successful attacks through mechanisms such as segmentation, monitoring, and controlled access </w:t>
      </w:r>
      <w:r w:rsidR="00EE0D27" w:rsidRPr="006906D0">
        <w:t xml:space="preserve">[4]. Therefore, Zero Trust </w:t>
      </w:r>
      <w:r w:rsidR="00161D47">
        <w:t>aims to</w:t>
      </w:r>
      <w:r w:rsidR="00EE0D27" w:rsidRPr="006906D0">
        <w:t xml:space="preserve"> </w:t>
      </w:r>
      <w:r w:rsidR="00A16B81" w:rsidRPr="006906D0">
        <w:t>evol</w:t>
      </w:r>
      <w:r w:rsidR="00764E30">
        <w:t>v</w:t>
      </w:r>
      <w:r w:rsidR="00161D47">
        <w:t>e</w:t>
      </w:r>
      <w:r w:rsidR="00EE0D27" w:rsidRPr="006906D0">
        <w:t xml:space="preserve"> established principles to address modern </w:t>
      </w:r>
      <w:r w:rsidR="00A16B81" w:rsidRPr="006906D0">
        <w:t>cyber</w:t>
      </w:r>
      <w:r w:rsidR="0007394D">
        <w:t xml:space="preserve"> </w:t>
      </w:r>
      <w:r w:rsidR="00A16B81" w:rsidRPr="006906D0">
        <w:t xml:space="preserve">security </w:t>
      </w:r>
      <w:r w:rsidR="00EE0D27" w:rsidRPr="006906D0">
        <w:t xml:space="preserve">challenges </w:t>
      </w:r>
      <w:r w:rsidR="00674E00">
        <w:t>as the landscape changes</w:t>
      </w:r>
      <w:r w:rsidR="00EE0D27" w:rsidRPr="006906D0">
        <w:t>[5]</w:t>
      </w:r>
      <w:r w:rsidR="007A7B83">
        <w:t xml:space="preserve">, </w:t>
      </w:r>
      <w:r w:rsidR="00EE0D27" w:rsidRPr="006906D0">
        <w:t>[6].</w:t>
      </w:r>
    </w:p>
    <w:p w14:paraId="2394AB09" w14:textId="77777777" w:rsidR="001861B1" w:rsidRPr="001861B1" w:rsidRDefault="001861B1" w:rsidP="001861B1"/>
    <w:p w14:paraId="4D9F7555" w14:textId="7FF6A6C8" w:rsidR="00056DBC" w:rsidRPr="008F64C3" w:rsidRDefault="00CF0657" w:rsidP="008F64C3">
      <w:pPr>
        <w:pStyle w:val="Heading2"/>
        <w:rPr>
          <w:sz w:val="40"/>
          <w:szCs w:val="40"/>
        </w:rPr>
      </w:pPr>
      <w:r>
        <w:br w:type="page"/>
      </w:r>
      <w:bookmarkStart w:id="4" w:name="_Toc236142108"/>
      <w:r w:rsidR="00895BA7">
        <w:lastRenderedPageBreak/>
        <w:t xml:space="preserve">Enablers of </w:t>
      </w:r>
      <w:r w:rsidR="00056DBC">
        <w:t>Zero Trust Architecture</w:t>
      </w:r>
      <w:bookmarkEnd w:id="4"/>
    </w:p>
    <w:p w14:paraId="6E61378D" w14:textId="77777777" w:rsidR="004A2372" w:rsidRDefault="004A2372" w:rsidP="004A2372"/>
    <w:p w14:paraId="7FE55884" w14:textId="41E9702D" w:rsidR="004A2372" w:rsidRDefault="004A2372" w:rsidP="004A2372">
      <w:r w:rsidRPr="004A2372">
        <w:t xml:space="preserve">Although Zero Trust principles provide the foundation for improving enterprise security, organisations require appropriate technologies and capabilities to apply these principles in practice. The </w:t>
      </w:r>
      <w:r w:rsidR="00AF7996">
        <w:t xml:space="preserve">expansion of networks </w:t>
      </w:r>
      <w:r w:rsidRPr="004A2372">
        <w:t xml:space="preserve">has made it necessary for security controls to move beyond traditional network boundaries and continuously evaluate users, devices, and access requests. The CISA Zero Trust Maturity Model provides guidance for developing Zero Trust capabilities across areas including identity, devices, networks, applications, and data, while also </w:t>
      </w:r>
      <w:r w:rsidR="00674E00">
        <w:t>underlining</w:t>
      </w:r>
      <w:r w:rsidRPr="004A2372">
        <w:t xml:space="preserve"> the importance of visibility, analytics, automation, and governance [</w:t>
      </w:r>
      <w:r>
        <w:t>7</w:t>
      </w:r>
      <w:r w:rsidRPr="004A2372">
        <w:t xml:space="preserve">]. These capabilities </w:t>
      </w:r>
      <w:r w:rsidR="00AD2342">
        <w:t>illustrate</w:t>
      </w:r>
      <w:r w:rsidRPr="004A2372">
        <w:t xml:space="preserve"> that Zero Trust is not achieved through a single security solution, but through the combination of technologies and processes that support continuous verification and policy enforcement. Th</w:t>
      </w:r>
      <w:r w:rsidR="009A3253">
        <w:t>us</w:t>
      </w:r>
      <w:r w:rsidRPr="004A2372">
        <w:t>, technologies such as Identity Governance, Zero Trust Network Access (ZTNA), Secure Access Service Edge (SASE), and Security Information and Event Management (SIEM) are important enablers for implementing Zero Trust within modern enterprise environments.</w:t>
      </w:r>
    </w:p>
    <w:p w14:paraId="04B0ED02" w14:textId="77777777" w:rsidR="00A954B7" w:rsidRDefault="00A954B7" w:rsidP="004A2372"/>
    <w:p w14:paraId="7BE1E661" w14:textId="1608C75A" w:rsidR="00A954B7" w:rsidRDefault="00A954B7" w:rsidP="00A954B7">
      <w:pPr>
        <w:pStyle w:val="Heading3"/>
      </w:pPr>
      <w:bookmarkStart w:id="5" w:name="_Toc236142109"/>
      <w:r>
        <w:t>Identity Governance</w:t>
      </w:r>
      <w:bookmarkEnd w:id="5"/>
    </w:p>
    <w:p w14:paraId="521CC478" w14:textId="2693E7D2" w:rsidR="00506168" w:rsidRDefault="00A954B7" w:rsidP="00A954B7">
      <w:r>
        <w:t xml:space="preserve">A key enabler of Zero Trust is Identity Governance as it provides systems </w:t>
      </w:r>
      <w:r w:rsidR="0072588C">
        <w:t xml:space="preserve">to verify identities and control access within an organisation. It </w:t>
      </w:r>
      <w:r w:rsidR="00AD6C6C">
        <w:t>supports</w:t>
      </w:r>
      <w:r w:rsidR="0072588C">
        <w:t xml:space="preserve"> continuous verification </w:t>
      </w:r>
      <w:r w:rsidR="00AD6C6C">
        <w:t>by ensuring</w:t>
      </w:r>
      <w:r w:rsidR="0072588C">
        <w:t xml:space="preserve"> </w:t>
      </w:r>
      <w:r w:rsidR="00DF2963">
        <w:t>access decisions</w:t>
      </w:r>
      <w:r w:rsidR="0072588C">
        <w:t xml:space="preserve"> are </w:t>
      </w:r>
      <w:r w:rsidR="000401C6">
        <w:t>determined</w:t>
      </w:r>
      <w:r w:rsidR="0072588C">
        <w:t xml:space="preserve"> by contextual factors like identity, device security, policy and risk instead of a </w:t>
      </w:r>
      <w:r w:rsidR="00B25B8B">
        <w:t>single</w:t>
      </w:r>
      <w:r w:rsidR="0072588C">
        <w:t xml:space="preserve"> auth</w:t>
      </w:r>
      <w:r w:rsidR="00AD6C6C">
        <w:t>entication event</w:t>
      </w:r>
      <w:r w:rsidR="0072588C">
        <w:t xml:space="preserve">. </w:t>
      </w:r>
      <w:r w:rsidR="007C758D" w:rsidRPr="007C758D">
        <w:t>This aligns with NIST SP 800-207, which identifies dynamic authentication and authorisation as foundational principles of Zero Trust [4]</w:t>
      </w:r>
      <w:r w:rsidR="00CC58A0">
        <w:t xml:space="preserve">, while the CISA Zero Trust Maturity Model </w:t>
      </w:r>
      <w:r w:rsidR="00CC58A0" w:rsidRPr="00CC58A0">
        <w:t xml:space="preserve">further emphasises that identity </w:t>
      </w:r>
      <w:r w:rsidR="001156E3">
        <w:t>processes</w:t>
      </w:r>
      <w:r w:rsidR="00CC58A0" w:rsidRPr="00CC58A0">
        <w:t xml:space="preserve"> should be supported by visibility, analytics, automation and governance to enable adaptive access decisions across the organisation [7].</w:t>
      </w:r>
    </w:p>
    <w:p w14:paraId="1BD1CFF0" w14:textId="061D1C53" w:rsidR="00AB00A9" w:rsidRDefault="00CC58A0" w:rsidP="00A954B7">
      <w:r>
        <w:t>The widespread</w:t>
      </w:r>
      <w:r w:rsidR="00AB00A9">
        <w:t xml:space="preserve"> </w:t>
      </w:r>
      <w:r>
        <w:t>adoption of</w:t>
      </w:r>
      <w:r w:rsidR="00AB00A9">
        <w:t xml:space="preserve"> cloud services, remote working and hybrid infrastructures </w:t>
      </w:r>
      <w:r>
        <w:t xml:space="preserve">has increased </w:t>
      </w:r>
      <w:r w:rsidR="00AB00A9">
        <w:t xml:space="preserve">the demand for Identity Governance. </w:t>
      </w:r>
      <w:r w:rsidR="007C758D" w:rsidRPr="007C758D">
        <w:t xml:space="preserve">Research suggests that attackers are exploiting compromised credentials </w:t>
      </w:r>
      <w:r w:rsidR="00700A2A">
        <w:t>in favour of</w:t>
      </w:r>
      <w:r w:rsidR="007C758D" w:rsidRPr="007C758D">
        <w:t xml:space="preserve"> network vulnerabilities, making identity protection a growing priority [8]</w:t>
      </w:r>
      <w:r w:rsidR="00AB00A9">
        <w:t>.</w:t>
      </w:r>
      <w:r w:rsidR="007374E5">
        <w:t xml:space="preserve"> Relying on network location alone is no longer sufficient</w:t>
      </w:r>
      <w:r w:rsidR="007C758D">
        <w:t>. For Zero Trust implementation,</w:t>
      </w:r>
      <w:r w:rsidR="007374E5">
        <w:t xml:space="preserve"> organisations must continually monitor and verify user identities</w:t>
      </w:r>
      <w:r w:rsidR="007C758D">
        <w:t>.</w:t>
      </w:r>
    </w:p>
    <w:p w14:paraId="0D0B8221" w14:textId="5E24BFEC" w:rsidR="00C42C94" w:rsidRPr="00A954B7" w:rsidRDefault="007C758D" w:rsidP="00A954B7">
      <w:r w:rsidRPr="007C758D">
        <w:t>Continuous verification significantly reduces the risk of unauthorised access</w:t>
      </w:r>
      <w:r w:rsidR="00CC58A0">
        <w:t>.</w:t>
      </w:r>
      <w:r w:rsidRPr="007C758D">
        <w:t xml:space="preserve"> </w:t>
      </w:r>
      <w:r w:rsidR="00CC58A0">
        <w:t>H</w:t>
      </w:r>
      <w:r w:rsidR="00D51433">
        <w:t>owever</w:t>
      </w:r>
      <w:r w:rsidR="00CC58A0">
        <w:t>,</w:t>
      </w:r>
      <w:r w:rsidR="00D51433">
        <w:t xml:space="preserve"> t</w:t>
      </w:r>
      <w:r w:rsidR="006F7107">
        <w:t>he extent to which identity controls are effective is highly dependent on</w:t>
      </w:r>
      <w:r w:rsidR="00CC58A0">
        <w:t xml:space="preserve"> how well they are</w:t>
      </w:r>
      <w:r w:rsidR="006F7107">
        <w:t xml:space="preserve"> integrat</w:t>
      </w:r>
      <w:r w:rsidR="00CC58A0">
        <w:t>ed</w:t>
      </w:r>
      <w:r w:rsidR="006F7107">
        <w:t xml:space="preserve"> alongside tools that can continuously monitor, detect and enforce policies. </w:t>
      </w:r>
      <w:r w:rsidR="00DE15A1" w:rsidRPr="00DE15A1">
        <w:t>Identity Governance provides the foundation for identity security but must operate alongside complementary Zero Trust technologies.</w:t>
      </w:r>
    </w:p>
    <w:p w14:paraId="565EEA62" w14:textId="77777777" w:rsidR="00A954B7" w:rsidRDefault="00A954B7" w:rsidP="004A2372"/>
    <w:p w14:paraId="02243AFE" w14:textId="5FB69804" w:rsidR="001A4E47" w:rsidRDefault="001A4E47" w:rsidP="001A4E47">
      <w:pPr>
        <w:pStyle w:val="Heading3"/>
      </w:pPr>
      <w:bookmarkStart w:id="6" w:name="_Toc236142110"/>
      <w:r>
        <w:t>Zero Trust Network Access</w:t>
      </w:r>
      <w:r w:rsidR="00905E11">
        <w:t xml:space="preserve"> (ZTNA)</w:t>
      </w:r>
      <w:bookmarkEnd w:id="6"/>
    </w:p>
    <w:p w14:paraId="5B780FB4" w14:textId="65B297F1" w:rsidR="001A4E47" w:rsidRDefault="00506168" w:rsidP="001A4E47">
      <w:r w:rsidRPr="00506168">
        <w:t>One technology that complements Identity Governance is Zero Trust Network Access (ZTNA), which controls how users access organisational resources.</w:t>
      </w:r>
      <w:r>
        <w:t xml:space="preserve"> </w:t>
      </w:r>
      <w:r w:rsidR="00673BCA">
        <w:t>As opposed to</w:t>
      </w:r>
      <w:r w:rsidR="001A4E47">
        <w:t xml:space="preserve"> providing broad network access after connecting through a Virtual Private Network (VPN), ZTNA verifies every access request using factors such as user identity, device security, organisational policy and </w:t>
      </w:r>
      <w:r w:rsidR="001A4E47">
        <w:lastRenderedPageBreak/>
        <w:t>risk before permission is granted. This aligns with NIST SP 800-207, which identifies continuous authentication and dynamic access decisions as fundamental principles of Zero Trust [4].</w:t>
      </w:r>
    </w:p>
    <w:p w14:paraId="0B2709B7" w14:textId="76ED9B53" w:rsidR="001A4E47" w:rsidRDefault="001A4E47" w:rsidP="001A4E47">
      <w:r>
        <w:t xml:space="preserve">As organisations have increasingly adopted cloud services, remote working and hybrid infrastructures, </w:t>
      </w:r>
      <w:r w:rsidR="00AB59A1">
        <w:t>legacy</w:t>
      </w:r>
      <w:r>
        <w:t xml:space="preserve"> remote access solutions have become less effective. </w:t>
      </w:r>
      <w:r w:rsidR="00506168">
        <w:t>Evidence</w:t>
      </w:r>
      <w:r>
        <w:t xml:space="preserve"> </w:t>
      </w:r>
      <w:r w:rsidR="00506168">
        <w:t>suggests</w:t>
      </w:r>
      <w:r>
        <w:t xml:space="preserve"> that ZTNA reduces reliance on network location by treating every access request as untrusted until </w:t>
      </w:r>
      <w:r w:rsidR="00D51433">
        <w:t>enough</w:t>
      </w:r>
      <w:r>
        <w:t xml:space="preserve"> identity and contextual information has been verified, helping to reduce unauthorised access and limit lateral movement across enterprise environments [8]</w:t>
      </w:r>
      <w:r w:rsidR="005729F8">
        <w:t xml:space="preserve">, </w:t>
      </w:r>
      <w:r>
        <w:t>[9].</w:t>
      </w:r>
    </w:p>
    <w:p w14:paraId="3E2CC93A" w14:textId="4770D59C" w:rsidR="00F733B6" w:rsidRDefault="00506168" w:rsidP="004A2372">
      <w:r w:rsidRPr="00506168">
        <w:t>Although ZTNA significantly strengthens access control by reducing implicit trust and limiting lateral movement, effective Zero Trust still depends on complementary technologies that provide continuous monitoring and identity management [7]</w:t>
      </w:r>
      <w:r w:rsidR="007A7B83">
        <w:t xml:space="preserve">, </w:t>
      </w:r>
      <w:r w:rsidRPr="00506168">
        <w:t>[8].</w:t>
      </w:r>
    </w:p>
    <w:p w14:paraId="7B364486" w14:textId="77777777" w:rsidR="00F733B6" w:rsidRPr="004A2372" w:rsidRDefault="00F733B6" w:rsidP="004A2372"/>
    <w:p w14:paraId="32E3F132" w14:textId="064F691C" w:rsidR="00711E7A" w:rsidRDefault="00905E11" w:rsidP="00905E11">
      <w:pPr>
        <w:pStyle w:val="Heading3"/>
      </w:pPr>
      <w:bookmarkStart w:id="7" w:name="_Toc236142111"/>
      <w:r>
        <w:t>Secure Access Service Edge (SASE)</w:t>
      </w:r>
      <w:bookmarkEnd w:id="7"/>
    </w:p>
    <w:p w14:paraId="25816165" w14:textId="668F8267" w:rsidR="00905E11" w:rsidRDefault="00905E11" w:rsidP="00905E11">
      <w:r>
        <w:t>Secure Access Service Edge (SASE) supports the implementation of Zero Trust by combining networking and security services into a unified cloud</w:t>
      </w:r>
      <w:r w:rsidR="001156E3">
        <w:t xml:space="preserve"> </w:t>
      </w:r>
      <w:r>
        <w:t>based framework. It enables organisations to securely connect users to applications regardless of their location while enforcing security policies throughout the connection. SASE applies continuous verification and policy enforcement through cloud</w:t>
      </w:r>
      <w:r w:rsidR="00F41661">
        <w:t xml:space="preserve"> </w:t>
      </w:r>
      <w:r>
        <w:t>based security services, reducing reliance on a central network and supporting the Zero Trust principles outlined within NIST SP 800-207 [4].</w:t>
      </w:r>
    </w:p>
    <w:p w14:paraId="717E6CBB" w14:textId="219F5327" w:rsidR="00905E11" w:rsidRDefault="00905E11" w:rsidP="00905E11">
      <w:r>
        <w:t xml:space="preserve">The growing adoption of cloud computing, hybrid working and </w:t>
      </w:r>
      <w:r w:rsidR="005729F8">
        <w:t>broader</w:t>
      </w:r>
      <w:r>
        <w:t xml:space="preserve"> workforces has reduced the effectiveness of </w:t>
      </w:r>
      <w:proofErr w:type="spellStart"/>
      <w:r w:rsidR="00AB59A1">
        <w:t>establishd</w:t>
      </w:r>
      <w:proofErr w:type="spellEnd"/>
      <w:r>
        <w:t xml:space="preserve"> technologies such as Virtual Private Networks (VPNs) and Multi-Protocol Label Switching (MPLS). </w:t>
      </w:r>
      <w:r w:rsidR="001D144E">
        <w:t>According to research,</w:t>
      </w:r>
      <w:r>
        <w:t xml:space="preserve"> these approaches can introduce greater network complexity, increased latency and higher operational costs as organisations expand their remote access capabilities. By integrating technologies including Zero Trust Network Access (ZTNA), Secure Web Gateway (SWG), Cloud Access Security Broker (CASB) and Software-Defined Wide Area Networking (SD-WAN), SASE provides secure and direct access to organisational resources while reducing reliance on </w:t>
      </w:r>
      <w:r w:rsidR="00464A5C">
        <w:t>the</w:t>
      </w:r>
      <w:r>
        <w:t xml:space="preserve"> network </w:t>
      </w:r>
      <w:r w:rsidR="00464A5C">
        <w:t>boundary</w:t>
      </w:r>
      <w:r>
        <w:t xml:space="preserve"> [10].</w:t>
      </w:r>
    </w:p>
    <w:p w14:paraId="5F3C276E" w14:textId="1E910BB9" w:rsidR="00905E11" w:rsidRDefault="00905E11" w:rsidP="00905E11">
      <w:r>
        <w:t xml:space="preserve">Although it simplifies the delivery of secure access and improves the scalability of enterprise security, its effectiveness depends upon integration with technologies such as Identity Governance, ZTNA and SIEM to provide continuous monitoring, threat detection and policy enforcement. </w:t>
      </w:r>
      <w:r w:rsidR="00DE15A1" w:rsidRPr="00DE15A1">
        <w:t>SASE improves scalability and policy enforcement but is most effective when integrated into a wider Zero Trust architecture</w:t>
      </w:r>
      <w:r>
        <w:t xml:space="preserve"> [7]</w:t>
      </w:r>
      <w:r w:rsidR="007A7B83">
        <w:t xml:space="preserve">, </w:t>
      </w:r>
      <w:r>
        <w:t>[10].</w:t>
      </w:r>
    </w:p>
    <w:p w14:paraId="18EB20A7" w14:textId="77777777" w:rsidR="005041B0" w:rsidRDefault="005041B0" w:rsidP="00905E11"/>
    <w:p w14:paraId="1C0607EE" w14:textId="77777777" w:rsidR="005041B0" w:rsidRDefault="005041B0" w:rsidP="00905E11"/>
    <w:p w14:paraId="58FDD3C3" w14:textId="52D3AE93" w:rsidR="005041B0" w:rsidRDefault="005041B0" w:rsidP="005041B0">
      <w:pPr>
        <w:pStyle w:val="Heading3"/>
      </w:pPr>
      <w:bookmarkStart w:id="8" w:name="_Toc236142112"/>
      <w:r>
        <w:t>Security Information and Event Management (SIEM)</w:t>
      </w:r>
      <w:bookmarkEnd w:id="8"/>
    </w:p>
    <w:p w14:paraId="0282DC06" w14:textId="54EAFF1D" w:rsidR="005041B0" w:rsidRDefault="005477CE" w:rsidP="005041B0">
      <w:r w:rsidRPr="005477CE">
        <w:t>Zero Trust depends on continuous visibility across enterprise environments, making Security Information and Event Management (SIEM) an important supporting t</w:t>
      </w:r>
      <w:r>
        <w:t>ool</w:t>
      </w:r>
      <w:r w:rsidRPr="005477CE">
        <w:t>. By collecting and correlating security data from</w:t>
      </w:r>
      <w:r w:rsidR="005041B0">
        <w:t xml:space="preserve"> various sources, including network devices, servers, applications, and user activity, allowing security events to be correlated and monitored in real time [11]. This </w:t>
      </w:r>
      <w:r w:rsidR="00127104">
        <w:t>ability</w:t>
      </w:r>
      <w:r w:rsidR="005041B0">
        <w:t xml:space="preserve"> supports the Zero Trust principle of continuous verification by enabling organisations to identify </w:t>
      </w:r>
      <w:r>
        <w:t>suspicious</w:t>
      </w:r>
      <w:r w:rsidR="005041B0">
        <w:t xml:space="preserve"> behaviour, monitor activity, and detect potential security incidents across the enterprise </w:t>
      </w:r>
      <w:r w:rsidR="00001EB4">
        <w:t xml:space="preserve">and </w:t>
      </w:r>
      <w:r w:rsidR="00930118">
        <w:t>changing the approach to security to one that is proactive.</w:t>
      </w:r>
    </w:p>
    <w:p w14:paraId="2C537714" w14:textId="225C6517" w:rsidR="005041B0" w:rsidRDefault="005041B0" w:rsidP="005041B0">
      <w:r>
        <w:lastRenderedPageBreak/>
        <w:t xml:space="preserve">By providing a broader understanding of security events across an organisation, SIEM enables more informed security decisions and strengthens the ability to detect threats that may bypass </w:t>
      </w:r>
      <w:r w:rsidR="00464A5C">
        <w:t>conventional</w:t>
      </w:r>
      <w:r>
        <w:t xml:space="preserve"> controls. </w:t>
      </w:r>
      <w:r w:rsidR="001D144E">
        <w:t>It is suggested in research</w:t>
      </w:r>
      <w:r>
        <w:t xml:space="preserve"> that integrating SIEM with Zero Trust enhances threat detection by combining continuous monitoring with policy</w:t>
      </w:r>
      <w:r w:rsidR="001156E3">
        <w:t xml:space="preserve"> </w:t>
      </w:r>
      <w:r>
        <w:t xml:space="preserve">based access controls, allowing organisations to develop a more adaptive security approach against increasingly </w:t>
      </w:r>
      <w:r w:rsidR="001D144E">
        <w:t>sophisticated</w:t>
      </w:r>
      <w:r>
        <w:t xml:space="preserve"> cyber threats [11].</w:t>
      </w:r>
    </w:p>
    <w:p w14:paraId="076134AB" w14:textId="50799526" w:rsidR="005041B0" w:rsidRPr="005041B0" w:rsidRDefault="00D51433" w:rsidP="005041B0">
      <w:r>
        <w:t>SIEM may</w:t>
      </w:r>
      <w:r w:rsidR="005041B0">
        <w:t xml:space="preserve"> significantly improves visibility and threat detection, </w:t>
      </w:r>
      <w:r>
        <w:t xml:space="preserve">but </w:t>
      </w:r>
      <w:r w:rsidR="005041B0">
        <w:t>its effectiveness is dependent on factors such as the quality of collected security data, accurate event correlation, and integration with other security technologies [11]. Unlike Identity Governance and ZTNA, SIEM does not directly determine or enforce access permissions, but instead provides the in</w:t>
      </w:r>
      <w:r w:rsidR="00930118">
        <w:t>formation</w:t>
      </w:r>
      <w:r w:rsidR="005041B0">
        <w:t xml:space="preserve"> required to identify suspicious activity and support security responses. </w:t>
      </w:r>
      <w:r w:rsidR="00DE15A1" w:rsidRPr="00DE15A1">
        <w:t xml:space="preserve">SIEM contributes visibility and threat detection </w:t>
      </w:r>
      <w:r w:rsidR="008F471E">
        <w:t>but does not</w:t>
      </w:r>
      <w:r w:rsidR="00DE15A1" w:rsidRPr="00DE15A1">
        <w:t xml:space="preserve"> directly enforc</w:t>
      </w:r>
      <w:r w:rsidR="008F471E">
        <w:t>e</w:t>
      </w:r>
      <w:r w:rsidR="00DE15A1" w:rsidRPr="00DE15A1">
        <w:t xml:space="preserve"> access decisions.</w:t>
      </w:r>
      <w:r w:rsidR="005041B0">
        <w:t xml:space="preserve"> It</w:t>
      </w:r>
      <w:r w:rsidR="008F471E">
        <w:t xml:space="preserve"> is most effective when implemented alongside the aforementioned enablers</w:t>
      </w:r>
      <w:r w:rsidR="005041B0">
        <w:t>, allowing organisations to combine access control, continuous monitoring, and threat detection to create a more resilient security posture [7]</w:t>
      </w:r>
      <w:r w:rsidR="007A7B83">
        <w:t xml:space="preserve">, </w:t>
      </w:r>
      <w:r w:rsidR="005041B0">
        <w:t>[11].</w:t>
      </w:r>
    </w:p>
    <w:p w14:paraId="3A5BF592" w14:textId="77777777" w:rsidR="00056DBC" w:rsidRDefault="00056DBC">
      <w:pPr>
        <w:rPr>
          <w:rFonts w:asciiTheme="majorHAnsi" w:eastAsiaTheme="majorEastAsia" w:hAnsiTheme="majorHAnsi" w:cstheme="majorBidi"/>
          <w:color w:val="0F4761" w:themeColor="accent1" w:themeShade="BF"/>
          <w:sz w:val="40"/>
          <w:szCs w:val="40"/>
        </w:rPr>
      </w:pPr>
      <w:r>
        <w:br w:type="page"/>
      </w:r>
    </w:p>
    <w:p w14:paraId="157C2871" w14:textId="11F67053" w:rsidR="005C2B2F" w:rsidRDefault="00980C49" w:rsidP="00A954B7">
      <w:pPr>
        <w:pStyle w:val="Heading2"/>
      </w:pPr>
      <w:bookmarkStart w:id="9" w:name="_Toc236142113"/>
      <w:r>
        <w:lastRenderedPageBreak/>
        <w:t>Evaluating</w:t>
      </w:r>
      <w:r w:rsidR="00056DBC">
        <w:t xml:space="preserve"> Zero Trust Architecture</w:t>
      </w:r>
      <w:bookmarkEnd w:id="9"/>
    </w:p>
    <w:p w14:paraId="743A7184" w14:textId="2C0B7489" w:rsidR="007A7B83" w:rsidRDefault="007A7B83" w:rsidP="007A7B83">
      <w:r>
        <w:t>Zero Trust Architecture can improve enterprise cyber resilience by replacing implicit trust assumptions with continuous verification, least</w:t>
      </w:r>
      <w:r w:rsidR="001156E3">
        <w:t xml:space="preserve"> </w:t>
      </w:r>
      <w:r>
        <w:t xml:space="preserve">privilege access and micro-segmentation. NIST SP 800-207 defines these principles as the foundation of Zero Trust, while CISA provides a maturity model that applies these concepts across identity, devices, networks, applications, data, visibility and automation [4], [7]. Systematic reviews </w:t>
      </w:r>
      <w:r w:rsidR="009E1335">
        <w:t>identify</w:t>
      </w:r>
      <w:r>
        <w:t xml:space="preserve"> that Zero Trust can improve access control, reduce attack surfaces and increase threat visibility across enterprise environments [1], [2], [5]. </w:t>
      </w:r>
      <w:r w:rsidR="009E1335">
        <w:t xml:space="preserve">The </w:t>
      </w:r>
      <w:r>
        <w:t>Bashir</w:t>
      </w:r>
      <w:r w:rsidR="009E1335">
        <w:t xml:space="preserve"> paper</w:t>
      </w:r>
      <w:r>
        <w:t xml:space="preserve"> provides practical </w:t>
      </w:r>
      <w:r w:rsidR="009E1335">
        <w:t>examples</w:t>
      </w:r>
      <w:r>
        <w:t xml:space="preserve"> through case studies reporting reductions in unauthorised access attempts and security incidents following Zero Trust implementation [12]. </w:t>
      </w:r>
      <w:r w:rsidR="0094515D">
        <w:t>Reviewing</w:t>
      </w:r>
      <w:r>
        <w:t xml:space="preserve"> these findings</w:t>
      </w:r>
      <w:r w:rsidR="0094515D">
        <w:t>, we can see that they</w:t>
      </w:r>
      <w:r>
        <w:t xml:space="preserve"> are based on specific organisational environments and cannot be assumed to apply </w:t>
      </w:r>
      <w:r w:rsidR="00700A2A">
        <w:t>generally</w:t>
      </w:r>
      <w:r>
        <w:t xml:space="preserve"> across all enterprises due to differences in infrastructure, security maturity and operational requirements.</w:t>
      </w:r>
    </w:p>
    <w:p w14:paraId="070CF31C" w14:textId="5E19B25E" w:rsidR="007A7B83" w:rsidRDefault="007A7B83" w:rsidP="007A7B83">
      <w:r>
        <w:t xml:space="preserve">The benefits of Zero Trust depend on how effectively its principles are applied within an organisation. Identity Governance, ZTNA, SASE and SIEM support continuous authentication, secure access, monitoring and threat response, helping organisations anticipate, detect and respond to </w:t>
      </w:r>
      <w:r w:rsidR="0040284D">
        <w:t>sophisticated</w:t>
      </w:r>
      <w:r>
        <w:t xml:space="preserve"> cyber threats [2], [8]–[11]. </w:t>
      </w:r>
      <w:r w:rsidR="009A3253">
        <w:t>That said</w:t>
      </w:r>
      <w:r>
        <w:t xml:space="preserve">, integrating these technologies into existing environments can introduce challenges, particularly where organisations operate complex or fragmented security infrastructures [2], [13]. </w:t>
      </w:r>
      <w:r w:rsidR="009A3253">
        <w:t>Hence</w:t>
      </w:r>
      <w:r>
        <w:t xml:space="preserve">, </w:t>
      </w:r>
      <w:r w:rsidR="009A3253">
        <w:t>organisations must also establish processes while integrating supporting technologies to maintain Zero Trust effectively.</w:t>
      </w:r>
    </w:p>
    <w:p w14:paraId="5A14BFBE" w14:textId="56980492" w:rsidR="007A7B83" w:rsidRDefault="007A7B83" w:rsidP="007A7B83">
      <w:r>
        <w:t>Adopting Zero Trust also presents significant challenge</w:t>
      </w:r>
      <w:r w:rsidR="0094515D">
        <w:t xml:space="preserve">s as it is not a single method that can </w:t>
      </w:r>
      <w:r>
        <w:t>be deployed immediately, but</w:t>
      </w:r>
      <w:r w:rsidR="0094515D">
        <w:t xml:space="preserve"> it is</w:t>
      </w:r>
      <w:r>
        <w:t xml:space="preserve"> a long</w:t>
      </w:r>
      <w:r w:rsidR="009E1335">
        <w:t xml:space="preserve"> </w:t>
      </w:r>
      <w:r>
        <w:t xml:space="preserve">term transformation involving identity management, access control, monitoring and governance [13]. </w:t>
      </w:r>
      <w:r w:rsidR="0094515D">
        <w:t>S</w:t>
      </w:r>
      <w:r>
        <w:t>om</w:t>
      </w:r>
      <w:r w:rsidR="0094515D">
        <w:t>e com</w:t>
      </w:r>
      <w:r>
        <w:t xml:space="preserve">mon barriers include legacy infrastructure, financial investment, technical complexity, resource discovery and resistance to organisational change [12], [13]. </w:t>
      </w:r>
      <w:r w:rsidR="00F64A3C">
        <w:t>With</w:t>
      </w:r>
      <w:r>
        <w:t xml:space="preserve"> the lack of a universally adopted implementation framework</w:t>
      </w:r>
      <w:r w:rsidR="00F64A3C">
        <w:t>, this</w:t>
      </w:r>
      <w:r>
        <w:t xml:space="preserve"> can create uncertainty during adoption</w:t>
      </w:r>
      <w:r w:rsidR="00F64A3C">
        <w:t xml:space="preserve"> and even though</w:t>
      </w:r>
      <w:r>
        <w:t xml:space="preserve"> </w:t>
      </w:r>
      <w:r w:rsidR="009E1335">
        <w:t>guidance from frameworks can provide structured approaches</w:t>
      </w:r>
      <w:r>
        <w:t>, implementation must still be adapted according to enterprise infrastructure, security maturity and business requirements [7], [13].</w:t>
      </w:r>
    </w:p>
    <w:p w14:paraId="279FA160" w14:textId="559DA868" w:rsidR="007A7B83" w:rsidRDefault="007A7B83" w:rsidP="007A7B83">
      <w:r>
        <w:t xml:space="preserve">The literature also highlights the risk of treating Zero Trust as a technology purchase </w:t>
      </w:r>
      <w:r w:rsidR="008F471E">
        <w:t>in place of</w:t>
      </w:r>
      <w:r>
        <w:t xml:space="preserve"> a broader security strategy. </w:t>
      </w:r>
      <w:proofErr w:type="spellStart"/>
      <w:r>
        <w:t>Itodo</w:t>
      </w:r>
      <w:proofErr w:type="spellEnd"/>
      <w:r>
        <w:t xml:space="preserve"> and Ozer argue that vendor</w:t>
      </w:r>
      <w:r w:rsidR="009E1335">
        <w:t xml:space="preserve"> </w:t>
      </w:r>
      <w:r>
        <w:t xml:space="preserve">driven approaches may encourage organisations to focus on individual technologies </w:t>
      </w:r>
      <w:r w:rsidR="008F471E">
        <w:t>without taking into consideration</w:t>
      </w:r>
      <w:r>
        <w:t xml:space="preserve"> wider requirements such as governance, access control and </w:t>
      </w:r>
      <w:r w:rsidR="005B78AF">
        <w:t>structural</w:t>
      </w:r>
      <w:r>
        <w:t xml:space="preserve"> change [13]. Effective adoption </w:t>
      </w:r>
      <w:r w:rsidR="008F471E">
        <w:t>will</w:t>
      </w:r>
      <w:r>
        <w:t xml:space="preserve"> require strategic planning, governance and technical capability alongside security technologies. </w:t>
      </w:r>
      <w:r w:rsidR="001156E3" w:rsidRPr="001156E3">
        <w:t>These capabilities also support compliance by improving auditability, access governance and visibility over how sensitive resources are accessed and protected.</w:t>
      </w:r>
    </w:p>
    <w:p w14:paraId="5544D71F" w14:textId="440A34CA" w:rsidR="007A7B83" w:rsidRPr="007A7B83" w:rsidRDefault="0094515D" w:rsidP="007A7B83">
      <w:r>
        <w:t xml:space="preserve">Collectively, </w:t>
      </w:r>
      <w:r w:rsidR="007A7B83">
        <w:t xml:space="preserve">Zero Trust provides clear security benefits by reducing reliance on implicit trust and improving an organisation’s ability to </w:t>
      </w:r>
      <w:r w:rsidR="00C845CA">
        <w:t>monitor</w:t>
      </w:r>
      <w:r w:rsidR="007A7B83">
        <w:t xml:space="preserve">, detect and respond to </w:t>
      </w:r>
      <w:r w:rsidR="00C845CA">
        <w:t>sophisticated</w:t>
      </w:r>
      <w:r w:rsidR="007A7B83">
        <w:t xml:space="preserve"> cyber threats</w:t>
      </w:r>
      <w:r w:rsidR="00C845CA">
        <w:t xml:space="preserve"> </w:t>
      </w:r>
      <w:r w:rsidR="002636A7">
        <w:t>by following rigid guiding principles with tools that enable continuous verification methods.</w:t>
      </w:r>
      <w:r w:rsidR="007A7B83">
        <w:t xml:space="preserve"> Nevertheless, these benefits are not achieved through adoption alone, as they rely on </w:t>
      </w:r>
      <w:r w:rsidR="002636A7">
        <w:t>strategic</w:t>
      </w:r>
      <w:r w:rsidR="007A7B83">
        <w:t xml:space="preserve"> planning</w:t>
      </w:r>
      <w:r w:rsidR="002636A7">
        <w:t xml:space="preserve"> with effective </w:t>
      </w:r>
      <w:r w:rsidR="007A7B83">
        <w:t xml:space="preserve">integration of security </w:t>
      </w:r>
      <w:r w:rsidR="002636A7">
        <w:t>mechanisms</w:t>
      </w:r>
      <w:r w:rsidR="007A7B83">
        <w:t xml:space="preserve"> </w:t>
      </w:r>
      <w:r w:rsidR="002636A7">
        <w:t>that allow</w:t>
      </w:r>
      <w:r w:rsidR="007A7B83">
        <w:t xml:space="preserve"> the ability to </w:t>
      </w:r>
      <w:r w:rsidR="002636A7">
        <w:t>uphold</w:t>
      </w:r>
      <w:r w:rsidR="007A7B83">
        <w:t xml:space="preserve"> Zero Trust principles over time. Therefore, Zero Trust should be </w:t>
      </w:r>
      <w:r w:rsidR="00DA0778">
        <w:t>regarded</w:t>
      </w:r>
      <w:r w:rsidR="007A7B83">
        <w:t xml:space="preserve"> as a long</w:t>
      </w:r>
      <w:r w:rsidR="009E1335">
        <w:t xml:space="preserve"> </w:t>
      </w:r>
      <w:r w:rsidR="007A7B83">
        <w:t xml:space="preserve">term security strategy </w:t>
      </w:r>
      <w:r w:rsidR="00DA0778">
        <w:t>that shapes how decisions and policies are made so technical solutions can be applied to conform, instead of it bei</w:t>
      </w:r>
      <w:r>
        <w:t>ng perceived as a byproduct of using specific tools.</w:t>
      </w:r>
    </w:p>
    <w:p w14:paraId="1E56652E" w14:textId="77777777" w:rsidR="005C2B2F" w:rsidRDefault="005C2B2F">
      <w:pPr>
        <w:rPr>
          <w:rFonts w:asciiTheme="majorHAnsi" w:eastAsiaTheme="majorEastAsia" w:hAnsiTheme="majorHAnsi" w:cstheme="majorBidi"/>
          <w:color w:val="0F4761" w:themeColor="accent1" w:themeShade="BF"/>
          <w:sz w:val="40"/>
          <w:szCs w:val="40"/>
        </w:rPr>
      </w:pPr>
      <w:r>
        <w:br w:type="page"/>
      </w:r>
    </w:p>
    <w:p w14:paraId="42690A02" w14:textId="176C9297" w:rsidR="00FF6350" w:rsidRDefault="00FF6350" w:rsidP="00FF6350">
      <w:pPr>
        <w:pStyle w:val="Heading1"/>
      </w:pPr>
      <w:bookmarkStart w:id="10" w:name="_Toc236142114"/>
      <w:r>
        <w:lastRenderedPageBreak/>
        <w:t xml:space="preserve">Task 2 - </w:t>
      </w:r>
      <w:r w:rsidRPr="00FF6350">
        <w:t>Work-Based Project: Chief Information Security Officer (CISO) Proposal</w:t>
      </w:r>
      <w:bookmarkEnd w:id="10"/>
    </w:p>
    <w:p w14:paraId="3135E01E" w14:textId="77777777" w:rsidR="00FF6350" w:rsidRDefault="00FF6350" w:rsidP="00FF6350"/>
    <w:p w14:paraId="416A951C" w14:textId="480CB9DC" w:rsidR="00FF6350" w:rsidRDefault="00FF6350" w:rsidP="00FF6350">
      <w:pPr>
        <w:pStyle w:val="Heading2"/>
      </w:pPr>
      <w:bookmarkStart w:id="11" w:name="_Toc236142115"/>
      <w:r w:rsidRPr="00FF6350">
        <w:t>Organisational Design and Resourcing</w:t>
      </w:r>
      <w:bookmarkEnd w:id="11"/>
    </w:p>
    <w:p w14:paraId="4CAFBE18" w14:textId="791B75D7" w:rsidR="00147A9A" w:rsidRDefault="00E04114" w:rsidP="00147A9A">
      <w:r>
        <w:rPr>
          <w:noProof/>
        </w:rPr>
        <w:drawing>
          <wp:inline distT="0" distB="0" distL="0" distR="0" wp14:anchorId="2D84BC75" wp14:editId="0ECE854E">
            <wp:extent cx="6065520" cy="5090160"/>
            <wp:effectExtent l="0" t="0" r="0" b="53340"/>
            <wp:docPr id="100010233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9102EB3" w14:textId="5BF8A805" w:rsidR="00147A9A" w:rsidRDefault="00B35D5B" w:rsidP="00147A9A">
      <w:r>
        <w:t>(Fig. 1, Organisational Chart for Aegis Fintech Innovations Ltd)</w:t>
      </w:r>
    </w:p>
    <w:p w14:paraId="1707B095" w14:textId="77777777" w:rsidR="00B35D5B" w:rsidRDefault="00B35D5B" w:rsidP="00147A9A"/>
    <w:p w14:paraId="40309552" w14:textId="51F7A432" w:rsidR="00B35D5B" w:rsidRDefault="004B3AB3" w:rsidP="00147A9A">
      <w:r>
        <w:t xml:space="preserve">The above chart (Fig. 1), is a proposed security unit that will allow the implementation of Zero Trust principles. </w:t>
      </w:r>
      <w:r w:rsidR="00E13C75">
        <w:t xml:space="preserve">Having </w:t>
      </w:r>
      <w:r w:rsidR="0042049A">
        <w:t>dedicated teams and</w:t>
      </w:r>
      <w:r w:rsidR="00E13C75">
        <w:t xml:space="preserve"> responsibilities will </w:t>
      </w:r>
      <w:r w:rsidR="0042049A">
        <w:t xml:space="preserve">inform and support business decisions of security and </w:t>
      </w:r>
      <w:r w:rsidR="00E13C75">
        <w:t xml:space="preserve">ensure that the principles </w:t>
      </w:r>
      <w:r w:rsidR="00AF5BAA">
        <w:t>provided by NIST of</w:t>
      </w:r>
      <w:r w:rsidR="00E13C75">
        <w:t xml:space="preserve"> continuous verification, least privilege access and not assuming trust are upheld.</w:t>
      </w:r>
      <w:r w:rsidR="00AF5BAA">
        <w:t>[4]</w:t>
      </w:r>
    </w:p>
    <w:p w14:paraId="573A5FF8" w14:textId="571347C9" w:rsidR="00E13C75" w:rsidRDefault="00E13C75" w:rsidP="00147A9A">
      <w:r w:rsidRPr="00CD55D0">
        <w:rPr>
          <w:b/>
          <w:bCs/>
        </w:rPr>
        <w:t>Cloud Security Architect</w:t>
      </w:r>
      <w:r>
        <w:t xml:space="preserve"> – This role is essential as the main responsibility will be to design the cloud infrastructure and implement controls that assist in conforming with Zero Trust</w:t>
      </w:r>
      <w:r w:rsidR="00CD55D0">
        <w:t xml:space="preserve"> at a fundamental level. Previously discussed in Task 1, integrating enablers like ZTNA and SASE into </w:t>
      </w:r>
      <w:r w:rsidR="00CD55D0">
        <w:lastRenderedPageBreak/>
        <w:t xml:space="preserve">the foundation of the architecture will allow Aegis Fintech to align strongly </w:t>
      </w:r>
      <w:r w:rsidR="00EA57BA">
        <w:t>by limiting lateral movement and evaluating access</w:t>
      </w:r>
      <w:r w:rsidR="00CD55D0">
        <w:t xml:space="preserve"> [2], [10], [13].</w:t>
      </w:r>
    </w:p>
    <w:p w14:paraId="4F7767FF" w14:textId="77777777" w:rsidR="00CD55D0" w:rsidRDefault="00CD55D0" w:rsidP="00147A9A"/>
    <w:p w14:paraId="75F94770" w14:textId="0608A21E" w:rsidR="00CD55D0" w:rsidRDefault="00CD55D0" w:rsidP="00147A9A">
      <w:r w:rsidRPr="00CD55D0">
        <w:rPr>
          <w:b/>
          <w:bCs/>
        </w:rPr>
        <w:t>Security Operations Analyst</w:t>
      </w:r>
      <w:r>
        <w:t xml:space="preserve"> – </w:t>
      </w:r>
      <w:r w:rsidR="00EA57BA">
        <w:t xml:space="preserve">To enable proactive </w:t>
      </w:r>
      <w:r w:rsidR="00930118">
        <w:t>threat</w:t>
      </w:r>
      <w:r w:rsidR="00EA57BA">
        <w:t xml:space="preserve"> response, it will be the Security Operations Analyst’s role to oversee and manage incidents. </w:t>
      </w:r>
      <w:r w:rsidR="003402EE">
        <w:t xml:space="preserve">Incorporating SIEM can lead to a significantly </w:t>
      </w:r>
      <w:r w:rsidR="00AF5BAA">
        <w:t>stronger system by allowing real-time monitoring and detection of unusual activity for more efficient response to potentially identified threats.[11]</w:t>
      </w:r>
    </w:p>
    <w:p w14:paraId="262BBBD9" w14:textId="77777777" w:rsidR="00AF5BAA" w:rsidRDefault="00AF5BAA" w:rsidP="00147A9A"/>
    <w:p w14:paraId="7CB2B463" w14:textId="661A5B84" w:rsidR="00AF5BAA" w:rsidRDefault="008866C2" w:rsidP="00147A9A">
      <w:r>
        <w:rPr>
          <w:b/>
          <w:bCs/>
        </w:rPr>
        <w:t>Identity and Access Management (IAM) Engineer</w:t>
      </w:r>
      <w:r w:rsidR="00AF5BAA">
        <w:t xml:space="preserve"> </w:t>
      </w:r>
      <w:r>
        <w:t>–</w:t>
      </w:r>
      <w:r w:rsidR="00AF5BAA">
        <w:t xml:space="preserve"> </w:t>
      </w:r>
      <w:r>
        <w:t xml:space="preserve">The IAM Engineer will </w:t>
      </w:r>
      <w:r w:rsidR="00F75321">
        <w:t>implement tools focussed on identity security control. This will enforce user permissions based on only what specific roles require and continually identify user identities to remain consistent with the principles and remove implicit trust.[8]</w:t>
      </w:r>
    </w:p>
    <w:p w14:paraId="55E86998" w14:textId="77777777" w:rsidR="00F75321" w:rsidRDefault="00F75321" w:rsidP="00147A9A"/>
    <w:p w14:paraId="223C0FBC" w14:textId="2F13AEA3" w:rsidR="00F75321" w:rsidRPr="00147A9A" w:rsidRDefault="00F75321" w:rsidP="00147A9A">
      <w:r w:rsidRPr="00ED6660">
        <w:rPr>
          <w:b/>
          <w:bCs/>
        </w:rPr>
        <w:t>Data Protection Officer</w:t>
      </w:r>
      <w:r>
        <w:t xml:space="preserve"> – </w:t>
      </w:r>
      <w:r w:rsidR="00192436">
        <w:t>Currently, F</w:t>
      </w:r>
      <w:r>
        <w:t>intech</w:t>
      </w:r>
      <w:r w:rsidR="00192436">
        <w:t xml:space="preserve"> must manage and comply with laws of data protection and privacy within the U</w:t>
      </w:r>
      <w:r w:rsidR="00ED6660">
        <w:t>K</w:t>
      </w:r>
      <w:r w:rsidR="00192436">
        <w:t xml:space="preserve">, but with plans to expand the business into the EU, it must ensure compliance with </w:t>
      </w:r>
      <w:r w:rsidR="00ED6660">
        <w:t>the</w:t>
      </w:r>
      <w:r w:rsidR="00192436">
        <w:t xml:space="preserve"> corresponding regulatory bod</w:t>
      </w:r>
      <w:r w:rsidR="00ED6660">
        <w:t xml:space="preserve">ies. Dedicating an individual role to data protection will allow strict governance of how sensitive data is processed, to </w:t>
      </w:r>
      <w:proofErr w:type="spellStart"/>
      <w:r w:rsidR="00ED6660">
        <w:t>strenghten</w:t>
      </w:r>
      <w:proofErr w:type="spellEnd"/>
      <w:r w:rsidR="00ED6660">
        <w:t xml:space="preserve"> Zero Trust Architecture, which is supported by findings in Task 1 [7],[13].</w:t>
      </w:r>
    </w:p>
    <w:p w14:paraId="46BA6940" w14:textId="77777777" w:rsidR="00FF6350" w:rsidRDefault="00FF6350" w:rsidP="00FF6350"/>
    <w:p w14:paraId="47AAAD56" w14:textId="023E6896" w:rsidR="00FF6350" w:rsidRDefault="00FF6350" w:rsidP="00FF6350">
      <w:pPr>
        <w:pStyle w:val="Heading2"/>
      </w:pPr>
      <w:bookmarkStart w:id="12" w:name="_Toc236142116"/>
      <w:r w:rsidRPr="00FF6350">
        <w:t>Policy Framework Development</w:t>
      </w:r>
      <w:bookmarkEnd w:id="12"/>
    </w:p>
    <w:p w14:paraId="63DA5D25" w14:textId="77777777" w:rsidR="00D17082" w:rsidRDefault="00D17082" w:rsidP="00D17082"/>
    <w:p w14:paraId="2C6A4B9F" w14:textId="2D17AF6D" w:rsidR="00D17082" w:rsidRDefault="00D17082" w:rsidP="00D17082">
      <w:pPr>
        <w:pStyle w:val="Heading3"/>
      </w:pPr>
      <w:bookmarkStart w:id="13" w:name="_Toc236142117"/>
      <w:r>
        <w:t xml:space="preserve">Executive Summary of </w:t>
      </w:r>
      <w:r w:rsidRPr="00D17082">
        <w:t>Acceptable Use Policy for AI &amp; Cloud Services</w:t>
      </w:r>
      <w:bookmarkEnd w:id="13"/>
    </w:p>
    <w:p w14:paraId="3B41399B" w14:textId="69E6E0EA" w:rsidR="00D17082" w:rsidRDefault="00D17082" w:rsidP="00D17082">
      <w:r>
        <w:t>AI and cloud services are becoming more widely used within Aegis Fintech</w:t>
      </w:r>
      <w:r w:rsidR="00BA4437">
        <w:t xml:space="preserve"> to develop the quality and efficiency of our financial analytics. Even so, our commitment to this expansion comes with new responsibilities with how we utilise these tools. Without precise guidance, staff may</w:t>
      </w:r>
      <w:r w:rsidR="00374A9C">
        <w:t xml:space="preserve"> potentially commit misconduct through improper compliance of data handling and usage of unapproved services.</w:t>
      </w:r>
    </w:p>
    <w:p w14:paraId="5466FC70" w14:textId="54244C82" w:rsidR="00374A9C" w:rsidRDefault="00374A9C" w:rsidP="00D17082">
      <w:r>
        <w:t xml:space="preserve">The Acceptable Use Policy for AI &amp; Cloud Services provides staff with clear guidelines to safely utilise AI and cloud platforms. It outlines the responsibilities staff must adhere to when handling sensitive data while interacting with these services. This policy establishes clear boundaries to </w:t>
      </w:r>
      <w:r w:rsidR="00D73754">
        <w:t>ensure that data remains protected, concluded from Task 1 findings that highlight effective security governance relies on processes and not just specific controls.</w:t>
      </w:r>
    </w:p>
    <w:p w14:paraId="56AE20D1" w14:textId="035B1CB9" w:rsidR="00D73754" w:rsidRDefault="00D73754" w:rsidP="00D17082">
      <w:r>
        <w:t>This policy allows Aegis FinTech to make use these services through clear guidance and accountability to mitigate security breaches and data misuse.</w:t>
      </w:r>
    </w:p>
    <w:p w14:paraId="42278DDA" w14:textId="77777777" w:rsidR="00D73754" w:rsidRDefault="00D73754" w:rsidP="00D17082"/>
    <w:p w14:paraId="12513E65" w14:textId="37A72CE1" w:rsidR="00D73754" w:rsidRDefault="00D73754" w:rsidP="00D73754">
      <w:pPr>
        <w:pStyle w:val="Heading3"/>
      </w:pPr>
      <w:bookmarkStart w:id="14" w:name="_Toc236142118"/>
      <w:r>
        <w:t xml:space="preserve">Executive Summary of </w:t>
      </w:r>
      <w:r w:rsidRPr="00D73754">
        <w:t>Hybrid Work and Remote Access Security Policy</w:t>
      </w:r>
      <w:bookmarkEnd w:id="14"/>
    </w:p>
    <w:p w14:paraId="56C9F301" w14:textId="26801057" w:rsidR="00D73754" w:rsidRDefault="00D73754" w:rsidP="00D73754">
      <w:r>
        <w:t>Aegis FinTech</w:t>
      </w:r>
      <w:r w:rsidR="00352FFF">
        <w:t xml:space="preserve"> has embraced hybrid working and it has directly altered the working environment for how staff access IT systems. Adopting a more flexible working strategy has also directly increased the amount of endpoints that must be secured. Increasing the amount of endpoints </w:t>
      </w:r>
      <w:r w:rsidR="00352FFF">
        <w:lastRenderedPageBreak/>
        <w:t>has also expanded the potential attack surface, increasing the potential for compromise from additional factors.</w:t>
      </w:r>
    </w:p>
    <w:p w14:paraId="7F4F4835" w14:textId="23BA2706" w:rsidR="00352FFF" w:rsidRDefault="00352FFF" w:rsidP="00D73754">
      <w:r>
        <w:t>The security requirements within this policy, emphasise what staff must follow</w:t>
      </w:r>
      <w:r w:rsidR="009470BB">
        <w:t xml:space="preserve"> when accessing the Aegis FinTech network, remotely. The policy underlines secure access methods, device security and mandatory monitoring of connected devices. Guidance for specific conditions that allow BYOD will also be provided.</w:t>
      </w:r>
    </w:p>
    <w:p w14:paraId="08DA118B" w14:textId="279B940E" w:rsidR="009470BB" w:rsidRPr="00D73754" w:rsidRDefault="009470BB" w:rsidP="00D73754">
      <w:r>
        <w:t>Task 1 demonstrated that the development of IT infrastructures has required access decisions to be more constraint involving multiple factors that remove implicit trust and staff can work securely.</w:t>
      </w:r>
    </w:p>
    <w:p w14:paraId="185D288C" w14:textId="77777777" w:rsidR="00D82CE1" w:rsidRDefault="00D82CE1" w:rsidP="00D82CE1"/>
    <w:p w14:paraId="374C021A" w14:textId="1DB2395F" w:rsidR="00D82CE1" w:rsidRDefault="00301A65" w:rsidP="00D82CE1">
      <w:pPr>
        <w:pStyle w:val="Heading3"/>
      </w:pPr>
      <w:bookmarkStart w:id="15" w:name="_Toc236142119"/>
      <w:r>
        <w:t xml:space="preserve">Executive Summary of </w:t>
      </w:r>
      <w:r w:rsidR="00D17082" w:rsidRPr="00D17082">
        <w:t>Third-Party &amp; Cloud Vendor Risk Management Policy</w:t>
      </w:r>
      <w:bookmarkEnd w:id="15"/>
    </w:p>
    <w:p w14:paraId="12D48BE8" w14:textId="7791B0FE" w:rsidR="00D82CE1" w:rsidRDefault="00301A65" w:rsidP="00D82CE1">
      <w:r>
        <w:t xml:space="preserve">Working with external suppliers and cloud providers has enabled Aegis FinTech to more efficiently provide services and support operations within the business, but allowing third party vendors access to business systems or sensitive data </w:t>
      </w:r>
      <w:r w:rsidR="002546CC">
        <w:t>exposes</w:t>
      </w:r>
      <w:r w:rsidR="00D17082">
        <w:t xml:space="preserve"> FinTech </w:t>
      </w:r>
      <w:r w:rsidR="002546CC">
        <w:t>to potential risks.</w:t>
      </w:r>
    </w:p>
    <w:p w14:paraId="5098C311" w14:textId="53AAE6FB" w:rsidR="002546CC" w:rsidRDefault="002546CC" w:rsidP="00D82CE1">
      <w:r>
        <w:t>This policy recognises that thorough assessments and evaluations must be conducted when engaging with vendors or supplier services. Contractual agreements will define security responsibilities and ensure the risks are reviewed throughout the working relationship.</w:t>
      </w:r>
    </w:p>
    <w:p w14:paraId="70FE095E" w14:textId="0314B170" w:rsidR="002546CC" w:rsidRDefault="00385F4E" w:rsidP="00D82CE1">
      <w:r>
        <w:t>As my research into Zero Trust has identified that the strength of the security also relies on governance, so having supplier oversight reduces the security risk from third-parties since organisations must continually verify trust and maintain visibility.</w:t>
      </w:r>
    </w:p>
    <w:p w14:paraId="04A46680" w14:textId="77777777" w:rsidR="00D17082" w:rsidRPr="00D82CE1" w:rsidRDefault="00D17082" w:rsidP="00D82CE1"/>
    <w:p w14:paraId="1BC58FE9" w14:textId="77777777" w:rsidR="00FF6350" w:rsidRDefault="00FF6350" w:rsidP="00FF6350"/>
    <w:p w14:paraId="694DE3BB" w14:textId="3C4C3A76" w:rsidR="00FF6350" w:rsidRDefault="00FF6350" w:rsidP="00FF6350">
      <w:pPr>
        <w:pStyle w:val="Heading2"/>
      </w:pPr>
      <w:bookmarkStart w:id="16" w:name="_Toc236142120"/>
      <w:r w:rsidRPr="00FF6350">
        <w:t>Regulatory Compliance Strategy</w:t>
      </w:r>
      <w:bookmarkEnd w:id="16"/>
    </w:p>
    <w:p w14:paraId="54978C7C" w14:textId="642976E6" w:rsidR="00AF7476" w:rsidRPr="00AF7476" w:rsidRDefault="00AF7476" w:rsidP="00AF7476">
      <w:r>
        <w:rPr>
          <w:noProof/>
        </w:rPr>
        <w:drawing>
          <wp:inline distT="0" distB="0" distL="0" distR="0" wp14:anchorId="25C33E02" wp14:editId="2DB1817A">
            <wp:extent cx="5486400" cy="3200400"/>
            <wp:effectExtent l="0" t="0" r="0" b="0"/>
            <wp:docPr id="101303470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EDC28CD" w14:textId="7C946F11" w:rsidR="00FF6350" w:rsidRDefault="00AF7476" w:rsidP="00FF6350">
      <w:r>
        <w:lastRenderedPageBreak/>
        <w:t>(Fig. 2, Aegis FinTech Compliance Roadmap)</w:t>
      </w:r>
    </w:p>
    <w:p w14:paraId="730500A4" w14:textId="77777777" w:rsidR="00AF7476" w:rsidRDefault="00AF7476" w:rsidP="00FF6350"/>
    <w:p w14:paraId="0B53D433" w14:textId="6FAF947F" w:rsidR="00AF7476" w:rsidRDefault="00AF7476" w:rsidP="00FF6350">
      <w:r>
        <w:t>Stage 1</w:t>
      </w:r>
      <w:r w:rsidR="000343C7">
        <w:t xml:space="preserve"> - Assessment and Governance Key Milestones:</w:t>
      </w:r>
    </w:p>
    <w:p w14:paraId="6F5D4D5A" w14:textId="0CA22117" w:rsidR="000343C7" w:rsidRDefault="000343C7" w:rsidP="000343C7">
      <w:pPr>
        <w:pStyle w:val="ListParagraph"/>
        <w:numPr>
          <w:ilvl w:val="0"/>
          <w:numId w:val="1"/>
        </w:numPr>
      </w:pPr>
      <w:r>
        <w:t>Conduct compliance analysis to identify responsibilities for GDPR and DORA compliance</w:t>
      </w:r>
    </w:p>
    <w:p w14:paraId="62C24B96" w14:textId="118009FE" w:rsidR="000343C7" w:rsidRDefault="000343C7" w:rsidP="000343C7">
      <w:pPr>
        <w:pStyle w:val="ListParagraph"/>
        <w:numPr>
          <w:ilvl w:val="0"/>
          <w:numId w:val="1"/>
        </w:numPr>
      </w:pPr>
      <w:r>
        <w:t>Identify processing of sensitive data</w:t>
      </w:r>
    </w:p>
    <w:p w14:paraId="7FEF4879" w14:textId="757B808B" w:rsidR="000343C7" w:rsidRDefault="000343C7" w:rsidP="000343C7">
      <w:pPr>
        <w:pStyle w:val="ListParagraph"/>
        <w:numPr>
          <w:ilvl w:val="0"/>
          <w:numId w:val="1"/>
        </w:numPr>
      </w:pPr>
      <w:r>
        <w:t>Outline implementation to align with compliance</w:t>
      </w:r>
    </w:p>
    <w:p w14:paraId="11D571D8" w14:textId="3585B529" w:rsidR="00026C4E" w:rsidRDefault="00026C4E" w:rsidP="00026C4E">
      <w:r>
        <w:t>Task 1 has established that Zero Trust is a security strategy that needs to be embedded into the foundation. Understanding Aegis Fintech’s critical resources and risks will allow for effective governance.</w:t>
      </w:r>
    </w:p>
    <w:p w14:paraId="685B3D98" w14:textId="77777777" w:rsidR="000343C7" w:rsidRDefault="000343C7" w:rsidP="000343C7"/>
    <w:p w14:paraId="2216F732" w14:textId="286D4AF1" w:rsidR="000343C7" w:rsidRDefault="000343C7" w:rsidP="000343C7">
      <w:r>
        <w:t xml:space="preserve">Stage 2 </w:t>
      </w:r>
      <w:r w:rsidR="00026C4E">
        <w:t>–</w:t>
      </w:r>
      <w:r>
        <w:t xml:space="preserve"> </w:t>
      </w:r>
      <w:r w:rsidR="00026C4E">
        <w:t>Security Controls Key Milestones:</w:t>
      </w:r>
    </w:p>
    <w:p w14:paraId="5F7A4E1F" w14:textId="4CF9D33C" w:rsidR="00026C4E" w:rsidRDefault="001D5368" w:rsidP="00026C4E">
      <w:pPr>
        <w:pStyle w:val="ListParagraph"/>
        <w:numPr>
          <w:ilvl w:val="0"/>
          <w:numId w:val="2"/>
        </w:numPr>
      </w:pPr>
      <w:r>
        <w:t>Implementation of Identity Governance and key enablers of Zero Trust</w:t>
      </w:r>
    </w:p>
    <w:p w14:paraId="32257314" w14:textId="4CC8E988" w:rsidR="001D5368" w:rsidRDefault="001D5368" w:rsidP="00026C4E">
      <w:pPr>
        <w:pStyle w:val="ListParagraph"/>
        <w:numPr>
          <w:ilvl w:val="0"/>
          <w:numId w:val="2"/>
        </w:numPr>
      </w:pPr>
      <w:r>
        <w:t>Deployment of least privilege access and multi-factor authentication</w:t>
      </w:r>
      <w:r w:rsidR="00537D17">
        <w:t xml:space="preserve"> (MFA)</w:t>
      </w:r>
    </w:p>
    <w:p w14:paraId="081BC0F8" w14:textId="744E4D58" w:rsidR="001D5368" w:rsidRDefault="001D5368" w:rsidP="00026C4E">
      <w:pPr>
        <w:pStyle w:val="ListParagraph"/>
        <w:numPr>
          <w:ilvl w:val="0"/>
          <w:numId w:val="2"/>
        </w:numPr>
      </w:pPr>
      <w:r>
        <w:t>Implement SIEM and ZTNA</w:t>
      </w:r>
    </w:p>
    <w:p w14:paraId="6A7D498E" w14:textId="495835A1" w:rsidR="001D5368" w:rsidRDefault="001D5368" w:rsidP="00026C4E">
      <w:pPr>
        <w:pStyle w:val="ListParagraph"/>
        <w:numPr>
          <w:ilvl w:val="0"/>
          <w:numId w:val="2"/>
        </w:numPr>
      </w:pPr>
      <w:r>
        <w:t>Continuous monitoring, logging and encryption</w:t>
      </w:r>
    </w:p>
    <w:p w14:paraId="3814B403" w14:textId="5D5B08CF" w:rsidR="001D5368" w:rsidRDefault="001D5368" w:rsidP="001D5368">
      <w:r>
        <w:t>Introducing key enablers of Zero Trust will remove implicit trust and facilitate organisational visibility, strengthening compliance requirements with GDPR and DORA.</w:t>
      </w:r>
    </w:p>
    <w:p w14:paraId="76937B23" w14:textId="77777777" w:rsidR="001D5368" w:rsidRDefault="001D5368" w:rsidP="001D5368"/>
    <w:p w14:paraId="66BEC0C5" w14:textId="30E2047B" w:rsidR="001D5368" w:rsidRDefault="001D5368" w:rsidP="001D5368">
      <w:r>
        <w:t xml:space="preserve">Stage 3 </w:t>
      </w:r>
      <w:r w:rsidR="009D6EFE">
        <w:t>–</w:t>
      </w:r>
      <w:r>
        <w:t xml:space="preserve"> </w:t>
      </w:r>
      <w:r w:rsidR="009D6EFE">
        <w:t>Third-Party &amp; Cloud Risk Management Key Milestones:</w:t>
      </w:r>
    </w:p>
    <w:p w14:paraId="50196615" w14:textId="2ECDA18B" w:rsidR="009D6EFE" w:rsidRDefault="009D6EFE" w:rsidP="009D6EFE">
      <w:pPr>
        <w:pStyle w:val="ListParagraph"/>
        <w:numPr>
          <w:ilvl w:val="0"/>
          <w:numId w:val="3"/>
        </w:numPr>
      </w:pPr>
      <w:r>
        <w:t>Evaluate and risk assess third-party vendors</w:t>
      </w:r>
    </w:p>
    <w:p w14:paraId="21B733BB" w14:textId="2C61500F" w:rsidR="009D6EFE" w:rsidRDefault="009D6EFE" w:rsidP="009D6EFE">
      <w:pPr>
        <w:pStyle w:val="ListParagraph"/>
        <w:numPr>
          <w:ilvl w:val="0"/>
          <w:numId w:val="3"/>
        </w:numPr>
      </w:pPr>
      <w:r>
        <w:t>Define contractual security responsibilities</w:t>
      </w:r>
    </w:p>
    <w:p w14:paraId="08B167E2" w14:textId="03979230" w:rsidR="009D6EFE" w:rsidRDefault="009D6EFE" w:rsidP="009D6EFE">
      <w:pPr>
        <w:pStyle w:val="ListParagraph"/>
        <w:numPr>
          <w:ilvl w:val="0"/>
          <w:numId w:val="3"/>
        </w:numPr>
      </w:pPr>
      <w:r>
        <w:t>Continuous reviewing of supplier risks</w:t>
      </w:r>
    </w:p>
    <w:p w14:paraId="0C88F31F" w14:textId="00F97358" w:rsidR="009D6EFE" w:rsidRDefault="009D6EFE" w:rsidP="009D6EFE">
      <w:r>
        <w:t>Continuous verification and evaluation of risk must be upheld to maintain Zero Trust principles, especially with third-party suppliers to mitigate supply-chain compromises.</w:t>
      </w:r>
    </w:p>
    <w:p w14:paraId="0789371D" w14:textId="77777777" w:rsidR="009D6EFE" w:rsidRDefault="009D6EFE" w:rsidP="009D6EFE"/>
    <w:p w14:paraId="3B6EB7F7" w14:textId="7B325553" w:rsidR="009D6EFE" w:rsidRDefault="009D6EFE" w:rsidP="009D6EFE">
      <w:r>
        <w:t>Stage 4 – Incident Response &amp; Operational Resilience Key Milestones:</w:t>
      </w:r>
    </w:p>
    <w:p w14:paraId="079A0941" w14:textId="31BE24FB" w:rsidR="009D6EFE" w:rsidRDefault="00391733" w:rsidP="00391733">
      <w:pPr>
        <w:pStyle w:val="ListParagraph"/>
        <w:numPr>
          <w:ilvl w:val="0"/>
          <w:numId w:val="4"/>
        </w:numPr>
      </w:pPr>
      <w:r>
        <w:t>Establish and apply an incident response process plan</w:t>
      </w:r>
    </w:p>
    <w:p w14:paraId="7159D693" w14:textId="5E93C8E5" w:rsidR="00391733" w:rsidRDefault="00391733" w:rsidP="00391733">
      <w:pPr>
        <w:pStyle w:val="ListParagraph"/>
        <w:numPr>
          <w:ilvl w:val="0"/>
          <w:numId w:val="4"/>
        </w:numPr>
      </w:pPr>
      <w:r>
        <w:t>Data breach and incident response reporting procedures</w:t>
      </w:r>
    </w:p>
    <w:p w14:paraId="11D7F959" w14:textId="4373FB7D" w:rsidR="00391733" w:rsidRDefault="00391733" w:rsidP="00391733">
      <w:pPr>
        <w:pStyle w:val="ListParagraph"/>
        <w:numPr>
          <w:ilvl w:val="0"/>
          <w:numId w:val="4"/>
        </w:numPr>
      </w:pPr>
      <w:r>
        <w:t>Disaster recovery through testing and backups</w:t>
      </w:r>
    </w:p>
    <w:p w14:paraId="02E407B7" w14:textId="20475BA8" w:rsidR="00391733" w:rsidRDefault="00391733" w:rsidP="00391733">
      <w:r>
        <w:t>Robust resilience through proactive threat response will support Aegis FinTech to comply with data protection laws and reduce the consequential damage of malicious attacks.</w:t>
      </w:r>
    </w:p>
    <w:p w14:paraId="0512A07A" w14:textId="77777777" w:rsidR="00391733" w:rsidRDefault="00391733" w:rsidP="00391733"/>
    <w:p w14:paraId="29C77A49" w14:textId="17C342C2" w:rsidR="00391733" w:rsidRDefault="00391733" w:rsidP="00391733">
      <w:r>
        <w:t>Stage 5 – Audit &amp; Continuous Improvement Key Milestones:</w:t>
      </w:r>
    </w:p>
    <w:p w14:paraId="3E95B7EB" w14:textId="0B1EA474" w:rsidR="00391733" w:rsidRDefault="00CB66A7" w:rsidP="00391733">
      <w:pPr>
        <w:pStyle w:val="ListParagraph"/>
        <w:numPr>
          <w:ilvl w:val="0"/>
          <w:numId w:val="5"/>
        </w:numPr>
      </w:pPr>
      <w:r>
        <w:t>Perform compliance audits and policy reviews</w:t>
      </w:r>
    </w:p>
    <w:p w14:paraId="2155EF74" w14:textId="44712873" w:rsidR="00CB66A7" w:rsidRDefault="00CB66A7" w:rsidP="00391733">
      <w:pPr>
        <w:pStyle w:val="ListParagraph"/>
        <w:numPr>
          <w:ilvl w:val="0"/>
          <w:numId w:val="5"/>
        </w:numPr>
      </w:pPr>
      <w:r>
        <w:t>Resilience testing of current systems</w:t>
      </w:r>
    </w:p>
    <w:p w14:paraId="094BE233" w14:textId="128407BB" w:rsidR="00CB66A7" w:rsidRDefault="00CB66A7" w:rsidP="00391733">
      <w:pPr>
        <w:pStyle w:val="ListParagraph"/>
        <w:numPr>
          <w:ilvl w:val="0"/>
          <w:numId w:val="5"/>
        </w:numPr>
      </w:pPr>
      <w:r>
        <w:lastRenderedPageBreak/>
        <w:t xml:space="preserve">Staff awareness training </w:t>
      </w:r>
    </w:p>
    <w:p w14:paraId="3FF304A9" w14:textId="2481735B" w:rsidR="00CB66A7" w:rsidRDefault="00CB66A7" w:rsidP="00CB66A7">
      <w:r>
        <w:t xml:space="preserve">Conclusions determined in Task 1 identified that Zero Trust is a security strategy and not an individual technical solution, so continuous improvement is necessary for an adaptive threat landscape and </w:t>
      </w:r>
      <w:r w:rsidR="00A17327">
        <w:t>maintain compliance with GDPR and DORA.</w:t>
      </w:r>
    </w:p>
    <w:p w14:paraId="4E2D1E89" w14:textId="4DED6E39" w:rsidR="00FF6350" w:rsidRDefault="00FF6350" w:rsidP="00FF6350">
      <w:pPr>
        <w:pStyle w:val="Heading2"/>
      </w:pPr>
      <w:bookmarkStart w:id="17" w:name="_Toc236142121"/>
      <w:r w:rsidRPr="00FF6350">
        <w:t>Technical Standards and Architecture</w:t>
      </w:r>
      <w:bookmarkEnd w:id="17"/>
    </w:p>
    <w:p w14:paraId="67E68113" w14:textId="19A79B1F" w:rsidR="00A17327" w:rsidRDefault="00A17327" w:rsidP="00A17327">
      <w:r>
        <w:t xml:space="preserve">The research concluded that Zero Trust is the most effective strategy in the modern landscape, but how it is structurally implemented depends on organisational factors. Aegis FinTech will adopt the NIST Cybersecurity Framework, which </w:t>
      </w:r>
      <w:r w:rsidR="00F957B4">
        <w:t>provides a systematic framework to build a Zero Trust environment through continuous verification, monitoring and identity controls.</w:t>
      </w:r>
    </w:p>
    <w:p w14:paraId="1DB9784A" w14:textId="2F9A033E" w:rsidR="00F957B4" w:rsidRDefault="00D900EA" w:rsidP="00A17327">
      <w:r>
        <w:rPr>
          <w:noProof/>
        </w:rPr>
        <mc:AlternateContent>
          <mc:Choice Requires="wps">
            <w:drawing>
              <wp:anchor distT="0" distB="0" distL="114300" distR="114300" simplePos="0" relativeHeight="251660288" behindDoc="0" locked="0" layoutInCell="1" allowOverlap="1" wp14:anchorId="1B8DA914" wp14:editId="064EE29C">
                <wp:simplePos x="0" y="0"/>
                <wp:positionH relativeFrom="column">
                  <wp:posOffset>2179320</wp:posOffset>
                </wp:positionH>
                <wp:positionV relativeFrom="paragraph">
                  <wp:posOffset>11430</wp:posOffset>
                </wp:positionV>
                <wp:extent cx="731520" cy="335280"/>
                <wp:effectExtent l="0" t="0" r="11430" b="26670"/>
                <wp:wrapNone/>
                <wp:docPr id="785028027" name="Rectangle 5"/>
                <wp:cNvGraphicFramePr/>
                <a:graphic xmlns:a="http://schemas.openxmlformats.org/drawingml/2006/main">
                  <a:graphicData uri="http://schemas.microsoft.com/office/word/2010/wordprocessingShape">
                    <wps:wsp>
                      <wps:cNvSpPr/>
                      <wps:spPr>
                        <a:xfrm>
                          <a:off x="0" y="0"/>
                          <a:ext cx="731520" cy="33528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F5D8AAD" w14:textId="57574919" w:rsidR="00D900EA" w:rsidRPr="00D900EA" w:rsidRDefault="00D900EA" w:rsidP="00D900EA">
                            <w:pPr>
                              <w:jc w:val="center"/>
                              <w:rPr>
                                <w:lang w:val="en-US"/>
                              </w:rPr>
                            </w:pPr>
                            <w:r>
                              <w:rPr>
                                <w:lang w:val="en-US"/>
                              </w:rPr>
                              <w:t>Users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8DA914" id="Rectangle 5" o:spid="_x0000_s1030" style="position:absolute;margin-left:171.6pt;margin-top:.9pt;width:57.6pt;height:26.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iLZVwIAAP0EAAAOAAAAZHJzL2Uyb0RvYy54bWysVE1v2zAMvQ/YfxB0Xx2n6doFdYogRYcB&#10;RRs0HXpWZKkxJosapcTOfv0o2XGzLqdhF5kS+fj56OubtjZsp9BXYAuen404U1ZCWdnXgn9/vvt0&#10;xZkPwpbCgFUF3yvPb2YfP1w3bqrGsAFTKmTkxPpp4wq+CcFNs8zLjaqFPwOnLCk1YC0CXfE1K1E0&#10;5L022Xg0+pw1gKVDkMp7er3tlHyW/GutZHjU2qvATMEpt5BOTOc6ntnsWkxfUbhNJfs0xD9kUYvK&#10;UtDB1a0Igm2x+stVXUkEDzqcSagz0LqSKtVA1eSjd9WsNsKpVAs1x7uhTf7/uZUPu5VbIrWhcX7q&#10;SYxVtBrr+KX8WJuatR+apdrAJD1enucXY2qpJNX5+cX4KjUzewM79OGrgppFoeBIs0gtErt7Hygg&#10;mR5M6PIWPklhb1TMwNgnpVlVUsBxQidmqIVBthM0UyGlsiGPcyR/yTrCdGXMAMxPAc0A6m0jTCXG&#10;DMDRKeCfEQdEigo2DOC6soCnHJQ/Dunqzv5QfVdzLD+065aKjjX3k1lDuV8iQ+gY7J28q6it98KH&#10;pUCiLE2C1jA80qENNAWHXuJsA/jr1Hu0JyaRlrOGVqDg/udWoOLMfLPEsS/5ZBJ3Jl0mF5dx2nis&#10;WR9r7LZeAE0kp4V3MonRPpiDqBHqF9rWeYxKKmElxS64DHi4LEK3mrTvUs3nyYz2xIlwb1dORuex&#10;z5E2z+2LQNdzKxApH+CwLmL6jmKdbURamG8D6CrxL3a662s/AdqxRKP+fxCX+PierN7+WrPfAAAA&#10;//8DAFBLAwQUAAYACAAAACEAlbY4+twAAAAIAQAADwAAAGRycy9kb3ducmV2LnhtbEyPQU+DQBCF&#10;7yb+h82YeLOLQAlBlqYxMfGgiVbjeQojoOwsYbdA/73jSY+T7+XN98rdagc10+R7xwZuNxEo4to1&#10;PbcG3t8ebnJQPiA3ODgmA2fysKsuL0osGrfwK82H0CopYV+ggS6EsdDa1x1Z9Bs3Egv7dJPFIOfU&#10;6mbCRcrtoOMoyrTFnuVDhyPdd1R/H07WgPvSc9Y+feyTR8yT59W/2Pi8GHN9te7vQAVaw18YfvVF&#10;HSpxOroTN14NBpI0iSUqQBYIT7d5CupoYJtmoKtS/x9Q/QAAAP//AwBQSwECLQAUAAYACAAAACEA&#10;toM4kv4AAADhAQAAEwAAAAAAAAAAAAAAAAAAAAAAW0NvbnRlbnRfVHlwZXNdLnhtbFBLAQItABQA&#10;BgAIAAAAIQA4/SH/1gAAAJQBAAALAAAAAAAAAAAAAAAAAC8BAABfcmVscy8ucmVsc1BLAQItABQA&#10;BgAIAAAAIQDVGiLZVwIAAP0EAAAOAAAAAAAAAAAAAAAAAC4CAABkcnMvZTJvRG9jLnhtbFBLAQIt&#10;ABQABgAIAAAAIQCVtjj63AAAAAgBAAAPAAAAAAAAAAAAAAAAALEEAABkcnMvZG93bnJldi54bWxQ&#10;SwUGAAAAAAQABADzAAAAugUAAAAA&#10;" fillcolor="white [3201]" strokecolor="#156082 [3204]" strokeweight="1pt">
                <v:textbox>
                  <w:txbxContent>
                    <w:p w14:paraId="4F5D8AAD" w14:textId="57574919" w:rsidR="00D900EA" w:rsidRPr="00D900EA" w:rsidRDefault="00D900EA" w:rsidP="00D900EA">
                      <w:pPr>
                        <w:jc w:val="center"/>
                        <w:rPr>
                          <w:lang w:val="en-US"/>
                        </w:rPr>
                      </w:pPr>
                      <w:r>
                        <w:rPr>
                          <w:lang w:val="en-US"/>
                        </w:rPr>
                        <w:t>Users</w:t>
                      </w:r>
                    </w:p>
                  </w:txbxContent>
                </v:textbox>
              </v:rect>
            </w:pict>
          </mc:Fallback>
        </mc:AlternateContent>
      </w:r>
    </w:p>
    <w:p w14:paraId="0D508892" w14:textId="1A078859" w:rsidR="00D900EA" w:rsidRDefault="00225430" w:rsidP="00A17327">
      <w:r>
        <w:rPr>
          <w:noProof/>
        </w:rPr>
        <mc:AlternateContent>
          <mc:Choice Requires="wps">
            <w:drawing>
              <wp:anchor distT="0" distB="0" distL="114300" distR="114300" simplePos="0" relativeHeight="251669504" behindDoc="0" locked="0" layoutInCell="1" allowOverlap="1" wp14:anchorId="2E0676C1" wp14:editId="004B880E">
                <wp:simplePos x="0" y="0"/>
                <wp:positionH relativeFrom="column">
                  <wp:posOffset>2545080</wp:posOffset>
                </wp:positionH>
                <wp:positionV relativeFrom="paragraph">
                  <wp:posOffset>53340</wp:posOffset>
                </wp:positionV>
                <wp:extent cx="0" cy="297180"/>
                <wp:effectExtent l="0" t="0" r="38100" b="26670"/>
                <wp:wrapNone/>
                <wp:docPr id="1748536553" name="Straight Connector 17"/>
                <wp:cNvGraphicFramePr/>
                <a:graphic xmlns:a="http://schemas.openxmlformats.org/drawingml/2006/main">
                  <a:graphicData uri="http://schemas.microsoft.com/office/word/2010/wordprocessingShape">
                    <wps:wsp>
                      <wps:cNvCnPr/>
                      <wps:spPr>
                        <a:xfrm>
                          <a:off x="0" y="0"/>
                          <a:ext cx="0" cy="297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BF5F64" id="Straight Connector 1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00.4pt,4.2pt" to="200.4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fTomAEAAIcDAAAOAAAAZHJzL2Uyb0RvYy54bWysU8tu2zAQvAfIPxC8x5J8aBPBcg4JkkvQ&#10;Bm3yAQy1tIjwhSVjyX/fJW3LRVsUQZALxcfO7M7sanU9WcO2gFF71/FmUXMGTvpeu03Hn5/uLi45&#10;i0m4XhjvoOM7iPx6fX62GkMLSz940wMyInGxHUPHh5RCW1VRDmBFXPgAjh6VRysSHXFT9ShGYrem&#10;Wtb1l2r02Af0EmKk29v9I18XfqVApu9KRUjMdJxqS2XFsr7ktVqvRLtBEQYtD2WID1RhhXaUdKa6&#10;FUmwN9R/UVkt0Uev0kJ6W3mltISigdQ09R9qfg4iQNFC5sQw2xQ/j1Z+2964RyQbxhDbGB4xq5gU&#10;2vyl+thUzNrNZsGUmNxfSrpdXn1tLouP1QkXMKZ78JblTceNdlmGaMX2ISbKRaHHEDqcMpdd2hnI&#10;wcb9AMV0T7magi5DATcG2VZQO/vXJrePuEpkhihtzAyq/w86xGYYlEF5L3COLhm9SzPQaufxX1nT&#10;dCxV7eOPqvdas+wX3+9KH4od1O2i7DCZeZx+Pxf46f9Z/wIAAP//AwBQSwMEFAAGAAgAAAAhABvR&#10;c7XbAAAACAEAAA8AAABkcnMvZG93bnJldi54bWxMj0FLAzEUhO+C/yE8wZtNXNpS1n1bSkHEi9it&#10;3tNNml1NXpYku13/vREPehxmmPmm2s7OskmH2HtCuF8IYJpar3oyCG/Hx7sNsJgkKWk9aYQvHWFb&#10;X19VslT+Qgc9NcmwXEKxlAhdSkPJeWw77WRc+EFT9s4+OJmyDIarIC+53FleCLHmTvaUFzo56H2n&#10;289mdAj2OUzvZm92cXw6rJuP13PxcpwQb2/m3QOwpOf0F4Yf/IwOdWY6+ZFUZBZhKURGTwibJbDs&#10;/+oTwmpVAK8r/v9A/Q0AAP//AwBQSwECLQAUAAYACAAAACEAtoM4kv4AAADhAQAAEwAAAAAAAAAA&#10;AAAAAAAAAAAAW0NvbnRlbnRfVHlwZXNdLnhtbFBLAQItABQABgAIAAAAIQA4/SH/1gAAAJQBAAAL&#10;AAAAAAAAAAAAAAAAAC8BAABfcmVscy8ucmVsc1BLAQItABQABgAIAAAAIQCL9fTomAEAAIcDAAAO&#10;AAAAAAAAAAAAAAAAAC4CAABkcnMvZTJvRG9jLnhtbFBLAQItABQABgAIAAAAIQAb0XO12wAAAAgB&#10;AAAPAAAAAAAAAAAAAAAAAPIDAABkcnMvZG93bnJldi54bWxQSwUGAAAAAAQABADzAAAA+gQAAAAA&#10;" strokecolor="black [3200]" strokeweight=".5pt">
                <v:stroke joinstyle="miter"/>
              </v:line>
            </w:pict>
          </mc:Fallback>
        </mc:AlternateContent>
      </w:r>
    </w:p>
    <w:p w14:paraId="7BCC28C8" w14:textId="7A47B411" w:rsidR="00D900EA" w:rsidRDefault="00D900EA" w:rsidP="00A17327">
      <w:r>
        <w:rPr>
          <w:noProof/>
        </w:rPr>
        <mc:AlternateContent>
          <mc:Choice Requires="wps">
            <w:drawing>
              <wp:anchor distT="0" distB="0" distL="114300" distR="114300" simplePos="0" relativeHeight="251661312" behindDoc="0" locked="0" layoutInCell="1" allowOverlap="1" wp14:anchorId="6A152FDC" wp14:editId="45E0E041">
                <wp:simplePos x="0" y="0"/>
                <wp:positionH relativeFrom="column">
                  <wp:posOffset>1767840</wp:posOffset>
                </wp:positionH>
                <wp:positionV relativeFrom="paragraph">
                  <wp:posOffset>34290</wp:posOffset>
                </wp:positionV>
                <wp:extent cx="1539240" cy="510540"/>
                <wp:effectExtent l="0" t="0" r="22860" b="22860"/>
                <wp:wrapNone/>
                <wp:docPr id="2059175254" name="Rectangle 6"/>
                <wp:cNvGraphicFramePr/>
                <a:graphic xmlns:a="http://schemas.openxmlformats.org/drawingml/2006/main">
                  <a:graphicData uri="http://schemas.microsoft.com/office/word/2010/wordprocessingShape">
                    <wps:wsp>
                      <wps:cNvSpPr/>
                      <wps:spPr>
                        <a:xfrm>
                          <a:off x="0" y="0"/>
                          <a:ext cx="1539240" cy="510540"/>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3DDFA3F1" w14:textId="77777777" w:rsidR="00D900EA" w:rsidRPr="00D900EA" w:rsidRDefault="00D900EA" w:rsidP="00D900EA">
                            <w:pPr>
                              <w:jc w:val="center"/>
                              <w:rPr>
                                <w:lang w:val="en-US"/>
                              </w:rPr>
                            </w:pPr>
                            <w:r>
                              <w:rPr>
                                <w:lang w:val="en-US"/>
                              </w:rPr>
                              <w:t xml:space="preserve">Identity Governance &amp; </w:t>
                            </w:r>
                            <w:r>
                              <w:rPr>
                                <w:lang w:val="en-US"/>
                              </w:rPr>
                              <w:t>MFA</w:t>
                            </w:r>
                          </w:p>
                          <w:p w14:paraId="69420EDC" w14:textId="47A135E2" w:rsidR="00D900EA" w:rsidRPr="00D900EA" w:rsidRDefault="00D900EA" w:rsidP="00D900EA">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52FDC" id="Rectangle 6" o:spid="_x0000_s1031" style="position:absolute;margin-left:139.2pt;margin-top:2.7pt;width:121.2pt;height:4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M/YQIAACUFAAAOAAAAZHJzL2Uyb0RvYy54bWysVFFr2zAQfh/sPwi9r7bTZFtDnRJaOgal&#10;LWtHnxVZqg2ypJ0usbNfv5PsOKUrG4y92Cfd3XenT9/p/KJvDdspCI2zJS9Ocs6Ula5q7HPJvz9e&#10;f/jMWUBhK2GcVSXfq8AvVu/fnXd+qWaudqZSwAjEhmXnS14j+mWWBVmrVoQT55Ulp3bQCqQlPGcV&#10;iI7QW5PN8vxj1jmoPDipQqDdq8HJVwlfayXxTuugkJmSU2+YvpC+m/jNVudi+QzC140c2xD/0EUr&#10;GktFJ6grgYJtofkNqm0kuOA0nkjXZk7rRqp0BjpNkb86zUMtvEpnIXKCn2gK/w9W3u4e/D0QDZ0P&#10;y0BmPEWvoY1/6o/1iaz9RJbqkUnaLBanZ7M5cSrJtyjyBdkEkx2zPQT8olzLolFyoMtIHIndTcAh&#10;9BBCecf6ycK9UbEFY78pzZqKKs5SdpKGujTAdoIuVUipLM4HVy0qNWwXizw/9DNlpO4SYETWjTET&#10;dvEn7KHXMT6mqqSsKTn/e/KUkSo7i1Ny21gHbwEYLEZC9RB/IGmgJrKE/aYnbkp+GiPjzsZV+3tg&#10;4AalBy+vG2L/RgS8F0DSpgujccU7+mjjupK70eKsdvDzrf0YT4ojL2cdjUrJw4+tAMWZ+WpJi2fF&#10;POoA02K++DSjBbz0bF567La9dHRxBT0MXiYzxqM5mBpc+0RTvY5VySWspNollwiHxSUOI0zvglTr&#10;dQqjefICb+yDlxE88hzV9dg/CfCjBJHEe+sOYyWWr5Q4xMZM69ZbdLpJMj3yOt4AzWKS0vhuxGF/&#10;uU5Rx9dt9QsAAP//AwBQSwMEFAAGAAgAAAAhAPqXPgDdAAAACAEAAA8AAABkcnMvZG93bnJldi54&#10;bWxMj81OwzAQhO9IvIO1SNyoTUogCnEqVAkJOLTQlvsmNkmE/4idNrw9ywlOq9GMZr+pVrM17KjH&#10;OHgn4XohgGnXejW4TsJh/3hVAIsJnULjnZbwrSOs6vOzCkvlT+5NH3epY1TiYokS+pRCyXlse20x&#10;LnzQjrwPP1pMJMeOqxFPVG4Nz4S45RYHRx96DHrd6/ZzN1kJ2BhcxtfJbp/WXy/L57B5D2Ij5eXF&#10;/HAPLOk5/YXhF5/QoSamxk9ORWYkZHfFDUUl5HTIzzNBUxoJRV4Aryv+f0D9AwAA//8DAFBLAQIt&#10;ABQABgAIAAAAIQC2gziS/gAAAOEBAAATAAAAAAAAAAAAAAAAAAAAAABbQ29udGVudF9UeXBlc10u&#10;eG1sUEsBAi0AFAAGAAgAAAAhADj9If/WAAAAlAEAAAsAAAAAAAAAAAAAAAAALwEAAF9yZWxzLy5y&#10;ZWxzUEsBAi0AFAAGAAgAAAAhAO4d4z9hAgAAJQUAAA4AAAAAAAAAAAAAAAAALgIAAGRycy9lMm9E&#10;b2MueG1sUEsBAi0AFAAGAAgAAAAhAPqXPgDdAAAACAEAAA8AAAAAAAAAAAAAAAAAuwQAAGRycy9k&#10;b3ducmV2LnhtbFBLBQYAAAAABAAEAPMAAADFBQAAAAA=&#10;" fillcolor="#0f9ed5 [3207]" strokecolor="#02171f [487]" strokeweight="1pt">
                <v:textbox>
                  <w:txbxContent>
                    <w:p w14:paraId="3DDFA3F1" w14:textId="77777777" w:rsidR="00D900EA" w:rsidRPr="00D900EA" w:rsidRDefault="00D900EA" w:rsidP="00D900EA">
                      <w:pPr>
                        <w:jc w:val="center"/>
                        <w:rPr>
                          <w:lang w:val="en-US"/>
                        </w:rPr>
                      </w:pPr>
                      <w:r>
                        <w:rPr>
                          <w:lang w:val="en-US"/>
                        </w:rPr>
                        <w:t xml:space="preserve">Identity Governance &amp; </w:t>
                      </w:r>
                      <w:r>
                        <w:rPr>
                          <w:lang w:val="en-US"/>
                        </w:rPr>
                        <w:t>MFA</w:t>
                      </w:r>
                    </w:p>
                    <w:p w14:paraId="69420EDC" w14:textId="47A135E2" w:rsidR="00D900EA" w:rsidRPr="00D900EA" w:rsidRDefault="00D900EA" w:rsidP="00D900EA">
                      <w:pPr>
                        <w:jc w:val="center"/>
                        <w:rPr>
                          <w:lang w:val="en-US"/>
                        </w:rPr>
                      </w:pPr>
                    </w:p>
                  </w:txbxContent>
                </v:textbox>
              </v:rect>
            </w:pict>
          </mc:Fallback>
        </mc:AlternateContent>
      </w:r>
    </w:p>
    <w:p w14:paraId="1F9E2766" w14:textId="3471BCB8" w:rsidR="00D900EA" w:rsidRDefault="00225430" w:rsidP="00A17327">
      <w:r>
        <w:rPr>
          <w:noProof/>
        </w:rPr>
        <mc:AlternateContent>
          <mc:Choice Requires="wps">
            <w:drawing>
              <wp:anchor distT="0" distB="0" distL="114300" distR="114300" simplePos="0" relativeHeight="251674624" behindDoc="0" locked="0" layoutInCell="1" allowOverlap="1" wp14:anchorId="0A61B6E3" wp14:editId="69D038E0">
                <wp:simplePos x="0" y="0"/>
                <wp:positionH relativeFrom="column">
                  <wp:posOffset>2552700</wp:posOffset>
                </wp:positionH>
                <wp:positionV relativeFrom="paragraph">
                  <wp:posOffset>266700</wp:posOffset>
                </wp:positionV>
                <wp:extent cx="0" cy="243840"/>
                <wp:effectExtent l="0" t="0" r="38100" b="22860"/>
                <wp:wrapNone/>
                <wp:docPr id="574794576" name="Straight Connector 22"/>
                <wp:cNvGraphicFramePr/>
                <a:graphic xmlns:a="http://schemas.openxmlformats.org/drawingml/2006/main">
                  <a:graphicData uri="http://schemas.microsoft.com/office/word/2010/wordprocessingShape">
                    <wps:wsp>
                      <wps:cNvCnPr/>
                      <wps:spPr>
                        <a:xfrm>
                          <a:off x="0" y="0"/>
                          <a:ext cx="0" cy="243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C4D486" id="Straight Connector 2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01pt,21pt" to="201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MHBmAEAAIcDAAAOAAAAZHJzL2Uyb0RvYy54bWysU9uO0zAQfUfiHyy/06RlhVZR033YFbwg&#10;WHH5AK8zbix809g06d8znrYpWhBCiBfHlzln5pyZbO9m78QBMNsYerletVJA0HGwYd/Lr1/evrqV&#10;IhcVBuVigF4eIcu73csX2yl1sIljdAOgIJKQuyn1ciwldU2T9Qhe5VVMEOjRRPSq0BH3zYBqInbv&#10;mk3bvmmmiEPCqCFnun04Pcod8xsDunw0JkMRrpdUW+EVeX2qa7Pbqm6PKo1Wn8tQ/1CFVzZQ0oXq&#10;QRUlvqP9hcpbjTFHU1Y6+iYaYzWwBlKzbp+p+TyqBKyFzMlpsSn/P1r94XAfHpFsmFLucnrEqmI2&#10;6OuX6hMzm3VczIK5CH261HS7uXl9e8M+NldcwlzeQfSibnrpbKgyVKcO73OhXBR6CaHDNTPvytFB&#10;DXbhExhhB8q1ZjQPBdw7FAdF7Ry+rWv7iIsjK8RY5xZQ+2fQObbCgAflb4FLNGeMoSxAb0PE32Ut&#10;86VUc4q/qD5prbKf4nDkPrAd1G1Wdp7MOk4/nxl+/X92PwAAAP//AwBQSwMEFAAGAAgAAAAhAEz6&#10;pAnbAAAACQEAAA8AAABkcnMvZG93bnJldi54bWxMj19LwzAUxd8Fv0O4gm8usYwxatMxBiK+iOvm&#10;e9bcpdXkpiRpV7+9GT7o0/13OPd3qs3sLJswxN6ThMeFAIbUet2TkXA8PD+sgcWkSCvrCSV8Y4RN&#10;fXtTqVL7C+1xapJh2YRiqSR0KQ0l57Ht0Km48ANSvp19cCrlMRiug7pkc2d5IcSKO9VT/tCpAXcd&#10;tl/N6CTY1zB9mJ3ZxvFlv2o+38/F22GS8v5u3j4BSzinPzFc8TM61Jnp5EfSkVkJS1HkLCk315oF&#10;v4uThLVYAq8r/j9B/QMAAP//AwBQSwECLQAUAAYACAAAACEAtoM4kv4AAADhAQAAEwAAAAAAAAAA&#10;AAAAAAAAAAAAW0NvbnRlbnRfVHlwZXNdLnhtbFBLAQItABQABgAIAAAAIQA4/SH/1gAAAJQBAAAL&#10;AAAAAAAAAAAAAAAAAC8BAABfcmVscy8ucmVsc1BLAQItABQABgAIAAAAIQCCkMHBmAEAAIcDAAAO&#10;AAAAAAAAAAAAAAAAAC4CAABkcnMvZTJvRG9jLnhtbFBLAQItABQABgAIAAAAIQBM+qQJ2wAAAAkB&#10;AAAPAAAAAAAAAAAAAAAAAPIDAABkcnMvZG93bnJldi54bWxQSwUGAAAAAAQABADzAAAA+gQAAAAA&#10;" strokecolor="black [3200]" strokeweight=".5pt">
                <v:stroke joinstyle="miter"/>
              </v:line>
            </w:pict>
          </mc:Fallback>
        </mc:AlternateContent>
      </w:r>
    </w:p>
    <w:p w14:paraId="4B99F358" w14:textId="39F13C68" w:rsidR="00D900EA" w:rsidRDefault="00D900EA" w:rsidP="00A17327">
      <w:r>
        <w:rPr>
          <w:noProof/>
        </w:rPr>
        <mc:AlternateContent>
          <mc:Choice Requires="wps">
            <w:drawing>
              <wp:anchor distT="0" distB="0" distL="114300" distR="114300" simplePos="0" relativeHeight="251662336" behindDoc="0" locked="0" layoutInCell="1" allowOverlap="1" wp14:anchorId="76A72391" wp14:editId="1004C0F9">
                <wp:simplePos x="0" y="0"/>
                <wp:positionH relativeFrom="column">
                  <wp:posOffset>1760220</wp:posOffset>
                </wp:positionH>
                <wp:positionV relativeFrom="paragraph">
                  <wp:posOffset>224790</wp:posOffset>
                </wp:positionV>
                <wp:extent cx="1569720" cy="541020"/>
                <wp:effectExtent l="0" t="0" r="11430" b="11430"/>
                <wp:wrapNone/>
                <wp:docPr id="674731534" name="Rectangle 8"/>
                <wp:cNvGraphicFramePr/>
                <a:graphic xmlns:a="http://schemas.openxmlformats.org/drawingml/2006/main">
                  <a:graphicData uri="http://schemas.microsoft.com/office/word/2010/wordprocessingShape">
                    <wps:wsp>
                      <wps:cNvSpPr/>
                      <wps:spPr>
                        <a:xfrm>
                          <a:off x="0" y="0"/>
                          <a:ext cx="1569720" cy="54102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6ADDEAB9" w14:textId="443824F8" w:rsidR="00D900EA" w:rsidRPr="00D900EA" w:rsidRDefault="00D900EA" w:rsidP="00D900EA">
                            <w:pPr>
                              <w:jc w:val="center"/>
                              <w:rPr>
                                <w:lang w:val="en-US"/>
                              </w:rPr>
                            </w:pPr>
                            <w:r>
                              <w:rPr>
                                <w:lang w:val="en-US"/>
                              </w:rPr>
                              <w:t>Policy &amp; Continuous Verification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A72391" id="Rectangle 8" o:spid="_x0000_s1032" style="position:absolute;margin-left:138.6pt;margin-top:17.7pt;width:123.6pt;height:4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p+YwIAABkFAAAOAAAAZHJzL2Uyb0RvYy54bWysVMFu2zAMvQ/YPwi6r7aDpFuDOkXQosOA&#10;oi3WDj0rslQbk0WNUmJnXz9Kdpyu6y7DLjYlko/U06POL/rWsJ1C34AteXGSc6ashKqxzyX/9nj9&#10;4RNnPghbCQNWlXyvPL9YvX933rmlmkENplLICMT6ZedKXofgllnmZa1a4U/AKUtODdiKQEt8zioU&#10;HaG3Jpvl+WnWAVYOQSrvafdqcPJVwtdayXCntVeBmZJTbyF9MX038ZutzsXyGYWrGzm2If6hi1Y0&#10;lopOUFciCLbF5g+otpEIHnQ4kdBmoHUjVToDnabIX53moRZOpbMQOd5NNPn/Bytvdw/uHomGzvml&#10;JzOeotfYxj/1x/pE1n4iS/WBSdosFqdnH2fEqSTfYl7kZBNMdsx26MNnBS2LRsmRLiNxJHY3Pgyh&#10;hxDKO9ZPVtgbFVsw9qvSrKmo4ixlJ2moS4NsJ+hSq+/FsF2LSg1bxSLPD71M0amzBBZRdWPMhDsC&#10;RMn9jjv0OMbGNJUUNSXmf2toSJyiU0WwYUpsGwv4VrIJxUiiHuIPxAx0RGZCv+mJj5LPY2Tc2UC1&#10;v0eGMKjbO3ndEOM3wod7gSRnuiQa0XBHH22gKzmMFmc14M+39mM8qYy8nHU0HiX3P7YCFWfmiyX9&#10;nRXzeZyntJgvkhDwpWfz0mO37SXQZRX0GDiZTErGYA6mRmifaJLXsSq5hJVUu+Qy4GFxGYaxpbdA&#10;qvU6hdEMORFu7IOTETzyHBX12D8JdKPsAgn2Fg6jJJav1DfExkwL620A3SRpHnkdb4DmL0lofCvi&#10;gL9cp6jji7b6BQAA//8DAFBLAwQUAAYACAAAACEAyuJly98AAAAKAQAADwAAAGRycy9kb3ducmV2&#10;LnhtbEyPy07DMBBF90j8gzVIbFBrk75QiFMhpIgdKIFFl65tnIh4HGI3Tf+eYQW7Gc3RnXOL/ex7&#10;NtkxdgEl3C8FMIs6mA6dhI/3avEALCaFRvUBrYSLjbAvr68KlZtwxtpOTXKMQjDmSkKb0pBzHnVr&#10;vYrLMFik22cYvUq0jo6bUZ0p3Pc8E2LLveqQPrRqsM+t1V/NyUuYRF25g7686Kr5dnf169sK9STl&#10;7c389Ags2Tn9wfCrT+pQktMxnNBE1kvIdruMUAmrzRoYAZtsTcORyExsgZcF/1+h/AEAAP//AwBQ&#10;SwECLQAUAAYACAAAACEAtoM4kv4AAADhAQAAEwAAAAAAAAAAAAAAAAAAAAAAW0NvbnRlbnRfVHlw&#10;ZXNdLnhtbFBLAQItABQABgAIAAAAIQA4/SH/1gAAAJQBAAALAAAAAAAAAAAAAAAAAC8BAABfcmVs&#10;cy8ucmVsc1BLAQItABQABgAIAAAAIQAngLp+YwIAABkFAAAOAAAAAAAAAAAAAAAAAC4CAABkcnMv&#10;ZTJvRG9jLnhtbFBLAQItABQABgAIAAAAIQDK4mXL3wAAAAoBAAAPAAAAAAAAAAAAAAAAAL0EAABk&#10;cnMvZG93bnJldi54bWxQSwUGAAAAAAQABADzAAAAyQUAAAAA&#10;" fillcolor="black [3200]" strokecolor="black [480]" strokeweight="1pt">
                <v:textbox>
                  <w:txbxContent>
                    <w:p w14:paraId="6ADDEAB9" w14:textId="443824F8" w:rsidR="00D900EA" w:rsidRPr="00D900EA" w:rsidRDefault="00D900EA" w:rsidP="00D900EA">
                      <w:pPr>
                        <w:jc w:val="center"/>
                        <w:rPr>
                          <w:lang w:val="en-US"/>
                        </w:rPr>
                      </w:pPr>
                      <w:r>
                        <w:rPr>
                          <w:lang w:val="en-US"/>
                        </w:rPr>
                        <w:t>Policy &amp; Continuous Verification</w:t>
                      </w:r>
                    </w:p>
                  </w:txbxContent>
                </v:textbox>
              </v:rect>
            </w:pict>
          </mc:Fallback>
        </mc:AlternateContent>
      </w:r>
    </w:p>
    <w:p w14:paraId="22A84217" w14:textId="77777777" w:rsidR="00D900EA" w:rsidRDefault="00D900EA" w:rsidP="00A17327"/>
    <w:p w14:paraId="0274FF05" w14:textId="2FE0E412" w:rsidR="00D900EA" w:rsidRDefault="00225430" w:rsidP="00A17327">
      <w:r>
        <w:rPr>
          <w:noProof/>
        </w:rPr>
        <mc:AlternateContent>
          <mc:Choice Requires="wps">
            <w:drawing>
              <wp:anchor distT="0" distB="0" distL="114300" distR="114300" simplePos="0" relativeHeight="251673600" behindDoc="0" locked="0" layoutInCell="1" allowOverlap="1" wp14:anchorId="619A59A2" wp14:editId="2CE16E10">
                <wp:simplePos x="0" y="0"/>
                <wp:positionH relativeFrom="column">
                  <wp:posOffset>2545080</wp:posOffset>
                </wp:positionH>
                <wp:positionV relativeFrom="paragraph">
                  <wp:posOffset>194945</wp:posOffset>
                </wp:positionV>
                <wp:extent cx="7620" cy="388620"/>
                <wp:effectExtent l="0" t="0" r="30480" b="30480"/>
                <wp:wrapNone/>
                <wp:docPr id="1426873941" name="Straight Connector 21"/>
                <wp:cNvGraphicFramePr/>
                <a:graphic xmlns:a="http://schemas.openxmlformats.org/drawingml/2006/main">
                  <a:graphicData uri="http://schemas.microsoft.com/office/word/2010/wordprocessingShape">
                    <wps:wsp>
                      <wps:cNvCnPr/>
                      <wps:spPr>
                        <a:xfrm>
                          <a:off x="0" y="0"/>
                          <a:ext cx="7620" cy="388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733B04" id="Straight Connector 2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00.4pt,15.35pt" to="201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vPgmgEAAIoDAAAOAAAAZHJzL2Uyb0RvYy54bWysU01P4zAQva+0/8HynSYtElRRUw4guKwW&#10;xO7+AOOMGwvbY9neJv33jN02RewKIcRl4o95b+Y9T1ZXozVsCyFqdC2fz2rOwEnstNu0/M/v27Ml&#10;ZzEJ1wmDDlq+g8iv1t+/rQbfwAJ7NB0ERiQuNoNveZ+Sb6oqyh6siDP04OhSYbAi0TZsqi6Igdit&#10;qRZ1fVENGDofUEKMdHqzv+Trwq8UyHSvVITETMupt1RiKPEpx2q9Es0mCN9reWhDfKILK7SjohPV&#10;jUiC/Q36HyqrZcCIKs0k2gqV0hKKBlIzr9+o+dULD0ULmRP9ZFP8Olr5c3vtHgLZMPjYRP8QsopR&#10;BZu/1B8bi1m7ySwYE5N0eHmxIEMlXZwvl3lNHNUJ6kNMd4CW5UXLjXZZiWjE9kdM+9RjCuFOxcsq&#10;7QzkZOMeQTHdUbl5QZe5gGsT2FbQi3bP80PZkpkhShszger3QYfcDIMyKx8FTtmlIro0Aa12GP5X&#10;NY3HVtU+/6h6rzXLfsJuV56i2EEPXgw9DGeeqNf7Aj/9QusXAAAA//8DAFBLAwQUAAYACAAAACEA&#10;GbcmQt8AAAAJAQAADwAAAGRycy9kb3ducmV2LnhtbEyPwU7DMBBE70j8g7VI3KjdUBWaxqmqSghx&#10;QTSFuxtvnRR7HcVOGv4ec6LH0Yxm3hSbyVk2Yh9aTxLmMwEMqfa6JSPh8/Dy8AwsREVaWU8o4QcD&#10;bMrbm0Ll2l9oj2MVDUslFHIloYmxyzkPdYNOhZnvkJJ38r1TMcnecN2rSyp3lmdCLLlTLaWFRnW4&#10;a7D+rgYnwb7145fZmW0YXvfL6vxxyt4Po5T3d9N2DSziFP/D8Ief0KFMTEc/kA7MSlgIkdCjhEfx&#10;BCwFFiJL544SVvMV8LLg1w/KXwAAAP//AwBQSwECLQAUAAYACAAAACEAtoM4kv4AAADhAQAAEwAA&#10;AAAAAAAAAAAAAAAAAAAAW0NvbnRlbnRfVHlwZXNdLnhtbFBLAQItABQABgAIAAAAIQA4/SH/1gAA&#10;AJQBAAALAAAAAAAAAAAAAAAAAC8BAABfcmVscy8ucmVsc1BLAQItABQABgAIAAAAIQC0GvPgmgEA&#10;AIoDAAAOAAAAAAAAAAAAAAAAAC4CAABkcnMvZTJvRG9jLnhtbFBLAQItABQABgAIAAAAIQAZtyZC&#10;3wAAAAkBAAAPAAAAAAAAAAAAAAAAAPQDAABkcnMvZG93bnJldi54bWxQSwUGAAAAAAQABADzAAAA&#10;AAUAAAAA&#10;" strokecolor="black [3200]" strokeweight=".5pt">
                <v:stroke joinstyle="miter"/>
              </v:line>
            </w:pict>
          </mc:Fallback>
        </mc:AlternateContent>
      </w:r>
    </w:p>
    <w:p w14:paraId="7DE9C462" w14:textId="1C0C9ACB" w:rsidR="00D900EA" w:rsidRDefault="00D900EA" w:rsidP="00A17327"/>
    <w:p w14:paraId="3B9068E5" w14:textId="0AF26B77" w:rsidR="00D900EA" w:rsidRDefault="00225430" w:rsidP="00A17327">
      <w:r>
        <w:rPr>
          <w:noProof/>
        </w:rPr>
        <mc:AlternateContent>
          <mc:Choice Requires="wps">
            <w:drawing>
              <wp:anchor distT="0" distB="0" distL="114300" distR="114300" simplePos="0" relativeHeight="251672576" behindDoc="0" locked="0" layoutInCell="1" allowOverlap="1" wp14:anchorId="11115D98" wp14:editId="5A9239A7">
                <wp:simplePos x="0" y="0"/>
                <wp:positionH relativeFrom="column">
                  <wp:posOffset>2880360</wp:posOffset>
                </wp:positionH>
                <wp:positionV relativeFrom="paragraph">
                  <wp:posOffset>233045</wp:posOffset>
                </wp:positionV>
                <wp:extent cx="480060" cy="0"/>
                <wp:effectExtent l="0" t="0" r="0" b="0"/>
                <wp:wrapNone/>
                <wp:docPr id="476098656" name="Straight Connector 20"/>
                <wp:cNvGraphicFramePr/>
                <a:graphic xmlns:a="http://schemas.openxmlformats.org/drawingml/2006/main">
                  <a:graphicData uri="http://schemas.microsoft.com/office/word/2010/wordprocessingShape">
                    <wps:wsp>
                      <wps:cNvCnPr/>
                      <wps:spPr>
                        <a:xfrm>
                          <a:off x="0" y="0"/>
                          <a:ext cx="4800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09E134" id="Straight Connector 20"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26.8pt,18.35pt" to="264.6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VKLmAEAAIcDAAAOAAAAZHJzL2Uyb0RvYy54bWysU8tu2zAQvBfIPxC815KDoAgEyzkkaC9B&#10;G/TxAQy1tIiSXGLJWPLfd0nbctEURVH0QvExs7szu9rczd6JPVCyGHq5XrVSQNA42LDr5bev79/e&#10;SpGyCoNyGKCXB0jybnv1ZjPFDq5xRDcACQ4SUjfFXo45x65pkh7Bq7TCCIEfDZJXmY+0awZSE0f3&#10;rrlu23fNhDREQg0p8e3D8VFua3xjQOdPxiTIwvWSa8t1pbo+l7XZblS3IxVHq09lqH+owisbOOkS&#10;6kFlJV7IvgrlrSZMaPJKo2/QGKuhamA16/YXNV9GFaFqYXNSXGxK/y+s/ri/D0/ENkwxdSk+UVEx&#10;G/Lly/WJuZp1WMyCOQvNlze3bD9bqs9PzYUXKeUPgF6UTS+dDUWG6tT+MWXOxdAzhA+XzHWXDw4K&#10;2IXPYIQdONe6sutQwL0jsVfczuH7urSPY1VkoRjr3EJq/0w6YQsN6qD8LXFB14wY8kL0NiD9Lmue&#10;z6WaI/6s+qi1yH7G4VD7UO3gbldlp8ks4/TzudIv/8/2BwAAAP//AwBQSwMEFAAGAAgAAAAhAMwg&#10;eHjeAAAACQEAAA8AAABkcnMvZG93bnJldi54bWxMj8FOwzAMhu9IvENkJG4spWMFStNpmoQQF8Q6&#10;uGeNlxYSp0rSrrw9QRzgaPvT7++v1rM1bEIfekcCrhcZMKTWqZ60gLf949UdsBAlKWkcoYAvDLCu&#10;z88qWSp3oh1OTdQshVAopYAuxqHkPLQdWhkWbkBKt6PzVsY0es2Vl6cUbg3Ps6zgVvaUPnRywG2H&#10;7WczWgHm2U/veqs3YXzaFc3H6zF/2U9CXF7MmwdgEef4B8OPflKHOjkd3EgqMCPgZrUsEipgWdwC&#10;S8Aqv8+BHX4XvK74/wb1NwAAAP//AwBQSwECLQAUAAYACAAAACEAtoM4kv4AAADhAQAAEwAAAAAA&#10;AAAAAAAAAAAAAAAAW0NvbnRlbnRfVHlwZXNdLnhtbFBLAQItABQABgAIAAAAIQA4/SH/1gAAAJQB&#10;AAALAAAAAAAAAAAAAAAAAC8BAABfcmVscy8ucmVsc1BLAQItABQABgAIAAAAIQCtZVKLmAEAAIcD&#10;AAAOAAAAAAAAAAAAAAAAAC4CAABkcnMvZTJvRG9jLnhtbFBLAQItABQABgAIAAAAIQDMIHh43gAA&#10;AAkBAAAPAAAAAAAAAAAAAAAAAPIDAABkcnMvZG93bnJldi54bWxQSwUGAAAAAAQABADzAAAA/QQA&#10;AAAA&#10;" strokecolor="black [3200]"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0A6111EF" wp14:editId="76DCDAB2">
                <wp:simplePos x="0" y="0"/>
                <wp:positionH relativeFrom="column">
                  <wp:posOffset>1592580</wp:posOffset>
                </wp:positionH>
                <wp:positionV relativeFrom="paragraph">
                  <wp:posOffset>233045</wp:posOffset>
                </wp:positionV>
                <wp:extent cx="617220" cy="0"/>
                <wp:effectExtent l="0" t="0" r="0" b="0"/>
                <wp:wrapNone/>
                <wp:docPr id="1714036395" name="Straight Connector 19"/>
                <wp:cNvGraphicFramePr/>
                <a:graphic xmlns:a="http://schemas.openxmlformats.org/drawingml/2006/main">
                  <a:graphicData uri="http://schemas.microsoft.com/office/word/2010/wordprocessingShape">
                    <wps:wsp>
                      <wps:cNvCnPr/>
                      <wps:spPr>
                        <a:xfrm>
                          <a:off x="0" y="0"/>
                          <a:ext cx="6172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FC3919" id="Straight Connector 1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25.4pt,18.35pt" to="174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wSwlwEAAIcDAAAOAAAAZHJzL2Uyb0RvYy54bWysU8tu2zAQvAfIPxC8x5J8SAvBsg8J2kuQ&#10;Bn18AEMtLSJ8YclY8t93SdtykARBUeRC8TEzu7O7Wm0ma9gOMGrvOt4sas7ASd9rt+34n9/frr5y&#10;FpNwvTDeQcf3EPlmfXmxGkMLSz940wMyEnGxHUPHh5RCW1VRDmBFXPgAjh6VRysSHXFb9ShGUrem&#10;Wtb1dTV67AN6CTHS7e3hka+LvlIg0w+lIiRmOk65pbJiWR/zWq1Xot2iCIOWxzTEf2RhhXYUdJa6&#10;FUmwZ9RvpKyW6KNXaSG9rbxSWkLxQG6a+pWbX4MIULxQcWKYyxQ/T1be727cA1IZxhDbGB4wu5gU&#10;2vyl/NhUirWfiwVTYpIur5svyyWVVJ6eqjMvYEzfwVuWNx032mUbohW7u5goFkFPEDqcI5dd2hvI&#10;YON+gmK6p1hNYZehgBuDbCeonf1Tk9tHWgWZKUobM5Pqj0lHbKZBGZR/Jc7oEtG7NBOtdh7fi5qm&#10;U6rqgD+5PnjNth99vy99KOWgbhdnx8nM4/TyXOjn/2f9FwAA//8DAFBLAwQUAAYACAAAACEAbWaa&#10;Wd0AAAAJAQAADwAAAGRycy9kb3ducmV2LnhtbEyPwU7DMBBE70j8g7VI3KhDCqEKcaqqEkJcEE3h&#10;7sZbJ2CvI9tJw99jxKEcZ2c0+6Zaz9awCX3oHQm4XWTAkFqnetIC3vdPNytgIUpS0jhCAd8YYF1f&#10;XlSyVO5EO5yaqFkqoVBKAV2MQ8l5aDu0MizcgJS8o/NWxiS95srLUyq3hudZVnAre0ofOjngtsP2&#10;qxmtAPPipw+91ZswPu+K5vPtmL/uJyGur+bNI7CIczyH4Rc/oUOdmA5uJBWYEZDfZwk9ClgWD8BS&#10;YHm3SuMOfwdeV/z/gvoHAAD//wMAUEsBAi0AFAAGAAgAAAAhALaDOJL+AAAA4QEAABMAAAAAAAAA&#10;AAAAAAAAAAAAAFtDb250ZW50X1R5cGVzXS54bWxQSwECLQAUAAYACAAAACEAOP0h/9YAAACUAQAA&#10;CwAAAAAAAAAAAAAAAAAvAQAAX3JlbHMvLnJlbHNQSwECLQAUAAYACAAAACEAQm8EsJcBAACHAwAA&#10;DgAAAAAAAAAAAAAAAAAuAgAAZHJzL2Uyb0RvYy54bWxQSwECLQAUAAYACAAAACEAbWaaWd0AAAAJ&#10;AQAADwAAAAAAAAAAAAAAAADxAwAAZHJzL2Rvd25yZXYueG1sUEsFBgAAAAAEAAQA8wAAAPsEAAAA&#10;AA==&#10;" strokecolor="black [3200]" strokeweight=".5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4F34AA82" wp14:editId="07494403">
                <wp:simplePos x="0" y="0"/>
                <wp:positionH relativeFrom="column">
                  <wp:posOffset>975360</wp:posOffset>
                </wp:positionH>
                <wp:positionV relativeFrom="paragraph">
                  <wp:posOffset>4445</wp:posOffset>
                </wp:positionV>
                <wp:extent cx="617220" cy="411480"/>
                <wp:effectExtent l="0" t="0" r="11430" b="26670"/>
                <wp:wrapNone/>
                <wp:docPr id="1108875232" name="Rectangle 10"/>
                <wp:cNvGraphicFramePr/>
                <a:graphic xmlns:a="http://schemas.openxmlformats.org/drawingml/2006/main">
                  <a:graphicData uri="http://schemas.microsoft.com/office/word/2010/wordprocessingShape">
                    <wps:wsp>
                      <wps:cNvSpPr/>
                      <wps:spPr>
                        <a:xfrm>
                          <a:off x="0" y="0"/>
                          <a:ext cx="617220" cy="41148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0D49CDB2" w14:textId="00E8C7CF" w:rsidR="00D900EA" w:rsidRPr="00D900EA" w:rsidRDefault="00D900EA" w:rsidP="00D900EA">
                            <w:pPr>
                              <w:jc w:val="center"/>
                              <w:rPr>
                                <w:lang w:val="en-US"/>
                              </w:rPr>
                            </w:pPr>
                            <w:r>
                              <w:rPr>
                                <w:lang w:val="en-US"/>
                              </w:rPr>
                              <w:t>ZTNA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34AA82" id="Rectangle 10" o:spid="_x0000_s1033" style="position:absolute;margin-left:76.8pt;margin-top:.35pt;width:48.6pt;height:3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0xZAIAACQFAAAOAAAAZHJzL2Uyb0RvYy54bWysVN9r2zAQfh/sfxB6X22H9MdCnRJSOgal&#10;LUtHnxVZig2yTjspsbO/fic5cUpXNhh7sU+6u+9On77T9U3fGrZT6BuwJS/Ocs6UlVA1dlPy7893&#10;n64480HYShiwquR75fnN/OOH687N1ARqMJVCRiDWzzpX8joEN8syL2vVCn8GTllyasBWBFriJqtQ&#10;dITemmyS5xdZB1g5BKm8p93bwcnnCV9rJcOj1l4FZkpOvYX0xfRdx282vxazDQpXN/LQhviHLlrR&#10;WCo6Qt2KINgWm9+g2kYieNDhTEKbgdaNVOkMdJoif3OaVS2cSmchcrwbafL/D1Y+7FbuCYmGzvmZ&#10;JzOeotfYxj/1x/pE1n4kS/WBSdq8KC4nE6JUkmtaFNOrRGZ2SnbowxcFLYtGyZHuIlEkdvc+UEEK&#10;PYbQ4lQ+WWFvVOzA2G9Ks6aigpOUnZShlgbZTtCdCimVDReDqxaVGraL8zw/9jNmpJIJMCLrxpgR&#10;u/gT9tDrIT6mqiSsMTn/e/KYkSqDDWNy21jA9wBMKKI6iSU9xB9JGqiJLIV+3RM3JT+PkXFnDdX+&#10;CRnCIHTv5F1D7N8LH54EkrLpwmhawyN9tIGu5HCwOKsBf763H+NJcOTlrKNJKbn/sRWoODNfLUnx&#10;czGdxtFKi+n5ZRQFvvasX3vstl0CXVxB74KTyYzxwRxNjdC+0FAvYlVyCSupdsllwONiGYYJpmdB&#10;qsUihdE4ORHu7crJCB55jup67l8EuoMEA2n3AY5TJWZvlDjExkwLi20A3SSZnng93ACNYrqXw7MR&#10;Z/31OkWdHrf5LwAAAP//AwBQSwMEFAAGAAgAAAAhAIkQFsbcAAAABwEAAA8AAABkcnMvZG93bnJl&#10;di54bWxMj8tOwzAURPdI/IN1kdhRm6AEFOJUFVLVFUK0wNqNb+OofkSx8yhfz2UFy9GMZs5U68VZ&#10;NuEQu+Al3K8EMPRN0J1vJXwctndPwGJSXisbPEq4YIR1fX1VqVKH2b/jtE8toxIfSyXBpNSXnMfG&#10;oFNxFXr05J3C4FQiObRcD2qmcmd5JkTBneo8LRjV44vB5rwfnYS3eXc5Zc6+fufGbqbd1/lz3Aop&#10;b2+WzTOwhEv6C8MvPqFDTUzHMHodmSWdPxQUlfAIjOwsF/TkKKHIc+B1xf/z1z8AAAD//wMAUEsB&#10;Ai0AFAAGAAgAAAAhALaDOJL+AAAA4QEAABMAAAAAAAAAAAAAAAAAAAAAAFtDb250ZW50X1R5cGVz&#10;XS54bWxQSwECLQAUAAYACAAAACEAOP0h/9YAAACUAQAACwAAAAAAAAAAAAAAAAAvAQAAX3JlbHMv&#10;LnJlbHNQSwECLQAUAAYACAAAACEAZ8b9MWQCAAAkBQAADgAAAAAAAAAAAAAAAAAuAgAAZHJzL2Uy&#10;b0RvYy54bWxQSwECLQAUAAYACAAAACEAiRAWxtwAAAAHAQAADwAAAAAAAAAAAAAAAAC+BAAAZHJz&#10;L2Rvd25yZXYueG1sUEsFBgAAAAAEAAQA8wAAAMcFAAAAAA==&#10;" fillcolor="#4ea72e [3209]" strokecolor="#0b1807 [489]" strokeweight="1pt">
                <v:textbox>
                  <w:txbxContent>
                    <w:p w14:paraId="0D49CDB2" w14:textId="00E8C7CF" w:rsidR="00D900EA" w:rsidRPr="00D900EA" w:rsidRDefault="00D900EA" w:rsidP="00D900EA">
                      <w:pPr>
                        <w:jc w:val="center"/>
                        <w:rPr>
                          <w:lang w:val="en-US"/>
                        </w:rPr>
                      </w:pPr>
                      <w:r>
                        <w:rPr>
                          <w:lang w:val="en-US"/>
                        </w:rPr>
                        <w:t>ZTNA</w:t>
                      </w:r>
                    </w:p>
                  </w:txbxContent>
                </v:textbox>
              </v:rect>
            </w:pict>
          </mc:Fallback>
        </mc:AlternateContent>
      </w:r>
      <w:r w:rsidR="00D900EA">
        <w:rPr>
          <w:noProof/>
        </w:rPr>
        <mc:AlternateContent>
          <mc:Choice Requires="wps">
            <w:drawing>
              <wp:anchor distT="0" distB="0" distL="114300" distR="114300" simplePos="0" relativeHeight="251665408" behindDoc="0" locked="0" layoutInCell="1" allowOverlap="1" wp14:anchorId="481439CB" wp14:editId="713036CA">
                <wp:simplePos x="0" y="0"/>
                <wp:positionH relativeFrom="column">
                  <wp:posOffset>3360420</wp:posOffset>
                </wp:positionH>
                <wp:positionV relativeFrom="paragraph">
                  <wp:posOffset>4445</wp:posOffset>
                </wp:positionV>
                <wp:extent cx="685800" cy="441960"/>
                <wp:effectExtent l="0" t="0" r="19050" b="15240"/>
                <wp:wrapNone/>
                <wp:docPr id="983414365" name="Rectangle 12"/>
                <wp:cNvGraphicFramePr/>
                <a:graphic xmlns:a="http://schemas.openxmlformats.org/drawingml/2006/main">
                  <a:graphicData uri="http://schemas.microsoft.com/office/word/2010/wordprocessingShape">
                    <wps:wsp>
                      <wps:cNvSpPr/>
                      <wps:spPr>
                        <a:xfrm>
                          <a:off x="0" y="0"/>
                          <a:ext cx="685800" cy="44196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BD73A84" w14:textId="288A63F4" w:rsidR="00D900EA" w:rsidRPr="00D900EA" w:rsidRDefault="00D900EA" w:rsidP="00D900EA">
                            <w:pPr>
                              <w:jc w:val="center"/>
                              <w:rPr>
                                <w:lang w:val="en-US"/>
                              </w:rPr>
                            </w:pPr>
                            <w:r>
                              <w:rPr>
                                <w:lang w:val="en-US"/>
                              </w:rPr>
                              <w:t>CSPM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1439CB" id="Rectangle 12" o:spid="_x0000_s1034" style="position:absolute;margin-left:264.6pt;margin-top:.35pt;width:54pt;height:34.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upYgIAACQFAAAOAAAAZHJzL2Uyb0RvYy54bWysVFFr3DAMfh/sPxi/r0mO6609mitHS8eg&#10;tGXt6LPPsZuAY3my75Lbr5/s5HKlKxuMvSSWJX2SPkm+uOxbw3YKfQO25MVJzpmyEqrGvpT8+9PN&#10;pzPOfBC2EgasKvleeX65+vjhonNLNYMaTKWQEYj1y86VvA7BLbPMy1q1wp+AU5aUGrAVgUR8ySoU&#10;HaG3Jpvl+SLrACuHIJX3dHs9KPkq4WutZLjX2qvATMkpt5C+mL6b+M1WF2L5gsLVjRzTEP+QRSsa&#10;S0EnqGsRBNti8xtU20gEDzqcSGgz0LqRKtVA1RT5m2oea+FUqoXI8W6iyf8/WHm3e3QPSDR0zi89&#10;HWMVvcY2/ik/1iey9hNZqg9M0uXi7PQsJ0olqebz4nyRyMyOzg59+KKgZfFQcqReJIrE7tYHCkim&#10;BxMSjuHTKeyNihkY+01p1lQUcJa802SoK4NsJ6inQkplw2JQ1aJSw3VxmlNuQ5DJI4VMgBFZN8ZM&#10;2MWfsAeY0T66qjRYk3P+d+fJI0UGGybntrGA7wGYUIwF6MH+QNJATWQp9JueuKFeRMt4s4Fq/4AM&#10;YRh07+RNQ+zfCh8eBNJkU8NoW8M9fbSBruQwnjirAX++dx/taeBIy1lHm1Jy/2MrUHFmvloaxfNi&#10;Po+rlYT56ecZCfhas3mtsdv2CqhxBb0LTqZjtA/mcNQI7TMt9TpGJZWwkmKXXAY8CFdh2GB6FqRa&#10;r5MZrZMT4dY+OhnBI89xup76Z4FuHMFAs3sHh60SyzeTONhGTwvrbQDdpDE98jp2gFYxjdL4bMRd&#10;fy0nq+PjtvoFAAD//wMAUEsDBBQABgAIAAAAIQCyTKaT2wAAAAcBAAAPAAAAZHJzL2Rvd25yZXYu&#10;eG1sTI7LTsMwFET3SPyDdZHYUZtUfRDiVBVS1RVCFOjajd04qn0dxc6jfD2XFSyPZjRzis3kHRtM&#10;F5uAEh5nApjBKugGawmfH7uHNbCYFGrlAhoJVxNhU97eFCrXYcR3MxxSzWgEY64k2JTanPNYWeNV&#10;nIXWIGXn0HmVCLua606NNO4dz4RYcq8apAerWvNiTXU59F7C27i/njPvXr8X1m2H/fHy1e+ElPd3&#10;0/YZWDJT+ivDrz6pQ0lOp9CjjsxJWGRPGVUlrIBRvJyvCE+EYg68LPh///IHAAD//wMAUEsBAi0A&#10;FAAGAAgAAAAhALaDOJL+AAAA4QEAABMAAAAAAAAAAAAAAAAAAAAAAFtDb250ZW50X1R5cGVzXS54&#10;bWxQSwECLQAUAAYACAAAACEAOP0h/9YAAACUAQAACwAAAAAAAAAAAAAAAAAvAQAAX3JlbHMvLnJl&#10;bHNQSwECLQAUAAYACAAAACEArDG7qWICAAAkBQAADgAAAAAAAAAAAAAAAAAuAgAAZHJzL2Uyb0Rv&#10;Yy54bWxQSwECLQAUAAYACAAAACEAskymk9sAAAAHAQAADwAAAAAAAAAAAAAAAAC8BAAAZHJzL2Rv&#10;d25yZXYueG1sUEsFBgAAAAAEAAQA8wAAAMQFAAAAAA==&#10;" fillcolor="#4ea72e [3209]" strokecolor="#0b1807 [489]" strokeweight="1pt">
                <v:textbox>
                  <w:txbxContent>
                    <w:p w14:paraId="4BD73A84" w14:textId="288A63F4" w:rsidR="00D900EA" w:rsidRPr="00D900EA" w:rsidRDefault="00D900EA" w:rsidP="00D900EA">
                      <w:pPr>
                        <w:jc w:val="center"/>
                        <w:rPr>
                          <w:lang w:val="en-US"/>
                        </w:rPr>
                      </w:pPr>
                      <w:r>
                        <w:rPr>
                          <w:lang w:val="en-US"/>
                        </w:rPr>
                        <w:t>CSPM</w:t>
                      </w:r>
                    </w:p>
                  </w:txbxContent>
                </v:textbox>
              </v:rect>
            </w:pict>
          </mc:Fallback>
        </mc:AlternateContent>
      </w:r>
      <w:r w:rsidR="00D900EA">
        <w:rPr>
          <w:noProof/>
        </w:rPr>
        <mc:AlternateContent>
          <mc:Choice Requires="wps">
            <w:drawing>
              <wp:anchor distT="0" distB="0" distL="114300" distR="114300" simplePos="0" relativeHeight="251664384" behindDoc="0" locked="0" layoutInCell="1" allowOverlap="1" wp14:anchorId="29AD487B" wp14:editId="7DE95752">
                <wp:simplePos x="0" y="0"/>
                <wp:positionH relativeFrom="column">
                  <wp:posOffset>2209800</wp:posOffset>
                </wp:positionH>
                <wp:positionV relativeFrom="paragraph">
                  <wp:posOffset>4445</wp:posOffset>
                </wp:positionV>
                <wp:extent cx="670560" cy="426720"/>
                <wp:effectExtent l="0" t="0" r="15240" b="11430"/>
                <wp:wrapNone/>
                <wp:docPr id="1116097225" name="Rectangle 11"/>
                <wp:cNvGraphicFramePr/>
                <a:graphic xmlns:a="http://schemas.openxmlformats.org/drawingml/2006/main">
                  <a:graphicData uri="http://schemas.microsoft.com/office/word/2010/wordprocessingShape">
                    <wps:wsp>
                      <wps:cNvSpPr/>
                      <wps:spPr>
                        <a:xfrm>
                          <a:off x="0" y="0"/>
                          <a:ext cx="670560" cy="42672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01E27735" w14:textId="6EF0827C" w:rsidR="00D900EA" w:rsidRPr="00D900EA" w:rsidRDefault="00D900EA" w:rsidP="00D900EA">
                            <w:pPr>
                              <w:jc w:val="center"/>
                              <w:rPr>
                                <w:lang w:val="en-US"/>
                              </w:rPr>
                            </w:pPr>
                            <w:r>
                              <w:rPr>
                                <w:lang w:val="en-US"/>
                              </w:rPr>
                              <w:t>SASE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D487B" id="Rectangle 11" o:spid="_x0000_s1035" style="position:absolute;margin-left:174pt;margin-top:.35pt;width:52.8pt;height:3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sa4YwIAACQFAAAOAAAAZHJzL2Uyb0RvYy54bWysVFFr2zAQfh/sPwi9r7ZDmm4hTgktHYPS&#10;lrajz4osxQZZp52U2Nmv30lOnNKVDcZe7JPu7rvTp++0uOxbw3YKfQO25MVZzpmyEqrGbkr+/fnm&#10;02fOfBC2EgasKvleeX65/Phh0bm5mkANplLICMT6eedKXofg5lnmZa1a4c/AKUtODdiKQEvcZBWK&#10;jtBbk03yfJZ1gJVDkMp72r0enHyZ8LVWMtxr7VVgpuTUW0hfTN91/GbLhZhvULi6kYc2xD900YrG&#10;UtER6loEwbbY/AbVNhLBgw5nEtoMtG6kSmeg0xT5m9M81cKpdBYix7uRJv//YOXd7sk9INHQOT/3&#10;ZMZT9Brb+Kf+WJ/I2o9kqT4wSZuzi/x8RpRKck0ns4tJIjM7JTv04auClkWj5Eh3kSgSu1sfqCCF&#10;HkNocSqfrLA3KnZg7KPSrKmo4CRlJ2WoK4NsJ+hOhZTKhtngqkWlhu3iPM+P/YwZqWQCjMi6MWbE&#10;Lv6EPfR6iI+pKglrTM7/njxmpMpgw5jcNhbwPQATiqhOYkkP8UeSBmoiS6Ff98RNyS9iZNxZQ7V/&#10;QIYwCN07edMQ+7fChweBpGy6MJrWcE8fbaArORwszmrAn+/tx3gSHHk562hSSu5/bAUqzsw3S1L8&#10;UkyncbTSYnoehcDwtWf92mO37RXQxRX0LjiZzBgfzNHUCO0LDfUqViWXsJJql1wGPC6uwjDB9CxI&#10;tVqlMBonJ8KtfXIygkeeo7qe+xeB7iDBQNq9g+NUifkbJQ6xMdPCahtAN0mmJ14PN0CjmO7l8GzE&#10;WX+9TlGnx235CwAA//8DAFBLAwQUAAYACAAAACEAc25sQ98AAAAHAQAADwAAAGRycy9kb3ducmV2&#10;LnhtbEyPy07DMBRE90j8g3WR2FGHPtI25KaqkKquEGqBrt3YjaPa11HsPMrXY1awHM1o5ky+Ga1h&#10;vWp97QjheZIAU1Q6WVOF8Pmxe1oB80GQFMaRQrgpD5vi/i4XmXQDHVR/DBWLJeQzgaBDaDLOfamV&#10;FX7iGkXRu7jWihBlW3HZiiGWW8OnSZJyK2qKC1o06lWr8nrsLML7sL9dpta8fS+02fb70/Wr2yWI&#10;jw/j9gVYUGP4C8MvfkSHIjKdXUfSM4Mwm6/il4CwBBbt+WKWAjsjpMs18CLn//mLHwAAAP//AwBQ&#10;SwECLQAUAAYACAAAACEAtoM4kv4AAADhAQAAEwAAAAAAAAAAAAAAAAAAAAAAW0NvbnRlbnRfVHlw&#10;ZXNdLnhtbFBLAQItABQABgAIAAAAIQA4/SH/1gAAAJQBAAALAAAAAAAAAAAAAAAAAC8BAABfcmVs&#10;cy8ucmVsc1BLAQItABQABgAIAAAAIQA4ssa4YwIAACQFAAAOAAAAAAAAAAAAAAAAAC4CAABkcnMv&#10;ZTJvRG9jLnhtbFBLAQItABQABgAIAAAAIQBzbmxD3wAAAAcBAAAPAAAAAAAAAAAAAAAAAL0EAABk&#10;cnMvZG93bnJldi54bWxQSwUGAAAAAAQABADzAAAAyQUAAAAA&#10;" fillcolor="#4ea72e [3209]" strokecolor="#0b1807 [489]" strokeweight="1pt">
                <v:textbox>
                  <w:txbxContent>
                    <w:p w14:paraId="01E27735" w14:textId="6EF0827C" w:rsidR="00D900EA" w:rsidRPr="00D900EA" w:rsidRDefault="00D900EA" w:rsidP="00D900EA">
                      <w:pPr>
                        <w:jc w:val="center"/>
                        <w:rPr>
                          <w:lang w:val="en-US"/>
                        </w:rPr>
                      </w:pPr>
                      <w:r>
                        <w:rPr>
                          <w:lang w:val="en-US"/>
                        </w:rPr>
                        <w:t>SASE</w:t>
                      </w:r>
                    </w:p>
                  </w:txbxContent>
                </v:textbox>
              </v:rect>
            </w:pict>
          </mc:Fallback>
        </mc:AlternateContent>
      </w:r>
    </w:p>
    <w:p w14:paraId="747FEE4B" w14:textId="759C3BA8" w:rsidR="00D900EA" w:rsidRDefault="00225430" w:rsidP="00A17327">
      <w:r>
        <w:rPr>
          <w:noProof/>
        </w:rPr>
        <mc:AlternateContent>
          <mc:Choice Requires="wps">
            <w:drawing>
              <wp:anchor distT="0" distB="0" distL="114300" distR="114300" simplePos="0" relativeHeight="251675648" behindDoc="0" locked="0" layoutInCell="1" allowOverlap="1" wp14:anchorId="05A996D8" wp14:editId="40C3AEA8">
                <wp:simplePos x="0" y="0"/>
                <wp:positionH relativeFrom="column">
                  <wp:posOffset>2545080</wp:posOffset>
                </wp:positionH>
                <wp:positionV relativeFrom="paragraph">
                  <wp:posOffset>160655</wp:posOffset>
                </wp:positionV>
                <wp:extent cx="15240" cy="579120"/>
                <wp:effectExtent l="0" t="0" r="22860" b="30480"/>
                <wp:wrapNone/>
                <wp:docPr id="824041770" name="Straight Connector 23"/>
                <wp:cNvGraphicFramePr/>
                <a:graphic xmlns:a="http://schemas.openxmlformats.org/drawingml/2006/main">
                  <a:graphicData uri="http://schemas.microsoft.com/office/word/2010/wordprocessingShape">
                    <wps:wsp>
                      <wps:cNvCnPr/>
                      <wps:spPr>
                        <a:xfrm>
                          <a:off x="0" y="0"/>
                          <a:ext cx="15240" cy="579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F5F565" id="Straight Connector 2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00.4pt,12.65pt" to="201.6pt,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Gy+nQEAAIsDAAAOAAAAZHJzL2Uyb0RvYy54bWysU8tu2zAQvAfIPxC8x5KM5lHBcg4J0kvR&#10;BG3yAQy1tIjyhSVryX+fJW3LQVsURdELxcfM7s7sanU7WcO2gFF71/FmUXMGTvpeu03HX54fLm44&#10;i0m4XhjvoOM7iPx2fX62GkMLSz940wMyCuJiO4aODymFtqqiHMCKuPABHD0qj1YkOuKm6lGMFN2a&#10;alnXV9XosQ/oJcRIt/f7R74u8ZUCmR6VipCY6TjVlsqKZX3Na7VeiXaDIgxaHsoQ/1CFFdpR0jnU&#10;vUiC/UD9SyirJfroVVpIbyuvlJZQNJCapv5JzbdBBChayJwYZpvi/wsrv2zv3BOSDWOIbQxPmFVM&#10;Cm3+Un1sKmbtZrNgSkzSZXO5/ECOSnq5vP7YLIuX1YkbMKZP4C3Lm44b7bIU0Yrt55goH0GPEDqc&#10;spdd2hnIYOO+gmK6z/kKuwwG3BlkW0Et7b83uYUUqyAzRWljZlL9Z9IBm2lQhuVviTO6ZPQuzUSr&#10;ncffZU3TsVS1xx9V77Vm2a++35VeFDuo40XZYTrzSL0/F/rpH1q/AQAA//8DAFBLAwQUAAYACAAA&#10;ACEAz9muEd8AAAAKAQAADwAAAGRycy9kb3ducmV2LnhtbEyPy07DMBBF90j8gzVI7KjdtI1QiFNV&#10;lRBig2gKezeeOgE/othJw98zrOhydI/uPVNuZ2fZhEPsgpewXAhg6JugO28kfByfHx6BxaS8VjZ4&#10;lPCDEbbV7U2pCh0u/oBTnQyjEh8LJaFNqS84j02LTsVF6NFTdg6DU4nOwXA9qAuVO8szIXLuVOdp&#10;oVU97ltsvuvRSbCvw/Rp9mYXx5dDXn+9n7O34yTl/d28ewKWcE7/MPzpkzpU5HQKo9eRWQlrIUg9&#10;Scg2K2AErMUqA3YicplvgFclv36h+gUAAP//AwBQSwECLQAUAAYACAAAACEAtoM4kv4AAADhAQAA&#10;EwAAAAAAAAAAAAAAAAAAAAAAW0NvbnRlbnRfVHlwZXNdLnhtbFBLAQItABQABgAIAAAAIQA4/SH/&#10;1gAAAJQBAAALAAAAAAAAAAAAAAAAAC8BAABfcmVscy8ucmVsc1BLAQItABQABgAIAAAAIQA5EGy+&#10;nQEAAIsDAAAOAAAAAAAAAAAAAAAAAC4CAABkcnMvZTJvRG9jLnhtbFBLAQItABQABgAIAAAAIQDP&#10;2a4R3wAAAAoBAAAPAAAAAAAAAAAAAAAAAPcDAABkcnMvZG93bnJldi54bWxQSwUGAAAAAAQABADz&#10;AAAAAwUAAAAA&#10;" strokecolor="black [3200]" strokeweight=".5pt">
                <v:stroke joinstyle="miter"/>
              </v:line>
            </w:pict>
          </mc:Fallback>
        </mc:AlternateContent>
      </w:r>
    </w:p>
    <w:p w14:paraId="04C9A681" w14:textId="77777777" w:rsidR="00D900EA" w:rsidRDefault="00D900EA" w:rsidP="00A17327"/>
    <w:p w14:paraId="304A363F" w14:textId="2A26B00E" w:rsidR="00D900EA" w:rsidRDefault="00D900EA" w:rsidP="00A17327">
      <w:r>
        <w:rPr>
          <w:noProof/>
        </w:rPr>
        <mc:AlternateContent>
          <mc:Choice Requires="wps">
            <w:drawing>
              <wp:anchor distT="0" distB="0" distL="114300" distR="114300" simplePos="0" relativeHeight="251666432" behindDoc="0" locked="0" layoutInCell="1" allowOverlap="1" wp14:anchorId="293CC04F" wp14:editId="0B1B2082">
                <wp:simplePos x="0" y="0"/>
                <wp:positionH relativeFrom="column">
                  <wp:posOffset>1767840</wp:posOffset>
                </wp:positionH>
                <wp:positionV relativeFrom="paragraph">
                  <wp:posOffset>168910</wp:posOffset>
                </wp:positionV>
                <wp:extent cx="1615440" cy="586740"/>
                <wp:effectExtent l="0" t="0" r="22860" b="22860"/>
                <wp:wrapNone/>
                <wp:docPr id="1476697149" name="Rectangle 13"/>
                <wp:cNvGraphicFramePr/>
                <a:graphic xmlns:a="http://schemas.openxmlformats.org/drawingml/2006/main">
                  <a:graphicData uri="http://schemas.microsoft.com/office/word/2010/wordprocessingShape">
                    <wps:wsp>
                      <wps:cNvSpPr/>
                      <wps:spPr>
                        <a:xfrm>
                          <a:off x="0" y="0"/>
                          <a:ext cx="1615440" cy="58674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7B2BDB5F" w14:textId="51CFEC96" w:rsidR="00D900EA" w:rsidRPr="00D900EA" w:rsidRDefault="00D900EA" w:rsidP="00D900EA">
                            <w:pPr>
                              <w:jc w:val="center"/>
                              <w:rPr>
                                <w:lang w:val="en-US"/>
                              </w:rPr>
                            </w:pPr>
                            <w:r>
                              <w:rPr>
                                <w:lang w:val="en-US"/>
                              </w:rPr>
                              <w:t>Applications &amp;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3CC04F" id="Rectangle 13" o:spid="_x0000_s1036" style="position:absolute;margin-left:139.2pt;margin-top:13.3pt;width:127.2pt;height:46.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3x5ZAIAABkFAAAOAAAAZHJzL2Uyb0RvYy54bWysVFFP2zAQfp+0/2D5fSSpKLCKFFUgpkkI&#10;EDDx7Do2ieb4vLPbpPv1Oztpyhh7mfaSnH13350/f+fzi741bKvQN2BLXhzlnCkroWrsS8m/PV1/&#10;OuPMB2ErYcCqku+U5xfLjx/OO7dQM6jBVAoZgVi/6FzJ6xDcIsu8rFUr/BE4ZcmpAVsRaIkvWYWi&#10;I/TWZLM8P8k6wMohSOU97V4NTr5M+ForGe609iowU3LqLaQvpu86frPluVi8oHB1I8c2xD900YrG&#10;UtEJ6koEwTbY/AHVNhLBgw5HEtoMtG6kSmeg0xT5m9M81sKpdBYix7uJJv//YOXt9tHdI9HQOb/w&#10;ZMZT9Brb+Kf+WJ/I2k1kqT4wSZvFSTE/PiZOJfnmZyenZBNMdsh26MMXBS2LRsmRLiNxJLY3Pgyh&#10;+xDKO9RPVtgZFVsw9kFp1lRUcZaykzTUpUG2FXSp1fdi2K5FpYatYp7n+16m6NRZAououjFmwh0B&#10;ouR+xx16HGNjmkqKmhLzvzU0JE7RqSLYMCW2jQV8L9mEYiRRD/F7YgY6IjOhX/fER8nPYmTcWUO1&#10;u0eGMKjbO3ndEOM3wod7gSRnuiQa0XBHH22gKzmMFmc14M/39mM8qYy8nHU0HiX3PzYCFWfmqyX9&#10;fS7S3Ye0OJ6fzqgGvvasX3vspr0EuqyCHgMnkxnjg9mbGqF9pklexarkElZS7ZLLgPvFZRjGlt4C&#10;qVarFEYz5ES4sY9ORvDIc1TUU/8s0I2yCyTYW9iPkli8Ud8QGzMtrDYBdJOkeeB1vAGavySh8a2I&#10;A/56naIOL9ryFwAAAP//AwBQSwMEFAAGAAgAAAAhAPpjpznfAAAACgEAAA8AAABkcnMvZG93bnJl&#10;di54bWxMj8FOwzAMhu9IvENkJC6IJeugjNJ0QkgVN1ALB45ZEtKKxilN1nVvjznBzZY//f7+crf4&#10;gc12in1ACeuVAGZRB9Ojk/D+Vl9vgcWk0KghoJVwshF21flZqQoTjtjYuU2OUQjGQknoUhoLzqPu&#10;rFdxFUaLdPsMk1eJ1slxM6kjhfuBZ0Lk3Kse6UOnRvvUWf3VHryEWTS1+9CnZ1233+6qeXndoJ6l&#10;vLxYHh+AJbukPxh+9UkdKnLahwOayAYJ2d32hlAa8hwYAbebjLrsiVzfC+BVyf9XqH4AAAD//wMA&#10;UEsBAi0AFAAGAAgAAAAhALaDOJL+AAAA4QEAABMAAAAAAAAAAAAAAAAAAAAAAFtDb250ZW50X1R5&#10;cGVzXS54bWxQSwECLQAUAAYACAAAACEAOP0h/9YAAACUAQAACwAAAAAAAAAAAAAAAAAvAQAAX3Jl&#10;bHMvLnJlbHNQSwECLQAUAAYACAAAACEAZaN8eWQCAAAZBQAADgAAAAAAAAAAAAAAAAAuAgAAZHJz&#10;L2Uyb0RvYy54bWxQSwECLQAUAAYACAAAACEA+mOnOd8AAAAKAQAADwAAAAAAAAAAAAAAAAC+BAAA&#10;ZHJzL2Rvd25yZXYueG1sUEsFBgAAAAAEAAQA8wAAAMoFAAAAAA==&#10;" fillcolor="black [3200]" strokecolor="black [480]" strokeweight="1pt">
                <v:textbox>
                  <w:txbxContent>
                    <w:p w14:paraId="7B2BDB5F" w14:textId="51CFEC96" w:rsidR="00D900EA" w:rsidRPr="00D900EA" w:rsidRDefault="00D900EA" w:rsidP="00D900EA">
                      <w:pPr>
                        <w:jc w:val="center"/>
                        <w:rPr>
                          <w:lang w:val="en-US"/>
                        </w:rPr>
                      </w:pPr>
                      <w:r>
                        <w:rPr>
                          <w:lang w:val="en-US"/>
                        </w:rPr>
                        <w:t>Applications &amp; Data</w:t>
                      </w:r>
                    </w:p>
                  </w:txbxContent>
                </v:textbox>
              </v:rect>
            </w:pict>
          </mc:Fallback>
        </mc:AlternateContent>
      </w:r>
    </w:p>
    <w:p w14:paraId="3FAAB5E1" w14:textId="77777777" w:rsidR="00D900EA" w:rsidRDefault="00D900EA" w:rsidP="00A17327"/>
    <w:p w14:paraId="49252A19" w14:textId="40BCA005" w:rsidR="00D900EA" w:rsidRDefault="00225430" w:rsidP="00A17327">
      <w:r>
        <w:rPr>
          <w:noProof/>
        </w:rPr>
        <mc:AlternateContent>
          <mc:Choice Requires="wps">
            <w:drawing>
              <wp:anchor distT="0" distB="0" distL="114300" distR="114300" simplePos="0" relativeHeight="251676672" behindDoc="0" locked="0" layoutInCell="1" allowOverlap="1" wp14:anchorId="1F53B1A4" wp14:editId="6FAB1E6A">
                <wp:simplePos x="0" y="0"/>
                <wp:positionH relativeFrom="column">
                  <wp:posOffset>2560320</wp:posOffset>
                </wp:positionH>
                <wp:positionV relativeFrom="paragraph">
                  <wp:posOffset>184150</wp:posOffset>
                </wp:positionV>
                <wp:extent cx="7620" cy="411480"/>
                <wp:effectExtent l="0" t="0" r="30480" b="26670"/>
                <wp:wrapNone/>
                <wp:docPr id="590870218" name="Straight Connector 24"/>
                <wp:cNvGraphicFramePr/>
                <a:graphic xmlns:a="http://schemas.openxmlformats.org/drawingml/2006/main">
                  <a:graphicData uri="http://schemas.microsoft.com/office/word/2010/wordprocessingShape">
                    <wps:wsp>
                      <wps:cNvCnPr/>
                      <wps:spPr>
                        <a:xfrm>
                          <a:off x="0" y="0"/>
                          <a:ext cx="7620" cy="411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701986" id="Straight Connector 2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01.6pt,14.5pt" to="202.2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A0MnQEAAIoDAAAOAAAAZHJzL2Uyb0RvYy54bWysU8tu2zAQvBfIPxC8x5KMIAkEyzkkSC5B&#10;E6TtBzDU0iLKF5asJf99lrQtB20QFEUvFB8zuzuzq9XNZA3bAkbtXcebRc0ZOOl77TYd//H9/vya&#10;s5iE64XxDjq+g8hv1mdfVmNoYekHb3pARkFcbMfQ8SGl0FZVlANYERc+gKNH5dGKREfcVD2KkaJb&#10;Uy3r+rIaPfYBvYQY6fZu/8jXJb5SINOTUhESMx2n2lJZsayvea3WK9FuUIRBy0MZ4h+qsEI7SjqH&#10;uhNJsF+o/whltUQfvUoL6W3lldISigZS09S/qfk2iABFC5kTw2xT/H9h5dftrXtGsmEMsY3hGbOK&#10;SaHNX6qPTcWs3WwWTIlJury6XJKhkh4umubiulhZnagBY3oAb1nedNxol5WIVmwfY6J0BD1C6HBK&#10;XnZpZyCDjXsBxXRP6ZrCLnMBtwbZVlBH+59N7iDFKshMUdqYmVR/TjpgMw3KrPwtcUaXjN6lmWi1&#10;8/hR1jQdS1V7/FH1XmuW/er7XWlFsYMaXpQdhjNP1PtzoZ9+ofUbAAAA//8DAFBLAwQUAAYACAAA&#10;ACEALIsyV98AAAAJAQAADwAAAGRycy9kb3ducmV2LnhtbEyPwU7DMBBE70j8g7VI3KhNGlVtiFNV&#10;lRDigmgKdzd2k4C9jmwnDX/PcqLH1T7NvCm3s7NsMiH2HiU8LgQwg43XPbYSPo7PD2tgMSnUyno0&#10;En5MhG11e1OqQvsLHsxUp5ZRCMZCSehSGgrOY9MZp+LCDwbpd/bBqURnaLkO6kLhzvJMiBV3qkdq&#10;6NRg9p1pvuvRSbCvYfps9+0uji+HVf31fs7ejpOU93fz7glYMnP6h+FPn9ShIqeTH1FHZiXkYpkR&#10;KiHb0CYCcpHnwE4SNss18Krk1wuqXwAAAP//AwBQSwECLQAUAAYACAAAACEAtoM4kv4AAADhAQAA&#10;EwAAAAAAAAAAAAAAAAAAAAAAW0NvbnRlbnRfVHlwZXNdLnhtbFBLAQItABQABgAIAAAAIQA4/SH/&#10;1gAAAJQBAAALAAAAAAAAAAAAAAAAAC8BAABfcmVscy8ucmVsc1BLAQItABQABgAIAAAAIQBXIA0M&#10;nQEAAIoDAAAOAAAAAAAAAAAAAAAAAC4CAABkcnMvZTJvRG9jLnhtbFBLAQItABQABgAIAAAAIQAs&#10;izJX3wAAAAkBAAAPAAAAAAAAAAAAAAAAAPcDAABkcnMvZG93bnJldi54bWxQSwUGAAAAAAQABADz&#10;AAAAAwUAAAAA&#10;" strokecolor="black [3200]" strokeweight=".5pt">
                <v:stroke joinstyle="miter"/>
              </v:line>
            </w:pict>
          </mc:Fallback>
        </mc:AlternateContent>
      </w:r>
    </w:p>
    <w:p w14:paraId="1A3F69B0" w14:textId="77777777" w:rsidR="00D900EA" w:rsidRDefault="00D900EA" w:rsidP="00A17327"/>
    <w:p w14:paraId="07A5D53C" w14:textId="0847CE85" w:rsidR="00D900EA" w:rsidRDefault="00D900EA" w:rsidP="00A17327">
      <w:r>
        <w:rPr>
          <w:noProof/>
        </w:rPr>
        <mc:AlternateContent>
          <mc:Choice Requires="wps">
            <w:drawing>
              <wp:anchor distT="0" distB="0" distL="114300" distR="114300" simplePos="0" relativeHeight="251667456" behindDoc="0" locked="0" layoutInCell="1" allowOverlap="1" wp14:anchorId="45CA6B0E" wp14:editId="635C316B">
                <wp:simplePos x="0" y="0"/>
                <wp:positionH relativeFrom="column">
                  <wp:posOffset>1935480</wp:posOffset>
                </wp:positionH>
                <wp:positionV relativeFrom="paragraph">
                  <wp:posOffset>17145</wp:posOffset>
                </wp:positionV>
                <wp:extent cx="1196340" cy="502920"/>
                <wp:effectExtent l="0" t="0" r="22860" b="11430"/>
                <wp:wrapNone/>
                <wp:docPr id="1199853637" name="Rectangle 14"/>
                <wp:cNvGraphicFramePr/>
                <a:graphic xmlns:a="http://schemas.openxmlformats.org/drawingml/2006/main">
                  <a:graphicData uri="http://schemas.microsoft.com/office/word/2010/wordprocessingShape">
                    <wps:wsp>
                      <wps:cNvSpPr/>
                      <wps:spPr>
                        <a:xfrm>
                          <a:off x="0" y="0"/>
                          <a:ext cx="1196340" cy="502920"/>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73C393EF" w14:textId="214CF49D" w:rsidR="00D900EA" w:rsidRPr="00D900EA" w:rsidRDefault="00D900EA" w:rsidP="00D900EA">
                            <w:pPr>
                              <w:jc w:val="center"/>
                              <w:rPr>
                                <w:lang w:val="en-US"/>
                              </w:rPr>
                            </w:pPr>
                            <w:r>
                              <w:rPr>
                                <w:lang w:val="en-US"/>
                              </w:rPr>
                              <w:t>SIEM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CA6B0E" id="Rectangle 14" o:spid="_x0000_s1037" style="position:absolute;margin-left:152.4pt;margin-top:1.35pt;width:94.2pt;height:39.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OPZAIAACUFAAAOAAAAZHJzL2Uyb0RvYy54bWysVFFr2zAQfh/sPwi9r7aztltCnRJaOgal&#10;DWtHnxVZqg2yTpMusbNfv5PsOKUrG4y92Cfd3XenT9/p4rJvDdspHxqwJS9Ocs6UlVA19rnk3x9v&#10;PnzmLKCwlTBgVcn3KvDL5ft3F51bqBnUYCrlGYHYsOhcyWtEt8iyIGvVinACTllyavCtQFr656zy&#10;oiP01mSzPD/POvCV8yBVCLR7PTj5MuFrrSTeax0UMlNy6g3T16fvJn6z5YVYPHvh6kaObYh/6KIV&#10;jaWiE9S1QMG2vvkNqm2khwAaTyS0GWjdSJXOQKcp8leneaiFU+ksRE5wE03h/8HKu92DW3uioXNh&#10;EciMp+i1b+Of+mN9Ims/kaV6ZJI2i2J+/vGUOJXkO8tn81liMztmOx/wi4KWRaPkni4jcSR2twGp&#10;IoUeQmhxrJ8s3BsVWzD2m9KsqajiLGUnaagr49lO0KUKKZXF0VWLSg3bxVmeH/qZMlLJBBiRdWPM&#10;hF38CXvodYyPqSopa0rO/548ZaTKYHFKbhsL/i0Ag0WUJ7Gkh/gDSQM1kSXsNz1xU/J5jIw7G6j2&#10;a888DEoPTt40xP6tCLgWnqRNF0bjivf00Qa6ksNocVaD//nWfownxZGXs45GpeThx1Z4xZn5akmL&#10;8+I06gDT4vTsEwmB+ZeezUuP3bZXQBdX0MPgZDJjPJqDqT20TzTVq1iVXMJKql1yif6wuMJhhOld&#10;kGq1SmE0T07grX1wMoJHnqO6Hvsn4d0oQSTx3sFhrMTilRKH2JhpYbVF0E2S6ZHX8QZoFtO9jO9G&#10;HPaX6xR1fN2WvwAAAP//AwBQSwMEFAAGAAgAAAAhAEMDAw3fAAAACAEAAA8AAABkcnMvZG93bnJl&#10;di54bWxMj91qwkAUhO8LfYflFHpXN0ZrNeZEisVCEQpN8wDH7DEJ7k/Irpq+fbdX9XKYYeabfDMa&#10;LS48+M5ZhOkkAcG2dqqzDUL1vXtagvCBrCLtLCP8sIdNcX+XU6bc1X7xpQyNiCXWZ4TQhtBnUvq6&#10;ZUN+4nq20Tu6wVCIcmikGugay42WaZIspKHOxoWWet62XJ/Ks0Ggvtouqt3bcNL75/3H+F5/lsEj&#10;Pj6Mr2sQgcfwH4Y//IgORWQ6uLNVXmiEWTKP6AEhfQER/flqloI4ICynK5BFLm8PFL8AAAD//wMA&#10;UEsBAi0AFAAGAAgAAAAhALaDOJL+AAAA4QEAABMAAAAAAAAAAAAAAAAAAAAAAFtDb250ZW50X1R5&#10;cGVzXS54bWxQSwECLQAUAAYACAAAACEAOP0h/9YAAACUAQAACwAAAAAAAAAAAAAAAAAvAQAAX3Jl&#10;bHMvLnJlbHNQSwECLQAUAAYACAAAACEAV7XDj2QCAAAlBQAADgAAAAAAAAAAAAAAAAAuAgAAZHJz&#10;L2Uyb0RvYy54bWxQSwECLQAUAAYACAAAACEAQwMDDd8AAAAIAQAADwAAAAAAAAAAAAAAAAC+BAAA&#10;ZHJzL2Rvd25yZXYueG1sUEsFBgAAAAAEAAQA8wAAAMoFAAAAAA==&#10;" fillcolor="#e97132 [3205]" strokecolor="#250f04 [485]" strokeweight="1pt">
                <v:textbox>
                  <w:txbxContent>
                    <w:p w14:paraId="73C393EF" w14:textId="214CF49D" w:rsidR="00D900EA" w:rsidRPr="00D900EA" w:rsidRDefault="00D900EA" w:rsidP="00D900EA">
                      <w:pPr>
                        <w:jc w:val="center"/>
                        <w:rPr>
                          <w:lang w:val="en-US"/>
                        </w:rPr>
                      </w:pPr>
                      <w:r>
                        <w:rPr>
                          <w:lang w:val="en-US"/>
                        </w:rPr>
                        <w:t>SIEM</w:t>
                      </w:r>
                    </w:p>
                  </w:txbxContent>
                </v:textbox>
              </v:rect>
            </w:pict>
          </mc:Fallback>
        </mc:AlternateContent>
      </w:r>
    </w:p>
    <w:p w14:paraId="079F377B" w14:textId="21D849B2" w:rsidR="00D900EA" w:rsidRDefault="00225430" w:rsidP="00A17327">
      <w:r>
        <w:rPr>
          <w:noProof/>
        </w:rPr>
        <mc:AlternateContent>
          <mc:Choice Requires="wps">
            <w:drawing>
              <wp:anchor distT="0" distB="0" distL="114300" distR="114300" simplePos="0" relativeHeight="251677696" behindDoc="0" locked="0" layoutInCell="1" allowOverlap="1" wp14:anchorId="018FF1F5" wp14:editId="59D8B68D">
                <wp:simplePos x="0" y="0"/>
                <wp:positionH relativeFrom="column">
                  <wp:posOffset>2575560</wp:posOffset>
                </wp:positionH>
                <wp:positionV relativeFrom="paragraph">
                  <wp:posOffset>234315</wp:posOffset>
                </wp:positionV>
                <wp:extent cx="7620" cy="358140"/>
                <wp:effectExtent l="0" t="0" r="30480" b="22860"/>
                <wp:wrapNone/>
                <wp:docPr id="478160108" name="Straight Connector 25"/>
                <wp:cNvGraphicFramePr/>
                <a:graphic xmlns:a="http://schemas.openxmlformats.org/drawingml/2006/main">
                  <a:graphicData uri="http://schemas.microsoft.com/office/word/2010/wordprocessingShape">
                    <wps:wsp>
                      <wps:cNvCnPr/>
                      <wps:spPr>
                        <a:xfrm>
                          <a:off x="0" y="0"/>
                          <a:ext cx="7620" cy="3581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4B1148" id="Straight Connector 2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02.8pt,18.45pt" to="203.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XngEAAIoDAAAOAAAAZHJzL2Uyb0RvYy54bWysU8tu2zAQvBfoPxC815LcJg0EyzkkaC9B&#10;GrTpBzDU0iJCcgmSseS/75K25aINgiDIheJjZndndrW6nKxhWwhRo+t4s6g5Ayex127T8d/33z5d&#10;cBaTcL0w6KDjO4j8cv3xw2r0LSxxQNNDYBTExXb0HR9S8m1VRTmAFXGBHhw9KgxWJDqGTdUHMVJ0&#10;a6plXZ9XI4beB5QQI91e7x/5usRXCmT6oVSExEzHqbZU1lDWh7xW65VoN0H4QctDGeINVVihHSWd&#10;Q12LJNhT0P+FsloGjKjSQqKtUCktoWggNU39j5pfg/BQtJA50c82xfcLK2+3V+4ukA2jj230dyGr&#10;mFSw+Uv1samYtZvNgikxSZdfz5dkqKSHz2cXzZdiZXWi+hDTd0DL8qbjRrusRLRiexMTpSPoEUKH&#10;U/KySzsDGWzcT1BM95SuKewyF3BlAtsK6mj/2OQOUqyCzBSljZlJ9cukAzbToMzKa4kzumREl2ai&#10;1Q7Dc1nTdCxV7fFH1XutWfYD9rvSimIHNbwoOwxnnqi/z4V++oXWfwAAAP//AwBQSwMEFAAGAAgA&#10;AAAhAK8XlwrfAAAACQEAAA8AAABkcnMvZG93bnJldi54bWxMj8tOwzAQRfdI/IM1SOyoTVMsGuJU&#10;VSWE2CCawt6Np07Aj8h20vD3mFVZjubo3nOrzWwNmTDE3jsB9wsGBF3rVe+0gI/D890jkJikU9J4&#10;hwJ+MMKmvr6qZKn82e1xapImOcTFUgroUhpKSmPboZVx4Qd0+XfywcqUz6CpCvKcw62hS8Y4tbJ3&#10;uaGTA+46bL+b0Qowr2H61Du9jePLnjdf76fl22ES4vZm3j4BSTinCwx/+lkd6ux09KNTkRgBK/bA&#10;Myqg4GsgGVgxnrccBayLAmhd0f8L6l8AAAD//wMAUEsBAi0AFAAGAAgAAAAhALaDOJL+AAAA4QEA&#10;ABMAAAAAAAAAAAAAAAAAAAAAAFtDb250ZW50X1R5cGVzXS54bWxQSwECLQAUAAYACAAAACEAOP0h&#10;/9YAAACUAQAACwAAAAAAAAAAAAAAAAAvAQAAX3JlbHMvLnJlbHNQSwECLQAUAAYACAAAACEAJWwf&#10;l54BAACKAwAADgAAAAAAAAAAAAAAAAAuAgAAZHJzL2Uyb0RvYy54bWxQSwECLQAUAAYACAAAACEA&#10;rxeXCt8AAAAJAQAADwAAAAAAAAAAAAAAAAD4AwAAZHJzL2Rvd25yZXYueG1sUEsFBgAAAAAEAAQA&#10;8wAAAAQFAAAAAA==&#10;" strokecolor="black [3200]" strokeweight=".5pt">
                <v:stroke joinstyle="miter"/>
              </v:line>
            </w:pict>
          </mc:Fallback>
        </mc:AlternateContent>
      </w:r>
    </w:p>
    <w:p w14:paraId="25677B6E" w14:textId="77777777" w:rsidR="00D900EA" w:rsidRDefault="00D900EA" w:rsidP="00A17327"/>
    <w:p w14:paraId="55EAF2E4" w14:textId="595B3A6D" w:rsidR="00D900EA" w:rsidRDefault="00D900EA" w:rsidP="00A17327">
      <w:r>
        <w:rPr>
          <w:noProof/>
        </w:rPr>
        <mc:AlternateContent>
          <mc:Choice Requires="wps">
            <w:drawing>
              <wp:anchor distT="0" distB="0" distL="114300" distR="114300" simplePos="0" relativeHeight="251668480" behindDoc="0" locked="0" layoutInCell="1" allowOverlap="1" wp14:anchorId="1BDD3FB7" wp14:editId="0664C26A">
                <wp:simplePos x="0" y="0"/>
                <wp:positionH relativeFrom="column">
                  <wp:posOffset>1562100</wp:posOffset>
                </wp:positionH>
                <wp:positionV relativeFrom="paragraph">
                  <wp:posOffset>13335</wp:posOffset>
                </wp:positionV>
                <wp:extent cx="1874520" cy="396240"/>
                <wp:effectExtent l="0" t="0" r="11430" b="22860"/>
                <wp:wrapNone/>
                <wp:docPr id="131959144" name="Rectangle 15"/>
                <wp:cNvGraphicFramePr/>
                <a:graphic xmlns:a="http://schemas.openxmlformats.org/drawingml/2006/main">
                  <a:graphicData uri="http://schemas.microsoft.com/office/word/2010/wordprocessingShape">
                    <wps:wsp>
                      <wps:cNvSpPr/>
                      <wps:spPr>
                        <a:xfrm>
                          <a:off x="0" y="0"/>
                          <a:ext cx="1874520" cy="39624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53DF925C" w14:textId="3D899397" w:rsidR="00D900EA" w:rsidRPr="00D900EA" w:rsidRDefault="00D900EA" w:rsidP="00D900EA">
                            <w:pPr>
                              <w:jc w:val="center"/>
                              <w:rPr>
                                <w:lang w:val="en-US"/>
                              </w:rPr>
                            </w:pPr>
                            <w:r>
                              <w:rPr>
                                <w:lang w:val="en-US"/>
                              </w:rPr>
                              <w:t>Incident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DD3FB7" id="Rectangle 15" o:spid="_x0000_s1038" style="position:absolute;margin-left:123pt;margin-top:1.05pt;width:147.6pt;height:31.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5SkZgIAABoFAAAOAAAAZHJzL2Uyb0RvYy54bWysVEtv2zAMvg/YfxB0X21n6SuoUwQtOgwo&#10;umLt0LMiS7UxWdQoJXb260fJjtN13WXYxZb45sePurjsW8O2Cn0DtuTFUc6ZshKqxj6X/NvjzYcz&#10;znwQthIGrCr5Tnl+uXz/7qJzCzWDGkylkFEQ6xedK3kdgltkmZe1aoU/AqcsKTVgKwJd8TmrUHQU&#10;vTXZLM9Psg6wcghSeU/S60HJlym+1kqGL1p7FZgpOdUW0hfTdx2/2fJCLJ5RuLqRYxniH6poRWMp&#10;6RTqWgTBNtj8EaptJIIHHY4ktBlo3UiVeqBuivxVNw+1cCr1QuB4N8Hk/19Yebd9cPdIMHTOLzwd&#10;Yxe9xjb+qT7WJ7B2E1iqD0ySsDg7nR/PCFNJuo/nJ7N5QjM7eDv04ZOClsVDyZGGkTAS21sfKCOZ&#10;7k3ocsifTmFnVCzB2K9Ks6aijLPknaihrgyyraChVt+LQVyLSg2i4jjP97VM1ildChaj6saYKe4Y&#10;IFLu97hDjaNtdFOJUZNj/reCBsfJOmUEGybHtrGAbzmbUERKEjJ6sN8DM8ARkQn9uic8aACpxyha&#10;Q7W7R4Yw0Ns7edMQ5LfCh3uBxGeaEu1o+EIfbaArOYwnzmrAn2/Joz3RjLScdbQfJfc/NgIVZ+az&#10;JQKeF3MaOAvpMj8+jUzAl5r1S43dtFdA0yroNXAyHaN9MPujRmifaJVXMSuphJWUu+Qy4P5yFYa9&#10;pcdAqtUqmdESORFu7YOTMXgEOlLqsX8S6EbeBWLsHex3SSxe0W+wjZ4WVpsAukncPOA6joAWMA1m&#10;fCzihr+8J6vDk7b8BQAA//8DAFBLAwQUAAYACAAAACEAMUxABt4AAAAIAQAADwAAAGRycy9kb3du&#10;cmV2LnhtbEyPQU+EMBCF7yb+h2ZMvJjdArJkg5SNMSHeNKAHj922FiKdIu2y7L93POntTd7kve9V&#10;h9WNbDFzGDwKSLcJMIPK6wGtgPe3ZrMHFqJELUePRsDFBDjU11eVLLU/Y2uWLlpGIRhKKaCPcSo5&#10;D6o3ToatnwyS9+lnJyOds+V6lmcKdyPPkqTgTg5IDb2czFNv1Fd3cgKWpG3sh7o8q6b7tnfty+s9&#10;qkWI25v18QFYNGv8e4ZffEKHmpiO/oQ6sFFAlhe0JZJIgZG/y9MM2FFAke+A1xX/P6D+AQAA//8D&#10;AFBLAQItABQABgAIAAAAIQC2gziS/gAAAOEBAAATAAAAAAAAAAAAAAAAAAAAAABbQ29udGVudF9U&#10;eXBlc10ueG1sUEsBAi0AFAAGAAgAAAAhADj9If/WAAAAlAEAAAsAAAAAAAAAAAAAAAAALwEAAF9y&#10;ZWxzLy5yZWxzUEsBAi0AFAAGAAgAAAAhAIDHlKRmAgAAGgUAAA4AAAAAAAAAAAAAAAAALgIAAGRy&#10;cy9lMm9Eb2MueG1sUEsBAi0AFAAGAAgAAAAhADFMQAbeAAAACAEAAA8AAAAAAAAAAAAAAAAAwAQA&#10;AGRycy9kb3ducmV2LnhtbFBLBQYAAAAABAAEAPMAAADLBQAAAAA=&#10;" fillcolor="black [3200]" strokecolor="black [480]" strokeweight="1pt">
                <v:textbox>
                  <w:txbxContent>
                    <w:p w14:paraId="53DF925C" w14:textId="3D899397" w:rsidR="00D900EA" w:rsidRPr="00D900EA" w:rsidRDefault="00D900EA" w:rsidP="00D900EA">
                      <w:pPr>
                        <w:jc w:val="center"/>
                        <w:rPr>
                          <w:lang w:val="en-US"/>
                        </w:rPr>
                      </w:pPr>
                      <w:r>
                        <w:rPr>
                          <w:lang w:val="en-US"/>
                        </w:rPr>
                        <w:t>Incident Response</w:t>
                      </w:r>
                    </w:p>
                  </w:txbxContent>
                </v:textbox>
              </v:rect>
            </w:pict>
          </mc:Fallback>
        </mc:AlternateContent>
      </w:r>
    </w:p>
    <w:p w14:paraId="70986966" w14:textId="77777777" w:rsidR="00D900EA" w:rsidRDefault="00D900EA" w:rsidP="00A17327"/>
    <w:p w14:paraId="4B7B7248" w14:textId="16C8A6B3" w:rsidR="00D900EA" w:rsidRDefault="006460F6" w:rsidP="00A17327">
      <w:r>
        <w:t>(Fig.3, Technical Architecture Diagram)</w:t>
      </w:r>
    </w:p>
    <w:p w14:paraId="495C394A" w14:textId="61EFE6F0" w:rsidR="00F957B4" w:rsidRDefault="00F957B4" w:rsidP="00A17327">
      <w:r>
        <w:t>The above architecture diagram (Fig. 3), is directly proposed from key findings in Task 1 which deduced that threat actors are prioritising identity based attacks and increasingly distributed infrastructures, resulting in identity becoming the primary security control.</w:t>
      </w:r>
    </w:p>
    <w:p w14:paraId="02C75061" w14:textId="74FCD1CE" w:rsidR="00BF7FB2" w:rsidRDefault="00F957B4" w:rsidP="00A17327">
      <w:r>
        <w:lastRenderedPageBreak/>
        <w:t xml:space="preserve">The first </w:t>
      </w:r>
      <w:r w:rsidR="00537D17">
        <w:t>tier’s purpose is for continuous verification through Identity Governance and MFA to confirm user identities before access requests can</w:t>
      </w:r>
      <w:r w:rsidR="00BF7FB2">
        <w:t xml:space="preserve"> be evaluated, removing implicit trust. Requests will be assessed through factors such as identity, device posture and policy as ZTNA substitutes broad network access. </w:t>
      </w:r>
    </w:p>
    <w:p w14:paraId="6E2A3EB0" w14:textId="7770C177" w:rsidR="00BF7FB2" w:rsidRPr="00A17327" w:rsidRDefault="00BF7FB2" w:rsidP="00A17327">
      <w:r>
        <w:t>Organisational wide visibility will be supported by SIEM for continuous monitoring and assist in efficient incident response and threat isolation, and Cloud Security Posture Management (CSPM) will address cloud misconfigurations and risks.</w:t>
      </w:r>
    </w:p>
    <w:p w14:paraId="2866954B" w14:textId="77777777" w:rsidR="00FF6350" w:rsidRDefault="00FF6350" w:rsidP="00FF6350"/>
    <w:p w14:paraId="252B3CA6" w14:textId="0A741A3B" w:rsidR="00FF6350" w:rsidRDefault="00FF6350" w:rsidP="00FF6350">
      <w:pPr>
        <w:pStyle w:val="Heading2"/>
      </w:pPr>
      <w:bookmarkStart w:id="18" w:name="_Toc236142122"/>
      <w:r w:rsidRPr="00FF6350">
        <w:t>Strategic Risk Assessment</w:t>
      </w:r>
      <w:bookmarkEnd w:id="18"/>
    </w:p>
    <w:p w14:paraId="7A09A396" w14:textId="77777777" w:rsidR="00FF6350" w:rsidRDefault="00FF6350" w:rsidP="00FF6350"/>
    <w:tbl>
      <w:tblPr>
        <w:tblStyle w:val="PlainTable1"/>
        <w:tblW w:w="0" w:type="auto"/>
        <w:tblLook w:val="04A0" w:firstRow="1" w:lastRow="0" w:firstColumn="1" w:lastColumn="0" w:noHBand="0" w:noVBand="1"/>
      </w:tblPr>
      <w:tblGrid>
        <w:gridCol w:w="1900"/>
        <w:gridCol w:w="1780"/>
        <w:gridCol w:w="1769"/>
        <w:gridCol w:w="1769"/>
        <w:gridCol w:w="1798"/>
      </w:tblGrid>
      <w:tr w:rsidR="009622D5" w14:paraId="344AA9F2" w14:textId="77777777" w:rsidTr="009622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9B49A5D" w14:textId="24604020" w:rsidR="009622D5" w:rsidRDefault="009622D5" w:rsidP="00FF6350">
            <w:r>
              <w:t>Risk</w:t>
            </w:r>
          </w:p>
        </w:tc>
        <w:tc>
          <w:tcPr>
            <w:tcW w:w="1803" w:type="dxa"/>
          </w:tcPr>
          <w:p w14:paraId="2092EA75" w14:textId="632CD3DC" w:rsidR="009622D5" w:rsidRDefault="009622D5" w:rsidP="00FF6350">
            <w:pPr>
              <w:cnfStyle w:val="100000000000" w:firstRow="1" w:lastRow="0" w:firstColumn="0" w:lastColumn="0" w:oddVBand="0" w:evenVBand="0" w:oddHBand="0" w:evenHBand="0" w:firstRowFirstColumn="0" w:firstRowLastColumn="0" w:lastRowFirstColumn="0" w:lastRowLastColumn="0"/>
            </w:pPr>
            <w:r>
              <w:t>Likelihood</w:t>
            </w:r>
          </w:p>
        </w:tc>
        <w:tc>
          <w:tcPr>
            <w:tcW w:w="1803" w:type="dxa"/>
          </w:tcPr>
          <w:p w14:paraId="3F3949F8" w14:textId="0EB902D8" w:rsidR="009622D5" w:rsidRDefault="009622D5" w:rsidP="00FF6350">
            <w:pPr>
              <w:cnfStyle w:val="100000000000" w:firstRow="1" w:lastRow="0" w:firstColumn="0" w:lastColumn="0" w:oddVBand="0" w:evenVBand="0" w:oddHBand="0" w:evenHBand="0" w:firstRowFirstColumn="0" w:firstRowLastColumn="0" w:lastRowFirstColumn="0" w:lastRowLastColumn="0"/>
            </w:pPr>
            <w:r>
              <w:t>Impact</w:t>
            </w:r>
          </w:p>
        </w:tc>
        <w:tc>
          <w:tcPr>
            <w:tcW w:w="1803" w:type="dxa"/>
          </w:tcPr>
          <w:p w14:paraId="13D7832B" w14:textId="2E730283" w:rsidR="009622D5" w:rsidRDefault="009622D5" w:rsidP="00FF6350">
            <w:pPr>
              <w:cnfStyle w:val="100000000000" w:firstRow="1" w:lastRow="0" w:firstColumn="0" w:lastColumn="0" w:oddVBand="0" w:evenVBand="0" w:oddHBand="0" w:evenHBand="0" w:firstRowFirstColumn="0" w:firstRowLastColumn="0" w:lastRowFirstColumn="0" w:lastRowLastColumn="0"/>
            </w:pPr>
            <w:r>
              <w:t>Risk Score</w:t>
            </w:r>
          </w:p>
        </w:tc>
        <w:tc>
          <w:tcPr>
            <w:tcW w:w="1804" w:type="dxa"/>
          </w:tcPr>
          <w:p w14:paraId="4DCFB474" w14:textId="5544AF66" w:rsidR="009622D5" w:rsidRDefault="009622D5" w:rsidP="00FF6350">
            <w:pPr>
              <w:cnfStyle w:val="100000000000" w:firstRow="1" w:lastRow="0" w:firstColumn="0" w:lastColumn="0" w:oddVBand="0" w:evenVBand="0" w:oddHBand="0" w:evenHBand="0" w:firstRowFirstColumn="0" w:firstRowLastColumn="0" w:lastRowFirstColumn="0" w:lastRowLastColumn="0"/>
            </w:pPr>
            <w:r>
              <w:t>Mitigation Strategy</w:t>
            </w:r>
          </w:p>
        </w:tc>
      </w:tr>
      <w:tr w:rsidR="009622D5" w:rsidRPr="00F2062F" w14:paraId="7C476C4C" w14:textId="77777777" w:rsidTr="00F20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F6680A8" w14:textId="1631A090" w:rsidR="009622D5" w:rsidRDefault="009622D5" w:rsidP="00FF6350">
            <w:r>
              <w:t>Credential Compromise</w:t>
            </w:r>
          </w:p>
        </w:tc>
        <w:tc>
          <w:tcPr>
            <w:tcW w:w="1803" w:type="dxa"/>
            <w:vAlign w:val="center"/>
          </w:tcPr>
          <w:p w14:paraId="0A627B69" w14:textId="7FE34E44" w:rsidR="009622D5" w:rsidRDefault="009622D5" w:rsidP="009622D5">
            <w:pPr>
              <w:jc w:val="center"/>
              <w:cnfStyle w:val="000000100000" w:firstRow="0" w:lastRow="0" w:firstColumn="0" w:lastColumn="0" w:oddVBand="0" w:evenVBand="0" w:oddHBand="1" w:evenHBand="0" w:firstRowFirstColumn="0" w:firstRowLastColumn="0" w:lastRowFirstColumn="0" w:lastRowLastColumn="0"/>
            </w:pPr>
            <w:r>
              <w:t>High</w:t>
            </w:r>
          </w:p>
        </w:tc>
        <w:tc>
          <w:tcPr>
            <w:tcW w:w="1803" w:type="dxa"/>
            <w:vAlign w:val="center"/>
          </w:tcPr>
          <w:p w14:paraId="7F251E78" w14:textId="3A361022" w:rsidR="009622D5" w:rsidRDefault="009622D5" w:rsidP="009622D5">
            <w:pPr>
              <w:jc w:val="center"/>
              <w:cnfStyle w:val="000000100000" w:firstRow="0" w:lastRow="0" w:firstColumn="0" w:lastColumn="0" w:oddVBand="0" w:evenVBand="0" w:oddHBand="1" w:evenHBand="0" w:firstRowFirstColumn="0" w:firstRowLastColumn="0" w:lastRowFirstColumn="0" w:lastRowLastColumn="0"/>
            </w:pPr>
            <w:r>
              <w:t>High</w:t>
            </w:r>
          </w:p>
        </w:tc>
        <w:tc>
          <w:tcPr>
            <w:tcW w:w="1803" w:type="dxa"/>
            <w:vAlign w:val="center"/>
          </w:tcPr>
          <w:p w14:paraId="4E0ECBB1" w14:textId="58AC8057" w:rsidR="009622D5" w:rsidRDefault="009622D5" w:rsidP="009622D5">
            <w:pPr>
              <w:jc w:val="center"/>
              <w:cnfStyle w:val="000000100000" w:firstRow="0" w:lastRow="0" w:firstColumn="0" w:lastColumn="0" w:oddVBand="0" w:evenVBand="0" w:oddHBand="1" w:evenHBand="0" w:firstRowFirstColumn="0" w:firstRowLastColumn="0" w:lastRowFirstColumn="0" w:lastRowLastColumn="0"/>
            </w:pPr>
            <w:r>
              <w:t>High</w:t>
            </w:r>
          </w:p>
        </w:tc>
        <w:tc>
          <w:tcPr>
            <w:tcW w:w="1804" w:type="dxa"/>
            <w:vAlign w:val="center"/>
          </w:tcPr>
          <w:p w14:paraId="28A926EF" w14:textId="5CD512EB" w:rsidR="009622D5" w:rsidRPr="00F2062F" w:rsidRDefault="00F2062F" w:rsidP="00F2062F">
            <w:pPr>
              <w:cnfStyle w:val="000000100000" w:firstRow="0" w:lastRow="0" w:firstColumn="0" w:lastColumn="0" w:oddVBand="0" w:evenVBand="0" w:oddHBand="1" w:evenHBand="0" w:firstRowFirstColumn="0" w:firstRowLastColumn="0" w:lastRowFirstColumn="0" w:lastRowLastColumn="0"/>
            </w:pPr>
            <w:r w:rsidRPr="00F2062F">
              <w:t>MFA &amp; Identity Governance. Continuous st</w:t>
            </w:r>
            <w:r>
              <w:t>aff awareness training</w:t>
            </w:r>
          </w:p>
        </w:tc>
      </w:tr>
      <w:tr w:rsidR="009622D5" w14:paraId="3B6AEEBB" w14:textId="77777777" w:rsidTr="009622D5">
        <w:tc>
          <w:tcPr>
            <w:cnfStyle w:val="001000000000" w:firstRow="0" w:lastRow="0" w:firstColumn="1" w:lastColumn="0" w:oddVBand="0" w:evenVBand="0" w:oddHBand="0" w:evenHBand="0" w:firstRowFirstColumn="0" w:firstRowLastColumn="0" w:lastRowFirstColumn="0" w:lastRowLastColumn="0"/>
            <w:tcW w:w="1803" w:type="dxa"/>
          </w:tcPr>
          <w:p w14:paraId="5B1298C4" w14:textId="025A2BCC" w:rsidR="009622D5" w:rsidRDefault="009622D5" w:rsidP="00FF6350">
            <w:r>
              <w:t>Supply-chain compromise</w:t>
            </w:r>
          </w:p>
        </w:tc>
        <w:tc>
          <w:tcPr>
            <w:tcW w:w="1803" w:type="dxa"/>
            <w:vAlign w:val="center"/>
          </w:tcPr>
          <w:p w14:paraId="737B8C77" w14:textId="4CFD85EE" w:rsidR="009622D5" w:rsidRDefault="009622D5" w:rsidP="009622D5">
            <w:pPr>
              <w:jc w:val="center"/>
              <w:cnfStyle w:val="000000000000" w:firstRow="0" w:lastRow="0" w:firstColumn="0" w:lastColumn="0" w:oddVBand="0" w:evenVBand="0" w:oddHBand="0" w:evenHBand="0" w:firstRowFirstColumn="0" w:firstRowLastColumn="0" w:lastRowFirstColumn="0" w:lastRowLastColumn="0"/>
            </w:pPr>
            <w:r>
              <w:t>Medium</w:t>
            </w:r>
          </w:p>
        </w:tc>
        <w:tc>
          <w:tcPr>
            <w:tcW w:w="1803" w:type="dxa"/>
            <w:vAlign w:val="center"/>
          </w:tcPr>
          <w:p w14:paraId="65C89555" w14:textId="46EF8424" w:rsidR="009622D5" w:rsidRDefault="009622D5" w:rsidP="009622D5">
            <w:pPr>
              <w:jc w:val="center"/>
              <w:cnfStyle w:val="000000000000" w:firstRow="0" w:lastRow="0" w:firstColumn="0" w:lastColumn="0" w:oddVBand="0" w:evenVBand="0" w:oddHBand="0" w:evenHBand="0" w:firstRowFirstColumn="0" w:firstRowLastColumn="0" w:lastRowFirstColumn="0" w:lastRowLastColumn="0"/>
            </w:pPr>
            <w:r>
              <w:t>High</w:t>
            </w:r>
          </w:p>
        </w:tc>
        <w:tc>
          <w:tcPr>
            <w:tcW w:w="1803" w:type="dxa"/>
            <w:vAlign w:val="center"/>
          </w:tcPr>
          <w:p w14:paraId="5B15D17E" w14:textId="15041E65" w:rsidR="009622D5" w:rsidRDefault="009622D5" w:rsidP="009622D5">
            <w:pPr>
              <w:jc w:val="center"/>
              <w:cnfStyle w:val="000000000000" w:firstRow="0" w:lastRow="0" w:firstColumn="0" w:lastColumn="0" w:oddVBand="0" w:evenVBand="0" w:oddHBand="0" w:evenHBand="0" w:firstRowFirstColumn="0" w:firstRowLastColumn="0" w:lastRowFirstColumn="0" w:lastRowLastColumn="0"/>
            </w:pPr>
            <w:r>
              <w:t>High</w:t>
            </w:r>
          </w:p>
        </w:tc>
        <w:tc>
          <w:tcPr>
            <w:tcW w:w="1804" w:type="dxa"/>
          </w:tcPr>
          <w:p w14:paraId="6F12B306" w14:textId="2EA29BAF" w:rsidR="009622D5" w:rsidRDefault="00F2062F" w:rsidP="00FF6350">
            <w:pPr>
              <w:cnfStyle w:val="000000000000" w:firstRow="0" w:lastRow="0" w:firstColumn="0" w:lastColumn="0" w:oddVBand="0" w:evenVBand="0" w:oddHBand="0" w:evenHBand="0" w:firstRowFirstColumn="0" w:firstRowLastColumn="0" w:lastRowFirstColumn="0" w:lastRowLastColumn="0"/>
            </w:pPr>
            <w:r>
              <w:t xml:space="preserve">Supplier assessments and contractual security responsibilities </w:t>
            </w:r>
          </w:p>
        </w:tc>
      </w:tr>
      <w:tr w:rsidR="009622D5" w14:paraId="35EF5C3F" w14:textId="77777777" w:rsidTr="0096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0555806" w14:textId="05208847" w:rsidR="009622D5" w:rsidRDefault="009622D5" w:rsidP="00FF6350">
            <w:r>
              <w:t>Cloud Misconfiguration</w:t>
            </w:r>
          </w:p>
        </w:tc>
        <w:tc>
          <w:tcPr>
            <w:tcW w:w="1803" w:type="dxa"/>
            <w:vAlign w:val="center"/>
          </w:tcPr>
          <w:p w14:paraId="351E9AB9" w14:textId="4E70D910" w:rsidR="009622D5" w:rsidRDefault="009622D5" w:rsidP="009622D5">
            <w:pPr>
              <w:jc w:val="center"/>
              <w:cnfStyle w:val="000000100000" w:firstRow="0" w:lastRow="0" w:firstColumn="0" w:lastColumn="0" w:oddVBand="0" w:evenVBand="0" w:oddHBand="1" w:evenHBand="0" w:firstRowFirstColumn="0" w:firstRowLastColumn="0" w:lastRowFirstColumn="0" w:lastRowLastColumn="0"/>
            </w:pPr>
            <w:r>
              <w:t>Medium</w:t>
            </w:r>
          </w:p>
        </w:tc>
        <w:tc>
          <w:tcPr>
            <w:tcW w:w="1803" w:type="dxa"/>
            <w:vAlign w:val="center"/>
          </w:tcPr>
          <w:p w14:paraId="72227C0D" w14:textId="71377358" w:rsidR="009622D5" w:rsidRDefault="009622D5" w:rsidP="009622D5">
            <w:pPr>
              <w:jc w:val="center"/>
              <w:cnfStyle w:val="000000100000" w:firstRow="0" w:lastRow="0" w:firstColumn="0" w:lastColumn="0" w:oddVBand="0" w:evenVBand="0" w:oddHBand="1" w:evenHBand="0" w:firstRowFirstColumn="0" w:firstRowLastColumn="0" w:lastRowFirstColumn="0" w:lastRowLastColumn="0"/>
            </w:pPr>
            <w:r>
              <w:t>Medium</w:t>
            </w:r>
          </w:p>
        </w:tc>
        <w:tc>
          <w:tcPr>
            <w:tcW w:w="1803" w:type="dxa"/>
            <w:vAlign w:val="center"/>
          </w:tcPr>
          <w:p w14:paraId="2FFDFE8D" w14:textId="668C7BD9" w:rsidR="009622D5" w:rsidRDefault="009622D5" w:rsidP="009622D5">
            <w:pPr>
              <w:jc w:val="center"/>
              <w:cnfStyle w:val="000000100000" w:firstRow="0" w:lastRow="0" w:firstColumn="0" w:lastColumn="0" w:oddVBand="0" w:evenVBand="0" w:oddHBand="1" w:evenHBand="0" w:firstRowFirstColumn="0" w:firstRowLastColumn="0" w:lastRowFirstColumn="0" w:lastRowLastColumn="0"/>
            </w:pPr>
            <w:r>
              <w:t>Medium</w:t>
            </w:r>
          </w:p>
        </w:tc>
        <w:tc>
          <w:tcPr>
            <w:tcW w:w="1804" w:type="dxa"/>
          </w:tcPr>
          <w:p w14:paraId="3E1B3C91" w14:textId="698FF311" w:rsidR="009622D5" w:rsidRDefault="00F2062F" w:rsidP="00FF6350">
            <w:pPr>
              <w:cnfStyle w:val="000000100000" w:firstRow="0" w:lastRow="0" w:firstColumn="0" w:lastColumn="0" w:oddVBand="0" w:evenVBand="0" w:oddHBand="1" w:evenHBand="0" w:firstRowFirstColumn="0" w:firstRowLastColumn="0" w:lastRowFirstColumn="0" w:lastRowLastColumn="0"/>
            </w:pPr>
            <w:r w:rsidRPr="00F2062F">
              <w:t>CSPM for cloud configurations and continuous monitoring of cloud resources</w:t>
            </w:r>
          </w:p>
        </w:tc>
      </w:tr>
    </w:tbl>
    <w:p w14:paraId="6B0849BD" w14:textId="36458E11" w:rsidR="009622D5" w:rsidRDefault="00F2062F" w:rsidP="00FF6350">
      <w:r>
        <w:t>(Fig.4, Risk Register Table)</w:t>
      </w:r>
    </w:p>
    <w:p w14:paraId="214D4D5B" w14:textId="77777777" w:rsidR="00F2062F" w:rsidRDefault="00F2062F" w:rsidP="00FF6350"/>
    <w:p w14:paraId="079F2555" w14:textId="26693B73" w:rsidR="00F2062F" w:rsidRDefault="00F2062F" w:rsidP="00FF6350">
      <w:r>
        <w:t xml:space="preserve">The risks displayed in the table above (Fig.4), have been identified through research findings gathered from Task 1. Credential compromise has </w:t>
      </w:r>
      <w:r w:rsidR="00494886">
        <w:t xml:space="preserve">been </w:t>
      </w:r>
      <w:r>
        <w:t xml:space="preserve">recognised </w:t>
      </w:r>
      <w:r w:rsidR="00494886">
        <w:t>as the highest priority from results stated in the ENISA Threat Landscape 2025 showing phishing as the most common initial infection point at 60%. With The Board of Directors’ growing concerns with targeted ransomware in the financial sector</w:t>
      </w:r>
      <w:r w:rsidR="00886707">
        <w:t>, and it being stated within the majority of deployed malicious code, it is crucial for identity security to be a top priority.</w:t>
      </w:r>
    </w:p>
    <w:p w14:paraId="122E301C" w14:textId="7188ABC8" w:rsidR="00802AED" w:rsidRDefault="00802AED" w:rsidP="00FF6350">
      <w:r>
        <w:t xml:space="preserve">Supply-chain compromise has been identified as high impact risk since the reliance and quantity of external vendors has developed in conjunction with cloud services. It vital for Zero Trust principles to extend </w:t>
      </w:r>
      <w:r w:rsidR="00205CE6">
        <w:t xml:space="preserve">beyond internal stakeholders to third parties to mitigate risks of unauthorised access with contractual accountability. </w:t>
      </w:r>
    </w:p>
    <w:p w14:paraId="255A4AC3" w14:textId="76E851D8" w:rsidR="00886707" w:rsidRDefault="00886707" w:rsidP="00FF6350">
      <w:r>
        <w:t>The substantial increase</w:t>
      </w:r>
      <w:r w:rsidR="00802AED">
        <w:t xml:space="preserve"> and reliance</w:t>
      </w:r>
      <w:r>
        <w:t xml:space="preserve"> </w:t>
      </w:r>
      <w:r w:rsidR="00802AED">
        <w:t>of</w:t>
      </w:r>
      <w:r>
        <w:t xml:space="preserve"> cloud </w:t>
      </w:r>
      <w:r w:rsidR="00802AED">
        <w:t>infrastructure, as discussed in Task 1, has directly expanded the attack surface. Securing</w:t>
      </w:r>
      <w:r w:rsidR="00205CE6">
        <w:t xml:space="preserve"> and managing</w:t>
      </w:r>
      <w:r w:rsidR="00802AED">
        <w:t xml:space="preserve"> cloud </w:t>
      </w:r>
      <w:r w:rsidR="00205CE6">
        <w:t>environments is a priority to minimise the probability of a data breach or intrusion.</w:t>
      </w:r>
    </w:p>
    <w:p w14:paraId="490B4255" w14:textId="77777777" w:rsidR="00886707" w:rsidRDefault="00886707" w:rsidP="00FF6350"/>
    <w:p w14:paraId="44122DD0" w14:textId="370B2A6D" w:rsidR="00FF6350" w:rsidRDefault="00FF6350" w:rsidP="00FF6350">
      <w:pPr>
        <w:pStyle w:val="Heading2"/>
      </w:pPr>
      <w:bookmarkStart w:id="19" w:name="_Toc236142123"/>
      <w:r w:rsidRPr="00FF6350">
        <w:lastRenderedPageBreak/>
        <w:t>Incident Response and Business Continuity</w:t>
      </w:r>
      <w:bookmarkEnd w:id="19"/>
    </w:p>
    <w:p w14:paraId="30C05674" w14:textId="77777777" w:rsidR="00B03A3E" w:rsidRDefault="00B03A3E" w:rsidP="00FF6350"/>
    <w:p w14:paraId="160D20A3" w14:textId="7EC15627" w:rsidR="00FF6350" w:rsidRDefault="00B03A3E" w:rsidP="00FF6350">
      <w:r>
        <w:t xml:space="preserve">The following playbook will guide Aegis Fintech in response to an immediate ransomware attack. Task 1 has outlined that ransomware typically follows up from an initial breach caused by stolen credentials so the </w:t>
      </w:r>
      <w:r w:rsidR="001A25FC">
        <w:t>management</w:t>
      </w:r>
      <w:r>
        <w:t xml:space="preserve"> concentrates on containment, limiting </w:t>
      </w:r>
      <w:r w:rsidR="001A25FC">
        <w:t>lateral movement</w:t>
      </w:r>
      <w:r>
        <w:t xml:space="preserve"> and the recovery process</w:t>
      </w:r>
      <w:r w:rsidR="001A25FC">
        <w:t xml:space="preserve"> to restore critical systems</w:t>
      </w:r>
    </w:p>
    <w:p w14:paraId="1AE4F621" w14:textId="77777777" w:rsidR="005F7C47" w:rsidRDefault="005F7C47" w:rsidP="00FF6350"/>
    <w:p w14:paraId="6D926280" w14:textId="20AD0A51" w:rsidR="00B03A3E" w:rsidRDefault="00B03A3E" w:rsidP="00FF6350">
      <w:r w:rsidRPr="00FC138C">
        <w:rPr>
          <w:b/>
          <w:bCs/>
        </w:rPr>
        <w:t xml:space="preserve">1 </w:t>
      </w:r>
      <w:r w:rsidR="005F7C47" w:rsidRPr="00FC138C">
        <w:rPr>
          <w:b/>
          <w:bCs/>
        </w:rPr>
        <w:t>– Identification:</w:t>
      </w:r>
      <w:r w:rsidR="005F7C47">
        <w:t xml:space="preserve"> By utilising alerts from SIEM and endpoint protection, identify the scope and impact of infected systems</w:t>
      </w:r>
    </w:p>
    <w:p w14:paraId="7CDBB179" w14:textId="34D5E7B9" w:rsidR="005F7C47" w:rsidRDefault="005F7C47" w:rsidP="00FF6350">
      <w:r w:rsidRPr="00FC138C">
        <w:rPr>
          <w:b/>
          <w:bCs/>
        </w:rPr>
        <w:t>2 – Containment</w:t>
      </w:r>
      <w:r>
        <w:t xml:space="preserve">: Isolate affected </w:t>
      </w:r>
      <w:r w:rsidR="00FC138C">
        <w:t>devices and deactivate breached accounts to mitigate the spread</w:t>
      </w:r>
    </w:p>
    <w:p w14:paraId="7894DC82" w14:textId="42653357" w:rsidR="005F7C47" w:rsidRDefault="005F7C47" w:rsidP="00FF6350">
      <w:r w:rsidRPr="00FC138C">
        <w:rPr>
          <w:b/>
          <w:bCs/>
        </w:rPr>
        <w:t>3 – Threat Removal:</w:t>
      </w:r>
      <w:r w:rsidR="00FC138C">
        <w:t xml:space="preserve"> Remove ransomware infection and identify vulnerabilities in access for full eradication. Affected credentials must be reset and access vulnerabilities fixed.</w:t>
      </w:r>
    </w:p>
    <w:p w14:paraId="4C8DD5D4" w14:textId="72948928" w:rsidR="005F7C47" w:rsidRPr="00FC138C" w:rsidRDefault="005F7C47" w:rsidP="00FF6350">
      <w:r w:rsidRPr="00FC138C">
        <w:rPr>
          <w:b/>
          <w:bCs/>
        </w:rPr>
        <w:t>4 – Recovery:</w:t>
      </w:r>
      <w:r w:rsidR="00FC138C" w:rsidRPr="00FC138C">
        <w:rPr>
          <w:b/>
          <w:bCs/>
        </w:rPr>
        <w:t xml:space="preserve"> </w:t>
      </w:r>
      <w:r w:rsidR="00FC138C">
        <w:t xml:space="preserve">Using immutable backups restore affected systems but testing is required before </w:t>
      </w:r>
      <w:r w:rsidR="0042049A">
        <w:t>establishing a connection back to the network</w:t>
      </w:r>
    </w:p>
    <w:p w14:paraId="0585DCD7" w14:textId="16C881AC" w:rsidR="005F7C47" w:rsidRDefault="005F7C47" w:rsidP="00FF6350">
      <w:r w:rsidRPr="00FC138C">
        <w:rPr>
          <w:b/>
          <w:bCs/>
        </w:rPr>
        <w:t>5 – Lessons learned:</w:t>
      </w:r>
      <w:r w:rsidR="0042049A">
        <w:rPr>
          <w:b/>
          <w:bCs/>
        </w:rPr>
        <w:t xml:space="preserve"> </w:t>
      </w:r>
      <w:r w:rsidR="0042049A">
        <w:t>Internal review and reflection after the incident to identify improvements to processes or systems where appropriate</w:t>
      </w:r>
    </w:p>
    <w:p w14:paraId="589523FC" w14:textId="77777777" w:rsidR="0042049A" w:rsidRDefault="0042049A" w:rsidP="00FF6350"/>
    <w:p w14:paraId="476E0C99" w14:textId="634D4235" w:rsidR="0042049A" w:rsidRDefault="0042049A" w:rsidP="00FF6350">
      <w:pPr>
        <w:rPr>
          <w:b/>
          <w:bCs/>
        </w:rPr>
      </w:pPr>
      <w:r w:rsidRPr="0042049A">
        <w:rPr>
          <w:b/>
          <w:bCs/>
        </w:rPr>
        <w:t>Communication plans:</w:t>
      </w:r>
    </w:p>
    <w:p w14:paraId="39CB16C9" w14:textId="7531DC22" w:rsidR="0042049A" w:rsidRPr="00C13CA7" w:rsidRDefault="00C13CA7" w:rsidP="0042049A">
      <w:pPr>
        <w:pStyle w:val="ListParagraph"/>
        <w:numPr>
          <w:ilvl w:val="0"/>
          <w:numId w:val="9"/>
        </w:numPr>
        <w:rPr>
          <w:b/>
          <w:bCs/>
        </w:rPr>
      </w:pPr>
      <w:r>
        <w:t>Incident Response will be notified after confirmation of the ransomware</w:t>
      </w:r>
    </w:p>
    <w:p w14:paraId="18C522AD" w14:textId="7A9DDFCA" w:rsidR="00C13CA7" w:rsidRPr="00C13CA7" w:rsidRDefault="00C13CA7" w:rsidP="0042049A">
      <w:pPr>
        <w:pStyle w:val="ListParagraph"/>
        <w:numPr>
          <w:ilvl w:val="0"/>
          <w:numId w:val="9"/>
        </w:numPr>
        <w:rPr>
          <w:b/>
          <w:bCs/>
        </w:rPr>
      </w:pPr>
      <w:r>
        <w:t>Updates of the business impact and resolution with be directly communicated with senior management</w:t>
      </w:r>
    </w:p>
    <w:p w14:paraId="1726FCE8" w14:textId="701ADE4E" w:rsidR="00C13CA7" w:rsidRPr="00C13CA7" w:rsidRDefault="00C13CA7" w:rsidP="0042049A">
      <w:pPr>
        <w:pStyle w:val="ListParagraph"/>
        <w:numPr>
          <w:ilvl w:val="0"/>
          <w:numId w:val="9"/>
        </w:numPr>
        <w:rPr>
          <w:b/>
          <w:bCs/>
        </w:rPr>
      </w:pPr>
      <w:r>
        <w:t>Consistent updates to teams engaged in the remediation of the incident</w:t>
      </w:r>
    </w:p>
    <w:p w14:paraId="5B525A9C" w14:textId="5E277E50" w:rsidR="00C13CA7" w:rsidRPr="00DD78EA" w:rsidRDefault="00C13CA7" w:rsidP="0042049A">
      <w:pPr>
        <w:pStyle w:val="ListParagraph"/>
        <w:numPr>
          <w:ilvl w:val="0"/>
          <w:numId w:val="9"/>
        </w:numPr>
        <w:rPr>
          <w:b/>
          <w:bCs/>
        </w:rPr>
      </w:pPr>
      <w:r>
        <w:t>Inform staff members of affected systems</w:t>
      </w:r>
      <w:r w:rsidR="00DD78EA">
        <w:t xml:space="preserve"> and advice of any temporary preventive measures</w:t>
      </w:r>
    </w:p>
    <w:p w14:paraId="3E3FAAB4" w14:textId="253DDF94" w:rsidR="00DD78EA" w:rsidRPr="00DD78EA" w:rsidRDefault="00DD78EA" w:rsidP="0042049A">
      <w:pPr>
        <w:pStyle w:val="ListParagraph"/>
        <w:numPr>
          <w:ilvl w:val="0"/>
          <w:numId w:val="9"/>
        </w:numPr>
        <w:rPr>
          <w:b/>
          <w:bCs/>
        </w:rPr>
      </w:pPr>
      <w:r>
        <w:t>Regular public service announcements to customers of any operational disruptions, recommendations or risks to sensitive data</w:t>
      </w:r>
    </w:p>
    <w:p w14:paraId="76132E7F" w14:textId="59D56B52" w:rsidR="00DD78EA" w:rsidRPr="00DD78EA" w:rsidRDefault="00DD78EA" w:rsidP="0042049A">
      <w:pPr>
        <w:pStyle w:val="ListParagraph"/>
        <w:numPr>
          <w:ilvl w:val="0"/>
          <w:numId w:val="9"/>
        </w:numPr>
        <w:rPr>
          <w:b/>
          <w:bCs/>
        </w:rPr>
      </w:pPr>
      <w:r>
        <w:t>Liaise with GDPR and DORA  informing of the incident if necessary</w:t>
      </w:r>
    </w:p>
    <w:p w14:paraId="1CF181B0" w14:textId="7C0A8259" w:rsidR="00DD78EA" w:rsidRPr="00DD78EA" w:rsidRDefault="00DD78EA" w:rsidP="0042049A">
      <w:pPr>
        <w:pStyle w:val="ListParagraph"/>
        <w:numPr>
          <w:ilvl w:val="0"/>
          <w:numId w:val="9"/>
        </w:numPr>
        <w:rPr>
          <w:b/>
          <w:bCs/>
        </w:rPr>
      </w:pPr>
      <w:r>
        <w:t>Document activity and timelines of the incident to support reflection process</w:t>
      </w:r>
    </w:p>
    <w:p w14:paraId="7DAB6C60" w14:textId="77777777" w:rsidR="00DD78EA" w:rsidRDefault="00DD78EA" w:rsidP="00DD78EA">
      <w:pPr>
        <w:rPr>
          <w:b/>
          <w:bCs/>
        </w:rPr>
      </w:pPr>
    </w:p>
    <w:p w14:paraId="7D9490AC" w14:textId="01415A7F" w:rsidR="00DD78EA" w:rsidRDefault="00DD78EA" w:rsidP="00DD78EA">
      <w:pPr>
        <w:rPr>
          <w:b/>
          <w:bCs/>
        </w:rPr>
      </w:pPr>
      <w:r>
        <w:rPr>
          <w:b/>
          <w:bCs/>
        </w:rPr>
        <w:t>Procedures for restoring systems from immutable backups:</w:t>
      </w:r>
    </w:p>
    <w:p w14:paraId="0B1849C4" w14:textId="0717FFB6" w:rsidR="00DD78EA" w:rsidRPr="0060690E" w:rsidRDefault="0060690E" w:rsidP="00DD78EA">
      <w:pPr>
        <w:pStyle w:val="ListParagraph"/>
        <w:numPr>
          <w:ilvl w:val="0"/>
          <w:numId w:val="9"/>
        </w:numPr>
        <w:rPr>
          <w:b/>
          <w:bCs/>
        </w:rPr>
      </w:pPr>
      <w:r>
        <w:t>Once confirmation has been gathered of the ransomware containment, investigate any remaining traces of infection within systems</w:t>
      </w:r>
    </w:p>
    <w:p w14:paraId="7487E48E" w14:textId="75810475" w:rsidR="0060690E" w:rsidRPr="0060690E" w:rsidRDefault="0060690E" w:rsidP="00DD78EA">
      <w:pPr>
        <w:pStyle w:val="ListParagraph"/>
        <w:numPr>
          <w:ilvl w:val="0"/>
          <w:numId w:val="9"/>
        </w:numPr>
        <w:rPr>
          <w:b/>
          <w:bCs/>
        </w:rPr>
      </w:pPr>
      <w:r>
        <w:t>Verify and validate the most recent usable immutable backup</w:t>
      </w:r>
    </w:p>
    <w:p w14:paraId="7ACF4796" w14:textId="59D83E00" w:rsidR="0060690E" w:rsidRPr="0060690E" w:rsidRDefault="0060690E" w:rsidP="00DD78EA">
      <w:pPr>
        <w:pStyle w:val="ListParagraph"/>
        <w:numPr>
          <w:ilvl w:val="0"/>
          <w:numId w:val="9"/>
        </w:numPr>
        <w:rPr>
          <w:b/>
          <w:bCs/>
        </w:rPr>
      </w:pPr>
      <w:r>
        <w:t>Depending on operational requirements, prioritise and restore necessary critical systems</w:t>
      </w:r>
    </w:p>
    <w:p w14:paraId="4BB054DA" w14:textId="524CCE16" w:rsidR="0060690E" w:rsidRPr="00C352EE" w:rsidRDefault="00C352EE" w:rsidP="00DD78EA">
      <w:pPr>
        <w:pStyle w:val="ListParagraph"/>
        <w:numPr>
          <w:ilvl w:val="0"/>
          <w:numId w:val="9"/>
        </w:numPr>
        <w:rPr>
          <w:b/>
          <w:bCs/>
        </w:rPr>
      </w:pPr>
      <w:r>
        <w:t>Isolate</w:t>
      </w:r>
      <w:r w:rsidR="0060690E">
        <w:t xml:space="preserve"> systems </w:t>
      </w:r>
      <w:r>
        <w:t>and test</w:t>
      </w:r>
      <w:r w:rsidR="0060690E">
        <w:t xml:space="preserve"> functional</w:t>
      </w:r>
      <w:r>
        <w:t>ity before entirely restoring systems</w:t>
      </w:r>
    </w:p>
    <w:p w14:paraId="344889E8" w14:textId="7E9B7A8B" w:rsidR="00C352EE" w:rsidRPr="00C352EE" w:rsidRDefault="00C352EE" w:rsidP="00DD78EA">
      <w:pPr>
        <w:pStyle w:val="ListParagraph"/>
        <w:numPr>
          <w:ilvl w:val="0"/>
          <w:numId w:val="9"/>
        </w:numPr>
        <w:rPr>
          <w:b/>
          <w:bCs/>
        </w:rPr>
      </w:pPr>
      <w:r>
        <w:t>Continually monitor activity to track signs of reinfection</w:t>
      </w:r>
    </w:p>
    <w:p w14:paraId="167F2B60" w14:textId="43ED3125" w:rsidR="00145835" w:rsidRPr="001A25FC" w:rsidRDefault="00C352EE" w:rsidP="00FF6350">
      <w:pPr>
        <w:pStyle w:val="ListParagraph"/>
        <w:numPr>
          <w:ilvl w:val="0"/>
          <w:numId w:val="9"/>
        </w:numPr>
        <w:rPr>
          <w:b/>
          <w:bCs/>
        </w:rPr>
      </w:pPr>
      <w:r>
        <w:t xml:space="preserve">Services </w:t>
      </w:r>
      <w:r w:rsidR="001A25FC">
        <w:t>to</w:t>
      </w:r>
      <w:r>
        <w:t xml:space="preserve"> be restored </w:t>
      </w:r>
      <w:r w:rsidR="001A25FC">
        <w:t>to normal operation once integrity is confirmed</w:t>
      </w:r>
    </w:p>
    <w:p w14:paraId="657ADFD4" w14:textId="35E9BE07" w:rsidR="001D1AC5" w:rsidRPr="001D1AC5" w:rsidRDefault="00FF6350" w:rsidP="001D1AC5">
      <w:pPr>
        <w:pStyle w:val="Heading2"/>
      </w:pPr>
      <w:bookmarkStart w:id="20" w:name="_Toc236142124"/>
      <w:r w:rsidRPr="00FF6350">
        <w:lastRenderedPageBreak/>
        <w:t>Governance and Strategic Roadmap</w:t>
      </w:r>
      <w:bookmarkEnd w:id="20"/>
    </w:p>
    <w:p w14:paraId="36E456B0" w14:textId="77777777" w:rsidR="001D1AC5" w:rsidRPr="001D1AC5" w:rsidRDefault="001D1AC5" w:rsidP="001D1AC5"/>
    <w:p w14:paraId="6952FBE8" w14:textId="77777777" w:rsidR="001A25FC" w:rsidRPr="001A25FC" w:rsidRDefault="001A25FC" w:rsidP="001A25FC"/>
    <w:p w14:paraId="586DA99F" w14:textId="77777777" w:rsidR="001D1AC5" w:rsidRDefault="001D1AC5">
      <w:pPr>
        <w:rPr>
          <w:lang w:val="en-US"/>
        </w:rPr>
      </w:pPr>
    </w:p>
    <w:p w14:paraId="684A9E58" w14:textId="77777777" w:rsidR="001D1AC5" w:rsidRDefault="001D1AC5">
      <w:pPr>
        <w:rPr>
          <w:lang w:val="en-US"/>
        </w:rPr>
      </w:pPr>
    </w:p>
    <w:p w14:paraId="2C8C5CDE" w14:textId="77777777" w:rsidR="001D1AC5" w:rsidRDefault="001D1AC5">
      <w:pPr>
        <w:rPr>
          <w:lang w:val="en-US"/>
        </w:rPr>
      </w:pPr>
    </w:p>
    <w:p w14:paraId="0E21D55E" w14:textId="77777777" w:rsidR="001D1AC5" w:rsidRDefault="001D1AC5">
      <w:pPr>
        <w:rPr>
          <w:lang w:val="en-US"/>
        </w:rPr>
      </w:pPr>
    </w:p>
    <w:p w14:paraId="6A4ADC05" w14:textId="77777777" w:rsidR="001D1AC5" w:rsidRDefault="001D1AC5">
      <w:pPr>
        <w:rPr>
          <w:lang w:val="en-US"/>
        </w:rPr>
      </w:pPr>
    </w:p>
    <w:p w14:paraId="559F9A6B" w14:textId="77777777" w:rsidR="001D1AC5" w:rsidRDefault="001D1AC5">
      <w:pPr>
        <w:rPr>
          <w:lang w:val="en-US"/>
        </w:rPr>
      </w:pPr>
    </w:p>
    <w:p w14:paraId="37672B6C" w14:textId="77777777" w:rsidR="001D1AC5" w:rsidRDefault="001D1AC5">
      <w:pPr>
        <w:rPr>
          <w:lang w:val="en-US"/>
        </w:rPr>
      </w:pPr>
    </w:p>
    <w:p w14:paraId="029DBEFE" w14:textId="77777777" w:rsidR="001D1AC5" w:rsidRDefault="001D1AC5">
      <w:pPr>
        <w:rPr>
          <w:lang w:val="en-US"/>
        </w:rPr>
      </w:pPr>
    </w:p>
    <w:p w14:paraId="4C674882" w14:textId="77777777" w:rsidR="001D1AC5" w:rsidRDefault="001D1AC5">
      <w:pPr>
        <w:rPr>
          <w:lang w:val="en-US"/>
        </w:rPr>
      </w:pPr>
    </w:p>
    <w:p w14:paraId="7B661959" w14:textId="77777777" w:rsidR="001D1AC5" w:rsidRDefault="001D1AC5">
      <w:pPr>
        <w:rPr>
          <w:lang w:val="en-US"/>
        </w:rPr>
      </w:pPr>
      <w:r>
        <w:rPr>
          <w:noProof/>
        </w:rPr>
        <mc:AlternateContent>
          <mc:Choice Requires="wps">
            <w:drawing>
              <wp:anchor distT="0" distB="0" distL="114300" distR="114300" simplePos="0" relativeHeight="251678720" behindDoc="0" locked="0" layoutInCell="1" allowOverlap="1" wp14:anchorId="7337A6A3" wp14:editId="00FB8AD2">
                <wp:simplePos x="0" y="0"/>
                <wp:positionH relativeFrom="column">
                  <wp:posOffset>1790700</wp:posOffset>
                </wp:positionH>
                <wp:positionV relativeFrom="page">
                  <wp:posOffset>1851660</wp:posOffset>
                </wp:positionV>
                <wp:extent cx="1333500" cy="525780"/>
                <wp:effectExtent l="0" t="0" r="19050" b="26670"/>
                <wp:wrapNone/>
                <wp:docPr id="1011488586" name="Rectangle 26"/>
                <wp:cNvGraphicFramePr/>
                <a:graphic xmlns:a="http://schemas.openxmlformats.org/drawingml/2006/main">
                  <a:graphicData uri="http://schemas.microsoft.com/office/word/2010/wordprocessingShape">
                    <wps:wsp>
                      <wps:cNvSpPr/>
                      <wps:spPr>
                        <a:xfrm>
                          <a:off x="0" y="0"/>
                          <a:ext cx="1333500" cy="5257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F611A3" w14:textId="3B81EDC8" w:rsidR="002D145A" w:rsidRPr="002D145A" w:rsidRDefault="002D145A" w:rsidP="002D145A">
                            <w:pPr>
                              <w:jc w:val="center"/>
                              <w:rPr>
                                <w:lang w:val="en-US"/>
                              </w:rPr>
                            </w:pPr>
                            <w:r>
                              <w:rPr>
                                <w:lang w:val="en-US"/>
                              </w:rPr>
                              <w:t>CEO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7A6A3" id="Rectangle 26" o:spid="_x0000_s1039" style="position:absolute;margin-left:141pt;margin-top:145.8pt;width:105pt;height:41.4pt;z-index:25167872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jFEZwIAACYFAAAOAAAAZHJzL2Uyb0RvYy54bWysVFFP2zAQfp+0/2D5faRp6WAVKapATJMQ&#10;IGDi2XXsJpLj885uk+7X7+ykKQK0h2kvic93993583e+uOwaw3YKfQ224PnJhDNlJZS13RT85/PN&#10;l3POfBC2FAasKvheeX65/PzponULNYUKTKmQEYj1i9YVvArBLbLMy0o1wp+AU5acGrARgUzcZCWK&#10;ltAbk00nk69ZC1g6BKm8p93r3smXCV9rJcO91l4FZgpOvYX0xfRdx2+2vBCLDQpX1XJoQ/xDF42o&#10;LRUdoa5FEGyL9TuoppYIHnQ4kdBkoHUtVToDnSafvDnNUyWcSmchcrwbafL/D1be7Z7cAxINrfML&#10;T8t4ik5jE//UH+sSWfuRLNUFJmkzn81m8wlxKsk3n87PzhOb2THboQ/fFTQsLgqOdBmJI7G79YEq&#10;UughhIxj/bQKe6NiC8Y+Ks3qkipOU3aShroyyHaCLlVIqWzIe1clStVv59TaoZ8xI5VMgBFZ18aM&#10;2ANAlN177L7XIT6mqqSsMXnyt8b65DEjVQYbxuSmtoAfARg61VC5jz+Q1FMTWQrduiNu6DJSaNxa&#10;Q7l/QIbQS907eVMT/bfChweBpG26MZrXcE8fbaAtOAwrzirA3x/tx3iSHHk5a2lWCu5/bQUqzswP&#10;S2L8lp+exuFKxun8bEoGvvasX3vstrkCurmcXgYn0zLGB3NYaoTmhcZ6FauSS1hJtQsuAx6Mq9DP&#10;MD0MUq1WKYwGyolwa5+cjOCR6Civ5+5FoBs0GEi9d3CYK7F4I8U+NmZaWG0D6Drp9MjrcAU0jElL&#10;w8MRp/21naKOz9vyDwAAAP//AwBQSwMEFAAGAAgAAAAhAIpW7ofgAAAACwEAAA8AAABkcnMvZG93&#10;bnJldi54bWxMj81uwkAMhO+V+g4rI/VWNoSUJmk2CFXtgVuhiLNJTBKxP1F2gbRPX3OiN9szGn9T&#10;LEejxYUG3zmrYDaNQJCtXN3ZRsHu+/M5BeED2hq1s6Tghzwsy8eHAvPaXe2GLtvQCA6xPkcFbQh9&#10;LqWvWjLop64ny9rRDQYDr0Mj6wGvHG60jKNoIQ12lj+02NN7S9VpezYKftdHGX35j3S3Wmcv826j&#10;93vUSj1NxtUbiEBjuJvhhs/oUDLTwZ1t7YVWEKcxdwk8ZLMFCHYk2e1yUDB/TRKQZSH/dyj/AAAA&#10;//8DAFBLAQItABQABgAIAAAAIQC2gziS/gAAAOEBAAATAAAAAAAAAAAAAAAAAAAAAABbQ29udGVu&#10;dF9UeXBlc10ueG1sUEsBAi0AFAAGAAgAAAAhADj9If/WAAAAlAEAAAsAAAAAAAAAAAAAAAAALwEA&#10;AF9yZWxzLy5yZWxzUEsBAi0AFAAGAAgAAAAhALZWMURnAgAAJgUAAA4AAAAAAAAAAAAAAAAALgIA&#10;AGRycy9lMm9Eb2MueG1sUEsBAi0AFAAGAAgAAAAhAIpW7ofgAAAACwEAAA8AAAAAAAAAAAAAAAAA&#10;wQQAAGRycy9kb3ducmV2LnhtbFBLBQYAAAAABAAEAPMAAADOBQAAAAA=&#10;" fillcolor="#156082 [3204]" strokecolor="#030e13 [484]" strokeweight="1pt">
                <v:textbox>
                  <w:txbxContent>
                    <w:p w14:paraId="1DF611A3" w14:textId="3B81EDC8" w:rsidR="002D145A" w:rsidRPr="002D145A" w:rsidRDefault="002D145A" w:rsidP="002D145A">
                      <w:pPr>
                        <w:jc w:val="center"/>
                        <w:rPr>
                          <w:lang w:val="en-US"/>
                        </w:rPr>
                      </w:pPr>
                      <w:r>
                        <w:rPr>
                          <w:lang w:val="en-US"/>
                        </w:rPr>
                        <w:t>CEO</w:t>
                      </w:r>
                    </w:p>
                  </w:txbxContent>
                </v:textbox>
                <w10:wrap anchory="page"/>
              </v:rect>
            </w:pict>
          </mc:Fallback>
        </mc:AlternateContent>
      </w:r>
      <w:r>
        <w:rPr>
          <w:noProof/>
        </w:rPr>
        <mc:AlternateContent>
          <mc:Choice Requires="wps">
            <w:drawing>
              <wp:anchor distT="0" distB="0" distL="114300" distR="114300" simplePos="0" relativeHeight="251688960" behindDoc="0" locked="0" layoutInCell="1" allowOverlap="1" wp14:anchorId="3FABF9B1" wp14:editId="4D09552F">
                <wp:simplePos x="0" y="0"/>
                <wp:positionH relativeFrom="column">
                  <wp:posOffset>320040</wp:posOffset>
                </wp:positionH>
                <wp:positionV relativeFrom="page">
                  <wp:posOffset>3326130</wp:posOffset>
                </wp:positionV>
                <wp:extent cx="266700" cy="419100"/>
                <wp:effectExtent l="0" t="0" r="19050" b="19050"/>
                <wp:wrapNone/>
                <wp:docPr id="596630502" name="Straight Connector 37"/>
                <wp:cNvGraphicFramePr/>
                <a:graphic xmlns:a="http://schemas.openxmlformats.org/drawingml/2006/main">
                  <a:graphicData uri="http://schemas.microsoft.com/office/word/2010/wordprocessingShape">
                    <wps:wsp>
                      <wps:cNvCnPr/>
                      <wps:spPr>
                        <a:xfrm flipH="1">
                          <a:off x="0" y="0"/>
                          <a:ext cx="26670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F13781" id="Straight Connector 37"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page" from="25.2pt,261.9pt" to="46.2pt,2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ybpgEAAJYDAAAOAAAAZHJzL2Uyb0RvYy54bWysU8tu2zAQvAfoPxC815KMwm0EyzkkaHso&#10;2qCPD2CopUWULywZS/77LilbKZoGCIJcCD52Zndml9uryRp2AIzau443q5ozcNL32u07/uvnx7cf&#10;OItJuF4Y76DjR4j8avfmYjuGFtZ+8KYHZETiYjuGjg8phbaqohzAirjyARw9Ko9WJDrivupRjMRu&#10;TbWu6001euwDegkx0u3N/Mh3hV8pkOmbUhESMx2n2lJZsax3ea12W9HuUYRBy1MZ4gVVWKEdJV2o&#10;bkQS7B71IyqrJfroVVpJbyuvlJZQNJCapv5HzY9BBChayJwYFpvi69HKr4drd4tkwxhiG8MtZhWT&#10;QsuU0eEz9bTookrZVGw7LrbBlJiky/Vm874mcyU9vWsuG9oTXzXTZLqAMX0Cb1nedNxol1WJVhy+&#10;xDSHnkMI91BI2aWjgRxs3HdQTPeUcC6pzAhcG2QHQd3tfzentCUyQ5Q2ZgHVJeWToFNshkGZm+cC&#10;l+iS0bu0AK12Hv+XNU3nUtUcf1Y9a82y73x/LG0pdlDzi6GnQc3T9fe5wB++0+4PAAAA//8DAFBL&#10;AwQUAAYACAAAACEAG9DHBtwAAAAJAQAADwAAAGRycy9kb3ducmV2LnhtbEyPQU/DMAyF70j7D5En&#10;cWMJhY6uNJ22SYgzG5fd0sa0FY3TNdlW/j3mxE6Wn5+ev1esJ9eLC46h86ThcaFAINXedtRo+Dy8&#10;PWQgQjRkTe8JNfxggHU5uytMbv2VPvCyj43gEAq50dDGOORShrpFZ8LCD0h8+/KjM5HXsZF2NFcO&#10;d71MlFpKZzriD60ZcNdi/b0/Ow2Hd6emKnY7pNOL2hy36ZKOqdb382nzCiLiFP/N8IfP6FAyU+XP&#10;ZIPoNaTqmZ08kyeuwIZVwkLFQrbKQJaFvG1Q/gIAAP//AwBQSwECLQAUAAYACAAAACEAtoM4kv4A&#10;AADhAQAAEwAAAAAAAAAAAAAAAAAAAAAAW0NvbnRlbnRfVHlwZXNdLnhtbFBLAQItABQABgAIAAAA&#10;IQA4/SH/1gAAAJQBAAALAAAAAAAAAAAAAAAAAC8BAABfcmVscy8ucmVsc1BLAQItABQABgAIAAAA&#10;IQDvpTybpgEAAJYDAAAOAAAAAAAAAAAAAAAAAC4CAABkcnMvZTJvRG9jLnhtbFBLAQItABQABgAI&#10;AAAAIQAb0McG3AAAAAkBAAAPAAAAAAAAAAAAAAAAAAAEAABkcnMvZG93bnJldi54bWxQSwUGAAAA&#10;AAQABADzAAAACQUAAAAA&#10;" strokecolor="black [3200]" strokeweight=".5pt">
                <v:stroke joinstyle="miter"/>
                <w10:wrap anchory="page"/>
              </v:line>
            </w:pict>
          </mc:Fallback>
        </mc:AlternateContent>
      </w:r>
      <w:r>
        <w:rPr>
          <w:noProof/>
        </w:rPr>
        <mc:AlternateContent>
          <mc:Choice Requires="wps">
            <w:drawing>
              <wp:anchor distT="0" distB="0" distL="114300" distR="114300" simplePos="0" relativeHeight="251687936" behindDoc="0" locked="0" layoutInCell="1" allowOverlap="1" wp14:anchorId="0306202D" wp14:editId="7A15BD12">
                <wp:simplePos x="0" y="0"/>
                <wp:positionH relativeFrom="column">
                  <wp:posOffset>4130040</wp:posOffset>
                </wp:positionH>
                <wp:positionV relativeFrom="page">
                  <wp:posOffset>3318510</wp:posOffset>
                </wp:positionV>
                <wp:extent cx="7620" cy="358140"/>
                <wp:effectExtent l="0" t="0" r="30480" b="22860"/>
                <wp:wrapNone/>
                <wp:docPr id="636012416" name="Straight Connector 36"/>
                <wp:cNvGraphicFramePr/>
                <a:graphic xmlns:a="http://schemas.openxmlformats.org/drawingml/2006/main">
                  <a:graphicData uri="http://schemas.microsoft.com/office/word/2010/wordprocessingShape">
                    <wps:wsp>
                      <wps:cNvCnPr/>
                      <wps:spPr>
                        <a:xfrm>
                          <a:off x="0" y="0"/>
                          <a:ext cx="7620" cy="3581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930717" id="Straight Connector 3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page" from="325.2pt,261.3pt" to="325.8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XngEAAIoDAAAOAAAAZHJzL2Uyb0RvYy54bWysU8tu2zAQvBfoPxC815LcJg0EyzkkaC9B&#10;GrTpBzDU0iJCcgmSseS/75K25aINgiDIheJjZndndrW6nKxhWwhRo+t4s6g5Ayex127T8d/33z5d&#10;cBaTcL0w6KDjO4j8cv3xw2r0LSxxQNNDYBTExXb0HR9S8m1VRTmAFXGBHhw9KgxWJDqGTdUHMVJ0&#10;a6plXZ9XI4beB5QQI91e7x/5usRXCmT6oVSExEzHqbZU1lDWh7xW65VoN0H4QctDGeINVVihHSWd&#10;Q12LJNhT0P+FsloGjKjSQqKtUCktoWggNU39j5pfg/BQtJA50c82xfcLK2+3V+4ukA2jj230dyGr&#10;mFSw+Uv1samYtZvNgikxSZdfz5dkqKSHz2cXzZdiZXWi+hDTd0DL8qbjRrusRLRiexMTpSPoEUKH&#10;U/KySzsDGWzcT1BM95SuKewyF3BlAtsK6mj/2OQOUqyCzBSljZlJ9cukAzbToMzKa4kzumREl2ai&#10;1Q7Dc1nTdCxV7fFH1XutWfYD9rvSimIHNbwoOwxnnqi/z4V++oXWfwAAAP//AwBQSwMEFAAGAAgA&#10;AAAhAKDXfjDfAAAACwEAAA8AAABkcnMvZG93bnJldi54bWxMj8tOwzAQRfdI/IM1SOyo3YgYCHGq&#10;qhJCbBBNYe/GrhPwI7KdNPw9wwp28zi6c6beLM6SWcc0BC9gvWJAtO+CGrwR8H54urkHkrL0Strg&#10;tYBvnWDTXF7UslLh7Pd6brMhGOJTJQX0OY8VpanrtZNpFUbtcXcK0cmMbTRURXnGcGdpwRinTg4e&#10;L/Ry1Lted1/t5ATYlzh/mJ3Zpul5z9vPt1PxepiFuL5ato9Asl7yHwy/+qgODTodw+RVIlYAL9kt&#10;ogLKouBAkODlGosjTu4eGNCmpv9/aH4AAAD//wMAUEsBAi0AFAAGAAgAAAAhALaDOJL+AAAA4QEA&#10;ABMAAAAAAAAAAAAAAAAAAAAAAFtDb250ZW50X1R5cGVzXS54bWxQSwECLQAUAAYACAAAACEAOP0h&#10;/9YAAACUAQAACwAAAAAAAAAAAAAAAAAvAQAAX3JlbHMvLnJlbHNQSwECLQAUAAYACAAAACEAJWwf&#10;l54BAACKAwAADgAAAAAAAAAAAAAAAAAuAgAAZHJzL2Uyb0RvYy54bWxQSwECLQAUAAYACAAAACEA&#10;oNd+MN8AAAALAQAADwAAAAAAAAAAAAAAAAD4AwAAZHJzL2Rvd25yZXYueG1sUEsFBgAAAAAEAAQA&#10;8wAAAAQFAAAAAA==&#10;" strokecolor="black [3200]" strokeweight=".5pt">
                <v:stroke joinstyle="miter"/>
                <w10:wrap anchory="page"/>
              </v:line>
            </w:pict>
          </mc:Fallback>
        </mc:AlternateContent>
      </w:r>
      <w:r w:rsidR="002D145A">
        <w:rPr>
          <w:noProof/>
        </w:rPr>
        <mc:AlternateContent>
          <mc:Choice Requires="wps">
            <w:drawing>
              <wp:anchor distT="0" distB="0" distL="114300" distR="114300" simplePos="0" relativeHeight="251686912" behindDoc="0" locked="0" layoutInCell="1" allowOverlap="1" wp14:anchorId="1DE5E678" wp14:editId="2F034E68">
                <wp:simplePos x="0" y="0"/>
                <wp:positionH relativeFrom="column">
                  <wp:posOffset>2750820</wp:posOffset>
                </wp:positionH>
                <wp:positionV relativeFrom="page">
                  <wp:posOffset>3333750</wp:posOffset>
                </wp:positionV>
                <wp:extent cx="7620" cy="388620"/>
                <wp:effectExtent l="0" t="0" r="30480" b="30480"/>
                <wp:wrapNone/>
                <wp:docPr id="2070583187" name="Straight Connector 35"/>
                <wp:cNvGraphicFramePr/>
                <a:graphic xmlns:a="http://schemas.openxmlformats.org/drawingml/2006/main">
                  <a:graphicData uri="http://schemas.microsoft.com/office/word/2010/wordprocessingShape">
                    <wps:wsp>
                      <wps:cNvCnPr/>
                      <wps:spPr>
                        <a:xfrm>
                          <a:off x="0" y="0"/>
                          <a:ext cx="7620" cy="388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D83B27" id="Straight Connector 3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page" from="216.6pt,262.5pt" to="217.2pt,2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vPgmgEAAIoDAAAOAAAAZHJzL2Uyb0RvYy54bWysU01P4zAQva+0/8HynSYtElRRUw4guKwW&#10;xO7+AOOMGwvbY9neJv33jN02RewKIcRl4o95b+Y9T1ZXozVsCyFqdC2fz2rOwEnstNu0/M/v27Ml&#10;ZzEJ1wmDDlq+g8iv1t+/rQbfwAJ7NB0ERiQuNoNveZ+Sb6oqyh6siDP04OhSYbAi0TZsqi6Igdit&#10;qRZ1fVENGDofUEKMdHqzv+Trwq8UyHSvVITETMupt1RiKPEpx2q9Es0mCN9reWhDfKILK7SjohPV&#10;jUiC/Q36HyqrZcCIKs0k2gqV0hKKBlIzr9+o+dULD0ULmRP9ZFP8Olr5c3vtHgLZMPjYRP8QsopR&#10;BZu/1B8bi1m7ySwYE5N0eHmxIEMlXZwvl3lNHNUJ6kNMd4CW5UXLjXZZiWjE9kdM+9RjCuFOxcsq&#10;7QzkZOMeQTHdUbl5QZe5gGsT2FbQi3bP80PZkpkhShszger3QYfcDIMyKx8FTtmlIro0Aa12GP5X&#10;NY3HVtU+/6h6rzXLfsJuV56i2EEPXgw9DGeeqNf7Aj/9QusXAAAA//8DAFBLAwQUAAYACAAAACEA&#10;xAd/XeAAAAALAQAADwAAAGRycy9kb3ducmV2LnhtbEyPy07DMBBF90j8gzVI7KiDk0ZViFNVlRBi&#10;g2gKezd2nYAfke2k4e8ZVnQ5M0d3zq23izVkViEO3nF4XGVAlOu8HJzm8HF8ftgAiUk4KYx3isOP&#10;irBtbm9qUUl/cQc1t0kTDHGxEhz6lMaK0tj1yoq48qNyeDv7YEXCMWgqg7hguDWUZVlJrRgcfujF&#10;qPa96r7byXIwr2H+1Hu9i9PLoWy/3s/s7Thzfn+37J6AJLWkfxj+9FEdGnQ6+cnJSAyHIs8ZohzW&#10;bI2lkCjyogByws2mZECbml53aH4BAAD//wMAUEsBAi0AFAAGAAgAAAAhALaDOJL+AAAA4QEAABMA&#10;AAAAAAAAAAAAAAAAAAAAAFtDb250ZW50X1R5cGVzXS54bWxQSwECLQAUAAYACAAAACEAOP0h/9YA&#10;AACUAQAACwAAAAAAAAAAAAAAAAAvAQAAX3JlbHMvLnJlbHNQSwECLQAUAAYACAAAACEAtBrz4JoB&#10;AACKAwAADgAAAAAAAAAAAAAAAAAuAgAAZHJzL2Uyb0RvYy54bWxQSwECLQAUAAYACAAAACEAxAd/&#10;XeAAAAALAQAADwAAAAAAAAAAAAAAAAD0AwAAZHJzL2Rvd25yZXYueG1sUEsFBgAAAAAEAAQA8wAA&#10;AAEFAAAAAA==&#10;" strokecolor="black [3200]" strokeweight=".5pt">
                <v:stroke joinstyle="miter"/>
                <w10:wrap anchory="page"/>
              </v:line>
            </w:pict>
          </mc:Fallback>
        </mc:AlternateContent>
      </w:r>
      <w:r w:rsidR="002D145A">
        <w:rPr>
          <w:noProof/>
        </w:rPr>
        <mc:AlternateContent>
          <mc:Choice Requires="wps">
            <w:drawing>
              <wp:anchor distT="0" distB="0" distL="114300" distR="114300" simplePos="0" relativeHeight="251685888" behindDoc="0" locked="0" layoutInCell="1" allowOverlap="1" wp14:anchorId="1CB3444E" wp14:editId="2CE3B0CB">
                <wp:simplePos x="0" y="0"/>
                <wp:positionH relativeFrom="column">
                  <wp:posOffset>1554480</wp:posOffset>
                </wp:positionH>
                <wp:positionV relativeFrom="page">
                  <wp:posOffset>3326130</wp:posOffset>
                </wp:positionV>
                <wp:extent cx="0" cy="411480"/>
                <wp:effectExtent l="0" t="0" r="38100" b="26670"/>
                <wp:wrapNone/>
                <wp:docPr id="1346297673" name="Straight Connector 34"/>
                <wp:cNvGraphicFramePr/>
                <a:graphic xmlns:a="http://schemas.openxmlformats.org/drawingml/2006/main">
                  <a:graphicData uri="http://schemas.microsoft.com/office/word/2010/wordprocessingShape">
                    <wps:wsp>
                      <wps:cNvCnPr/>
                      <wps:spPr>
                        <a:xfrm>
                          <a:off x="0" y="0"/>
                          <a:ext cx="0" cy="411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7F4A5C" id="Straight Connector 3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page" from="122.4pt,261.9pt" to="122.4pt,29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6UmAEAAIcDAAAOAAAAZHJzL2Uyb0RvYy54bWysU9uO0zAQfUfiHyy/0ySrFVpFTfdhV/CC&#10;YMXlA7zOuLGwPZZtmvTvGU/bFAFCCPHi+DLnzJwzk+394p04QMoWwyC7TSsFBI2jDftBfvn85tWd&#10;FLmoMCqHAQZ5hCzvdy9fbOfYww1O6EZIgkhC7uc4yKmU2DdN1hN4lTcYIdCjweRVoWPaN2NSM7F7&#10;19y07etmxjTGhBpyptvH06PcMb8xoMsHYzIU4QZJtRVeE6/PdW12W9Xvk4qT1ecy1D9U4ZUNlHSl&#10;elRFiW/J/kLlrU6Y0ZSNRt+gMVYDayA1XfuTmk+TisBayJwcV5vy/6PV7w8P4SmRDXPMfY5PqapY&#10;TPL1S/WJhc06rmbBUoQ+XWq6ve262zv2sbniYsrlLaAXdTNIZ0OVoXp1eJcL5aLQSwgdrpl5V44O&#10;arALH8EIO1KujtE8FPDgkjgoauf4tavtIy6OrBBjnVtB7Z9B59gKAx6UvwWu0ZwRQ1mB3gZMv8ta&#10;lkup5hR/UX3SWmU/43jkPrAd1G1Wdp7MOk4/nhl+/X923wEAAP//AwBQSwMEFAAGAAgAAAAhAAmS&#10;lyXeAAAACwEAAA8AAABkcnMvZG93bnJldi54bWxMj8FOwzAQRO9I/IO1SNyoQyhRFOJUVSWEuCCa&#10;wt2NXSdgryPbScPfs4gD3HZnRrNv683iLJt1iINHAberDJjGzqsBjYC3w+NNCSwmiUpaj1rAl46w&#10;aS4valkpf8a9nttkGJVgrKSAPqWx4jx2vXYyrvyokbyTD04mWoPhKsgzlTvL8ywruJMD0oVejnrX&#10;6+6znZwA+xzmd7Mz2zg97Yv24/WUvxxmIa6vlu0DsKSX9BeGH3xCh4aYjn5CFZkVkK/XhJ4E3Od3&#10;NFDiVzmSUpYF8Kbm/39ovgEAAP//AwBQSwECLQAUAAYACAAAACEAtoM4kv4AAADhAQAAEwAAAAAA&#10;AAAAAAAAAAAAAAAAW0NvbnRlbnRfVHlwZXNdLnhtbFBLAQItABQABgAIAAAAIQA4/SH/1gAAAJQB&#10;AAALAAAAAAAAAAAAAAAAAC8BAABfcmVscy8ucmVsc1BLAQItABQABgAIAAAAIQARGm6UmAEAAIcD&#10;AAAOAAAAAAAAAAAAAAAAAC4CAABkcnMvZTJvRG9jLnhtbFBLAQItABQABgAIAAAAIQAJkpcl3gAA&#10;AAsBAAAPAAAAAAAAAAAAAAAAAPIDAABkcnMvZG93bnJldi54bWxQSwUGAAAAAAQABADzAAAA/QQA&#10;AAAA&#10;" strokecolor="black [3200]" strokeweight=".5pt">
                <v:stroke joinstyle="miter"/>
                <w10:wrap anchory="page"/>
              </v:line>
            </w:pict>
          </mc:Fallback>
        </mc:AlternateContent>
      </w:r>
      <w:r w:rsidR="002D145A">
        <w:rPr>
          <w:noProof/>
        </w:rPr>
        <mc:AlternateContent>
          <mc:Choice Requires="wps">
            <w:drawing>
              <wp:anchor distT="0" distB="0" distL="114300" distR="114300" simplePos="0" relativeHeight="251684864" behindDoc="0" locked="0" layoutInCell="1" allowOverlap="1" wp14:anchorId="307E2E3C" wp14:editId="36021A63">
                <wp:simplePos x="0" y="0"/>
                <wp:positionH relativeFrom="column">
                  <wp:posOffset>2484120</wp:posOffset>
                </wp:positionH>
                <wp:positionV relativeFrom="page">
                  <wp:posOffset>2381250</wp:posOffset>
                </wp:positionV>
                <wp:extent cx="7620" cy="472440"/>
                <wp:effectExtent l="0" t="0" r="30480" b="22860"/>
                <wp:wrapNone/>
                <wp:docPr id="1863653902" name="Straight Connector 32"/>
                <wp:cNvGraphicFramePr/>
                <a:graphic xmlns:a="http://schemas.openxmlformats.org/drawingml/2006/main">
                  <a:graphicData uri="http://schemas.microsoft.com/office/word/2010/wordprocessingShape">
                    <wps:wsp>
                      <wps:cNvCnPr/>
                      <wps:spPr>
                        <a:xfrm>
                          <a:off x="0" y="0"/>
                          <a:ext cx="7620" cy="4724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29F358" id="Straight Connector 3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page" from="195.6pt,187.5pt" to="196.2pt,2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MJ3nQEAAIoDAAAOAAAAZHJzL2Uyb0RvYy54bWysU8tu2zAQvAfIPxC815INIwkEyz4kaC9B&#10;G+TxAQy1tIiQXIJkLfnvu6RtuUiKoihyofiY2d2ZXa02ozVsByFqdC2fz2rOwEnstNu2/OX565cb&#10;zmISrhMGHbR8D5Fv1pcXq8E3sMAeTQeBURAXm8G3vE/JN1UVZQ9WxBl6cPSoMFiR6Bi2VRfEQNGt&#10;qRZ1fVUNGDofUEKMdHt3eOTrEl8pkOmHUhESMy2n2lJZQ1lf81qtV6LZBuF7LY9liP+owgrtKOkU&#10;6k4kwX4G/SGU1TJgRJVmEm2FSmkJRQOpmdfv1Dz1wkPRQuZEP9kUPy+s/L67dQ+BbBh8bKJ/CFnF&#10;qILNX6qPjcWs/WQWjIlJury+WpChkh6W14vlslhZnak+xPQN0LK8abnRLisRjdjdx0TpCHqC0OGc&#10;vOzS3kAGG/cIiumO0s0Lu8wF3JrAdoI62r3NcwcpVkFmitLGTKT676QjNtOgzMq/Eid0yYguTUSr&#10;HYY/ZU3jqVR1wJ9UH7Rm2a/Y7Usrih3U8KLsOJx5on4/F/r5F1r/AgAA//8DAFBLAwQUAAYACAAA&#10;ACEAMKveGuEAAAALAQAADwAAAGRycy9kb3ducmV2LnhtbEyPwU7DMAyG70i8Q2QkbixdVwYtTadp&#10;EkJc0NbBPWuytNA4VZJ25e0xJ7jZ8qff319uZtuzSfvQORSwXCTANDZOdWgEvB+f7x6BhShRyd6h&#10;FvCtA2yq66tSFspd8KCnOhpGIRgKKaCNcSg4D02rrQwLN2ik29l5KyOt3nDl5YXCbc/TJFlzKzuk&#10;D60c9K7VzVc9WgH9q58+zM5sw/hyWNef+3P6dpyEuL2Zt0/Aop7jHwy/+qQOFTmd3IgqsF7AKl+m&#10;hNLwcE+liFjlaQbsJCDL8gx4VfL/HaofAAAA//8DAFBLAQItABQABgAIAAAAIQC2gziS/gAAAOEB&#10;AAATAAAAAAAAAAAAAAAAAAAAAABbQ29udGVudF9UeXBlc10ueG1sUEsBAi0AFAAGAAgAAAAhADj9&#10;If/WAAAAlAEAAAsAAAAAAAAAAAAAAAAALwEAAF9yZWxzLy5yZWxzUEsBAi0AFAAGAAgAAAAhAECo&#10;wnedAQAAigMAAA4AAAAAAAAAAAAAAAAALgIAAGRycy9lMm9Eb2MueG1sUEsBAi0AFAAGAAgAAAAh&#10;ADCr3hrhAAAACwEAAA8AAAAAAAAAAAAAAAAA9wMAAGRycy9kb3ducmV2LnhtbFBLBQYAAAAABAAE&#10;APMAAAAFBQAAAAA=&#10;" strokecolor="black [3200]" strokeweight=".5pt">
                <v:stroke joinstyle="miter"/>
                <w10:wrap anchory="page"/>
              </v:line>
            </w:pict>
          </mc:Fallback>
        </mc:AlternateContent>
      </w:r>
      <w:r w:rsidR="002D145A">
        <w:rPr>
          <w:noProof/>
        </w:rPr>
        <mc:AlternateContent>
          <mc:Choice Requires="wps">
            <w:drawing>
              <wp:anchor distT="0" distB="0" distL="114300" distR="114300" simplePos="0" relativeHeight="251680768" behindDoc="0" locked="0" layoutInCell="1" allowOverlap="1" wp14:anchorId="33E89DEA" wp14:editId="09BB1C1D">
                <wp:simplePos x="0" y="0"/>
                <wp:positionH relativeFrom="margin">
                  <wp:align>left</wp:align>
                </wp:positionH>
                <wp:positionV relativeFrom="page">
                  <wp:posOffset>3745230</wp:posOffset>
                </wp:positionV>
                <wp:extent cx="518160" cy="502920"/>
                <wp:effectExtent l="0" t="0" r="15240" b="11430"/>
                <wp:wrapNone/>
                <wp:docPr id="343910803" name="Rectangle 28"/>
                <wp:cNvGraphicFramePr/>
                <a:graphic xmlns:a="http://schemas.openxmlformats.org/drawingml/2006/main">
                  <a:graphicData uri="http://schemas.microsoft.com/office/word/2010/wordprocessingShape">
                    <wps:wsp>
                      <wps:cNvSpPr/>
                      <wps:spPr>
                        <a:xfrm>
                          <a:off x="0" y="0"/>
                          <a:ext cx="51816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3AB7FC" w14:textId="127DD31E" w:rsidR="002D145A" w:rsidRPr="002D145A" w:rsidRDefault="002D145A" w:rsidP="002D145A">
                            <w:pPr>
                              <w:jc w:val="center"/>
                              <w:rPr>
                                <w:lang w:val="en-US"/>
                              </w:rPr>
                            </w:pPr>
                            <w:r>
                              <w:rPr>
                                <w:lang w:val="en-US"/>
                              </w:rPr>
                              <w:t>CISO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89DEA" id="Rectangle 28" o:spid="_x0000_s1040" style="position:absolute;margin-left:0;margin-top:294.9pt;width:40.8pt;height:39.6pt;z-index:251680768;visibility:visible;mso-wrap-style:square;mso-wrap-distance-left:9pt;mso-wrap-distance-top:0;mso-wrap-distance-right:9pt;mso-wrap-distance-bottom:0;mso-position-horizontal:left;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cppZwIAACUFAAAOAAAAZHJzL2Uyb0RvYy54bWysVFFP2zAQfp+0/2D5fSSpKIOKFFUgpkkI&#10;0MrEs+vYJJLj885uk+7X7+ykKQK0h2kvie27++7u83e+vOpbw3YKfQO25MVJzpmyEqrGvpT859Pt&#10;l3POfBC2EgasKvleeX61/PzpsnMLNYMaTKWQEYj1i86VvA7BLbLMy1q1wp+AU5aMGrAVgbb4klUo&#10;OkJvTTbL87OsA6wcglTe0+nNYOTLhK+1kuFBa68CMyWn2kL6Yvpu4jdbXorFCwpXN3IsQ/xDFa1o&#10;LCWdoG5EEGyLzTuotpEIHnQ4kdBmoHUjVeqBuinyN92sa+FU6oXI8W6iyf8/WHm/W7tHJBo65xee&#10;lrGLXmMb/1Qf6xNZ+4ks1Qcm6XBenBdnRKkk0zyfXcwSmdkx2KEP3xS0LC5KjnQXiSKxu/OBEpLr&#10;wYU2x/RpFfZGxQqM/aE0aypKOEvRSRnq2iDbCbpTIaWyoRhMtajUcFzM8/xQzxSRUibAiKwbYybs&#10;ESCq7j32UOvoH0NVEtYUnP+tsCF4ikiZwYYpuG0s4EcAhroaMw/+B5IGaiJLod/0xA3N3Sy6xqMN&#10;VPtHZAiD0r2Ttw3Rfyd8eBRI0qYbo3END/TRBrqSw7jirAb8/dF59CfFkZWzjkal5P7XVqDizHy3&#10;pMWL4vQ0zlbanM6/khIYvrZsXlvstr0GurmCHgYn0zL6B3NYaoT2maZ6FbOSSVhJuUsuAx4212EY&#10;YXoXpFqtkhvNkxPhzq6djOCR6Civp/5ZoBs1GEi893AYK7F4I8XBN0ZaWG0D6Cbp9MjreAU0i0lL&#10;47sRh/31PnkdX7flHwAAAP//AwBQSwMEFAAGAAgAAAAhAAU7oyncAAAABwEAAA8AAABkcnMvZG93&#10;bnJldi54bWxMj09PwkAUxO8mfofNI/Emu2ho2tpXQoweuAkSzo/uo23YP013geqndz3pcTKTmd9U&#10;q8kaceUx9N4hLOYKBLvG6961CPvP98ccRIjkNBnvGOGLA6zq+7uKSu1vbsvXXWxFKnGhJIQuxqGU&#10;MjQdWwpzP7BL3smPlmKSYyv1SLdUbo18UiqTlnqXFjoa+LXj5ry7WITvzUmqj/CW79ebYvncb83h&#10;QAbxYTatX0BEnuJfGH7xEzrUienoL04HYRDSkYiwzIt0INn5IgNxRMiyQoGsK/mfv/4BAAD//wMA&#10;UEsBAi0AFAAGAAgAAAAhALaDOJL+AAAA4QEAABMAAAAAAAAAAAAAAAAAAAAAAFtDb250ZW50X1R5&#10;cGVzXS54bWxQSwECLQAUAAYACAAAACEAOP0h/9YAAACUAQAACwAAAAAAAAAAAAAAAAAvAQAAX3Jl&#10;bHMvLnJlbHNQSwECLQAUAAYACAAAACEAJ3HKaWcCAAAlBQAADgAAAAAAAAAAAAAAAAAuAgAAZHJz&#10;L2Uyb0RvYy54bWxQSwECLQAUAAYACAAAACEABTujKdwAAAAHAQAADwAAAAAAAAAAAAAAAADBBAAA&#10;ZHJzL2Rvd25yZXYueG1sUEsFBgAAAAAEAAQA8wAAAMoFAAAAAA==&#10;" fillcolor="#156082 [3204]" strokecolor="#030e13 [484]" strokeweight="1pt">
                <v:textbox>
                  <w:txbxContent>
                    <w:p w14:paraId="173AB7FC" w14:textId="127DD31E" w:rsidR="002D145A" w:rsidRPr="002D145A" w:rsidRDefault="002D145A" w:rsidP="002D145A">
                      <w:pPr>
                        <w:jc w:val="center"/>
                        <w:rPr>
                          <w:lang w:val="en-US"/>
                        </w:rPr>
                      </w:pPr>
                      <w:r>
                        <w:rPr>
                          <w:lang w:val="en-US"/>
                        </w:rPr>
                        <w:t>CISO</w:t>
                      </w:r>
                    </w:p>
                  </w:txbxContent>
                </v:textbox>
                <w10:wrap anchorx="margin" anchory="page"/>
              </v:rect>
            </w:pict>
          </mc:Fallback>
        </mc:AlternateContent>
      </w:r>
      <w:r w:rsidR="002D145A">
        <w:rPr>
          <w:noProof/>
        </w:rPr>
        <mc:AlternateContent>
          <mc:Choice Requires="wps">
            <w:drawing>
              <wp:anchor distT="0" distB="0" distL="114300" distR="114300" simplePos="0" relativeHeight="251681792" behindDoc="0" locked="0" layoutInCell="1" allowOverlap="1" wp14:anchorId="51828A90" wp14:editId="6A323756">
                <wp:simplePos x="0" y="0"/>
                <wp:positionH relativeFrom="column">
                  <wp:posOffset>1295400</wp:posOffset>
                </wp:positionH>
                <wp:positionV relativeFrom="page">
                  <wp:posOffset>3729990</wp:posOffset>
                </wp:positionV>
                <wp:extent cx="548640" cy="502920"/>
                <wp:effectExtent l="0" t="0" r="22860" b="11430"/>
                <wp:wrapNone/>
                <wp:docPr id="1574821737" name="Rectangle 29"/>
                <wp:cNvGraphicFramePr/>
                <a:graphic xmlns:a="http://schemas.openxmlformats.org/drawingml/2006/main">
                  <a:graphicData uri="http://schemas.microsoft.com/office/word/2010/wordprocessingShape">
                    <wps:wsp>
                      <wps:cNvSpPr/>
                      <wps:spPr>
                        <a:xfrm>
                          <a:off x="0" y="0"/>
                          <a:ext cx="54864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3E2AB6" w14:textId="2DB980B2" w:rsidR="002D145A" w:rsidRPr="002D145A" w:rsidRDefault="002D145A" w:rsidP="002D145A">
                            <w:pPr>
                              <w:jc w:val="center"/>
                              <w:rPr>
                                <w:lang w:val="en-US"/>
                              </w:rPr>
                            </w:pPr>
                            <w:r>
                              <w:rPr>
                                <w:lang w:val="en-US"/>
                              </w:rPr>
                              <w:t>CIO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28A90" id="Rectangle 29" o:spid="_x0000_s1041" style="position:absolute;margin-left:102pt;margin-top:293.7pt;width:43.2pt;height:39.6pt;z-index:25168179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iVxZwIAACUFAAAOAAAAZHJzL2Uyb0RvYy54bWysVFFP2zAQfp+0/2D5fSTtWgYVKapATJMQ&#10;VMDEs+vYJJLj885uk+7X7+ykKQK0h2kvie27++7u83e+uOwaw3YKfQ224JOTnDNlJZS1fSn4z6eb&#10;L2ec+SBsKQxYVfC98vxy+fnTResWagoVmFIhIxDrF60reBWCW2SZl5VqhD8BpywZNWAjAm3xJStR&#10;tITemGya56dZC1g6BKm8p9Pr3siXCV9rJcO91l4FZgpOtYX0xfTdxG+2vBCLFxSuquVQhviHKhpR&#10;W0o6Ql2LINgW63dQTS0RPOhwIqHJQOtaqtQDdTPJ33TzWAmnUi9EjncjTf7/wcq73aNbI9HQOr/w&#10;tIxddBqb+Kf6WJfI2o9kqS4wSYfz2dnpjCiVZJrn0/NpIjM7Bjv04buChsVFwZHuIlEkdrc+UEJy&#10;PbjQ5pg+rcLeqFiBsQ9Ks7qkhNMUnZShrgyynaA7FVIqGya9qRKl6o8n8zw/1DNGpJQJMCLr2pgR&#10;ewCIqnuP3dc6+MdQlYQ1Bud/K6wPHiNSZrBhDG5qC/gRgKGuhsy9/4GknprIUug2HXFDc/c1usaj&#10;DZT7NTKEXuneyZua6L8VPqwFkrTpxmhcwz19tIG24DCsOKsAf390Hv1JcWTlrKVRKbj/tRWoODM/&#10;LGnxfDKLQghpM5t/IyUwfG3ZvLbYbXMFdHMTehicTMvoH8xhqRGaZ5rqVcxKJmEl5S64DHjYXIV+&#10;hOldkGq1Sm40T06EW/voZASPREd5PXXPAt2gwUDivYPDWInFGyn2vjHSwmobQNdJp0dehyugWUxa&#10;Gt6NOOyv98nr+Lot/wAAAP//AwBQSwMEFAAGAAgAAAAhAILrI2TfAAAACwEAAA8AAABkcnMvZG93&#10;bnJldi54bWxMj09PwkAQxe8mfofNmHiTXStgqZ0SYvTATZBwHrpL27h/mu4C1U/veMI5zeS9vPm9&#10;cjk6K85miF3wCI8TBcL4OujONwi7z/eHHERM5DXZ4A3Ct4mwrG5vSip0uPiNOW9TIzjEx4IQ2pT6&#10;QspYt8ZRnITeeNaOYXCU+BwaqQe6cLizMlNqLh11nj+01JvX1tRf25ND+FkfpfqIb/lutV7MnrqN&#10;3e/JIt7fjasXEMmM6WqGP3xGh4qZDuHkdRQWIVNT7pIQZvnzFAQ7soXi5YAw5wFZlfJ/h+oXAAD/&#10;/wMAUEsBAi0AFAAGAAgAAAAhALaDOJL+AAAA4QEAABMAAAAAAAAAAAAAAAAAAAAAAFtDb250ZW50&#10;X1R5cGVzXS54bWxQSwECLQAUAAYACAAAACEAOP0h/9YAAACUAQAACwAAAAAAAAAAAAAAAAAvAQAA&#10;X3JlbHMvLnJlbHNQSwECLQAUAAYACAAAACEAUdIlcWcCAAAlBQAADgAAAAAAAAAAAAAAAAAuAgAA&#10;ZHJzL2Uyb0RvYy54bWxQSwECLQAUAAYACAAAACEAgusjZN8AAAALAQAADwAAAAAAAAAAAAAAAADB&#10;BAAAZHJzL2Rvd25yZXYueG1sUEsFBgAAAAAEAAQA8wAAAM0FAAAAAA==&#10;" fillcolor="#156082 [3204]" strokecolor="#030e13 [484]" strokeweight="1pt">
                <v:textbox>
                  <w:txbxContent>
                    <w:p w14:paraId="543E2AB6" w14:textId="2DB980B2" w:rsidR="002D145A" w:rsidRPr="002D145A" w:rsidRDefault="002D145A" w:rsidP="002D145A">
                      <w:pPr>
                        <w:jc w:val="center"/>
                        <w:rPr>
                          <w:lang w:val="en-US"/>
                        </w:rPr>
                      </w:pPr>
                      <w:r>
                        <w:rPr>
                          <w:lang w:val="en-US"/>
                        </w:rPr>
                        <w:t>CIO</w:t>
                      </w:r>
                    </w:p>
                  </w:txbxContent>
                </v:textbox>
                <w10:wrap anchory="page"/>
              </v:rect>
            </w:pict>
          </mc:Fallback>
        </mc:AlternateContent>
      </w:r>
      <w:r w:rsidR="002D145A">
        <w:rPr>
          <w:noProof/>
        </w:rPr>
        <mc:AlternateContent>
          <mc:Choice Requires="wps">
            <w:drawing>
              <wp:anchor distT="0" distB="0" distL="114300" distR="114300" simplePos="0" relativeHeight="251682816" behindDoc="0" locked="0" layoutInCell="1" allowOverlap="1" wp14:anchorId="60BAC1B3" wp14:editId="2381BDED">
                <wp:simplePos x="0" y="0"/>
                <wp:positionH relativeFrom="column">
                  <wp:posOffset>2484120</wp:posOffset>
                </wp:positionH>
                <wp:positionV relativeFrom="page">
                  <wp:posOffset>3714750</wp:posOffset>
                </wp:positionV>
                <wp:extent cx="571500" cy="541020"/>
                <wp:effectExtent l="0" t="0" r="19050" b="11430"/>
                <wp:wrapNone/>
                <wp:docPr id="639390591" name="Rectangle 30"/>
                <wp:cNvGraphicFramePr/>
                <a:graphic xmlns:a="http://schemas.openxmlformats.org/drawingml/2006/main">
                  <a:graphicData uri="http://schemas.microsoft.com/office/word/2010/wordprocessingShape">
                    <wps:wsp>
                      <wps:cNvSpPr/>
                      <wps:spPr>
                        <a:xfrm>
                          <a:off x="0" y="0"/>
                          <a:ext cx="571500" cy="5410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26FB56" w14:textId="0BAF4E80" w:rsidR="002D145A" w:rsidRPr="002D145A" w:rsidRDefault="002D145A" w:rsidP="002D145A">
                            <w:pPr>
                              <w:jc w:val="center"/>
                              <w:rPr>
                                <w:lang w:val="en-US"/>
                              </w:rPr>
                            </w:pPr>
                            <w:r>
                              <w:rPr>
                                <w:lang w:val="en-US"/>
                              </w:rPr>
                              <w:t>CFO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BAC1B3" id="Rectangle 30" o:spid="_x0000_s1042" style="position:absolute;margin-left:195.6pt;margin-top:292.5pt;width:45pt;height:42.6pt;z-index:2516828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aJZQIAACUFAAAOAAAAZHJzL2Uyb0RvYy54bWysVMFu2zAMvQ/YPwi6r7aDZN2COkXQosOA&#10;oi2WDj0rslQbkEWNUmJnXz9KdpyiLXYYdrElkXwknx51cdm3hu0V+gZsyYuznDNlJVSNfS75z8eb&#10;T18480HYShiwquQH5fnl6uOHi84t1QxqMJVCRiDWLztX8joEt8wyL2vVCn8GTlkyasBWBNric1ah&#10;6Ai9Ndkszz9nHWDlEKTynk6vByNfJXytlQz3WnsVmCk51RbSF9N3G7/Z6kIsn1G4upFjGeIfqmhF&#10;YynpBHUtgmA7bN5AtY1E8KDDmYQ2A60bqVIP1E2Rv+pmUwunUi9EjncTTf7/wcq7/cY9INHQOb/0&#10;tIxd9Brb+Kf6WJ/IOkxkqT4wSYeL82KRE6WSTIt5kc8Smdkp2KEP3xS0LC5KjnQXiSKxv/WBEpLr&#10;0YU2p/RpFQ5GxQqM/aE0aypKOEvRSRnqyiDbC7pTIaWyoRhMtajUcBxLO9YzRaSUCTAi68aYCXsE&#10;iKp7iz3UOvrHUJWENQXnfytsCJ4iUmawYQpuGwv4HoChrsbMg/+RpIGayFLotz1xQ3M3j67xaAvV&#10;4QEZwqB07+RNQ/TfCh8eBJK06cZoXMM9fbSBruQwrjirAX+/dx79SXFk5ayjUSm5/7UTqDgz3y1p&#10;8Wsxn8fZSpv54pyUwPClZfvSYnftFdDNFfQwOJmW0T+Y41IjtE801euYlUzCSspdchnwuLkKwwjT&#10;uyDVep3caJ6cCLd242QEj0RHeT32TwLdqMFA4r2D41iJ5SspDr4x0sJ6F0A3SacnXscroFlMWhrf&#10;jTjsL/fJ6/S6rf4AAAD//wMAUEsDBBQABgAIAAAAIQBtoWIo4AAAAAsBAAAPAAAAZHJzL2Rvd25y&#10;ZXYueG1sTI/BbsIwDIbvk/YOkSftNlLKykpXF6FpO3AbDHE2TWirJU7VBOj29AsndrT96ff3l8vR&#10;GnHWg+8cI0wnCQjNtVMdNwi7r4+nHIQPxIqMY43woz0sq/u7kgrlLrzR521oRAxhXxBCG0JfSOnr&#10;VlvyE9drjrejGyyFOA6NVANdYrg1Mk2SubTUcfzQUq/fWl1/b08W4Xd9lMmnf893q/Uim3Ubs9+T&#10;QXx8GFevIIIeww2Gq35Uhyo6HdyJlRcGYbaYphFFyPIslorEc37dHBDmL0kKsirl/w7VHwAAAP//&#10;AwBQSwECLQAUAAYACAAAACEAtoM4kv4AAADhAQAAEwAAAAAAAAAAAAAAAAAAAAAAW0NvbnRlbnRf&#10;VHlwZXNdLnhtbFBLAQItABQABgAIAAAAIQA4/SH/1gAAAJQBAAALAAAAAAAAAAAAAAAAAC8BAABf&#10;cmVscy8ucmVsc1BLAQItABQABgAIAAAAIQDBkyaJZQIAACUFAAAOAAAAAAAAAAAAAAAAAC4CAABk&#10;cnMvZTJvRG9jLnhtbFBLAQItABQABgAIAAAAIQBtoWIo4AAAAAsBAAAPAAAAAAAAAAAAAAAAAL8E&#10;AABkcnMvZG93bnJldi54bWxQSwUGAAAAAAQABADzAAAAzAUAAAAA&#10;" fillcolor="#156082 [3204]" strokecolor="#030e13 [484]" strokeweight="1pt">
                <v:textbox>
                  <w:txbxContent>
                    <w:p w14:paraId="2D26FB56" w14:textId="0BAF4E80" w:rsidR="002D145A" w:rsidRPr="002D145A" w:rsidRDefault="002D145A" w:rsidP="002D145A">
                      <w:pPr>
                        <w:jc w:val="center"/>
                        <w:rPr>
                          <w:lang w:val="en-US"/>
                        </w:rPr>
                      </w:pPr>
                      <w:r>
                        <w:rPr>
                          <w:lang w:val="en-US"/>
                        </w:rPr>
                        <w:t>CFO</w:t>
                      </w:r>
                    </w:p>
                  </w:txbxContent>
                </v:textbox>
                <w10:wrap anchory="page"/>
              </v:rect>
            </w:pict>
          </mc:Fallback>
        </mc:AlternateContent>
      </w:r>
      <w:r w:rsidR="002D145A">
        <w:rPr>
          <w:noProof/>
        </w:rPr>
        <mc:AlternateContent>
          <mc:Choice Requires="wps">
            <w:drawing>
              <wp:anchor distT="0" distB="0" distL="114300" distR="114300" simplePos="0" relativeHeight="251683840" behindDoc="0" locked="0" layoutInCell="1" allowOverlap="1" wp14:anchorId="7AFE6399" wp14:editId="43600537">
                <wp:simplePos x="0" y="0"/>
                <wp:positionH relativeFrom="column">
                  <wp:posOffset>3703320</wp:posOffset>
                </wp:positionH>
                <wp:positionV relativeFrom="page">
                  <wp:posOffset>3669030</wp:posOffset>
                </wp:positionV>
                <wp:extent cx="952500" cy="662940"/>
                <wp:effectExtent l="0" t="0" r="19050" b="22860"/>
                <wp:wrapNone/>
                <wp:docPr id="217225872" name="Rectangle 31"/>
                <wp:cNvGraphicFramePr/>
                <a:graphic xmlns:a="http://schemas.openxmlformats.org/drawingml/2006/main">
                  <a:graphicData uri="http://schemas.microsoft.com/office/word/2010/wordprocessingShape">
                    <wps:wsp>
                      <wps:cNvSpPr/>
                      <wps:spPr>
                        <a:xfrm>
                          <a:off x="0" y="0"/>
                          <a:ext cx="952500" cy="6629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7AE00E" w14:textId="73F2DD29" w:rsidR="002D145A" w:rsidRPr="002D145A" w:rsidRDefault="002D145A" w:rsidP="002D145A">
                            <w:pPr>
                              <w:jc w:val="center"/>
                              <w:rPr>
                                <w:lang w:val="en-US"/>
                              </w:rPr>
                            </w:pPr>
                            <w:r>
                              <w:rPr>
                                <w:lang w:val="en-US"/>
                              </w:rPr>
                              <w:t>Head of Legal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FE6399" id="Rectangle 31" o:spid="_x0000_s1043" style="position:absolute;margin-left:291.6pt;margin-top:288.9pt;width:75pt;height:52.2pt;z-index:25168384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O/ZwIAACUFAAAOAAAAZHJzL2Uyb0RvYy54bWysVMFu2zAMvQ/YPwi6L06CJluCOkXQosOA&#10;oi2aDj0rslQbkEWNUmJnXz9KdpygLXYYdrFFkXyknh51edXWhu0V+gpsziejMWfKSigq+5rzn8+3&#10;X75x5oOwhTBgVc4PyvOr1edPl41bqimUYAqFjECsXzYu52UIbpllXpaqFn4ETllyasBaBDLxNStQ&#10;NIRem2w6Hs+zBrBwCFJ5T7s3nZOvEr7WSoYHrb0KzOScegvpi+m7jd9sdSmWryhcWcm+DfEPXdSi&#10;slR0gLoRQbAdVu+g6koieNBhJKHOQOtKqnQGOs1k/OY0m1I4lc5C5Hg30OT/H6y832/cIxINjfNL&#10;T8t4ilZjHf/UH2sTWYeBLNUGJmlzMZvOxkSpJNd8Pl1cJDKzU7JDH74rqFlc5BzpLhJFYn/nAxWk&#10;0GMIGafyaRUORsUOjH1SmlUFFZym7KQMdW2Q7QXdqZBS2TDpXKUoVLc9odaO/QwZqWQCjMi6MmbA&#10;7gGi6t5jd7328TFVJWENyeO/NdYlDxmpMtgwJNeVBfwIwNCp+spd/JGkjprIUmi3LXFDczeLoXFr&#10;C8XhERlCp3Tv5G1F9N8JHx4FkrTpxmhcwwN9tIEm59CvOCsBf3+0H+NJceTlrKFRybn/tROoODM/&#10;LGlxMbmgy2chGRezr1My8NyzPffYXX0NdHMTehicTMsYH8xxqRHqF5rqdaxKLmEl1c65DHg0rkM3&#10;wvQuSLVepzCaJyfCnd04GcEj0VFez+2LQNdrMJB47+E4VmL5RopdbMy0sN4F0FXS6YnX/gpoFpOW&#10;+ncjDvu5naJOr9vqDwAAAP//AwBQSwMEFAAGAAgAAAAhAH3P60rfAAAACwEAAA8AAABkcnMvZG93&#10;bnJldi54bWxMj09PwkAQxe8mfofNmHiTrW2gtXZLiNEDN0HCeegObeP+aboLVD+9w0luM/Ne3vxe&#10;tZysEWcaQ++dgudZAoJc43XvWgW7r4+nAkSI6DQa70jBDwVY1vd3FZbaX9yGztvYCg5xoUQFXYxD&#10;KWVoOrIYZn4gx9rRjxYjr2Mr9YgXDrdGpkmykBZ7xx86HOito+Z7e7IKftdHmXyG92K3Wr/Ms35j&#10;9ns0Sj0+TKtXEJGm+G+GKz6jQ81MB39yOgijYF5kKVt5yHPuwI48u14OChZFmoKsK3nbof4DAAD/&#10;/wMAUEsBAi0AFAAGAAgAAAAhALaDOJL+AAAA4QEAABMAAAAAAAAAAAAAAAAAAAAAAFtDb250ZW50&#10;X1R5cGVzXS54bWxQSwECLQAUAAYACAAAACEAOP0h/9YAAACUAQAACwAAAAAAAAAAAAAAAAAvAQAA&#10;X3JlbHMvLnJlbHNQSwECLQAUAAYACAAAACEAvtqDv2cCAAAlBQAADgAAAAAAAAAAAAAAAAAuAgAA&#10;ZHJzL2Uyb0RvYy54bWxQSwECLQAUAAYACAAAACEAfc/rSt8AAAALAQAADwAAAAAAAAAAAAAAAADB&#10;BAAAZHJzL2Rvd25yZXYueG1sUEsFBgAAAAAEAAQA8wAAAM0FAAAAAA==&#10;" fillcolor="#156082 [3204]" strokecolor="#030e13 [484]" strokeweight="1pt">
                <v:textbox>
                  <w:txbxContent>
                    <w:p w14:paraId="7F7AE00E" w14:textId="73F2DD29" w:rsidR="002D145A" w:rsidRPr="002D145A" w:rsidRDefault="002D145A" w:rsidP="002D145A">
                      <w:pPr>
                        <w:jc w:val="center"/>
                        <w:rPr>
                          <w:lang w:val="en-US"/>
                        </w:rPr>
                      </w:pPr>
                      <w:r>
                        <w:rPr>
                          <w:lang w:val="en-US"/>
                        </w:rPr>
                        <w:t>Head of Legal</w:t>
                      </w:r>
                    </w:p>
                  </w:txbxContent>
                </v:textbox>
                <w10:wrap anchory="page"/>
              </v:rect>
            </w:pict>
          </mc:Fallback>
        </mc:AlternateContent>
      </w:r>
      <w:r w:rsidR="002D145A">
        <w:rPr>
          <w:noProof/>
        </w:rPr>
        <mc:AlternateContent>
          <mc:Choice Requires="wps">
            <w:drawing>
              <wp:anchor distT="0" distB="0" distL="114300" distR="114300" simplePos="0" relativeHeight="251679744" behindDoc="0" locked="0" layoutInCell="1" allowOverlap="1" wp14:anchorId="51E9C820" wp14:editId="55B4D9D5">
                <wp:simplePos x="0" y="0"/>
                <wp:positionH relativeFrom="column">
                  <wp:posOffset>518160</wp:posOffset>
                </wp:positionH>
                <wp:positionV relativeFrom="page">
                  <wp:posOffset>2830830</wp:posOffset>
                </wp:positionV>
                <wp:extent cx="4030980" cy="487680"/>
                <wp:effectExtent l="0" t="0" r="26670" b="26670"/>
                <wp:wrapNone/>
                <wp:docPr id="1594090532" name="Rectangle 27"/>
                <wp:cNvGraphicFramePr/>
                <a:graphic xmlns:a="http://schemas.openxmlformats.org/drawingml/2006/main">
                  <a:graphicData uri="http://schemas.microsoft.com/office/word/2010/wordprocessingShape">
                    <wps:wsp>
                      <wps:cNvSpPr/>
                      <wps:spPr>
                        <a:xfrm>
                          <a:off x="0" y="0"/>
                          <a:ext cx="4030980" cy="4876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968747" w14:textId="0B9E21A1" w:rsidR="002D145A" w:rsidRPr="002D145A" w:rsidRDefault="002D145A" w:rsidP="002D145A">
                            <w:pPr>
                              <w:jc w:val="center"/>
                              <w:rPr>
                                <w:lang w:val="en-US"/>
                              </w:rPr>
                            </w:pPr>
                            <w:r>
                              <w:rPr>
                                <w:lang w:val="en-US"/>
                              </w:rPr>
                              <w:t>Cyber Security Steering Committee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9C820" id="Rectangle 27" o:spid="_x0000_s1044" style="position:absolute;margin-left:40.8pt;margin-top:222.9pt;width:317.4pt;height:38.4pt;z-index:25167974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rDYZwIAACYFAAAOAAAAZHJzL2Uyb0RvYy54bWysVE1v2zAMvQ/YfxB0X+1k6VdQpwhadBhQ&#10;tMXaoWdFlmIDsqhRSuzs14+SHSdoix2GXWxKJB+pp0ddXXeNYVuFvgZb8MlJzpmyEsrargv+8+Xu&#10;ywVnPghbCgNWFXynPL9efP501bq5mkIFplTICMT6eesKXoXg5lnmZaUa4U/AKUtODdiIQEtcZyWK&#10;ltAbk03z/CxrAUuHIJX3tHvbO/ki4WutZHjU2qvATMGpt5C+mL6r+M0WV2K+RuGqWg5tiH/oohG1&#10;paIj1K0Igm2wfgfV1BLBgw4nEpoMtK6lSmeg00zyN6d5roRT6SxEjncjTf7/wcqH7bN7QqKhdX7u&#10;yYyn6DQ28U/9sS6RtRvJUl1gkjZn+df88oI4leSbXZyfkU0w2SHboQ/fFDQsGgVHuozEkdje+9CH&#10;7kMo71A/WWFnVGzB2B9Ks7qkitOUnaShbgyyraBLFVIqGya9qxKl6rcnp3m+72fMSN0lwIisa2NG&#10;7AEgyu49dt/rEB9TVVLWmJz/rbE+ecxIlcGGMbmpLeBHAIZONVTu4/ck9dRElkK36ogbGryzGBq3&#10;VlDunpAh9FL3Tt7VRP+98OFJIGmbbozmNTzSRxtoCw6DxVkF+Puj/RhPkiMvZy3NSsH9r41AxZn5&#10;bkmMl5PZLA5XWsxOz6e0wGPP6thjN80N0M1N6GVwMpkxPpi9qRGaVxrrZaxKLmEl1S64DLhf3IR+&#10;hulhkGq5TGE0UE6Ee/vsZASPREd5vXSvAt2gwUDqfYD9XIn5Gyn2sTHTwnITQNdJpwdehyugYUxa&#10;Gh6OOO3H6xR1eN4WfwAAAP//AwBQSwMEFAAGAAgAAAAhANOatIXfAAAACgEAAA8AAABkcnMvZG93&#10;bnJldi54bWxMj01Pg0AQhu8m/ofNmHizCwiIyNA0Rg+92dr0PIUpEPeDsNsW/fWup3qczJP3fd5q&#10;OWslzjy5wRqEeBGBYNPYdjAdwu7z/aEA4TyZlpQ1jPDNDpb17U1FZWsvZsPnre9ECDGuJITe+7GU&#10;0jU9a3ILO7IJv6OdNPlwTp1sJ7qEcK1kEkW51DSY0NDTyK89N1/bk0b4WR9l9OHeit1q/Zw9Dhu1&#10;35NCvL+bVy8gPM/+CsOfflCHOjgd7Mm0TiiEIs4DiZCmWZgQgKc4T0EcELIkyUHWlfw/of4FAAD/&#10;/wMAUEsBAi0AFAAGAAgAAAAhALaDOJL+AAAA4QEAABMAAAAAAAAAAAAAAAAAAAAAAFtDb250ZW50&#10;X1R5cGVzXS54bWxQSwECLQAUAAYACAAAACEAOP0h/9YAAACUAQAACwAAAAAAAAAAAAAAAAAvAQAA&#10;X3JlbHMvLnJlbHNQSwECLQAUAAYACAAAACEAbm6w2GcCAAAmBQAADgAAAAAAAAAAAAAAAAAuAgAA&#10;ZHJzL2Uyb0RvYy54bWxQSwECLQAUAAYACAAAACEA05q0hd8AAAAKAQAADwAAAAAAAAAAAAAAAADB&#10;BAAAZHJzL2Rvd25yZXYueG1sUEsFBgAAAAAEAAQA8wAAAM0FAAAAAA==&#10;" fillcolor="#156082 [3204]" strokecolor="#030e13 [484]" strokeweight="1pt">
                <v:textbox>
                  <w:txbxContent>
                    <w:p w14:paraId="3B968747" w14:textId="0B9E21A1" w:rsidR="002D145A" w:rsidRPr="002D145A" w:rsidRDefault="002D145A" w:rsidP="002D145A">
                      <w:pPr>
                        <w:jc w:val="center"/>
                        <w:rPr>
                          <w:lang w:val="en-US"/>
                        </w:rPr>
                      </w:pPr>
                      <w:r>
                        <w:rPr>
                          <w:lang w:val="en-US"/>
                        </w:rPr>
                        <w:t>Cyber Security Steering Committee</w:t>
                      </w:r>
                    </w:p>
                  </w:txbxContent>
                </v:textbox>
                <w10:wrap anchory="page"/>
              </v:rect>
            </w:pict>
          </mc:Fallback>
        </mc:AlternateContent>
      </w:r>
      <w:r>
        <w:rPr>
          <w:lang w:val="en-US"/>
        </w:rPr>
        <w:t>(Fig.5, Chart Showing Structure of Cyber Security Steering Committee)</w:t>
      </w:r>
    </w:p>
    <w:p w14:paraId="2B667F52" w14:textId="77777777" w:rsidR="00265E23" w:rsidRDefault="001D1AC5">
      <w:pPr>
        <w:rPr>
          <w:lang w:val="en-US"/>
        </w:rPr>
      </w:pPr>
      <w:r>
        <w:rPr>
          <w:lang w:val="en-US"/>
        </w:rPr>
        <w:t xml:space="preserve">The proposed structure of the Cyber Security Committee </w:t>
      </w:r>
      <w:r w:rsidR="00416C4F">
        <w:rPr>
          <w:lang w:val="en-US"/>
        </w:rPr>
        <w:t xml:space="preserve">is a framework to enable supervision of Aegis Fintech’s cyber security strategy that informs and aligns with business decisions. The collaboration </w:t>
      </w:r>
      <w:r w:rsidR="00265E23">
        <w:rPr>
          <w:lang w:val="en-US"/>
        </w:rPr>
        <w:t>of roles and perspectives will support governance, financial investment and compliance to maintain a Zero Trust architecture.</w:t>
      </w:r>
    </w:p>
    <w:p w14:paraId="165E8A04" w14:textId="77777777" w:rsidR="008C2E52" w:rsidRDefault="008C2E52">
      <w:pPr>
        <w:rPr>
          <w:lang w:val="en-US"/>
        </w:rPr>
      </w:pPr>
    </w:p>
    <w:p w14:paraId="730D0288" w14:textId="77777777" w:rsidR="00265E23" w:rsidRDefault="00265E23" w:rsidP="00265E23">
      <w:pPr>
        <w:pStyle w:val="Heading3"/>
        <w:rPr>
          <w:lang w:val="en-US"/>
        </w:rPr>
      </w:pPr>
      <w:bookmarkStart w:id="21" w:name="_Toc236142125"/>
      <w:r>
        <w:rPr>
          <w:lang w:val="en-US"/>
        </w:rPr>
        <w:t>12-Month Roadmap Strategy</w:t>
      </w:r>
      <w:bookmarkEnd w:id="21"/>
    </w:p>
    <w:p w14:paraId="6EBFB72F" w14:textId="77777777" w:rsidR="00265E23" w:rsidRDefault="00265E23" w:rsidP="00265E23">
      <w:pPr>
        <w:rPr>
          <w:lang w:val="en-US"/>
        </w:rPr>
      </w:pPr>
    </w:p>
    <w:tbl>
      <w:tblPr>
        <w:tblStyle w:val="PlainTable5"/>
        <w:tblW w:w="0" w:type="auto"/>
        <w:tblLook w:val="04A0" w:firstRow="1" w:lastRow="0" w:firstColumn="1" w:lastColumn="0" w:noHBand="0" w:noVBand="1"/>
      </w:tblPr>
      <w:tblGrid>
        <w:gridCol w:w="2254"/>
        <w:gridCol w:w="2254"/>
        <w:gridCol w:w="2254"/>
        <w:gridCol w:w="2254"/>
      </w:tblGrid>
      <w:tr w:rsidR="00265E23" w14:paraId="3C9E09D4" w14:textId="77777777" w:rsidTr="008C2E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0B4052E6" w14:textId="68DBB067" w:rsidR="00265E23" w:rsidRDefault="00265E23" w:rsidP="00265E23">
            <w:pPr>
              <w:rPr>
                <w:lang w:val="en-US"/>
              </w:rPr>
            </w:pPr>
            <w:r>
              <w:rPr>
                <w:lang w:val="en-US"/>
              </w:rPr>
              <w:t>Timeline</w:t>
            </w:r>
          </w:p>
        </w:tc>
        <w:tc>
          <w:tcPr>
            <w:tcW w:w="2254" w:type="dxa"/>
          </w:tcPr>
          <w:p w14:paraId="3DB90896" w14:textId="1CB09BD4" w:rsidR="00265E23" w:rsidRDefault="00265E23" w:rsidP="00265E23">
            <w:pPr>
              <w:cnfStyle w:val="100000000000" w:firstRow="1" w:lastRow="0" w:firstColumn="0" w:lastColumn="0" w:oddVBand="0" w:evenVBand="0" w:oddHBand="0" w:evenHBand="0" w:firstRowFirstColumn="0" w:firstRowLastColumn="0" w:lastRowFirstColumn="0" w:lastRowLastColumn="0"/>
              <w:rPr>
                <w:lang w:val="en-US"/>
              </w:rPr>
            </w:pPr>
            <w:r>
              <w:rPr>
                <w:lang w:val="en-US"/>
              </w:rPr>
              <w:t>Initiative</w:t>
            </w:r>
          </w:p>
        </w:tc>
        <w:tc>
          <w:tcPr>
            <w:tcW w:w="2254" w:type="dxa"/>
          </w:tcPr>
          <w:p w14:paraId="7E8B43D2" w14:textId="0A92937B" w:rsidR="00265E23" w:rsidRDefault="00265E23" w:rsidP="00265E23">
            <w:pPr>
              <w:cnfStyle w:val="100000000000" w:firstRow="1" w:lastRow="0" w:firstColumn="0" w:lastColumn="0" w:oddVBand="0" w:evenVBand="0" w:oddHBand="0" w:evenHBand="0" w:firstRowFirstColumn="0" w:firstRowLastColumn="0" w:lastRowFirstColumn="0" w:lastRowLastColumn="0"/>
              <w:rPr>
                <w:lang w:val="en-US"/>
              </w:rPr>
            </w:pPr>
            <w:r>
              <w:rPr>
                <w:lang w:val="en-US"/>
              </w:rPr>
              <w:t>Key Deliverables</w:t>
            </w:r>
          </w:p>
        </w:tc>
        <w:tc>
          <w:tcPr>
            <w:tcW w:w="2254" w:type="dxa"/>
          </w:tcPr>
          <w:p w14:paraId="3FB5CD9E" w14:textId="56077390" w:rsidR="00265E23" w:rsidRDefault="00265E23" w:rsidP="00265E23">
            <w:pPr>
              <w:cnfStyle w:val="100000000000" w:firstRow="1" w:lastRow="0" w:firstColumn="0" w:lastColumn="0" w:oddVBand="0" w:evenVBand="0" w:oddHBand="0" w:evenHBand="0" w:firstRowFirstColumn="0" w:firstRowLastColumn="0" w:lastRowFirstColumn="0" w:lastRowLastColumn="0"/>
              <w:rPr>
                <w:lang w:val="en-US"/>
              </w:rPr>
            </w:pPr>
            <w:r>
              <w:rPr>
                <w:lang w:val="en-US"/>
              </w:rPr>
              <w:t>Metrics of Success (KPIs)</w:t>
            </w:r>
          </w:p>
        </w:tc>
      </w:tr>
      <w:tr w:rsidR="00265E23" w14:paraId="5D666D80" w14:textId="77777777" w:rsidTr="008C2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5EBE548" w14:textId="7CF39F89" w:rsidR="00265E23" w:rsidRDefault="008C2E52" w:rsidP="00265E23">
            <w:pPr>
              <w:rPr>
                <w:lang w:val="en-US"/>
              </w:rPr>
            </w:pPr>
            <w:r>
              <w:rPr>
                <w:lang w:val="en-US"/>
              </w:rPr>
              <w:t>Q1</w:t>
            </w:r>
          </w:p>
        </w:tc>
        <w:tc>
          <w:tcPr>
            <w:tcW w:w="2254" w:type="dxa"/>
          </w:tcPr>
          <w:p w14:paraId="15C7B7C7" w14:textId="5BAE6B7C" w:rsidR="00265E23" w:rsidRDefault="008C2E52" w:rsidP="00265E23">
            <w:pPr>
              <w:cnfStyle w:val="000000100000" w:firstRow="0" w:lastRow="0" w:firstColumn="0" w:lastColumn="0" w:oddVBand="0" w:evenVBand="0" w:oddHBand="1" w:evenHBand="0" w:firstRowFirstColumn="0" w:firstRowLastColumn="0" w:lastRowFirstColumn="0" w:lastRowLastColumn="0"/>
              <w:rPr>
                <w:lang w:val="en-US"/>
              </w:rPr>
            </w:pPr>
            <w:r>
              <w:rPr>
                <w:lang w:val="en-US"/>
              </w:rPr>
              <w:t>Assess &amp; address Priority Risks</w:t>
            </w:r>
          </w:p>
        </w:tc>
        <w:tc>
          <w:tcPr>
            <w:tcW w:w="2254" w:type="dxa"/>
          </w:tcPr>
          <w:p w14:paraId="29E1FEBF" w14:textId="48E05875" w:rsidR="00265E23" w:rsidRDefault="00DE18B8" w:rsidP="00265E23">
            <w:pPr>
              <w:cnfStyle w:val="000000100000" w:firstRow="0" w:lastRow="0" w:firstColumn="0" w:lastColumn="0" w:oddVBand="0" w:evenVBand="0" w:oddHBand="1" w:evenHBand="0" w:firstRowFirstColumn="0" w:firstRowLastColumn="0" w:lastRowFirstColumn="0" w:lastRowLastColumn="0"/>
              <w:rPr>
                <w:lang w:val="en-US"/>
              </w:rPr>
            </w:pPr>
            <w:r>
              <w:rPr>
                <w:lang w:val="en-US"/>
              </w:rPr>
              <w:t>Implement</w:t>
            </w:r>
            <w:r w:rsidR="00206D15">
              <w:rPr>
                <w:lang w:val="en-US"/>
              </w:rPr>
              <w:t xml:space="preserve"> Identity Governance</w:t>
            </w:r>
            <w:r>
              <w:rPr>
                <w:lang w:val="en-US"/>
              </w:rPr>
              <w:t xml:space="preserve"> controls</w:t>
            </w:r>
            <w:r w:rsidR="00206D15">
              <w:rPr>
                <w:lang w:val="en-US"/>
              </w:rPr>
              <w:t xml:space="preserve"> and MFA. Assess risks</w:t>
            </w:r>
            <w:r w:rsidR="00877E03">
              <w:rPr>
                <w:lang w:val="en-US"/>
              </w:rPr>
              <w:t xml:space="preserve"> </w:t>
            </w:r>
            <w:r w:rsidR="00206D15">
              <w:rPr>
                <w:lang w:val="en-US"/>
              </w:rPr>
              <w:t>in third-party and cloud services</w:t>
            </w:r>
            <w:r w:rsidR="00877E03">
              <w:rPr>
                <w:lang w:val="en-US"/>
              </w:rPr>
              <w:t>. Staff phishing training introduced</w:t>
            </w:r>
          </w:p>
        </w:tc>
        <w:tc>
          <w:tcPr>
            <w:tcW w:w="2254" w:type="dxa"/>
          </w:tcPr>
          <w:p w14:paraId="5DF6BABB" w14:textId="24395634" w:rsidR="00265E23" w:rsidRDefault="00877E03" w:rsidP="00265E23">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Complete implementation of MFA. Identified </w:t>
            </w:r>
            <w:r w:rsidR="0028656B">
              <w:rPr>
                <w:lang w:val="en-US"/>
              </w:rPr>
              <w:t>highest risk</w:t>
            </w:r>
            <w:r>
              <w:rPr>
                <w:lang w:val="en-US"/>
              </w:rPr>
              <w:t xml:space="preserve"> supplier</w:t>
            </w:r>
            <w:r w:rsidR="0028656B">
              <w:rPr>
                <w:lang w:val="en-US"/>
              </w:rPr>
              <w:t>s</w:t>
            </w:r>
            <w:r w:rsidR="00DE18B8">
              <w:rPr>
                <w:lang w:val="en-US"/>
              </w:rPr>
              <w:t xml:space="preserve"> and staff training completed</w:t>
            </w:r>
          </w:p>
        </w:tc>
      </w:tr>
      <w:tr w:rsidR="00265E23" w14:paraId="0C8FDA05" w14:textId="77777777" w:rsidTr="008C2E52">
        <w:tc>
          <w:tcPr>
            <w:cnfStyle w:val="001000000000" w:firstRow="0" w:lastRow="0" w:firstColumn="1" w:lastColumn="0" w:oddVBand="0" w:evenVBand="0" w:oddHBand="0" w:evenHBand="0" w:firstRowFirstColumn="0" w:firstRowLastColumn="0" w:lastRowFirstColumn="0" w:lastRowLastColumn="0"/>
            <w:tcW w:w="2254" w:type="dxa"/>
          </w:tcPr>
          <w:p w14:paraId="3D83B1F9" w14:textId="0793D58A" w:rsidR="00265E23" w:rsidRDefault="008C2E52" w:rsidP="00265E23">
            <w:pPr>
              <w:rPr>
                <w:lang w:val="en-US"/>
              </w:rPr>
            </w:pPr>
            <w:r>
              <w:rPr>
                <w:lang w:val="en-US"/>
              </w:rPr>
              <w:t>Q2</w:t>
            </w:r>
          </w:p>
        </w:tc>
        <w:tc>
          <w:tcPr>
            <w:tcW w:w="2254" w:type="dxa"/>
          </w:tcPr>
          <w:p w14:paraId="004F7B92" w14:textId="5539D14C" w:rsidR="00265E23" w:rsidRDefault="008C2E52" w:rsidP="00265E23">
            <w:pPr>
              <w:cnfStyle w:val="000000000000" w:firstRow="0" w:lastRow="0" w:firstColumn="0" w:lastColumn="0" w:oddVBand="0" w:evenVBand="0" w:oddHBand="0" w:evenHBand="0" w:firstRowFirstColumn="0" w:firstRowLastColumn="0" w:lastRowFirstColumn="0" w:lastRowLastColumn="0"/>
              <w:rPr>
                <w:lang w:val="en-US"/>
              </w:rPr>
            </w:pPr>
            <w:r>
              <w:rPr>
                <w:lang w:val="en-US"/>
              </w:rPr>
              <w:t>Reinforce Threat Detection &amp; Access Control</w:t>
            </w:r>
          </w:p>
        </w:tc>
        <w:tc>
          <w:tcPr>
            <w:tcW w:w="2254" w:type="dxa"/>
          </w:tcPr>
          <w:p w14:paraId="044448EA" w14:textId="1F2F8C08" w:rsidR="00265E23" w:rsidRDefault="00206D15" w:rsidP="00265E23">
            <w:pPr>
              <w:cnfStyle w:val="000000000000" w:firstRow="0" w:lastRow="0" w:firstColumn="0" w:lastColumn="0" w:oddVBand="0" w:evenVBand="0" w:oddHBand="0" w:evenHBand="0" w:firstRowFirstColumn="0" w:firstRowLastColumn="0" w:lastRowFirstColumn="0" w:lastRowLastColumn="0"/>
              <w:rPr>
                <w:lang w:val="en-US"/>
              </w:rPr>
            </w:pPr>
            <w:r>
              <w:rPr>
                <w:lang w:val="en-US"/>
              </w:rPr>
              <w:t>Implement continuous monitoring through SIEM. Assess user privileges and deployment of ZTNA</w:t>
            </w:r>
          </w:p>
        </w:tc>
        <w:tc>
          <w:tcPr>
            <w:tcW w:w="2254" w:type="dxa"/>
          </w:tcPr>
          <w:p w14:paraId="4AADE751" w14:textId="4136A6E2" w:rsidR="00265E23" w:rsidRDefault="00DE18B8" w:rsidP="00265E23">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Access privileges reviewed and </w:t>
            </w:r>
            <w:proofErr w:type="spellStart"/>
            <w:r>
              <w:rPr>
                <w:lang w:val="en-US"/>
              </w:rPr>
              <w:t>organisational</w:t>
            </w:r>
            <w:proofErr w:type="spellEnd"/>
            <w:r>
              <w:rPr>
                <w:lang w:val="en-US"/>
              </w:rPr>
              <w:t xml:space="preserve"> wide visibility of activity</w:t>
            </w:r>
          </w:p>
        </w:tc>
      </w:tr>
      <w:tr w:rsidR="00265E23" w14:paraId="68CD7569" w14:textId="77777777" w:rsidTr="008C2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AB9902" w14:textId="6A7CA92E" w:rsidR="00265E23" w:rsidRDefault="008C2E52" w:rsidP="00265E23">
            <w:pPr>
              <w:rPr>
                <w:lang w:val="en-US"/>
              </w:rPr>
            </w:pPr>
            <w:r>
              <w:rPr>
                <w:lang w:val="en-US"/>
              </w:rPr>
              <w:t>Q3</w:t>
            </w:r>
          </w:p>
        </w:tc>
        <w:tc>
          <w:tcPr>
            <w:tcW w:w="2254" w:type="dxa"/>
          </w:tcPr>
          <w:p w14:paraId="23199521" w14:textId="16B1304F" w:rsidR="00265E23" w:rsidRDefault="00206D15" w:rsidP="00265E23">
            <w:pPr>
              <w:cnfStyle w:val="000000100000" w:firstRow="0" w:lastRow="0" w:firstColumn="0" w:lastColumn="0" w:oddVBand="0" w:evenVBand="0" w:oddHBand="1" w:evenHBand="0" w:firstRowFirstColumn="0" w:firstRowLastColumn="0" w:lastRowFirstColumn="0" w:lastRowLastColumn="0"/>
              <w:rPr>
                <w:lang w:val="en-US"/>
              </w:rPr>
            </w:pPr>
            <w:r>
              <w:rPr>
                <w:lang w:val="en-US"/>
              </w:rPr>
              <w:t>Secure Third-Party &amp; Cloud</w:t>
            </w:r>
          </w:p>
        </w:tc>
        <w:tc>
          <w:tcPr>
            <w:tcW w:w="2254" w:type="dxa"/>
          </w:tcPr>
          <w:p w14:paraId="277ADDB2" w14:textId="1B6043AF" w:rsidR="00265E23" w:rsidRDefault="00206D15" w:rsidP="00265E23">
            <w:pPr>
              <w:cnfStyle w:val="000000100000" w:firstRow="0" w:lastRow="0" w:firstColumn="0" w:lastColumn="0" w:oddVBand="0" w:evenVBand="0" w:oddHBand="1" w:evenHBand="0" w:firstRowFirstColumn="0" w:firstRowLastColumn="0" w:lastRowFirstColumn="0" w:lastRowLastColumn="0"/>
              <w:rPr>
                <w:lang w:val="en-US"/>
              </w:rPr>
            </w:pPr>
            <w:r>
              <w:rPr>
                <w:lang w:val="en-US"/>
              </w:rPr>
              <w:t>Establish SASE and</w:t>
            </w:r>
            <w:r w:rsidR="00DE18B8">
              <w:rPr>
                <w:lang w:val="en-US"/>
              </w:rPr>
              <w:t xml:space="preserve"> </w:t>
            </w:r>
            <w:r w:rsidR="00877E03">
              <w:rPr>
                <w:lang w:val="en-US"/>
              </w:rPr>
              <w:t>CSPM</w:t>
            </w:r>
            <w:r w:rsidR="00DE18B8">
              <w:rPr>
                <w:lang w:val="en-US"/>
              </w:rPr>
              <w:t xml:space="preserve"> for improved cloud security</w:t>
            </w:r>
            <w:r>
              <w:rPr>
                <w:lang w:val="en-US"/>
              </w:rPr>
              <w:t>. Supplier</w:t>
            </w:r>
            <w:r w:rsidR="00877E03">
              <w:rPr>
                <w:lang w:val="en-US"/>
              </w:rPr>
              <w:t xml:space="preserve"> </w:t>
            </w:r>
            <w:r>
              <w:rPr>
                <w:lang w:val="en-US"/>
              </w:rPr>
              <w:t xml:space="preserve">security </w:t>
            </w:r>
            <w:r>
              <w:rPr>
                <w:lang w:val="en-US"/>
              </w:rPr>
              <w:lastRenderedPageBreak/>
              <w:t xml:space="preserve">responsibilities </w:t>
            </w:r>
            <w:r w:rsidR="00877E03">
              <w:rPr>
                <w:lang w:val="en-US"/>
              </w:rPr>
              <w:t>determined</w:t>
            </w:r>
          </w:p>
        </w:tc>
        <w:tc>
          <w:tcPr>
            <w:tcW w:w="2254" w:type="dxa"/>
          </w:tcPr>
          <w:p w14:paraId="2F97ACD0" w14:textId="4A85E5D0" w:rsidR="00265E23" w:rsidRDefault="0028656B" w:rsidP="00265E23">
            <w:pPr>
              <w:cnfStyle w:val="000000100000" w:firstRow="0" w:lastRow="0" w:firstColumn="0" w:lastColumn="0" w:oddVBand="0" w:evenVBand="0" w:oddHBand="1" w:evenHBand="0" w:firstRowFirstColumn="0" w:firstRowLastColumn="0" w:lastRowFirstColumn="0" w:lastRowLastColumn="0"/>
              <w:rPr>
                <w:lang w:val="en-US"/>
              </w:rPr>
            </w:pPr>
            <w:r>
              <w:rPr>
                <w:lang w:val="en-US"/>
              </w:rPr>
              <w:lastRenderedPageBreak/>
              <w:t xml:space="preserve">Full functionality of implemented systems resulting in improved cloud </w:t>
            </w:r>
            <w:r>
              <w:rPr>
                <w:lang w:val="en-US"/>
              </w:rPr>
              <w:lastRenderedPageBreak/>
              <w:t>security. Critical suppliers assessed</w:t>
            </w:r>
          </w:p>
        </w:tc>
      </w:tr>
      <w:tr w:rsidR="00265E23" w14:paraId="29BC9455" w14:textId="77777777" w:rsidTr="008C2E52">
        <w:tc>
          <w:tcPr>
            <w:cnfStyle w:val="001000000000" w:firstRow="0" w:lastRow="0" w:firstColumn="1" w:lastColumn="0" w:oddVBand="0" w:evenVBand="0" w:oddHBand="0" w:evenHBand="0" w:firstRowFirstColumn="0" w:firstRowLastColumn="0" w:lastRowFirstColumn="0" w:lastRowLastColumn="0"/>
            <w:tcW w:w="2254" w:type="dxa"/>
          </w:tcPr>
          <w:p w14:paraId="2D1E32C9" w14:textId="20940B6F" w:rsidR="00265E23" w:rsidRDefault="008C2E52" w:rsidP="00265E23">
            <w:pPr>
              <w:rPr>
                <w:lang w:val="en-US"/>
              </w:rPr>
            </w:pPr>
            <w:r>
              <w:rPr>
                <w:lang w:val="en-US"/>
              </w:rPr>
              <w:t>Q4</w:t>
            </w:r>
          </w:p>
        </w:tc>
        <w:tc>
          <w:tcPr>
            <w:tcW w:w="2254" w:type="dxa"/>
          </w:tcPr>
          <w:p w14:paraId="7A8F033C" w14:textId="4325E1C7" w:rsidR="00265E23" w:rsidRDefault="00206D15" w:rsidP="00265E23">
            <w:pPr>
              <w:cnfStyle w:val="000000000000" w:firstRow="0" w:lastRow="0" w:firstColumn="0" w:lastColumn="0" w:oddVBand="0" w:evenVBand="0" w:oddHBand="0" w:evenHBand="0" w:firstRowFirstColumn="0" w:firstRowLastColumn="0" w:lastRowFirstColumn="0" w:lastRowLastColumn="0"/>
              <w:rPr>
                <w:lang w:val="en-US"/>
              </w:rPr>
            </w:pPr>
            <w:r>
              <w:rPr>
                <w:lang w:val="en-US"/>
              </w:rPr>
              <w:t>Continuous Improvement</w:t>
            </w:r>
          </w:p>
        </w:tc>
        <w:tc>
          <w:tcPr>
            <w:tcW w:w="2254" w:type="dxa"/>
          </w:tcPr>
          <w:p w14:paraId="5B7C1A2B" w14:textId="66223393" w:rsidR="00265E23" w:rsidRDefault="0028656B" w:rsidP="00265E23">
            <w:pPr>
              <w:cnfStyle w:val="000000000000" w:firstRow="0" w:lastRow="0" w:firstColumn="0" w:lastColumn="0" w:oddVBand="0" w:evenVBand="0" w:oddHBand="0" w:evenHBand="0" w:firstRowFirstColumn="0" w:firstRowLastColumn="0" w:lastRowFirstColumn="0" w:lastRowLastColumn="0"/>
              <w:rPr>
                <w:lang w:val="en-US"/>
              </w:rPr>
            </w:pPr>
            <w:r>
              <w:rPr>
                <w:lang w:val="en-US"/>
              </w:rPr>
              <w:t>Initiate penetration testing. Review policies and evaluate alignment with Zero Trust</w:t>
            </w:r>
          </w:p>
        </w:tc>
        <w:tc>
          <w:tcPr>
            <w:tcW w:w="2254" w:type="dxa"/>
          </w:tcPr>
          <w:p w14:paraId="4304C9C0" w14:textId="54764B1C" w:rsidR="00265E23" w:rsidRDefault="00DE18B8" w:rsidP="00265E23">
            <w:pPr>
              <w:cnfStyle w:val="000000000000" w:firstRow="0" w:lastRow="0" w:firstColumn="0" w:lastColumn="0" w:oddVBand="0" w:evenVBand="0" w:oddHBand="0" w:evenHBand="0" w:firstRowFirstColumn="0" w:firstRowLastColumn="0" w:lastRowFirstColumn="0" w:lastRowLastColumn="0"/>
              <w:rPr>
                <w:lang w:val="en-US"/>
              </w:rPr>
            </w:pPr>
            <w:r>
              <w:rPr>
                <w:lang w:val="en-US"/>
              </w:rPr>
              <w:t>Successful resilience testing and business objectives met. Policies reviewed</w:t>
            </w:r>
            <w:r w:rsidR="00ED1DC2">
              <w:rPr>
                <w:lang w:val="en-US"/>
              </w:rPr>
              <w:t xml:space="preserve"> and updated</w:t>
            </w:r>
            <w:r>
              <w:rPr>
                <w:lang w:val="en-US"/>
              </w:rPr>
              <w:t xml:space="preserve"> to maintain a Zero Trust </w:t>
            </w:r>
            <w:r w:rsidR="0007394D">
              <w:rPr>
                <w:lang w:val="en-US"/>
              </w:rPr>
              <w:t>A</w:t>
            </w:r>
            <w:r>
              <w:rPr>
                <w:lang w:val="en-US"/>
              </w:rPr>
              <w:t>rchitecture</w:t>
            </w:r>
          </w:p>
        </w:tc>
      </w:tr>
    </w:tbl>
    <w:p w14:paraId="7318FE29" w14:textId="77777777" w:rsidR="00265E23" w:rsidRDefault="00265E23" w:rsidP="00265E23">
      <w:pPr>
        <w:rPr>
          <w:lang w:val="en-US"/>
        </w:rPr>
      </w:pPr>
    </w:p>
    <w:p w14:paraId="27D7661A" w14:textId="77777777" w:rsidR="00ED1DC2" w:rsidRDefault="00ED1DC2" w:rsidP="00265E23">
      <w:pPr>
        <w:rPr>
          <w:lang w:val="en-US"/>
        </w:rPr>
      </w:pPr>
    </w:p>
    <w:p w14:paraId="548CBFD9" w14:textId="25E90D42" w:rsidR="00ED1DC2" w:rsidRPr="00265E23" w:rsidRDefault="00ED1DC2" w:rsidP="00265E23">
      <w:pPr>
        <w:rPr>
          <w:lang w:val="en-US"/>
        </w:rPr>
      </w:pPr>
      <w:r>
        <w:rPr>
          <w:lang w:val="en-US"/>
        </w:rPr>
        <w:t>The above roadmap is informed by Task 1 into a methodical approach to addressing key risks including identity security, the management of cloud services and external stakeholder risk. This structured approach</w:t>
      </w:r>
      <w:r w:rsidR="0007394D">
        <w:rPr>
          <w:lang w:val="en-US"/>
        </w:rPr>
        <w:t xml:space="preserve"> will support the adoption of a Zero Trust Architecture and</w:t>
      </w:r>
      <w:r>
        <w:rPr>
          <w:lang w:val="en-US"/>
        </w:rPr>
        <w:t xml:space="preserve"> will allow Aegis FinTech’s cyber security strategy to be strengthened through an implementation plan</w:t>
      </w:r>
      <w:r w:rsidR="0007394D">
        <w:rPr>
          <w:lang w:val="en-US"/>
        </w:rPr>
        <w:t>,</w:t>
      </w:r>
      <w:r>
        <w:rPr>
          <w:lang w:val="en-US"/>
        </w:rPr>
        <w:t xml:space="preserve"> while progressively </w:t>
      </w:r>
      <w:r w:rsidR="0007394D">
        <w:rPr>
          <w:lang w:val="en-US"/>
        </w:rPr>
        <w:t>improving security controls, monitoring and resilience.</w:t>
      </w:r>
    </w:p>
    <w:p w14:paraId="593297CB" w14:textId="77777777" w:rsidR="00265E23" w:rsidRDefault="00265E23" w:rsidP="00265E23">
      <w:pPr>
        <w:pStyle w:val="Heading3"/>
        <w:rPr>
          <w:lang w:val="en-US"/>
        </w:rPr>
      </w:pPr>
    </w:p>
    <w:p w14:paraId="082EE273" w14:textId="72FEF8A2" w:rsidR="00FF6350" w:rsidRDefault="00416C4F" w:rsidP="00265E23">
      <w:pPr>
        <w:pStyle w:val="Heading3"/>
        <w:rPr>
          <w:rFonts w:asciiTheme="majorHAnsi" w:hAnsiTheme="majorHAnsi"/>
          <w:sz w:val="32"/>
          <w:szCs w:val="32"/>
        </w:rPr>
      </w:pPr>
      <w:r>
        <w:rPr>
          <w:lang w:val="en-US"/>
        </w:rPr>
        <w:t xml:space="preserve"> </w:t>
      </w:r>
      <w:r w:rsidR="00FF6350">
        <w:br w:type="page"/>
      </w:r>
    </w:p>
    <w:p w14:paraId="02C2C569" w14:textId="0AC87733" w:rsidR="007521A4" w:rsidRDefault="005C2B2F" w:rsidP="00A954B7">
      <w:pPr>
        <w:pStyle w:val="Heading2"/>
      </w:pPr>
      <w:bookmarkStart w:id="22" w:name="_Toc236142126"/>
      <w:r>
        <w:lastRenderedPageBreak/>
        <w:t>Conclusion</w:t>
      </w:r>
      <w:bookmarkEnd w:id="22"/>
    </w:p>
    <w:p w14:paraId="24FDEA4A" w14:textId="13D2D08D" w:rsidR="00487415" w:rsidRDefault="00487415" w:rsidP="00487415">
      <w:r>
        <w:t xml:space="preserve">This report examined the cybersecurity challenges facing modern financial organisations and evaluated how Zero Trust Architecture can support improved security outcomes. Task 1 identified that changes such as cloud adoption, hybrid working and increased reliance on digital services have expanded the attack surface, allowing threat actors to increasingly target identities, credentials and access pathways. The </w:t>
      </w:r>
      <w:r w:rsidR="00F64424">
        <w:t>findings showed</w:t>
      </w:r>
      <w:r>
        <w:t xml:space="preserve"> that Zero Trust addresses these challenges by replacing implicit trust with continuous verification, least privilege access and improved visibility across organisational resources.</w:t>
      </w:r>
    </w:p>
    <w:p w14:paraId="1568EE1A" w14:textId="5F3E2442" w:rsidR="00487415" w:rsidRDefault="00487415" w:rsidP="00487415">
      <w:r>
        <w:t>However, the evaluation also highlighted that Zero Trust adoption presents practical challenges, including legacy infrastructure, technical complexity and the need for effective governance. The research showed that security technologies such as Identity Governance, ZTNA, SASE and SIEM provide important capabilities, but their effectiveness depends on how well they are integrated alongside organisational processes, policies and strategic decision</w:t>
      </w:r>
      <w:r w:rsidR="00F64424">
        <w:t xml:space="preserve"> </w:t>
      </w:r>
      <w:r>
        <w:t>making.</w:t>
      </w:r>
    </w:p>
    <w:p w14:paraId="3F8169AD" w14:textId="252BC5DB" w:rsidR="00487415" w:rsidRDefault="00487415" w:rsidP="00487415">
      <w:r>
        <w:t>Using these findings, the report developed a cybersecurity strategy for Aegis FinTech that addresses key risks through policy development, regulatory alignment, technical security controls, incident response planning and long-term governance. The recommendations were designed around the risks identified during the research, including credential compromise, cloud security weaknesses and third-party dependencies.</w:t>
      </w:r>
    </w:p>
    <w:p w14:paraId="4F1358D6" w14:textId="305BB246" w:rsidR="00487415" w:rsidRPr="00487415" w:rsidRDefault="00487415" w:rsidP="00487415">
      <w:r>
        <w:t xml:space="preserve">Ultimately, improving Aegis FinTech’s cybersecurity resilience requires a coordinated approach that combines technology, governance and continuous improvement. Zero Trust provides a foundation for strengthening security decisions and reducing exposure to modern threats, but its effectiveness relies on maintaining these principles as an ongoing organisational strategy rather than treating security as a </w:t>
      </w:r>
      <w:r w:rsidR="00F64424">
        <w:t>single solution.</w:t>
      </w:r>
    </w:p>
    <w:p w14:paraId="0463316E" w14:textId="77777777" w:rsidR="007521A4" w:rsidRDefault="007521A4">
      <w:pPr>
        <w:rPr>
          <w:rFonts w:asciiTheme="majorHAnsi" w:eastAsiaTheme="majorEastAsia" w:hAnsiTheme="majorHAnsi" w:cstheme="majorBidi"/>
          <w:color w:val="0F4761" w:themeColor="accent1" w:themeShade="BF"/>
          <w:sz w:val="40"/>
          <w:szCs w:val="40"/>
        </w:rPr>
      </w:pPr>
      <w:r>
        <w:br w:type="page"/>
      </w:r>
    </w:p>
    <w:p w14:paraId="72623D67" w14:textId="7BAAC44A" w:rsidR="001C2597" w:rsidRDefault="007521A4" w:rsidP="00F64D1A">
      <w:pPr>
        <w:pStyle w:val="Heading1"/>
      </w:pPr>
      <w:bookmarkStart w:id="23" w:name="_Toc236142127"/>
      <w:r>
        <w:lastRenderedPageBreak/>
        <w:t>References</w:t>
      </w:r>
      <w:bookmarkEnd w:id="23"/>
    </w:p>
    <w:p w14:paraId="6C2DD1BE" w14:textId="4890064C" w:rsidR="007521A4" w:rsidRDefault="00905FE7" w:rsidP="007521A4">
      <w:r>
        <w:t xml:space="preserve">[1] </w:t>
      </w:r>
      <w:r w:rsidRPr="00E05DAD">
        <w:t xml:space="preserve">M. L. Gambo and A. </w:t>
      </w:r>
      <w:proofErr w:type="spellStart"/>
      <w:r w:rsidRPr="00E05DAD">
        <w:t>Almulhem</w:t>
      </w:r>
      <w:proofErr w:type="spellEnd"/>
      <w:r w:rsidRPr="00E05DAD">
        <w:t xml:space="preserve">, “Zero Trust Architecture: A Systematic Literature Review,” </w:t>
      </w:r>
      <w:r w:rsidRPr="00E05DAD">
        <w:rPr>
          <w:i/>
          <w:iCs/>
        </w:rPr>
        <w:t>Journal of Network and Systems Management</w:t>
      </w:r>
      <w:r w:rsidRPr="00E05DAD">
        <w:t xml:space="preserve">, vol. 34, no. 1, pp. 25–62, 2025, </w:t>
      </w:r>
      <w:proofErr w:type="spellStart"/>
      <w:r w:rsidRPr="00E05DAD">
        <w:t>doi</w:t>
      </w:r>
      <w:proofErr w:type="spellEnd"/>
      <w:r w:rsidRPr="00E05DAD">
        <w:t>: 10.1007/s10922-025-09998-x</w:t>
      </w:r>
      <w:r w:rsidR="00711E7A">
        <w:t>.</w:t>
      </w:r>
    </w:p>
    <w:p w14:paraId="49BAE40B" w14:textId="584E6228" w:rsidR="00905FE7" w:rsidRDefault="00905FE7" w:rsidP="007521A4">
      <w:r>
        <w:t xml:space="preserve">[2] </w:t>
      </w:r>
      <w:r w:rsidRPr="00DC7078">
        <w:t xml:space="preserve">Y. He, D. Huang, L. Chen, Y. Ni, and X. Ma, “A Survey on Zero Trust Architecture: Challenges and Future Trends,” </w:t>
      </w:r>
      <w:r w:rsidRPr="00DC7078">
        <w:rPr>
          <w:i/>
          <w:iCs/>
        </w:rPr>
        <w:t>Wireless Communications and Mobile Computing</w:t>
      </w:r>
      <w:r w:rsidRPr="00DC7078">
        <w:t xml:space="preserve">, vol. 2022, Art. no. 6476274, pp. 1–13, 2022, </w:t>
      </w:r>
      <w:proofErr w:type="spellStart"/>
      <w:r w:rsidRPr="00DC7078">
        <w:t>doi</w:t>
      </w:r>
      <w:proofErr w:type="spellEnd"/>
      <w:r w:rsidRPr="00DC7078">
        <w:t>: 10.1155/2022/6476274</w:t>
      </w:r>
      <w:r w:rsidR="00711E7A">
        <w:t>.</w:t>
      </w:r>
    </w:p>
    <w:p w14:paraId="5BE503A9" w14:textId="6CB895B2" w:rsidR="00905FE7" w:rsidRPr="001861B1" w:rsidRDefault="00905FE7" w:rsidP="007521A4">
      <w:pPr>
        <w:rPr>
          <w:lang w:val="fr-FR"/>
        </w:rPr>
      </w:pPr>
      <w:r>
        <w:t xml:space="preserve">[3] </w:t>
      </w:r>
      <w:r w:rsidRPr="003E260F">
        <w:t xml:space="preserve">European Union Agency for Cybersecurity (ENISA), </w:t>
      </w:r>
      <w:r w:rsidRPr="003E260F">
        <w:rPr>
          <w:i/>
          <w:iCs/>
        </w:rPr>
        <w:t>ENISA Threat Landscape 2025</w:t>
      </w:r>
      <w:r w:rsidRPr="003E260F">
        <w:t xml:space="preserve">, Version 1.2, Jan. 9, 2026. </w:t>
      </w:r>
      <w:r w:rsidRPr="003E260F">
        <w:rPr>
          <w:lang w:val="fr-FR"/>
        </w:rPr>
        <w:t xml:space="preserve">[Online]. </w:t>
      </w:r>
      <w:proofErr w:type="spellStart"/>
      <w:r w:rsidRPr="003E260F">
        <w:rPr>
          <w:lang w:val="fr-FR"/>
        </w:rPr>
        <w:t>Available</w:t>
      </w:r>
      <w:proofErr w:type="spellEnd"/>
      <w:r w:rsidRPr="003E260F">
        <w:rPr>
          <w:lang w:val="fr-FR"/>
        </w:rPr>
        <w:t xml:space="preserve">: </w:t>
      </w:r>
      <w:hyperlink r:id="rId17" w:tgtFrame="_new" w:history="1">
        <w:r w:rsidRPr="003E260F">
          <w:rPr>
            <w:rStyle w:val="Hyperlink"/>
            <w:lang w:val="fr-FR"/>
          </w:rPr>
          <w:t>https://www.enisa.europa.eu/sites/default/files/2026-01/ENISA%20Threat%20Landscape%202025_v1.2.pdf</w:t>
        </w:r>
      </w:hyperlink>
    </w:p>
    <w:p w14:paraId="6B345A1D" w14:textId="019D667A" w:rsidR="001B0640" w:rsidRDefault="001B0640" w:rsidP="007521A4">
      <w:r>
        <w:t xml:space="preserve">[4] </w:t>
      </w:r>
      <w:r w:rsidRPr="001B0640">
        <w:t xml:space="preserve">S. Rose, O. Borchert, S. Mitchell, and S. Connelly, Zero Trust Architecture. Gaithersburg, MD, USA: National Institute of Standards and Technology, NIST Special Publication 800-207, Aug. 2020. </w:t>
      </w:r>
      <w:proofErr w:type="spellStart"/>
      <w:r w:rsidRPr="001B0640">
        <w:t>doi</w:t>
      </w:r>
      <w:proofErr w:type="spellEnd"/>
      <w:r w:rsidRPr="001B0640">
        <w:t xml:space="preserve">: 10.6028/NIST.SP.800-207. [Online]. Available: </w:t>
      </w:r>
      <w:hyperlink r:id="rId18" w:history="1">
        <w:r w:rsidRPr="00166888">
          <w:rPr>
            <w:rStyle w:val="Hyperlink"/>
          </w:rPr>
          <w:t>https://doi.org/10.6028/NIST.SP.800-207</w:t>
        </w:r>
      </w:hyperlink>
    </w:p>
    <w:p w14:paraId="6F3B088C" w14:textId="52187C7C" w:rsidR="00122F58" w:rsidRDefault="00122F58" w:rsidP="007521A4">
      <w:r>
        <w:t xml:space="preserve">[5] </w:t>
      </w:r>
      <w:r w:rsidRPr="00122F58">
        <w:t xml:space="preserve">E. B. Fernandez and A. Brazhuk, “A critical analysis of Zero Trust Architecture (ZTA),” Computer Standards &amp; Interfaces, vol. 89, Art. no. 103832, Apr. 2024, </w:t>
      </w:r>
      <w:proofErr w:type="spellStart"/>
      <w:r w:rsidRPr="00122F58">
        <w:t>doi</w:t>
      </w:r>
      <w:proofErr w:type="spellEnd"/>
      <w:r w:rsidRPr="00122F58">
        <w:t>: 10.1016/j.csi.2024.103832</w:t>
      </w:r>
      <w:r w:rsidR="00711E7A">
        <w:t>.</w:t>
      </w:r>
    </w:p>
    <w:p w14:paraId="1E238E4D" w14:textId="106C86BA" w:rsidR="001B0640" w:rsidRDefault="00C82F46" w:rsidP="007521A4">
      <w:r>
        <w:t xml:space="preserve">[6] </w:t>
      </w:r>
      <w:r w:rsidRPr="00C82F46">
        <w:t xml:space="preserve">A. Akinyemi, “Zero Trust Security Architecture: Principles and Early Adoption”, IJTMH, vol. 8, no. 02, pp. 11–22, Jun. 2022, </w:t>
      </w:r>
      <w:proofErr w:type="spellStart"/>
      <w:r w:rsidRPr="00C82F46">
        <w:t>doi</w:t>
      </w:r>
      <w:proofErr w:type="spellEnd"/>
      <w:r w:rsidRPr="00C82F46">
        <w:t>: 10.21590/ijtmh.08.2.02</w:t>
      </w:r>
      <w:r w:rsidR="00711E7A">
        <w:t>.</w:t>
      </w:r>
    </w:p>
    <w:p w14:paraId="58319A3B" w14:textId="654595AA" w:rsidR="00711E7A" w:rsidRPr="00DF2963" w:rsidRDefault="00711E7A" w:rsidP="007521A4">
      <w:pPr>
        <w:rPr>
          <w:lang w:val="fr-FR"/>
        </w:rPr>
      </w:pPr>
      <w:r>
        <w:t xml:space="preserve">[7] </w:t>
      </w:r>
      <w:r w:rsidRPr="00711E7A">
        <w:t xml:space="preserve">Cybersecurity and Infrastructure Security Agency (CISA), Zero Trust Maturity Model, Version 2.0, Apr. 2023. </w:t>
      </w:r>
      <w:r w:rsidRPr="00711E7A">
        <w:rPr>
          <w:lang w:val="fr-FR"/>
        </w:rPr>
        <w:t xml:space="preserve">[Online]. </w:t>
      </w:r>
      <w:proofErr w:type="spellStart"/>
      <w:r w:rsidRPr="00711E7A">
        <w:rPr>
          <w:lang w:val="fr-FR"/>
        </w:rPr>
        <w:t>Available</w:t>
      </w:r>
      <w:proofErr w:type="spellEnd"/>
      <w:r w:rsidRPr="00711E7A">
        <w:rPr>
          <w:lang w:val="fr-FR"/>
        </w:rPr>
        <w:t xml:space="preserve">: </w:t>
      </w:r>
      <w:hyperlink r:id="rId19" w:history="1">
        <w:r w:rsidRPr="006D58F9">
          <w:rPr>
            <w:rStyle w:val="Hyperlink"/>
            <w:lang w:val="fr-FR"/>
          </w:rPr>
          <w:t>https://www.cisa.gov/sites/default/files/2023-04/CISA_Zero_Trust_Maturity_Model_Version_2_508c.pdf</w:t>
        </w:r>
      </w:hyperlink>
    </w:p>
    <w:p w14:paraId="0389DBEF" w14:textId="6013947C" w:rsidR="00A954B7" w:rsidRDefault="00A954B7" w:rsidP="007521A4">
      <w:r>
        <w:t xml:space="preserve">[8] </w:t>
      </w:r>
      <w:r w:rsidRPr="00A954B7">
        <w:t xml:space="preserve">S. K. </w:t>
      </w:r>
      <w:proofErr w:type="spellStart"/>
      <w:r w:rsidRPr="00A954B7">
        <w:t>Jadala</w:t>
      </w:r>
      <w:proofErr w:type="spellEnd"/>
      <w:r w:rsidRPr="00A954B7">
        <w:t xml:space="preserve">, “Zero Trust Architecture and Identity Threat Detection for Securing Cloud, IoT, and Hybrid Enterprise Systems,” International Journal of Humanities and Information Technology, vol. 6, no. 4, pp. 141–185, Dec. 2024, </w:t>
      </w:r>
      <w:proofErr w:type="spellStart"/>
      <w:r w:rsidRPr="00A954B7">
        <w:t>doi</w:t>
      </w:r>
      <w:proofErr w:type="spellEnd"/>
      <w:r w:rsidRPr="00A954B7">
        <w:t>: 10.21590/ijhit.06.04.15.</w:t>
      </w:r>
    </w:p>
    <w:p w14:paraId="018F94F3" w14:textId="447373DA" w:rsidR="001A4E47" w:rsidRDefault="001A4E47" w:rsidP="007521A4">
      <w:r>
        <w:t xml:space="preserve">[9] </w:t>
      </w:r>
      <w:r w:rsidRPr="001A4E47">
        <w:t xml:space="preserve">Z. S. M. A. Bashi and S. Senan, “A Comprehensive Review of Zero Trust Network Architecture (ZTNA) and Deployment Frameworks,” IIUM Engineering Journal, vol. 26, no. 1, pp. 121–145, Jan. 2025, </w:t>
      </w:r>
      <w:proofErr w:type="spellStart"/>
      <w:r w:rsidRPr="001A4E47">
        <w:t>doi</w:t>
      </w:r>
      <w:proofErr w:type="spellEnd"/>
      <w:r w:rsidRPr="001A4E47">
        <w:t>: 10.31436/iiumej.v26i1.3175.</w:t>
      </w:r>
    </w:p>
    <w:p w14:paraId="71F6045A" w14:textId="21371A7C" w:rsidR="00905E11" w:rsidRDefault="00905E11" w:rsidP="007521A4">
      <w:r>
        <w:t xml:space="preserve">[10] </w:t>
      </w:r>
      <w:r w:rsidRPr="00905E11">
        <w:t xml:space="preserve">S. </w:t>
      </w:r>
      <w:proofErr w:type="spellStart"/>
      <w:r w:rsidRPr="00905E11">
        <w:t>Yiliyaer</w:t>
      </w:r>
      <w:proofErr w:type="spellEnd"/>
      <w:r w:rsidRPr="00905E11">
        <w:t xml:space="preserve"> and Y. Kim, “Secure Access Service Edge: A Zero Trust Based Framework for Accessing Data Securely,” in Proc. IEEE 12th Annual Computing and Communication Workshop and Conference (CCWC), Las Vegas, NV, USA, 2022, pp. 0484–0489, </w:t>
      </w:r>
      <w:proofErr w:type="spellStart"/>
      <w:r w:rsidRPr="00905E11">
        <w:t>doi</w:t>
      </w:r>
      <w:proofErr w:type="spellEnd"/>
      <w:r w:rsidRPr="00905E11">
        <w:t>: 10.1109/CCWC54503.2022.9720872.</w:t>
      </w:r>
    </w:p>
    <w:p w14:paraId="73F3A534" w14:textId="7319E4E0" w:rsidR="00E636B3" w:rsidRDefault="00E636B3" w:rsidP="007521A4">
      <w:r>
        <w:t xml:space="preserve">[11] </w:t>
      </w:r>
      <w:r w:rsidRPr="00E636B3">
        <w:t xml:space="preserve">L. Ahuja, S. Vashisth, and A. Thakur, “Integrating SIEM with Zero Trust Architecture,” in Proc. 2025 International Conference on Intelligent and Innovative Technologies in Computing, Electrical and Electronics (IITCEE), 2025, pp. 1–6, </w:t>
      </w:r>
      <w:proofErr w:type="spellStart"/>
      <w:r w:rsidRPr="00E636B3">
        <w:t>doi</w:t>
      </w:r>
      <w:proofErr w:type="spellEnd"/>
      <w:r w:rsidRPr="00E636B3">
        <w:t>: 10.1109/IITCEE64140.2025.10915422.</w:t>
      </w:r>
    </w:p>
    <w:p w14:paraId="191D3A8E" w14:textId="1DB3203F" w:rsidR="00D23E9D" w:rsidRDefault="00D23E9D" w:rsidP="007521A4">
      <w:r>
        <w:t xml:space="preserve">[12] </w:t>
      </w:r>
      <w:r w:rsidRPr="00D23E9D">
        <w:t xml:space="preserve">T. Bashir, “Zero Trust Architecture: Enhancing Cybersecurity in Enterprise Networks,” </w:t>
      </w:r>
      <w:r w:rsidRPr="00D23E9D">
        <w:rPr>
          <w:i/>
          <w:iCs/>
        </w:rPr>
        <w:t>Journal of Computer Science and Technology Studies</w:t>
      </w:r>
      <w:r w:rsidRPr="00D23E9D">
        <w:t xml:space="preserve">, vol. 6, no. 4, pp. 54–59, Sep. 2024, </w:t>
      </w:r>
      <w:proofErr w:type="spellStart"/>
      <w:r w:rsidRPr="00D23E9D">
        <w:t>doi</w:t>
      </w:r>
      <w:proofErr w:type="spellEnd"/>
      <w:r w:rsidRPr="00D23E9D">
        <w:t>: 10.32996/jcsts.2024.6.4.8.</w:t>
      </w:r>
    </w:p>
    <w:p w14:paraId="00C4B8B3" w14:textId="7A835AC6" w:rsidR="00D23E9D" w:rsidRDefault="00D23E9D" w:rsidP="007521A4">
      <w:r>
        <w:t>[13]</w:t>
      </w:r>
      <w:r w:rsidR="003500BA">
        <w:t xml:space="preserve"> </w:t>
      </w:r>
      <w:r w:rsidR="003500BA" w:rsidRPr="003500BA">
        <w:t xml:space="preserve">C. </w:t>
      </w:r>
      <w:proofErr w:type="spellStart"/>
      <w:r w:rsidR="003500BA" w:rsidRPr="003500BA">
        <w:t>Itodo</w:t>
      </w:r>
      <w:proofErr w:type="spellEnd"/>
      <w:r w:rsidR="003500BA" w:rsidRPr="003500BA">
        <w:t xml:space="preserve"> and M. Ozer, “Multivocal literature review on zero-trust security implementation,” Computers &amp; security, vol. 141, Art. no. 103827, June 2024, </w:t>
      </w:r>
      <w:proofErr w:type="spellStart"/>
      <w:r w:rsidR="003500BA" w:rsidRPr="003500BA">
        <w:t>doi</w:t>
      </w:r>
      <w:proofErr w:type="spellEnd"/>
      <w:r w:rsidR="003500BA" w:rsidRPr="003500BA">
        <w:t>: 10.1016/j.cose.2024.103827.</w:t>
      </w:r>
    </w:p>
    <w:p w14:paraId="71CD0666" w14:textId="77777777" w:rsidR="00A954B7" w:rsidRPr="00A954B7" w:rsidRDefault="00A954B7" w:rsidP="007521A4"/>
    <w:p w14:paraId="2C477B9D" w14:textId="77777777" w:rsidR="00711E7A" w:rsidRPr="00A954B7" w:rsidRDefault="00711E7A" w:rsidP="007521A4"/>
    <w:sectPr w:rsidR="00711E7A" w:rsidRPr="00A954B7" w:rsidSect="009D3F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D49"/>
    <w:multiLevelType w:val="hybridMultilevel"/>
    <w:tmpl w:val="A7BEAD58"/>
    <w:lvl w:ilvl="0" w:tplc="AA7E242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E0F5E"/>
    <w:multiLevelType w:val="hybridMultilevel"/>
    <w:tmpl w:val="6CCAD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379A9"/>
    <w:multiLevelType w:val="hybridMultilevel"/>
    <w:tmpl w:val="22FA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33B3A"/>
    <w:multiLevelType w:val="hybridMultilevel"/>
    <w:tmpl w:val="B6C08648"/>
    <w:lvl w:ilvl="0" w:tplc="143232C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23865"/>
    <w:multiLevelType w:val="hybridMultilevel"/>
    <w:tmpl w:val="8408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E59F3"/>
    <w:multiLevelType w:val="hybridMultilevel"/>
    <w:tmpl w:val="115688C8"/>
    <w:lvl w:ilvl="0" w:tplc="702E127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722F3"/>
    <w:multiLevelType w:val="hybridMultilevel"/>
    <w:tmpl w:val="E4FA0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AF0FA2"/>
    <w:multiLevelType w:val="hybridMultilevel"/>
    <w:tmpl w:val="C2246E56"/>
    <w:lvl w:ilvl="0" w:tplc="143232C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1246C5"/>
    <w:multiLevelType w:val="hybridMultilevel"/>
    <w:tmpl w:val="8CB4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997008">
    <w:abstractNumId w:val="1"/>
  </w:num>
  <w:num w:numId="2" w16cid:durableId="103691273">
    <w:abstractNumId w:val="6"/>
  </w:num>
  <w:num w:numId="3" w16cid:durableId="600113384">
    <w:abstractNumId w:val="8"/>
  </w:num>
  <w:num w:numId="4" w16cid:durableId="2025670381">
    <w:abstractNumId w:val="4"/>
  </w:num>
  <w:num w:numId="5" w16cid:durableId="2057898358">
    <w:abstractNumId w:val="2"/>
  </w:num>
  <w:num w:numId="6" w16cid:durableId="1389956925">
    <w:abstractNumId w:val="0"/>
  </w:num>
  <w:num w:numId="7" w16cid:durableId="930356753">
    <w:abstractNumId w:val="5"/>
  </w:num>
  <w:num w:numId="8" w16cid:durableId="1606619713">
    <w:abstractNumId w:val="7"/>
  </w:num>
  <w:num w:numId="9" w16cid:durableId="3106454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FFD"/>
    <w:rsid w:val="00001EB4"/>
    <w:rsid w:val="00026C4E"/>
    <w:rsid w:val="000343C7"/>
    <w:rsid w:val="000401C6"/>
    <w:rsid w:val="00056DBC"/>
    <w:rsid w:val="00057EEF"/>
    <w:rsid w:val="0007394D"/>
    <w:rsid w:val="000A2F84"/>
    <w:rsid w:val="000D53C1"/>
    <w:rsid w:val="001156E3"/>
    <w:rsid w:val="00122F58"/>
    <w:rsid w:val="00127104"/>
    <w:rsid w:val="00145835"/>
    <w:rsid w:val="00147A9A"/>
    <w:rsid w:val="00161D47"/>
    <w:rsid w:val="001861B1"/>
    <w:rsid w:val="00192436"/>
    <w:rsid w:val="001A25FC"/>
    <w:rsid w:val="001A4E47"/>
    <w:rsid w:val="001B0640"/>
    <w:rsid w:val="001C2597"/>
    <w:rsid w:val="001D144E"/>
    <w:rsid w:val="001D1AC5"/>
    <w:rsid w:val="001D5368"/>
    <w:rsid w:val="00205CE6"/>
    <w:rsid w:val="00206D15"/>
    <w:rsid w:val="00223A37"/>
    <w:rsid w:val="00225430"/>
    <w:rsid w:val="002546CC"/>
    <w:rsid w:val="002636A7"/>
    <w:rsid w:val="00265E23"/>
    <w:rsid w:val="0028656B"/>
    <w:rsid w:val="002D145A"/>
    <w:rsid w:val="002F5A7D"/>
    <w:rsid w:val="00301A65"/>
    <w:rsid w:val="003054CC"/>
    <w:rsid w:val="00314E68"/>
    <w:rsid w:val="003265E7"/>
    <w:rsid w:val="003402EE"/>
    <w:rsid w:val="003500BA"/>
    <w:rsid w:val="00352FFF"/>
    <w:rsid w:val="00374A9C"/>
    <w:rsid w:val="00380E32"/>
    <w:rsid w:val="003836D3"/>
    <w:rsid w:val="00385F4E"/>
    <w:rsid w:val="00391733"/>
    <w:rsid w:val="0040284D"/>
    <w:rsid w:val="004032A7"/>
    <w:rsid w:val="00416C4F"/>
    <w:rsid w:val="0042049A"/>
    <w:rsid w:val="00446FBD"/>
    <w:rsid w:val="00464A5C"/>
    <w:rsid w:val="00476944"/>
    <w:rsid w:val="00487415"/>
    <w:rsid w:val="00494886"/>
    <w:rsid w:val="004A2372"/>
    <w:rsid w:val="004B3AB3"/>
    <w:rsid w:val="005041B0"/>
    <w:rsid w:val="00506168"/>
    <w:rsid w:val="00537D17"/>
    <w:rsid w:val="005477CE"/>
    <w:rsid w:val="00567C9D"/>
    <w:rsid w:val="005729F8"/>
    <w:rsid w:val="005B78AF"/>
    <w:rsid w:val="005C2B2F"/>
    <w:rsid w:val="005F3365"/>
    <w:rsid w:val="005F7C47"/>
    <w:rsid w:val="0060690E"/>
    <w:rsid w:val="006423A9"/>
    <w:rsid w:val="006460F6"/>
    <w:rsid w:val="00673BCA"/>
    <w:rsid w:val="00674E00"/>
    <w:rsid w:val="006829A2"/>
    <w:rsid w:val="00685DDB"/>
    <w:rsid w:val="006906D0"/>
    <w:rsid w:val="006A52AF"/>
    <w:rsid w:val="006D448A"/>
    <w:rsid w:val="006F7107"/>
    <w:rsid w:val="00700A2A"/>
    <w:rsid w:val="00711E7A"/>
    <w:rsid w:val="0072588C"/>
    <w:rsid w:val="007374E5"/>
    <w:rsid w:val="007436BD"/>
    <w:rsid w:val="007521A4"/>
    <w:rsid w:val="00764E30"/>
    <w:rsid w:val="007A7B83"/>
    <w:rsid w:val="007B5D9B"/>
    <w:rsid w:val="007C73E7"/>
    <w:rsid w:val="007C758D"/>
    <w:rsid w:val="00800496"/>
    <w:rsid w:val="00802AED"/>
    <w:rsid w:val="0084769E"/>
    <w:rsid w:val="008675B0"/>
    <w:rsid w:val="00877E03"/>
    <w:rsid w:val="008866C2"/>
    <w:rsid w:val="00886707"/>
    <w:rsid w:val="00895BA7"/>
    <w:rsid w:val="008A52F8"/>
    <w:rsid w:val="008C2E52"/>
    <w:rsid w:val="008E0DF7"/>
    <w:rsid w:val="008F471E"/>
    <w:rsid w:val="008F64C3"/>
    <w:rsid w:val="00905E11"/>
    <w:rsid w:val="00905FE7"/>
    <w:rsid w:val="00930118"/>
    <w:rsid w:val="0094515D"/>
    <w:rsid w:val="009470BB"/>
    <w:rsid w:val="009622D5"/>
    <w:rsid w:val="00980C49"/>
    <w:rsid w:val="0099374A"/>
    <w:rsid w:val="009A3253"/>
    <w:rsid w:val="009B1CEA"/>
    <w:rsid w:val="009D3FFD"/>
    <w:rsid w:val="009D6EFE"/>
    <w:rsid w:val="009E1335"/>
    <w:rsid w:val="009F17F7"/>
    <w:rsid w:val="009F4371"/>
    <w:rsid w:val="00A105ED"/>
    <w:rsid w:val="00A16B81"/>
    <w:rsid w:val="00A17327"/>
    <w:rsid w:val="00A308B7"/>
    <w:rsid w:val="00A500F6"/>
    <w:rsid w:val="00A852C2"/>
    <w:rsid w:val="00A954B7"/>
    <w:rsid w:val="00AB00A9"/>
    <w:rsid w:val="00AB29D2"/>
    <w:rsid w:val="00AB59A1"/>
    <w:rsid w:val="00AD2342"/>
    <w:rsid w:val="00AD6C6C"/>
    <w:rsid w:val="00AE1FE4"/>
    <w:rsid w:val="00AF5BAA"/>
    <w:rsid w:val="00AF7476"/>
    <w:rsid w:val="00AF7996"/>
    <w:rsid w:val="00B03A3E"/>
    <w:rsid w:val="00B25B8B"/>
    <w:rsid w:val="00B35D5B"/>
    <w:rsid w:val="00B87D0E"/>
    <w:rsid w:val="00BA4437"/>
    <w:rsid w:val="00BC660A"/>
    <w:rsid w:val="00BF7FB2"/>
    <w:rsid w:val="00C13CA7"/>
    <w:rsid w:val="00C2151F"/>
    <w:rsid w:val="00C352EE"/>
    <w:rsid w:val="00C42C94"/>
    <w:rsid w:val="00C82F46"/>
    <w:rsid w:val="00C845CA"/>
    <w:rsid w:val="00C84D0B"/>
    <w:rsid w:val="00C9389A"/>
    <w:rsid w:val="00CB66A7"/>
    <w:rsid w:val="00CC58A0"/>
    <w:rsid w:val="00CD55D0"/>
    <w:rsid w:val="00CF0657"/>
    <w:rsid w:val="00D17082"/>
    <w:rsid w:val="00D23E9D"/>
    <w:rsid w:val="00D40C06"/>
    <w:rsid w:val="00D51433"/>
    <w:rsid w:val="00D725D2"/>
    <w:rsid w:val="00D73754"/>
    <w:rsid w:val="00D746C5"/>
    <w:rsid w:val="00D82CE1"/>
    <w:rsid w:val="00D900EA"/>
    <w:rsid w:val="00DA0778"/>
    <w:rsid w:val="00DA743F"/>
    <w:rsid w:val="00DD78EA"/>
    <w:rsid w:val="00DE15A1"/>
    <w:rsid w:val="00DE18B8"/>
    <w:rsid w:val="00DF2963"/>
    <w:rsid w:val="00E04114"/>
    <w:rsid w:val="00E13C75"/>
    <w:rsid w:val="00E17211"/>
    <w:rsid w:val="00E636B3"/>
    <w:rsid w:val="00E927ED"/>
    <w:rsid w:val="00E97046"/>
    <w:rsid w:val="00EA57BA"/>
    <w:rsid w:val="00EC489D"/>
    <w:rsid w:val="00ED1DC2"/>
    <w:rsid w:val="00ED6660"/>
    <w:rsid w:val="00EE0D27"/>
    <w:rsid w:val="00F2062F"/>
    <w:rsid w:val="00F41661"/>
    <w:rsid w:val="00F64424"/>
    <w:rsid w:val="00F64A3C"/>
    <w:rsid w:val="00F64D1A"/>
    <w:rsid w:val="00F733B6"/>
    <w:rsid w:val="00F75321"/>
    <w:rsid w:val="00F82982"/>
    <w:rsid w:val="00F957B4"/>
    <w:rsid w:val="00FC138C"/>
    <w:rsid w:val="00FF6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73B3F"/>
  <w15:chartTrackingRefBased/>
  <w15:docId w15:val="{9F22537E-D10E-4007-B3D3-74365918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3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3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3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3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FFD"/>
    <w:rPr>
      <w:rFonts w:eastAsiaTheme="majorEastAsia" w:cstheme="majorBidi"/>
      <w:color w:val="272727" w:themeColor="text1" w:themeTint="D8"/>
    </w:rPr>
  </w:style>
  <w:style w:type="paragraph" w:styleId="Title">
    <w:name w:val="Title"/>
    <w:basedOn w:val="Normal"/>
    <w:next w:val="Normal"/>
    <w:link w:val="TitleChar"/>
    <w:uiPriority w:val="10"/>
    <w:qFormat/>
    <w:rsid w:val="009D3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FFD"/>
    <w:pPr>
      <w:spacing w:before="160"/>
      <w:jc w:val="center"/>
    </w:pPr>
    <w:rPr>
      <w:i/>
      <w:iCs/>
      <w:color w:val="404040" w:themeColor="text1" w:themeTint="BF"/>
    </w:rPr>
  </w:style>
  <w:style w:type="character" w:customStyle="1" w:styleId="QuoteChar">
    <w:name w:val="Quote Char"/>
    <w:basedOn w:val="DefaultParagraphFont"/>
    <w:link w:val="Quote"/>
    <w:uiPriority w:val="29"/>
    <w:rsid w:val="009D3FFD"/>
    <w:rPr>
      <w:i/>
      <w:iCs/>
      <w:color w:val="404040" w:themeColor="text1" w:themeTint="BF"/>
    </w:rPr>
  </w:style>
  <w:style w:type="paragraph" w:styleId="ListParagraph">
    <w:name w:val="List Paragraph"/>
    <w:basedOn w:val="Normal"/>
    <w:uiPriority w:val="34"/>
    <w:qFormat/>
    <w:rsid w:val="009D3FFD"/>
    <w:pPr>
      <w:ind w:left="720"/>
      <w:contextualSpacing/>
    </w:pPr>
  </w:style>
  <w:style w:type="character" w:styleId="IntenseEmphasis">
    <w:name w:val="Intense Emphasis"/>
    <w:basedOn w:val="DefaultParagraphFont"/>
    <w:uiPriority w:val="21"/>
    <w:qFormat/>
    <w:rsid w:val="009D3FFD"/>
    <w:rPr>
      <w:i/>
      <w:iCs/>
      <w:color w:val="0F4761" w:themeColor="accent1" w:themeShade="BF"/>
    </w:rPr>
  </w:style>
  <w:style w:type="paragraph" w:styleId="IntenseQuote">
    <w:name w:val="Intense Quote"/>
    <w:basedOn w:val="Normal"/>
    <w:next w:val="Normal"/>
    <w:link w:val="IntenseQuoteChar"/>
    <w:uiPriority w:val="30"/>
    <w:qFormat/>
    <w:rsid w:val="009D3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FFD"/>
    <w:rPr>
      <w:i/>
      <w:iCs/>
      <w:color w:val="0F4761" w:themeColor="accent1" w:themeShade="BF"/>
    </w:rPr>
  </w:style>
  <w:style w:type="character" w:styleId="IntenseReference">
    <w:name w:val="Intense Reference"/>
    <w:basedOn w:val="DefaultParagraphFont"/>
    <w:uiPriority w:val="32"/>
    <w:qFormat/>
    <w:rsid w:val="009D3FFD"/>
    <w:rPr>
      <w:b/>
      <w:bCs/>
      <w:smallCaps/>
      <w:color w:val="0F4761" w:themeColor="accent1" w:themeShade="BF"/>
      <w:spacing w:val="5"/>
    </w:rPr>
  </w:style>
  <w:style w:type="paragraph" w:styleId="NoSpacing">
    <w:name w:val="No Spacing"/>
    <w:link w:val="NoSpacingChar"/>
    <w:uiPriority w:val="1"/>
    <w:qFormat/>
    <w:rsid w:val="009D3FF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D3FFD"/>
    <w:rPr>
      <w:rFonts w:eastAsiaTheme="minorEastAsia"/>
      <w:kern w:val="0"/>
      <w:lang w:val="en-US"/>
      <w14:ligatures w14:val="none"/>
    </w:rPr>
  </w:style>
  <w:style w:type="paragraph" w:styleId="TOCHeading">
    <w:name w:val="TOC Heading"/>
    <w:basedOn w:val="Heading1"/>
    <w:next w:val="Normal"/>
    <w:uiPriority w:val="39"/>
    <w:unhideWhenUsed/>
    <w:qFormat/>
    <w:rsid w:val="009D3FF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00496"/>
    <w:pPr>
      <w:spacing w:after="100"/>
    </w:pPr>
  </w:style>
  <w:style w:type="character" w:styleId="Hyperlink">
    <w:name w:val="Hyperlink"/>
    <w:basedOn w:val="DefaultParagraphFont"/>
    <w:uiPriority w:val="99"/>
    <w:unhideWhenUsed/>
    <w:rsid w:val="00800496"/>
    <w:rPr>
      <w:color w:val="467886" w:themeColor="hyperlink"/>
      <w:u w:val="single"/>
    </w:rPr>
  </w:style>
  <w:style w:type="character" w:styleId="UnresolvedMention">
    <w:name w:val="Unresolved Mention"/>
    <w:basedOn w:val="DefaultParagraphFont"/>
    <w:uiPriority w:val="99"/>
    <w:semiHidden/>
    <w:unhideWhenUsed/>
    <w:rsid w:val="001B0640"/>
    <w:rPr>
      <w:color w:val="605E5C"/>
      <w:shd w:val="clear" w:color="auto" w:fill="E1DFDD"/>
    </w:rPr>
  </w:style>
  <w:style w:type="paragraph" w:styleId="TOC2">
    <w:name w:val="toc 2"/>
    <w:basedOn w:val="Normal"/>
    <w:next w:val="Normal"/>
    <w:autoRedefine/>
    <w:uiPriority w:val="39"/>
    <w:unhideWhenUsed/>
    <w:rsid w:val="00FF6350"/>
    <w:pPr>
      <w:spacing w:after="100"/>
      <w:ind w:left="220"/>
    </w:pPr>
  </w:style>
  <w:style w:type="paragraph" w:styleId="TOC3">
    <w:name w:val="toc 3"/>
    <w:basedOn w:val="Normal"/>
    <w:next w:val="Normal"/>
    <w:autoRedefine/>
    <w:uiPriority w:val="39"/>
    <w:unhideWhenUsed/>
    <w:rsid w:val="00FF6350"/>
    <w:pPr>
      <w:spacing w:after="100"/>
      <w:ind w:left="440"/>
    </w:pPr>
  </w:style>
  <w:style w:type="table" w:styleId="TableGrid">
    <w:name w:val="Table Grid"/>
    <w:basedOn w:val="TableNormal"/>
    <w:uiPriority w:val="39"/>
    <w:rsid w:val="00962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622D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C2E5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doi.org/10.6028/NIST.SP.800-207"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www.enisa.europa.eu/sites/default/files/2026-01/ENISA%20Threat%20Landscape%202025_v1.2.pdf" TargetMode="External"/><Relationship Id="rId2" Type="http://schemas.openxmlformats.org/officeDocument/2006/relationships/customXml" Target="../customXml/item2.xml"/><Relationship Id="rId16" Type="http://schemas.microsoft.com/office/2007/relationships/diagramDrawing" Target="diagrams/drawing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hyperlink" Target="https://www.cisa.gov/sites/default/files/2023-04/CISA_Zero_Trust_Maturity_Model_Version_2_508c.pdf" TargetMode="Externa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53A04A-A856-4828-91F8-C284A2FAE8A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D76AFF9-B85E-49F5-BED9-4D1BD048F3EA}">
      <dgm:prSet phldrT="[Text]"/>
      <dgm:spPr/>
      <dgm:t>
        <a:bodyPr/>
        <a:lstStyle/>
        <a:p>
          <a:r>
            <a:rPr lang="en-GB"/>
            <a:t>Board of Directors</a:t>
          </a:r>
        </a:p>
      </dgm:t>
    </dgm:pt>
    <dgm:pt modelId="{020F262A-0B6C-4408-A2FD-C177149A981C}" type="parTrans" cxnId="{D118D087-6768-4489-B9A1-77D8FDA84CDC}">
      <dgm:prSet/>
      <dgm:spPr/>
      <dgm:t>
        <a:bodyPr/>
        <a:lstStyle/>
        <a:p>
          <a:endParaRPr lang="en-GB"/>
        </a:p>
      </dgm:t>
    </dgm:pt>
    <dgm:pt modelId="{51D4DB02-44E0-4ED7-9EF0-73EC86871897}" type="sibTrans" cxnId="{D118D087-6768-4489-B9A1-77D8FDA84CDC}">
      <dgm:prSet/>
      <dgm:spPr/>
      <dgm:t>
        <a:bodyPr/>
        <a:lstStyle/>
        <a:p>
          <a:endParaRPr lang="en-GB"/>
        </a:p>
      </dgm:t>
    </dgm:pt>
    <dgm:pt modelId="{E263D236-30E7-4A50-86A8-ECD423E3CB64}" type="asst">
      <dgm:prSet phldrT="[Text]"/>
      <dgm:spPr/>
      <dgm:t>
        <a:bodyPr/>
        <a:lstStyle/>
        <a:p>
          <a:r>
            <a:rPr lang="en-GB"/>
            <a:t>CEO</a:t>
          </a:r>
        </a:p>
      </dgm:t>
    </dgm:pt>
    <dgm:pt modelId="{97F6AFCA-2EF2-4E5E-B5D3-0BCC8AB1FB6C}" type="parTrans" cxnId="{84320B43-2980-47B6-9203-03596E616075}">
      <dgm:prSet/>
      <dgm:spPr/>
      <dgm:t>
        <a:bodyPr/>
        <a:lstStyle/>
        <a:p>
          <a:endParaRPr lang="en-GB"/>
        </a:p>
      </dgm:t>
    </dgm:pt>
    <dgm:pt modelId="{814C5390-5250-49CA-9420-6DE9E06E9671}" type="sibTrans" cxnId="{84320B43-2980-47B6-9203-03596E616075}">
      <dgm:prSet/>
      <dgm:spPr/>
      <dgm:t>
        <a:bodyPr/>
        <a:lstStyle/>
        <a:p>
          <a:endParaRPr lang="en-GB"/>
        </a:p>
      </dgm:t>
    </dgm:pt>
    <dgm:pt modelId="{118823F0-F3C8-4D64-BB23-A2594A229C10}">
      <dgm:prSet phldrT="[Text]"/>
      <dgm:spPr/>
      <dgm:t>
        <a:bodyPr/>
        <a:lstStyle/>
        <a:p>
          <a:r>
            <a:rPr lang="en-GB"/>
            <a:t>Cloud Security Architect</a:t>
          </a:r>
        </a:p>
      </dgm:t>
    </dgm:pt>
    <dgm:pt modelId="{B7FD5D1E-596A-4210-A2A6-AC3173E05E82}" type="parTrans" cxnId="{3FCDFCD6-D8B1-42E1-AFEA-B207152BD9A3}">
      <dgm:prSet/>
      <dgm:spPr/>
      <dgm:t>
        <a:bodyPr/>
        <a:lstStyle/>
        <a:p>
          <a:endParaRPr lang="en-GB"/>
        </a:p>
      </dgm:t>
    </dgm:pt>
    <dgm:pt modelId="{1A557970-EB12-4755-949E-8316BFD7748D}" type="sibTrans" cxnId="{3FCDFCD6-D8B1-42E1-AFEA-B207152BD9A3}">
      <dgm:prSet/>
      <dgm:spPr/>
      <dgm:t>
        <a:bodyPr/>
        <a:lstStyle/>
        <a:p>
          <a:endParaRPr lang="en-GB"/>
        </a:p>
      </dgm:t>
    </dgm:pt>
    <dgm:pt modelId="{A0E974A4-1445-4B5D-A54A-52C6597BD442}">
      <dgm:prSet phldrT="[Text]"/>
      <dgm:spPr/>
      <dgm:t>
        <a:bodyPr/>
        <a:lstStyle/>
        <a:p>
          <a:r>
            <a:rPr lang="en-GB"/>
            <a:t>IAM Engineer</a:t>
          </a:r>
        </a:p>
      </dgm:t>
    </dgm:pt>
    <dgm:pt modelId="{071D950C-831D-47D3-9C57-43B265A6C8C4}" type="parTrans" cxnId="{81372EB3-E2BD-494A-B817-5BE68F95120E}">
      <dgm:prSet/>
      <dgm:spPr/>
      <dgm:t>
        <a:bodyPr/>
        <a:lstStyle/>
        <a:p>
          <a:endParaRPr lang="en-GB"/>
        </a:p>
      </dgm:t>
    </dgm:pt>
    <dgm:pt modelId="{8E75CBB9-6091-415A-9E07-705DBF6DDA99}" type="sibTrans" cxnId="{81372EB3-E2BD-494A-B817-5BE68F95120E}">
      <dgm:prSet/>
      <dgm:spPr/>
      <dgm:t>
        <a:bodyPr/>
        <a:lstStyle/>
        <a:p>
          <a:endParaRPr lang="en-GB"/>
        </a:p>
      </dgm:t>
    </dgm:pt>
    <dgm:pt modelId="{15C0860A-F058-43CF-93C8-19E23B9958ED}">
      <dgm:prSet phldrT="[Text]"/>
      <dgm:spPr/>
      <dgm:t>
        <a:bodyPr/>
        <a:lstStyle/>
        <a:p>
          <a:r>
            <a:rPr lang="en-GB"/>
            <a:t>Data Protection Officer</a:t>
          </a:r>
        </a:p>
      </dgm:t>
    </dgm:pt>
    <dgm:pt modelId="{507EC67B-1F01-49D5-9E6C-CEEB69FD346D}" type="parTrans" cxnId="{E43EFEAB-592E-4B85-88E4-D3680A6FE816}">
      <dgm:prSet/>
      <dgm:spPr/>
      <dgm:t>
        <a:bodyPr/>
        <a:lstStyle/>
        <a:p>
          <a:endParaRPr lang="en-GB"/>
        </a:p>
      </dgm:t>
    </dgm:pt>
    <dgm:pt modelId="{BB79E55A-05CE-4D45-A188-92CCC7F8287D}" type="sibTrans" cxnId="{E43EFEAB-592E-4B85-88E4-D3680A6FE816}">
      <dgm:prSet/>
      <dgm:spPr/>
      <dgm:t>
        <a:bodyPr/>
        <a:lstStyle/>
        <a:p>
          <a:endParaRPr lang="en-GB"/>
        </a:p>
      </dgm:t>
    </dgm:pt>
    <dgm:pt modelId="{4568229C-7D5A-4438-8BAF-3E4B083C6DBC}" type="asst">
      <dgm:prSet phldrT="[Text]"/>
      <dgm:spPr/>
      <dgm:t>
        <a:bodyPr/>
        <a:lstStyle/>
        <a:p>
          <a:r>
            <a:rPr lang="en-GB"/>
            <a:t>CISO</a:t>
          </a:r>
        </a:p>
      </dgm:t>
    </dgm:pt>
    <dgm:pt modelId="{6A66CE00-0262-4CA6-9188-799F33345D5C}" type="parTrans" cxnId="{AA345BC9-B7E6-41B5-94DD-77653BD4E3A6}">
      <dgm:prSet/>
      <dgm:spPr/>
      <dgm:t>
        <a:bodyPr/>
        <a:lstStyle/>
        <a:p>
          <a:endParaRPr lang="en-GB"/>
        </a:p>
      </dgm:t>
    </dgm:pt>
    <dgm:pt modelId="{9D190707-10FA-46A1-8CB0-EE8E9D939841}" type="sibTrans" cxnId="{AA345BC9-B7E6-41B5-94DD-77653BD4E3A6}">
      <dgm:prSet/>
      <dgm:spPr/>
      <dgm:t>
        <a:bodyPr/>
        <a:lstStyle/>
        <a:p>
          <a:endParaRPr lang="en-GB"/>
        </a:p>
      </dgm:t>
    </dgm:pt>
    <dgm:pt modelId="{43040947-BD70-4E30-ADEF-300944973A1E}" type="asst">
      <dgm:prSet phldrT="[Text]"/>
      <dgm:spPr/>
      <dgm:t>
        <a:bodyPr/>
        <a:lstStyle/>
        <a:p>
          <a:r>
            <a:rPr lang="en-GB"/>
            <a:t>Security Ops Analyst </a:t>
          </a:r>
        </a:p>
      </dgm:t>
    </dgm:pt>
    <dgm:pt modelId="{6F6785F4-1CB7-415E-995A-315C66A46C0F}" type="parTrans" cxnId="{84AAE312-11CB-4950-B655-3833F8E15D48}">
      <dgm:prSet/>
      <dgm:spPr/>
      <dgm:t>
        <a:bodyPr/>
        <a:lstStyle/>
        <a:p>
          <a:endParaRPr lang="en-GB"/>
        </a:p>
      </dgm:t>
    </dgm:pt>
    <dgm:pt modelId="{0ED5E454-37DF-4C68-AB95-5FEF717E1D2C}" type="sibTrans" cxnId="{84AAE312-11CB-4950-B655-3833F8E15D48}">
      <dgm:prSet/>
      <dgm:spPr/>
      <dgm:t>
        <a:bodyPr/>
        <a:lstStyle/>
        <a:p>
          <a:endParaRPr lang="en-GB"/>
        </a:p>
      </dgm:t>
    </dgm:pt>
    <dgm:pt modelId="{0B3BD623-86F4-4A76-84F5-88DEA84BD881}" type="pres">
      <dgm:prSet presAssocID="{F653A04A-A856-4828-91F8-C284A2FAE8A9}" presName="hierChild1" presStyleCnt="0">
        <dgm:presLayoutVars>
          <dgm:orgChart val="1"/>
          <dgm:chPref val="1"/>
          <dgm:dir/>
          <dgm:animOne val="branch"/>
          <dgm:animLvl val="lvl"/>
          <dgm:resizeHandles/>
        </dgm:presLayoutVars>
      </dgm:prSet>
      <dgm:spPr/>
    </dgm:pt>
    <dgm:pt modelId="{CA61B7D5-DF95-4D8D-B7FA-9A9115BE9063}" type="pres">
      <dgm:prSet presAssocID="{1D76AFF9-B85E-49F5-BED9-4D1BD048F3EA}" presName="hierRoot1" presStyleCnt="0">
        <dgm:presLayoutVars>
          <dgm:hierBranch val="init"/>
        </dgm:presLayoutVars>
      </dgm:prSet>
      <dgm:spPr/>
    </dgm:pt>
    <dgm:pt modelId="{1139D584-9896-4212-B8A3-7BE31360C47F}" type="pres">
      <dgm:prSet presAssocID="{1D76AFF9-B85E-49F5-BED9-4D1BD048F3EA}" presName="rootComposite1" presStyleCnt="0"/>
      <dgm:spPr/>
    </dgm:pt>
    <dgm:pt modelId="{915C86E6-A61F-46F9-A61C-1C29319B284F}" type="pres">
      <dgm:prSet presAssocID="{1D76AFF9-B85E-49F5-BED9-4D1BD048F3EA}" presName="rootText1" presStyleLbl="node0" presStyleIdx="0" presStyleCnt="1" custLinFactNeighborX="470" custLinFactNeighborY="-90210">
        <dgm:presLayoutVars>
          <dgm:chPref val="3"/>
        </dgm:presLayoutVars>
      </dgm:prSet>
      <dgm:spPr/>
    </dgm:pt>
    <dgm:pt modelId="{A5BFFF25-D9AF-489C-9D27-2295151406A8}" type="pres">
      <dgm:prSet presAssocID="{1D76AFF9-B85E-49F5-BED9-4D1BD048F3EA}" presName="rootConnector1" presStyleLbl="node1" presStyleIdx="0" presStyleCnt="0"/>
      <dgm:spPr/>
    </dgm:pt>
    <dgm:pt modelId="{647C606F-1F80-406E-BE66-A72349F1ABD1}" type="pres">
      <dgm:prSet presAssocID="{1D76AFF9-B85E-49F5-BED9-4D1BD048F3EA}" presName="hierChild2" presStyleCnt="0"/>
      <dgm:spPr/>
    </dgm:pt>
    <dgm:pt modelId="{CA52F9FC-EA43-463F-90DD-1BE4F9612736}" type="pres">
      <dgm:prSet presAssocID="{B7FD5D1E-596A-4210-A2A6-AC3173E05E82}" presName="Name37" presStyleLbl="parChTrans1D2" presStyleIdx="0" presStyleCnt="6"/>
      <dgm:spPr/>
    </dgm:pt>
    <dgm:pt modelId="{F6A7F250-FA3E-41A1-AAF1-4D8EFB7CB31C}" type="pres">
      <dgm:prSet presAssocID="{118823F0-F3C8-4D64-BB23-A2594A229C10}" presName="hierRoot2" presStyleCnt="0">
        <dgm:presLayoutVars>
          <dgm:hierBranch val="init"/>
        </dgm:presLayoutVars>
      </dgm:prSet>
      <dgm:spPr/>
    </dgm:pt>
    <dgm:pt modelId="{88C47554-ECBB-4912-BCA0-A438AF52FE6C}" type="pres">
      <dgm:prSet presAssocID="{118823F0-F3C8-4D64-BB23-A2594A229C10}" presName="rootComposite" presStyleCnt="0"/>
      <dgm:spPr/>
    </dgm:pt>
    <dgm:pt modelId="{A4F30C4E-EB36-422E-8A11-264ECDE454B6}" type="pres">
      <dgm:prSet presAssocID="{118823F0-F3C8-4D64-BB23-A2594A229C10}" presName="rootText" presStyleLbl="node2" presStyleIdx="0" presStyleCnt="3" custScaleX="52699" custScaleY="57081" custLinFactNeighborX="-23318" custLinFactNeighborY="18">
        <dgm:presLayoutVars>
          <dgm:chPref val="3"/>
        </dgm:presLayoutVars>
      </dgm:prSet>
      <dgm:spPr/>
    </dgm:pt>
    <dgm:pt modelId="{639535BF-9ECF-4421-B4E5-36A74F823315}" type="pres">
      <dgm:prSet presAssocID="{118823F0-F3C8-4D64-BB23-A2594A229C10}" presName="rootConnector" presStyleLbl="node2" presStyleIdx="0" presStyleCnt="3"/>
      <dgm:spPr/>
    </dgm:pt>
    <dgm:pt modelId="{90A853E4-671A-4BAC-ACAB-6D4FE28B5C3B}" type="pres">
      <dgm:prSet presAssocID="{118823F0-F3C8-4D64-BB23-A2594A229C10}" presName="hierChild4" presStyleCnt="0"/>
      <dgm:spPr/>
    </dgm:pt>
    <dgm:pt modelId="{DFA25620-5B77-4205-9799-7A4EBDB3DDC6}" type="pres">
      <dgm:prSet presAssocID="{118823F0-F3C8-4D64-BB23-A2594A229C10}" presName="hierChild5" presStyleCnt="0"/>
      <dgm:spPr/>
    </dgm:pt>
    <dgm:pt modelId="{80F157CA-680F-4AC5-91A1-86D3C81325DB}" type="pres">
      <dgm:prSet presAssocID="{071D950C-831D-47D3-9C57-43B265A6C8C4}" presName="Name37" presStyleLbl="parChTrans1D2" presStyleIdx="1" presStyleCnt="6"/>
      <dgm:spPr/>
    </dgm:pt>
    <dgm:pt modelId="{4BCF3F18-DAA1-4863-BDF8-D90419B245C6}" type="pres">
      <dgm:prSet presAssocID="{A0E974A4-1445-4B5D-A54A-52C6597BD442}" presName="hierRoot2" presStyleCnt="0">
        <dgm:presLayoutVars>
          <dgm:hierBranch val="init"/>
        </dgm:presLayoutVars>
      </dgm:prSet>
      <dgm:spPr/>
    </dgm:pt>
    <dgm:pt modelId="{D68E2719-0E82-4A9E-BB41-C674BD4139B6}" type="pres">
      <dgm:prSet presAssocID="{A0E974A4-1445-4B5D-A54A-52C6597BD442}" presName="rootComposite" presStyleCnt="0"/>
      <dgm:spPr/>
    </dgm:pt>
    <dgm:pt modelId="{C433D626-D19A-4F35-BB2E-D4627EAEDA95}" type="pres">
      <dgm:prSet presAssocID="{A0E974A4-1445-4B5D-A54A-52C6597BD442}" presName="rootText" presStyleLbl="node2" presStyleIdx="1" presStyleCnt="3" custScaleX="48986" custScaleY="60451" custLinFactNeighborX="-33381" custLinFactNeighborY="-386">
        <dgm:presLayoutVars>
          <dgm:chPref val="3"/>
        </dgm:presLayoutVars>
      </dgm:prSet>
      <dgm:spPr/>
    </dgm:pt>
    <dgm:pt modelId="{1CAAFB7F-1F38-4D1F-96B3-180BE711A810}" type="pres">
      <dgm:prSet presAssocID="{A0E974A4-1445-4B5D-A54A-52C6597BD442}" presName="rootConnector" presStyleLbl="node2" presStyleIdx="1" presStyleCnt="3"/>
      <dgm:spPr/>
    </dgm:pt>
    <dgm:pt modelId="{B7852AAC-CA50-4E50-BE28-0A018B54009B}" type="pres">
      <dgm:prSet presAssocID="{A0E974A4-1445-4B5D-A54A-52C6597BD442}" presName="hierChild4" presStyleCnt="0"/>
      <dgm:spPr/>
    </dgm:pt>
    <dgm:pt modelId="{BAC58AE2-C56E-46A4-BC0B-5F1F5438DDEF}" type="pres">
      <dgm:prSet presAssocID="{A0E974A4-1445-4B5D-A54A-52C6597BD442}" presName="hierChild5" presStyleCnt="0"/>
      <dgm:spPr/>
    </dgm:pt>
    <dgm:pt modelId="{07CA0112-54F3-4C48-A78E-887DDE9C413D}" type="pres">
      <dgm:prSet presAssocID="{507EC67B-1F01-49D5-9E6C-CEEB69FD346D}" presName="Name37" presStyleLbl="parChTrans1D2" presStyleIdx="2" presStyleCnt="6"/>
      <dgm:spPr/>
    </dgm:pt>
    <dgm:pt modelId="{48822587-BEEF-41DF-B73B-F279A9104DF6}" type="pres">
      <dgm:prSet presAssocID="{15C0860A-F058-43CF-93C8-19E23B9958ED}" presName="hierRoot2" presStyleCnt="0">
        <dgm:presLayoutVars>
          <dgm:hierBranch val="init"/>
        </dgm:presLayoutVars>
      </dgm:prSet>
      <dgm:spPr/>
    </dgm:pt>
    <dgm:pt modelId="{E7137E62-79B4-4B61-80F8-7131E2E4850B}" type="pres">
      <dgm:prSet presAssocID="{15C0860A-F058-43CF-93C8-19E23B9958ED}" presName="rootComposite" presStyleCnt="0"/>
      <dgm:spPr/>
    </dgm:pt>
    <dgm:pt modelId="{E4EDE168-5AA2-426B-843D-7BFA2D95FFA7}" type="pres">
      <dgm:prSet presAssocID="{15C0860A-F058-43CF-93C8-19E23B9958ED}" presName="rootText" presStyleLbl="node2" presStyleIdx="2" presStyleCnt="3" custScaleX="49161" custScaleY="57468" custLinFactNeighborX="-34259" custLinFactNeighborY="-10">
        <dgm:presLayoutVars>
          <dgm:chPref val="3"/>
        </dgm:presLayoutVars>
      </dgm:prSet>
      <dgm:spPr/>
    </dgm:pt>
    <dgm:pt modelId="{3CEF5873-6E7B-43C0-8E55-EA91D8F3B6C4}" type="pres">
      <dgm:prSet presAssocID="{15C0860A-F058-43CF-93C8-19E23B9958ED}" presName="rootConnector" presStyleLbl="node2" presStyleIdx="2" presStyleCnt="3"/>
      <dgm:spPr/>
    </dgm:pt>
    <dgm:pt modelId="{8737F6E8-2A9A-44CF-B1CB-60EDA8CDDBFB}" type="pres">
      <dgm:prSet presAssocID="{15C0860A-F058-43CF-93C8-19E23B9958ED}" presName="hierChild4" presStyleCnt="0"/>
      <dgm:spPr/>
    </dgm:pt>
    <dgm:pt modelId="{788137A5-60BD-4FDF-A9B7-4A0D81A0E7BB}" type="pres">
      <dgm:prSet presAssocID="{15C0860A-F058-43CF-93C8-19E23B9958ED}" presName="hierChild5" presStyleCnt="0"/>
      <dgm:spPr/>
    </dgm:pt>
    <dgm:pt modelId="{35EB2F6D-5453-4B62-836F-EF519764F499}" type="pres">
      <dgm:prSet presAssocID="{1D76AFF9-B85E-49F5-BED9-4D1BD048F3EA}" presName="hierChild3" presStyleCnt="0"/>
      <dgm:spPr/>
    </dgm:pt>
    <dgm:pt modelId="{244FDFD4-79F9-4CBE-8834-4BD723CCB56F}" type="pres">
      <dgm:prSet presAssocID="{6A66CE00-0262-4CA6-9188-799F33345D5C}" presName="Name111" presStyleLbl="parChTrans1D2" presStyleIdx="3" presStyleCnt="6"/>
      <dgm:spPr/>
    </dgm:pt>
    <dgm:pt modelId="{B6B0FFD3-DCD0-427F-810B-BDC47DD8DF78}" type="pres">
      <dgm:prSet presAssocID="{4568229C-7D5A-4438-8BAF-3E4B083C6DBC}" presName="hierRoot3" presStyleCnt="0">
        <dgm:presLayoutVars>
          <dgm:hierBranch val="init"/>
        </dgm:presLayoutVars>
      </dgm:prSet>
      <dgm:spPr/>
    </dgm:pt>
    <dgm:pt modelId="{67EAC862-ABD2-4F7D-968A-8714035029BF}" type="pres">
      <dgm:prSet presAssocID="{4568229C-7D5A-4438-8BAF-3E4B083C6DBC}" presName="rootComposite3" presStyleCnt="0"/>
      <dgm:spPr/>
    </dgm:pt>
    <dgm:pt modelId="{DE034394-BC9E-4C4C-9C1A-3149A3AF971B}" type="pres">
      <dgm:prSet presAssocID="{4568229C-7D5A-4438-8BAF-3E4B083C6DBC}" presName="rootText3" presStyleLbl="asst1" presStyleIdx="0" presStyleCnt="3" custLinFactNeighborX="-14006" custLinFactNeighborY="81149">
        <dgm:presLayoutVars>
          <dgm:chPref val="3"/>
        </dgm:presLayoutVars>
      </dgm:prSet>
      <dgm:spPr/>
    </dgm:pt>
    <dgm:pt modelId="{DC735273-64B1-4F99-AA30-65E57BB63FD3}" type="pres">
      <dgm:prSet presAssocID="{4568229C-7D5A-4438-8BAF-3E4B083C6DBC}" presName="rootConnector3" presStyleLbl="asst1" presStyleIdx="0" presStyleCnt="3"/>
      <dgm:spPr/>
    </dgm:pt>
    <dgm:pt modelId="{88FE9339-1A80-41E1-8FC2-28B6E114F917}" type="pres">
      <dgm:prSet presAssocID="{4568229C-7D5A-4438-8BAF-3E4B083C6DBC}" presName="hierChild6" presStyleCnt="0"/>
      <dgm:spPr/>
    </dgm:pt>
    <dgm:pt modelId="{F8E3E5F5-41BB-48DA-947E-CF127F669C8F}" type="pres">
      <dgm:prSet presAssocID="{4568229C-7D5A-4438-8BAF-3E4B083C6DBC}" presName="hierChild7" presStyleCnt="0"/>
      <dgm:spPr/>
    </dgm:pt>
    <dgm:pt modelId="{746232DA-E0C4-4778-8D69-D249DBDCECC3}" type="pres">
      <dgm:prSet presAssocID="{6F6785F4-1CB7-415E-995A-315C66A46C0F}" presName="Name111" presStyleLbl="parChTrans1D2" presStyleIdx="4" presStyleCnt="6"/>
      <dgm:spPr/>
    </dgm:pt>
    <dgm:pt modelId="{A8C3BDF0-F901-4215-9D8A-2675A9447A12}" type="pres">
      <dgm:prSet presAssocID="{43040947-BD70-4E30-ADEF-300944973A1E}" presName="hierRoot3" presStyleCnt="0">
        <dgm:presLayoutVars>
          <dgm:hierBranch val="init"/>
        </dgm:presLayoutVars>
      </dgm:prSet>
      <dgm:spPr/>
    </dgm:pt>
    <dgm:pt modelId="{1B6FF013-6429-457E-A941-605EF89AF312}" type="pres">
      <dgm:prSet presAssocID="{43040947-BD70-4E30-ADEF-300944973A1E}" presName="rootComposite3" presStyleCnt="0"/>
      <dgm:spPr/>
    </dgm:pt>
    <dgm:pt modelId="{F3738605-9070-4267-82BB-0A0299EAE840}" type="pres">
      <dgm:prSet presAssocID="{43040947-BD70-4E30-ADEF-300944973A1E}" presName="rootText3" presStyleLbl="asst1" presStyleIdx="1" presStyleCnt="3" custScaleX="46694" custScaleY="52507" custLinFactY="100000" custLinFactNeighborX="40730" custLinFactNeighborY="113094">
        <dgm:presLayoutVars>
          <dgm:chPref val="3"/>
        </dgm:presLayoutVars>
      </dgm:prSet>
      <dgm:spPr/>
    </dgm:pt>
    <dgm:pt modelId="{738CAE25-2DE6-4D2F-88E2-BA1F141FCEEC}" type="pres">
      <dgm:prSet presAssocID="{43040947-BD70-4E30-ADEF-300944973A1E}" presName="rootConnector3" presStyleLbl="asst1" presStyleIdx="1" presStyleCnt="3"/>
      <dgm:spPr/>
    </dgm:pt>
    <dgm:pt modelId="{EDB9711C-54F5-47BB-BEDB-9CCE43246F53}" type="pres">
      <dgm:prSet presAssocID="{43040947-BD70-4E30-ADEF-300944973A1E}" presName="hierChild6" presStyleCnt="0"/>
      <dgm:spPr/>
    </dgm:pt>
    <dgm:pt modelId="{F3D0E250-F3A2-4ACF-AF1F-28396A6B5BCA}" type="pres">
      <dgm:prSet presAssocID="{43040947-BD70-4E30-ADEF-300944973A1E}" presName="hierChild7" presStyleCnt="0"/>
      <dgm:spPr/>
    </dgm:pt>
    <dgm:pt modelId="{3D0C2992-32D9-4070-A530-DE0241A743CE}" type="pres">
      <dgm:prSet presAssocID="{97F6AFCA-2EF2-4E5E-B5D3-0BCC8AB1FB6C}" presName="Name111" presStyleLbl="parChTrans1D2" presStyleIdx="5" presStyleCnt="6"/>
      <dgm:spPr/>
    </dgm:pt>
    <dgm:pt modelId="{A215F8A3-2979-44DC-BE09-3BE9E153B62C}" type="pres">
      <dgm:prSet presAssocID="{E263D236-30E7-4A50-86A8-ECD423E3CB64}" presName="hierRoot3" presStyleCnt="0">
        <dgm:presLayoutVars>
          <dgm:hierBranch/>
        </dgm:presLayoutVars>
      </dgm:prSet>
      <dgm:spPr/>
    </dgm:pt>
    <dgm:pt modelId="{E6056AAF-ADBF-4D32-A637-F39A721145AF}" type="pres">
      <dgm:prSet presAssocID="{E263D236-30E7-4A50-86A8-ECD423E3CB64}" presName="rootComposite3" presStyleCnt="0"/>
      <dgm:spPr/>
    </dgm:pt>
    <dgm:pt modelId="{46BB06C6-0454-435E-9813-097CABCDDF77}" type="pres">
      <dgm:prSet presAssocID="{E263D236-30E7-4A50-86A8-ECD423E3CB64}" presName="rootText3" presStyleLbl="asst1" presStyleIdx="2" presStyleCnt="3" custLinFactX="31419" custLinFactY="-63108" custLinFactNeighborX="100000" custLinFactNeighborY="-100000">
        <dgm:presLayoutVars>
          <dgm:chPref val="3"/>
        </dgm:presLayoutVars>
      </dgm:prSet>
      <dgm:spPr/>
    </dgm:pt>
    <dgm:pt modelId="{F3DCB22F-523C-4892-9B56-D98EF8498EB7}" type="pres">
      <dgm:prSet presAssocID="{E263D236-30E7-4A50-86A8-ECD423E3CB64}" presName="rootConnector3" presStyleLbl="asst1" presStyleIdx="2" presStyleCnt="3"/>
      <dgm:spPr/>
    </dgm:pt>
    <dgm:pt modelId="{BE53FE9C-8595-4EA2-91FF-3DC54E68CE37}" type="pres">
      <dgm:prSet presAssocID="{E263D236-30E7-4A50-86A8-ECD423E3CB64}" presName="hierChild6" presStyleCnt="0"/>
      <dgm:spPr/>
    </dgm:pt>
    <dgm:pt modelId="{28F7578F-536F-4438-9233-AE9FDA1EEE01}" type="pres">
      <dgm:prSet presAssocID="{E263D236-30E7-4A50-86A8-ECD423E3CB64}" presName="hierChild7" presStyleCnt="0"/>
      <dgm:spPr/>
    </dgm:pt>
  </dgm:ptLst>
  <dgm:cxnLst>
    <dgm:cxn modelId="{BC272E0E-2647-49FA-ACF1-22D452FB09CA}" type="presOf" srcId="{15C0860A-F058-43CF-93C8-19E23B9958ED}" destId="{3CEF5873-6E7B-43C0-8E55-EA91D8F3B6C4}" srcOrd="1" destOrd="0" presId="urn:microsoft.com/office/officeart/2005/8/layout/orgChart1"/>
    <dgm:cxn modelId="{84AAE312-11CB-4950-B655-3833F8E15D48}" srcId="{1D76AFF9-B85E-49F5-BED9-4D1BD048F3EA}" destId="{43040947-BD70-4E30-ADEF-300944973A1E}" srcOrd="1" destOrd="0" parTransId="{6F6785F4-1CB7-415E-995A-315C66A46C0F}" sibTransId="{0ED5E454-37DF-4C68-AB95-5FEF717E1D2C}"/>
    <dgm:cxn modelId="{38ED671B-0667-4596-AF06-128B79EB7AE1}" type="presOf" srcId="{B7FD5D1E-596A-4210-A2A6-AC3173E05E82}" destId="{CA52F9FC-EA43-463F-90DD-1BE4F9612736}" srcOrd="0" destOrd="0" presId="urn:microsoft.com/office/officeart/2005/8/layout/orgChart1"/>
    <dgm:cxn modelId="{81B84929-4E84-4968-980C-F13F492D15D7}" type="presOf" srcId="{E263D236-30E7-4A50-86A8-ECD423E3CB64}" destId="{46BB06C6-0454-435E-9813-097CABCDDF77}" srcOrd="0" destOrd="0" presId="urn:microsoft.com/office/officeart/2005/8/layout/orgChart1"/>
    <dgm:cxn modelId="{49A69429-E1AC-453C-9599-057DE2B99C30}" type="presOf" srcId="{6A66CE00-0262-4CA6-9188-799F33345D5C}" destId="{244FDFD4-79F9-4CBE-8834-4BD723CCB56F}" srcOrd="0" destOrd="0" presId="urn:microsoft.com/office/officeart/2005/8/layout/orgChart1"/>
    <dgm:cxn modelId="{32140334-6E96-48AA-91C8-1880FE4DE17C}" type="presOf" srcId="{43040947-BD70-4E30-ADEF-300944973A1E}" destId="{738CAE25-2DE6-4D2F-88E2-BA1F141FCEEC}" srcOrd="1" destOrd="0" presId="urn:microsoft.com/office/officeart/2005/8/layout/orgChart1"/>
    <dgm:cxn modelId="{84320B43-2980-47B6-9203-03596E616075}" srcId="{1D76AFF9-B85E-49F5-BED9-4D1BD048F3EA}" destId="{E263D236-30E7-4A50-86A8-ECD423E3CB64}" srcOrd="2" destOrd="0" parTransId="{97F6AFCA-2EF2-4E5E-B5D3-0BCC8AB1FB6C}" sibTransId="{814C5390-5250-49CA-9420-6DE9E06E9671}"/>
    <dgm:cxn modelId="{797A9D63-0FB5-4708-A509-BB70DA7520E3}" type="presOf" srcId="{4568229C-7D5A-4438-8BAF-3E4B083C6DBC}" destId="{DC735273-64B1-4F99-AA30-65E57BB63FD3}" srcOrd="1" destOrd="0" presId="urn:microsoft.com/office/officeart/2005/8/layout/orgChart1"/>
    <dgm:cxn modelId="{EDF80C64-0DD3-4E8E-AC94-1E4EED21DBF4}" type="presOf" srcId="{E263D236-30E7-4A50-86A8-ECD423E3CB64}" destId="{F3DCB22F-523C-4892-9B56-D98EF8498EB7}" srcOrd="1" destOrd="0" presId="urn:microsoft.com/office/officeart/2005/8/layout/orgChart1"/>
    <dgm:cxn modelId="{D118D087-6768-4489-B9A1-77D8FDA84CDC}" srcId="{F653A04A-A856-4828-91F8-C284A2FAE8A9}" destId="{1D76AFF9-B85E-49F5-BED9-4D1BD048F3EA}" srcOrd="0" destOrd="0" parTransId="{020F262A-0B6C-4408-A2FD-C177149A981C}" sibTransId="{51D4DB02-44E0-4ED7-9EF0-73EC86871897}"/>
    <dgm:cxn modelId="{2130A58F-1EFE-4DD5-BAA3-A0E027F567D2}" type="presOf" srcId="{6F6785F4-1CB7-415E-995A-315C66A46C0F}" destId="{746232DA-E0C4-4778-8D69-D249DBDCECC3}" srcOrd="0" destOrd="0" presId="urn:microsoft.com/office/officeart/2005/8/layout/orgChart1"/>
    <dgm:cxn modelId="{1F528398-7671-4321-9EEC-35D760113D61}" type="presOf" srcId="{A0E974A4-1445-4B5D-A54A-52C6597BD442}" destId="{1CAAFB7F-1F38-4D1F-96B3-180BE711A810}" srcOrd="1" destOrd="0" presId="urn:microsoft.com/office/officeart/2005/8/layout/orgChart1"/>
    <dgm:cxn modelId="{D2D9C79A-D5AC-411D-BDCB-D13BAC44DAA5}" type="presOf" srcId="{A0E974A4-1445-4B5D-A54A-52C6597BD442}" destId="{C433D626-D19A-4F35-BB2E-D4627EAEDA95}" srcOrd="0" destOrd="0" presId="urn:microsoft.com/office/officeart/2005/8/layout/orgChart1"/>
    <dgm:cxn modelId="{E43EFEAB-592E-4B85-88E4-D3680A6FE816}" srcId="{1D76AFF9-B85E-49F5-BED9-4D1BD048F3EA}" destId="{15C0860A-F058-43CF-93C8-19E23B9958ED}" srcOrd="5" destOrd="0" parTransId="{507EC67B-1F01-49D5-9E6C-CEEB69FD346D}" sibTransId="{BB79E55A-05CE-4D45-A188-92CCC7F8287D}"/>
    <dgm:cxn modelId="{07AF64B1-1562-431D-925E-A9AEA184B89B}" type="presOf" srcId="{43040947-BD70-4E30-ADEF-300944973A1E}" destId="{F3738605-9070-4267-82BB-0A0299EAE840}" srcOrd="0" destOrd="0" presId="urn:microsoft.com/office/officeart/2005/8/layout/orgChart1"/>
    <dgm:cxn modelId="{B255FAB1-D621-4F1E-BE47-1B5D558E74B5}" type="presOf" srcId="{1D76AFF9-B85E-49F5-BED9-4D1BD048F3EA}" destId="{915C86E6-A61F-46F9-A61C-1C29319B284F}" srcOrd="0" destOrd="0" presId="urn:microsoft.com/office/officeart/2005/8/layout/orgChart1"/>
    <dgm:cxn modelId="{81372EB3-E2BD-494A-B817-5BE68F95120E}" srcId="{1D76AFF9-B85E-49F5-BED9-4D1BD048F3EA}" destId="{A0E974A4-1445-4B5D-A54A-52C6597BD442}" srcOrd="4" destOrd="0" parTransId="{071D950C-831D-47D3-9C57-43B265A6C8C4}" sibTransId="{8E75CBB9-6091-415A-9E07-705DBF6DDA99}"/>
    <dgm:cxn modelId="{F63AABC3-29D5-4FA5-A453-F4C75C0A1E14}" type="presOf" srcId="{97F6AFCA-2EF2-4E5E-B5D3-0BCC8AB1FB6C}" destId="{3D0C2992-32D9-4070-A530-DE0241A743CE}" srcOrd="0" destOrd="0" presId="urn:microsoft.com/office/officeart/2005/8/layout/orgChart1"/>
    <dgm:cxn modelId="{AA345BC9-B7E6-41B5-94DD-77653BD4E3A6}" srcId="{1D76AFF9-B85E-49F5-BED9-4D1BD048F3EA}" destId="{4568229C-7D5A-4438-8BAF-3E4B083C6DBC}" srcOrd="0" destOrd="0" parTransId="{6A66CE00-0262-4CA6-9188-799F33345D5C}" sibTransId="{9D190707-10FA-46A1-8CB0-EE8E9D939841}"/>
    <dgm:cxn modelId="{FA7FE5CA-54B1-4907-97BA-79FB1448A1BE}" type="presOf" srcId="{507EC67B-1F01-49D5-9E6C-CEEB69FD346D}" destId="{07CA0112-54F3-4C48-A78E-887DDE9C413D}" srcOrd="0" destOrd="0" presId="urn:microsoft.com/office/officeart/2005/8/layout/orgChart1"/>
    <dgm:cxn modelId="{EA67AAD1-DDA0-483E-BDAE-60F6035E1A67}" type="presOf" srcId="{118823F0-F3C8-4D64-BB23-A2594A229C10}" destId="{A4F30C4E-EB36-422E-8A11-264ECDE454B6}" srcOrd="0" destOrd="0" presId="urn:microsoft.com/office/officeart/2005/8/layout/orgChart1"/>
    <dgm:cxn modelId="{9D8575D5-5F48-4745-A388-20E9ED339601}" type="presOf" srcId="{4568229C-7D5A-4438-8BAF-3E4B083C6DBC}" destId="{DE034394-BC9E-4C4C-9C1A-3149A3AF971B}" srcOrd="0" destOrd="0" presId="urn:microsoft.com/office/officeart/2005/8/layout/orgChart1"/>
    <dgm:cxn modelId="{3FCDFCD6-D8B1-42E1-AFEA-B207152BD9A3}" srcId="{1D76AFF9-B85E-49F5-BED9-4D1BD048F3EA}" destId="{118823F0-F3C8-4D64-BB23-A2594A229C10}" srcOrd="3" destOrd="0" parTransId="{B7FD5D1E-596A-4210-A2A6-AC3173E05E82}" sibTransId="{1A557970-EB12-4755-949E-8316BFD7748D}"/>
    <dgm:cxn modelId="{2E155EDD-0B4A-4439-9B05-3B72713BE3C6}" type="presOf" srcId="{1D76AFF9-B85E-49F5-BED9-4D1BD048F3EA}" destId="{A5BFFF25-D9AF-489C-9D27-2295151406A8}" srcOrd="1" destOrd="0" presId="urn:microsoft.com/office/officeart/2005/8/layout/orgChart1"/>
    <dgm:cxn modelId="{4C35B3EB-299A-4A0B-8A85-87EE24962035}" type="presOf" srcId="{15C0860A-F058-43CF-93C8-19E23B9958ED}" destId="{E4EDE168-5AA2-426B-843D-7BFA2D95FFA7}" srcOrd="0" destOrd="0" presId="urn:microsoft.com/office/officeart/2005/8/layout/orgChart1"/>
    <dgm:cxn modelId="{4453C8F4-F099-44D5-8980-AE4477B9BC6A}" type="presOf" srcId="{071D950C-831D-47D3-9C57-43B265A6C8C4}" destId="{80F157CA-680F-4AC5-91A1-86D3C81325DB}" srcOrd="0" destOrd="0" presId="urn:microsoft.com/office/officeart/2005/8/layout/orgChart1"/>
    <dgm:cxn modelId="{4F0270FA-943F-4905-8218-984F03F35FD4}" type="presOf" srcId="{F653A04A-A856-4828-91F8-C284A2FAE8A9}" destId="{0B3BD623-86F4-4A76-84F5-88DEA84BD881}" srcOrd="0" destOrd="0" presId="urn:microsoft.com/office/officeart/2005/8/layout/orgChart1"/>
    <dgm:cxn modelId="{97FA58FA-38D0-4DC1-8DFD-EC1EF67A2B71}" type="presOf" srcId="{118823F0-F3C8-4D64-BB23-A2594A229C10}" destId="{639535BF-9ECF-4421-B4E5-36A74F823315}" srcOrd="1" destOrd="0" presId="urn:microsoft.com/office/officeart/2005/8/layout/orgChart1"/>
    <dgm:cxn modelId="{73BA8A1C-3817-4DA4-809C-A26582EBD1A6}" type="presParOf" srcId="{0B3BD623-86F4-4A76-84F5-88DEA84BD881}" destId="{CA61B7D5-DF95-4D8D-B7FA-9A9115BE9063}" srcOrd="0" destOrd="0" presId="urn:microsoft.com/office/officeart/2005/8/layout/orgChart1"/>
    <dgm:cxn modelId="{9E887A9D-F3EB-4242-97BD-AF6B31334557}" type="presParOf" srcId="{CA61B7D5-DF95-4D8D-B7FA-9A9115BE9063}" destId="{1139D584-9896-4212-B8A3-7BE31360C47F}" srcOrd="0" destOrd="0" presId="urn:microsoft.com/office/officeart/2005/8/layout/orgChart1"/>
    <dgm:cxn modelId="{CA8C2EDF-F454-492F-95FA-23F6868DFAEF}" type="presParOf" srcId="{1139D584-9896-4212-B8A3-7BE31360C47F}" destId="{915C86E6-A61F-46F9-A61C-1C29319B284F}" srcOrd="0" destOrd="0" presId="urn:microsoft.com/office/officeart/2005/8/layout/orgChart1"/>
    <dgm:cxn modelId="{61808B3E-05B4-45E6-998F-DF7C401328A5}" type="presParOf" srcId="{1139D584-9896-4212-B8A3-7BE31360C47F}" destId="{A5BFFF25-D9AF-489C-9D27-2295151406A8}" srcOrd="1" destOrd="0" presId="urn:microsoft.com/office/officeart/2005/8/layout/orgChart1"/>
    <dgm:cxn modelId="{49BA080C-754F-4963-98A5-B11B8DDFD8F5}" type="presParOf" srcId="{CA61B7D5-DF95-4D8D-B7FA-9A9115BE9063}" destId="{647C606F-1F80-406E-BE66-A72349F1ABD1}" srcOrd="1" destOrd="0" presId="urn:microsoft.com/office/officeart/2005/8/layout/orgChart1"/>
    <dgm:cxn modelId="{7EE4C642-F2CD-4A8E-BFCC-2B864E3086BF}" type="presParOf" srcId="{647C606F-1F80-406E-BE66-A72349F1ABD1}" destId="{CA52F9FC-EA43-463F-90DD-1BE4F9612736}" srcOrd="0" destOrd="0" presId="urn:microsoft.com/office/officeart/2005/8/layout/orgChart1"/>
    <dgm:cxn modelId="{7FF48034-6E60-4BE3-A99F-3C5EEB07AB0D}" type="presParOf" srcId="{647C606F-1F80-406E-BE66-A72349F1ABD1}" destId="{F6A7F250-FA3E-41A1-AAF1-4D8EFB7CB31C}" srcOrd="1" destOrd="0" presId="urn:microsoft.com/office/officeart/2005/8/layout/orgChart1"/>
    <dgm:cxn modelId="{93C24733-97F0-44DF-AB4F-86F6A7FD175B}" type="presParOf" srcId="{F6A7F250-FA3E-41A1-AAF1-4D8EFB7CB31C}" destId="{88C47554-ECBB-4912-BCA0-A438AF52FE6C}" srcOrd="0" destOrd="0" presId="urn:microsoft.com/office/officeart/2005/8/layout/orgChart1"/>
    <dgm:cxn modelId="{4FDAC6C4-69DC-4C12-AA93-819B2CF51FA1}" type="presParOf" srcId="{88C47554-ECBB-4912-BCA0-A438AF52FE6C}" destId="{A4F30C4E-EB36-422E-8A11-264ECDE454B6}" srcOrd="0" destOrd="0" presId="urn:microsoft.com/office/officeart/2005/8/layout/orgChart1"/>
    <dgm:cxn modelId="{EF293CD9-7E2F-422C-A178-9D6C8FB059BA}" type="presParOf" srcId="{88C47554-ECBB-4912-BCA0-A438AF52FE6C}" destId="{639535BF-9ECF-4421-B4E5-36A74F823315}" srcOrd="1" destOrd="0" presId="urn:microsoft.com/office/officeart/2005/8/layout/orgChart1"/>
    <dgm:cxn modelId="{398D083B-AF09-46F4-BF03-A69ED1A49790}" type="presParOf" srcId="{F6A7F250-FA3E-41A1-AAF1-4D8EFB7CB31C}" destId="{90A853E4-671A-4BAC-ACAB-6D4FE28B5C3B}" srcOrd="1" destOrd="0" presId="urn:microsoft.com/office/officeart/2005/8/layout/orgChart1"/>
    <dgm:cxn modelId="{F5D85F0D-0607-4D8B-BB0B-6999FEE2F353}" type="presParOf" srcId="{F6A7F250-FA3E-41A1-AAF1-4D8EFB7CB31C}" destId="{DFA25620-5B77-4205-9799-7A4EBDB3DDC6}" srcOrd="2" destOrd="0" presId="urn:microsoft.com/office/officeart/2005/8/layout/orgChart1"/>
    <dgm:cxn modelId="{6FEC10CA-EA0E-4348-BB8E-0BFBA75876C4}" type="presParOf" srcId="{647C606F-1F80-406E-BE66-A72349F1ABD1}" destId="{80F157CA-680F-4AC5-91A1-86D3C81325DB}" srcOrd="2" destOrd="0" presId="urn:microsoft.com/office/officeart/2005/8/layout/orgChart1"/>
    <dgm:cxn modelId="{4B6427D8-A0B6-4AAE-9BA7-C659F455978C}" type="presParOf" srcId="{647C606F-1F80-406E-BE66-A72349F1ABD1}" destId="{4BCF3F18-DAA1-4863-BDF8-D90419B245C6}" srcOrd="3" destOrd="0" presId="urn:microsoft.com/office/officeart/2005/8/layout/orgChart1"/>
    <dgm:cxn modelId="{06AA7DD2-6D78-4F24-A28B-68B6689AD5ED}" type="presParOf" srcId="{4BCF3F18-DAA1-4863-BDF8-D90419B245C6}" destId="{D68E2719-0E82-4A9E-BB41-C674BD4139B6}" srcOrd="0" destOrd="0" presId="urn:microsoft.com/office/officeart/2005/8/layout/orgChart1"/>
    <dgm:cxn modelId="{1C3A55FF-6CA9-49AA-B24E-3150DB25D06D}" type="presParOf" srcId="{D68E2719-0E82-4A9E-BB41-C674BD4139B6}" destId="{C433D626-D19A-4F35-BB2E-D4627EAEDA95}" srcOrd="0" destOrd="0" presId="urn:microsoft.com/office/officeart/2005/8/layout/orgChart1"/>
    <dgm:cxn modelId="{0080567D-DAF3-4D40-9845-3D9E44005CEA}" type="presParOf" srcId="{D68E2719-0E82-4A9E-BB41-C674BD4139B6}" destId="{1CAAFB7F-1F38-4D1F-96B3-180BE711A810}" srcOrd="1" destOrd="0" presId="urn:microsoft.com/office/officeart/2005/8/layout/orgChart1"/>
    <dgm:cxn modelId="{14E7D611-409B-4E95-BFDB-94CAFBBB2FA6}" type="presParOf" srcId="{4BCF3F18-DAA1-4863-BDF8-D90419B245C6}" destId="{B7852AAC-CA50-4E50-BE28-0A018B54009B}" srcOrd="1" destOrd="0" presId="urn:microsoft.com/office/officeart/2005/8/layout/orgChart1"/>
    <dgm:cxn modelId="{B83FE930-96CC-4379-B7BE-9BC1CF4F405C}" type="presParOf" srcId="{4BCF3F18-DAA1-4863-BDF8-D90419B245C6}" destId="{BAC58AE2-C56E-46A4-BC0B-5F1F5438DDEF}" srcOrd="2" destOrd="0" presId="urn:microsoft.com/office/officeart/2005/8/layout/orgChart1"/>
    <dgm:cxn modelId="{6A465C40-9164-49BE-8B58-19D598782B0A}" type="presParOf" srcId="{647C606F-1F80-406E-BE66-A72349F1ABD1}" destId="{07CA0112-54F3-4C48-A78E-887DDE9C413D}" srcOrd="4" destOrd="0" presId="urn:microsoft.com/office/officeart/2005/8/layout/orgChart1"/>
    <dgm:cxn modelId="{76501EC3-DC13-4F16-BE80-3397E2BB91E2}" type="presParOf" srcId="{647C606F-1F80-406E-BE66-A72349F1ABD1}" destId="{48822587-BEEF-41DF-B73B-F279A9104DF6}" srcOrd="5" destOrd="0" presId="urn:microsoft.com/office/officeart/2005/8/layout/orgChart1"/>
    <dgm:cxn modelId="{088ED982-8C8E-4D92-B1A3-FAA57D8DF320}" type="presParOf" srcId="{48822587-BEEF-41DF-B73B-F279A9104DF6}" destId="{E7137E62-79B4-4B61-80F8-7131E2E4850B}" srcOrd="0" destOrd="0" presId="urn:microsoft.com/office/officeart/2005/8/layout/orgChart1"/>
    <dgm:cxn modelId="{707F557E-EFA8-40DB-A5DD-E10840FE1A1D}" type="presParOf" srcId="{E7137E62-79B4-4B61-80F8-7131E2E4850B}" destId="{E4EDE168-5AA2-426B-843D-7BFA2D95FFA7}" srcOrd="0" destOrd="0" presId="urn:microsoft.com/office/officeart/2005/8/layout/orgChart1"/>
    <dgm:cxn modelId="{AF43B1B4-1D9A-46B4-AB03-D883AAFED9CA}" type="presParOf" srcId="{E7137E62-79B4-4B61-80F8-7131E2E4850B}" destId="{3CEF5873-6E7B-43C0-8E55-EA91D8F3B6C4}" srcOrd="1" destOrd="0" presId="urn:microsoft.com/office/officeart/2005/8/layout/orgChart1"/>
    <dgm:cxn modelId="{19161525-0CFB-4CAC-BCDE-233C0487C82B}" type="presParOf" srcId="{48822587-BEEF-41DF-B73B-F279A9104DF6}" destId="{8737F6E8-2A9A-44CF-B1CB-60EDA8CDDBFB}" srcOrd="1" destOrd="0" presId="urn:microsoft.com/office/officeart/2005/8/layout/orgChart1"/>
    <dgm:cxn modelId="{8A577F2F-7928-408F-9366-FD2A1C40B583}" type="presParOf" srcId="{48822587-BEEF-41DF-B73B-F279A9104DF6}" destId="{788137A5-60BD-4FDF-A9B7-4A0D81A0E7BB}" srcOrd="2" destOrd="0" presId="urn:microsoft.com/office/officeart/2005/8/layout/orgChart1"/>
    <dgm:cxn modelId="{09F75AC5-D1B3-4297-B5C9-3B577DC788C2}" type="presParOf" srcId="{CA61B7D5-DF95-4D8D-B7FA-9A9115BE9063}" destId="{35EB2F6D-5453-4B62-836F-EF519764F499}" srcOrd="2" destOrd="0" presId="urn:microsoft.com/office/officeart/2005/8/layout/orgChart1"/>
    <dgm:cxn modelId="{A4A80D82-6F0B-4E01-A62B-F4650486C5C4}" type="presParOf" srcId="{35EB2F6D-5453-4B62-836F-EF519764F499}" destId="{244FDFD4-79F9-4CBE-8834-4BD723CCB56F}" srcOrd="0" destOrd="0" presId="urn:microsoft.com/office/officeart/2005/8/layout/orgChart1"/>
    <dgm:cxn modelId="{C81F8637-B166-49D1-8107-7DB10AF8A5CC}" type="presParOf" srcId="{35EB2F6D-5453-4B62-836F-EF519764F499}" destId="{B6B0FFD3-DCD0-427F-810B-BDC47DD8DF78}" srcOrd="1" destOrd="0" presId="urn:microsoft.com/office/officeart/2005/8/layout/orgChart1"/>
    <dgm:cxn modelId="{573A8759-60C3-4A6C-B6DD-082EA9EBE122}" type="presParOf" srcId="{B6B0FFD3-DCD0-427F-810B-BDC47DD8DF78}" destId="{67EAC862-ABD2-4F7D-968A-8714035029BF}" srcOrd="0" destOrd="0" presId="urn:microsoft.com/office/officeart/2005/8/layout/orgChart1"/>
    <dgm:cxn modelId="{2640F494-6D9E-499A-896E-DF6893370F27}" type="presParOf" srcId="{67EAC862-ABD2-4F7D-968A-8714035029BF}" destId="{DE034394-BC9E-4C4C-9C1A-3149A3AF971B}" srcOrd="0" destOrd="0" presId="urn:microsoft.com/office/officeart/2005/8/layout/orgChart1"/>
    <dgm:cxn modelId="{38B0FC43-4077-4BB3-BDEA-D296E584916D}" type="presParOf" srcId="{67EAC862-ABD2-4F7D-968A-8714035029BF}" destId="{DC735273-64B1-4F99-AA30-65E57BB63FD3}" srcOrd="1" destOrd="0" presId="urn:microsoft.com/office/officeart/2005/8/layout/orgChart1"/>
    <dgm:cxn modelId="{5C528DDF-D263-42CF-B8B8-904EE933F190}" type="presParOf" srcId="{B6B0FFD3-DCD0-427F-810B-BDC47DD8DF78}" destId="{88FE9339-1A80-41E1-8FC2-28B6E114F917}" srcOrd="1" destOrd="0" presId="urn:microsoft.com/office/officeart/2005/8/layout/orgChart1"/>
    <dgm:cxn modelId="{8BF4C4FC-C436-4B0A-AD0C-D283EA738AB3}" type="presParOf" srcId="{B6B0FFD3-DCD0-427F-810B-BDC47DD8DF78}" destId="{F8E3E5F5-41BB-48DA-947E-CF127F669C8F}" srcOrd="2" destOrd="0" presId="urn:microsoft.com/office/officeart/2005/8/layout/orgChart1"/>
    <dgm:cxn modelId="{F4B017EC-8162-406D-8841-242BE8B44E50}" type="presParOf" srcId="{35EB2F6D-5453-4B62-836F-EF519764F499}" destId="{746232DA-E0C4-4778-8D69-D249DBDCECC3}" srcOrd="2" destOrd="0" presId="urn:microsoft.com/office/officeart/2005/8/layout/orgChart1"/>
    <dgm:cxn modelId="{6DC8E80E-E036-42BB-9FB4-EBE208007DDF}" type="presParOf" srcId="{35EB2F6D-5453-4B62-836F-EF519764F499}" destId="{A8C3BDF0-F901-4215-9D8A-2675A9447A12}" srcOrd="3" destOrd="0" presId="urn:microsoft.com/office/officeart/2005/8/layout/orgChart1"/>
    <dgm:cxn modelId="{6E2D9B2B-4B6E-4B73-8061-5079546D5C2F}" type="presParOf" srcId="{A8C3BDF0-F901-4215-9D8A-2675A9447A12}" destId="{1B6FF013-6429-457E-A941-605EF89AF312}" srcOrd="0" destOrd="0" presId="urn:microsoft.com/office/officeart/2005/8/layout/orgChart1"/>
    <dgm:cxn modelId="{DE6E62FE-B8B8-44D3-B6FD-27449C4352C6}" type="presParOf" srcId="{1B6FF013-6429-457E-A941-605EF89AF312}" destId="{F3738605-9070-4267-82BB-0A0299EAE840}" srcOrd="0" destOrd="0" presId="urn:microsoft.com/office/officeart/2005/8/layout/orgChart1"/>
    <dgm:cxn modelId="{1588B23A-88E6-45B0-9B40-43AEF4D65E3E}" type="presParOf" srcId="{1B6FF013-6429-457E-A941-605EF89AF312}" destId="{738CAE25-2DE6-4D2F-88E2-BA1F141FCEEC}" srcOrd="1" destOrd="0" presId="urn:microsoft.com/office/officeart/2005/8/layout/orgChart1"/>
    <dgm:cxn modelId="{4DF412BE-D5E2-4BB0-B75B-A054F872B84A}" type="presParOf" srcId="{A8C3BDF0-F901-4215-9D8A-2675A9447A12}" destId="{EDB9711C-54F5-47BB-BEDB-9CCE43246F53}" srcOrd="1" destOrd="0" presId="urn:microsoft.com/office/officeart/2005/8/layout/orgChart1"/>
    <dgm:cxn modelId="{6CF3761A-FFD3-471C-A3F7-3680A5E96E17}" type="presParOf" srcId="{A8C3BDF0-F901-4215-9D8A-2675A9447A12}" destId="{F3D0E250-F3A2-4ACF-AF1F-28396A6B5BCA}" srcOrd="2" destOrd="0" presId="urn:microsoft.com/office/officeart/2005/8/layout/orgChart1"/>
    <dgm:cxn modelId="{85DE98BF-9DDD-445F-AC87-4E30C4D7A4C5}" type="presParOf" srcId="{35EB2F6D-5453-4B62-836F-EF519764F499}" destId="{3D0C2992-32D9-4070-A530-DE0241A743CE}" srcOrd="4" destOrd="0" presId="urn:microsoft.com/office/officeart/2005/8/layout/orgChart1"/>
    <dgm:cxn modelId="{0FEBAABA-FD10-4823-A298-38DD0ABB1064}" type="presParOf" srcId="{35EB2F6D-5453-4B62-836F-EF519764F499}" destId="{A215F8A3-2979-44DC-BE09-3BE9E153B62C}" srcOrd="5" destOrd="0" presId="urn:microsoft.com/office/officeart/2005/8/layout/orgChart1"/>
    <dgm:cxn modelId="{216AF4BB-E7B8-45B3-A377-FE25662AA6E0}" type="presParOf" srcId="{A215F8A3-2979-44DC-BE09-3BE9E153B62C}" destId="{E6056AAF-ADBF-4D32-A637-F39A721145AF}" srcOrd="0" destOrd="0" presId="urn:microsoft.com/office/officeart/2005/8/layout/orgChart1"/>
    <dgm:cxn modelId="{AD690B53-BD32-40D0-B60C-C0477B166999}" type="presParOf" srcId="{E6056AAF-ADBF-4D32-A637-F39A721145AF}" destId="{46BB06C6-0454-435E-9813-097CABCDDF77}" srcOrd="0" destOrd="0" presId="urn:microsoft.com/office/officeart/2005/8/layout/orgChart1"/>
    <dgm:cxn modelId="{B3446F64-236D-4BA5-9FDA-FDE3108F2347}" type="presParOf" srcId="{E6056AAF-ADBF-4D32-A637-F39A721145AF}" destId="{F3DCB22F-523C-4892-9B56-D98EF8498EB7}" srcOrd="1" destOrd="0" presId="urn:microsoft.com/office/officeart/2005/8/layout/orgChart1"/>
    <dgm:cxn modelId="{AF3E3D17-488C-4D4A-B42B-B61E9DABC545}" type="presParOf" srcId="{A215F8A3-2979-44DC-BE09-3BE9E153B62C}" destId="{BE53FE9C-8595-4EA2-91FF-3DC54E68CE37}" srcOrd="1" destOrd="0" presId="urn:microsoft.com/office/officeart/2005/8/layout/orgChart1"/>
    <dgm:cxn modelId="{6CE26FF4-3F36-48F4-B947-9ECC9439F968}" type="presParOf" srcId="{A215F8A3-2979-44DC-BE09-3BE9E153B62C}" destId="{28F7578F-536F-4438-9233-AE9FDA1EEE01}"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650C71-57F6-424F-B65C-F8354B00FE44}" type="doc">
      <dgm:prSet loTypeId="urn:microsoft.com/office/officeart/2024/layout/NumberedLinearArrowProcess" loCatId="process" qsTypeId="urn:microsoft.com/office/officeart/2005/8/quickstyle/simple1" qsCatId="simple" csTypeId="urn:microsoft.com/office/officeart/2005/8/colors/accent1_2" csCatId="accent1" phldr="1"/>
      <dgm:spPr/>
      <dgm:t>
        <a:bodyPr/>
        <a:lstStyle/>
        <a:p>
          <a:endParaRPr lang="en-GB"/>
        </a:p>
      </dgm:t>
    </dgm:pt>
    <dgm:pt modelId="{E088C60C-B3A4-4AD1-8506-76AD2D1F6592}">
      <dgm:prSet phldrT="[Text]"/>
      <dgm:spPr/>
      <dgm:t>
        <a:bodyPr/>
        <a:lstStyle/>
        <a:p>
          <a:r>
            <a:rPr lang="en-GB"/>
            <a:t>Assessment and Governance</a:t>
          </a:r>
        </a:p>
        <a:p>
          <a:r>
            <a:rPr lang="en-GB"/>
            <a:t> Month 1</a:t>
          </a:r>
        </a:p>
      </dgm:t>
    </dgm:pt>
    <dgm:pt modelId="{66319810-9473-4D71-BF43-039ACF6120AD}" type="parTrans" cxnId="{54B7FB87-D548-4906-9788-FB4D23BEAF3B}">
      <dgm:prSet/>
      <dgm:spPr/>
      <dgm:t>
        <a:bodyPr/>
        <a:lstStyle/>
        <a:p>
          <a:endParaRPr lang="en-GB"/>
        </a:p>
      </dgm:t>
    </dgm:pt>
    <dgm:pt modelId="{590F8720-39A0-45F5-A944-13404972C5BE}" type="sibTrans" cxnId="{54B7FB87-D548-4906-9788-FB4D23BEAF3B}">
      <dgm:prSet phldrT="1" phldr="0"/>
      <dgm:spPr/>
      <dgm:t>
        <a:bodyPr/>
        <a:lstStyle/>
        <a:p>
          <a:r>
            <a:t>1</a:t>
          </a:r>
        </a:p>
      </dgm:t>
    </dgm:pt>
    <dgm:pt modelId="{23982631-A0F5-4DD6-9360-BAEE29175F3C}">
      <dgm:prSet phldrT="[Text]"/>
      <dgm:spPr/>
      <dgm:t>
        <a:bodyPr/>
        <a:lstStyle/>
        <a:p>
          <a:r>
            <a:rPr lang="en-GB"/>
            <a:t>Security Controls</a:t>
          </a:r>
        </a:p>
        <a:p>
          <a:r>
            <a:rPr lang="en-GB"/>
            <a:t> Months 2-3</a:t>
          </a:r>
        </a:p>
      </dgm:t>
    </dgm:pt>
    <dgm:pt modelId="{8495DE22-FC1A-4814-8257-5C9465D55763}" type="parTrans" cxnId="{7CF27BA7-DEF0-433C-9D93-477848506AB1}">
      <dgm:prSet/>
      <dgm:spPr/>
      <dgm:t>
        <a:bodyPr/>
        <a:lstStyle/>
        <a:p>
          <a:endParaRPr lang="en-GB"/>
        </a:p>
      </dgm:t>
    </dgm:pt>
    <dgm:pt modelId="{CD0755CA-8132-4E33-AD52-43E9F91507D4}" type="sibTrans" cxnId="{7CF27BA7-DEF0-433C-9D93-477848506AB1}">
      <dgm:prSet phldrT="2" phldr="0"/>
      <dgm:spPr/>
      <dgm:t>
        <a:bodyPr/>
        <a:lstStyle/>
        <a:p>
          <a:r>
            <a:t>2</a:t>
          </a:r>
        </a:p>
      </dgm:t>
    </dgm:pt>
    <dgm:pt modelId="{F4576F0E-F4B1-4A4A-8A87-92F15A08BA7E}">
      <dgm:prSet phldrT="[Text]"/>
      <dgm:spPr/>
      <dgm:t>
        <a:bodyPr/>
        <a:lstStyle/>
        <a:p>
          <a:r>
            <a:rPr lang="en-GB"/>
            <a:t>Third-Party and Cloud Risk Management</a:t>
          </a:r>
        </a:p>
        <a:p>
          <a:r>
            <a:rPr lang="en-GB"/>
            <a:t>Month 4</a:t>
          </a:r>
        </a:p>
      </dgm:t>
    </dgm:pt>
    <dgm:pt modelId="{8DCDE9C9-A94C-4760-8F45-F39762F2A23C}" type="parTrans" cxnId="{3E610D4A-F297-4BE9-9FB0-D27ADB3BE07A}">
      <dgm:prSet/>
      <dgm:spPr/>
      <dgm:t>
        <a:bodyPr/>
        <a:lstStyle/>
        <a:p>
          <a:endParaRPr lang="en-GB"/>
        </a:p>
      </dgm:t>
    </dgm:pt>
    <dgm:pt modelId="{013A098B-72E0-459E-B1B0-D1E77FDC302A}" type="sibTrans" cxnId="{3E610D4A-F297-4BE9-9FB0-D27ADB3BE07A}">
      <dgm:prSet phldrT="3" phldr="0"/>
      <dgm:spPr/>
      <dgm:t>
        <a:bodyPr/>
        <a:lstStyle/>
        <a:p>
          <a:r>
            <a:t>3</a:t>
          </a:r>
        </a:p>
      </dgm:t>
    </dgm:pt>
    <dgm:pt modelId="{1224D4D6-0747-42CB-B38B-952982BB724D}">
      <dgm:prSet phldrT="[Text]"/>
      <dgm:spPr/>
      <dgm:t>
        <a:bodyPr/>
        <a:lstStyle/>
        <a:p>
          <a:r>
            <a:rPr lang="en-GB"/>
            <a:t>Incident Response and Operational Resilience</a:t>
          </a:r>
        </a:p>
        <a:p>
          <a:r>
            <a:rPr lang="en-GB"/>
            <a:t> Month 5</a:t>
          </a:r>
        </a:p>
      </dgm:t>
    </dgm:pt>
    <dgm:pt modelId="{77F9E6D6-E9A6-491E-A916-0D3AA795F385}" type="parTrans" cxnId="{D17ADEF6-9C1C-4411-9298-7AC64A10D8C9}">
      <dgm:prSet/>
      <dgm:spPr/>
      <dgm:t>
        <a:bodyPr/>
        <a:lstStyle/>
        <a:p>
          <a:endParaRPr lang="en-GB"/>
        </a:p>
      </dgm:t>
    </dgm:pt>
    <dgm:pt modelId="{BA5F2F94-62A8-42D8-B537-2641D40FE5D4}" type="sibTrans" cxnId="{D17ADEF6-9C1C-4411-9298-7AC64A10D8C9}">
      <dgm:prSet phldrT="4" phldr="0"/>
      <dgm:spPr/>
      <dgm:t>
        <a:bodyPr/>
        <a:lstStyle/>
        <a:p>
          <a:r>
            <a:rPr lang="en-GB"/>
            <a:t>4</a:t>
          </a:r>
        </a:p>
      </dgm:t>
    </dgm:pt>
    <dgm:pt modelId="{AF62EC90-71BA-4C4F-8702-B1F4650C26BE}">
      <dgm:prSet phldrT="[Text]"/>
      <dgm:spPr/>
      <dgm:t>
        <a:bodyPr/>
        <a:lstStyle/>
        <a:p>
          <a:r>
            <a:rPr lang="en-GB"/>
            <a:t>Audit and Continuous Improvement</a:t>
          </a:r>
        </a:p>
        <a:p>
          <a:r>
            <a:rPr lang="en-GB"/>
            <a:t>Month 6</a:t>
          </a:r>
        </a:p>
      </dgm:t>
    </dgm:pt>
    <dgm:pt modelId="{B14232FD-82F8-4C5B-96CC-B7B4AB6305A3}" type="parTrans" cxnId="{EEAAAF60-A68B-4CC7-A289-F282206F7008}">
      <dgm:prSet/>
      <dgm:spPr/>
      <dgm:t>
        <a:bodyPr/>
        <a:lstStyle/>
        <a:p>
          <a:endParaRPr lang="en-GB"/>
        </a:p>
      </dgm:t>
    </dgm:pt>
    <dgm:pt modelId="{FC14E021-D051-4E18-91C3-1D6062D46D50}" type="sibTrans" cxnId="{EEAAAF60-A68B-4CC7-A289-F282206F7008}">
      <dgm:prSet phldrT="5" phldr="0"/>
      <dgm:spPr/>
      <dgm:t>
        <a:bodyPr/>
        <a:lstStyle/>
        <a:p>
          <a:r>
            <a:rPr lang="en-GB"/>
            <a:t>5</a:t>
          </a:r>
        </a:p>
      </dgm:t>
    </dgm:pt>
    <dgm:pt modelId="{1CA66925-CD60-4315-85C0-60581CCF91DA}" type="pres">
      <dgm:prSet presAssocID="{6D650C71-57F6-424F-B65C-F8354B00FE44}" presName="linearFlow" presStyleCnt="0">
        <dgm:presLayoutVars>
          <dgm:dir/>
          <dgm:animLvl val="lvl"/>
          <dgm:resizeHandles val="exact"/>
        </dgm:presLayoutVars>
      </dgm:prSet>
      <dgm:spPr/>
    </dgm:pt>
    <dgm:pt modelId="{051E515D-70D5-4933-8EF3-87869F5F7BA3}" type="pres">
      <dgm:prSet presAssocID="{E088C60C-B3A4-4AD1-8506-76AD2D1F6592}" presName="compositeNode" presStyleCnt="0"/>
      <dgm:spPr/>
    </dgm:pt>
    <dgm:pt modelId="{01394619-E24D-48AA-A2C8-BFF5302AB2B8}" type="pres">
      <dgm:prSet presAssocID="{E088C60C-B3A4-4AD1-8506-76AD2D1F6592}" presName="parTx" presStyleLbl="node1" presStyleIdx="0" presStyleCnt="0">
        <dgm:presLayoutVars>
          <dgm:chMax val="0"/>
          <dgm:chPref val="0"/>
          <dgm:bulletEnabled val="1"/>
        </dgm:presLayoutVars>
      </dgm:prSet>
      <dgm:spPr/>
    </dgm:pt>
    <dgm:pt modelId="{E5F983C8-E91C-4DF8-A963-69894087A41E}" type="pres">
      <dgm:prSet presAssocID="{E088C60C-B3A4-4AD1-8506-76AD2D1F6592}" presName="parSh" presStyleCnt="0"/>
      <dgm:spPr/>
    </dgm:pt>
    <dgm:pt modelId="{296A9032-CE82-4D86-A55C-759AD2F74B57}" type="pres">
      <dgm:prSet presAssocID="{E088C60C-B3A4-4AD1-8506-76AD2D1F6592}" presName="lineNode" presStyleLbl="alignNode1" presStyleIdx="0" presStyleCnt="15"/>
      <dgm:spPr/>
    </dgm:pt>
    <dgm:pt modelId="{C8002406-3576-4788-94D8-A30C05CE49B0}" type="pres">
      <dgm:prSet presAssocID="{E088C60C-B3A4-4AD1-8506-76AD2D1F6592}" presName="lineArrowNode" presStyleLbl="alignNode1" presStyleIdx="1" presStyleCnt="15"/>
      <dgm:spPr/>
    </dgm:pt>
    <dgm:pt modelId="{82A45C0C-313B-4304-A0B6-C33F07DA5AFF}" type="pres">
      <dgm:prSet presAssocID="{590F8720-39A0-45F5-A944-13404972C5BE}" presName="sibTransNodeCircle" presStyleLbl="alignNode1" presStyleIdx="2" presStyleCnt="15">
        <dgm:presLayoutVars>
          <dgm:chMax val="0"/>
          <dgm:bulletEnabled/>
        </dgm:presLayoutVars>
      </dgm:prSet>
      <dgm:spPr/>
    </dgm:pt>
    <dgm:pt modelId="{72DEB66C-9F26-47F4-A58A-A8B8E0169964}" type="pres">
      <dgm:prSet presAssocID="{590F8720-39A0-45F5-A944-13404972C5BE}" presName="spacerBetweenCircleAndCallout" presStyleCnt="0">
        <dgm:presLayoutVars/>
      </dgm:prSet>
      <dgm:spPr/>
    </dgm:pt>
    <dgm:pt modelId="{18A87FA5-02AA-436D-BD95-1FFF7DDD3B3B}" type="pres">
      <dgm:prSet presAssocID="{590F8720-39A0-45F5-A944-13404972C5BE}" presName="verticalConnector" presStyleLbl="alignAccFollowNode1" presStyleIdx="0" presStyleCnt="5"/>
      <dgm:spPr/>
    </dgm:pt>
    <dgm:pt modelId="{DC3842B6-74C2-4603-AC6D-723517025560}" type="pres">
      <dgm:prSet presAssocID="{E088C60C-B3A4-4AD1-8506-76AD2D1F6592}" presName="nodeText" presStyleLbl="fgAcc1" presStyleIdx="0" presStyleCnt="5">
        <dgm:presLayoutVars>
          <dgm:bulletEnabled val="1"/>
        </dgm:presLayoutVars>
      </dgm:prSet>
      <dgm:spPr/>
    </dgm:pt>
    <dgm:pt modelId="{70E66FA8-844C-45D1-9390-6CA149A20B5E}" type="pres">
      <dgm:prSet presAssocID="{590F8720-39A0-45F5-A944-13404972C5BE}" presName="sibTransComposite" presStyleCnt="0"/>
      <dgm:spPr/>
    </dgm:pt>
    <dgm:pt modelId="{6B622FD6-4D24-418B-BCBD-9FB24CD37460}" type="pres">
      <dgm:prSet presAssocID="{23982631-A0F5-4DD6-9360-BAEE29175F3C}" presName="compositeNode" presStyleCnt="0"/>
      <dgm:spPr/>
    </dgm:pt>
    <dgm:pt modelId="{9256958F-8BF4-43B6-88F4-09EE109449B7}" type="pres">
      <dgm:prSet presAssocID="{23982631-A0F5-4DD6-9360-BAEE29175F3C}" presName="parTx" presStyleLbl="node1" presStyleIdx="0" presStyleCnt="0">
        <dgm:presLayoutVars>
          <dgm:chMax val="0"/>
          <dgm:chPref val="0"/>
          <dgm:bulletEnabled val="1"/>
        </dgm:presLayoutVars>
      </dgm:prSet>
      <dgm:spPr/>
    </dgm:pt>
    <dgm:pt modelId="{2195FA83-8BA1-4139-A0CF-B97485B6760C}" type="pres">
      <dgm:prSet presAssocID="{23982631-A0F5-4DD6-9360-BAEE29175F3C}" presName="parSh" presStyleCnt="0"/>
      <dgm:spPr/>
    </dgm:pt>
    <dgm:pt modelId="{B4D96E5F-50FA-4FF4-AE37-ECC62B843800}" type="pres">
      <dgm:prSet presAssocID="{23982631-A0F5-4DD6-9360-BAEE29175F3C}" presName="lineNode" presStyleLbl="alignNode1" presStyleIdx="3" presStyleCnt="15"/>
      <dgm:spPr/>
    </dgm:pt>
    <dgm:pt modelId="{02EA77AE-A295-47FE-932F-9D030649CFD4}" type="pres">
      <dgm:prSet presAssocID="{23982631-A0F5-4DD6-9360-BAEE29175F3C}" presName="lineArrowNode" presStyleLbl="alignNode1" presStyleIdx="4" presStyleCnt="15"/>
      <dgm:spPr/>
    </dgm:pt>
    <dgm:pt modelId="{2A66F736-512E-4124-ABF1-D85FEE0CCCA5}" type="pres">
      <dgm:prSet presAssocID="{CD0755CA-8132-4E33-AD52-43E9F91507D4}" presName="sibTransNodeCircle" presStyleLbl="alignNode1" presStyleIdx="5" presStyleCnt="15">
        <dgm:presLayoutVars>
          <dgm:chMax val="0"/>
          <dgm:bulletEnabled/>
        </dgm:presLayoutVars>
      </dgm:prSet>
      <dgm:spPr/>
    </dgm:pt>
    <dgm:pt modelId="{397BE40D-82A7-4460-BC3F-E0CFD41808A5}" type="pres">
      <dgm:prSet presAssocID="{CD0755CA-8132-4E33-AD52-43E9F91507D4}" presName="spacerBetweenCircleAndCallout" presStyleCnt="0">
        <dgm:presLayoutVars/>
      </dgm:prSet>
      <dgm:spPr/>
    </dgm:pt>
    <dgm:pt modelId="{E1DF5920-9F25-42DA-9960-E3D3ADBF3529}" type="pres">
      <dgm:prSet presAssocID="{CD0755CA-8132-4E33-AD52-43E9F91507D4}" presName="verticalConnector" presStyleLbl="alignAccFollowNode1" presStyleIdx="1" presStyleCnt="5"/>
      <dgm:spPr/>
    </dgm:pt>
    <dgm:pt modelId="{946C9E9B-BC92-4C61-BD6C-E6AD88872ABC}" type="pres">
      <dgm:prSet presAssocID="{23982631-A0F5-4DD6-9360-BAEE29175F3C}" presName="nodeText" presStyleLbl="fgAcc1" presStyleIdx="1" presStyleCnt="5">
        <dgm:presLayoutVars>
          <dgm:bulletEnabled val="1"/>
        </dgm:presLayoutVars>
      </dgm:prSet>
      <dgm:spPr/>
    </dgm:pt>
    <dgm:pt modelId="{E9B767FC-1E33-4D59-B9ED-4D811CA61AE8}" type="pres">
      <dgm:prSet presAssocID="{CD0755CA-8132-4E33-AD52-43E9F91507D4}" presName="sibTransComposite" presStyleCnt="0"/>
      <dgm:spPr/>
    </dgm:pt>
    <dgm:pt modelId="{45FF6426-6B07-448D-BCD6-94E4009E9096}" type="pres">
      <dgm:prSet presAssocID="{F4576F0E-F4B1-4A4A-8A87-92F15A08BA7E}" presName="compositeNode" presStyleCnt="0"/>
      <dgm:spPr/>
    </dgm:pt>
    <dgm:pt modelId="{70D11DDF-6E76-4AD0-B2AA-C32D9ECB4C2B}" type="pres">
      <dgm:prSet presAssocID="{F4576F0E-F4B1-4A4A-8A87-92F15A08BA7E}" presName="parTx" presStyleLbl="node1" presStyleIdx="0" presStyleCnt="0">
        <dgm:presLayoutVars>
          <dgm:chMax val="0"/>
          <dgm:chPref val="0"/>
          <dgm:bulletEnabled val="1"/>
        </dgm:presLayoutVars>
      </dgm:prSet>
      <dgm:spPr/>
    </dgm:pt>
    <dgm:pt modelId="{F5E20B77-5634-41CA-BD5C-4A1BC8E9D7F3}" type="pres">
      <dgm:prSet presAssocID="{F4576F0E-F4B1-4A4A-8A87-92F15A08BA7E}" presName="parSh" presStyleCnt="0"/>
      <dgm:spPr/>
    </dgm:pt>
    <dgm:pt modelId="{E73820DF-BE51-4D09-A863-FEE9C5AEE61B}" type="pres">
      <dgm:prSet presAssocID="{F4576F0E-F4B1-4A4A-8A87-92F15A08BA7E}" presName="lineNode" presStyleLbl="alignNode1" presStyleIdx="6" presStyleCnt="15"/>
      <dgm:spPr/>
    </dgm:pt>
    <dgm:pt modelId="{2841C9E7-F771-411A-A252-8BAF63B9D8BA}" type="pres">
      <dgm:prSet presAssocID="{F4576F0E-F4B1-4A4A-8A87-92F15A08BA7E}" presName="lineArrowNode" presStyleLbl="alignNode1" presStyleIdx="7" presStyleCnt="15"/>
      <dgm:spPr/>
    </dgm:pt>
    <dgm:pt modelId="{6CBA57F8-ED26-43BE-A8DC-7F24BDEC44F3}" type="pres">
      <dgm:prSet presAssocID="{013A098B-72E0-459E-B1B0-D1E77FDC302A}" presName="sibTransNodeCircle" presStyleLbl="alignNode1" presStyleIdx="8" presStyleCnt="15">
        <dgm:presLayoutVars>
          <dgm:chMax val="0"/>
          <dgm:bulletEnabled/>
        </dgm:presLayoutVars>
      </dgm:prSet>
      <dgm:spPr/>
    </dgm:pt>
    <dgm:pt modelId="{47E5A333-EA79-462F-9CDE-0D07CF9DEE2B}" type="pres">
      <dgm:prSet presAssocID="{013A098B-72E0-459E-B1B0-D1E77FDC302A}" presName="spacerBetweenCircleAndCallout" presStyleCnt="0">
        <dgm:presLayoutVars/>
      </dgm:prSet>
      <dgm:spPr/>
    </dgm:pt>
    <dgm:pt modelId="{0927FC37-6C08-4EBF-B8BF-24FE09C14DCE}" type="pres">
      <dgm:prSet presAssocID="{013A098B-72E0-459E-B1B0-D1E77FDC302A}" presName="verticalConnector" presStyleLbl="alignAccFollowNode1" presStyleIdx="2" presStyleCnt="5"/>
      <dgm:spPr/>
    </dgm:pt>
    <dgm:pt modelId="{6CD99E46-3405-474E-B213-7F1B3E1E9D5D}" type="pres">
      <dgm:prSet presAssocID="{F4576F0E-F4B1-4A4A-8A87-92F15A08BA7E}" presName="nodeText" presStyleLbl="fgAcc1" presStyleIdx="2" presStyleCnt="5">
        <dgm:presLayoutVars>
          <dgm:bulletEnabled val="1"/>
        </dgm:presLayoutVars>
      </dgm:prSet>
      <dgm:spPr/>
    </dgm:pt>
    <dgm:pt modelId="{7E80AFE4-3C00-4426-9EFD-88BB34E8B48A}" type="pres">
      <dgm:prSet presAssocID="{013A098B-72E0-459E-B1B0-D1E77FDC302A}" presName="sibTransComposite" presStyleCnt="0"/>
      <dgm:spPr/>
    </dgm:pt>
    <dgm:pt modelId="{9E57D726-E392-44AC-B6A1-BBF04F6BDFF6}" type="pres">
      <dgm:prSet presAssocID="{1224D4D6-0747-42CB-B38B-952982BB724D}" presName="compositeNode" presStyleCnt="0"/>
      <dgm:spPr/>
    </dgm:pt>
    <dgm:pt modelId="{26AE0BCF-7F86-400A-A92C-244D18EA4AB3}" type="pres">
      <dgm:prSet presAssocID="{1224D4D6-0747-42CB-B38B-952982BB724D}" presName="parTx" presStyleLbl="node1" presStyleIdx="0" presStyleCnt="0">
        <dgm:presLayoutVars>
          <dgm:chMax val="0"/>
          <dgm:chPref val="0"/>
          <dgm:bulletEnabled val="1"/>
        </dgm:presLayoutVars>
      </dgm:prSet>
      <dgm:spPr/>
    </dgm:pt>
    <dgm:pt modelId="{F449420B-757D-4C80-82BC-791989703217}" type="pres">
      <dgm:prSet presAssocID="{1224D4D6-0747-42CB-B38B-952982BB724D}" presName="parSh" presStyleCnt="0"/>
      <dgm:spPr/>
    </dgm:pt>
    <dgm:pt modelId="{73A8C59F-645F-4A89-9EF6-ACF8AAB0F670}" type="pres">
      <dgm:prSet presAssocID="{1224D4D6-0747-42CB-B38B-952982BB724D}" presName="lineNode" presStyleLbl="alignNode1" presStyleIdx="9" presStyleCnt="15"/>
      <dgm:spPr/>
    </dgm:pt>
    <dgm:pt modelId="{4752586C-9A37-4008-916F-2B58093D0DA0}" type="pres">
      <dgm:prSet presAssocID="{1224D4D6-0747-42CB-B38B-952982BB724D}" presName="lineArrowNode" presStyleLbl="alignNode1" presStyleIdx="10" presStyleCnt="15"/>
      <dgm:spPr/>
    </dgm:pt>
    <dgm:pt modelId="{68BCD53F-CD54-47D2-80CE-AC4294D538AB}" type="pres">
      <dgm:prSet presAssocID="{BA5F2F94-62A8-42D8-B537-2641D40FE5D4}" presName="sibTransNodeCircle" presStyleLbl="alignNode1" presStyleIdx="11" presStyleCnt="15">
        <dgm:presLayoutVars>
          <dgm:chMax val="0"/>
          <dgm:bulletEnabled/>
        </dgm:presLayoutVars>
      </dgm:prSet>
      <dgm:spPr/>
    </dgm:pt>
    <dgm:pt modelId="{DA0A2636-B6B7-48AE-9C2C-5692976C968B}" type="pres">
      <dgm:prSet presAssocID="{BA5F2F94-62A8-42D8-B537-2641D40FE5D4}" presName="spacerBetweenCircleAndCallout" presStyleCnt="0">
        <dgm:presLayoutVars/>
      </dgm:prSet>
      <dgm:spPr/>
    </dgm:pt>
    <dgm:pt modelId="{F48712CA-A1CF-4B1A-BCBB-AF0A57B96E75}" type="pres">
      <dgm:prSet presAssocID="{BA5F2F94-62A8-42D8-B537-2641D40FE5D4}" presName="verticalConnector" presStyleLbl="alignAccFollowNode1" presStyleIdx="3" presStyleCnt="5"/>
      <dgm:spPr/>
    </dgm:pt>
    <dgm:pt modelId="{C6A7BD5A-A83B-41A9-86F3-504CDDC67D08}" type="pres">
      <dgm:prSet presAssocID="{1224D4D6-0747-42CB-B38B-952982BB724D}" presName="nodeText" presStyleLbl="fgAcc1" presStyleIdx="3" presStyleCnt="5">
        <dgm:presLayoutVars>
          <dgm:bulletEnabled val="1"/>
        </dgm:presLayoutVars>
      </dgm:prSet>
      <dgm:spPr/>
    </dgm:pt>
    <dgm:pt modelId="{258D5B28-E73B-4C14-8F0F-B0D8C9188CFF}" type="pres">
      <dgm:prSet presAssocID="{BA5F2F94-62A8-42D8-B537-2641D40FE5D4}" presName="sibTransComposite" presStyleCnt="0"/>
      <dgm:spPr/>
    </dgm:pt>
    <dgm:pt modelId="{437A0386-B844-4DFE-AA78-8D9E7EAD37F6}" type="pres">
      <dgm:prSet presAssocID="{AF62EC90-71BA-4C4F-8702-B1F4650C26BE}" presName="compositeNode" presStyleCnt="0"/>
      <dgm:spPr/>
    </dgm:pt>
    <dgm:pt modelId="{8A786148-6DD2-40C5-BBD9-57AA2C195C08}" type="pres">
      <dgm:prSet presAssocID="{AF62EC90-71BA-4C4F-8702-B1F4650C26BE}" presName="parTx" presStyleLbl="node1" presStyleIdx="0" presStyleCnt="0">
        <dgm:presLayoutVars>
          <dgm:chMax val="0"/>
          <dgm:chPref val="0"/>
          <dgm:bulletEnabled val="1"/>
        </dgm:presLayoutVars>
      </dgm:prSet>
      <dgm:spPr/>
    </dgm:pt>
    <dgm:pt modelId="{13FFC4CB-0B5C-4693-81D8-E57DDBA1E324}" type="pres">
      <dgm:prSet presAssocID="{AF62EC90-71BA-4C4F-8702-B1F4650C26BE}" presName="parSh" presStyleCnt="0"/>
      <dgm:spPr/>
    </dgm:pt>
    <dgm:pt modelId="{F5729F3B-AA27-4AD7-BE75-6B49AAAF0115}" type="pres">
      <dgm:prSet presAssocID="{AF62EC90-71BA-4C4F-8702-B1F4650C26BE}" presName="lineNode" presStyleLbl="alignNode1" presStyleIdx="12" presStyleCnt="15"/>
      <dgm:spPr/>
    </dgm:pt>
    <dgm:pt modelId="{E4908AAC-AB5F-4F9D-B973-1B588081E8D8}" type="pres">
      <dgm:prSet presAssocID="{AF62EC90-71BA-4C4F-8702-B1F4650C26BE}" presName="lineArrowNode" presStyleLbl="alignNode1" presStyleIdx="13" presStyleCnt="15"/>
      <dgm:spPr/>
    </dgm:pt>
    <dgm:pt modelId="{B33F6F5F-A492-418F-83A3-1C1C0B9C7222}" type="pres">
      <dgm:prSet presAssocID="{FC14E021-D051-4E18-91C3-1D6062D46D50}" presName="sibTransNodeCircle" presStyleLbl="alignNode1" presStyleIdx="14" presStyleCnt="15">
        <dgm:presLayoutVars>
          <dgm:chMax val="0"/>
          <dgm:bulletEnabled/>
        </dgm:presLayoutVars>
      </dgm:prSet>
      <dgm:spPr/>
    </dgm:pt>
    <dgm:pt modelId="{31615606-761A-44A2-AFC9-98DFE10E531C}" type="pres">
      <dgm:prSet presAssocID="{FC14E021-D051-4E18-91C3-1D6062D46D50}" presName="spacerBetweenCircleAndCallout" presStyleCnt="0">
        <dgm:presLayoutVars/>
      </dgm:prSet>
      <dgm:spPr/>
    </dgm:pt>
    <dgm:pt modelId="{D0358442-9559-4D18-8AA7-CBA3BFA1BFB8}" type="pres">
      <dgm:prSet presAssocID="{FC14E021-D051-4E18-91C3-1D6062D46D50}" presName="verticalConnector" presStyleLbl="alignAccFollowNode1" presStyleIdx="4" presStyleCnt="5"/>
      <dgm:spPr/>
    </dgm:pt>
    <dgm:pt modelId="{1C184A7F-407A-49FF-8E9D-225D68664341}" type="pres">
      <dgm:prSet presAssocID="{AF62EC90-71BA-4C4F-8702-B1F4650C26BE}" presName="nodeText" presStyleLbl="fgAcc1" presStyleIdx="4" presStyleCnt="5">
        <dgm:presLayoutVars>
          <dgm:bulletEnabled val="1"/>
        </dgm:presLayoutVars>
      </dgm:prSet>
      <dgm:spPr/>
    </dgm:pt>
  </dgm:ptLst>
  <dgm:cxnLst>
    <dgm:cxn modelId="{D9A0FE08-1595-4588-AFF3-2A06A0A1BD59}" type="presOf" srcId="{013A098B-72E0-459E-B1B0-D1E77FDC302A}" destId="{6CBA57F8-ED26-43BE-A8DC-7F24BDEC44F3}" srcOrd="0" destOrd="0" presId="urn:microsoft.com/office/officeart/2024/layout/NumberedLinearArrowProcess"/>
    <dgm:cxn modelId="{E951160E-9682-4933-98EB-F89C0C073F8B}" type="presOf" srcId="{AF62EC90-71BA-4C4F-8702-B1F4650C26BE}" destId="{E4908AAC-AB5F-4F9D-B973-1B588081E8D8}" srcOrd="0" destOrd="0" presId="urn:microsoft.com/office/officeart/2024/layout/NumberedLinearArrowProcess"/>
    <dgm:cxn modelId="{50EEE02E-39B6-49C4-A523-6652346EF277}" type="presOf" srcId="{FC14E021-D051-4E18-91C3-1D6062D46D50}" destId="{B33F6F5F-A492-418F-83A3-1C1C0B9C7222}" srcOrd="0" destOrd="0" presId="urn:microsoft.com/office/officeart/2024/layout/NumberedLinearArrowProcess"/>
    <dgm:cxn modelId="{9B898C36-4DA0-4367-AF5B-EDAB1EB4205B}" type="presOf" srcId="{23982631-A0F5-4DD6-9360-BAEE29175F3C}" destId="{02EA77AE-A295-47FE-932F-9D030649CFD4}" srcOrd="0" destOrd="0" presId="urn:microsoft.com/office/officeart/2024/layout/NumberedLinearArrowProcess"/>
    <dgm:cxn modelId="{A4FD4E5E-8728-4B89-B6F0-549792ED8CC4}" type="presOf" srcId="{1224D4D6-0747-42CB-B38B-952982BB724D}" destId="{C6A7BD5A-A83B-41A9-86F3-504CDDC67D08}" srcOrd="1" destOrd="0" presId="urn:microsoft.com/office/officeart/2024/layout/NumberedLinearArrowProcess"/>
    <dgm:cxn modelId="{EEAAAF60-A68B-4CC7-A289-F282206F7008}" srcId="{6D650C71-57F6-424F-B65C-F8354B00FE44}" destId="{AF62EC90-71BA-4C4F-8702-B1F4650C26BE}" srcOrd="4" destOrd="0" parTransId="{B14232FD-82F8-4C5B-96CC-B7B4AB6305A3}" sibTransId="{FC14E021-D051-4E18-91C3-1D6062D46D50}"/>
    <dgm:cxn modelId="{9B2E7845-EC0B-4A0A-999E-0E0149835EE9}" type="presOf" srcId="{E088C60C-B3A4-4AD1-8506-76AD2D1F6592}" destId="{DC3842B6-74C2-4603-AC6D-723517025560}" srcOrd="1" destOrd="0" presId="urn:microsoft.com/office/officeart/2024/layout/NumberedLinearArrowProcess"/>
    <dgm:cxn modelId="{6A6BE768-775C-425A-A090-F5B1E82D1BCC}" type="presOf" srcId="{F4576F0E-F4B1-4A4A-8A87-92F15A08BA7E}" destId="{2841C9E7-F771-411A-A252-8BAF63B9D8BA}" srcOrd="0" destOrd="0" presId="urn:microsoft.com/office/officeart/2024/layout/NumberedLinearArrowProcess"/>
    <dgm:cxn modelId="{3E610D4A-F297-4BE9-9FB0-D27ADB3BE07A}" srcId="{6D650C71-57F6-424F-B65C-F8354B00FE44}" destId="{F4576F0E-F4B1-4A4A-8A87-92F15A08BA7E}" srcOrd="2" destOrd="0" parTransId="{8DCDE9C9-A94C-4760-8F45-F39762F2A23C}" sibTransId="{013A098B-72E0-459E-B1B0-D1E77FDC302A}"/>
    <dgm:cxn modelId="{97CDB079-4E3F-46BE-901D-FA8558167BC0}" type="presOf" srcId="{BA5F2F94-62A8-42D8-B537-2641D40FE5D4}" destId="{68BCD53F-CD54-47D2-80CE-AC4294D538AB}" srcOrd="0" destOrd="0" presId="urn:microsoft.com/office/officeart/2024/layout/NumberedLinearArrowProcess"/>
    <dgm:cxn modelId="{13BFAB7E-163C-4715-A00E-E24EF6438516}" type="presOf" srcId="{6D650C71-57F6-424F-B65C-F8354B00FE44}" destId="{1CA66925-CD60-4315-85C0-60581CCF91DA}" srcOrd="0" destOrd="0" presId="urn:microsoft.com/office/officeart/2024/layout/NumberedLinearArrowProcess"/>
    <dgm:cxn modelId="{60205D83-6C15-4934-B71D-55936414FBC6}" type="presOf" srcId="{590F8720-39A0-45F5-A944-13404972C5BE}" destId="{82A45C0C-313B-4304-A0B6-C33F07DA5AFF}" srcOrd="0" destOrd="0" presId="urn:microsoft.com/office/officeart/2024/layout/NumberedLinearArrowProcess"/>
    <dgm:cxn modelId="{569B2B87-DF66-42E8-B8B4-3FBEA380A886}" type="presOf" srcId="{E088C60C-B3A4-4AD1-8506-76AD2D1F6592}" destId="{C8002406-3576-4788-94D8-A30C05CE49B0}" srcOrd="0" destOrd="0" presId="urn:microsoft.com/office/officeart/2024/layout/NumberedLinearArrowProcess"/>
    <dgm:cxn modelId="{54B7FB87-D548-4906-9788-FB4D23BEAF3B}" srcId="{6D650C71-57F6-424F-B65C-F8354B00FE44}" destId="{E088C60C-B3A4-4AD1-8506-76AD2D1F6592}" srcOrd="0" destOrd="0" parTransId="{66319810-9473-4D71-BF43-039ACF6120AD}" sibTransId="{590F8720-39A0-45F5-A944-13404972C5BE}"/>
    <dgm:cxn modelId="{DCD897A5-F5A5-41BB-BAEF-D6F8259892EA}" type="presOf" srcId="{F4576F0E-F4B1-4A4A-8A87-92F15A08BA7E}" destId="{6CD99E46-3405-474E-B213-7F1B3E1E9D5D}" srcOrd="1" destOrd="0" presId="urn:microsoft.com/office/officeart/2024/layout/NumberedLinearArrowProcess"/>
    <dgm:cxn modelId="{7CF27BA7-DEF0-433C-9D93-477848506AB1}" srcId="{6D650C71-57F6-424F-B65C-F8354B00FE44}" destId="{23982631-A0F5-4DD6-9360-BAEE29175F3C}" srcOrd="1" destOrd="0" parTransId="{8495DE22-FC1A-4814-8257-5C9465D55763}" sibTransId="{CD0755CA-8132-4E33-AD52-43E9F91507D4}"/>
    <dgm:cxn modelId="{4F4E84AA-E8DB-4C6C-A823-3D85EF31C621}" type="presOf" srcId="{23982631-A0F5-4DD6-9360-BAEE29175F3C}" destId="{946C9E9B-BC92-4C61-BD6C-E6AD88872ABC}" srcOrd="1" destOrd="0" presId="urn:microsoft.com/office/officeart/2024/layout/NumberedLinearArrowProcess"/>
    <dgm:cxn modelId="{A8B410B7-F507-44B2-BF5D-D6D0466BB087}" type="presOf" srcId="{AF62EC90-71BA-4C4F-8702-B1F4650C26BE}" destId="{1C184A7F-407A-49FF-8E9D-225D68664341}" srcOrd="1" destOrd="0" presId="urn:microsoft.com/office/officeart/2024/layout/NumberedLinearArrowProcess"/>
    <dgm:cxn modelId="{281C07F5-2E38-4D30-A3D0-2C2F05A6A883}" type="presOf" srcId="{1224D4D6-0747-42CB-B38B-952982BB724D}" destId="{4752586C-9A37-4008-916F-2B58093D0DA0}" srcOrd="0" destOrd="0" presId="urn:microsoft.com/office/officeart/2024/layout/NumberedLinearArrowProcess"/>
    <dgm:cxn modelId="{D17ADEF6-9C1C-4411-9298-7AC64A10D8C9}" srcId="{6D650C71-57F6-424F-B65C-F8354B00FE44}" destId="{1224D4D6-0747-42CB-B38B-952982BB724D}" srcOrd="3" destOrd="0" parTransId="{77F9E6D6-E9A6-491E-A916-0D3AA795F385}" sibTransId="{BA5F2F94-62A8-42D8-B537-2641D40FE5D4}"/>
    <dgm:cxn modelId="{F095B3FD-A3D0-4BA7-A7D3-FF0C22569176}" type="presOf" srcId="{CD0755CA-8132-4E33-AD52-43E9F91507D4}" destId="{2A66F736-512E-4124-ABF1-D85FEE0CCCA5}" srcOrd="0" destOrd="0" presId="urn:microsoft.com/office/officeart/2024/layout/NumberedLinearArrowProcess"/>
    <dgm:cxn modelId="{CE96D2EB-0CAE-4397-96A7-ED9E3F6A9100}" type="presParOf" srcId="{1CA66925-CD60-4315-85C0-60581CCF91DA}" destId="{051E515D-70D5-4933-8EF3-87869F5F7BA3}" srcOrd="0" destOrd="0" presId="urn:microsoft.com/office/officeart/2024/layout/NumberedLinearArrowProcess"/>
    <dgm:cxn modelId="{F7189AF8-39EB-45B5-AD53-469338FF942A}" type="presParOf" srcId="{051E515D-70D5-4933-8EF3-87869F5F7BA3}" destId="{01394619-E24D-48AA-A2C8-BFF5302AB2B8}" srcOrd="0" destOrd="0" presId="urn:microsoft.com/office/officeart/2024/layout/NumberedLinearArrowProcess"/>
    <dgm:cxn modelId="{512FB353-4D13-48F7-8857-86BD38DF67F2}" type="presParOf" srcId="{051E515D-70D5-4933-8EF3-87869F5F7BA3}" destId="{E5F983C8-E91C-4DF8-A963-69894087A41E}" srcOrd="1" destOrd="0" presId="urn:microsoft.com/office/officeart/2024/layout/NumberedLinearArrowProcess"/>
    <dgm:cxn modelId="{1D2322C0-53BF-46CE-A1D2-47C39BE9A357}" type="presParOf" srcId="{E5F983C8-E91C-4DF8-A963-69894087A41E}" destId="{296A9032-CE82-4D86-A55C-759AD2F74B57}" srcOrd="0" destOrd="0" presId="urn:microsoft.com/office/officeart/2024/layout/NumberedLinearArrowProcess"/>
    <dgm:cxn modelId="{E5F14AE5-51A3-4509-9D8D-3A90BD0541C7}" type="presParOf" srcId="{E5F983C8-E91C-4DF8-A963-69894087A41E}" destId="{C8002406-3576-4788-94D8-A30C05CE49B0}" srcOrd="1" destOrd="0" presId="urn:microsoft.com/office/officeart/2024/layout/NumberedLinearArrowProcess"/>
    <dgm:cxn modelId="{6D24C6E4-7827-4BBF-BF4B-D4A86328A5A3}" type="presParOf" srcId="{E5F983C8-E91C-4DF8-A963-69894087A41E}" destId="{82A45C0C-313B-4304-A0B6-C33F07DA5AFF}" srcOrd="2" destOrd="0" presId="urn:microsoft.com/office/officeart/2024/layout/NumberedLinearArrowProcess"/>
    <dgm:cxn modelId="{3AB768D1-44BE-40E0-9DC2-5DC5C006A835}" type="presParOf" srcId="{E5F983C8-E91C-4DF8-A963-69894087A41E}" destId="{72DEB66C-9F26-47F4-A58A-A8B8E0169964}" srcOrd="3" destOrd="0" presId="urn:microsoft.com/office/officeart/2024/layout/NumberedLinearArrowProcess"/>
    <dgm:cxn modelId="{176D191A-5D8B-4845-AD24-E228E6D10811}" type="presParOf" srcId="{E5F983C8-E91C-4DF8-A963-69894087A41E}" destId="{18A87FA5-02AA-436D-BD95-1FFF7DDD3B3B}" srcOrd="4" destOrd="0" presId="urn:microsoft.com/office/officeart/2024/layout/NumberedLinearArrowProcess"/>
    <dgm:cxn modelId="{0CDA81A1-50B7-4DF4-8542-64203426D6D0}" type="presParOf" srcId="{051E515D-70D5-4933-8EF3-87869F5F7BA3}" destId="{DC3842B6-74C2-4603-AC6D-723517025560}" srcOrd="2" destOrd="0" presId="urn:microsoft.com/office/officeart/2024/layout/NumberedLinearArrowProcess"/>
    <dgm:cxn modelId="{C4FC959C-4B56-4004-AD96-3C00A9D57639}" type="presParOf" srcId="{1CA66925-CD60-4315-85C0-60581CCF91DA}" destId="{70E66FA8-844C-45D1-9390-6CA149A20B5E}" srcOrd="1" destOrd="0" presId="urn:microsoft.com/office/officeart/2024/layout/NumberedLinearArrowProcess"/>
    <dgm:cxn modelId="{76431DD0-133E-44BF-A9AC-3A940BDCBF1D}" type="presParOf" srcId="{1CA66925-CD60-4315-85C0-60581CCF91DA}" destId="{6B622FD6-4D24-418B-BCBD-9FB24CD37460}" srcOrd="2" destOrd="0" presId="urn:microsoft.com/office/officeart/2024/layout/NumberedLinearArrowProcess"/>
    <dgm:cxn modelId="{E183CE9C-6288-4298-8F83-B3E65DF6D557}" type="presParOf" srcId="{6B622FD6-4D24-418B-BCBD-9FB24CD37460}" destId="{9256958F-8BF4-43B6-88F4-09EE109449B7}" srcOrd="0" destOrd="0" presId="urn:microsoft.com/office/officeart/2024/layout/NumberedLinearArrowProcess"/>
    <dgm:cxn modelId="{0B2F4595-3DDB-4BE2-8B03-E5F695E0F917}" type="presParOf" srcId="{6B622FD6-4D24-418B-BCBD-9FB24CD37460}" destId="{2195FA83-8BA1-4139-A0CF-B97485B6760C}" srcOrd="1" destOrd="0" presId="urn:microsoft.com/office/officeart/2024/layout/NumberedLinearArrowProcess"/>
    <dgm:cxn modelId="{10BB9863-1C9F-452D-B6DB-8648F33D6563}" type="presParOf" srcId="{2195FA83-8BA1-4139-A0CF-B97485B6760C}" destId="{B4D96E5F-50FA-4FF4-AE37-ECC62B843800}" srcOrd="0" destOrd="0" presId="urn:microsoft.com/office/officeart/2024/layout/NumberedLinearArrowProcess"/>
    <dgm:cxn modelId="{1F6B81E9-8748-445A-8A0D-0DF24E83995E}" type="presParOf" srcId="{2195FA83-8BA1-4139-A0CF-B97485B6760C}" destId="{02EA77AE-A295-47FE-932F-9D030649CFD4}" srcOrd="1" destOrd="0" presId="urn:microsoft.com/office/officeart/2024/layout/NumberedLinearArrowProcess"/>
    <dgm:cxn modelId="{09B75020-B435-45C2-B76D-13540E9058FF}" type="presParOf" srcId="{2195FA83-8BA1-4139-A0CF-B97485B6760C}" destId="{2A66F736-512E-4124-ABF1-D85FEE0CCCA5}" srcOrd="2" destOrd="0" presId="urn:microsoft.com/office/officeart/2024/layout/NumberedLinearArrowProcess"/>
    <dgm:cxn modelId="{402E21FA-FE68-42F0-8553-6539FC10908C}" type="presParOf" srcId="{2195FA83-8BA1-4139-A0CF-B97485B6760C}" destId="{397BE40D-82A7-4460-BC3F-E0CFD41808A5}" srcOrd="3" destOrd="0" presId="urn:microsoft.com/office/officeart/2024/layout/NumberedLinearArrowProcess"/>
    <dgm:cxn modelId="{494F37F0-AB49-44B3-B201-74A023BCC613}" type="presParOf" srcId="{2195FA83-8BA1-4139-A0CF-B97485B6760C}" destId="{E1DF5920-9F25-42DA-9960-E3D3ADBF3529}" srcOrd="4" destOrd="0" presId="urn:microsoft.com/office/officeart/2024/layout/NumberedLinearArrowProcess"/>
    <dgm:cxn modelId="{03E410FB-C6DC-45B5-93FC-43482E8D674D}" type="presParOf" srcId="{6B622FD6-4D24-418B-BCBD-9FB24CD37460}" destId="{946C9E9B-BC92-4C61-BD6C-E6AD88872ABC}" srcOrd="2" destOrd="0" presId="urn:microsoft.com/office/officeart/2024/layout/NumberedLinearArrowProcess"/>
    <dgm:cxn modelId="{F5FF9465-4D1D-48F7-9302-5FA4C78520D4}" type="presParOf" srcId="{1CA66925-CD60-4315-85C0-60581CCF91DA}" destId="{E9B767FC-1E33-4D59-B9ED-4D811CA61AE8}" srcOrd="3" destOrd="0" presId="urn:microsoft.com/office/officeart/2024/layout/NumberedLinearArrowProcess"/>
    <dgm:cxn modelId="{1D59C3BB-FE59-4158-B038-0F64952F2A5E}" type="presParOf" srcId="{1CA66925-CD60-4315-85C0-60581CCF91DA}" destId="{45FF6426-6B07-448D-BCD6-94E4009E9096}" srcOrd="4" destOrd="0" presId="urn:microsoft.com/office/officeart/2024/layout/NumberedLinearArrowProcess"/>
    <dgm:cxn modelId="{B8730695-1FDE-4598-BC15-31F0AE3809F7}" type="presParOf" srcId="{45FF6426-6B07-448D-BCD6-94E4009E9096}" destId="{70D11DDF-6E76-4AD0-B2AA-C32D9ECB4C2B}" srcOrd="0" destOrd="0" presId="urn:microsoft.com/office/officeart/2024/layout/NumberedLinearArrowProcess"/>
    <dgm:cxn modelId="{AF284DFE-7C51-45B9-9976-E23FBCE30B71}" type="presParOf" srcId="{45FF6426-6B07-448D-BCD6-94E4009E9096}" destId="{F5E20B77-5634-41CA-BD5C-4A1BC8E9D7F3}" srcOrd="1" destOrd="0" presId="urn:microsoft.com/office/officeart/2024/layout/NumberedLinearArrowProcess"/>
    <dgm:cxn modelId="{8AD734E8-238E-4A58-8A24-AA70C32F8E3E}" type="presParOf" srcId="{F5E20B77-5634-41CA-BD5C-4A1BC8E9D7F3}" destId="{E73820DF-BE51-4D09-A863-FEE9C5AEE61B}" srcOrd="0" destOrd="0" presId="urn:microsoft.com/office/officeart/2024/layout/NumberedLinearArrowProcess"/>
    <dgm:cxn modelId="{21457C9A-29D5-4225-8EE7-561D13AF7754}" type="presParOf" srcId="{F5E20B77-5634-41CA-BD5C-4A1BC8E9D7F3}" destId="{2841C9E7-F771-411A-A252-8BAF63B9D8BA}" srcOrd="1" destOrd="0" presId="urn:microsoft.com/office/officeart/2024/layout/NumberedLinearArrowProcess"/>
    <dgm:cxn modelId="{FC75324A-5639-4FD3-8784-D09986353CDA}" type="presParOf" srcId="{F5E20B77-5634-41CA-BD5C-4A1BC8E9D7F3}" destId="{6CBA57F8-ED26-43BE-A8DC-7F24BDEC44F3}" srcOrd="2" destOrd="0" presId="urn:microsoft.com/office/officeart/2024/layout/NumberedLinearArrowProcess"/>
    <dgm:cxn modelId="{73A3452B-A624-4AAE-8C7E-14ABFA5561EE}" type="presParOf" srcId="{F5E20B77-5634-41CA-BD5C-4A1BC8E9D7F3}" destId="{47E5A333-EA79-462F-9CDE-0D07CF9DEE2B}" srcOrd="3" destOrd="0" presId="urn:microsoft.com/office/officeart/2024/layout/NumberedLinearArrowProcess"/>
    <dgm:cxn modelId="{E2D5F7A9-0002-494A-A8DD-72CECF7A099A}" type="presParOf" srcId="{F5E20B77-5634-41CA-BD5C-4A1BC8E9D7F3}" destId="{0927FC37-6C08-4EBF-B8BF-24FE09C14DCE}" srcOrd="4" destOrd="0" presId="urn:microsoft.com/office/officeart/2024/layout/NumberedLinearArrowProcess"/>
    <dgm:cxn modelId="{FDF04D1B-6FDD-4A5D-8B06-88287847FA7F}" type="presParOf" srcId="{45FF6426-6B07-448D-BCD6-94E4009E9096}" destId="{6CD99E46-3405-474E-B213-7F1B3E1E9D5D}" srcOrd="2" destOrd="0" presId="urn:microsoft.com/office/officeart/2024/layout/NumberedLinearArrowProcess"/>
    <dgm:cxn modelId="{7C836CA9-AD9E-4CF0-B1F8-4C03CBD77EDD}" type="presParOf" srcId="{1CA66925-CD60-4315-85C0-60581CCF91DA}" destId="{7E80AFE4-3C00-4426-9EFD-88BB34E8B48A}" srcOrd="5" destOrd="0" presId="urn:microsoft.com/office/officeart/2024/layout/NumberedLinearArrowProcess"/>
    <dgm:cxn modelId="{E53DC5AB-2F0B-4FBE-81CB-9B00ED0FFB11}" type="presParOf" srcId="{1CA66925-CD60-4315-85C0-60581CCF91DA}" destId="{9E57D726-E392-44AC-B6A1-BBF04F6BDFF6}" srcOrd="6" destOrd="0" presId="urn:microsoft.com/office/officeart/2024/layout/NumberedLinearArrowProcess"/>
    <dgm:cxn modelId="{E3ACFF37-D50D-42C4-8241-F5F735070AF8}" type="presParOf" srcId="{9E57D726-E392-44AC-B6A1-BBF04F6BDFF6}" destId="{26AE0BCF-7F86-400A-A92C-244D18EA4AB3}" srcOrd="0" destOrd="0" presId="urn:microsoft.com/office/officeart/2024/layout/NumberedLinearArrowProcess"/>
    <dgm:cxn modelId="{8D995036-D88B-4352-A79A-811DED32982A}" type="presParOf" srcId="{9E57D726-E392-44AC-B6A1-BBF04F6BDFF6}" destId="{F449420B-757D-4C80-82BC-791989703217}" srcOrd="1" destOrd="0" presId="urn:microsoft.com/office/officeart/2024/layout/NumberedLinearArrowProcess"/>
    <dgm:cxn modelId="{30C8751A-0D50-49ED-8B19-F65E6726903A}" type="presParOf" srcId="{F449420B-757D-4C80-82BC-791989703217}" destId="{73A8C59F-645F-4A89-9EF6-ACF8AAB0F670}" srcOrd="0" destOrd="0" presId="urn:microsoft.com/office/officeart/2024/layout/NumberedLinearArrowProcess"/>
    <dgm:cxn modelId="{C16C71DD-D7E8-42FD-9B2D-5B65006B142A}" type="presParOf" srcId="{F449420B-757D-4C80-82BC-791989703217}" destId="{4752586C-9A37-4008-916F-2B58093D0DA0}" srcOrd="1" destOrd="0" presId="urn:microsoft.com/office/officeart/2024/layout/NumberedLinearArrowProcess"/>
    <dgm:cxn modelId="{DA313365-80E8-41C4-8459-CCB67A0CBE61}" type="presParOf" srcId="{F449420B-757D-4C80-82BC-791989703217}" destId="{68BCD53F-CD54-47D2-80CE-AC4294D538AB}" srcOrd="2" destOrd="0" presId="urn:microsoft.com/office/officeart/2024/layout/NumberedLinearArrowProcess"/>
    <dgm:cxn modelId="{B2894B65-483F-4512-B320-05FCD56E7D13}" type="presParOf" srcId="{F449420B-757D-4C80-82BC-791989703217}" destId="{DA0A2636-B6B7-48AE-9C2C-5692976C968B}" srcOrd="3" destOrd="0" presId="urn:microsoft.com/office/officeart/2024/layout/NumberedLinearArrowProcess"/>
    <dgm:cxn modelId="{947982EC-BC82-4D67-A379-938C01C65DDD}" type="presParOf" srcId="{F449420B-757D-4C80-82BC-791989703217}" destId="{F48712CA-A1CF-4B1A-BCBB-AF0A57B96E75}" srcOrd="4" destOrd="0" presId="urn:microsoft.com/office/officeart/2024/layout/NumberedLinearArrowProcess"/>
    <dgm:cxn modelId="{ECA6CC4C-0E65-4142-AEF0-53C1E195E19D}" type="presParOf" srcId="{9E57D726-E392-44AC-B6A1-BBF04F6BDFF6}" destId="{C6A7BD5A-A83B-41A9-86F3-504CDDC67D08}" srcOrd="2" destOrd="0" presId="urn:microsoft.com/office/officeart/2024/layout/NumberedLinearArrowProcess"/>
    <dgm:cxn modelId="{18F1C5A5-CEA3-481E-B227-DA2B1679E366}" type="presParOf" srcId="{1CA66925-CD60-4315-85C0-60581CCF91DA}" destId="{258D5B28-E73B-4C14-8F0F-B0D8C9188CFF}" srcOrd="7" destOrd="0" presId="urn:microsoft.com/office/officeart/2024/layout/NumberedLinearArrowProcess"/>
    <dgm:cxn modelId="{BEFE1CA7-A3B4-4DDE-814F-2FB34FAD8FC2}" type="presParOf" srcId="{1CA66925-CD60-4315-85C0-60581CCF91DA}" destId="{437A0386-B844-4DFE-AA78-8D9E7EAD37F6}" srcOrd="8" destOrd="0" presId="urn:microsoft.com/office/officeart/2024/layout/NumberedLinearArrowProcess"/>
    <dgm:cxn modelId="{72C6E2C7-D95D-4A97-82A2-9B6F7BFBFAA6}" type="presParOf" srcId="{437A0386-B844-4DFE-AA78-8D9E7EAD37F6}" destId="{8A786148-6DD2-40C5-BBD9-57AA2C195C08}" srcOrd="0" destOrd="0" presId="urn:microsoft.com/office/officeart/2024/layout/NumberedLinearArrowProcess"/>
    <dgm:cxn modelId="{FC11E526-8F05-40E6-A4B8-549DE74BFB7F}" type="presParOf" srcId="{437A0386-B844-4DFE-AA78-8D9E7EAD37F6}" destId="{13FFC4CB-0B5C-4693-81D8-E57DDBA1E324}" srcOrd="1" destOrd="0" presId="urn:microsoft.com/office/officeart/2024/layout/NumberedLinearArrowProcess"/>
    <dgm:cxn modelId="{FB98CEED-3B4D-4EA7-B3CA-F62FF49E7BA5}" type="presParOf" srcId="{13FFC4CB-0B5C-4693-81D8-E57DDBA1E324}" destId="{F5729F3B-AA27-4AD7-BE75-6B49AAAF0115}" srcOrd="0" destOrd="0" presId="urn:microsoft.com/office/officeart/2024/layout/NumberedLinearArrowProcess"/>
    <dgm:cxn modelId="{2200272B-EF71-45D7-92DC-5FBC55B0F44A}" type="presParOf" srcId="{13FFC4CB-0B5C-4693-81D8-E57DDBA1E324}" destId="{E4908AAC-AB5F-4F9D-B973-1B588081E8D8}" srcOrd="1" destOrd="0" presId="urn:microsoft.com/office/officeart/2024/layout/NumberedLinearArrowProcess"/>
    <dgm:cxn modelId="{D5997D87-72DE-40CD-BDA5-D4DB745C9A71}" type="presParOf" srcId="{13FFC4CB-0B5C-4693-81D8-E57DDBA1E324}" destId="{B33F6F5F-A492-418F-83A3-1C1C0B9C7222}" srcOrd="2" destOrd="0" presId="urn:microsoft.com/office/officeart/2024/layout/NumberedLinearArrowProcess"/>
    <dgm:cxn modelId="{21288A81-8705-4377-A90E-682283B46B47}" type="presParOf" srcId="{13FFC4CB-0B5C-4693-81D8-E57DDBA1E324}" destId="{31615606-761A-44A2-AFC9-98DFE10E531C}" srcOrd="3" destOrd="0" presId="urn:microsoft.com/office/officeart/2024/layout/NumberedLinearArrowProcess"/>
    <dgm:cxn modelId="{DDF6B3A0-4DD3-477B-93AB-DB9BC03BF388}" type="presParOf" srcId="{13FFC4CB-0B5C-4693-81D8-E57DDBA1E324}" destId="{D0358442-9559-4D18-8AA7-CBA3BFA1BFB8}" srcOrd="4" destOrd="0" presId="urn:microsoft.com/office/officeart/2024/layout/NumberedLinearArrowProcess"/>
    <dgm:cxn modelId="{00255978-0BD9-4AAC-BC38-5A505CEB1DD9}" type="presParOf" srcId="{437A0386-B844-4DFE-AA78-8D9E7EAD37F6}" destId="{1C184A7F-407A-49FF-8E9D-225D68664341}" srcOrd="2" destOrd="0" presId="urn:microsoft.com/office/officeart/2024/layout/NumberedLinearArrow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0C2992-32D9-4070-A530-DE0241A743CE}">
      <dsp:nvSpPr>
        <dsp:cNvPr id="0" name=""/>
        <dsp:cNvSpPr/>
      </dsp:nvSpPr>
      <dsp:spPr>
        <a:xfrm>
          <a:off x="3189814" y="1045843"/>
          <a:ext cx="427728" cy="742741"/>
        </a:xfrm>
        <a:custGeom>
          <a:avLst/>
          <a:gdLst/>
          <a:ahLst/>
          <a:cxnLst/>
          <a:rect l="0" t="0" r="0" b="0"/>
          <a:pathLst>
            <a:path>
              <a:moveTo>
                <a:pt x="0" y="0"/>
              </a:moveTo>
              <a:lnTo>
                <a:pt x="0" y="742741"/>
              </a:lnTo>
              <a:lnTo>
                <a:pt x="427728" y="7427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6232DA-E0C4-4778-8D69-D249DBDCECC3}">
      <dsp:nvSpPr>
        <dsp:cNvPr id="0" name=""/>
        <dsp:cNvSpPr/>
      </dsp:nvSpPr>
      <dsp:spPr>
        <a:xfrm>
          <a:off x="3189814" y="1045843"/>
          <a:ext cx="1619237" cy="3192127"/>
        </a:xfrm>
        <a:custGeom>
          <a:avLst/>
          <a:gdLst/>
          <a:ahLst/>
          <a:cxnLst/>
          <a:rect l="0" t="0" r="0" b="0"/>
          <a:pathLst>
            <a:path>
              <a:moveTo>
                <a:pt x="0" y="0"/>
              </a:moveTo>
              <a:lnTo>
                <a:pt x="0" y="3192127"/>
              </a:lnTo>
              <a:lnTo>
                <a:pt x="1619237" y="31921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4FDFD4-79F9-4CBE-8834-4BD723CCB56F}">
      <dsp:nvSpPr>
        <dsp:cNvPr id="0" name=""/>
        <dsp:cNvSpPr/>
      </dsp:nvSpPr>
      <dsp:spPr>
        <a:xfrm>
          <a:off x="2667394" y="1045843"/>
          <a:ext cx="522419" cy="1812189"/>
        </a:xfrm>
        <a:custGeom>
          <a:avLst/>
          <a:gdLst/>
          <a:ahLst/>
          <a:cxnLst/>
          <a:rect l="0" t="0" r="0" b="0"/>
          <a:pathLst>
            <a:path>
              <a:moveTo>
                <a:pt x="522419" y="0"/>
              </a:moveTo>
              <a:lnTo>
                <a:pt x="522419" y="1812189"/>
              </a:lnTo>
              <a:lnTo>
                <a:pt x="0" y="18121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A0112-54F3-4C48-A78E-887DDE9C413D}">
      <dsp:nvSpPr>
        <dsp:cNvPr id="0" name=""/>
        <dsp:cNvSpPr/>
      </dsp:nvSpPr>
      <dsp:spPr>
        <a:xfrm>
          <a:off x="3189814" y="1045843"/>
          <a:ext cx="776297" cy="3410666"/>
        </a:xfrm>
        <a:custGeom>
          <a:avLst/>
          <a:gdLst/>
          <a:ahLst/>
          <a:cxnLst/>
          <a:rect l="0" t="0" r="0" b="0"/>
          <a:pathLst>
            <a:path>
              <a:moveTo>
                <a:pt x="0" y="0"/>
              </a:moveTo>
              <a:lnTo>
                <a:pt x="0" y="3191039"/>
              </a:lnTo>
              <a:lnTo>
                <a:pt x="776297" y="3191039"/>
              </a:lnTo>
              <a:lnTo>
                <a:pt x="776297" y="34106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F157CA-680F-4AC5-91A1-86D3C81325DB}">
      <dsp:nvSpPr>
        <dsp:cNvPr id="0" name=""/>
        <dsp:cNvSpPr/>
      </dsp:nvSpPr>
      <dsp:spPr>
        <a:xfrm>
          <a:off x="2518759" y="1045843"/>
          <a:ext cx="671054" cy="3406734"/>
        </a:xfrm>
        <a:custGeom>
          <a:avLst/>
          <a:gdLst/>
          <a:ahLst/>
          <a:cxnLst/>
          <a:rect l="0" t="0" r="0" b="0"/>
          <a:pathLst>
            <a:path>
              <a:moveTo>
                <a:pt x="671054" y="0"/>
              </a:moveTo>
              <a:lnTo>
                <a:pt x="671054" y="3187107"/>
              </a:lnTo>
              <a:lnTo>
                <a:pt x="0" y="3187107"/>
              </a:lnTo>
              <a:lnTo>
                <a:pt x="0" y="340673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52F9FC-EA43-463F-90DD-1BE4F9612736}">
      <dsp:nvSpPr>
        <dsp:cNvPr id="0" name=""/>
        <dsp:cNvSpPr/>
      </dsp:nvSpPr>
      <dsp:spPr>
        <a:xfrm>
          <a:off x="1226526" y="1045843"/>
          <a:ext cx="1963288" cy="3410959"/>
        </a:xfrm>
        <a:custGeom>
          <a:avLst/>
          <a:gdLst/>
          <a:ahLst/>
          <a:cxnLst/>
          <a:rect l="0" t="0" r="0" b="0"/>
          <a:pathLst>
            <a:path>
              <a:moveTo>
                <a:pt x="1963288" y="0"/>
              </a:moveTo>
              <a:lnTo>
                <a:pt x="1963288" y="3191332"/>
              </a:lnTo>
              <a:lnTo>
                <a:pt x="0" y="3191332"/>
              </a:lnTo>
              <a:lnTo>
                <a:pt x="0" y="34109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5C86E6-A61F-46F9-A61C-1C29319B284F}">
      <dsp:nvSpPr>
        <dsp:cNvPr id="0" name=""/>
        <dsp:cNvSpPr/>
      </dsp:nvSpPr>
      <dsp:spPr>
        <a:xfrm>
          <a:off x="2143971" y="0"/>
          <a:ext cx="2091686" cy="10458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Board of Directors</a:t>
          </a:r>
        </a:p>
      </dsp:txBody>
      <dsp:txXfrm>
        <a:off x="2143971" y="0"/>
        <a:ext cx="2091686" cy="1045843"/>
      </dsp:txXfrm>
    </dsp:sp>
    <dsp:sp modelId="{A4F30C4E-EB36-422E-8A11-264ECDE454B6}">
      <dsp:nvSpPr>
        <dsp:cNvPr id="0" name=""/>
        <dsp:cNvSpPr/>
      </dsp:nvSpPr>
      <dsp:spPr>
        <a:xfrm>
          <a:off x="675377" y="4456802"/>
          <a:ext cx="1102297" cy="59697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Cloud Security Architect</a:t>
          </a:r>
        </a:p>
      </dsp:txBody>
      <dsp:txXfrm>
        <a:off x="675377" y="4456802"/>
        <a:ext cx="1102297" cy="596977"/>
      </dsp:txXfrm>
    </dsp:sp>
    <dsp:sp modelId="{C433D626-D19A-4F35-BB2E-D4627EAEDA95}">
      <dsp:nvSpPr>
        <dsp:cNvPr id="0" name=""/>
        <dsp:cNvSpPr/>
      </dsp:nvSpPr>
      <dsp:spPr>
        <a:xfrm>
          <a:off x="2006442" y="4452577"/>
          <a:ext cx="1024633" cy="6322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IAM Engineer</a:t>
          </a:r>
        </a:p>
      </dsp:txBody>
      <dsp:txXfrm>
        <a:off x="2006442" y="4452577"/>
        <a:ext cx="1024633" cy="632222"/>
      </dsp:txXfrm>
    </dsp:sp>
    <dsp:sp modelId="{E4EDE168-5AA2-426B-843D-7BFA2D95FFA7}">
      <dsp:nvSpPr>
        <dsp:cNvPr id="0" name=""/>
        <dsp:cNvSpPr/>
      </dsp:nvSpPr>
      <dsp:spPr>
        <a:xfrm>
          <a:off x="3451965" y="4456509"/>
          <a:ext cx="1028293" cy="6010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Data Protection Officer</a:t>
          </a:r>
        </a:p>
      </dsp:txBody>
      <dsp:txXfrm>
        <a:off x="3451965" y="4456509"/>
        <a:ext cx="1028293" cy="601025"/>
      </dsp:txXfrm>
    </dsp:sp>
    <dsp:sp modelId="{DE034394-BC9E-4C4C-9C1A-3149A3AF971B}">
      <dsp:nvSpPr>
        <dsp:cNvPr id="0" name=""/>
        <dsp:cNvSpPr/>
      </dsp:nvSpPr>
      <dsp:spPr>
        <a:xfrm>
          <a:off x="575708" y="2335111"/>
          <a:ext cx="2091686" cy="10458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CISO</a:t>
          </a:r>
        </a:p>
      </dsp:txBody>
      <dsp:txXfrm>
        <a:off x="575708" y="2335111"/>
        <a:ext cx="2091686" cy="1045843"/>
      </dsp:txXfrm>
    </dsp:sp>
    <dsp:sp modelId="{F3738605-9070-4267-82BB-0A0299EAE840}">
      <dsp:nvSpPr>
        <dsp:cNvPr id="0" name=""/>
        <dsp:cNvSpPr/>
      </dsp:nvSpPr>
      <dsp:spPr>
        <a:xfrm>
          <a:off x="4809051" y="3963400"/>
          <a:ext cx="976691" cy="5491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Security Ops Analyst </a:t>
          </a:r>
        </a:p>
      </dsp:txBody>
      <dsp:txXfrm>
        <a:off x="4809051" y="3963400"/>
        <a:ext cx="976691" cy="549140"/>
      </dsp:txXfrm>
    </dsp:sp>
    <dsp:sp modelId="{46BB06C6-0454-435E-9813-097CABCDDF77}">
      <dsp:nvSpPr>
        <dsp:cNvPr id="0" name=""/>
        <dsp:cNvSpPr/>
      </dsp:nvSpPr>
      <dsp:spPr>
        <a:xfrm>
          <a:off x="3617543" y="1265663"/>
          <a:ext cx="2091686" cy="10458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CEO</a:t>
          </a:r>
        </a:p>
      </dsp:txBody>
      <dsp:txXfrm>
        <a:off x="3617543" y="1265663"/>
        <a:ext cx="2091686" cy="10458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6A9032-CE82-4D86-A55C-759AD2F74B57}">
      <dsp:nvSpPr>
        <dsp:cNvPr id="0" name=""/>
        <dsp:cNvSpPr/>
      </dsp:nvSpPr>
      <dsp:spPr>
        <a:xfrm>
          <a:off x="606115" y="584938"/>
          <a:ext cx="383579" cy="7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002406-3576-4788-94D8-A30C05CE49B0}">
      <dsp:nvSpPr>
        <dsp:cNvPr id="0" name=""/>
        <dsp:cNvSpPr/>
      </dsp:nvSpPr>
      <dsp:spPr>
        <a:xfrm>
          <a:off x="956816" y="540209"/>
          <a:ext cx="50413" cy="94542"/>
        </a:xfrm>
        <a:prstGeom prst="chevron">
          <a:avLst>
            <a:gd name="adj" fmla="val 9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Assessment and Governance</a:t>
          </a:r>
        </a:p>
        <a:p>
          <a:pPr marL="0" lvl="0" indent="0" algn="ctr" defTabSz="488950">
            <a:lnSpc>
              <a:spcPct val="90000"/>
            </a:lnSpc>
            <a:spcBef>
              <a:spcPct val="0"/>
            </a:spcBef>
            <a:spcAft>
              <a:spcPct val="35000"/>
            </a:spcAft>
            <a:buNone/>
          </a:pPr>
          <a:r>
            <a:rPr lang="en-GB" sz="1100" kern="1200"/>
            <a:t> Month 1</a:t>
          </a:r>
        </a:p>
      </dsp:txBody>
      <dsp:txXfrm>
        <a:off x="87034" y="1005009"/>
        <a:ext cx="928568" cy="1717022"/>
      </dsp:txXfrm>
    </dsp:sp>
    <dsp:sp modelId="{82A45C0C-313B-4304-A0B6-C33F07DA5AFF}">
      <dsp:nvSpPr>
        <dsp:cNvPr id="0" name=""/>
        <dsp:cNvSpPr/>
      </dsp:nvSpPr>
      <dsp:spPr>
        <a:xfrm>
          <a:off x="416166" y="449821"/>
          <a:ext cx="270303" cy="270303"/>
        </a:xfrm>
        <a:prstGeom prst="ellips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9" tIns="10489" rIns="10489" bIns="10489" numCol="1" spcCol="1270" anchor="ctr" anchorCtr="0">
          <a:noAutofit/>
        </a:bodyPr>
        <a:lstStyle/>
        <a:p>
          <a:pPr marL="0" lvl="0" indent="0" algn="ctr" defTabSz="622300">
            <a:lnSpc>
              <a:spcPct val="90000"/>
            </a:lnSpc>
            <a:spcBef>
              <a:spcPct val="0"/>
            </a:spcBef>
            <a:spcAft>
              <a:spcPct val="35000"/>
            </a:spcAft>
            <a:buNone/>
          </a:pPr>
          <a:r>
            <a:rPr sz="1400" kern="1200"/>
            <a:t>1</a:t>
          </a:r>
        </a:p>
      </dsp:txBody>
      <dsp:txXfrm>
        <a:off x="455751" y="489406"/>
        <a:ext cx="191133" cy="191133"/>
      </dsp:txXfrm>
    </dsp:sp>
    <dsp:sp modelId="{18A87FA5-02AA-436D-BD95-1FFF7DDD3B3B}">
      <dsp:nvSpPr>
        <dsp:cNvPr id="0" name=""/>
        <dsp:cNvSpPr/>
      </dsp:nvSpPr>
      <dsp:spPr>
        <a:xfrm>
          <a:off x="551282" y="791944"/>
          <a:ext cx="72" cy="18383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C3842B6-74C2-4603-AC6D-723517025560}">
      <dsp:nvSpPr>
        <dsp:cNvPr id="0" name=""/>
        <dsp:cNvSpPr/>
      </dsp:nvSpPr>
      <dsp:spPr>
        <a:xfrm>
          <a:off x="58145" y="976120"/>
          <a:ext cx="986346" cy="1774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Assessment and Governance</a:t>
          </a:r>
        </a:p>
        <a:p>
          <a:pPr marL="0" lvl="0" indent="0" algn="ctr" defTabSz="488950">
            <a:lnSpc>
              <a:spcPct val="90000"/>
            </a:lnSpc>
            <a:spcBef>
              <a:spcPct val="0"/>
            </a:spcBef>
            <a:spcAft>
              <a:spcPct val="35000"/>
            </a:spcAft>
            <a:buNone/>
          </a:pPr>
          <a:r>
            <a:rPr lang="en-GB" sz="1100" kern="1200"/>
            <a:t> Month 1</a:t>
          </a:r>
        </a:p>
      </dsp:txBody>
      <dsp:txXfrm>
        <a:off x="87034" y="1005009"/>
        <a:ext cx="928568" cy="1717022"/>
      </dsp:txXfrm>
    </dsp:sp>
    <dsp:sp modelId="{B4D96E5F-50FA-4FF4-AE37-ECC62B843800}">
      <dsp:nvSpPr>
        <dsp:cNvPr id="0" name=""/>
        <dsp:cNvSpPr/>
      </dsp:nvSpPr>
      <dsp:spPr>
        <a:xfrm>
          <a:off x="1099288" y="584772"/>
          <a:ext cx="986346" cy="7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EA77AE-A295-47FE-932F-9D030649CFD4}">
      <dsp:nvSpPr>
        <dsp:cNvPr id="0" name=""/>
        <dsp:cNvSpPr/>
      </dsp:nvSpPr>
      <dsp:spPr>
        <a:xfrm>
          <a:off x="2052757" y="540043"/>
          <a:ext cx="50413" cy="94665"/>
        </a:xfrm>
        <a:prstGeom prst="chevron">
          <a:avLst>
            <a:gd name="adj" fmla="val 9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Security Controls</a:t>
          </a:r>
        </a:p>
        <a:p>
          <a:pPr marL="0" lvl="0" indent="0" algn="ctr" defTabSz="488950">
            <a:lnSpc>
              <a:spcPct val="90000"/>
            </a:lnSpc>
            <a:spcBef>
              <a:spcPct val="0"/>
            </a:spcBef>
            <a:spcAft>
              <a:spcPct val="35000"/>
            </a:spcAft>
            <a:buNone/>
          </a:pPr>
          <a:r>
            <a:rPr lang="en-GB" sz="1100" kern="1200"/>
            <a:t> Months 2-3</a:t>
          </a:r>
        </a:p>
      </dsp:txBody>
      <dsp:txXfrm>
        <a:off x="1182974" y="1005009"/>
        <a:ext cx="928568" cy="1717022"/>
      </dsp:txXfrm>
    </dsp:sp>
    <dsp:sp modelId="{2A66F736-512E-4124-ABF1-D85FEE0CCCA5}">
      <dsp:nvSpPr>
        <dsp:cNvPr id="0" name=""/>
        <dsp:cNvSpPr/>
      </dsp:nvSpPr>
      <dsp:spPr>
        <a:xfrm>
          <a:off x="1512107" y="449656"/>
          <a:ext cx="270303" cy="270303"/>
        </a:xfrm>
        <a:prstGeom prst="ellips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9" tIns="10489" rIns="10489" bIns="10489" numCol="1" spcCol="1270" anchor="ctr" anchorCtr="0">
          <a:noAutofit/>
        </a:bodyPr>
        <a:lstStyle/>
        <a:p>
          <a:pPr marL="0" lvl="0" indent="0" algn="ctr" defTabSz="622300">
            <a:lnSpc>
              <a:spcPct val="90000"/>
            </a:lnSpc>
            <a:spcBef>
              <a:spcPct val="0"/>
            </a:spcBef>
            <a:spcAft>
              <a:spcPct val="35000"/>
            </a:spcAft>
            <a:buNone/>
          </a:pPr>
          <a:r>
            <a:rPr sz="1400" kern="1200"/>
            <a:t>2</a:t>
          </a:r>
        </a:p>
      </dsp:txBody>
      <dsp:txXfrm>
        <a:off x="1551692" y="489241"/>
        <a:ext cx="191133" cy="191133"/>
      </dsp:txXfrm>
    </dsp:sp>
    <dsp:sp modelId="{E1DF5920-9F25-42DA-9960-E3D3ADBF3529}">
      <dsp:nvSpPr>
        <dsp:cNvPr id="0" name=""/>
        <dsp:cNvSpPr/>
      </dsp:nvSpPr>
      <dsp:spPr>
        <a:xfrm>
          <a:off x="1647223" y="791871"/>
          <a:ext cx="72" cy="18407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6C9E9B-BC92-4C61-BD6C-E6AD88872ABC}">
      <dsp:nvSpPr>
        <dsp:cNvPr id="0" name=""/>
        <dsp:cNvSpPr/>
      </dsp:nvSpPr>
      <dsp:spPr>
        <a:xfrm>
          <a:off x="1154085" y="976120"/>
          <a:ext cx="986346" cy="1774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Security Controls</a:t>
          </a:r>
        </a:p>
        <a:p>
          <a:pPr marL="0" lvl="0" indent="0" algn="ctr" defTabSz="488950">
            <a:lnSpc>
              <a:spcPct val="90000"/>
            </a:lnSpc>
            <a:spcBef>
              <a:spcPct val="0"/>
            </a:spcBef>
            <a:spcAft>
              <a:spcPct val="35000"/>
            </a:spcAft>
            <a:buNone/>
          </a:pPr>
          <a:r>
            <a:rPr lang="en-GB" sz="1100" kern="1200"/>
            <a:t> Months 2-3</a:t>
          </a:r>
        </a:p>
      </dsp:txBody>
      <dsp:txXfrm>
        <a:off x="1182974" y="1005009"/>
        <a:ext cx="928568" cy="1717022"/>
      </dsp:txXfrm>
    </dsp:sp>
    <dsp:sp modelId="{E73820DF-BE51-4D09-A863-FEE9C5AEE61B}">
      <dsp:nvSpPr>
        <dsp:cNvPr id="0" name=""/>
        <dsp:cNvSpPr/>
      </dsp:nvSpPr>
      <dsp:spPr>
        <a:xfrm>
          <a:off x="2195229" y="584654"/>
          <a:ext cx="986346" cy="7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41C9E7-F771-411A-A252-8BAF63B9D8BA}">
      <dsp:nvSpPr>
        <dsp:cNvPr id="0" name=""/>
        <dsp:cNvSpPr/>
      </dsp:nvSpPr>
      <dsp:spPr>
        <a:xfrm>
          <a:off x="3148698" y="539932"/>
          <a:ext cx="50413" cy="94725"/>
        </a:xfrm>
        <a:prstGeom prst="chevron">
          <a:avLst>
            <a:gd name="adj" fmla="val 9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Third-Party and Cloud Risk Management</a:t>
          </a:r>
        </a:p>
        <a:p>
          <a:pPr marL="0" lvl="0" indent="0" algn="ctr" defTabSz="488950">
            <a:lnSpc>
              <a:spcPct val="90000"/>
            </a:lnSpc>
            <a:spcBef>
              <a:spcPct val="0"/>
            </a:spcBef>
            <a:spcAft>
              <a:spcPct val="35000"/>
            </a:spcAft>
            <a:buNone/>
          </a:pPr>
          <a:r>
            <a:rPr lang="en-GB" sz="1100" kern="1200"/>
            <a:t>Month 4</a:t>
          </a:r>
        </a:p>
      </dsp:txBody>
      <dsp:txXfrm>
        <a:off x="2278915" y="1004934"/>
        <a:ext cx="928568" cy="1717022"/>
      </dsp:txXfrm>
    </dsp:sp>
    <dsp:sp modelId="{6CBA57F8-ED26-43BE-A8DC-7F24BDEC44F3}">
      <dsp:nvSpPr>
        <dsp:cNvPr id="0" name=""/>
        <dsp:cNvSpPr/>
      </dsp:nvSpPr>
      <dsp:spPr>
        <a:xfrm>
          <a:off x="2608048" y="449538"/>
          <a:ext cx="270303" cy="270303"/>
        </a:xfrm>
        <a:prstGeom prst="ellips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9" tIns="10489" rIns="10489" bIns="10489" numCol="1" spcCol="1270" anchor="ctr" anchorCtr="0">
          <a:noAutofit/>
        </a:bodyPr>
        <a:lstStyle/>
        <a:p>
          <a:pPr marL="0" lvl="0" indent="0" algn="ctr" defTabSz="622300">
            <a:lnSpc>
              <a:spcPct val="90000"/>
            </a:lnSpc>
            <a:spcBef>
              <a:spcPct val="0"/>
            </a:spcBef>
            <a:spcAft>
              <a:spcPct val="35000"/>
            </a:spcAft>
            <a:buNone/>
          </a:pPr>
          <a:r>
            <a:rPr sz="1400" kern="1200"/>
            <a:t>3</a:t>
          </a:r>
        </a:p>
      </dsp:txBody>
      <dsp:txXfrm>
        <a:off x="2647633" y="489123"/>
        <a:ext cx="191133" cy="191133"/>
      </dsp:txXfrm>
    </dsp:sp>
    <dsp:sp modelId="{0927FC37-6C08-4EBF-B8BF-24FE09C14DCE}">
      <dsp:nvSpPr>
        <dsp:cNvPr id="0" name=""/>
        <dsp:cNvSpPr/>
      </dsp:nvSpPr>
      <dsp:spPr>
        <a:xfrm>
          <a:off x="2743164" y="791799"/>
          <a:ext cx="72" cy="18418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CD99E46-3405-474E-B213-7F1B3E1E9D5D}">
      <dsp:nvSpPr>
        <dsp:cNvPr id="0" name=""/>
        <dsp:cNvSpPr/>
      </dsp:nvSpPr>
      <dsp:spPr>
        <a:xfrm>
          <a:off x="2250026" y="976045"/>
          <a:ext cx="986346" cy="1774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Third-Party and Cloud Risk Management</a:t>
          </a:r>
        </a:p>
        <a:p>
          <a:pPr marL="0" lvl="0" indent="0" algn="ctr" defTabSz="488950">
            <a:lnSpc>
              <a:spcPct val="90000"/>
            </a:lnSpc>
            <a:spcBef>
              <a:spcPct val="0"/>
            </a:spcBef>
            <a:spcAft>
              <a:spcPct val="35000"/>
            </a:spcAft>
            <a:buNone/>
          </a:pPr>
          <a:r>
            <a:rPr lang="en-GB" sz="1100" kern="1200"/>
            <a:t>Month 4</a:t>
          </a:r>
        </a:p>
      </dsp:txBody>
      <dsp:txXfrm>
        <a:off x="2278915" y="1004934"/>
        <a:ext cx="928568" cy="1717022"/>
      </dsp:txXfrm>
    </dsp:sp>
    <dsp:sp modelId="{73A8C59F-645F-4A89-9EF6-ACF8AAB0F670}">
      <dsp:nvSpPr>
        <dsp:cNvPr id="0" name=""/>
        <dsp:cNvSpPr/>
      </dsp:nvSpPr>
      <dsp:spPr>
        <a:xfrm>
          <a:off x="3291170" y="584614"/>
          <a:ext cx="986346" cy="7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52586C-9A37-4008-916F-2B58093D0DA0}">
      <dsp:nvSpPr>
        <dsp:cNvPr id="0" name=""/>
        <dsp:cNvSpPr/>
      </dsp:nvSpPr>
      <dsp:spPr>
        <a:xfrm>
          <a:off x="4244638" y="539892"/>
          <a:ext cx="50413" cy="94754"/>
        </a:xfrm>
        <a:prstGeom prst="chevron">
          <a:avLst>
            <a:gd name="adj" fmla="val 9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Incident Response and Operational Resilience</a:t>
          </a:r>
        </a:p>
        <a:p>
          <a:pPr marL="0" lvl="0" indent="0" algn="ctr" defTabSz="488950">
            <a:lnSpc>
              <a:spcPct val="90000"/>
            </a:lnSpc>
            <a:spcBef>
              <a:spcPct val="0"/>
            </a:spcBef>
            <a:spcAft>
              <a:spcPct val="35000"/>
            </a:spcAft>
            <a:buNone/>
          </a:pPr>
          <a:r>
            <a:rPr lang="en-GB" sz="1100" kern="1200"/>
            <a:t> Month 5</a:t>
          </a:r>
        </a:p>
      </dsp:txBody>
      <dsp:txXfrm>
        <a:off x="3374856" y="1004934"/>
        <a:ext cx="928568" cy="1717022"/>
      </dsp:txXfrm>
    </dsp:sp>
    <dsp:sp modelId="{68BCD53F-CD54-47D2-80CE-AC4294D538AB}">
      <dsp:nvSpPr>
        <dsp:cNvPr id="0" name=""/>
        <dsp:cNvSpPr/>
      </dsp:nvSpPr>
      <dsp:spPr>
        <a:xfrm>
          <a:off x="3703988" y="449499"/>
          <a:ext cx="270303" cy="270303"/>
        </a:xfrm>
        <a:prstGeom prst="ellips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9" tIns="10489" rIns="10489" bIns="10489" numCol="1" spcCol="1270" anchor="ctr" anchorCtr="0">
          <a:noAutofit/>
        </a:bodyPr>
        <a:lstStyle/>
        <a:p>
          <a:pPr marL="0" lvl="0" indent="0" algn="ctr" defTabSz="622300">
            <a:lnSpc>
              <a:spcPct val="90000"/>
            </a:lnSpc>
            <a:spcBef>
              <a:spcPct val="0"/>
            </a:spcBef>
            <a:spcAft>
              <a:spcPct val="35000"/>
            </a:spcAft>
            <a:buNone/>
          </a:pPr>
          <a:r>
            <a:rPr lang="en-GB" sz="1400" kern="1200"/>
            <a:t>4</a:t>
          </a:r>
        </a:p>
      </dsp:txBody>
      <dsp:txXfrm>
        <a:off x="3743573" y="489084"/>
        <a:ext cx="191133" cy="191133"/>
      </dsp:txXfrm>
    </dsp:sp>
    <dsp:sp modelId="{F48712CA-A1CF-4B1A-BCBB-AF0A57B96E75}">
      <dsp:nvSpPr>
        <dsp:cNvPr id="0" name=""/>
        <dsp:cNvSpPr/>
      </dsp:nvSpPr>
      <dsp:spPr>
        <a:xfrm>
          <a:off x="3839104" y="791782"/>
          <a:ext cx="72" cy="18424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A7BD5A-A83B-41A9-86F3-504CDDC67D08}">
      <dsp:nvSpPr>
        <dsp:cNvPr id="0" name=""/>
        <dsp:cNvSpPr/>
      </dsp:nvSpPr>
      <dsp:spPr>
        <a:xfrm>
          <a:off x="3345967" y="976045"/>
          <a:ext cx="986346" cy="1774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Incident Response and Operational Resilience</a:t>
          </a:r>
        </a:p>
        <a:p>
          <a:pPr marL="0" lvl="0" indent="0" algn="ctr" defTabSz="488950">
            <a:lnSpc>
              <a:spcPct val="90000"/>
            </a:lnSpc>
            <a:spcBef>
              <a:spcPct val="0"/>
            </a:spcBef>
            <a:spcAft>
              <a:spcPct val="35000"/>
            </a:spcAft>
            <a:buNone/>
          </a:pPr>
          <a:r>
            <a:rPr lang="en-GB" sz="1100" kern="1200"/>
            <a:t> Month 5</a:t>
          </a:r>
        </a:p>
      </dsp:txBody>
      <dsp:txXfrm>
        <a:off x="3374856" y="1004934"/>
        <a:ext cx="928568" cy="1717022"/>
      </dsp:txXfrm>
    </dsp:sp>
    <dsp:sp modelId="{F5729F3B-AA27-4AD7-BE75-6B49AAAF0115}">
      <dsp:nvSpPr>
        <dsp:cNvPr id="0" name=""/>
        <dsp:cNvSpPr/>
      </dsp:nvSpPr>
      <dsp:spPr>
        <a:xfrm>
          <a:off x="4387111" y="584595"/>
          <a:ext cx="547970" cy="7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3F6F5F-A492-418F-83A3-1C1C0B9C7222}">
      <dsp:nvSpPr>
        <dsp:cNvPr id="0" name=""/>
        <dsp:cNvSpPr/>
      </dsp:nvSpPr>
      <dsp:spPr>
        <a:xfrm>
          <a:off x="4799929" y="449479"/>
          <a:ext cx="270303" cy="270303"/>
        </a:xfrm>
        <a:prstGeom prst="ellips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9" tIns="10489" rIns="10489" bIns="10489" numCol="1" spcCol="1270" anchor="ctr" anchorCtr="0">
          <a:noAutofit/>
        </a:bodyPr>
        <a:lstStyle/>
        <a:p>
          <a:pPr marL="0" lvl="0" indent="0" algn="ctr" defTabSz="622300">
            <a:lnSpc>
              <a:spcPct val="90000"/>
            </a:lnSpc>
            <a:spcBef>
              <a:spcPct val="0"/>
            </a:spcBef>
            <a:spcAft>
              <a:spcPct val="35000"/>
            </a:spcAft>
            <a:buNone/>
          </a:pPr>
          <a:r>
            <a:rPr lang="en-GB" sz="1400" kern="1200"/>
            <a:t>5</a:t>
          </a:r>
        </a:p>
      </dsp:txBody>
      <dsp:txXfrm>
        <a:off x="4839514" y="489064"/>
        <a:ext cx="191133" cy="191133"/>
      </dsp:txXfrm>
    </dsp:sp>
    <dsp:sp modelId="{D0358442-9559-4D18-8AA7-CBA3BFA1BFB8}">
      <dsp:nvSpPr>
        <dsp:cNvPr id="0" name=""/>
        <dsp:cNvSpPr/>
      </dsp:nvSpPr>
      <dsp:spPr>
        <a:xfrm>
          <a:off x="4935045" y="791773"/>
          <a:ext cx="72" cy="18427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C184A7F-407A-49FF-8E9D-225D68664341}">
      <dsp:nvSpPr>
        <dsp:cNvPr id="0" name=""/>
        <dsp:cNvSpPr/>
      </dsp:nvSpPr>
      <dsp:spPr>
        <a:xfrm>
          <a:off x="4441908" y="976045"/>
          <a:ext cx="986346" cy="1774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398" tIns="165100" rIns="17398" bIns="165100" numCol="1" spcCol="1270" anchor="t" anchorCtr="0">
          <a:noAutofit/>
        </a:bodyPr>
        <a:lstStyle/>
        <a:p>
          <a:pPr marL="0" lvl="0" indent="0" algn="ctr" defTabSz="488950">
            <a:lnSpc>
              <a:spcPct val="90000"/>
            </a:lnSpc>
            <a:spcBef>
              <a:spcPct val="0"/>
            </a:spcBef>
            <a:spcAft>
              <a:spcPct val="35000"/>
            </a:spcAft>
            <a:buNone/>
          </a:pPr>
          <a:r>
            <a:rPr lang="en-GB" sz="1100" kern="1200"/>
            <a:t>Audit and Continuous Improvement</a:t>
          </a:r>
        </a:p>
        <a:p>
          <a:pPr marL="0" lvl="0" indent="0" algn="ctr" defTabSz="488950">
            <a:lnSpc>
              <a:spcPct val="90000"/>
            </a:lnSpc>
            <a:spcBef>
              <a:spcPct val="0"/>
            </a:spcBef>
            <a:spcAft>
              <a:spcPct val="35000"/>
            </a:spcAft>
            <a:buNone/>
          </a:pPr>
          <a:r>
            <a:rPr lang="en-GB" sz="1100" kern="1200"/>
            <a:t>Month 6</a:t>
          </a:r>
        </a:p>
      </dsp:txBody>
      <dsp:txXfrm>
        <a:off x="4470797" y="1004934"/>
        <a:ext cx="928568" cy="171702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24/layout/NumberedLinearArrowProcess">
  <dgm:title val=""/>
  <dgm:desc val=""/>
  <dgm:catLst>
    <dgm:cat type="process" pri="1700"/>
  </dgm:catLst>
  <dgm:sampData>
    <dgm:dataModel>
      <dgm:ptLst>
        <dgm:pt modelId="0" type="doc"/>
        <dgm:pt modelId="1">
          <dgm:prSet phldr="1"/>
        </dgm:pt>
        <dgm:pt modelId="2">
          <dgm:prSet phldr="1"/>
        </dgm:pt>
        <dgm:pt modelId="3">
          <dgm:prSet phldr="1"/>
        </dgm:pt>
        <dgm:pt modelId="101" type="sibTrans" cxnId="{12D35BF3-DFB1-4B58-983B-8E2EEF05293B}">
          <dgm:prSet phldrT="1"/>
          <dgm:t>
            <a:bodyPr/>
            <a:lstStyle/>
            <a:p>
              <a:r>
                <a:t>1</a:t>
              </a:r>
            </a:p>
          </dgm:t>
        </dgm:pt>
        <dgm:pt modelId="201" type="sibTrans" cxnId="{659D5D3D-EFE6-4FC2-A9EF-C0878B7AB49D}">
          <dgm:prSet phldrT="2"/>
          <dgm:t>
            <a:bodyPr/>
            <a:lstStyle/>
            <a:p>
              <a:r>
                <a:t>2</a:t>
              </a:r>
            </a:p>
          </dgm:t>
        </dgm:pt>
        <dgm:pt modelId="301" type="sibTrans" cxnId="{1AE4BD6C-048C-4EFF-B366-8D98CC0A3931}">
          <dgm:prSet phldrT="3"/>
          <dgm:t>
            <a:bodyPr/>
            <a:lstStyle/>
            <a:p>
              <a:r>
                <a:t>3</a:t>
              </a:r>
            </a:p>
          </dgm:t>
        </dgm:pt>
      </dgm:ptLst>
      <dgm:cxnLst>
        <dgm:cxn modelId="4" srcId="0" destId="1" srcOrd="0" destOrd="0" sibTransId="101"/>
        <dgm:cxn modelId="5" srcId="0" destId="2" srcOrd="1" destOrd="0" sibTransId="201"/>
        <dgm:cxn modelId="6" srcId="0" destId="3" srcOrd="3" destOrd="0" sibTransId="301"/>
      </dgm:cxnLst>
      <dgm:bg/>
      <dgm:whole/>
    </dgm:dataModel>
  </dgm:sampData>
  <dgm:style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43" srcId="4" destId="41" srcOrd="0" destOrd="0"/>
      </dgm:cxnLst>
      <dgm:bg/>
      <dgm:whole/>
    </dgm:dataModel>
  </dgm:clrData>
  <dgm:layoutNode name="linearFlow">
    <dgm:varLst>
      <dgm:dir/>
      <dgm:animLvl val="lvl"/>
      <dgm:resizeHandles val="exact"/>
    </dgm:varLst>
    <dgm:choose name="dirChoose">
      <dgm:if name="dirNorm" func="var" arg="dir" op="equ" val="norm">
        <dgm:alg type="lin">
          <dgm:param type="linDir" val="fromL"/>
          <dgm:param type="nodeVertAlign" val="t"/>
        </dgm:alg>
      </dgm:if>
      <dgm:else name="dirRev">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op="equ"/>
      <dgm:constr type="w" for="ch" forName="sibTransComposite" refType="w" refFor="ch" refForName="compositeNode" fact="0"/>
      <dgm:constr type="w" for="des" forName="parTx"/>
      <dgm:constr type="h" for="des" forName="parTx" op="equ"/>
      <dgm:constr type="h" for="des" forName="parSh" op="equ"/>
      <dgm:constr type="w" for="des" forName="nodeText"/>
      <dgm:constr type="h" for="des" forName="nodeText" op="equ"/>
      <dgm:constr type="w" for="des" forName="parSh"/>
      <dgm:constr type="w" for="des" forName="parSh" op="equ"/>
      <dgm:constr type="primFontSz" for="des" forName="parTx" val="29"/>
      <dgm:constr type="primFontSz" for="des" forName="parTx" op="equ"/>
      <dgm:constr type="primFontSz" for="des" forName="parSh" op="equ"/>
      <dgm:constr type="primFontSz" for="des" forName="nodeText" op="equ"/>
      <dgm:constr type="secFontSz" for="des" forName="nodeText" op="equ"/>
      <dgm:constr type="primFontSz" for="des" forName="sibTransNodeCircle" op="equ"/>
      <dgm:constr type="h" for="des" forName="sibTransNodeCircle" op="equ"/>
      <dgm:constr type="w" for="des" forName="sibTransNodeCircle" op="equ"/>
      <dgm:constr type="h" for="des" forName="parTx" refType="primFontSz" refFor="des" refForName="parTx" fact="1.5"/>
      <dgm:constr type="h" for="ch" forName="compositeNode" refType="h"/>
      <dgm:constr type="h" for="des" forName="parSh" refType="w"/>
      <dgm:constr type="h" for="des" forName="nodeText" refType="primFontSz" refFor="des" refForName="parTx" fact="1.7"/>
      <dgm:constr type="h" for="des" forName="parSh" refType="h" refFor="des" refForName="parTx" op="lte" fact="1.2"/>
      <dgm:constr type="h" for="des" forName="parSh" refType="h" refFor="des" refForName="parTx" op="gte" fact="1.2"/>
    </dgm:constrLst>
    <dgm:ruleLst>
      <dgm:rule type="primFontSz" for="des" forName="parSh" val="5" fact="NaN" max="NaN"/>
    </dgm:ruleLst>
    <dgm:forEach name="Name3" axis="ch" ptType="node">
      <dgm:layoutNode name="compositeNode">
        <dgm:alg type="composite"/>
        <dgm:shape xmlns:r="http://schemas.openxmlformats.org/officeDocument/2006/relationships" r:blip="">
          <dgm:adjLst/>
        </dgm:shape>
        <dgm:presOf/>
        <dgm:choose name="Name004">
          <dgm:if name="Name5" axis="self" ptType="node" func="cnt" op="equ" val="0">
            <dgm:constrLst>
              <dgm:constr type="w" for="ch" forName="parTx" refType="w"/>
              <dgm:constr type="w" for="ch" forName="parSh" refType="w" refFor="ch" refForName="parTx"/>
              <dgm:constr type="w" for="ch" forName="nodeText" refType="w" refFor="ch" refForName="parTx"/>
              <dgm:constr type="ctrX" for="ch" forName="nodeText" refType="w" fact="0.5"/>
              <dgm:constr type="t" for="ch" forName="nodeText" refType="b" refFor="ch" refForName="parSh"/>
            </dgm:constrLst>
          </dgm:if>
          <dgm:else name="Name6">
            <dgm:constrLst>
              <dgm:constr type="w" for="ch" forName="parTx" refType="w"/>
              <dgm:constr type="w" for="ch" forName="parSh" refType="w" refFor="ch" refForName="parTx"/>
              <dgm:constr type="w" for="ch" forName="nodeText" refType="w" refFor="ch" refForName="parTx" fact="0.9"/>
              <dgm:constr type="ctrX" for="ch" forName="nodeText" refType="w" fact="0.5"/>
              <dgm:constr type="t" for="ch" forName="nodeText" refType="b" refFor="ch" refForName="parSh"/>
            </dgm:constrLst>
          </dgm:else>
        </dgm:choose>
        <dgm:ruleLst>
          <dgm:rule type="h" val="INF" fact="NaN" max="NaN"/>
        </dgm:ruleLst>
        <dgm:layoutNode name="parTx">
          <dgm:varLst>
            <dgm:chMax val="0"/>
            <dgm:chPref val="0"/>
            <dgm:bulletEnabled val="1"/>
          </dgm:varLst>
          <dgm:alg type="tx"/>
          <dgm:shape xmlns:r="http://schemas.openxmlformats.org/officeDocument/2006/relationships" type="rect" r:blip="" zOrderOff="1" hideGeom="1">
            <dgm:adjLst/>
          </dgm:shape>
          <dgm:presOf/>
          <dgm:constrLst>
            <dgm:constr type="h" refType="w" op="lte" fact="0.4"/>
            <dgm:constr type="h"/>
          </dgm:constrLst>
          <dgm:ruleLst>
            <dgm:rule type="h" val="INF" fact="NaN" max="NaN"/>
          </dgm:ruleLst>
        </dgm:layoutNode>
        <dgm:layoutNode name="parSh">
          <dgm:alg type="composite"/>
          <dgm:shape xmlns:r="http://schemas.openxmlformats.org/officeDocument/2006/relationships" r:blip="">
            <dgm:adjLst/>
          </dgm:shape>
          <dgm:presOf axis="self" ptType="node"/>
          <dgm:choose name="casesForFirstAndLastNode">
            <dgm:if name="ifFirstNode" axis="self" ptType="node" func="pos" op="equ" val="1">
              <dgm:choose name="removeLineWhenOnlyOneNode">
                <dgm:if name="ifOnlyOneNode" axis="followSib" ptType="node" func="cnt" op="equ" val="0">
                  <dgm:constrLst>
                    <dgm:constr type="h"/>
                    <dgm:constr type="h" for="ch" forName="lineNode" val="0.002"/>
                    <dgm:constr type="w" for="ch" forName="lineNode" refType="w" fact="0"/>
                    <dgm:constr type="w" for="ch" forName="lineArrowNode" refType="w" fact="0"/>
                    <dgm:constr type="h" for="ch" forName="lineArrowNode" refType="h" fact="0"/>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if>
                <dgm:else name="ifMoreThanOneNode">
                  <dgm:choose name="firstNodeDirChoose">
                    <dgm:if name="firstNodeDirNorm" func="var" arg="dir" op="equ" val="norm">
                      <dgm:constrLst>
                        <dgm:constr type="h"/>
                        <dgm:constr type="h" for="ch" forName="lineNode" val="0.002"/>
                        <dgm:constr type="w" for="ch" forName="lineNode" refType="w" fact="0.35"/>
                        <dgm:constr type="l" for="ch" forName="lineNode" refType="w" fact="0.55"/>
                        <dgm:constr type="w" for="ch" forName="lineArrowNode" refType="w" fact="0.046"/>
                        <dgm:constr type="h" for="ch" forName="lineArrowNode" refType="h" fact="0.18"/>
                        <dgm:constr type="l" for="ch" forName="lineArrowNode" refType="w" fact="0.87"/>
                        <dgm:constr type="t" for="ch" forName="lineArrowNode" refType="h" fact="0.165"/>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if>
                    <dgm:else name="firstNodeDirRev">
                      <dgm:constrLst>
                        <dgm:constr type="h"/>
                        <dgm:constr type="h" for="ch" forName="lineNode" val="0.002"/>
                        <dgm:constr type="w" for="ch" forName="lineNode" refType="w" fact="0.35"/>
                        <dgm:constr type="l" for="ch" forName="lineNode" refType="w" fact="0.1"/>
                        <dgm:constr type="w" for="ch" forName="lineArrowNode" refType="w" fact="0.046"/>
                        <dgm:constr type="h" for="ch" forName="lineArrowNode" refType="h" fact="0.18"/>
                        <dgm:constr type="l" for="ch" forName="lineArrowNode" refType="w" fact="0.084"/>
                        <dgm:constr type="t" for="ch" forName="lineArrowNode" refType="h" fact="0.165"/>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else>
                  </dgm:choose>
                </dgm:else>
              </dgm:choose>
            </dgm:if>
            <dgm:if name="ifLastNode" axis="self" ptType="node" func="revPos" op="equ" val="1">
              <dgm:choose name="lastNodeDirChoose">
                <dgm:if name="lastNodeDirNorm" func="var" arg="dir" op="equ" val="norm">
                  <dgm:constrLst>
                    <dgm:constr type="h"/>
                    <dgm:constr type="h" for="ch" forName="lineNode" val="0.002"/>
                    <dgm:constr type="w" for="ch" forName="lineNode" refType="w" fact="0.5"/>
                    <dgm:constr type="w" for="ch" forName="lineArrowNode" refType="w" fact="0"/>
                    <dgm:constr type="h" for="ch" forName="lineArrowNode" refType="h" fact="0"/>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if>
                <dgm:else name="lastNodeDirRev">
                  <dgm:constrLst>
                    <dgm:constr type="h"/>
                    <dgm:constr type="h" for="ch" forName="lineNode" val="0.002"/>
                    <dgm:constr type="w" for="ch" forName="lineNode" refType="w" fact="0.5"/>
                    <dgm:constr type="l" for="ch" forName="lineNode" refType="w" fact="0.5"/>
                    <dgm:constr type="w" for="ch" forName="lineArrowNode" refType="w" fact="0"/>
                    <dgm:constr type="h" for="ch" forName="lineArrowNode" refType="h" fact="0"/>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else>
              </dgm:choose>
            </dgm:if>
            <dgm:else name="allOtherNodes">
              <dgm:choose name="middleNodeDirChoose">
                <dgm:if name="middleNodeDirNorm" func="var" arg="dir" op="equ" val="norm">
                  <dgm:constrLst>
                    <dgm:constr type="h"/>
                    <dgm:constr type="h" for="ch" forName="lineNode" val="0.002"/>
                    <dgm:constr type="w" for="ch" forName="lineNode" refType="w" fact="0.9"/>
                    <dgm:constr type="w" for="ch" forName="lineArrowNode" refType="w" fact="0.046"/>
                    <dgm:constr type="h" for="ch" forName="lineArrowNode" refType="h" fact="0.18"/>
                    <dgm:constr type="l" for="ch" forName="lineArrowNode" refType="w" fact="0.87"/>
                    <dgm:constr type="t" for="ch" forName="lineArrowNode" refType="h" fact="0.165"/>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if>
                <dgm:else name="middleNodeDirRev">
                  <dgm:constrLst>
                    <dgm:constr type="h"/>
                    <dgm:constr type="h" for="ch" forName="lineNode" val="0.002"/>
                    <dgm:constr type="w" for="ch" forName="lineNode" refType="w" fact="0.9"/>
                    <dgm:constr type="l" for="ch" forName="lineNode" refType="w" fact="0.1"/>
                    <dgm:constr type="w" for="ch" forName="lineArrowNode" refType="w" fact="0.046"/>
                    <dgm:constr type="h" for="ch" forName="lineArrowNode" refType="h" fact="0.18"/>
                    <dgm:constr type="l" for="ch" forName="lineArrowNode" refType="w" fact="0.084"/>
                    <dgm:constr type="t" for="ch" forName="lineArrowNode" refType="h" fact="0.165"/>
                    <dgm:constr type="ctrY" for="ch" forName="lineNode" refType="ctrY" refFor="ch" refForName="sibTransNodeCircle"/>
                    <dgm:constr type="h" for="ch" forName="sibTransNodeCircle" refType="h" fact="0.608"/>
                    <dgm:constr type="h" for="ch" forName="sibTransNodeCircle" refType="w" op="lte" fact="0.54"/>
                    <dgm:constr type="w" for="ch" forName="sibTransNodeCircle" refType="h" refFor="ch" refForName="sibTransNodeCircle"/>
                    <dgm:constr type="ctrX" for="ch" forName="sibTransNodeCircle" refType="w" fact="0.5"/>
                    <dgm:constr type="ctrY" for="ch" forName="sibTransNodeCircle" refType="h" fact="0.25"/>
                    <dgm:constr type="t" for="ch" forName="spacerBetweenCircleAndCallout" refType="b" refFor="ch" refForName="sibTransNodeCircle"/>
                    <dgm:constr type="h" for="ch" forName="spacerBetweenCircleAndCallout" val="2"/>
                    <dgm:constr type="t" for="ch" forName="verticalConnector" refType="b" refFor="ch" refForName="spacerBetweenCircleAndCallout"/>
                    <dgm:constr type="h" for="ch" forName="verticalConnector" refType="h" fact="0.35"/>
                    <dgm:constr type="w" for="ch" forName="verticalConnector" val="0.002"/>
                    <dgm:constr type="ctrX" for="ch" forName="verticalConnector" refType="ctrX" refFor="ch" refForName="sibTransNodeCircle"/>
                  </dgm:constrLst>
                </dgm:else>
              </dgm:choose>
            </dgm:else>
          </dgm:choose>
          <dgm:layoutNode name="lineNode" styleLbl="alignNode1">
            <dgm:alg type="sp"/>
            <dgm:shape xmlns:r="http://schemas.openxmlformats.org/officeDocument/2006/relationships" type="rect" r:blip="">
              <dgm:adjLst/>
            </dgm:shape>
            <dgm:presOf/>
            <dgm:constrLst/>
            <dgm:ruleLst/>
          </dgm:layoutNode>
          <dgm:layoutNode name="lineArrowNode" styleLbl="alignNode1">
            <dgm:alg type="sp"/>
            <dgm:choose name="arrowDirChoose">
              <dgm:if name="arrowNorm" func="var" arg="dir" op="equ" val="norm">
                <dgm:shape xmlns:r="http://schemas.openxmlformats.org/officeDocument/2006/relationships" type="chevron" r:blip="">
                  <dgm:adjLst>
                    <dgm:adj idx="1" val="0.9"/>
                  </dgm:adjLst>
                </dgm:shape>
              </dgm:if>
              <dgm:else name="arrowRev">
                <dgm:shape xmlns:r="http://schemas.openxmlformats.org/officeDocument/2006/relationships" rot="180" type="chevron" r:blip="">
                  <dgm:adjLst>
                    <dgm:adj idx="1" val="0.9"/>
                  </dgm:adjLst>
                </dgm:shape>
              </dgm:else>
            </dgm:choose>
            <dgm:presOf axis="self" ptType="node"/>
            <dgm:ruleLst/>
          </dgm:layoutNode>
          <dgm:forEach name="Name19" axis="followSib" ptType="sibTrans" hideLastTrans="0" cnt="1">
            <dgm:layoutNode name="sibTransNodeCircle" styleLbl="alignNode1">
              <dgm:varLst>
                <dgm:chMax val="0"/>
                <dgm:bulletEnabled/>
              </dgm:varLst>
              <dgm:presOf axis="self" ptType="sibTrans"/>
              <dgm:alg type="tx">
                <dgm:param type="txAnchorVert" val="mid"/>
                <dgm:param type="txAnchorHorzCh" val="ctr"/>
                <dgm:param type="parTxRTLAlign" val="l"/>
              </dgm:alg>
              <dgm:shape xmlns:r="http://schemas.openxmlformats.org/officeDocument/2006/relationships" type="ellipse" r:blip="">
                <dgm:adjLst/>
              </dgm:shape>
              <dgm:constrLst>
                <dgm:constr type="w" refType="h" op="equ"/>
                <dgm:constr type="primFontSz" val="60"/>
                <dgm:constr type="tMarg" refType="w" fact="0.11"/>
                <dgm:constr type="lMarg" refType="w" fact="0.11"/>
                <dgm:constr type="rMarg" refType="w" fact="0.11"/>
                <dgm:constr type="bMarg" refType="w" fact="0.11"/>
              </dgm:constrLst>
              <dgm:ruleLst>
                <dgm:rule type="primFontSz" val="14" fact="NaN" max="NaN"/>
              </dgm:ruleLst>
            </dgm:layoutNode>
            <dgm:layoutNode name="spacerBetweenCircleAndCallout">
              <dgm:varLst/>
              <dgm:presOf/>
              <dgm:alg type="sp"/>
              <dgm:shape xmlns:r="http://schemas.openxmlformats.org/officeDocument/2006/relationships" r:blip="">
                <dgm:adjLst/>
              </dgm:shape>
              <dgm:constrLst/>
              <dgm:ruleLst/>
            </dgm:layoutNode>
            <dgm:layoutNode name="verticalConnector" styleLbl="alignAccFollowNode1">
              <dgm:alg type="sp"/>
              <dgm:shape xmlns:r="http://schemas.openxmlformats.org/officeDocument/2006/relationships" type="rect" r:blip="">
                <dgm:adjLst/>
              </dgm:shape>
              <dgm:presOf/>
              <dgm:constrLst/>
              <dgm:ruleLst/>
            </dgm:layoutNode>
          </dgm:forEach>
          <dgm:presOf/>
          <dgm:ruleLst/>
        </dgm:layoutNode>
        <dgm:layoutNode name="nodeText" styleLbl="fgAcc1">
          <dgm:varLst>
            <dgm:bulletEnabled val="1"/>
          </dgm:varLst>
          <dgm:alg type="tx">
            <dgm:param type="parTxLTRAlign" val="ctr"/>
            <dgm:param type="parTxRTLAlign" val="r"/>
            <dgm:param type="txAnchorVert" val="t"/>
          </dgm:alg>
          <dgm:shape xmlns:r="http://schemas.openxmlformats.org/officeDocument/2006/relationships" type="roundRect" r:blip="">
            <dgm:adjLst>
              <dgm:adj idx="1" val="0.1"/>
            </dgm:adjLst>
          </dgm:shape>
          <dgm:presOf axis="desOrSelf" ptType="node"/>
          <dgm:constrLst>
            <dgm:constr type="secFontSz" val="16"/>
            <dgm:constr type="primFontSz" val="18"/>
            <dgm:constr type="h"/>
            <dgm:constr type="tMarg" val="13"/>
            <dgm:constr type="lMarg" refType="w" fact="0.05"/>
            <dgm:constr type="rMarg" refType="w" fact="0.05"/>
            <dgm:constr type="bMarg" val="13"/>
          </dgm:constrLst>
          <dgm:ruleLst>
            <dgm:rule type="secFontSz" val="11" fact="NaN" max="NaN"/>
            <dgm:rule type="primFontSz" val="11" fact="NaN" max="NaN"/>
            <dgm:rule type="h" val="INF" fact="NaN" max="NaN"/>
          </dgm:ruleLst>
        </dgm:layoutNode>
      </dgm:layoutNode>
      <dgm:forEach name="sibTransForEach" axis="followSib" ptType="sibTrans" cnt="1">
        <dgm:layoutNode name="sibTransComposite" styleLbl="alignAccFollowNode1">
          <dgm:alg type="sp"/>
          <dgm:shape xmlns:r="http://schemas.openxmlformats.org/officeDocument/2006/relationships" r:blip="">
            <dgm:adjLst/>
          </dgm:shape>
          <dgm:ruleLst/>
        </dgm:layoutNode>
        <dgm:ruleLst>
          <dgm:rule type="h" val="INF" fact="NaN" max="NaN"/>
        </dgm:ruleLst>
      </dgm:forEach>
    </dgm:forEach>
  </dgm:layoutNode>
  <dgm:extLst>
    <a:ext uri="{4F341089-5ED1-44EC-B178-C955D00A3D55}">
      <dgm1611:autoBuNodeInfoLst xmlns:dgm1611="http://schemas.microsoft.com/office/drawing/2016/11/diagram">
        <dgm1611:autoBuNodeInfo lvl="1" ptType="sibTrans">
          <dgm1611:buPr prefix="" leadZeros="0">
            <a:buAutoNum type="arabicParenBoth"/>
          </dgm1611:buPr>
        </dgm1611:autoBuNodeInfo>
      </dgm1611:autoBuNodeInfoLst>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2426155@student.uwtsd.ac.uk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484338-5252-49C7-8D36-80431F0B1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6111</Words>
  <Characters>34837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Software Engineering</Company>
  <LinksUpToDate>false</LinksUpToDate>
  <CharactersWithSpaces>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and Security Compliance (ACCA5034)</dc:subject>
  <dc:creator>Callum Wallis-Evans</dc:creator>
  <cp:keywords/>
  <dc:description/>
  <cp:lastModifiedBy>Callum Wallis-Evans</cp:lastModifiedBy>
  <cp:revision>19</cp:revision>
  <dcterms:created xsi:type="dcterms:W3CDTF">2026-07-11T14:41:00Z</dcterms:created>
  <dcterms:modified xsi:type="dcterms:W3CDTF">2026-07-28T13:41:00Z</dcterms:modified>
</cp:coreProperties>
</file>