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87F696" w14:textId="7C39FADE" w:rsidR="00911E81" w:rsidRDefault="003104A8" w:rsidP="00334FE5">
      <w:pPr>
        <w:pStyle w:val="Title"/>
        <w:spacing w:line="360" w:lineRule="auto"/>
        <w:rPr>
          <w:rFonts w:ascii="Times New Roman" w:hAnsi="Times New Roman" w:cs="Times New Roman"/>
          <w:color w:val="auto"/>
          <w:sz w:val="32"/>
          <w:szCs w:val="32"/>
        </w:rPr>
      </w:pPr>
      <w:r w:rsidRPr="00937286">
        <w:rPr>
          <w:rFonts w:ascii="Times New Roman" w:hAnsi="Times New Roman" w:cs="Times New Roman"/>
          <w:color w:val="auto"/>
          <w:sz w:val="32"/>
          <w:szCs w:val="32"/>
        </w:rPr>
        <w:t>SICKLE CELL DISEASE</w:t>
      </w:r>
    </w:p>
    <w:p w14:paraId="72741E3A" w14:textId="6ABCC13D" w:rsidR="00937286" w:rsidRPr="00080A5B" w:rsidRDefault="00937286" w:rsidP="00334FE5">
      <w:pPr>
        <w:spacing w:before="0" w:after="160" w:line="360" w:lineRule="auto"/>
        <w:jc w:val="center"/>
        <w:rPr>
          <w:rFonts w:eastAsia="Calibri" w:cs="Times New Roman"/>
          <w:kern w:val="2"/>
          <w:lang w:val="en-IN"/>
        </w:rPr>
      </w:pPr>
      <w:r w:rsidRPr="00080A5B">
        <w:rPr>
          <w:rFonts w:eastAsia="Calibri" w:cs="Times New Roman"/>
          <w:b/>
          <w:bCs/>
          <w:kern w:val="2"/>
          <w:lang w:val="en-IN"/>
        </w:rPr>
        <w:t>Student Name:</w:t>
      </w:r>
      <w:r w:rsidRPr="00080A5B">
        <w:rPr>
          <w:rFonts w:eastAsia="Calibri" w:cs="Times New Roman"/>
          <w:kern w:val="2"/>
          <w:lang w:val="en-IN"/>
        </w:rPr>
        <w:t xml:space="preserve"> </w:t>
      </w:r>
      <w:r w:rsidR="00BE6E77">
        <w:rPr>
          <w:rFonts w:eastAsia="Calibri" w:cs="Times New Roman"/>
          <w:kern w:val="2"/>
          <w:lang w:val="en-IN"/>
        </w:rPr>
        <w:t>Ashok</w:t>
      </w:r>
      <w:r w:rsidR="00841E56">
        <w:rPr>
          <w:rFonts w:eastAsia="Calibri" w:cs="Times New Roman"/>
          <w:kern w:val="2"/>
          <w:lang w:val="en-IN"/>
        </w:rPr>
        <w:t xml:space="preserve"> </w:t>
      </w:r>
      <w:r w:rsidR="006C631C">
        <w:rPr>
          <w:rFonts w:eastAsia="Calibri" w:cs="Times New Roman"/>
          <w:kern w:val="2"/>
          <w:lang w:val="en-IN"/>
        </w:rPr>
        <w:t xml:space="preserve">Bharat Patel </w:t>
      </w:r>
      <w:r w:rsidRPr="00080A5B">
        <w:rPr>
          <w:rFonts w:eastAsia="Calibri" w:cs="Times New Roman"/>
          <w:kern w:val="2"/>
          <w:lang w:val="en-IN"/>
        </w:rPr>
        <w:br/>
      </w:r>
      <w:r w:rsidRPr="00080A5B">
        <w:rPr>
          <w:rFonts w:eastAsia="Calibri" w:cs="Times New Roman"/>
          <w:b/>
          <w:bCs/>
          <w:kern w:val="2"/>
          <w:lang w:val="en-IN"/>
        </w:rPr>
        <w:t>Student ID Number:</w:t>
      </w:r>
      <w:r w:rsidRPr="00080A5B">
        <w:rPr>
          <w:rFonts w:eastAsia="Calibri" w:cs="Times New Roman"/>
          <w:kern w:val="2"/>
          <w:lang w:val="en-IN"/>
        </w:rPr>
        <w:t xml:space="preserve"> </w:t>
      </w:r>
      <w:r w:rsidR="00C85690">
        <w:rPr>
          <w:rFonts w:eastAsia="Calibri" w:cs="Times New Roman"/>
          <w:kern w:val="2"/>
          <w:lang w:val="en-IN"/>
        </w:rPr>
        <w:t>25</w:t>
      </w:r>
      <w:r w:rsidR="00E03AB3">
        <w:rPr>
          <w:rFonts w:eastAsia="Calibri" w:cs="Times New Roman"/>
          <w:kern w:val="2"/>
          <w:lang w:val="en-IN"/>
        </w:rPr>
        <w:t>32</w:t>
      </w:r>
      <w:r w:rsidR="00AF0F7A">
        <w:rPr>
          <w:rFonts w:eastAsia="Calibri" w:cs="Times New Roman"/>
          <w:kern w:val="2"/>
          <w:lang w:val="en-IN"/>
        </w:rPr>
        <w:t>746</w:t>
      </w:r>
    </w:p>
    <w:p w14:paraId="6BB88570" w14:textId="77777777" w:rsidR="00937286" w:rsidRPr="00080A5B" w:rsidRDefault="00937286" w:rsidP="00334FE5">
      <w:pPr>
        <w:spacing w:before="0" w:after="160" w:line="360" w:lineRule="auto"/>
        <w:jc w:val="center"/>
        <w:rPr>
          <w:rFonts w:eastAsia="Calibri" w:cs="Times New Roman"/>
          <w:kern w:val="2"/>
          <w:lang w:val="en-IN"/>
        </w:rPr>
      </w:pPr>
      <w:r w:rsidRPr="00080A5B">
        <w:rPr>
          <w:rFonts w:eastAsia="Calibri" w:cs="Times New Roman"/>
          <w:b/>
          <w:bCs/>
          <w:kern w:val="2"/>
          <w:lang w:val="en-IN"/>
        </w:rPr>
        <w:t>Programme:</w:t>
      </w:r>
      <w:r w:rsidRPr="00080A5B">
        <w:rPr>
          <w:rFonts w:eastAsia="Calibri" w:cs="Times New Roman"/>
          <w:kern w:val="2"/>
          <w:lang w:val="en-IN"/>
        </w:rPr>
        <w:t xml:space="preserve"> MSc Public Health and Social Care in Practice</w:t>
      </w:r>
      <w:r w:rsidRPr="00080A5B">
        <w:rPr>
          <w:rFonts w:eastAsia="Calibri" w:cs="Times New Roman"/>
          <w:kern w:val="2"/>
          <w:lang w:val="en-IN"/>
        </w:rPr>
        <w:br/>
      </w:r>
      <w:r w:rsidRPr="00080A5B">
        <w:rPr>
          <w:rFonts w:eastAsia="Calibri" w:cs="Times New Roman"/>
          <w:b/>
          <w:bCs/>
          <w:kern w:val="2"/>
          <w:lang w:val="en-IN"/>
        </w:rPr>
        <w:t>Module:</w:t>
      </w:r>
      <w:r w:rsidRPr="00080A5B">
        <w:rPr>
          <w:rFonts w:eastAsia="Calibri" w:cs="Times New Roman"/>
          <w:kern w:val="2"/>
          <w:lang w:val="en-IN"/>
        </w:rPr>
        <w:t xml:space="preserve"> Community Care and Management of Longer-term Conditions</w:t>
      </w:r>
      <w:r w:rsidRPr="00080A5B">
        <w:rPr>
          <w:rFonts w:eastAsia="Calibri" w:cs="Times New Roman"/>
          <w:kern w:val="2"/>
          <w:lang w:val="en-IN"/>
        </w:rPr>
        <w:br/>
      </w:r>
      <w:r w:rsidRPr="00080A5B">
        <w:rPr>
          <w:rFonts w:eastAsia="Calibri" w:cs="Times New Roman"/>
          <w:b/>
          <w:bCs/>
          <w:kern w:val="2"/>
          <w:lang w:val="en-IN"/>
        </w:rPr>
        <w:t>Module Code:</w:t>
      </w:r>
      <w:r w:rsidRPr="00080A5B">
        <w:rPr>
          <w:rFonts w:eastAsia="Calibri" w:cs="Times New Roman"/>
          <w:kern w:val="2"/>
          <w:lang w:val="en-IN"/>
        </w:rPr>
        <w:t xml:space="preserve"> LCHS7003</w:t>
      </w:r>
    </w:p>
    <w:p w14:paraId="20E408F5" w14:textId="26FC683E" w:rsidR="00937286" w:rsidRPr="00080A5B" w:rsidRDefault="00937286" w:rsidP="00334FE5">
      <w:pPr>
        <w:spacing w:before="0" w:after="160" w:line="360" w:lineRule="auto"/>
        <w:jc w:val="center"/>
        <w:rPr>
          <w:rFonts w:eastAsia="Calibri" w:cs="Times New Roman"/>
          <w:kern w:val="2"/>
          <w:lang w:val="en-IN"/>
        </w:rPr>
      </w:pPr>
      <w:r w:rsidRPr="00080A5B">
        <w:rPr>
          <w:rFonts w:eastAsia="Calibri" w:cs="Times New Roman"/>
          <w:b/>
          <w:bCs/>
          <w:kern w:val="2"/>
          <w:lang w:val="en-IN"/>
        </w:rPr>
        <w:t>Lecturer:</w:t>
      </w:r>
      <w:r w:rsidRPr="00080A5B">
        <w:rPr>
          <w:rFonts w:eastAsia="Calibri" w:cs="Times New Roman"/>
          <w:kern w:val="2"/>
          <w:lang w:val="en-IN"/>
        </w:rPr>
        <w:t xml:space="preserve"> </w:t>
      </w:r>
      <w:r w:rsidR="00100180">
        <w:rPr>
          <w:rFonts w:eastAsia="Calibri" w:cs="Times New Roman"/>
          <w:kern w:val="2"/>
          <w:lang w:val="en-IN"/>
        </w:rPr>
        <w:t xml:space="preserve">AISHAT </w:t>
      </w:r>
      <w:r w:rsidR="00AC3E65">
        <w:rPr>
          <w:rFonts w:eastAsia="Calibri" w:cs="Times New Roman"/>
          <w:kern w:val="2"/>
          <w:lang w:val="en-IN"/>
        </w:rPr>
        <w:t>BAK</w:t>
      </w:r>
      <w:r w:rsidR="00AD65AB">
        <w:rPr>
          <w:rFonts w:eastAsia="Calibri" w:cs="Times New Roman"/>
          <w:kern w:val="2"/>
          <w:lang w:val="en-IN"/>
        </w:rPr>
        <w:t>RE</w:t>
      </w:r>
    </w:p>
    <w:p w14:paraId="67386ECD" w14:textId="404D172B" w:rsidR="00937286" w:rsidRPr="00080A5B" w:rsidRDefault="00937286" w:rsidP="00334FE5">
      <w:pPr>
        <w:spacing w:before="0" w:after="160" w:line="360" w:lineRule="auto"/>
        <w:jc w:val="center"/>
        <w:rPr>
          <w:rFonts w:eastAsia="Calibri" w:cs="Times New Roman"/>
          <w:kern w:val="2"/>
          <w:lang w:val="en-IN"/>
        </w:rPr>
      </w:pPr>
      <w:r w:rsidRPr="00080A5B">
        <w:rPr>
          <w:rFonts w:eastAsia="Calibri" w:cs="Times New Roman"/>
          <w:b/>
          <w:bCs/>
          <w:kern w:val="2"/>
          <w:lang w:val="en-IN"/>
        </w:rPr>
        <w:t>Submission Date:</w:t>
      </w:r>
      <w:r w:rsidRPr="00080A5B">
        <w:rPr>
          <w:rFonts w:eastAsia="Calibri" w:cs="Times New Roman"/>
          <w:kern w:val="2"/>
          <w:lang w:val="en-IN"/>
        </w:rPr>
        <w:t xml:space="preserve"> </w:t>
      </w:r>
      <w:r w:rsidR="00761D69">
        <w:rPr>
          <w:rFonts w:eastAsia="Calibri" w:cs="Times New Roman"/>
          <w:kern w:val="2"/>
          <w:lang w:val="en-IN"/>
        </w:rPr>
        <w:t>26</w:t>
      </w:r>
      <w:r w:rsidR="006C45CB">
        <w:rPr>
          <w:rFonts w:eastAsia="Calibri" w:cs="Times New Roman"/>
          <w:kern w:val="2"/>
          <w:lang w:val="en-IN"/>
        </w:rPr>
        <w:t>/</w:t>
      </w:r>
      <w:r w:rsidR="00370D50">
        <w:rPr>
          <w:rFonts w:eastAsia="Calibri" w:cs="Times New Roman"/>
          <w:kern w:val="2"/>
          <w:lang w:val="en-IN"/>
        </w:rPr>
        <w:t>6/2026</w:t>
      </w:r>
    </w:p>
    <w:p w14:paraId="7AFF9978" w14:textId="77777777" w:rsidR="00937286" w:rsidRDefault="00937286" w:rsidP="00334FE5">
      <w:pPr>
        <w:spacing w:before="0" w:after="160" w:line="360" w:lineRule="auto"/>
        <w:jc w:val="center"/>
        <w:rPr>
          <w:rFonts w:eastAsia="Calibri" w:cs="Times New Roman"/>
          <w:kern w:val="2"/>
          <w:lang w:val="en-IN"/>
        </w:rPr>
      </w:pPr>
      <w:r w:rsidRPr="00080A5B">
        <w:rPr>
          <w:rFonts w:eastAsia="Calibri" w:cs="Times New Roman"/>
          <w:b/>
          <w:bCs/>
          <w:kern w:val="2"/>
          <w:lang w:val="en-IN"/>
        </w:rPr>
        <w:t>Word Count:</w:t>
      </w:r>
      <w:r w:rsidRPr="00080A5B">
        <w:rPr>
          <w:rFonts w:eastAsia="Calibri" w:cs="Times New Roman"/>
          <w:kern w:val="2"/>
          <w:lang w:val="en-IN"/>
        </w:rPr>
        <w:t xml:space="preserve"> 3000</w:t>
      </w:r>
    </w:p>
    <w:p w14:paraId="78766E58" w14:textId="77777777" w:rsidR="00937286" w:rsidRPr="00937286" w:rsidRDefault="00937286" w:rsidP="00334FE5">
      <w:pPr>
        <w:pStyle w:val="BodyText"/>
        <w:spacing w:line="360" w:lineRule="auto"/>
        <w:rPr>
          <w:lang w:val="en-IN"/>
        </w:rPr>
      </w:pPr>
    </w:p>
    <w:p w14:paraId="5DBAE822" w14:textId="3234127B" w:rsidR="00121101" w:rsidRPr="00937286" w:rsidRDefault="005948EF" w:rsidP="001459A1">
      <w:pPr>
        <w:spacing w:before="0" w:after="200" w:line="360" w:lineRule="auto"/>
        <w:jc w:val="center"/>
        <w:rPr>
          <w:rFonts w:cs="Times New Roman"/>
          <w:b/>
          <w:bCs/>
        </w:rPr>
      </w:pPr>
      <w:r>
        <w:rPr>
          <w:rFonts w:cs="Times New Roman"/>
          <w:b/>
          <w:bCs/>
          <w:noProof/>
        </w:rPr>
        <w:drawing>
          <wp:inline distT="0" distB="0" distL="0" distR="0" wp14:anchorId="009D764D" wp14:editId="382E6049">
            <wp:extent cx="4697730" cy="3131820"/>
            <wp:effectExtent l="0" t="0" r="0" b="0"/>
            <wp:docPr id="9928907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97730" cy="3131820"/>
                    </a:xfrm>
                    <a:prstGeom prst="rect">
                      <a:avLst/>
                    </a:prstGeom>
                    <a:noFill/>
                  </pic:spPr>
                </pic:pic>
              </a:graphicData>
            </a:graphic>
          </wp:inline>
        </w:drawing>
      </w:r>
      <w:r w:rsidR="00121101" w:rsidRPr="00937286">
        <w:rPr>
          <w:rFonts w:cs="Times New Roman"/>
          <w:b/>
          <w:bCs/>
        </w:rPr>
        <w:br w:type="page"/>
      </w:r>
    </w:p>
    <w:sdt>
      <w:sdtPr>
        <w:rPr>
          <w:rFonts w:ascii="Times New Roman" w:eastAsiaTheme="minorHAnsi" w:hAnsi="Times New Roman" w:cs="Times New Roman"/>
          <w:b/>
          <w:bCs/>
          <w:color w:val="auto"/>
          <w:szCs w:val="24"/>
        </w:rPr>
        <w:id w:val="445434581"/>
        <w:docPartObj>
          <w:docPartGallery w:val="Table of Contents"/>
          <w:docPartUnique/>
        </w:docPartObj>
      </w:sdtPr>
      <w:sdtEndPr>
        <w:rPr>
          <w:noProof/>
        </w:rPr>
      </w:sdtEndPr>
      <w:sdtContent>
        <w:p w14:paraId="356179C5" w14:textId="38EF857A" w:rsidR="00121101" w:rsidRPr="00937286" w:rsidRDefault="00121101" w:rsidP="00334FE5">
          <w:pPr>
            <w:pStyle w:val="TOCHeading"/>
            <w:spacing w:line="360" w:lineRule="auto"/>
            <w:jc w:val="center"/>
            <w:rPr>
              <w:rFonts w:ascii="Times New Roman" w:hAnsi="Times New Roman" w:cs="Times New Roman"/>
              <w:b/>
              <w:bCs/>
              <w:color w:val="auto"/>
            </w:rPr>
          </w:pPr>
          <w:r w:rsidRPr="00937286">
            <w:rPr>
              <w:rFonts w:ascii="Times New Roman" w:hAnsi="Times New Roman" w:cs="Times New Roman"/>
              <w:b/>
              <w:bCs/>
              <w:color w:val="auto"/>
            </w:rPr>
            <w:t>Table of Contents</w:t>
          </w:r>
        </w:p>
        <w:p w14:paraId="08ACB5A6" w14:textId="6B9F27E7" w:rsidR="00334FE5" w:rsidRDefault="00121101"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r w:rsidRPr="00937286">
            <w:rPr>
              <w:rFonts w:cs="Times New Roman"/>
            </w:rPr>
            <w:fldChar w:fldCharType="begin"/>
          </w:r>
          <w:r w:rsidRPr="00937286">
            <w:rPr>
              <w:rFonts w:cs="Times New Roman"/>
            </w:rPr>
            <w:instrText xml:space="preserve"> TOC \o "1-3" \h \z \u </w:instrText>
          </w:r>
          <w:r w:rsidRPr="00937286">
            <w:rPr>
              <w:rFonts w:cs="Times New Roman"/>
            </w:rPr>
            <w:fldChar w:fldCharType="separate"/>
          </w:r>
          <w:hyperlink w:anchor="_Toc233280370" w:history="1">
            <w:r w:rsidR="00334FE5" w:rsidRPr="003E709A">
              <w:rPr>
                <w:rStyle w:val="Hyperlink"/>
                <w:noProof/>
              </w:rPr>
              <w:t>Definition</w:t>
            </w:r>
            <w:r w:rsidR="00334FE5">
              <w:rPr>
                <w:noProof/>
                <w:webHidden/>
              </w:rPr>
              <w:tab/>
            </w:r>
            <w:r w:rsidR="00334FE5">
              <w:rPr>
                <w:noProof/>
                <w:webHidden/>
              </w:rPr>
              <w:fldChar w:fldCharType="begin"/>
            </w:r>
            <w:r w:rsidR="00334FE5">
              <w:rPr>
                <w:noProof/>
                <w:webHidden/>
              </w:rPr>
              <w:instrText xml:space="preserve"> PAGEREF _Toc233280370 \h </w:instrText>
            </w:r>
            <w:r w:rsidR="00334FE5">
              <w:rPr>
                <w:noProof/>
                <w:webHidden/>
              </w:rPr>
            </w:r>
            <w:r w:rsidR="00334FE5">
              <w:rPr>
                <w:noProof/>
                <w:webHidden/>
              </w:rPr>
              <w:fldChar w:fldCharType="separate"/>
            </w:r>
            <w:r w:rsidR="00334FE5">
              <w:rPr>
                <w:noProof/>
                <w:webHidden/>
              </w:rPr>
              <w:t>3</w:t>
            </w:r>
            <w:r w:rsidR="00334FE5">
              <w:rPr>
                <w:noProof/>
                <w:webHidden/>
              </w:rPr>
              <w:fldChar w:fldCharType="end"/>
            </w:r>
          </w:hyperlink>
        </w:p>
        <w:p w14:paraId="64C14485" w14:textId="25CBF96D"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1" w:history="1">
            <w:r w:rsidRPr="003E709A">
              <w:rPr>
                <w:rStyle w:val="Hyperlink"/>
                <w:noProof/>
              </w:rPr>
              <w:t>Aetiology &amp; Pathophysiology</w:t>
            </w:r>
            <w:r>
              <w:rPr>
                <w:noProof/>
                <w:webHidden/>
              </w:rPr>
              <w:tab/>
            </w:r>
            <w:r>
              <w:rPr>
                <w:noProof/>
                <w:webHidden/>
              </w:rPr>
              <w:fldChar w:fldCharType="begin"/>
            </w:r>
            <w:r>
              <w:rPr>
                <w:noProof/>
                <w:webHidden/>
              </w:rPr>
              <w:instrText xml:space="preserve"> PAGEREF _Toc233280371 \h </w:instrText>
            </w:r>
            <w:r>
              <w:rPr>
                <w:noProof/>
                <w:webHidden/>
              </w:rPr>
            </w:r>
            <w:r>
              <w:rPr>
                <w:noProof/>
                <w:webHidden/>
              </w:rPr>
              <w:fldChar w:fldCharType="separate"/>
            </w:r>
            <w:r>
              <w:rPr>
                <w:noProof/>
                <w:webHidden/>
              </w:rPr>
              <w:t>4</w:t>
            </w:r>
            <w:r>
              <w:rPr>
                <w:noProof/>
                <w:webHidden/>
              </w:rPr>
              <w:fldChar w:fldCharType="end"/>
            </w:r>
          </w:hyperlink>
        </w:p>
        <w:p w14:paraId="656E8A64" w14:textId="4F0D0F27"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2" w:history="1">
            <w:r w:rsidRPr="003E709A">
              <w:rPr>
                <w:rStyle w:val="Hyperlink"/>
                <w:noProof/>
              </w:rPr>
              <w:t>Epidemiology &amp; Burden</w:t>
            </w:r>
            <w:r>
              <w:rPr>
                <w:noProof/>
                <w:webHidden/>
              </w:rPr>
              <w:tab/>
            </w:r>
            <w:r>
              <w:rPr>
                <w:noProof/>
                <w:webHidden/>
              </w:rPr>
              <w:fldChar w:fldCharType="begin"/>
            </w:r>
            <w:r>
              <w:rPr>
                <w:noProof/>
                <w:webHidden/>
              </w:rPr>
              <w:instrText xml:space="preserve"> PAGEREF _Toc233280372 \h </w:instrText>
            </w:r>
            <w:r>
              <w:rPr>
                <w:noProof/>
                <w:webHidden/>
              </w:rPr>
            </w:r>
            <w:r>
              <w:rPr>
                <w:noProof/>
                <w:webHidden/>
              </w:rPr>
              <w:fldChar w:fldCharType="separate"/>
            </w:r>
            <w:r>
              <w:rPr>
                <w:noProof/>
                <w:webHidden/>
              </w:rPr>
              <w:t>5</w:t>
            </w:r>
            <w:r>
              <w:rPr>
                <w:noProof/>
                <w:webHidden/>
              </w:rPr>
              <w:fldChar w:fldCharType="end"/>
            </w:r>
          </w:hyperlink>
        </w:p>
        <w:p w14:paraId="5CC003A1" w14:textId="1C7AFC34"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3" w:history="1">
            <w:r w:rsidRPr="003E709A">
              <w:rPr>
                <w:rStyle w:val="Hyperlink"/>
                <w:noProof/>
              </w:rPr>
              <w:t>Risk Factors</w:t>
            </w:r>
            <w:r>
              <w:rPr>
                <w:noProof/>
                <w:webHidden/>
              </w:rPr>
              <w:tab/>
            </w:r>
            <w:r>
              <w:rPr>
                <w:noProof/>
                <w:webHidden/>
              </w:rPr>
              <w:fldChar w:fldCharType="begin"/>
            </w:r>
            <w:r>
              <w:rPr>
                <w:noProof/>
                <w:webHidden/>
              </w:rPr>
              <w:instrText xml:space="preserve"> PAGEREF _Toc233280373 \h </w:instrText>
            </w:r>
            <w:r>
              <w:rPr>
                <w:noProof/>
                <w:webHidden/>
              </w:rPr>
            </w:r>
            <w:r>
              <w:rPr>
                <w:noProof/>
                <w:webHidden/>
              </w:rPr>
              <w:fldChar w:fldCharType="separate"/>
            </w:r>
            <w:r>
              <w:rPr>
                <w:noProof/>
                <w:webHidden/>
              </w:rPr>
              <w:t>7</w:t>
            </w:r>
            <w:r>
              <w:rPr>
                <w:noProof/>
                <w:webHidden/>
              </w:rPr>
              <w:fldChar w:fldCharType="end"/>
            </w:r>
          </w:hyperlink>
        </w:p>
        <w:p w14:paraId="4D582781" w14:textId="2C718091"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4" w:history="1">
            <w:r w:rsidRPr="003E709A">
              <w:rPr>
                <w:rStyle w:val="Hyperlink"/>
                <w:noProof/>
              </w:rPr>
              <w:t>Physical, Psychological &amp; Social Impact Physical Impact</w:t>
            </w:r>
            <w:r>
              <w:rPr>
                <w:noProof/>
                <w:webHidden/>
              </w:rPr>
              <w:tab/>
            </w:r>
            <w:r>
              <w:rPr>
                <w:noProof/>
                <w:webHidden/>
              </w:rPr>
              <w:fldChar w:fldCharType="begin"/>
            </w:r>
            <w:r>
              <w:rPr>
                <w:noProof/>
                <w:webHidden/>
              </w:rPr>
              <w:instrText xml:space="preserve"> PAGEREF _Toc233280374 \h </w:instrText>
            </w:r>
            <w:r>
              <w:rPr>
                <w:noProof/>
                <w:webHidden/>
              </w:rPr>
            </w:r>
            <w:r>
              <w:rPr>
                <w:noProof/>
                <w:webHidden/>
              </w:rPr>
              <w:fldChar w:fldCharType="separate"/>
            </w:r>
            <w:r>
              <w:rPr>
                <w:noProof/>
                <w:webHidden/>
              </w:rPr>
              <w:t>8</w:t>
            </w:r>
            <w:r>
              <w:rPr>
                <w:noProof/>
                <w:webHidden/>
              </w:rPr>
              <w:fldChar w:fldCharType="end"/>
            </w:r>
          </w:hyperlink>
        </w:p>
        <w:p w14:paraId="49F06EE8" w14:textId="47AAD01E" w:rsidR="00334FE5" w:rsidRDefault="00334FE5" w:rsidP="00334FE5">
          <w:pPr>
            <w:pStyle w:val="TOC2"/>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5" w:history="1">
            <w:r w:rsidRPr="003E709A">
              <w:rPr>
                <w:rStyle w:val="Hyperlink"/>
                <w:noProof/>
              </w:rPr>
              <w:t>Physical Impact</w:t>
            </w:r>
            <w:r>
              <w:rPr>
                <w:noProof/>
                <w:webHidden/>
              </w:rPr>
              <w:tab/>
            </w:r>
            <w:r>
              <w:rPr>
                <w:noProof/>
                <w:webHidden/>
              </w:rPr>
              <w:fldChar w:fldCharType="begin"/>
            </w:r>
            <w:r>
              <w:rPr>
                <w:noProof/>
                <w:webHidden/>
              </w:rPr>
              <w:instrText xml:space="preserve"> PAGEREF _Toc233280375 \h </w:instrText>
            </w:r>
            <w:r>
              <w:rPr>
                <w:noProof/>
                <w:webHidden/>
              </w:rPr>
            </w:r>
            <w:r>
              <w:rPr>
                <w:noProof/>
                <w:webHidden/>
              </w:rPr>
              <w:fldChar w:fldCharType="separate"/>
            </w:r>
            <w:r>
              <w:rPr>
                <w:noProof/>
                <w:webHidden/>
              </w:rPr>
              <w:t>8</w:t>
            </w:r>
            <w:r>
              <w:rPr>
                <w:noProof/>
                <w:webHidden/>
              </w:rPr>
              <w:fldChar w:fldCharType="end"/>
            </w:r>
          </w:hyperlink>
        </w:p>
        <w:p w14:paraId="27DB9B77" w14:textId="1635F530" w:rsidR="00334FE5" w:rsidRDefault="00334FE5" w:rsidP="00334FE5">
          <w:pPr>
            <w:pStyle w:val="TOC2"/>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6" w:history="1">
            <w:r w:rsidRPr="003E709A">
              <w:rPr>
                <w:rStyle w:val="Hyperlink"/>
                <w:noProof/>
              </w:rPr>
              <w:t>Psychological Impact</w:t>
            </w:r>
            <w:r>
              <w:rPr>
                <w:noProof/>
                <w:webHidden/>
              </w:rPr>
              <w:tab/>
            </w:r>
            <w:r>
              <w:rPr>
                <w:noProof/>
                <w:webHidden/>
              </w:rPr>
              <w:fldChar w:fldCharType="begin"/>
            </w:r>
            <w:r>
              <w:rPr>
                <w:noProof/>
                <w:webHidden/>
              </w:rPr>
              <w:instrText xml:space="preserve"> PAGEREF _Toc233280376 \h </w:instrText>
            </w:r>
            <w:r>
              <w:rPr>
                <w:noProof/>
                <w:webHidden/>
              </w:rPr>
            </w:r>
            <w:r>
              <w:rPr>
                <w:noProof/>
                <w:webHidden/>
              </w:rPr>
              <w:fldChar w:fldCharType="separate"/>
            </w:r>
            <w:r>
              <w:rPr>
                <w:noProof/>
                <w:webHidden/>
              </w:rPr>
              <w:t>10</w:t>
            </w:r>
            <w:r>
              <w:rPr>
                <w:noProof/>
                <w:webHidden/>
              </w:rPr>
              <w:fldChar w:fldCharType="end"/>
            </w:r>
          </w:hyperlink>
        </w:p>
        <w:p w14:paraId="2EE7EE43" w14:textId="75216374" w:rsidR="00334FE5" w:rsidRDefault="00334FE5" w:rsidP="00334FE5">
          <w:pPr>
            <w:pStyle w:val="TOC2"/>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7" w:history="1">
            <w:r w:rsidRPr="003E709A">
              <w:rPr>
                <w:rStyle w:val="Hyperlink"/>
                <w:noProof/>
              </w:rPr>
              <w:t>Social Impact</w:t>
            </w:r>
            <w:r>
              <w:rPr>
                <w:noProof/>
                <w:webHidden/>
              </w:rPr>
              <w:tab/>
            </w:r>
            <w:r>
              <w:rPr>
                <w:noProof/>
                <w:webHidden/>
              </w:rPr>
              <w:fldChar w:fldCharType="begin"/>
            </w:r>
            <w:r>
              <w:rPr>
                <w:noProof/>
                <w:webHidden/>
              </w:rPr>
              <w:instrText xml:space="preserve"> PAGEREF _Toc233280377 \h </w:instrText>
            </w:r>
            <w:r>
              <w:rPr>
                <w:noProof/>
                <w:webHidden/>
              </w:rPr>
            </w:r>
            <w:r>
              <w:rPr>
                <w:noProof/>
                <w:webHidden/>
              </w:rPr>
              <w:fldChar w:fldCharType="separate"/>
            </w:r>
            <w:r>
              <w:rPr>
                <w:noProof/>
                <w:webHidden/>
              </w:rPr>
              <w:t>11</w:t>
            </w:r>
            <w:r>
              <w:rPr>
                <w:noProof/>
                <w:webHidden/>
              </w:rPr>
              <w:fldChar w:fldCharType="end"/>
            </w:r>
          </w:hyperlink>
        </w:p>
        <w:p w14:paraId="12AC4580" w14:textId="72875081"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8" w:history="1">
            <w:r w:rsidRPr="003E709A">
              <w:rPr>
                <w:rStyle w:val="Hyperlink"/>
                <w:noProof/>
              </w:rPr>
              <w:t>Evidence-Based Management in the UK</w:t>
            </w:r>
            <w:r>
              <w:rPr>
                <w:noProof/>
                <w:webHidden/>
              </w:rPr>
              <w:tab/>
            </w:r>
            <w:r>
              <w:rPr>
                <w:noProof/>
                <w:webHidden/>
              </w:rPr>
              <w:fldChar w:fldCharType="begin"/>
            </w:r>
            <w:r>
              <w:rPr>
                <w:noProof/>
                <w:webHidden/>
              </w:rPr>
              <w:instrText xml:space="preserve"> PAGEREF _Toc233280378 \h </w:instrText>
            </w:r>
            <w:r>
              <w:rPr>
                <w:noProof/>
                <w:webHidden/>
              </w:rPr>
            </w:r>
            <w:r>
              <w:rPr>
                <w:noProof/>
                <w:webHidden/>
              </w:rPr>
              <w:fldChar w:fldCharType="separate"/>
            </w:r>
            <w:r>
              <w:rPr>
                <w:noProof/>
                <w:webHidden/>
              </w:rPr>
              <w:t>13</w:t>
            </w:r>
            <w:r>
              <w:rPr>
                <w:noProof/>
                <w:webHidden/>
              </w:rPr>
              <w:fldChar w:fldCharType="end"/>
            </w:r>
          </w:hyperlink>
        </w:p>
        <w:p w14:paraId="75F30C13" w14:textId="44CE2E18"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79" w:history="1">
            <w:r w:rsidRPr="003E709A">
              <w:rPr>
                <w:rStyle w:val="Hyperlink"/>
                <w:noProof/>
              </w:rPr>
              <w:t>Theoretical Models</w:t>
            </w:r>
            <w:r>
              <w:rPr>
                <w:noProof/>
                <w:webHidden/>
              </w:rPr>
              <w:tab/>
            </w:r>
            <w:r>
              <w:rPr>
                <w:noProof/>
                <w:webHidden/>
              </w:rPr>
              <w:fldChar w:fldCharType="begin"/>
            </w:r>
            <w:r>
              <w:rPr>
                <w:noProof/>
                <w:webHidden/>
              </w:rPr>
              <w:instrText xml:space="preserve"> PAGEREF _Toc233280379 \h </w:instrText>
            </w:r>
            <w:r>
              <w:rPr>
                <w:noProof/>
                <w:webHidden/>
              </w:rPr>
            </w:r>
            <w:r>
              <w:rPr>
                <w:noProof/>
                <w:webHidden/>
              </w:rPr>
              <w:fldChar w:fldCharType="separate"/>
            </w:r>
            <w:r>
              <w:rPr>
                <w:noProof/>
                <w:webHidden/>
              </w:rPr>
              <w:t>15</w:t>
            </w:r>
            <w:r>
              <w:rPr>
                <w:noProof/>
                <w:webHidden/>
              </w:rPr>
              <w:fldChar w:fldCharType="end"/>
            </w:r>
          </w:hyperlink>
        </w:p>
        <w:p w14:paraId="0823272C" w14:textId="6E928221"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80" w:history="1">
            <w:r w:rsidRPr="003E709A">
              <w:rPr>
                <w:rStyle w:val="Hyperlink"/>
                <w:noProof/>
              </w:rPr>
              <w:t>Policy &amp; Political Context</w:t>
            </w:r>
            <w:r>
              <w:rPr>
                <w:noProof/>
                <w:webHidden/>
              </w:rPr>
              <w:tab/>
            </w:r>
            <w:r>
              <w:rPr>
                <w:noProof/>
                <w:webHidden/>
              </w:rPr>
              <w:fldChar w:fldCharType="begin"/>
            </w:r>
            <w:r>
              <w:rPr>
                <w:noProof/>
                <w:webHidden/>
              </w:rPr>
              <w:instrText xml:space="preserve"> PAGEREF _Toc233280380 \h </w:instrText>
            </w:r>
            <w:r>
              <w:rPr>
                <w:noProof/>
                <w:webHidden/>
              </w:rPr>
            </w:r>
            <w:r>
              <w:rPr>
                <w:noProof/>
                <w:webHidden/>
              </w:rPr>
              <w:fldChar w:fldCharType="separate"/>
            </w:r>
            <w:r>
              <w:rPr>
                <w:noProof/>
                <w:webHidden/>
              </w:rPr>
              <w:t>16</w:t>
            </w:r>
            <w:r>
              <w:rPr>
                <w:noProof/>
                <w:webHidden/>
              </w:rPr>
              <w:fldChar w:fldCharType="end"/>
            </w:r>
          </w:hyperlink>
        </w:p>
        <w:p w14:paraId="47A2769C" w14:textId="139584D4"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81" w:history="1">
            <w:r w:rsidRPr="003E709A">
              <w:rPr>
                <w:rStyle w:val="Hyperlink"/>
                <w:noProof/>
              </w:rPr>
              <w:t>Recommendations</w:t>
            </w:r>
            <w:r>
              <w:rPr>
                <w:noProof/>
                <w:webHidden/>
              </w:rPr>
              <w:tab/>
            </w:r>
            <w:r>
              <w:rPr>
                <w:noProof/>
                <w:webHidden/>
              </w:rPr>
              <w:fldChar w:fldCharType="begin"/>
            </w:r>
            <w:r>
              <w:rPr>
                <w:noProof/>
                <w:webHidden/>
              </w:rPr>
              <w:instrText xml:space="preserve"> PAGEREF _Toc233280381 \h </w:instrText>
            </w:r>
            <w:r>
              <w:rPr>
                <w:noProof/>
                <w:webHidden/>
              </w:rPr>
            </w:r>
            <w:r>
              <w:rPr>
                <w:noProof/>
                <w:webHidden/>
              </w:rPr>
              <w:fldChar w:fldCharType="separate"/>
            </w:r>
            <w:r>
              <w:rPr>
                <w:noProof/>
                <w:webHidden/>
              </w:rPr>
              <w:t>17</w:t>
            </w:r>
            <w:r>
              <w:rPr>
                <w:noProof/>
                <w:webHidden/>
              </w:rPr>
              <w:fldChar w:fldCharType="end"/>
            </w:r>
          </w:hyperlink>
        </w:p>
        <w:p w14:paraId="3EAD1E48" w14:textId="5587F192"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82" w:history="1">
            <w:r w:rsidRPr="003E709A">
              <w:rPr>
                <w:rStyle w:val="Hyperlink"/>
                <w:noProof/>
              </w:rPr>
              <w:t>Summary</w:t>
            </w:r>
            <w:r>
              <w:rPr>
                <w:noProof/>
                <w:webHidden/>
              </w:rPr>
              <w:tab/>
            </w:r>
            <w:r>
              <w:rPr>
                <w:noProof/>
                <w:webHidden/>
              </w:rPr>
              <w:fldChar w:fldCharType="begin"/>
            </w:r>
            <w:r>
              <w:rPr>
                <w:noProof/>
                <w:webHidden/>
              </w:rPr>
              <w:instrText xml:space="preserve"> PAGEREF _Toc233280382 \h </w:instrText>
            </w:r>
            <w:r>
              <w:rPr>
                <w:noProof/>
                <w:webHidden/>
              </w:rPr>
            </w:r>
            <w:r>
              <w:rPr>
                <w:noProof/>
                <w:webHidden/>
              </w:rPr>
              <w:fldChar w:fldCharType="separate"/>
            </w:r>
            <w:r>
              <w:rPr>
                <w:noProof/>
                <w:webHidden/>
              </w:rPr>
              <w:t>18</w:t>
            </w:r>
            <w:r>
              <w:rPr>
                <w:noProof/>
                <w:webHidden/>
              </w:rPr>
              <w:fldChar w:fldCharType="end"/>
            </w:r>
          </w:hyperlink>
        </w:p>
        <w:p w14:paraId="126F814F" w14:textId="731128E6" w:rsidR="00334FE5" w:rsidRDefault="00334FE5" w:rsidP="00334FE5">
          <w:pPr>
            <w:pStyle w:val="TOC1"/>
            <w:tabs>
              <w:tab w:val="right" w:leader="dot" w:pos="9350"/>
            </w:tabs>
            <w:spacing w:line="360" w:lineRule="auto"/>
            <w:rPr>
              <w:rFonts w:asciiTheme="minorHAnsi" w:eastAsiaTheme="minorEastAsia" w:hAnsiTheme="minorHAnsi"/>
              <w:noProof/>
              <w:kern w:val="2"/>
              <w:szCs w:val="30"/>
              <w:lang w:val="en-IN" w:eastAsia="en-IN" w:bidi="bn-IN"/>
              <w14:ligatures w14:val="standardContextual"/>
            </w:rPr>
          </w:pPr>
          <w:hyperlink w:anchor="_Toc233280383" w:history="1">
            <w:r w:rsidRPr="003E709A">
              <w:rPr>
                <w:rStyle w:val="Hyperlink"/>
                <w:noProof/>
              </w:rPr>
              <w:t>References</w:t>
            </w:r>
            <w:r>
              <w:rPr>
                <w:noProof/>
                <w:webHidden/>
              </w:rPr>
              <w:tab/>
            </w:r>
            <w:r>
              <w:rPr>
                <w:noProof/>
                <w:webHidden/>
              </w:rPr>
              <w:fldChar w:fldCharType="begin"/>
            </w:r>
            <w:r>
              <w:rPr>
                <w:noProof/>
                <w:webHidden/>
              </w:rPr>
              <w:instrText xml:space="preserve"> PAGEREF _Toc233280383 \h </w:instrText>
            </w:r>
            <w:r>
              <w:rPr>
                <w:noProof/>
                <w:webHidden/>
              </w:rPr>
            </w:r>
            <w:r>
              <w:rPr>
                <w:noProof/>
                <w:webHidden/>
              </w:rPr>
              <w:fldChar w:fldCharType="separate"/>
            </w:r>
            <w:r>
              <w:rPr>
                <w:noProof/>
                <w:webHidden/>
              </w:rPr>
              <w:t>20</w:t>
            </w:r>
            <w:r>
              <w:rPr>
                <w:noProof/>
                <w:webHidden/>
              </w:rPr>
              <w:fldChar w:fldCharType="end"/>
            </w:r>
          </w:hyperlink>
        </w:p>
        <w:p w14:paraId="77894019" w14:textId="5AC05C4F" w:rsidR="00121101" w:rsidRPr="00937286" w:rsidRDefault="00121101" w:rsidP="00334FE5">
          <w:pPr>
            <w:spacing w:line="360" w:lineRule="auto"/>
            <w:jc w:val="center"/>
            <w:rPr>
              <w:rFonts w:cs="Times New Roman"/>
            </w:rPr>
          </w:pPr>
          <w:r w:rsidRPr="00937286">
            <w:rPr>
              <w:rFonts w:cs="Times New Roman"/>
              <w:b/>
              <w:bCs/>
              <w:noProof/>
            </w:rPr>
            <w:fldChar w:fldCharType="end"/>
          </w:r>
        </w:p>
      </w:sdtContent>
    </w:sdt>
    <w:p w14:paraId="73FBCCE2" w14:textId="7205A5EA" w:rsidR="00121101" w:rsidRPr="00937286" w:rsidRDefault="00121101" w:rsidP="00334FE5">
      <w:pPr>
        <w:spacing w:before="0" w:after="200" w:line="360" w:lineRule="auto"/>
        <w:jc w:val="center"/>
        <w:rPr>
          <w:rFonts w:cs="Times New Roman"/>
          <w:b/>
          <w:bCs/>
        </w:rPr>
      </w:pPr>
      <w:r w:rsidRPr="00937286">
        <w:rPr>
          <w:rFonts w:cs="Times New Roman"/>
          <w:b/>
          <w:bCs/>
        </w:rPr>
        <w:br w:type="page"/>
      </w:r>
    </w:p>
    <w:p w14:paraId="71A86C49" w14:textId="77777777" w:rsidR="00334FE5" w:rsidRDefault="00334FE5" w:rsidP="00334FE5">
      <w:pPr>
        <w:pStyle w:val="Heading1"/>
        <w:spacing w:line="360" w:lineRule="auto"/>
      </w:pPr>
      <w:bookmarkStart w:id="0" w:name="_Toc233280370"/>
      <w:r w:rsidRPr="00937286">
        <w:lastRenderedPageBreak/>
        <w:t>Definition</w:t>
      </w:r>
      <w:bookmarkEnd w:id="0"/>
    </w:p>
    <w:p w14:paraId="322B2C13" w14:textId="04F6C18F" w:rsidR="0060403C" w:rsidRPr="00937286" w:rsidRDefault="0060403C" w:rsidP="00334FE5">
      <w:pPr>
        <w:spacing w:line="360" w:lineRule="auto"/>
      </w:pPr>
      <w:r w:rsidRPr="00937286">
        <w:t xml:space="preserve">Sickle cell disease refers to a set of inherited disorders related to red blood cells caused by the formation of </w:t>
      </w:r>
      <w:r w:rsidR="00E13A8A" w:rsidRPr="00937286">
        <w:t>hemoglobin</w:t>
      </w:r>
      <w:r w:rsidRPr="00937286">
        <w:t xml:space="preserve"> S and resulting in </w:t>
      </w:r>
      <w:proofErr w:type="spellStart"/>
      <w:r w:rsidR="00E13A8A" w:rsidRPr="00937286">
        <w:t>vas</w:t>
      </w:r>
      <w:r w:rsidR="00753BC9">
        <w:t>o</w:t>
      </w:r>
      <w:r w:rsidR="00E13A8A" w:rsidRPr="00937286">
        <w:t>-occlusion</w:t>
      </w:r>
      <w:proofErr w:type="spellEnd"/>
      <w:r w:rsidRPr="00937286">
        <w:t>, hemolysis</w:t>
      </w:r>
      <w:r w:rsidR="00276D0A">
        <w:t xml:space="preserve"> </w:t>
      </w:r>
      <w:r w:rsidRPr="00937286">
        <w:t>and progressive organ damage. This is the most common hereditary blood disease in the UK and one of the leading causes of pain, disability, poor quality of life of the affected people. This condition is heterogeneous and lifelong. Without adequate care, the progression of complications causes pain, organ damage and shortened life expectancy (</w:t>
      </w:r>
      <w:proofErr w:type="spellStart"/>
      <w:r w:rsidRPr="00937286">
        <w:t>Kato</w:t>
      </w:r>
      <w:proofErr w:type="spellEnd"/>
      <w:r w:rsidRPr="00937286">
        <w:t xml:space="preserve"> </w:t>
      </w:r>
      <w:r w:rsidR="0016081C" w:rsidRPr="0016081C">
        <w:rPr>
          <w:i/>
          <w:iCs/>
        </w:rPr>
        <w:t>et al</w:t>
      </w:r>
      <w:r w:rsidRPr="00937286">
        <w:t xml:space="preserve">., 2018; </w:t>
      </w:r>
      <w:proofErr w:type="spellStart"/>
      <w:r w:rsidRPr="00937286">
        <w:t>Piel</w:t>
      </w:r>
      <w:proofErr w:type="spellEnd"/>
      <w:r w:rsidRPr="00937286">
        <w:t xml:space="preserve"> </w:t>
      </w:r>
      <w:r w:rsidR="0016081C" w:rsidRPr="0016081C">
        <w:rPr>
          <w:i/>
          <w:iCs/>
        </w:rPr>
        <w:t>et al</w:t>
      </w:r>
      <w:r w:rsidRPr="00937286">
        <w:t xml:space="preserve">., 2023; Kunz and </w:t>
      </w:r>
      <w:proofErr w:type="spellStart"/>
      <w:r w:rsidRPr="00937286">
        <w:t>Tagliaferri</w:t>
      </w:r>
      <w:proofErr w:type="spellEnd"/>
      <w:r w:rsidRPr="00937286">
        <w:t>, 2024).</w:t>
      </w:r>
    </w:p>
    <w:p w14:paraId="3D4692CB" w14:textId="40A89DEE" w:rsidR="0060403C" w:rsidRPr="00937286" w:rsidRDefault="0060403C" w:rsidP="00334FE5">
      <w:pPr>
        <w:spacing w:line="360" w:lineRule="auto"/>
      </w:pPr>
      <w:r w:rsidRPr="00937286">
        <w:t xml:space="preserve">Sickle cell disease is widespread globally. Based on the estimates for 2021, about 7.74 million people suffer from this disease. Projections show that in the future, the prevalence of the disease is likely to continue to grow due to the increase in population in the areas with high prevalence rates (Thomson </w:t>
      </w:r>
      <w:r w:rsidR="0016081C" w:rsidRPr="0016081C">
        <w:rPr>
          <w:i/>
          <w:iCs/>
        </w:rPr>
        <w:t>et al</w:t>
      </w:r>
      <w:r w:rsidRPr="00937286">
        <w:t xml:space="preserve">., 2023; WHO, 2025). In the UK, sickle cell disease is one of the primary causes of admission to hospitals because of genetic diseases and places significant strain on both general practice and specialized </w:t>
      </w:r>
      <w:r w:rsidR="00883EE0" w:rsidRPr="00937286">
        <w:t>hematological</w:t>
      </w:r>
      <w:r w:rsidRPr="00937286">
        <w:t xml:space="preserve"> services (Sickle Cell Society, 2025; NHS England, 2025).</w:t>
      </w:r>
    </w:p>
    <w:p w14:paraId="577A50EF" w14:textId="7ABF555C" w:rsidR="0060403C" w:rsidRPr="00937286" w:rsidRDefault="0060403C" w:rsidP="00334FE5">
      <w:pPr>
        <w:spacing w:line="360" w:lineRule="auto"/>
      </w:pPr>
      <w:r w:rsidRPr="00937286">
        <w:t>Besides, this disease affects the patients physically, psychologically and socially. They experience frequent severe pain crises, fatigue, organ complications, anxiety, depression, social isolation and disruption in education and work. All these issues negatively affect not only patients themselves but also their relatives and caregivers experiencing extra stress (</w:t>
      </w:r>
      <w:proofErr w:type="spellStart"/>
      <w:r w:rsidRPr="00937286">
        <w:t>Druye</w:t>
      </w:r>
      <w:proofErr w:type="spellEnd"/>
      <w:r w:rsidRPr="00937286">
        <w:t xml:space="preserve"> </w:t>
      </w:r>
      <w:r w:rsidR="0016081C" w:rsidRPr="0016081C">
        <w:rPr>
          <w:i/>
          <w:iCs/>
        </w:rPr>
        <w:t>et al</w:t>
      </w:r>
      <w:r w:rsidRPr="00937286">
        <w:t xml:space="preserve">., 2024; Jacob </w:t>
      </w:r>
      <w:r w:rsidR="0016081C" w:rsidRPr="0016081C">
        <w:rPr>
          <w:i/>
          <w:iCs/>
        </w:rPr>
        <w:t>et al</w:t>
      </w:r>
      <w:r w:rsidRPr="00937286">
        <w:t>., 2025; NHS England, 2025).</w:t>
      </w:r>
    </w:p>
    <w:p w14:paraId="75BD9D2D" w14:textId="77777777" w:rsidR="0060403C" w:rsidRPr="00937286" w:rsidRDefault="0060403C" w:rsidP="00334FE5">
      <w:pPr>
        <w:spacing w:line="360" w:lineRule="auto"/>
        <w:rPr>
          <w:b/>
          <w:bCs/>
        </w:rPr>
      </w:pPr>
      <w:r w:rsidRPr="00937286">
        <w:t>Thus, proper management of this disease requires a complex approach targeting both physical, psychological and social challenges of having a chronic illness. This information booklet provides a critical analysis of the disease in terms of its definition, causation and burden, as well as its effects on the patients and their families. Besides, the document discusses existing evidence-based treatments of sickle cell disease through the NHS, as well as related theories, frameworks and policies. Recommendations for improving the situation are offered.</w:t>
      </w:r>
    </w:p>
    <w:p w14:paraId="6D5AF40F" w14:textId="7E1FB6C6" w:rsidR="00911E81" w:rsidRPr="00937286" w:rsidRDefault="003104A8" w:rsidP="00334FE5">
      <w:pPr>
        <w:pStyle w:val="Heading1"/>
        <w:spacing w:line="360" w:lineRule="auto"/>
      </w:pPr>
      <w:bookmarkStart w:id="1" w:name="_Toc233280371"/>
      <w:proofErr w:type="spellStart"/>
      <w:r w:rsidRPr="00937286">
        <w:lastRenderedPageBreak/>
        <w:t>Aetiology</w:t>
      </w:r>
      <w:proofErr w:type="spellEnd"/>
      <w:r w:rsidRPr="00937286">
        <w:t xml:space="preserve"> &amp; Pathophysiology</w:t>
      </w:r>
      <w:bookmarkEnd w:id="1"/>
    </w:p>
    <w:p w14:paraId="4C3794CD" w14:textId="44A1CBD3" w:rsidR="008E5109" w:rsidRPr="00937286" w:rsidRDefault="008E5109" w:rsidP="00334FE5">
      <w:pPr>
        <w:pStyle w:val="BodyText"/>
        <w:spacing w:line="360" w:lineRule="auto"/>
        <w:jc w:val="center"/>
      </w:pPr>
      <w:r w:rsidRPr="00937286">
        <w:rPr>
          <w:noProof/>
        </w:rPr>
        <w:drawing>
          <wp:inline distT="0" distB="0" distL="0" distR="0" wp14:anchorId="2982A3B9" wp14:editId="183B3A86">
            <wp:extent cx="4730799" cy="3093720"/>
            <wp:effectExtent l="0" t="0" r="0" b="0"/>
            <wp:docPr id="1213532067" name="Picture 1" descr="Sickle cell anemia – AA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ckle cell anemia – AAF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4692" cy="3096266"/>
                    </a:xfrm>
                    <a:prstGeom prst="rect">
                      <a:avLst/>
                    </a:prstGeom>
                    <a:noFill/>
                    <a:ln>
                      <a:noFill/>
                    </a:ln>
                  </pic:spPr>
                </pic:pic>
              </a:graphicData>
            </a:graphic>
          </wp:inline>
        </w:drawing>
      </w:r>
    </w:p>
    <w:p w14:paraId="100D95C7" w14:textId="44D54C08" w:rsidR="00123E36" w:rsidRPr="00937286" w:rsidRDefault="003104A8" w:rsidP="00334FE5">
      <w:pPr>
        <w:pStyle w:val="FirstParagraph"/>
        <w:spacing w:line="360" w:lineRule="auto"/>
        <w:jc w:val="center"/>
        <w:rPr>
          <w:rFonts w:cs="Times New Roman"/>
        </w:rPr>
      </w:pPr>
      <w:r w:rsidRPr="00937286">
        <w:rPr>
          <w:rFonts w:cs="Times New Roman"/>
          <w:b/>
          <w:bCs/>
        </w:rPr>
        <w:t>Figure 1:</w:t>
      </w:r>
      <w:r w:rsidRPr="00937286">
        <w:rPr>
          <w:rFonts w:cs="Times New Roman"/>
        </w:rPr>
        <w:t xml:space="preserve"> Sickle Cell Disease</w:t>
      </w:r>
    </w:p>
    <w:p w14:paraId="1F297DC4" w14:textId="6A4953B9" w:rsidR="0060403C" w:rsidRPr="00937286" w:rsidRDefault="0060403C" w:rsidP="00334FE5">
      <w:pPr>
        <w:spacing w:line="360" w:lineRule="auto"/>
      </w:pPr>
      <w:r w:rsidRPr="00937286">
        <w:t xml:space="preserve">A sickle cell disease represents a spectrum of genetically based </w:t>
      </w:r>
      <w:r w:rsidR="00A21C29" w:rsidRPr="00937286">
        <w:t>hemoglobin</w:t>
      </w:r>
      <w:r w:rsidRPr="00937286">
        <w:t xml:space="preserve"> diseases defined as an alteration in </w:t>
      </w:r>
      <w:r w:rsidR="00A21C29" w:rsidRPr="00937286">
        <w:t>hemoglobin</w:t>
      </w:r>
      <w:r w:rsidRPr="00937286">
        <w:t xml:space="preserve"> structure resulting in sickling of red blood cells, </w:t>
      </w:r>
      <w:proofErr w:type="spellStart"/>
      <w:r w:rsidR="00A21C29" w:rsidRPr="00937286">
        <w:t>vas</w:t>
      </w:r>
      <w:r w:rsidR="00A54426">
        <w:t>o</w:t>
      </w:r>
      <w:r w:rsidR="00A21C29" w:rsidRPr="00937286">
        <w:t>-occlusion</w:t>
      </w:r>
      <w:proofErr w:type="spellEnd"/>
      <w:r w:rsidRPr="00937286">
        <w:t xml:space="preserve">, chronic </w:t>
      </w:r>
      <w:r w:rsidR="009D0580" w:rsidRPr="00937286">
        <w:t>hemolysis</w:t>
      </w:r>
      <w:r w:rsidRPr="00937286">
        <w:t>, and organ damage (</w:t>
      </w:r>
      <w:proofErr w:type="spellStart"/>
      <w:r w:rsidRPr="00937286">
        <w:t>Kato</w:t>
      </w:r>
      <w:proofErr w:type="spellEnd"/>
      <w:r w:rsidRPr="00937286">
        <w:t xml:space="preserve"> </w:t>
      </w:r>
      <w:r w:rsidR="0016081C" w:rsidRPr="0016081C">
        <w:rPr>
          <w:i/>
          <w:iCs/>
        </w:rPr>
        <w:t>et al</w:t>
      </w:r>
      <w:r w:rsidRPr="00937286">
        <w:t xml:space="preserve">., 2018; Kunz and </w:t>
      </w:r>
      <w:proofErr w:type="spellStart"/>
      <w:r w:rsidRPr="00937286">
        <w:t>Tagliaferri</w:t>
      </w:r>
      <w:proofErr w:type="spellEnd"/>
      <w:r w:rsidRPr="00937286">
        <w:t>, 2024).</w:t>
      </w:r>
      <w:r w:rsidR="00334FE5">
        <w:t xml:space="preserve"> </w:t>
      </w:r>
      <w:r w:rsidRPr="00937286">
        <w:t xml:space="preserve">The term “blood disease” fails to describe a heterogeneous and complicated nature of this pathogenetic entity that involves </w:t>
      </w:r>
      <w:r w:rsidR="000321EE" w:rsidRPr="00937286">
        <w:t>hematologic</w:t>
      </w:r>
      <w:r w:rsidRPr="00937286">
        <w:t>, vascular, inflammatory, and systemic components and leads to the violation of physiological processes in several organ systems (</w:t>
      </w:r>
      <w:proofErr w:type="spellStart"/>
      <w:r w:rsidRPr="00937286">
        <w:t>Piel</w:t>
      </w:r>
      <w:proofErr w:type="spellEnd"/>
      <w:r w:rsidRPr="00937286">
        <w:t xml:space="preserve"> </w:t>
      </w:r>
      <w:r w:rsidR="0016081C" w:rsidRPr="0016081C">
        <w:rPr>
          <w:i/>
          <w:iCs/>
        </w:rPr>
        <w:t>et al</w:t>
      </w:r>
      <w:r w:rsidRPr="00937286">
        <w:t xml:space="preserve">., 2023; Miller and </w:t>
      </w:r>
      <w:proofErr w:type="spellStart"/>
      <w:r w:rsidRPr="00937286">
        <w:t>Gladwin</w:t>
      </w:r>
      <w:proofErr w:type="spellEnd"/>
      <w:r w:rsidRPr="00937286">
        <w:t xml:space="preserve">, 2012). </w:t>
      </w:r>
    </w:p>
    <w:p w14:paraId="27D2B796" w14:textId="34A3071F" w:rsidR="00334FE5" w:rsidRDefault="0060403C" w:rsidP="00334FE5">
      <w:pPr>
        <w:spacing w:line="360" w:lineRule="auto"/>
      </w:pPr>
      <w:r w:rsidRPr="00937286">
        <w:t>As sickle cell disease is caused by genetic abnormalities, it results from the complex interactions of non-modifiable, such as genetic background, genotype (HbSS is the most severe), ethnic origin, and family history, and modifiable factors, including dehydration, infections, hypothermia, and stress (</w:t>
      </w:r>
      <w:proofErr w:type="spellStart"/>
      <w:r w:rsidRPr="00937286">
        <w:t>Kato</w:t>
      </w:r>
      <w:proofErr w:type="spellEnd"/>
      <w:r w:rsidRPr="00937286">
        <w:t xml:space="preserve"> </w:t>
      </w:r>
      <w:r w:rsidR="0016081C" w:rsidRPr="0016081C">
        <w:rPr>
          <w:i/>
          <w:iCs/>
        </w:rPr>
        <w:t>et al</w:t>
      </w:r>
      <w:r w:rsidRPr="00937286">
        <w:t xml:space="preserve">., 2018; Patel </w:t>
      </w:r>
      <w:r w:rsidR="0016081C" w:rsidRPr="0016081C">
        <w:rPr>
          <w:i/>
          <w:iCs/>
        </w:rPr>
        <w:t>et al</w:t>
      </w:r>
      <w:r w:rsidRPr="00937286">
        <w:t xml:space="preserve">., 2024). </w:t>
      </w:r>
      <w:r w:rsidR="00334FE5">
        <w:t xml:space="preserve"> </w:t>
      </w:r>
      <w:r w:rsidRPr="00937286">
        <w:t xml:space="preserve">Depression in oxygen levels induces formation of abnormal polymers of </w:t>
      </w:r>
      <w:r w:rsidR="000321EE" w:rsidRPr="00937286">
        <w:t>hemoglobin</w:t>
      </w:r>
      <w:r w:rsidRPr="00937286">
        <w:t xml:space="preserve"> S which cause deformity of erythrocytes, </w:t>
      </w:r>
      <w:proofErr w:type="spellStart"/>
      <w:r w:rsidR="000321EE" w:rsidRPr="00937286">
        <w:t>vas</w:t>
      </w:r>
      <w:r w:rsidR="00A61D79">
        <w:t>o</w:t>
      </w:r>
      <w:r w:rsidR="000321EE" w:rsidRPr="00937286">
        <w:t>-occlusive</w:t>
      </w:r>
      <w:proofErr w:type="spellEnd"/>
      <w:r w:rsidRPr="00937286">
        <w:t xml:space="preserve"> events, </w:t>
      </w:r>
      <w:proofErr w:type="spellStart"/>
      <w:r w:rsidRPr="00937286">
        <w:t>ischaemia</w:t>
      </w:r>
      <w:proofErr w:type="spellEnd"/>
      <w:r w:rsidRPr="00937286">
        <w:t>/</w:t>
      </w:r>
      <w:proofErr w:type="spellStart"/>
      <w:r w:rsidRPr="00937286">
        <w:t>reperfusion</w:t>
      </w:r>
      <w:proofErr w:type="spellEnd"/>
      <w:r w:rsidRPr="00937286">
        <w:t xml:space="preserve"> injuries, and development of organ damage that manifests in strokes, acute chest syndrome, and </w:t>
      </w:r>
      <w:proofErr w:type="spellStart"/>
      <w:r w:rsidRPr="00937286">
        <w:t>nephropathies</w:t>
      </w:r>
      <w:proofErr w:type="spellEnd"/>
      <w:r w:rsidRPr="00937286">
        <w:t xml:space="preserve"> (Sharma </w:t>
      </w:r>
      <w:r w:rsidR="0016081C" w:rsidRPr="0016081C">
        <w:rPr>
          <w:i/>
          <w:iCs/>
        </w:rPr>
        <w:t>et al</w:t>
      </w:r>
      <w:r w:rsidRPr="00937286">
        <w:t xml:space="preserve">., 2025; Kunz and </w:t>
      </w:r>
      <w:proofErr w:type="spellStart"/>
      <w:r w:rsidRPr="00937286">
        <w:t>Tagliaferri</w:t>
      </w:r>
      <w:proofErr w:type="spellEnd"/>
      <w:r w:rsidRPr="00937286">
        <w:t xml:space="preserve">, 2024). </w:t>
      </w:r>
      <w:r w:rsidR="00334FE5">
        <w:t xml:space="preserve"> </w:t>
      </w:r>
      <w:r w:rsidRPr="00937286">
        <w:t xml:space="preserve">At the same time, chronic </w:t>
      </w:r>
      <w:r w:rsidR="00E61FD9" w:rsidRPr="00937286">
        <w:t>hemolysis</w:t>
      </w:r>
      <w:r w:rsidRPr="00937286">
        <w:t xml:space="preserve"> and endothelial dysfunction lead to extensive vascular </w:t>
      </w:r>
      <w:r w:rsidRPr="00937286">
        <w:lastRenderedPageBreak/>
        <w:t xml:space="preserve">inflammation and </w:t>
      </w:r>
      <w:proofErr w:type="spellStart"/>
      <w:r w:rsidRPr="00937286">
        <w:t>hypercoagulability</w:t>
      </w:r>
      <w:proofErr w:type="spellEnd"/>
      <w:r w:rsidRPr="00937286">
        <w:t xml:space="preserve"> which contribute to the vicious cycle of complications (Miller and </w:t>
      </w:r>
      <w:proofErr w:type="spellStart"/>
      <w:r w:rsidRPr="00937286">
        <w:t>Gladwin</w:t>
      </w:r>
      <w:proofErr w:type="spellEnd"/>
      <w:r w:rsidRPr="00937286">
        <w:t xml:space="preserve">, 2012; </w:t>
      </w:r>
      <w:proofErr w:type="spellStart"/>
      <w:r w:rsidRPr="00937286">
        <w:t>Kato</w:t>
      </w:r>
      <w:proofErr w:type="spellEnd"/>
      <w:r w:rsidRPr="00937286">
        <w:t xml:space="preserve"> </w:t>
      </w:r>
      <w:r w:rsidR="0016081C" w:rsidRPr="0016081C">
        <w:rPr>
          <w:i/>
          <w:iCs/>
        </w:rPr>
        <w:t>et al</w:t>
      </w:r>
      <w:r w:rsidRPr="00937286">
        <w:t xml:space="preserve">., 2018). </w:t>
      </w:r>
      <w:r w:rsidR="00334FE5">
        <w:t xml:space="preserve"> </w:t>
      </w:r>
    </w:p>
    <w:p w14:paraId="3279C0F8" w14:textId="39209713" w:rsidR="0060403C" w:rsidRPr="00334FE5" w:rsidRDefault="0060403C" w:rsidP="00334FE5">
      <w:pPr>
        <w:spacing w:line="360" w:lineRule="auto"/>
      </w:pPr>
      <w:r w:rsidRPr="00937286">
        <w:t xml:space="preserve">Today, there is a considerable amount of scientific data that indicates the necessity of viewing sickle cell disease as a systemic vascular disorder with increased risks of </w:t>
      </w:r>
      <w:proofErr w:type="spellStart"/>
      <w:r w:rsidRPr="00937286">
        <w:t>cardiorenal</w:t>
      </w:r>
      <w:proofErr w:type="spellEnd"/>
      <w:r w:rsidRPr="00937286">
        <w:t xml:space="preserve"> and cerebrovascular pathologies (Kunz and </w:t>
      </w:r>
      <w:proofErr w:type="spellStart"/>
      <w:r w:rsidRPr="00937286">
        <w:t>Tagliaferri</w:t>
      </w:r>
      <w:proofErr w:type="spellEnd"/>
      <w:r w:rsidRPr="00937286">
        <w:t xml:space="preserve">, 2024; Sharma </w:t>
      </w:r>
      <w:r w:rsidR="0016081C" w:rsidRPr="0016081C">
        <w:rPr>
          <w:i/>
          <w:iCs/>
        </w:rPr>
        <w:t>et al</w:t>
      </w:r>
      <w:r w:rsidRPr="00937286">
        <w:t xml:space="preserve">., 2025). </w:t>
      </w:r>
      <w:r w:rsidR="00334FE5">
        <w:t xml:space="preserve"> </w:t>
      </w:r>
      <w:r w:rsidRPr="00937286">
        <w:t>Moreover, sickle cell disease is highly heterogeneous and includes several genotypes that need individualized therapeutic approach (</w:t>
      </w:r>
      <w:proofErr w:type="spellStart"/>
      <w:r w:rsidRPr="00937286">
        <w:t>Piel</w:t>
      </w:r>
      <w:proofErr w:type="spellEnd"/>
      <w:r w:rsidRPr="00937286">
        <w:t xml:space="preserve"> </w:t>
      </w:r>
      <w:r w:rsidR="0016081C" w:rsidRPr="0016081C">
        <w:rPr>
          <w:i/>
          <w:iCs/>
        </w:rPr>
        <w:t>et al</w:t>
      </w:r>
      <w:r w:rsidRPr="00937286">
        <w:t xml:space="preserve">., 2023; Jacob </w:t>
      </w:r>
      <w:r w:rsidR="0016081C" w:rsidRPr="0016081C">
        <w:rPr>
          <w:i/>
          <w:iCs/>
        </w:rPr>
        <w:t>et al</w:t>
      </w:r>
      <w:r w:rsidRPr="00937286">
        <w:t>., 2025).</w:t>
      </w:r>
    </w:p>
    <w:p w14:paraId="3E3BD602" w14:textId="0C44478E" w:rsidR="00911E81" w:rsidRPr="00937286" w:rsidRDefault="003104A8" w:rsidP="00334FE5">
      <w:pPr>
        <w:pStyle w:val="Heading1"/>
        <w:spacing w:line="360" w:lineRule="auto"/>
      </w:pPr>
      <w:bookmarkStart w:id="2" w:name="_Toc233280372"/>
      <w:r w:rsidRPr="00937286">
        <w:t>Epidemiology &amp; Burden</w:t>
      </w:r>
      <w:bookmarkEnd w:id="2"/>
    </w:p>
    <w:p w14:paraId="3B24EDD8" w14:textId="237D9E03" w:rsidR="00177759" w:rsidRPr="00937286" w:rsidRDefault="00177759" w:rsidP="00334FE5">
      <w:pPr>
        <w:pStyle w:val="BodyText"/>
        <w:spacing w:line="360" w:lineRule="auto"/>
      </w:pPr>
      <w:r w:rsidRPr="00937286">
        <w:rPr>
          <w:noProof/>
        </w:rPr>
        <w:drawing>
          <wp:inline distT="0" distB="0" distL="0" distR="0" wp14:anchorId="7E92EF66" wp14:editId="383A74C2">
            <wp:extent cx="5943600" cy="3707765"/>
            <wp:effectExtent l="0" t="0" r="0" b="0"/>
            <wp:docPr id="1463785128" name="Picture 2" descr="Why Sickle Cell Disease Remains Common in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Sickle Cell Disease Remains Common in Afric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707765"/>
                    </a:xfrm>
                    <a:prstGeom prst="rect">
                      <a:avLst/>
                    </a:prstGeom>
                    <a:noFill/>
                    <a:ln>
                      <a:noFill/>
                    </a:ln>
                  </pic:spPr>
                </pic:pic>
              </a:graphicData>
            </a:graphic>
          </wp:inline>
        </w:drawing>
      </w:r>
    </w:p>
    <w:p w14:paraId="55F2316F" w14:textId="76F42610" w:rsidR="00123E36" w:rsidRPr="00937286" w:rsidRDefault="003104A8" w:rsidP="00334FE5">
      <w:pPr>
        <w:pStyle w:val="FirstParagraph"/>
        <w:spacing w:line="360" w:lineRule="auto"/>
        <w:jc w:val="center"/>
        <w:rPr>
          <w:rFonts w:cs="Times New Roman"/>
        </w:rPr>
      </w:pPr>
      <w:r w:rsidRPr="00937286">
        <w:rPr>
          <w:rFonts w:cs="Times New Roman"/>
          <w:b/>
          <w:bCs/>
        </w:rPr>
        <w:t>Figure 2:</w:t>
      </w:r>
      <w:r w:rsidRPr="00937286">
        <w:rPr>
          <w:rFonts w:cs="Times New Roman"/>
        </w:rPr>
        <w:t xml:space="preserve"> The prevalence of Sickle Cell Disease</w:t>
      </w:r>
    </w:p>
    <w:p w14:paraId="7253318D" w14:textId="150D4975" w:rsidR="0060403C" w:rsidRPr="00937286" w:rsidRDefault="0060403C" w:rsidP="00334FE5">
      <w:pPr>
        <w:spacing w:line="360" w:lineRule="auto"/>
      </w:pPr>
      <w:r w:rsidRPr="00937286">
        <w:t xml:space="preserve">Sickle cell disease is the most prevalent genetic blood disorder across many regions globally, responsible for causing chronic disability and reduced life expectancy among patients. According to the Global Burden of Disease Study 2021, 7.74 million people across the world suffered from sickle cell disease. It accounted for a substantial burden which has shown a 41.4% increase since 2000 (Thomson </w:t>
      </w:r>
      <w:r w:rsidR="0016081C" w:rsidRPr="0016081C">
        <w:rPr>
          <w:i/>
          <w:iCs/>
        </w:rPr>
        <w:t>et al</w:t>
      </w:r>
      <w:r w:rsidRPr="00937286">
        <w:t xml:space="preserve">., 2023). </w:t>
      </w:r>
      <w:r w:rsidR="00334FE5">
        <w:t xml:space="preserve"> </w:t>
      </w:r>
      <w:r w:rsidRPr="00937286">
        <w:t xml:space="preserve">The global burden of this condition is expected to rise further in the </w:t>
      </w:r>
      <w:r w:rsidRPr="00937286">
        <w:lastRenderedPageBreak/>
        <w:t xml:space="preserve">future, with continued high numbers of births in sub-Saharan Africa and increasing survival in high-income countries (Thomson </w:t>
      </w:r>
      <w:r w:rsidR="0016081C" w:rsidRPr="0016081C">
        <w:rPr>
          <w:i/>
          <w:iCs/>
        </w:rPr>
        <w:t>et al</w:t>
      </w:r>
      <w:r w:rsidRPr="00937286">
        <w:t xml:space="preserve">., 2023; WHO, 2025). </w:t>
      </w:r>
    </w:p>
    <w:p w14:paraId="42F373D9" w14:textId="11AB7C75" w:rsidR="0060403C" w:rsidRPr="00937286" w:rsidRDefault="0060403C" w:rsidP="00334FE5">
      <w:pPr>
        <w:spacing w:line="360" w:lineRule="auto"/>
      </w:pPr>
      <w:r w:rsidRPr="00937286">
        <w:t xml:space="preserve">Sickle cell disease contributes significantly to healthcare </w:t>
      </w:r>
      <w:r w:rsidR="00CC4E7B" w:rsidRPr="00937286">
        <w:t>utilization</w:t>
      </w:r>
      <w:r w:rsidRPr="00937286">
        <w:t xml:space="preserve">, with </w:t>
      </w:r>
      <w:proofErr w:type="spellStart"/>
      <w:r w:rsidRPr="00937286">
        <w:t>vaso-occlusive</w:t>
      </w:r>
      <w:proofErr w:type="spellEnd"/>
      <w:r w:rsidRPr="00937286">
        <w:t xml:space="preserve"> crises being the leading cause of emergency admissions. Women and individuals from certain ethnic groups often experience higher rates of complications (Sickle Cell Society, 2025; NHS England, 2025). </w:t>
      </w:r>
      <w:r w:rsidR="00334FE5">
        <w:t xml:space="preserve"> </w:t>
      </w:r>
      <w:r w:rsidRPr="00937286">
        <w:t xml:space="preserve">In the United Kingdom, sickle cell disease contributes significantly towards the burden of genetic conditions. The disease causes considerable contribution to emergency department attendances, hospital admissions, and poor quality of life, especially among working-age adults (Sickle Cell Society, 2025; NHS England, 2025). </w:t>
      </w:r>
    </w:p>
    <w:p w14:paraId="4C052893" w14:textId="6E658DC5" w:rsidR="0060403C" w:rsidRPr="00937286" w:rsidRDefault="0060403C" w:rsidP="00334FE5">
      <w:pPr>
        <w:spacing w:line="360" w:lineRule="auto"/>
      </w:pPr>
      <w:r w:rsidRPr="00937286">
        <w:t xml:space="preserve">Recently available data in the United Kingdom show that individuals suffering from sickle cell disease have higher healthcare </w:t>
      </w:r>
      <w:r w:rsidR="00CC4E7B" w:rsidRPr="00937286">
        <w:t>utilization</w:t>
      </w:r>
      <w:r w:rsidRPr="00937286">
        <w:t xml:space="preserve"> in terms of emergency admissions and hospital stays than the general population, with significant disparities in outcomes (NHS England, 2025). </w:t>
      </w:r>
      <w:r w:rsidR="00334FE5">
        <w:t xml:space="preserve"> </w:t>
      </w:r>
      <w:r w:rsidRPr="00937286">
        <w:t xml:space="preserve">Sickle cell disease has caused a considerable economic burden on the United Kingdom in terms of direct and indirect costs, including costs incurred on specialist care, transfusions, gene therapies, loss of productivity, and disability (Sickle Cell Society, 2025; NHS England, 2025). </w:t>
      </w:r>
      <w:r w:rsidR="00334FE5">
        <w:t xml:space="preserve"> </w:t>
      </w:r>
      <w:r w:rsidRPr="00937286">
        <w:t>Disability and inability to work or attend education are important aspects because many individuals suffer from frequent absences or have to leave employment prematurely, thereby causing wider social and economic inequality (</w:t>
      </w:r>
      <w:proofErr w:type="spellStart"/>
      <w:r w:rsidRPr="00937286">
        <w:t>Druye</w:t>
      </w:r>
      <w:proofErr w:type="spellEnd"/>
      <w:r w:rsidRPr="00937286">
        <w:t xml:space="preserve"> </w:t>
      </w:r>
      <w:r w:rsidR="0016081C" w:rsidRPr="0016081C">
        <w:rPr>
          <w:i/>
          <w:iCs/>
        </w:rPr>
        <w:t>et al</w:t>
      </w:r>
      <w:r w:rsidRPr="00937286">
        <w:t xml:space="preserve">., 2024; Jacob </w:t>
      </w:r>
      <w:r w:rsidR="0016081C" w:rsidRPr="0016081C">
        <w:rPr>
          <w:i/>
          <w:iCs/>
        </w:rPr>
        <w:t>et al</w:t>
      </w:r>
      <w:r w:rsidRPr="00937286">
        <w:t xml:space="preserve">., 2025). </w:t>
      </w:r>
    </w:p>
    <w:p w14:paraId="7AD06049" w14:textId="25BD657A" w:rsidR="0060403C" w:rsidRPr="00937286" w:rsidRDefault="0060403C" w:rsidP="00334FE5">
      <w:pPr>
        <w:spacing w:line="360" w:lineRule="auto"/>
      </w:pPr>
      <w:r w:rsidRPr="00937286">
        <w:t xml:space="preserve">It is evident that there exist health inequalities among patients who suffer from sickle cell disease as people coming from areas of higher deprivation and Black ethnic groups experience later diagnosis, poorer pain management, and worse functional outcomes (NHS England, 2025; Sickle Cell Society, 2025). </w:t>
      </w:r>
      <w:r w:rsidR="00334FE5">
        <w:t xml:space="preserve"> </w:t>
      </w:r>
      <w:r w:rsidRPr="00937286">
        <w:t xml:space="preserve">Notwithstanding its high prevalence and impact, sickle cell disease still remains relatively </w:t>
      </w:r>
      <w:proofErr w:type="spellStart"/>
      <w:r w:rsidRPr="00937286">
        <w:t>under-recognised</w:t>
      </w:r>
      <w:proofErr w:type="spellEnd"/>
      <w:r w:rsidRPr="00937286">
        <w:t xml:space="preserve"> in some primary care settings as a consequence of limited awareness and historical perceptions about the condition (NHS England, 2025; Jacob </w:t>
      </w:r>
      <w:r w:rsidR="0016081C" w:rsidRPr="0016081C">
        <w:rPr>
          <w:i/>
          <w:iCs/>
        </w:rPr>
        <w:t>et al</w:t>
      </w:r>
      <w:r w:rsidRPr="00937286">
        <w:t>., 2025).</w:t>
      </w:r>
    </w:p>
    <w:p w14:paraId="1724793D" w14:textId="77777777" w:rsidR="00911E81" w:rsidRPr="00937286" w:rsidRDefault="003104A8" w:rsidP="00334FE5">
      <w:pPr>
        <w:pStyle w:val="Heading1"/>
        <w:spacing w:line="360" w:lineRule="auto"/>
      </w:pPr>
      <w:bookmarkStart w:id="3" w:name="_Toc233280373"/>
      <w:r w:rsidRPr="00937286">
        <w:lastRenderedPageBreak/>
        <w:t>Risk Factors</w:t>
      </w:r>
      <w:bookmarkEnd w:id="3"/>
    </w:p>
    <w:p w14:paraId="6A97B314" w14:textId="692D84A1" w:rsidR="00177759" w:rsidRPr="00937286" w:rsidRDefault="00177759" w:rsidP="00334FE5">
      <w:pPr>
        <w:pStyle w:val="BodyText"/>
        <w:spacing w:line="360" w:lineRule="auto"/>
        <w:jc w:val="center"/>
      </w:pPr>
      <w:r w:rsidRPr="00937286">
        <w:rPr>
          <w:noProof/>
        </w:rPr>
        <w:drawing>
          <wp:inline distT="0" distB="0" distL="0" distR="0" wp14:anchorId="4E545ED8" wp14:editId="0C064F2C">
            <wp:extent cx="5190779" cy="3756660"/>
            <wp:effectExtent l="0" t="0" r="0" b="0"/>
            <wp:docPr id="81605985" name="Picture 4" descr="Targeted therapeutic management based on phytoconstituents for sickle cell  anemia focusing on molecular mechanisms: Current trends and future  perspective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argeted therapeutic management based on phytoconstituents for sickle cell  anemia focusing on molecular mechanisms: Current trends and future  perspectives - ScienceDi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2302" cy="3757762"/>
                    </a:xfrm>
                    <a:prstGeom prst="rect">
                      <a:avLst/>
                    </a:prstGeom>
                    <a:noFill/>
                    <a:ln>
                      <a:noFill/>
                    </a:ln>
                  </pic:spPr>
                </pic:pic>
              </a:graphicData>
            </a:graphic>
          </wp:inline>
        </w:drawing>
      </w:r>
    </w:p>
    <w:p w14:paraId="1842F738" w14:textId="5C12DB96" w:rsidR="0060403C" w:rsidRDefault="003104A8" w:rsidP="00334FE5">
      <w:pPr>
        <w:pStyle w:val="FirstParagraph"/>
        <w:spacing w:line="360" w:lineRule="auto"/>
        <w:jc w:val="center"/>
        <w:rPr>
          <w:rFonts w:cs="Times New Roman"/>
        </w:rPr>
      </w:pPr>
      <w:r w:rsidRPr="00937286">
        <w:rPr>
          <w:rFonts w:cs="Times New Roman"/>
          <w:b/>
          <w:bCs/>
        </w:rPr>
        <w:t>Figure 3:</w:t>
      </w:r>
      <w:r w:rsidRPr="00937286">
        <w:rPr>
          <w:rFonts w:cs="Times New Roman"/>
        </w:rPr>
        <w:t xml:space="preserve"> Risk Factors Sickle Cell Disease</w:t>
      </w:r>
    </w:p>
    <w:p w14:paraId="020E9F13" w14:textId="77777777" w:rsidR="0016081C" w:rsidRPr="0016081C" w:rsidRDefault="0016081C" w:rsidP="0016081C">
      <w:pPr>
        <w:spacing w:line="360" w:lineRule="auto"/>
        <w:rPr>
          <w:b/>
          <w:bCs/>
          <w:lang w:val="en-IN"/>
        </w:rPr>
      </w:pPr>
      <w:r w:rsidRPr="0016081C">
        <w:rPr>
          <w:b/>
          <w:bCs/>
          <w:lang w:val="en-IN"/>
        </w:rPr>
        <w:t>Non-Modifiable Risk Factors</w:t>
      </w:r>
    </w:p>
    <w:p w14:paraId="05F94AD0" w14:textId="5DCF8B53" w:rsidR="0016081C" w:rsidRPr="0016081C" w:rsidRDefault="0016081C" w:rsidP="0016081C">
      <w:pPr>
        <w:numPr>
          <w:ilvl w:val="0"/>
          <w:numId w:val="46"/>
        </w:numPr>
        <w:spacing w:line="360" w:lineRule="auto"/>
        <w:rPr>
          <w:lang w:val="en-IN"/>
        </w:rPr>
      </w:pPr>
      <w:r w:rsidRPr="0016081C">
        <w:rPr>
          <w:lang w:val="en-IN"/>
        </w:rPr>
        <w:t>The pathogenesis of SCD complications is multifactorial and involves complex interaction of genetic, biological, and environmental factors, but not only a single cause (</w:t>
      </w:r>
      <w:proofErr w:type="spellStart"/>
      <w:r w:rsidRPr="0016081C">
        <w:rPr>
          <w:lang w:val="en-IN"/>
        </w:rPr>
        <w:t>Kato</w:t>
      </w:r>
      <w:proofErr w:type="spellEnd"/>
      <w:r w:rsidRPr="0016081C">
        <w:rPr>
          <w:lang w:val="en-IN"/>
        </w:rPr>
        <w:t xml:space="preserve"> </w:t>
      </w:r>
      <w:r w:rsidRPr="0016081C">
        <w:rPr>
          <w:i/>
          <w:iCs/>
          <w:lang w:val="en-IN"/>
        </w:rPr>
        <w:t>et al</w:t>
      </w:r>
      <w:r w:rsidRPr="0016081C">
        <w:rPr>
          <w:lang w:val="en-IN"/>
        </w:rPr>
        <w:t xml:space="preserve">., 2018; </w:t>
      </w:r>
      <w:proofErr w:type="spellStart"/>
      <w:r w:rsidRPr="0016081C">
        <w:rPr>
          <w:lang w:val="en-IN"/>
        </w:rPr>
        <w:t>Piel</w:t>
      </w:r>
      <w:proofErr w:type="spellEnd"/>
      <w:r w:rsidRPr="0016081C">
        <w:rPr>
          <w:lang w:val="en-IN"/>
        </w:rPr>
        <w:t xml:space="preserve"> </w:t>
      </w:r>
      <w:r w:rsidRPr="0016081C">
        <w:rPr>
          <w:i/>
          <w:iCs/>
          <w:lang w:val="en-IN"/>
        </w:rPr>
        <w:t>et al</w:t>
      </w:r>
      <w:r w:rsidRPr="0016081C">
        <w:rPr>
          <w:lang w:val="en-IN"/>
        </w:rPr>
        <w:t xml:space="preserve">., 2023). </w:t>
      </w:r>
    </w:p>
    <w:p w14:paraId="47B7B5CD" w14:textId="4E4C6198" w:rsidR="0016081C" w:rsidRPr="0016081C" w:rsidRDefault="0016081C" w:rsidP="0016081C">
      <w:pPr>
        <w:numPr>
          <w:ilvl w:val="0"/>
          <w:numId w:val="46"/>
        </w:numPr>
        <w:spacing w:line="360" w:lineRule="auto"/>
        <w:rPr>
          <w:lang w:val="en-IN"/>
        </w:rPr>
      </w:pPr>
      <w:r w:rsidRPr="0016081C">
        <w:rPr>
          <w:lang w:val="en-IN"/>
        </w:rPr>
        <w:t xml:space="preserve">Specific genotype remains one of the strongest non-modifiable risk factors, with HbSS generally causing more severe disease than HbSC due to higher rates of polymerisation and </w:t>
      </w:r>
      <w:proofErr w:type="spellStart"/>
      <w:r w:rsidRPr="0016081C">
        <w:rPr>
          <w:lang w:val="en-IN"/>
        </w:rPr>
        <w:t>haemolysis</w:t>
      </w:r>
      <w:proofErr w:type="spellEnd"/>
      <w:r w:rsidRPr="0016081C">
        <w:rPr>
          <w:lang w:val="en-IN"/>
        </w:rPr>
        <w:t xml:space="preserve"> (</w:t>
      </w:r>
      <w:proofErr w:type="spellStart"/>
      <w:r w:rsidRPr="0016081C">
        <w:rPr>
          <w:lang w:val="en-IN"/>
        </w:rPr>
        <w:t>Kato</w:t>
      </w:r>
      <w:proofErr w:type="spellEnd"/>
      <w:r w:rsidRPr="0016081C">
        <w:rPr>
          <w:lang w:val="en-IN"/>
        </w:rPr>
        <w:t xml:space="preserve"> </w:t>
      </w:r>
      <w:r w:rsidRPr="0016081C">
        <w:rPr>
          <w:i/>
          <w:iCs/>
          <w:lang w:val="en-IN"/>
        </w:rPr>
        <w:t>et al</w:t>
      </w:r>
      <w:r w:rsidRPr="0016081C">
        <w:rPr>
          <w:lang w:val="en-IN"/>
        </w:rPr>
        <w:t xml:space="preserve">., 2018; Kunz and </w:t>
      </w:r>
      <w:proofErr w:type="spellStart"/>
      <w:r w:rsidRPr="0016081C">
        <w:rPr>
          <w:lang w:val="en-IN"/>
        </w:rPr>
        <w:t>Tagliaferri</w:t>
      </w:r>
      <w:proofErr w:type="spellEnd"/>
      <w:r w:rsidRPr="0016081C">
        <w:rPr>
          <w:lang w:val="en-IN"/>
        </w:rPr>
        <w:t xml:space="preserve">, 2024). </w:t>
      </w:r>
    </w:p>
    <w:p w14:paraId="6DC658B2" w14:textId="00391792" w:rsidR="0016081C" w:rsidRPr="0016081C" w:rsidRDefault="0016081C" w:rsidP="0016081C">
      <w:pPr>
        <w:numPr>
          <w:ilvl w:val="0"/>
          <w:numId w:val="46"/>
        </w:numPr>
        <w:spacing w:line="360" w:lineRule="auto"/>
        <w:rPr>
          <w:lang w:val="en-IN"/>
        </w:rPr>
      </w:pPr>
      <w:r w:rsidRPr="0016081C">
        <w:rPr>
          <w:lang w:val="en-IN"/>
        </w:rPr>
        <w:t xml:space="preserve">Ethnicity is a major risk factor, with highest prevalence and often more severe phenotypes in people of African and Caribbean descent, though data on exact biological mechanisms continue to evolve (Sickle Cell Society, 2025; Patel </w:t>
      </w:r>
      <w:r w:rsidRPr="0016081C">
        <w:rPr>
          <w:i/>
          <w:iCs/>
          <w:lang w:val="en-IN"/>
        </w:rPr>
        <w:t>et al</w:t>
      </w:r>
      <w:r w:rsidRPr="0016081C">
        <w:rPr>
          <w:lang w:val="en-IN"/>
        </w:rPr>
        <w:t xml:space="preserve">., 2024). </w:t>
      </w:r>
    </w:p>
    <w:p w14:paraId="6D459069" w14:textId="132EBB5F" w:rsidR="0016081C" w:rsidRPr="0016081C" w:rsidRDefault="0016081C" w:rsidP="0016081C">
      <w:pPr>
        <w:numPr>
          <w:ilvl w:val="0"/>
          <w:numId w:val="46"/>
        </w:numPr>
        <w:spacing w:line="360" w:lineRule="auto"/>
        <w:rPr>
          <w:lang w:val="en-IN"/>
        </w:rPr>
      </w:pPr>
      <w:r w:rsidRPr="0016081C">
        <w:rPr>
          <w:lang w:val="en-IN"/>
        </w:rPr>
        <w:lastRenderedPageBreak/>
        <w:t xml:space="preserve">History of previous complications, such as stroke or acute chest syndrome, increases the risk of recurrent events and long-term organ damage (Miller and </w:t>
      </w:r>
      <w:proofErr w:type="spellStart"/>
      <w:r w:rsidRPr="0016081C">
        <w:rPr>
          <w:lang w:val="en-IN"/>
        </w:rPr>
        <w:t>Gladwin</w:t>
      </w:r>
      <w:proofErr w:type="spellEnd"/>
      <w:r w:rsidRPr="0016081C">
        <w:rPr>
          <w:lang w:val="en-IN"/>
        </w:rPr>
        <w:t xml:space="preserve">, 2012; Sharma </w:t>
      </w:r>
      <w:r w:rsidRPr="0016081C">
        <w:rPr>
          <w:i/>
          <w:iCs/>
          <w:lang w:val="en-IN"/>
        </w:rPr>
        <w:t>et al</w:t>
      </w:r>
      <w:r w:rsidRPr="0016081C">
        <w:rPr>
          <w:lang w:val="en-IN"/>
        </w:rPr>
        <w:t xml:space="preserve">., 2025). </w:t>
      </w:r>
    </w:p>
    <w:p w14:paraId="20C1EDC7" w14:textId="1054CC33" w:rsidR="0016081C" w:rsidRPr="0016081C" w:rsidRDefault="0016081C" w:rsidP="0016081C">
      <w:pPr>
        <w:numPr>
          <w:ilvl w:val="0"/>
          <w:numId w:val="46"/>
        </w:numPr>
        <w:spacing w:line="360" w:lineRule="auto"/>
        <w:rPr>
          <w:lang w:val="en-IN"/>
        </w:rPr>
      </w:pPr>
      <w:r w:rsidRPr="0016081C">
        <w:rPr>
          <w:lang w:val="en-IN"/>
        </w:rPr>
        <w:t xml:space="preserve">Genetics plays an important role beyond the primary mutation, as modifiers such as </w:t>
      </w:r>
      <w:proofErr w:type="spellStart"/>
      <w:r w:rsidRPr="0016081C">
        <w:rPr>
          <w:lang w:val="en-IN"/>
        </w:rPr>
        <w:t>fetal</w:t>
      </w:r>
      <w:proofErr w:type="spellEnd"/>
      <w:r w:rsidRPr="0016081C">
        <w:rPr>
          <w:lang w:val="en-IN"/>
        </w:rPr>
        <w:t xml:space="preserve"> haemoglobin levels and </w:t>
      </w:r>
      <w:proofErr w:type="spellStart"/>
      <w:r w:rsidRPr="0016081C">
        <w:rPr>
          <w:lang w:val="en-IN"/>
        </w:rPr>
        <w:t>alpha-</w:t>
      </w:r>
      <w:r w:rsidR="00973A09">
        <w:rPr>
          <w:lang w:val="en-IN"/>
        </w:rPr>
        <w:t>thalassemia</w:t>
      </w:r>
      <w:proofErr w:type="spellEnd"/>
      <w:r w:rsidRPr="0016081C">
        <w:rPr>
          <w:lang w:val="en-IN"/>
        </w:rPr>
        <w:t xml:space="preserve"> co-inheritance significantly influence disease severity (</w:t>
      </w:r>
      <w:proofErr w:type="spellStart"/>
      <w:r w:rsidRPr="0016081C">
        <w:rPr>
          <w:lang w:val="en-IN"/>
        </w:rPr>
        <w:t>Kato</w:t>
      </w:r>
      <w:proofErr w:type="spellEnd"/>
      <w:r w:rsidRPr="0016081C">
        <w:rPr>
          <w:lang w:val="en-IN"/>
        </w:rPr>
        <w:t xml:space="preserve"> </w:t>
      </w:r>
      <w:r w:rsidRPr="0016081C">
        <w:rPr>
          <w:i/>
          <w:iCs/>
          <w:lang w:val="en-IN"/>
        </w:rPr>
        <w:t>et al</w:t>
      </w:r>
      <w:r w:rsidRPr="0016081C">
        <w:rPr>
          <w:lang w:val="en-IN"/>
        </w:rPr>
        <w:t xml:space="preserve">., 2018; </w:t>
      </w:r>
      <w:proofErr w:type="spellStart"/>
      <w:r w:rsidRPr="0016081C">
        <w:rPr>
          <w:lang w:val="en-IN"/>
        </w:rPr>
        <w:t>Piel</w:t>
      </w:r>
      <w:proofErr w:type="spellEnd"/>
      <w:r w:rsidRPr="0016081C">
        <w:rPr>
          <w:lang w:val="en-IN"/>
        </w:rPr>
        <w:t xml:space="preserve"> </w:t>
      </w:r>
      <w:r w:rsidRPr="0016081C">
        <w:rPr>
          <w:i/>
          <w:iCs/>
          <w:lang w:val="en-IN"/>
        </w:rPr>
        <w:t>et al</w:t>
      </w:r>
      <w:r w:rsidRPr="0016081C">
        <w:rPr>
          <w:lang w:val="en-IN"/>
        </w:rPr>
        <w:t xml:space="preserve">., 2023). </w:t>
      </w:r>
    </w:p>
    <w:p w14:paraId="047F103D" w14:textId="77777777" w:rsidR="0016081C" w:rsidRPr="0016081C" w:rsidRDefault="0016081C" w:rsidP="0016081C">
      <w:pPr>
        <w:spacing w:line="360" w:lineRule="auto"/>
        <w:rPr>
          <w:b/>
          <w:bCs/>
          <w:lang w:val="en-IN"/>
        </w:rPr>
      </w:pPr>
      <w:r w:rsidRPr="0016081C">
        <w:rPr>
          <w:b/>
          <w:bCs/>
          <w:lang w:val="en-IN"/>
        </w:rPr>
        <w:t>Modifiable Risk Factors</w:t>
      </w:r>
    </w:p>
    <w:p w14:paraId="199E9881" w14:textId="6059AC3B" w:rsidR="0016081C" w:rsidRPr="0016081C" w:rsidRDefault="0016081C" w:rsidP="0016081C">
      <w:pPr>
        <w:numPr>
          <w:ilvl w:val="0"/>
          <w:numId w:val="47"/>
        </w:numPr>
        <w:spacing w:line="360" w:lineRule="auto"/>
        <w:rPr>
          <w:lang w:val="en-IN"/>
        </w:rPr>
      </w:pPr>
      <w:r w:rsidRPr="0016081C">
        <w:rPr>
          <w:lang w:val="en-IN"/>
        </w:rPr>
        <w:t xml:space="preserve">The most studied and most powerful modifiable risk factor is dehydration and infection, which act via promoting polymerisation and triggering </w:t>
      </w:r>
      <w:proofErr w:type="spellStart"/>
      <w:r w:rsidRPr="0016081C">
        <w:rPr>
          <w:lang w:val="en-IN"/>
        </w:rPr>
        <w:t>vaso-occlusive</w:t>
      </w:r>
      <w:proofErr w:type="spellEnd"/>
      <w:r w:rsidRPr="0016081C">
        <w:rPr>
          <w:lang w:val="en-IN"/>
        </w:rPr>
        <w:t xml:space="preserve"> crises (Patel </w:t>
      </w:r>
      <w:r w:rsidRPr="0016081C">
        <w:rPr>
          <w:i/>
          <w:iCs/>
          <w:lang w:val="en-IN"/>
        </w:rPr>
        <w:t>et al</w:t>
      </w:r>
      <w:r w:rsidRPr="0016081C">
        <w:rPr>
          <w:lang w:val="en-IN"/>
        </w:rPr>
        <w:t xml:space="preserve">., 2024; Jacob </w:t>
      </w:r>
      <w:r w:rsidRPr="0016081C">
        <w:rPr>
          <w:i/>
          <w:iCs/>
          <w:lang w:val="en-IN"/>
        </w:rPr>
        <w:t>et al</w:t>
      </w:r>
      <w:r w:rsidRPr="0016081C">
        <w:rPr>
          <w:lang w:val="en-IN"/>
        </w:rPr>
        <w:t xml:space="preserve">., 2025). </w:t>
      </w:r>
    </w:p>
    <w:p w14:paraId="744D4402" w14:textId="77777777" w:rsidR="0016081C" w:rsidRPr="0016081C" w:rsidRDefault="0016081C" w:rsidP="0016081C">
      <w:pPr>
        <w:numPr>
          <w:ilvl w:val="0"/>
          <w:numId w:val="47"/>
        </w:numPr>
        <w:spacing w:line="360" w:lineRule="auto"/>
        <w:rPr>
          <w:lang w:val="en-IN"/>
        </w:rPr>
      </w:pPr>
      <w:r w:rsidRPr="0016081C">
        <w:rPr>
          <w:lang w:val="en-IN"/>
        </w:rPr>
        <w:t xml:space="preserve">There is an increased risk of complications in individuals with poor access to specialist care, delayed treatment of crises, and lack of adherence to </w:t>
      </w:r>
      <w:proofErr w:type="spellStart"/>
      <w:r w:rsidRPr="0016081C">
        <w:rPr>
          <w:lang w:val="en-IN"/>
        </w:rPr>
        <w:t>hydroxyurea</w:t>
      </w:r>
      <w:proofErr w:type="spellEnd"/>
      <w:r w:rsidRPr="0016081C">
        <w:rPr>
          <w:lang w:val="en-IN"/>
        </w:rPr>
        <w:t xml:space="preserve"> or vaccination schedules, though the strength of evidence varies (NHS England, 2025; Sickle Cell Society, 2025). </w:t>
      </w:r>
    </w:p>
    <w:p w14:paraId="5336F4F1" w14:textId="5D8DAF75" w:rsidR="0016081C" w:rsidRPr="0016081C" w:rsidRDefault="0016081C" w:rsidP="0016081C">
      <w:pPr>
        <w:numPr>
          <w:ilvl w:val="0"/>
          <w:numId w:val="47"/>
        </w:numPr>
        <w:spacing w:line="360" w:lineRule="auto"/>
        <w:rPr>
          <w:lang w:val="en-IN"/>
        </w:rPr>
      </w:pPr>
      <w:r w:rsidRPr="0016081C">
        <w:rPr>
          <w:lang w:val="en-IN"/>
        </w:rPr>
        <w:t>Psychosocial and lifestyle factors, including stress, smoking, and poor nutrition, were recently described to play a role in triggering crises and worsening overall outcomes, supporting the need for holistic management (</w:t>
      </w:r>
      <w:proofErr w:type="spellStart"/>
      <w:r w:rsidRPr="0016081C">
        <w:rPr>
          <w:lang w:val="en-IN"/>
        </w:rPr>
        <w:t>Druye</w:t>
      </w:r>
      <w:proofErr w:type="spellEnd"/>
      <w:r w:rsidRPr="0016081C">
        <w:rPr>
          <w:lang w:val="en-IN"/>
        </w:rPr>
        <w:t xml:space="preserve"> </w:t>
      </w:r>
      <w:r w:rsidRPr="0016081C">
        <w:rPr>
          <w:i/>
          <w:iCs/>
          <w:lang w:val="en-IN"/>
        </w:rPr>
        <w:t>et al</w:t>
      </w:r>
      <w:r w:rsidRPr="0016081C">
        <w:rPr>
          <w:lang w:val="en-IN"/>
        </w:rPr>
        <w:t xml:space="preserve">., 2024; Jacob </w:t>
      </w:r>
      <w:r w:rsidRPr="0016081C">
        <w:rPr>
          <w:i/>
          <w:iCs/>
          <w:lang w:val="en-IN"/>
        </w:rPr>
        <w:t>et al</w:t>
      </w:r>
      <w:r w:rsidRPr="0016081C">
        <w:rPr>
          <w:lang w:val="en-IN"/>
        </w:rPr>
        <w:t xml:space="preserve">., 2025). </w:t>
      </w:r>
    </w:p>
    <w:p w14:paraId="7E5F90E5" w14:textId="059E9BC2" w:rsidR="0016081C" w:rsidRPr="0016081C" w:rsidRDefault="0016081C" w:rsidP="0016081C">
      <w:pPr>
        <w:numPr>
          <w:ilvl w:val="0"/>
          <w:numId w:val="47"/>
        </w:numPr>
        <w:spacing w:line="360" w:lineRule="auto"/>
        <w:rPr>
          <w:lang w:val="en-IN"/>
        </w:rPr>
      </w:pPr>
      <w:r w:rsidRPr="0016081C">
        <w:rPr>
          <w:lang w:val="en-IN"/>
        </w:rPr>
        <w:t xml:space="preserve">It is possible to consider several modifiable risk factors, but the complexity of interaction between genetic, biological, and social determinants complicates implementation of effective prevention programmes (Patel </w:t>
      </w:r>
      <w:r w:rsidRPr="0016081C">
        <w:rPr>
          <w:i/>
          <w:iCs/>
          <w:lang w:val="en-IN"/>
        </w:rPr>
        <w:t>et al</w:t>
      </w:r>
      <w:r w:rsidRPr="0016081C">
        <w:rPr>
          <w:lang w:val="en-IN"/>
        </w:rPr>
        <w:t>., 2024; NHS England, 2025).</w:t>
      </w:r>
    </w:p>
    <w:p w14:paraId="106C3596" w14:textId="77777777" w:rsidR="00911E81" w:rsidRPr="00937286" w:rsidRDefault="003104A8" w:rsidP="0016081C">
      <w:pPr>
        <w:pStyle w:val="Heading1"/>
        <w:spacing w:line="360" w:lineRule="auto"/>
      </w:pPr>
      <w:bookmarkStart w:id="4" w:name="_Toc233280374"/>
      <w:r w:rsidRPr="00937286">
        <w:t>Physical, Psychological &amp; Social Impact Physical Impact</w:t>
      </w:r>
      <w:bookmarkEnd w:id="4"/>
    </w:p>
    <w:p w14:paraId="48E3C2C7" w14:textId="05B73F14" w:rsidR="00121101" w:rsidRPr="00937286" w:rsidRDefault="00121101" w:rsidP="00334FE5">
      <w:pPr>
        <w:pStyle w:val="Heading2"/>
        <w:spacing w:line="360" w:lineRule="auto"/>
      </w:pPr>
      <w:bookmarkStart w:id="5" w:name="_Toc233280375"/>
      <w:r w:rsidRPr="00937286">
        <w:t>Physical Impact</w:t>
      </w:r>
      <w:bookmarkEnd w:id="5"/>
      <w:r w:rsidRPr="00937286">
        <w:t xml:space="preserve"> </w:t>
      </w:r>
    </w:p>
    <w:p w14:paraId="46D24D40" w14:textId="10959F4C" w:rsidR="00177759" w:rsidRPr="00937286" w:rsidRDefault="00177759" w:rsidP="00334FE5">
      <w:pPr>
        <w:pStyle w:val="BodyText"/>
        <w:spacing w:line="360" w:lineRule="auto"/>
        <w:jc w:val="center"/>
      </w:pPr>
      <w:r w:rsidRPr="00937286">
        <w:rPr>
          <w:noProof/>
        </w:rPr>
        <w:lastRenderedPageBreak/>
        <w:drawing>
          <wp:inline distT="0" distB="0" distL="0" distR="0" wp14:anchorId="35A7EBFD" wp14:editId="451648A5">
            <wp:extent cx="5639362" cy="4084320"/>
            <wp:effectExtent l="0" t="0" r="0" b="0"/>
            <wp:docPr id="1853256048" name="Picture 5" descr="Sickle cell disease | Nature Reviews Disease Pri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ickle cell disease | Nature Reviews Disease Prim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0507" cy="4085149"/>
                    </a:xfrm>
                    <a:prstGeom prst="rect">
                      <a:avLst/>
                    </a:prstGeom>
                    <a:noFill/>
                    <a:ln>
                      <a:noFill/>
                    </a:ln>
                  </pic:spPr>
                </pic:pic>
              </a:graphicData>
            </a:graphic>
          </wp:inline>
        </w:drawing>
      </w:r>
    </w:p>
    <w:p w14:paraId="22508573" w14:textId="77777777" w:rsidR="00911E81" w:rsidRPr="00937286" w:rsidRDefault="003104A8" w:rsidP="00334FE5">
      <w:pPr>
        <w:pStyle w:val="FirstParagraph"/>
        <w:spacing w:line="360" w:lineRule="auto"/>
        <w:jc w:val="center"/>
        <w:rPr>
          <w:rFonts w:cs="Times New Roman"/>
          <w:b/>
          <w:bCs/>
        </w:rPr>
      </w:pPr>
      <w:r w:rsidRPr="00937286">
        <w:rPr>
          <w:rFonts w:cs="Times New Roman"/>
          <w:b/>
          <w:bCs/>
        </w:rPr>
        <w:t xml:space="preserve">Figure 4: </w:t>
      </w:r>
      <w:r w:rsidRPr="00937286">
        <w:rPr>
          <w:rFonts w:cs="Times New Roman"/>
        </w:rPr>
        <w:t>Physical Impact of SCD</w:t>
      </w:r>
    </w:p>
    <w:p w14:paraId="64B22263" w14:textId="5AAF2B14" w:rsidR="002C0985" w:rsidRPr="00937286" w:rsidRDefault="002C0985" w:rsidP="00334FE5">
      <w:pPr>
        <w:spacing w:line="360" w:lineRule="auto"/>
        <w:rPr>
          <w:rStyle w:val="VerbatimChar"/>
          <w:rFonts w:ascii="Times New Roman" w:hAnsi="Times New Roman" w:cs="Times New Roman"/>
          <w:sz w:val="24"/>
        </w:rPr>
      </w:pPr>
      <w:r w:rsidRPr="00937286">
        <w:rPr>
          <w:rStyle w:val="VerbatimChar"/>
          <w:rFonts w:ascii="Times New Roman" w:hAnsi="Times New Roman" w:cs="Times New Roman"/>
          <w:sz w:val="24"/>
        </w:rPr>
        <w:t xml:space="preserve">The symptoms associated with SCD include severe pain crises, </w:t>
      </w:r>
      <w:r w:rsidR="00EE4FE4" w:rsidRPr="00937286">
        <w:rPr>
          <w:rStyle w:val="VerbatimChar"/>
          <w:rFonts w:ascii="Times New Roman" w:hAnsi="Times New Roman" w:cs="Times New Roman"/>
          <w:sz w:val="24"/>
        </w:rPr>
        <w:t>hemolytic</w:t>
      </w:r>
      <w:r w:rsidRPr="00937286">
        <w:rPr>
          <w:rStyle w:val="VerbatimChar"/>
          <w:rFonts w:ascii="Times New Roman" w:hAnsi="Times New Roman" w:cs="Times New Roman"/>
          <w:sz w:val="24"/>
        </w:rPr>
        <w:t xml:space="preserve"> anaemia, and susceptibility to infection resulting in decreased mobility and reduced performance of daily activities (</w:t>
      </w:r>
      <w:proofErr w:type="spellStart"/>
      <w:r w:rsidRPr="00937286">
        <w:rPr>
          <w:rStyle w:val="VerbatimChar"/>
          <w:rFonts w:ascii="Times New Roman" w:hAnsi="Times New Roman" w:cs="Times New Roman"/>
          <w:sz w:val="24"/>
        </w:rPr>
        <w:t>Kato</w:t>
      </w:r>
      <w:proofErr w:type="spellEnd"/>
      <w:r w:rsidRPr="00937286">
        <w:rPr>
          <w:rStyle w:val="VerbatimChar"/>
          <w:rFonts w:ascii="Times New Roman" w:hAnsi="Times New Roman" w:cs="Times New Roman"/>
          <w:sz w:val="24"/>
        </w:rPr>
        <w:t xml:space="preserve"> </w:t>
      </w:r>
      <w:r w:rsidR="0016081C" w:rsidRPr="0016081C">
        <w:rPr>
          <w:rStyle w:val="VerbatimChar"/>
          <w:rFonts w:ascii="Times New Roman" w:hAnsi="Times New Roman" w:cs="Times New Roman"/>
          <w:i/>
          <w:iCs/>
          <w:sz w:val="24"/>
        </w:rPr>
        <w:t>et al</w:t>
      </w:r>
      <w:r w:rsidRPr="00937286">
        <w:rPr>
          <w:rStyle w:val="VerbatimChar"/>
          <w:rFonts w:ascii="Times New Roman" w:hAnsi="Times New Roman" w:cs="Times New Roman"/>
          <w:sz w:val="24"/>
        </w:rPr>
        <w:t xml:space="preserve">., 2018; Kunz and </w:t>
      </w:r>
      <w:proofErr w:type="spellStart"/>
      <w:r w:rsidRPr="00937286">
        <w:rPr>
          <w:rStyle w:val="VerbatimChar"/>
          <w:rFonts w:ascii="Times New Roman" w:hAnsi="Times New Roman" w:cs="Times New Roman"/>
          <w:sz w:val="24"/>
        </w:rPr>
        <w:t>Tagliaferri</w:t>
      </w:r>
      <w:proofErr w:type="spellEnd"/>
      <w:r w:rsidRPr="00937286">
        <w:rPr>
          <w:rStyle w:val="VerbatimChar"/>
          <w:rFonts w:ascii="Times New Roman" w:hAnsi="Times New Roman" w:cs="Times New Roman"/>
          <w:sz w:val="24"/>
        </w:rPr>
        <w:t>, 2024).</w:t>
      </w:r>
      <w:r w:rsidR="00334FE5">
        <w:rPr>
          <w:rStyle w:val="VerbatimChar"/>
          <w:rFonts w:ascii="Times New Roman" w:hAnsi="Times New Roman" w:cs="Times New Roman"/>
          <w:sz w:val="24"/>
        </w:rPr>
        <w:t xml:space="preserve"> </w:t>
      </w:r>
      <w:r w:rsidRPr="00937286">
        <w:rPr>
          <w:rStyle w:val="VerbatimChar"/>
          <w:rFonts w:ascii="Times New Roman" w:hAnsi="Times New Roman" w:cs="Times New Roman"/>
          <w:sz w:val="24"/>
        </w:rPr>
        <w:t xml:space="preserve">Severe pain may not always be predictable, but it can become regular and debilitating, affecting patients’ mobility and making it hard to perform their job or study and also reducing sleep (Miller and </w:t>
      </w:r>
      <w:proofErr w:type="spellStart"/>
      <w:r w:rsidRPr="00937286">
        <w:rPr>
          <w:rStyle w:val="VerbatimChar"/>
          <w:rFonts w:ascii="Times New Roman" w:hAnsi="Times New Roman" w:cs="Times New Roman"/>
          <w:sz w:val="24"/>
        </w:rPr>
        <w:t>Gladwin</w:t>
      </w:r>
      <w:proofErr w:type="spellEnd"/>
      <w:r w:rsidRPr="00937286">
        <w:rPr>
          <w:rStyle w:val="VerbatimChar"/>
          <w:rFonts w:ascii="Times New Roman" w:hAnsi="Times New Roman" w:cs="Times New Roman"/>
          <w:sz w:val="24"/>
        </w:rPr>
        <w:t xml:space="preserve">, 2012; Jacob </w:t>
      </w:r>
      <w:r w:rsidR="0016081C" w:rsidRPr="0016081C">
        <w:rPr>
          <w:rStyle w:val="VerbatimChar"/>
          <w:rFonts w:ascii="Times New Roman" w:hAnsi="Times New Roman" w:cs="Times New Roman"/>
          <w:i/>
          <w:iCs/>
          <w:sz w:val="24"/>
        </w:rPr>
        <w:t>et al</w:t>
      </w:r>
      <w:r w:rsidRPr="00937286">
        <w:rPr>
          <w:rStyle w:val="VerbatimChar"/>
          <w:rFonts w:ascii="Times New Roman" w:hAnsi="Times New Roman" w:cs="Times New Roman"/>
          <w:sz w:val="24"/>
        </w:rPr>
        <w:t>., 2025).</w:t>
      </w:r>
    </w:p>
    <w:p w14:paraId="2CFA8A9E" w14:textId="35AA075B" w:rsidR="002C0985" w:rsidRPr="00937286" w:rsidRDefault="002C0985" w:rsidP="00334FE5">
      <w:pPr>
        <w:spacing w:line="360" w:lineRule="auto"/>
        <w:rPr>
          <w:rStyle w:val="VerbatimChar"/>
          <w:rFonts w:ascii="Times New Roman" w:hAnsi="Times New Roman" w:cs="Times New Roman"/>
          <w:sz w:val="24"/>
        </w:rPr>
      </w:pPr>
      <w:r w:rsidRPr="00937286">
        <w:rPr>
          <w:rStyle w:val="VerbatimChar"/>
          <w:rFonts w:ascii="Times New Roman" w:hAnsi="Times New Roman" w:cs="Times New Roman"/>
          <w:sz w:val="24"/>
        </w:rPr>
        <w:t xml:space="preserve">Organ damage such as stroke, acute chest syndrome, pulmonary hypertension, </w:t>
      </w:r>
      <w:proofErr w:type="spellStart"/>
      <w:r w:rsidRPr="00937286">
        <w:rPr>
          <w:rStyle w:val="VerbatimChar"/>
          <w:rFonts w:ascii="Times New Roman" w:hAnsi="Times New Roman" w:cs="Times New Roman"/>
          <w:sz w:val="24"/>
        </w:rPr>
        <w:t>nephropathy</w:t>
      </w:r>
      <w:proofErr w:type="spellEnd"/>
      <w:r w:rsidRPr="00937286">
        <w:rPr>
          <w:rStyle w:val="VerbatimChar"/>
          <w:rFonts w:ascii="Times New Roman" w:hAnsi="Times New Roman" w:cs="Times New Roman"/>
          <w:sz w:val="24"/>
        </w:rPr>
        <w:t xml:space="preserve">, and avascular necrosis impacts the ability to perform tasks, increasing the risk of long-term complications, particularly in adult patients (Sharma </w:t>
      </w:r>
      <w:r w:rsidR="0016081C" w:rsidRPr="0016081C">
        <w:rPr>
          <w:rStyle w:val="VerbatimChar"/>
          <w:rFonts w:ascii="Times New Roman" w:hAnsi="Times New Roman" w:cs="Times New Roman"/>
          <w:i/>
          <w:iCs/>
          <w:sz w:val="24"/>
        </w:rPr>
        <w:t>et al</w:t>
      </w:r>
      <w:r w:rsidRPr="00937286">
        <w:rPr>
          <w:rStyle w:val="VerbatimChar"/>
          <w:rFonts w:ascii="Times New Roman" w:hAnsi="Times New Roman" w:cs="Times New Roman"/>
          <w:sz w:val="24"/>
        </w:rPr>
        <w:t xml:space="preserve">., 2025; Kunz and </w:t>
      </w:r>
      <w:proofErr w:type="spellStart"/>
      <w:r w:rsidRPr="00937286">
        <w:rPr>
          <w:rStyle w:val="VerbatimChar"/>
          <w:rFonts w:ascii="Times New Roman" w:hAnsi="Times New Roman" w:cs="Times New Roman"/>
          <w:sz w:val="24"/>
        </w:rPr>
        <w:t>Tagliaferri</w:t>
      </w:r>
      <w:proofErr w:type="spellEnd"/>
      <w:r w:rsidRPr="00937286">
        <w:rPr>
          <w:rStyle w:val="VerbatimChar"/>
          <w:rFonts w:ascii="Times New Roman" w:hAnsi="Times New Roman" w:cs="Times New Roman"/>
          <w:sz w:val="24"/>
        </w:rPr>
        <w:t>, 2024).</w:t>
      </w:r>
      <w:r w:rsidR="00334FE5">
        <w:rPr>
          <w:rStyle w:val="VerbatimChar"/>
          <w:rFonts w:ascii="Times New Roman" w:hAnsi="Times New Roman" w:cs="Times New Roman"/>
          <w:sz w:val="24"/>
        </w:rPr>
        <w:t xml:space="preserve"> </w:t>
      </w:r>
      <w:r w:rsidRPr="00937286">
        <w:rPr>
          <w:rStyle w:val="VerbatimChar"/>
          <w:rFonts w:ascii="Times New Roman" w:hAnsi="Times New Roman" w:cs="Times New Roman"/>
          <w:sz w:val="24"/>
        </w:rPr>
        <w:t xml:space="preserve">Some additional diseases accompany SCD, like heart problems, kidney disease, and pain conditions, making functioning even harder (Miller and </w:t>
      </w:r>
      <w:proofErr w:type="spellStart"/>
      <w:r w:rsidRPr="00937286">
        <w:rPr>
          <w:rStyle w:val="VerbatimChar"/>
          <w:rFonts w:ascii="Times New Roman" w:hAnsi="Times New Roman" w:cs="Times New Roman"/>
          <w:sz w:val="24"/>
        </w:rPr>
        <w:t>Gladwin</w:t>
      </w:r>
      <w:proofErr w:type="spellEnd"/>
      <w:r w:rsidRPr="00937286">
        <w:rPr>
          <w:rStyle w:val="VerbatimChar"/>
          <w:rFonts w:ascii="Times New Roman" w:hAnsi="Times New Roman" w:cs="Times New Roman"/>
          <w:sz w:val="24"/>
        </w:rPr>
        <w:t xml:space="preserve">, 2012; Jacob </w:t>
      </w:r>
      <w:r w:rsidR="0016081C" w:rsidRPr="0016081C">
        <w:rPr>
          <w:rStyle w:val="VerbatimChar"/>
          <w:rFonts w:ascii="Times New Roman" w:hAnsi="Times New Roman" w:cs="Times New Roman"/>
          <w:i/>
          <w:iCs/>
          <w:sz w:val="24"/>
        </w:rPr>
        <w:t>et al</w:t>
      </w:r>
      <w:r w:rsidRPr="00937286">
        <w:rPr>
          <w:rStyle w:val="VerbatimChar"/>
          <w:rFonts w:ascii="Times New Roman" w:hAnsi="Times New Roman" w:cs="Times New Roman"/>
          <w:sz w:val="24"/>
        </w:rPr>
        <w:t>., 2025).</w:t>
      </w:r>
      <w:r w:rsidR="00334FE5">
        <w:rPr>
          <w:rStyle w:val="VerbatimChar"/>
          <w:rFonts w:ascii="Times New Roman" w:hAnsi="Times New Roman" w:cs="Times New Roman"/>
          <w:sz w:val="24"/>
        </w:rPr>
        <w:t xml:space="preserve"> </w:t>
      </w:r>
      <w:r w:rsidRPr="00937286">
        <w:rPr>
          <w:rStyle w:val="VerbatimChar"/>
          <w:rFonts w:ascii="Times New Roman" w:hAnsi="Times New Roman" w:cs="Times New Roman"/>
          <w:sz w:val="24"/>
        </w:rPr>
        <w:t xml:space="preserve">Fatigue, despite being often underestimated, is one of the most prevalent symptoms, which affects </w:t>
      </w:r>
      <w:r w:rsidRPr="00937286">
        <w:rPr>
          <w:rStyle w:val="VerbatimChar"/>
          <w:rFonts w:ascii="Times New Roman" w:hAnsi="Times New Roman" w:cs="Times New Roman"/>
          <w:sz w:val="24"/>
        </w:rPr>
        <w:lastRenderedPageBreak/>
        <w:t>patients' physical function and is highly correlated with anaemia, pain, and sleep disorders (</w:t>
      </w:r>
      <w:proofErr w:type="spellStart"/>
      <w:r w:rsidRPr="00937286">
        <w:rPr>
          <w:rStyle w:val="VerbatimChar"/>
          <w:rFonts w:ascii="Times New Roman" w:hAnsi="Times New Roman" w:cs="Times New Roman"/>
          <w:sz w:val="24"/>
        </w:rPr>
        <w:t>Druye</w:t>
      </w:r>
      <w:proofErr w:type="spellEnd"/>
      <w:r w:rsidRPr="00937286">
        <w:rPr>
          <w:rStyle w:val="VerbatimChar"/>
          <w:rFonts w:ascii="Times New Roman" w:hAnsi="Times New Roman" w:cs="Times New Roman"/>
          <w:sz w:val="24"/>
        </w:rPr>
        <w:t xml:space="preserve"> </w:t>
      </w:r>
      <w:r w:rsidR="0016081C" w:rsidRPr="0016081C">
        <w:rPr>
          <w:rStyle w:val="VerbatimChar"/>
          <w:rFonts w:ascii="Times New Roman" w:hAnsi="Times New Roman" w:cs="Times New Roman"/>
          <w:i/>
          <w:iCs/>
          <w:sz w:val="24"/>
        </w:rPr>
        <w:t>et al</w:t>
      </w:r>
      <w:r w:rsidRPr="00937286">
        <w:rPr>
          <w:rStyle w:val="VerbatimChar"/>
          <w:rFonts w:ascii="Times New Roman" w:hAnsi="Times New Roman" w:cs="Times New Roman"/>
          <w:sz w:val="24"/>
        </w:rPr>
        <w:t xml:space="preserve">., 2024; Sharma </w:t>
      </w:r>
      <w:r w:rsidR="0016081C" w:rsidRPr="0016081C">
        <w:rPr>
          <w:rStyle w:val="VerbatimChar"/>
          <w:rFonts w:ascii="Times New Roman" w:hAnsi="Times New Roman" w:cs="Times New Roman"/>
          <w:i/>
          <w:iCs/>
          <w:sz w:val="24"/>
        </w:rPr>
        <w:t>et al</w:t>
      </w:r>
      <w:r w:rsidRPr="00937286">
        <w:rPr>
          <w:rStyle w:val="VerbatimChar"/>
          <w:rFonts w:ascii="Times New Roman" w:hAnsi="Times New Roman" w:cs="Times New Roman"/>
          <w:sz w:val="24"/>
        </w:rPr>
        <w:t>., 2025).</w:t>
      </w:r>
    </w:p>
    <w:p w14:paraId="0674DCCC" w14:textId="6707B012" w:rsidR="00911E81" w:rsidRPr="00937286" w:rsidRDefault="003104A8" w:rsidP="00334FE5">
      <w:pPr>
        <w:pStyle w:val="Heading2"/>
        <w:spacing w:line="360" w:lineRule="auto"/>
      </w:pPr>
      <w:bookmarkStart w:id="6" w:name="_Toc233280376"/>
      <w:r w:rsidRPr="00937286">
        <w:t>Psychological Impact</w:t>
      </w:r>
      <w:bookmarkEnd w:id="6"/>
    </w:p>
    <w:p w14:paraId="6DAB694D" w14:textId="514DD188" w:rsidR="00177759" w:rsidRPr="00937286" w:rsidRDefault="00177759" w:rsidP="00334FE5">
      <w:pPr>
        <w:pStyle w:val="BodyText"/>
        <w:spacing w:line="360" w:lineRule="auto"/>
        <w:jc w:val="center"/>
      </w:pPr>
      <w:r w:rsidRPr="00937286">
        <w:rPr>
          <w:noProof/>
        </w:rPr>
        <w:drawing>
          <wp:inline distT="0" distB="0" distL="0" distR="0" wp14:anchorId="51CCF99B" wp14:editId="52701C8C">
            <wp:extent cx="5671992" cy="4360228"/>
            <wp:effectExtent l="0" t="0" r="0" b="0"/>
            <wp:docPr id="9901802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84949" cy="4370189"/>
                    </a:xfrm>
                    <a:prstGeom prst="rect">
                      <a:avLst/>
                    </a:prstGeom>
                    <a:noFill/>
                  </pic:spPr>
                </pic:pic>
              </a:graphicData>
            </a:graphic>
          </wp:inline>
        </w:drawing>
      </w:r>
    </w:p>
    <w:p w14:paraId="7388DB5F" w14:textId="721CA84C" w:rsidR="00123E36" w:rsidRPr="00937286" w:rsidRDefault="003104A8" w:rsidP="00334FE5">
      <w:pPr>
        <w:pStyle w:val="BodyText"/>
        <w:spacing w:line="360" w:lineRule="auto"/>
        <w:jc w:val="center"/>
        <w:rPr>
          <w:rFonts w:cs="Times New Roman"/>
        </w:rPr>
      </w:pPr>
      <w:r w:rsidRPr="00937286">
        <w:rPr>
          <w:rFonts w:cs="Times New Roman"/>
          <w:b/>
          <w:bCs/>
        </w:rPr>
        <w:t xml:space="preserve">Figure 5: </w:t>
      </w:r>
      <w:r w:rsidRPr="00937286">
        <w:rPr>
          <w:rFonts w:cs="Times New Roman"/>
        </w:rPr>
        <w:t>Psychological Impact of SCD</w:t>
      </w:r>
    </w:p>
    <w:p w14:paraId="6237449F" w14:textId="04AE9B7A" w:rsidR="002C0985" w:rsidRPr="00937286" w:rsidRDefault="002C0985" w:rsidP="00334FE5">
      <w:pPr>
        <w:spacing w:line="360" w:lineRule="auto"/>
      </w:pPr>
      <w:r w:rsidRPr="00937286">
        <w:t>The prevalence of anxiety and depression disorders in people with SCD is very high when compared to the general population (</w:t>
      </w:r>
      <w:proofErr w:type="spellStart"/>
      <w:r w:rsidRPr="00937286">
        <w:t>Druye</w:t>
      </w:r>
      <w:proofErr w:type="spellEnd"/>
      <w:r w:rsidRPr="00937286">
        <w:t xml:space="preserve"> </w:t>
      </w:r>
      <w:r w:rsidR="0016081C" w:rsidRPr="0016081C">
        <w:rPr>
          <w:i/>
          <w:iCs/>
        </w:rPr>
        <w:t>et al</w:t>
      </w:r>
      <w:r w:rsidRPr="00937286">
        <w:t xml:space="preserve">., 2024; Jacob </w:t>
      </w:r>
      <w:r w:rsidR="0016081C" w:rsidRPr="0016081C">
        <w:rPr>
          <w:i/>
          <w:iCs/>
        </w:rPr>
        <w:t>et al</w:t>
      </w:r>
      <w:r w:rsidRPr="00937286">
        <w:t>., 2025).</w:t>
      </w:r>
      <w:r w:rsidR="00334FE5">
        <w:t xml:space="preserve"> </w:t>
      </w:r>
      <w:r w:rsidRPr="00937286">
        <w:t>It has been proven that there is an interaction between psychological distress and SCD in which pain and disability increase the likelihood of developing anxiety and depression, while these diseases exacerbate pain sensitivity and coping skills (</w:t>
      </w:r>
      <w:proofErr w:type="spellStart"/>
      <w:r w:rsidRPr="00937286">
        <w:t>Druye</w:t>
      </w:r>
      <w:proofErr w:type="spellEnd"/>
      <w:r w:rsidRPr="00937286">
        <w:t xml:space="preserve"> </w:t>
      </w:r>
      <w:r w:rsidR="0016081C" w:rsidRPr="0016081C">
        <w:rPr>
          <w:i/>
          <w:iCs/>
        </w:rPr>
        <w:t>et al</w:t>
      </w:r>
      <w:r w:rsidRPr="00937286">
        <w:t xml:space="preserve">., 2024; Jacob </w:t>
      </w:r>
      <w:r w:rsidR="0016081C" w:rsidRPr="0016081C">
        <w:rPr>
          <w:i/>
          <w:iCs/>
        </w:rPr>
        <w:t>et al</w:t>
      </w:r>
      <w:r w:rsidRPr="00937286">
        <w:t>., 2025).</w:t>
      </w:r>
      <w:r w:rsidR="00334FE5">
        <w:t xml:space="preserve"> </w:t>
      </w:r>
      <w:r w:rsidRPr="00937286">
        <w:t xml:space="preserve">Fear of crises and development of disease is a common phenomenon, resulting in sedentary behavior, </w:t>
      </w:r>
      <w:proofErr w:type="spellStart"/>
      <w:r w:rsidRPr="00937286">
        <w:t>kinesiophobia</w:t>
      </w:r>
      <w:proofErr w:type="spellEnd"/>
      <w:r w:rsidRPr="00937286">
        <w:t xml:space="preserve">, and low quality of life (Jacob </w:t>
      </w:r>
      <w:r w:rsidR="0016081C" w:rsidRPr="0016081C">
        <w:rPr>
          <w:i/>
          <w:iCs/>
        </w:rPr>
        <w:t>et al</w:t>
      </w:r>
      <w:r w:rsidRPr="00937286">
        <w:t>., 2025; NHS England, 2025).</w:t>
      </w:r>
    </w:p>
    <w:p w14:paraId="2256B8CF" w14:textId="6B0949D9" w:rsidR="002C0985" w:rsidRPr="00937286" w:rsidRDefault="002C0985" w:rsidP="00334FE5">
      <w:pPr>
        <w:spacing w:line="360" w:lineRule="auto"/>
      </w:pPr>
      <w:r w:rsidRPr="00937286">
        <w:lastRenderedPageBreak/>
        <w:t>Negative influence of psychological distress on treatment adherence, engagement in self-care activities, and patients' satisfaction with healthcare was also found (</w:t>
      </w:r>
      <w:proofErr w:type="spellStart"/>
      <w:r w:rsidRPr="00937286">
        <w:t>Druye</w:t>
      </w:r>
      <w:proofErr w:type="spellEnd"/>
      <w:r w:rsidRPr="00937286">
        <w:t xml:space="preserve"> </w:t>
      </w:r>
      <w:r w:rsidR="0016081C" w:rsidRPr="0016081C">
        <w:rPr>
          <w:i/>
          <w:iCs/>
        </w:rPr>
        <w:t>et al</w:t>
      </w:r>
      <w:r w:rsidRPr="00937286">
        <w:t xml:space="preserve">., 2024; Jacob </w:t>
      </w:r>
      <w:r w:rsidR="0016081C" w:rsidRPr="0016081C">
        <w:rPr>
          <w:i/>
          <w:iCs/>
        </w:rPr>
        <w:t>et al</w:t>
      </w:r>
      <w:r w:rsidRPr="00937286">
        <w:t>., 2025).</w:t>
      </w:r>
      <w:r w:rsidR="00334FE5">
        <w:t xml:space="preserve"> </w:t>
      </w:r>
      <w:r w:rsidRPr="00937286">
        <w:t xml:space="preserve">Despite proven negative influence of the condition on the mental well-being of patients, psychological interventions are not included in care pathways for SCD patients in the UK (Jacob </w:t>
      </w:r>
      <w:r w:rsidR="0016081C" w:rsidRPr="0016081C">
        <w:rPr>
          <w:i/>
          <w:iCs/>
        </w:rPr>
        <w:t>et al</w:t>
      </w:r>
      <w:r w:rsidRPr="00937286">
        <w:t>., 2025; NHS England, 2025).</w:t>
      </w:r>
    </w:p>
    <w:p w14:paraId="602111DD" w14:textId="303CAA1C" w:rsidR="00911E81" w:rsidRPr="00937286" w:rsidRDefault="003104A8" w:rsidP="00334FE5">
      <w:pPr>
        <w:pStyle w:val="Heading2"/>
        <w:spacing w:line="360" w:lineRule="auto"/>
      </w:pPr>
      <w:bookmarkStart w:id="7" w:name="_Toc233280377"/>
      <w:r w:rsidRPr="00937286">
        <w:t>Social Impact</w:t>
      </w:r>
      <w:bookmarkEnd w:id="7"/>
    </w:p>
    <w:p w14:paraId="26BA0EDF" w14:textId="7CE04559" w:rsidR="00177759" w:rsidRPr="00937286" w:rsidRDefault="00177759" w:rsidP="00334FE5">
      <w:pPr>
        <w:pStyle w:val="BodyText"/>
        <w:spacing w:line="360" w:lineRule="auto"/>
        <w:jc w:val="center"/>
      </w:pPr>
      <w:r w:rsidRPr="00937286">
        <w:rPr>
          <w:noProof/>
        </w:rPr>
        <w:drawing>
          <wp:inline distT="0" distB="0" distL="0" distR="0" wp14:anchorId="7BC54E25" wp14:editId="2CA2DEEE">
            <wp:extent cx="5943600" cy="3051810"/>
            <wp:effectExtent l="0" t="0" r="0" b="0"/>
            <wp:docPr id="1254130826" name="Picture 7" descr="Sickle cell disease: The psychological t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ickle cell disease: The psychological to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051810"/>
                    </a:xfrm>
                    <a:prstGeom prst="rect">
                      <a:avLst/>
                    </a:prstGeom>
                    <a:noFill/>
                    <a:ln>
                      <a:noFill/>
                    </a:ln>
                  </pic:spPr>
                </pic:pic>
              </a:graphicData>
            </a:graphic>
          </wp:inline>
        </w:drawing>
      </w:r>
    </w:p>
    <w:p w14:paraId="3BD76D9F" w14:textId="1FA107BF" w:rsidR="00123E36" w:rsidRPr="00937286" w:rsidRDefault="003104A8" w:rsidP="00334FE5">
      <w:pPr>
        <w:pStyle w:val="BodyText"/>
        <w:spacing w:line="360" w:lineRule="auto"/>
        <w:jc w:val="center"/>
        <w:rPr>
          <w:rFonts w:cs="Times New Roman"/>
        </w:rPr>
      </w:pPr>
      <w:r w:rsidRPr="00937286">
        <w:rPr>
          <w:rFonts w:cs="Times New Roman"/>
          <w:b/>
          <w:bCs/>
        </w:rPr>
        <w:t>Figure 6:</w:t>
      </w:r>
      <w:r w:rsidRPr="00937286">
        <w:rPr>
          <w:rFonts w:cs="Times New Roman"/>
        </w:rPr>
        <w:t xml:space="preserve"> Social Impact of SCD</w:t>
      </w:r>
    </w:p>
    <w:p w14:paraId="3BF48C24" w14:textId="172EE628" w:rsidR="002C0985" w:rsidRPr="00937286" w:rsidRDefault="002C0985" w:rsidP="00334FE5">
      <w:pPr>
        <w:spacing w:line="360" w:lineRule="auto"/>
      </w:pPr>
      <w:r w:rsidRPr="00937286">
        <w:t xml:space="preserve">SCD constitutes an important factor behind failure to maintain educational and work activity, as many individuals struggle with regular attendance at schools or workplaces due to pain and </w:t>
      </w:r>
      <w:proofErr w:type="spellStart"/>
      <w:r w:rsidRPr="00937286">
        <w:t>hospitalisation</w:t>
      </w:r>
      <w:proofErr w:type="spellEnd"/>
      <w:r w:rsidRPr="00937286">
        <w:t xml:space="preserve"> (</w:t>
      </w:r>
      <w:proofErr w:type="spellStart"/>
      <w:r w:rsidRPr="00937286">
        <w:t>Druye</w:t>
      </w:r>
      <w:proofErr w:type="spellEnd"/>
      <w:r w:rsidRPr="00937286">
        <w:t xml:space="preserve"> </w:t>
      </w:r>
      <w:r w:rsidR="0016081C" w:rsidRPr="0016081C">
        <w:rPr>
          <w:i/>
          <w:iCs/>
        </w:rPr>
        <w:t>et al</w:t>
      </w:r>
      <w:r w:rsidRPr="00937286">
        <w:t>., 2024; Sickle Cell Society, 2025).</w:t>
      </w:r>
      <w:r w:rsidR="00334FE5">
        <w:t xml:space="preserve"> </w:t>
      </w:r>
      <w:r w:rsidRPr="00937286">
        <w:t xml:space="preserve">Social withdrawal, loss of interest in leisure activities and feeling isolated may arise among some people owing to the chronic pain and fatigue, as well as frequent crises (Jacob </w:t>
      </w:r>
      <w:r w:rsidR="0016081C" w:rsidRPr="0016081C">
        <w:rPr>
          <w:i/>
          <w:iCs/>
        </w:rPr>
        <w:t>et al</w:t>
      </w:r>
      <w:r w:rsidRPr="00937286">
        <w:t>., 2025; NHS England, 2025).</w:t>
      </w:r>
    </w:p>
    <w:p w14:paraId="0737A3B7" w14:textId="3929E103" w:rsidR="002C0985" w:rsidRPr="00334FE5" w:rsidRDefault="002C0985" w:rsidP="00334FE5">
      <w:pPr>
        <w:spacing w:line="360" w:lineRule="auto"/>
      </w:pPr>
      <w:r w:rsidRPr="00937286">
        <w:t>The economic burden of SCD involves not only affected individuals but also includes financial losses, expenses of travel to specialist treatment facilities and the necessity to have additional assistance provided (Sickle Cell Society, 2025; NHS England, 2025).</w:t>
      </w:r>
      <w:r w:rsidR="00334FE5">
        <w:t xml:space="preserve"> </w:t>
      </w:r>
      <w:r w:rsidRPr="00937286">
        <w:t>The burden for families and informal caregivers may include stressful situation, disruption of the routine, financial burden, and additional care responsibilities which could potentially harm the wellbeing of the person (</w:t>
      </w:r>
      <w:proofErr w:type="spellStart"/>
      <w:r w:rsidRPr="00937286">
        <w:t>Druye</w:t>
      </w:r>
      <w:proofErr w:type="spellEnd"/>
      <w:r w:rsidRPr="00937286">
        <w:t xml:space="preserve"> </w:t>
      </w:r>
      <w:r w:rsidR="0016081C" w:rsidRPr="0016081C">
        <w:rPr>
          <w:i/>
          <w:iCs/>
        </w:rPr>
        <w:lastRenderedPageBreak/>
        <w:t>et al</w:t>
      </w:r>
      <w:r w:rsidRPr="00937286">
        <w:t xml:space="preserve">., 2024; Jacob </w:t>
      </w:r>
      <w:r w:rsidR="0016081C" w:rsidRPr="0016081C">
        <w:rPr>
          <w:i/>
          <w:iCs/>
        </w:rPr>
        <w:t>et al</w:t>
      </w:r>
      <w:r w:rsidRPr="00937286">
        <w:t>., 2025).</w:t>
      </w:r>
      <w:r w:rsidR="00334FE5">
        <w:t xml:space="preserve"> </w:t>
      </w:r>
      <w:r w:rsidRPr="00937286">
        <w:t>In addition, socioeconomic and ethnic disparities impact the social burden of SCD, since disadvantaged individuals have difficulties with receiving proper social and medical assistance (NHS England, 2025; Sickle Cell Society, 2025).</w:t>
      </w:r>
    </w:p>
    <w:p w14:paraId="63008CCD" w14:textId="4714E23A" w:rsidR="00911E81" w:rsidRPr="00937286" w:rsidRDefault="003104A8" w:rsidP="00334FE5">
      <w:pPr>
        <w:pStyle w:val="Heading1"/>
        <w:spacing w:line="360" w:lineRule="auto"/>
      </w:pPr>
      <w:bookmarkStart w:id="8" w:name="_Toc233280378"/>
      <w:r w:rsidRPr="00937286">
        <w:t>Evidence-Based Management in the UK</w:t>
      </w:r>
      <w:bookmarkEnd w:id="8"/>
    </w:p>
    <w:p w14:paraId="2909AD49" w14:textId="397FFFF0" w:rsidR="00177759" w:rsidRPr="00937286" w:rsidRDefault="00177759" w:rsidP="00334FE5">
      <w:pPr>
        <w:pStyle w:val="BodyText"/>
        <w:spacing w:line="360" w:lineRule="auto"/>
      </w:pPr>
      <w:r w:rsidRPr="00937286">
        <w:rPr>
          <w:noProof/>
        </w:rPr>
        <w:drawing>
          <wp:inline distT="0" distB="0" distL="0" distR="0" wp14:anchorId="5AAB36F8" wp14:editId="5336E6ED">
            <wp:extent cx="5943600" cy="5011420"/>
            <wp:effectExtent l="0" t="0" r="0" b="0"/>
            <wp:docPr id="1857152778" name="Picture 8" descr="Newer Modalities and Updates in the Management of Sickle Cell Disease: |  JBM | Dove Medical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wer Modalities and Updates in the Management of Sickle Cell Disease: |  JBM | Dove Medical Pres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011420"/>
                    </a:xfrm>
                    <a:prstGeom prst="rect">
                      <a:avLst/>
                    </a:prstGeom>
                    <a:noFill/>
                    <a:ln>
                      <a:noFill/>
                    </a:ln>
                  </pic:spPr>
                </pic:pic>
              </a:graphicData>
            </a:graphic>
          </wp:inline>
        </w:drawing>
      </w:r>
    </w:p>
    <w:p w14:paraId="56BFF354" w14:textId="0FCB27BD" w:rsidR="00123E36" w:rsidRPr="00937286" w:rsidRDefault="003104A8" w:rsidP="00334FE5">
      <w:pPr>
        <w:pStyle w:val="FirstParagraph"/>
        <w:spacing w:line="360" w:lineRule="auto"/>
        <w:jc w:val="center"/>
        <w:rPr>
          <w:rFonts w:cs="Times New Roman"/>
        </w:rPr>
      </w:pPr>
      <w:r w:rsidRPr="00937286">
        <w:rPr>
          <w:rFonts w:cs="Times New Roman"/>
          <w:b/>
          <w:bCs/>
        </w:rPr>
        <w:t>Figure 7:</w:t>
      </w:r>
      <w:r w:rsidRPr="00937286">
        <w:rPr>
          <w:rFonts w:cs="Times New Roman"/>
        </w:rPr>
        <w:t xml:space="preserve"> Evidence-Based Management in the UK</w:t>
      </w:r>
    </w:p>
    <w:p w14:paraId="606B00BE" w14:textId="15E9AE83" w:rsidR="002C0985" w:rsidRPr="00937286" w:rsidRDefault="002C0985" w:rsidP="00334FE5">
      <w:pPr>
        <w:spacing w:line="360" w:lineRule="auto"/>
      </w:pPr>
      <w:r w:rsidRPr="00937286">
        <w:t xml:space="preserve">Management of SCD within the UK depends upon national guidelines and specialist commissioning, under which holistic </w:t>
      </w:r>
      <w:proofErr w:type="spellStart"/>
      <w:r w:rsidRPr="00937286">
        <w:t>person-centred</w:t>
      </w:r>
      <w:proofErr w:type="spellEnd"/>
      <w:r w:rsidRPr="00937286">
        <w:t xml:space="preserve"> approach is crucial and involves patient education, </w:t>
      </w:r>
      <w:proofErr w:type="spellStart"/>
      <w:r w:rsidRPr="00937286">
        <w:t>hydroxyurea</w:t>
      </w:r>
      <w:proofErr w:type="spellEnd"/>
      <w:r w:rsidRPr="00937286">
        <w:t>, and overall support (NHS, 2026a; NICE, 2023).</w:t>
      </w:r>
      <w:r w:rsidR="00334FE5">
        <w:t xml:space="preserve"> </w:t>
      </w:r>
      <w:r w:rsidRPr="00937286">
        <w:t xml:space="preserve">Non-pharmacological and preventative treatment methods represent the basis for management of SCD. Vaccinations, penicillin prophylaxis, and trigger avoidance education represent the key interventions in order to </w:t>
      </w:r>
      <w:r w:rsidRPr="00937286">
        <w:lastRenderedPageBreak/>
        <w:t>decrease infection and crises (NHS, 2026b; Sickle Cell Society, 2025).</w:t>
      </w:r>
      <w:r w:rsidR="00334FE5">
        <w:t xml:space="preserve"> </w:t>
      </w:r>
      <w:r w:rsidRPr="00937286">
        <w:t xml:space="preserve">Patient education and self-management are critical components that will allow the patient to get more information on their condition, recognize early warning signs, and set realistic goals for everyday functioning (NHS, 2026c; Jacob </w:t>
      </w:r>
      <w:r w:rsidR="0016081C" w:rsidRPr="0016081C">
        <w:rPr>
          <w:i/>
          <w:iCs/>
        </w:rPr>
        <w:t>et al</w:t>
      </w:r>
      <w:r w:rsidRPr="00937286">
        <w:t>., 2025).</w:t>
      </w:r>
    </w:p>
    <w:p w14:paraId="3EF26838" w14:textId="3E67826C" w:rsidR="002C0985" w:rsidRPr="00937286" w:rsidRDefault="002C0985" w:rsidP="00334FE5">
      <w:pPr>
        <w:spacing w:line="360" w:lineRule="auto"/>
      </w:pPr>
      <w:r w:rsidRPr="00937286">
        <w:t xml:space="preserve">High-risk individuals require disease-modifying therapy using </w:t>
      </w:r>
      <w:proofErr w:type="spellStart"/>
      <w:r w:rsidRPr="00937286">
        <w:t>hydroxyurea</w:t>
      </w:r>
      <w:proofErr w:type="spellEnd"/>
      <w:r w:rsidRPr="00937286">
        <w:t xml:space="preserve"> in order to decrease the number of crises and necessity for transfusions (Patel </w:t>
      </w:r>
      <w:r w:rsidR="0016081C" w:rsidRPr="0016081C">
        <w:rPr>
          <w:i/>
          <w:iCs/>
        </w:rPr>
        <w:t>et al</w:t>
      </w:r>
      <w:r w:rsidRPr="00937286">
        <w:t xml:space="preserve">., 2024; </w:t>
      </w:r>
      <w:proofErr w:type="spellStart"/>
      <w:r w:rsidRPr="00937286">
        <w:t>Frangoul</w:t>
      </w:r>
      <w:proofErr w:type="spellEnd"/>
      <w:r w:rsidRPr="00937286">
        <w:t xml:space="preserve"> </w:t>
      </w:r>
      <w:r w:rsidR="0016081C" w:rsidRPr="0016081C">
        <w:rPr>
          <w:i/>
          <w:iCs/>
        </w:rPr>
        <w:t>et al</w:t>
      </w:r>
      <w:r w:rsidRPr="00937286">
        <w:t>., 2024).</w:t>
      </w:r>
      <w:r w:rsidR="00334FE5">
        <w:t xml:space="preserve"> </w:t>
      </w:r>
      <w:r w:rsidRPr="00937286">
        <w:t xml:space="preserve">Pharmacological treatment for acute crises requires immediate application according to an individualized plan. Strong analgesia including opioids should be provided promptly when indicated and chronic treatment is oriented at prevention (NICE, 2012 updated 2023; Jacob </w:t>
      </w:r>
      <w:r w:rsidR="0016081C" w:rsidRPr="0016081C">
        <w:rPr>
          <w:i/>
          <w:iCs/>
        </w:rPr>
        <w:t>et al</w:t>
      </w:r>
      <w:r w:rsidRPr="00937286">
        <w:t>., 2025).</w:t>
      </w:r>
      <w:r w:rsidR="00334FE5">
        <w:t xml:space="preserve"> </w:t>
      </w:r>
      <w:r w:rsidRPr="00937286">
        <w:t xml:space="preserve">Innovative treatment approaches including gene therapy with </w:t>
      </w:r>
      <w:proofErr w:type="spellStart"/>
      <w:r w:rsidRPr="00937286">
        <w:t>exagamglogene</w:t>
      </w:r>
      <w:proofErr w:type="spellEnd"/>
      <w:r w:rsidRPr="00937286">
        <w:t xml:space="preserve"> </w:t>
      </w:r>
      <w:proofErr w:type="spellStart"/>
      <w:r w:rsidRPr="00937286">
        <w:t>autotemcel</w:t>
      </w:r>
      <w:proofErr w:type="spellEnd"/>
      <w:r w:rsidRPr="00937286">
        <w:t xml:space="preserve"> can be offered to eligible individuals with severe form of the disease when optimization of conventional treatment approaches has been achieved (</w:t>
      </w:r>
      <w:proofErr w:type="spellStart"/>
      <w:r w:rsidRPr="00937286">
        <w:t>Frangoul</w:t>
      </w:r>
      <w:proofErr w:type="spellEnd"/>
      <w:r w:rsidRPr="00937286">
        <w:t xml:space="preserve"> </w:t>
      </w:r>
      <w:r w:rsidR="0016081C" w:rsidRPr="0016081C">
        <w:rPr>
          <w:i/>
          <w:iCs/>
        </w:rPr>
        <w:t>et al</w:t>
      </w:r>
      <w:r w:rsidRPr="00937286">
        <w:t xml:space="preserve">., 2024; Leonard and </w:t>
      </w:r>
      <w:proofErr w:type="spellStart"/>
      <w:r w:rsidRPr="00937286">
        <w:t>Kanter</w:t>
      </w:r>
      <w:proofErr w:type="spellEnd"/>
      <w:r w:rsidRPr="00937286">
        <w:t>, 2025).</w:t>
      </w:r>
    </w:p>
    <w:p w14:paraId="6DB3DCF3" w14:textId="6581593D" w:rsidR="002C0985" w:rsidRPr="00334FE5" w:rsidRDefault="002C0985" w:rsidP="00334FE5">
      <w:pPr>
        <w:spacing w:line="360" w:lineRule="auto"/>
      </w:pPr>
      <w:r w:rsidRPr="00937286">
        <w:t xml:space="preserve">Specialist </w:t>
      </w:r>
      <w:r w:rsidR="00D852AE" w:rsidRPr="00937286">
        <w:t>hemoglobinopathy</w:t>
      </w:r>
      <w:r w:rsidRPr="00937286">
        <w:t xml:space="preserve"> services referral and consideration of curative procedures like stem cell transplant must be considered when disease severity impacts significantly on the quality of life of the individual and conservative treatment options have been optimized (NHS England, 2025; Sickle Cell Society, 2025).</w:t>
      </w:r>
      <w:r w:rsidR="00334FE5">
        <w:t xml:space="preserve"> </w:t>
      </w:r>
      <w:r w:rsidRPr="00937286">
        <w:t xml:space="preserve">Multidisciplinary approach including </w:t>
      </w:r>
      <w:r w:rsidR="0033273B" w:rsidRPr="00937286">
        <w:t>hematologists</w:t>
      </w:r>
      <w:r w:rsidRPr="00937286">
        <w:t xml:space="preserve">, specialists in nursing, psychology, and pain management is considered the best way but not every area has access to such comprehensive team (Jacob </w:t>
      </w:r>
      <w:r w:rsidR="0016081C" w:rsidRPr="0016081C">
        <w:rPr>
          <w:i/>
          <w:iCs/>
        </w:rPr>
        <w:t>et al</w:t>
      </w:r>
      <w:r w:rsidRPr="00937286">
        <w:t>., 2025; NHS England, 2025).</w:t>
      </w:r>
      <w:r w:rsidR="00334FE5">
        <w:t xml:space="preserve"> </w:t>
      </w:r>
      <w:r w:rsidRPr="00937286">
        <w:t xml:space="preserve">Primary and emergency services are integral parts of SCD management although time constraints, lack of specialist knowledge, and delay in providing analgesia represent the barriers to delivering quality acute care (NHS England, 2025; Jacob </w:t>
      </w:r>
      <w:r w:rsidR="0016081C" w:rsidRPr="0016081C">
        <w:rPr>
          <w:i/>
          <w:iCs/>
        </w:rPr>
        <w:t>et al</w:t>
      </w:r>
      <w:r w:rsidRPr="00937286">
        <w:t>., 2025).</w:t>
      </w:r>
      <w:r w:rsidR="00334FE5">
        <w:t xml:space="preserve"> </w:t>
      </w:r>
      <w:r w:rsidRPr="00937286">
        <w:t>Despite detailed national guidance and specialist commissioning there is still considerable variance in availability of evidence-based treatment including pain management and gene therapy (NHS England, 2025; Sickle Cell Society, 2025).</w:t>
      </w:r>
    </w:p>
    <w:p w14:paraId="0959F99E" w14:textId="32C94048" w:rsidR="00911E81" w:rsidRDefault="003104A8" w:rsidP="00334FE5">
      <w:pPr>
        <w:pStyle w:val="Heading1"/>
        <w:spacing w:line="360" w:lineRule="auto"/>
      </w:pPr>
      <w:bookmarkStart w:id="9" w:name="_Toc233280379"/>
      <w:r w:rsidRPr="00937286">
        <w:lastRenderedPageBreak/>
        <w:t>Theoretical Models</w:t>
      </w:r>
      <w:bookmarkEnd w:id="9"/>
    </w:p>
    <w:p w14:paraId="715C9A40" w14:textId="03AEBA27" w:rsidR="00C81F7D" w:rsidRPr="00C81F7D" w:rsidRDefault="00C81F7D" w:rsidP="00C81F7D">
      <w:pPr>
        <w:pStyle w:val="BodyText"/>
      </w:pPr>
      <w:r>
        <w:rPr>
          <w:noProof/>
        </w:rPr>
        <w:drawing>
          <wp:inline distT="0" distB="0" distL="0" distR="0" wp14:anchorId="79DD7220" wp14:editId="0D3C71CF">
            <wp:extent cx="5534526" cy="3937635"/>
            <wp:effectExtent l="0" t="0" r="3175" b="0"/>
            <wp:docPr id="1696343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43286" name="Picture 1"/>
                    <pic:cNvPicPr>
                      <a:picLocks noChangeAspect="1" noChangeArrowheads="1"/>
                    </pic:cNvPicPr>
                  </pic:nvPicPr>
                  <pic:blipFill>
                    <a:blip r:embed="rId16"/>
                    <a:stretch>
                      <a:fillRect/>
                    </a:stretch>
                  </pic:blipFill>
                  <pic:spPr bwMode="auto">
                    <a:xfrm>
                      <a:off x="0" y="0"/>
                      <a:ext cx="5534526" cy="3937635"/>
                    </a:xfrm>
                    <a:prstGeom prst="rect">
                      <a:avLst/>
                    </a:prstGeom>
                    <a:noFill/>
                    <a:ln>
                      <a:noFill/>
                    </a:ln>
                  </pic:spPr>
                </pic:pic>
              </a:graphicData>
            </a:graphic>
          </wp:inline>
        </w:drawing>
      </w:r>
    </w:p>
    <w:p w14:paraId="765E3217" w14:textId="0F0D7E57" w:rsidR="00123E36" w:rsidRPr="00937286" w:rsidRDefault="003104A8" w:rsidP="00334FE5">
      <w:pPr>
        <w:pStyle w:val="FirstParagraph"/>
        <w:spacing w:line="360" w:lineRule="auto"/>
        <w:jc w:val="center"/>
        <w:rPr>
          <w:rFonts w:cs="Times New Roman"/>
        </w:rPr>
      </w:pPr>
      <w:r w:rsidRPr="00937286">
        <w:rPr>
          <w:rFonts w:cs="Times New Roman"/>
          <w:b/>
          <w:bCs/>
        </w:rPr>
        <w:t>Figure 8:</w:t>
      </w:r>
      <w:r w:rsidRPr="00937286">
        <w:rPr>
          <w:rFonts w:cs="Times New Roman"/>
        </w:rPr>
        <w:t xml:space="preserve"> </w:t>
      </w:r>
      <w:r w:rsidR="00C72229">
        <w:rPr>
          <w:rFonts w:cs="Times New Roman"/>
        </w:rPr>
        <w:t>Ch</w:t>
      </w:r>
      <w:r w:rsidR="005D3EE4">
        <w:rPr>
          <w:rFonts w:cs="Times New Roman"/>
        </w:rPr>
        <w:t>ro</w:t>
      </w:r>
      <w:r w:rsidR="00962B1B">
        <w:rPr>
          <w:rFonts w:cs="Times New Roman"/>
        </w:rPr>
        <w:t>nic</w:t>
      </w:r>
      <w:r w:rsidR="00372728">
        <w:rPr>
          <w:rFonts w:cs="Times New Roman"/>
        </w:rPr>
        <w:t xml:space="preserve"> </w:t>
      </w:r>
      <w:r w:rsidRPr="00937286">
        <w:rPr>
          <w:rFonts w:cs="Times New Roman"/>
        </w:rPr>
        <w:t>Care Model</w:t>
      </w:r>
    </w:p>
    <w:p w14:paraId="4952C720" w14:textId="35C9D60D" w:rsidR="002C0985" w:rsidRPr="00937286" w:rsidRDefault="002C0985" w:rsidP="00334FE5">
      <w:pPr>
        <w:spacing w:line="360" w:lineRule="auto"/>
      </w:pPr>
      <w:r w:rsidRPr="00937286">
        <w:t xml:space="preserve">Management of long-term illnesses such as sickle cell disease requires well-structured theoretical frameworks that can ensure a more proactive and coordinated care approach. Among the models that can be used for management of patients with SCD, two particular approaches are particularly relevant (Hunter </w:t>
      </w:r>
      <w:r w:rsidR="0016081C" w:rsidRPr="0016081C">
        <w:rPr>
          <w:i/>
          <w:iCs/>
        </w:rPr>
        <w:t>et al</w:t>
      </w:r>
      <w:r w:rsidRPr="00937286">
        <w:t xml:space="preserve">., 2023; Jacob </w:t>
      </w:r>
      <w:r w:rsidR="0016081C" w:rsidRPr="0016081C">
        <w:rPr>
          <w:i/>
          <w:iCs/>
        </w:rPr>
        <w:t>et al</w:t>
      </w:r>
      <w:r w:rsidRPr="00937286">
        <w:t xml:space="preserve">., 2025). One of the well-known frameworks for the improvement of care outcomes in case of chronic illness is the Chronic Care Model created by Wagner and colleagues, which has been widely applied internationally (Wagner </w:t>
      </w:r>
      <w:r w:rsidR="0016081C" w:rsidRPr="0016081C">
        <w:rPr>
          <w:i/>
          <w:iCs/>
        </w:rPr>
        <w:t>et al</w:t>
      </w:r>
      <w:r w:rsidRPr="00937286">
        <w:t xml:space="preserve">., 2001). </w:t>
      </w:r>
      <w:r w:rsidR="00334FE5">
        <w:t xml:space="preserve"> </w:t>
      </w:r>
      <w:r w:rsidRPr="00937286">
        <w:t xml:space="preserve">The main components of the Chronic Care Model are self-management support, delivery system design, decision support, and clinical information systems. They fit very well into the framework of management of patients with lifelong and variable conditions such as sickle cell disease (Patel </w:t>
      </w:r>
      <w:r w:rsidR="0016081C" w:rsidRPr="0016081C">
        <w:rPr>
          <w:i/>
          <w:iCs/>
        </w:rPr>
        <w:t>et al</w:t>
      </w:r>
      <w:r w:rsidRPr="00937286">
        <w:t xml:space="preserve">., 2024; Jacob </w:t>
      </w:r>
      <w:r w:rsidR="0016081C" w:rsidRPr="0016081C">
        <w:rPr>
          <w:i/>
          <w:iCs/>
        </w:rPr>
        <w:t>et al</w:t>
      </w:r>
      <w:r w:rsidRPr="00937286">
        <w:t xml:space="preserve">., 2025). </w:t>
      </w:r>
    </w:p>
    <w:p w14:paraId="07ADEFF1" w14:textId="77777777" w:rsidR="002C0985" w:rsidRPr="00937286" w:rsidRDefault="002C0985" w:rsidP="00334FE5">
      <w:pPr>
        <w:spacing w:line="360" w:lineRule="auto"/>
      </w:pPr>
      <w:r w:rsidRPr="00937286">
        <w:t xml:space="preserve">The NHS </w:t>
      </w:r>
      <w:proofErr w:type="spellStart"/>
      <w:r w:rsidRPr="00937286">
        <w:t>Personalised</w:t>
      </w:r>
      <w:proofErr w:type="spellEnd"/>
      <w:r w:rsidRPr="00937286">
        <w:t xml:space="preserve"> Care Model in the UK that works via the framework of the House of Care model is a modification of the Chronic Care Model adapted for the British health system (Year of Care Partnerships, 2025). </w:t>
      </w:r>
    </w:p>
    <w:p w14:paraId="0F6EB482" w14:textId="130F8F33" w:rsidR="002C0985" w:rsidRPr="00937286" w:rsidRDefault="002C0985" w:rsidP="00334FE5">
      <w:pPr>
        <w:spacing w:line="360" w:lineRule="auto"/>
      </w:pPr>
      <w:r w:rsidRPr="00937286">
        <w:lastRenderedPageBreak/>
        <w:t xml:space="preserve">The House of Care approach includes a productive dialogue between the patient and the healthcare practitioner supported by </w:t>
      </w:r>
      <w:proofErr w:type="spellStart"/>
      <w:r w:rsidRPr="00937286">
        <w:t>organisational</w:t>
      </w:r>
      <w:proofErr w:type="spellEnd"/>
      <w:r w:rsidRPr="00937286">
        <w:t xml:space="preserve"> systems and community resources, and therefore it fits very well for sickle cell disease and similar lifelong conditions where self-management and partnership working are essential (Year of Care Partnerships, 2025; NHS England, 2025). </w:t>
      </w:r>
      <w:r w:rsidR="00334FE5">
        <w:t xml:space="preserve"> </w:t>
      </w:r>
      <w:r w:rsidRPr="00937286">
        <w:t xml:space="preserve">Both approaches mentioned above imply the transformation of reactive, crisis-driven care into a holistic </w:t>
      </w:r>
      <w:proofErr w:type="spellStart"/>
      <w:r w:rsidRPr="00937286">
        <w:t>person-centred</w:t>
      </w:r>
      <w:proofErr w:type="spellEnd"/>
      <w:r w:rsidRPr="00937286">
        <w:t xml:space="preserve"> approach to the illness (Hunter </w:t>
      </w:r>
      <w:r w:rsidR="0016081C" w:rsidRPr="0016081C">
        <w:rPr>
          <w:i/>
          <w:iCs/>
        </w:rPr>
        <w:t>et al</w:t>
      </w:r>
      <w:r w:rsidRPr="00937286">
        <w:t xml:space="preserve">., 2023; Jacob </w:t>
      </w:r>
      <w:r w:rsidR="0016081C" w:rsidRPr="0016081C">
        <w:rPr>
          <w:i/>
          <w:iCs/>
        </w:rPr>
        <w:t>et al</w:t>
      </w:r>
      <w:r w:rsidRPr="00937286">
        <w:t xml:space="preserve">., 2025). </w:t>
      </w:r>
      <w:r w:rsidR="00334FE5">
        <w:t xml:space="preserve"> </w:t>
      </w:r>
      <w:r w:rsidRPr="00937286">
        <w:t xml:space="preserve">However, the implementation of these models in practice in the NHS is inconsistent because of different barriers, including lack of resources, time constraints in primary and emergency care, and uneven access to multidisciplinary support and self-management </w:t>
      </w:r>
      <w:proofErr w:type="spellStart"/>
      <w:r w:rsidRPr="00937286">
        <w:t>programmes</w:t>
      </w:r>
      <w:proofErr w:type="spellEnd"/>
      <w:r w:rsidRPr="00937286">
        <w:t xml:space="preserve"> (NHS England, 2025; Sickle Cell Society, 2025).</w:t>
      </w:r>
    </w:p>
    <w:p w14:paraId="67AED499" w14:textId="77777777" w:rsidR="00911E81" w:rsidRPr="00937286" w:rsidRDefault="003104A8" w:rsidP="00334FE5">
      <w:pPr>
        <w:pStyle w:val="Heading1"/>
        <w:spacing w:line="360" w:lineRule="auto"/>
      </w:pPr>
      <w:bookmarkStart w:id="10" w:name="_Toc233280380"/>
      <w:r w:rsidRPr="00937286">
        <w:t>Policy &amp; Political Context</w:t>
      </w:r>
      <w:bookmarkEnd w:id="10"/>
    </w:p>
    <w:p w14:paraId="5E3CD94C" w14:textId="6A303CEC" w:rsidR="00177759" w:rsidRPr="00937286" w:rsidRDefault="00177759" w:rsidP="00334FE5">
      <w:pPr>
        <w:pStyle w:val="BodyText"/>
        <w:spacing w:line="360" w:lineRule="auto"/>
        <w:jc w:val="center"/>
      </w:pPr>
      <w:r w:rsidRPr="00937286">
        <w:rPr>
          <w:noProof/>
        </w:rPr>
        <w:drawing>
          <wp:inline distT="0" distB="0" distL="0" distR="0" wp14:anchorId="095CD194" wp14:editId="192C456D">
            <wp:extent cx="5737542" cy="2331720"/>
            <wp:effectExtent l="0" t="0" r="0" b="0"/>
            <wp:docPr id="8308186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1941" cy="2337572"/>
                    </a:xfrm>
                    <a:prstGeom prst="rect">
                      <a:avLst/>
                    </a:prstGeom>
                    <a:noFill/>
                  </pic:spPr>
                </pic:pic>
              </a:graphicData>
            </a:graphic>
          </wp:inline>
        </w:drawing>
      </w:r>
    </w:p>
    <w:p w14:paraId="5EA54E47" w14:textId="11161249" w:rsidR="00123E36" w:rsidRPr="00937286" w:rsidRDefault="003104A8" w:rsidP="00334FE5">
      <w:pPr>
        <w:pStyle w:val="FirstParagraph"/>
        <w:spacing w:line="360" w:lineRule="auto"/>
        <w:jc w:val="center"/>
        <w:rPr>
          <w:rFonts w:cs="Times New Roman"/>
        </w:rPr>
      </w:pPr>
      <w:r w:rsidRPr="00937286">
        <w:rPr>
          <w:rFonts w:cs="Times New Roman"/>
          <w:b/>
          <w:bCs/>
        </w:rPr>
        <w:t>Figure 9:</w:t>
      </w:r>
      <w:r w:rsidRPr="00937286">
        <w:rPr>
          <w:rFonts w:cs="Times New Roman"/>
        </w:rPr>
        <w:t xml:space="preserve"> Integrated Care and </w:t>
      </w:r>
      <w:r w:rsidR="00AC44BB" w:rsidRPr="00937286">
        <w:rPr>
          <w:rFonts w:cs="Times New Roman"/>
        </w:rPr>
        <w:t>Specialized</w:t>
      </w:r>
      <w:r w:rsidRPr="00937286">
        <w:rPr>
          <w:rFonts w:cs="Times New Roman"/>
        </w:rPr>
        <w:t xml:space="preserve"> Commissioning for Sickle Cell Disease</w:t>
      </w:r>
    </w:p>
    <w:p w14:paraId="2AB33E36" w14:textId="06FAC05F" w:rsidR="00121101" w:rsidRPr="00937286" w:rsidRDefault="00121101" w:rsidP="00334FE5">
      <w:pPr>
        <w:spacing w:line="360" w:lineRule="auto"/>
      </w:pPr>
      <w:r w:rsidRPr="00937286">
        <w:t xml:space="preserve">In the UK, the significance of sickle cell disease as a vital lifelong condition requiring an integrated and </w:t>
      </w:r>
      <w:proofErr w:type="spellStart"/>
      <w:r w:rsidRPr="00937286">
        <w:t>person-centred</w:t>
      </w:r>
      <w:proofErr w:type="spellEnd"/>
      <w:r w:rsidRPr="00937286">
        <w:t xml:space="preserve"> approach has been </w:t>
      </w:r>
      <w:proofErr w:type="spellStart"/>
      <w:r w:rsidRPr="00937286">
        <w:t>recognised</w:t>
      </w:r>
      <w:proofErr w:type="spellEnd"/>
      <w:r w:rsidRPr="00937286">
        <w:t xml:space="preserve">. Thus, the NHS Long Term Plan and other strategic documents </w:t>
      </w:r>
      <w:r w:rsidR="007040ED" w:rsidRPr="00937286">
        <w:t>emphasize</w:t>
      </w:r>
      <w:r w:rsidRPr="00937286">
        <w:t xml:space="preserve"> early intervention, </w:t>
      </w:r>
      <w:r w:rsidR="00AC44BB" w:rsidRPr="00937286">
        <w:t>personalized</w:t>
      </w:r>
      <w:r w:rsidRPr="00937286">
        <w:t xml:space="preserve"> approach and tackling of health inequalities for those who have genetic and chronic illnesses (NHS England, 2025; Sickle Cell Society, 2025).</w:t>
      </w:r>
      <w:r w:rsidR="00334FE5">
        <w:t xml:space="preserve"> </w:t>
      </w:r>
      <w:r w:rsidRPr="00937286">
        <w:t xml:space="preserve">There are national standards and special commissioning for </w:t>
      </w:r>
      <w:r w:rsidR="006E24E0" w:rsidRPr="00937286">
        <w:t>hemoglobinopathy</w:t>
      </w:r>
      <w:r w:rsidRPr="00937286">
        <w:t xml:space="preserve"> services providing a management model for sickle cell disease trying to tackle variation in practice and promoting evidence-based approach to the management of sickle cell disease (NHS England, 2025; Jacob </w:t>
      </w:r>
      <w:r w:rsidR="0016081C" w:rsidRPr="0016081C">
        <w:rPr>
          <w:i/>
          <w:iCs/>
        </w:rPr>
        <w:t>et al</w:t>
      </w:r>
      <w:r w:rsidRPr="00937286">
        <w:t xml:space="preserve">., 2025). </w:t>
      </w:r>
    </w:p>
    <w:p w14:paraId="7702F2F3" w14:textId="49357653" w:rsidR="00121101" w:rsidRPr="00937286" w:rsidRDefault="00121101" w:rsidP="00334FE5">
      <w:pPr>
        <w:spacing w:line="360" w:lineRule="auto"/>
      </w:pPr>
      <w:r w:rsidRPr="00937286">
        <w:lastRenderedPageBreak/>
        <w:t xml:space="preserve">The establishment of Integrated Care Systems may help with improving the management of sickle cell disease because of better coordination of care between primary, community and secondary care sectors (NHS England, 2025; Jacob </w:t>
      </w:r>
      <w:r w:rsidR="0016081C" w:rsidRPr="0016081C">
        <w:rPr>
          <w:i/>
          <w:iCs/>
        </w:rPr>
        <w:t>et al</w:t>
      </w:r>
      <w:r w:rsidRPr="00937286">
        <w:t xml:space="preserve">., 2025). </w:t>
      </w:r>
      <w:r w:rsidR="00334FE5">
        <w:t xml:space="preserve"> </w:t>
      </w:r>
      <w:r w:rsidRPr="00937286">
        <w:t xml:space="preserve">However, there are still plenty of issues to be tackled. For instance, shortage of specialists including </w:t>
      </w:r>
      <w:r w:rsidR="006E24E0" w:rsidRPr="00937286">
        <w:t>hematologists</w:t>
      </w:r>
      <w:r w:rsidRPr="00937286">
        <w:t xml:space="preserve">, specialist nurses and psychologists makes it complicated to gain access to assessment and treatment services (NHS England, 2025; Sickle Cell Society, 2025). </w:t>
      </w:r>
      <w:r w:rsidR="00334FE5">
        <w:t xml:space="preserve"> </w:t>
      </w:r>
      <w:r w:rsidRPr="00937286">
        <w:t xml:space="preserve">Also, the issue of inequality of access to evidence-based treatment such as rapid pain relief, psychological intervention, </w:t>
      </w:r>
      <w:proofErr w:type="spellStart"/>
      <w:r w:rsidRPr="00937286">
        <w:t>hydroxyurea</w:t>
      </w:r>
      <w:proofErr w:type="spellEnd"/>
      <w:r w:rsidRPr="00937286">
        <w:t xml:space="preserve"> </w:t>
      </w:r>
      <w:r w:rsidR="006E24E0" w:rsidRPr="00937286">
        <w:t>optimization</w:t>
      </w:r>
      <w:r w:rsidRPr="00937286">
        <w:t xml:space="preserve">, and gene therapy referral in sickle cell disease should be solved (Jacob </w:t>
      </w:r>
      <w:r w:rsidR="0016081C" w:rsidRPr="0016081C">
        <w:rPr>
          <w:i/>
          <w:iCs/>
        </w:rPr>
        <w:t>et al</w:t>
      </w:r>
      <w:r w:rsidRPr="00937286">
        <w:t xml:space="preserve">., 2025; NHS England, 2025). </w:t>
      </w:r>
    </w:p>
    <w:p w14:paraId="2FB00286" w14:textId="31E86618" w:rsidR="00121101" w:rsidRPr="00937286" w:rsidRDefault="00121101" w:rsidP="00334FE5">
      <w:pPr>
        <w:spacing w:line="360" w:lineRule="auto"/>
      </w:pPr>
      <w:r w:rsidRPr="00937286">
        <w:t xml:space="preserve">Principles of </w:t>
      </w:r>
      <w:r w:rsidR="006E24E0" w:rsidRPr="00937286">
        <w:t>personalized</w:t>
      </w:r>
      <w:r w:rsidRPr="00937286">
        <w:t xml:space="preserve"> care and shared decision-making are promoted by policy frameworks in the UK; nevertheless, their implementation is hard due to the lack of time during acute visits and the absence of possibilities for the provision of the structured self-management support (NHS England, 2025; Jacob </w:t>
      </w:r>
      <w:r w:rsidR="0016081C" w:rsidRPr="0016081C">
        <w:rPr>
          <w:i/>
          <w:iCs/>
        </w:rPr>
        <w:t>et al</w:t>
      </w:r>
      <w:r w:rsidRPr="00937286">
        <w:t xml:space="preserve">., 2025). </w:t>
      </w:r>
      <w:r w:rsidR="00334FE5">
        <w:t xml:space="preserve"> </w:t>
      </w:r>
      <w:r w:rsidRPr="00937286">
        <w:t xml:space="preserve">Despite the existence of the policy frameworks aimed at prevention and high-quality management of sickle cell disease, the gap between policies and practices is obvious as far as addressing </w:t>
      </w:r>
      <w:proofErr w:type="spellStart"/>
      <w:r w:rsidRPr="00937286">
        <w:t>biopsychosocial</w:t>
      </w:r>
      <w:proofErr w:type="spellEnd"/>
      <w:r w:rsidRPr="00937286">
        <w:t xml:space="preserve"> aspects of the disease and ethnic and socioeconomic inequalities are concerned (NHS England, 2025; Sickle Cell Society, 2025).</w:t>
      </w:r>
    </w:p>
    <w:p w14:paraId="78E6CA55" w14:textId="63903E39" w:rsidR="00123E36" w:rsidRPr="00937286" w:rsidRDefault="003104A8" w:rsidP="00334FE5">
      <w:pPr>
        <w:pStyle w:val="Heading1"/>
        <w:spacing w:line="360" w:lineRule="auto"/>
      </w:pPr>
      <w:bookmarkStart w:id="11" w:name="_Toc233280381"/>
      <w:r w:rsidRPr="00937286">
        <w:t>Recommendations</w:t>
      </w:r>
      <w:bookmarkEnd w:id="11"/>
      <w:r w:rsidRPr="00937286">
        <w:t xml:space="preserve"> </w:t>
      </w:r>
    </w:p>
    <w:p w14:paraId="1E029B61" w14:textId="7E019967" w:rsidR="00121101" w:rsidRPr="00937286" w:rsidRDefault="00121101" w:rsidP="00334FE5">
      <w:pPr>
        <w:spacing w:line="360" w:lineRule="auto"/>
      </w:pPr>
      <w:r w:rsidRPr="00937286">
        <w:t xml:space="preserve">The pathways for timely early diagnosis and annual comprehensive review in both general practice and specialist care must be improved via enhanced clinician training, use of appropriate assessment tools, and well-defined referral guidelines since late presentation of patients to specialists adversely affects their long-term outcomes (NHS England, 2025; Jacob </w:t>
      </w:r>
      <w:r w:rsidR="0016081C" w:rsidRPr="0016081C">
        <w:rPr>
          <w:i/>
          <w:iCs/>
        </w:rPr>
        <w:t>et al</w:t>
      </w:r>
      <w:r w:rsidRPr="00937286">
        <w:t xml:space="preserve">., 2025). </w:t>
      </w:r>
      <w:r w:rsidR="00334FE5">
        <w:t xml:space="preserve"> </w:t>
      </w:r>
      <w:r w:rsidRPr="00937286">
        <w:t>There is a need for the screening process for the psychological wellbeing of people affected by sickle cell disease due to the high proportion of mental disorders that have a direct impact on their pain and adherence (</w:t>
      </w:r>
      <w:proofErr w:type="spellStart"/>
      <w:r w:rsidRPr="00937286">
        <w:t>Druye</w:t>
      </w:r>
      <w:proofErr w:type="spellEnd"/>
      <w:r w:rsidRPr="00937286">
        <w:t xml:space="preserve"> </w:t>
      </w:r>
      <w:r w:rsidR="0016081C" w:rsidRPr="0016081C">
        <w:rPr>
          <w:i/>
          <w:iCs/>
        </w:rPr>
        <w:t>et al</w:t>
      </w:r>
      <w:r w:rsidRPr="00937286">
        <w:t xml:space="preserve">., 2024; Jacob </w:t>
      </w:r>
      <w:r w:rsidR="0016081C" w:rsidRPr="0016081C">
        <w:rPr>
          <w:i/>
          <w:iCs/>
        </w:rPr>
        <w:t>et al</w:t>
      </w:r>
      <w:r w:rsidRPr="00937286">
        <w:t xml:space="preserve">., 2025). </w:t>
      </w:r>
    </w:p>
    <w:p w14:paraId="418CE038" w14:textId="7E3828C5" w:rsidR="00334FE5" w:rsidRDefault="00121101" w:rsidP="00334FE5">
      <w:pPr>
        <w:spacing w:line="360" w:lineRule="auto"/>
      </w:pPr>
      <w:r w:rsidRPr="00937286">
        <w:t xml:space="preserve">Evidence-based programs for patient self-management should involve education about avoiding trigger factors, recognition of pain, and use of </w:t>
      </w:r>
      <w:proofErr w:type="spellStart"/>
      <w:r w:rsidRPr="00937286">
        <w:t>hydroxyurea</w:t>
      </w:r>
      <w:proofErr w:type="spellEnd"/>
      <w:r w:rsidRPr="00937286">
        <w:t xml:space="preserve"> (Patel </w:t>
      </w:r>
      <w:r w:rsidR="0016081C" w:rsidRPr="0016081C">
        <w:rPr>
          <w:i/>
          <w:iCs/>
        </w:rPr>
        <w:t>et al</w:t>
      </w:r>
      <w:r w:rsidRPr="00937286">
        <w:t xml:space="preserve">., 2024; Sickle Cell Society, 2025). </w:t>
      </w:r>
      <w:r w:rsidR="00334FE5">
        <w:t xml:space="preserve"> </w:t>
      </w:r>
      <w:r w:rsidRPr="00937286">
        <w:t xml:space="preserve">Patients' access to disease-modifying treatments such as </w:t>
      </w:r>
      <w:proofErr w:type="spellStart"/>
      <w:r w:rsidRPr="00937286">
        <w:t>hydroxyurea</w:t>
      </w:r>
      <w:proofErr w:type="spellEnd"/>
      <w:r w:rsidRPr="00937286">
        <w:t xml:space="preserve"> </w:t>
      </w:r>
      <w:proofErr w:type="spellStart"/>
      <w:r w:rsidRPr="00937286">
        <w:t>optimisation</w:t>
      </w:r>
      <w:proofErr w:type="spellEnd"/>
      <w:r w:rsidRPr="00937286">
        <w:t xml:space="preserve"> and gene therapy should be more equal since there are significant inequalities among patients from poor socioeconomic backgrounds and ethnic minorities (</w:t>
      </w:r>
      <w:proofErr w:type="spellStart"/>
      <w:r w:rsidRPr="00937286">
        <w:t>Frangoul</w:t>
      </w:r>
      <w:proofErr w:type="spellEnd"/>
      <w:r w:rsidRPr="00937286">
        <w:t xml:space="preserve"> </w:t>
      </w:r>
      <w:r w:rsidR="0016081C" w:rsidRPr="0016081C">
        <w:rPr>
          <w:i/>
          <w:iCs/>
        </w:rPr>
        <w:t>et al</w:t>
      </w:r>
      <w:r w:rsidRPr="00937286">
        <w:t xml:space="preserve">., 2024; Leonard and </w:t>
      </w:r>
      <w:proofErr w:type="spellStart"/>
      <w:r w:rsidRPr="00937286">
        <w:t>Kanter</w:t>
      </w:r>
      <w:proofErr w:type="spellEnd"/>
      <w:r w:rsidRPr="00937286">
        <w:t xml:space="preserve">, 2025; NHS England, 2025). </w:t>
      </w:r>
      <w:r w:rsidR="00334FE5">
        <w:t xml:space="preserve"> </w:t>
      </w:r>
    </w:p>
    <w:p w14:paraId="3AF69D67" w14:textId="36A22593" w:rsidR="00121101" w:rsidRPr="00937286" w:rsidRDefault="00121101" w:rsidP="00334FE5">
      <w:pPr>
        <w:spacing w:line="360" w:lineRule="auto"/>
      </w:pPr>
      <w:r w:rsidRPr="00937286">
        <w:lastRenderedPageBreak/>
        <w:t>Family members and carers of patients with sickle cell disease need more attention and assistance since they are under huge stress, both emotional and physical, due to helping the patient (</w:t>
      </w:r>
      <w:proofErr w:type="spellStart"/>
      <w:r w:rsidRPr="00937286">
        <w:t>Druye</w:t>
      </w:r>
      <w:proofErr w:type="spellEnd"/>
      <w:r w:rsidRPr="00937286">
        <w:t xml:space="preserve"> </w:t>
      </w:r>
      <w:r w:rsidR="0016081C" w:rsidRPr="0016081C">
        <w:rPr>
          <w:i/>
          <w:iCs/>
        </w:rPr>
        <w:t>et al</w:t>
      </w:r>
      <w:r w:rsidRPr="00937286">
        <w:t xml:space="preserve">., 2024; Jacob </w:t>
      </w:r>
      <w:r w:rsidR="0016081C" w:rsidRPr="0016081C">
        <w:rPr>
          <w:i/>
          <w:iCs/>
        </w:rPr>
        <w:t>et al</w:t>
      </w:r>
      <w:r w:rsidRPr="00937286">
        <w:t xml:space="preserve">., 2025). </w:t>
      </w:r>
      <w:r w:rsidR="00334FE5">
        <w:t xml:space="preserve"> </w:t>
      </w:r>
      <w:r w:rsidRPr="00937286">
        <w:t xml:space="preserve">Inequality in access to </w:t>
      </w:r>
      <w:r w:rsidR="008704CD" w:rsidRPr="00937286">
        <w:t>specialized</w:t>
      </w:r>
      <w:r w:rsidRPr="00937286">
        <w:t xml:space="preserve"> care and new treatments in different regions should be overcome by implementing better commissioning processes, decreasing variability in referral, and strengthening </w:t>
      </w:r>
      <w:r w:rsidR="008704CD" w:rsidRPr="00937286">
        <w:t>Hemoglobinopathy</w:t>
      </w:r>
      <w:r w:rsidRPr="00937286">
        <w:t xml:space="preserve"> Coordinating </w:t>
      </w:r>
      <w:r w:rsidR="00A844BC" w:rsidRPr="00937286">
        <w:t>Centers</w:t>
      </w:r>
      <w:r w:rsidRPr="00937286">
        <w:t xml:space="preserve"> (NHS England, 2025; Sickle Cell Society, 2025). </w:t>
      </w:r>
      <w:r w:rsidR="00334FE5">
        <w:t xml:space="preserve"> </w:t>
      </w:r>
      <w:r w:rsidRPr="00937286">
        <w:t xml:space="preserve">The principles of palliative and supportive care should be introduced earlier in treatment of people with advanced organ dysfunction and multiple complications (Jacob </w:t>
      </w:r>
      <w:r w:rsidR="0016081C" w:rsidRPr="0016081C">
        <w:rPr>
          <w:i/>
          <w:iCs/>
        </w:rPr>
        <w:t>et al</w:t>
      </w:r>
      <w:r w:rsidRPr="00937286">
        <w:t>., 2025; NHS England, 2025).</w:t>
      </w:r>
    </w:p>
    <w:p w14:paraId="15186CC7" w14:textId="46AB76BA" w:rsidR="00123E36" w:rsidRPr="00937286" w:rsidRDefault="003104A8" w:rsidP="00334FE5">
      <w:pPr>
        <w:pStyle w:val="Heading1"/>
        <w:spacing w:line="360" w:lineRule="auto"/>
      </w:pPr>
      <w:bookmarkStart w:id="12" w:name="_Toc233280382"/>
      <w:r w:rsidRPr="00937286">
        <w:t>Summary</w:t>
      </w:r>
      <w:bookmarkEnd w:id="12"/>
      <w:r w:rsidRPr="00937286">
        <w:t xml:space="preserve"> </w:t>
      </w:r>
    </w:p>
    <w:p w14:paraId="58A4067E" w14:textId="77777777" w:rsidR="00121101" w:rsidRPr="00937286" w:rsidRDefault="00121101" w:rsidP="00334FE5">
      <w:pPr>
        <w:pStyle w:val="BodyText"/>
        <w:spacing w:line="360" w:lineRule="auto"/>
        <w:rPr>
          <w:rFonts w:cs="Times New Roman"/>
        </w:rPr>
      </w:pPr>
      <w:r w:rsidRPr="00937286">
        <w:rPr>
          <w:rFonts w:cs="Times New Roman"/>
        </w:rPr>
        <w:t>Sickle cell disease is a major and lifelong public health problem both in the United Kingdom and around the world because of its high incidence rate and the burden on those who suffer from it and their families. This is because sickle cell disease is an incredibly diverse and complicated genetic condition, which leads to repeated pain, organ damage, psychological suffering, and discrimination.</w:t>
      </w:r>
    </w:p>
    <w:p w14:paraId="7C6A36ED" w14:textId="305710F0" w:rsidR="00121101" w:rsidRPr="00937286" w:rsidRDefault="00121101" w:rsidP="00334FE5">
      <w:pPr>
        <w:pStyle w:val="BodyText"/>
        <w:spacing w:line="360" w:lineRule="auto"/>
        <w:rPr>
          <w:rFonts w:cs="Times New Roman"/>
        </w:rPr>
      </w:pPr>
      <w:r w:rsidRPr="00937286">
        <w:rPr>
          <w:rFonts w:cs="Times New Roman"/>
        </w:rPr>
        <w:t xml:space="preserve">There are proven and evidence-based treatment options, such as </w:t>
      </w:r>
      <w:proofErr w:type="spellStart"/>
      <w:r w:rsidRPr="00937286">
        <w:rPr>
          <w:rFonts w:cs="Times New Roman"/>
        </w:rPr>
        <w:t>hydroxyurea</w:t>
      </w:r>
      <w:proofErr w:type="spellEnd"/>
      <w:r w:rsidRPr="00937286">
        <w:rPr>
          <w:rFonts w:cs="Times New Roman"/>
        </w:rPr>
        <w:t>, specialized multidisciplinary care, and the recently developed gene therapy techniques. However, there is still a great number of problems in terms of implementation, delayed access to pain relief treatment, mental health integration, and health inequalities. The theoretical approaches like Chronic Care Model and House of Care Model can be used to solve these problems in case they are properly applied.</w:t>
      </w:r>
      <w:r w:rsidR="00A77D2B">
        <w:rPr>
          <w:rFonts w:cs="Times New Roman"/>
        </w:rPr>
        <w:t xml:space="preserve"> </w:t>
      </w:r>
      <w:r w:rsidRPr="00937286">
        <w:rPr>
          <w:rFonts w:cs="Times New Roman"/>
        </w:rPr>
        <w:t>The main problems that should be addressed include the lack of healthcare professionals, disparities between regions, stigmatization in acute settings, and underdeveloped psychosocial and family support.</w:t>
      </w:r>
    </w:p>
    <w:p w14:paraId="231E8BF2" w14:textId="50C138D7" w:rsidR="00123E36" w:rsidRPr="00937286" w:rsidRDefault="003104A8" w:rsidP="00334FE5">
      <w:pPr>
        <w:pStyle w:val="Heading1"/>
        <w:spacing w:line="360" w:lineRule="auto"/>
      </w:pPr>
      <w:bookmarkStart w:id="13" w:name="_Toc233280383"/>
      <w:r w:rsidRPr="00937286">
        <w:t>References</w:t>
      </w:r>
      <w:bookmarkEnd w:id="13"/>
      <w:r w:rsidRPr="00937286">
        <w:t xml:space="preserve"> </w:t>
      </w:r>
    </w:p>
    <w:p w14:paraId="2D817D31" w14:textId="77777777" w:rsidR="00121101" w:rsidRPr="00937286" w:rsidRDefault="00121101" w:rsidP="00334FE5">
      <w:pPr>
        <w:spacing w:line="360" w:lineRule="auto"/>
      </w:pPr>
      <w:r w:rsidRPr="00937286">
        <w:t xml:space="preserve">Acharya, B., Mishra, D.P., </w:t>
      </w:r>
      <w:proofErr w:type="spellStart"/>
      <w:r w:rsidRPr="00937286">
        <w:t>Barik</w:t>
      </w:r>
      <w:proofErr w:type="spellEnd"/>
      <w:r w:rsidRPr="00937286">
        <w:t xml:space="preserve">, B., </w:t>
      </w:r>
      <w:proofErr w:type="spellStart"/>
      <w:r w:rsidRPr="00937286">
        <w:t>Mohapatra</w:t>
      </w:r>
      <w:proofErr w:type="spellEnd"/>
      <w:r w:rsidRPr="00937286">
        <w:t>, R.K. and Sarangi, A.K., 2023. Recent progress in the treatment of sickle cell disease: an up-to-date review. </w:t>
      </w:r>
      <w:proofErr w:type="spellStart"/>
      <w:r w:rsidRPr="00937286">
        <w:rPr>
          <w:i/>
          <w:iCs/>
        </w:rPr>
        <w:t>Beni-Suef</w:t>
      </w:r>
      <w:proofErr w:type="spellEnd"/>
      <w:r w:rsidRPr="00937286">
        <w:rPr>
          <w:i/>
          <w:iCs/>
        </w:rPr>
        <w:t xml:space="preserve"> University Journal of Basic and Applied Sciences</w:t>
      </w:r>
      <w:r w:rsidRPr="00937286">
        <w:t>, </w:t>
      </w:r>
      <w:r w:rsidRPr="00937286">
        <w:rPr>
          <w:i/>
          <w:iCs/>
        </w:rPr>
        <w:t>12</w:t>
      </w:r>
      <w:r w:rsidRPr="00937286">
        <w:t xml:space="preserve">(1), p.38. Available at: </w:t>
      </w:r>
      <w:hyperlink r:id="rId18" w:history="1">
        <w:r w:rsidRPr="00937286">
          <w:rPr>
            <w:rStyle w:val="Hyperlink"/>
            <w:color w:val="auto"/>
          </w:rPr>
          <w:t>https://link.springer.com/content/pdf/10.1186/s43088-023-00373-w.pdf</w:t>
        </w:r>
      </w:hyperlink>
      <w:r w:rsidRPr="00937286">
        <w:t xml:space="preserve">  (Accessed: 21 June 2026). </w:t>
      </w:r>
    </w:p>
    <w:p w14:paraId="5BAC856F" w14:textId="77777777" w:rsidR="00121101" w:rsidRPr="00937286" w:rsidRDefault="00121101" w:rsidP="00334FE5">
      <w:pPr>
        <w:spacing w:line="360" w:lineRule="auto"/>
      </w:pPr>
      <w:r w:rsidRPr="00937286">
        <w:lastRenderedPageBreak/>
        <w:t xml:space="preserve">Butt, H., </w:t>
      </w:r>
      <w:proofErr w:type="spellStart"/>
      <w:r w:rsidRPr="00937286">
        <w:t>Mandava</w:t>
      </w:r>
      <w:proofErr w:type="spellEnd"/>
      <w:r w:rsidRPr="00937286">
        <w:t xml:space="preserve">, M. and </w:t>
      </w:r>
      <w:proofErr w:type="spellStart"/>
      <w:r w:rsidRPr="00937286">
        <w:t>Jacobsohn</w:t>
      </w:r>
      <w:proofErr w:type="spellEnd"/>
      <w:r w:rsidRPr="00937286">
        <w:t>, D., 2025. Advances in gene therapy for sickle cell disease: from preclinical innovations to clinical implementation and access challenges. </w:t>
      </w:r>
      <w:r w:rsidRPr="00937286">
        <w:rPr>
          <w:i/>
          <w:iCs/>
        </w:rPr>
        <w:t>The CRISPR journal</w:t>
      </w:r>
      <w:r w:rsidRPr="00937286">
        <w:t>, </w:t>
      </w:r>
      <w:r w:rsidRPr="00937286">
        <w:rPr>
          <w:i/>
          <w:iCs/>
        </w:rPr>
        <w:t>8</w:t>
      </w:r>
      <w:r w:rsidRPr="00937286">
        <w:t xml:space="preserve">(3), pp.174-188. Available at: </w:t>
      </w:r>
      <w:hyperlink r:id="rId19" w:history="1">
        <w:r w:rsidRPr="00937286">
          <w:rPr>
            <w:rStyle w:val="Hyperlink"/>
            <w:color w:val="auto"/>
          </w:rPr>
          <w:t>https://journals.sagepub.com/doi/abs/10.1089/crispr.2024.0101</w:t>
        </w:r>
      </w:hyperlink>
      <w:r w:rsidRPr="00937286">
        <w:t xml:space="preserve"> (Accessed: 21 June 2026). </w:t>
      </w:r>
    </w:p>
    <w:p w14:paraId="0487DBDA" w14:textId="77777777" w:rsidR="00121101" w:rsidRPr="00937286" w:rsidRDefault="00121101" w:rsidP="00334FE5">
      <w:pPr>
        <w:spacing w:line="360" w:lineRule="auto"/>
      </w:pPr>
      <w:r w:rsidRPr="00937286">
        <w:t>Christy, M. and Fisher, B., 2025. Gene therapy: A new hope in sickle cell disease treatment. </w:t>
      </w:r>
      <w:r w:rsidRPr="00937286">
        <w:rPr>
          <w:i/>
          <w:iCs/>
        </w:rPr>
        <w:t>Journal of Pediatric Health Care</w:t>
      </w:r>
      <w:r w:rsidRPr="00937286">
        <w:t>, </w:t>
      </w:r>
      <w:r w:rsidRPr="00937286">
        <w:rPr>
          <w:i/>
          <w:iCs/>
        </w:rPr>
        <w:t>39</w:t>
      </w:r>
      <w:r w:rsidRPr="00937286">
        <w:t xml:space="preserve">(1), pp.122-129. Available at: </w:t>
      </w:r>
      <w:hyperlink r:id="rId20" w:history="1">
        <w:r w:rsidRPr="00937286">
          <w:rPr>
            <w:rStyle w:val="Hyperlink"/>
            <w:color w:val="auto"/>
          </w:rPr>
          <w:t>https://www.jpedhc.org/article/S0891-5245(24)00181-0/pdf</w:t>
        </w:r>
      </w:hyperlink>
      <w:r w:rsidRPr="00937286">
        <w:t xml:space="preserve">  (Accessed: 21 June 2026). </w:t>
      </w:r>
    </w:p>
    <w:p w14:paraId="6B09FC94" w14:textId="77777777" w:rsidR="00121101" w:rsidRPr="00937286" w:rsidRDefault="00121101" w:rsidP="00334FE5">
      <w:pPr>
        <w:spacing w:line="360" w:lineRule="auto"/>
      </w:pPr>
      <w:proofErr w:type="spellStart"/>
      <w:r w:rsidRPr="00937286">
        <w:t>Druye</w:t>
      </w:r>
      <w:proofErr w:type="spellEnd"/>
      <w:r w:rsidRPr="00937286">
        <w:t xml:space="preserve">, A. A., </w:t>
      </w:r>
      <w:proofErr w:type="spellStart"/>
      <w:r w:rsidRPr="00937286">
        <w:t>Amoadu</w:t>
      </w:r>
      <w:proofErr w:type="spellEnd"/>
      <w:r w:rsidRPr="00937286">
        <w:t xml:space="preserve">, M., </w:t>
      </w:r>
      <w:proofErr w:type="spellStart"/>
      <w:r w:rsidRPr="00937286">
        <w:t>Boso</w:t>
      </w:r>
      <w:proofErr w:type="spellEnd"/>
      <w:r w:rsidRPr="00937286">
        <w:t xml:space="preserve">, C. M., Nabe, B., </w:t>
      </w:r>
      <w:proofErr w:type="spellStart"/>
      <w:r w:rsidRPr="00937286">
        <w:t>Kagbo</w:t>
      </w:r>
      <w:proofErr w:type="spellEnd"/>
      <w:r w:rsidRPr="00937286">
        <w:t xml:space="preserve">, J. E., </w:t>
      </w:r>
      <w:proofErr w:type="spellStart"/>
      <w:r w:rsidRPr="00937286">
        <w:t>Alhassan</w:t>
      </w:r>
      <w:proofErr w:type="spellEnd"/>
      <w:r w:rsidRPr="00937286">
        <w:t xml:space="preserve">, A., </w:t>
      </w:r>
      <w:proofErr w:type="spellStart"/>
      <w:r w:rsidRPr="00937286">
        <w:t>Odonkor</w:t>
      </w:r>
      <w:proofErr w:type="spellEnd"/>
      <w:r w:rsidRPr="00937286">
        <w:t xml:space="preserve">, F. O., </w:t>
      </w:r>
      <w:proofErr w:type="spellStart"/>
      <w:r w:rsidRPr="00937286">
        <w:t>Lanyo</w:t>
      </w:r>
      <w:proofErr w:type="spellEnd"/>
      <w:r w:rsidRPr="00937286">
        <w:t xml:space="preserve">, G. S., Davies, A. E., Doe, P. F., </w:t>
      </w:r>
      <w:proofErr w:type="spellStart"/>
      <w:r w:rsidRPr="00937286">
        <w:t>Okantey</w:t>
      </w:r>
      <w:proofErr w:type="spellEnd"/>
      <w:r w:rsidRPr="00937286">
        <w:t xml:space="preserve">, C., </w:t>
      </w:r>
      <w:proofErr w:type="spellStart"/>
      <w:r w:rsidRPr="00937286">
        <w:t>Ofori</w:t>
      </w:r>
      <w:proofErr w:type="spellEnd"/>
      <w:r w:rsidRPr="00937286">
        <w:t xml:space="preserve">, G. O., </w:t>
      </w:r>
      <w:proofErr w:type="spellStart"/>
      <w:r w:rsidRPr="00937286">
        <w:t>Agyare</w:t>
      </w:r>
      <w:proofErr w:type="spellEnd"/>
      <w:r w:rsidRPr="00937286">
        <w:t>, D. F., and Abraham, S. A., 2024. Self-management needs, strategies and support for individuals with sickle cell disease in developing countries: a scoping review. </w:t>
      </w:r>
      <w:r w:rsidRPr="00937286">
        <w:rPr>
          <w:i/>
          <w:iCs/>
        </w:rPr>
        <w:t>BMJ open</w:t>
      </w:r>
      <w:r w:rsidRPr="00937286">
        <w:t>, </w:t>
      </w:r>
      <w:r w:rsidRPr="00937286">
        <w:rPr>
          <w:i/>
          <w:iCs/>
        </w:rPr>
        <w:t>14</w:t>
      </w:r>
      <w:r w:rsidRPr="00937286">
        <w:t xml:space="preserve">(9), e087723.  Available at: </w:t>
      </w:r>
      <w:hyperlink r:id="rId21" w:history="1">
        <w:r w:rsidRPr="00937286">
          <w:rPr>
            <w:rStyle w:val="Hyperlink"/>
            <w:color w:val="auto"/>
          </w:rPr>
          <w:t>http://pubmed.ncbi.nlm.nih.gov/39260843/</w:t>
        </w:r>
      </w:hyperlink>
      <w:r w:rsidRPr="00937286">
        <w:t xml:space="preserve"> (Accessed: 21 June 2026). </w:t>
      </w:r>
    </w:p>
    <w:p w14:paraId="792BB76B" w14:textId="77777777" w:rsidR="00121101" w:rsidRPr="00937286" w:rsidRDefault="00121101" w:rsidP="00334FE5">
      <w:pPr>
        <w:spacing w:line="360" w:lineRule="auto"/>
      </w:pPr>
      <w:proofErr w:type="spellStart"/>
      <w:r w:rsidRPr="00937286">
        <w:t>Elendu</w:t>
      </w:r>
      <w:proofErr w:type="spellEnd"/>
      <w:r w:rsidRPr="00937286">
        <w:t xml:space="preserve">, C., </w:t>
      </w:r>
      <w:proofErr w:type="spellStart"/>
      <w:r w:rsidRPr="00937286">
        <w:t>Amaechi</w:t>
      </w:r>
      <w:proofErr w:type="spellEnd"/>
      <w:r w:rsidRPr="00937286">
        <w:t xml:space="preserve">, D.C., </w:t>
      </w:r>
      <w:proofErr w:type="spellStart"/>
      <w:r w:rsidRPr="00937286">
        <w:t>Alakwe-Ojimba</w:t>
      </w:r>
      <w:proofErr w:type="spellEnd"/>
      <w:r w:rsidRPr="00937286">
        <w:t xml:space="preserve">, C.E., </w:t>
      </w:r>
      <w:proofErr w:type="spellStart"/>
      <w:r w:rsidRPr="00937286">
        <w:t>Elendu</w:t>
      </w:r>
      <w:proofErr w:type="spellEnd"/>
      <w:r w:rsidRPr="00937286">
        <w:t xml:space="preserve">, T.C., </w:t>
      </w:r>
      <w:proofErr w:type="spellStart"/>
      <w:r w:rsidRPr="00937286">
        <w:t>Elendu</w:t>
      </w:r>
      <w:proofErr w:type="spellEnd"/>
      <w:r w:rsidRPr="00937286">
        <w:t xml:space="preserve">, R.C., </w:t>
      </w:r>
      <w:proofErr w:type="spellStart"/>
      <w:r w:rsidRPr="00937286">
        <w:t>Ayabazu</w:t>
      </w:r>
      <w:proofErr w:type="spellEnd"/>
      <w:r w:rsidRPr="00937286">
        <w:t xml:space="preserve">, C.P., </w:t>
      </w:r>
      <w:proofErr w:type="spellStart"/>
      <w:r w:rsidRPr="00937286">
        <w:t>Aina</w:t>
      </w:r>
      <w:proofErr w:type="spellEnd"/>
      <w:r w:rsidRPr="00937286">
        <w:t xml:space="preserve">, T.O., </w:t>
      </w:r>
      <w:proofErr w:type="spellStart"/>
      <w:r w:rsidRPr="00937286">
        <w:t>Aborisade</w:t>
      </w:r>
      <w:proofErr w:type="spellEnd"/>
      <w:r w:rsidRPr="00937286">
        <w:t xml:space="preserve">, O. and </w:t>
      </w:r>
      <w:proofErr w:type="spellStart"/>
      <w:r w:rsidRPr="00937286">
        <w:t>Adenikinju</w:t>
      </w:r>
      <w:proofErr w:type="spellEnd"/>
      <w:r w:rsidRPr="00937286">
        <w:t>, J.S., 2023. Understanding sickle cell disease: causes, symptoms, and treatment options. </w:t>
      </w:r>
      <w:r w:rsidRPr="00937286">
        <w:rPr>
          <w:i/>
          <w:iCs/>
        </w:rPr>
        <w:t>Medicine</w:t>
      </w:r>
      <w:r w:rsidRPr="00937286">
        <w:t>, </w:t>
      </w:r>
      <w:r w:rsidRPr="00937286">
        <w:rPr>
          <w:i/>
          <w:iCs/>
        </w:rPr>
        <w:t>102</w:t>
      </w:r>
      <w:r w:rsidRPr="00937286">
        <w:t xml:space="preserve">(38), p.e35237. Available at: </w:t>
      </w:r>
      <w:hyperlink r:id="rId22" w:history="1">
        <w:r w:rsidRPr="00937286">
          <w:rPr>
            <w:rStyle w:val="Hyperlink"/>
            <w:color w:val="auto"/>
          </w:rPr>
          <w:t>https://journals.lww.com/md-journal/_layouts/15/oaks.journals/downloadpdf.aspx?an=00005792-202309220-00030</w:t>
        </w:r>
      </w:hyperlink>
      <w:r w:rsidRPr="00937286">
        <w:t xml:space="preserve">  (Accessed: 21 June 2026). </w:t>
      </w:r>
    </w:p>
    <w:p w14:paraId="1D28753D" w14:textId="77777777" w:rsidR="00121101" w:rsidRPr="00937286" w:rsidRDefault="00121101" w:rsidP="00334FE5">
      <w:pPr>
        <w:spacing w:line="360" w:lineRule="auto"/>
      </w:pPr>
      <w:proofErr w:type="spellStart"/>
      <w:r w:rsidRPr="00937286">
        <w:t>Frangoul</w:t>
      </w:r>
      <w:proofErr w:type="spellEnd"/>
      <w:r w:rsidRPr="00937286">
        <w:t xml:space="preserve">, H., Locatelli, F., Sharma, A., Bhatia, M., </w:t>
      </w:r>
      <w:proofErr w:type="spellStart"/>
      <w:r w:rsidRPr="00937286">
        <w:t>Mapara</w:t>
      </w:r>
      <w:proofErr w:type="spellEnd"/>
      <w:r w:rsidRPr="00937286">
        <w:t xml:space="preserve">, M., Molinari, L., Wall, D., </w:t>
      </w:r>
      <w:proofErr w:type="spellStart"/>
      <w:r w:rsidRPr="00937286">
        <w:t>Liem</w:t>
      </w:r>
      <w:proofErr w:type="spellEnd"/>
      <w:r w:rsidRPr="00937286">
        <w:t xml:space="preserve">, R.I., </w:t>
      </w:r>
      <w:proofErr w:type="spellStart"/>
      <w:r w:rsidRPr="00937286">
        <w:t>Telfer</w:t>
      </w:r>
      <w:proofErr w:type="spellEnd"/>
      <w:r w:rsidRPr="00937286">
        <w:t xml:space="preserve">, P., Shah, A.J. and </w:t>
      </w:r>
      <w:proofErr w:type="spellStart"/>
      <w:r w:rsidRPr="00937286">
        <w:t>Cavazzana</w:t>
      </w:r>
      <w:proofErr w:type="spellEnd"/>
      <w:r w:rsidRPr="00937286">
        <w:t xml:space="preserve">, M., 2023. </w:t>
      </w:r>
      <w:proofErr w:type="spellStart"/>
      <w:r w:rsidRPr="00937286">
        <w:t>Exagamglogene</w:t>
      </w:r>
      <w:proofErr w:type="spellEnd"/>
      <w:r w:rsidRPr="00937286">
        <w:t xml:space="preserve"> </w:t>
      </w:r>
      <w:proofErr w:type="spellStart"/>
      <w:r w:rsidRPr="00937286">
        <w:t>autotemcel</w:t>
      </w:r>
      <w:proofErr w:type="spellEnd"/>
      <w:r w:rsidRPr="00937286">
        <w:t xml:space="preserve"> for severe sickle cell disease. </w:t>
      </w:r>
      <w:r w:rsidRPr="00937286">
        <w:rPr>
          <w:i/>
          <w:iCs/>
        </w:rPr>
        <w:t>Blood</w:t>
      </w:r>
      <w:r w:rsidRPr="00937286">
        <w:t>, </w:t>
      </w:r>
      <w:r w:rsidRPr="00937286">
        <w:rPr>
          <w:i/>
          <w:iCs/>
        </w:rPr>
        <w:t>142</w:t>
      </w:r>
      <w:r w:rsidRPr="00937286">
        <w:t xml:space="preserve">, p.1052. Available at: </w:t>
      </w:r>
      <w:hyperlink r:id="rId23" w:history="1">
        <w:r w:rsidRPr="00937286">
          <w:rPr>
            <w:rStyle w:val="Hyperlink"/>
            <w:color w:val="auto"/>
          </w:rPr>
          <w:t>https://www.sciencedirect.com/science/article/pii/S0006497123076553</w:t>
        </w:r>
      </w:hyperlink>
      <w:r w:rsidRPr="00937286">
        <w:t xml:space="preserve"> (Accessed: 21 June 2026). </w:t>
      </w:r>
    </w:p>
    <w:p w14:paraId="34267842" w14:textId="77777777" w:rsidR="00121101" w:rsidRPr="00937286" w:rsidRDefault="00121101" w:rsidP="00334FE5">
      <w:pPr>
        <w:spacing w:line="360" w:lineRule="auto"/>
      </w:pPr>
      <w:proofErr w:type="spellStart"/>
      <w:r w:rsidRPr="00937286">
        <w:t>Frangoul</w:t>
      </w:r>
      <w:proofErr w:type="spellEnd"/>
      <w:r w:rsidRPr="00937286">
        <w:t xml:space="preserve">, H., Locatelli, F., Sharma, A., Bhatia, M., </w:t>
      </w:r>
      <w:proofErr w:type="spellStart"/>
      <w:r w:rsidRPr="00937286">
        <w:t>Mapara</w:t>
      </w:r>
      <w:proofErr w:type="spellEnd"/>
      <w:r w:rsidRPr="00937286">
        <w:t xml:space="preserve">, M., Molinari, L., Wall, D., </w:t>
      </w:r>
      <w:proofErr w:type="spellStart"/>
      <w:r w:rsidRPr="00937286">
        <w:t>Liem</w:t>
      </w:r>
      <w:proofErr w:type="spellEnd"/>
      <w:r w:rsidRPr="00937286">
        <w:t xml:space="preserve">, R.I., </w:t>
      </w:r>
      <w:proofErr w:type="spellStart"/>
      <w:r w:rsidRPr="00937286">
        <w:t>Telfer</w:t>
      </w:r>
      <w:proofErr w:type="spellEnd"/>
      <w:r w:rsidRPr="00937286">
        <w:t xml:space="preserve">, P., Shah, A.J. and </w:t>
      </w:r>
      <w:proofErr w:type="spellStart"/>
      <w:r w:rsidRPr="00937286">
        <w:t>Cavazzana</w:t>
      </w:r>
      <w:proofErr w:type="spellEnd"/>
      <w:r w:rsidRPr="00937286">
        <w:t xml:space="preserve">, M., 2024. </w:t>
      </w:r>
      <w:proofErr w:type="spellStart"/>
      <w:r w:rsidRPr="00937286">
        <w:t>Exagamglogene</w:t>
      </w:r>
      <w:proofErr w:type="spellEnd"/>
      <w:r w:rsidRPr="00937286">
        <w:t xml:space="preserve"> </w:t>
      </w:r>
      <w:proofErr w:type="spellStart"/>
      <w:r w:rsidRPr="00937286">
        <w:t>autotemcel</w:t>
      </w:r>
      <w:proofErr w:type="spellEnd"/>
      <w:r w:rsidRPr="00937286">
        <w:t xml:space="preserve"> for severe sickle cell disease. </w:t>
      </w:r>
      <w:r w:rsidRPr="00937286">
        <w:rPr>
          <w:i/>
          <w:iCs/>
        </w:rPr>
        <w:t>New England Journal of Medicine</w:t>
      </w:r>
      <w:r w:rsidRPr="00937286">
        <w:t>, </w:t>
      </w:r>
      <w:r w:rsidRPr="00937286">
        <w:rPr>
          <w:i/>
          <w:iCs/>
        </w:rPr>
        <w:t>390</w:t>
      </w:r>
      <w:r w:rsidRPr="00937286">
        <w:t xml:space="preserve">(18), pp.1649-1662. Available at: </w:t>
      </w:r>
      <w:hyperlink r:id="rId24" w:history="1">
        <w:r w:rsidRPr="00937286">
          <w:rPr>
            <w:rStyle w:val="Hyperlink"/>
            <w:color w:val="auto"/>
          </w:rPr>
          <w:t>https://cancer-networks.com/wp-content/uploads/2024/04/exagamglogene-autotemcel-for-severe-sickle-cell-disease.pdf</w:t>
        </w:r>
      </w:hyperlink>
      <w:r w:rsidRPr="00937286">
        <w:t xml:space="preserve">  (Accessed: 21 June 2026).</w:t>
      </w:r>
    </w:p>
    <w:p w14:paraId="42E04050" w14:textId="77777777" w:rsidR="00121101" w:rsidRPr="00937286" w:rsidRDefault="00121101" w:rsidP="00334FE5">
      <w:pPr>
        <w:spacing w:line="360" w:lineRule="auto"/>
      </w:pPr>
      <w:proofErr w:type="spellStart"/>
      <w:r w:rsidRPr="00937286">
        <w:lastRenderedPageBreak/>
        <w:t>Gargano</w:t>
      </w:r>
      <w:proofErr w:type="spellEnd"/>
      <w:r w:rsidRPr="00937286">
        <w:t xml:space="preserve">, L.P., </w:t>
      </w:r>
      <w:proofErr w:type="spellStart"/>
      <w:r w:rsidRPr="00937286">
        <w:t>Fachi</w:t>
      </w:r>
      <w:proofErr w:type="spellEnd"/>
      <w:r w:rsidRPr="00937286">
        <w:t xml:space="preserve">, M.M., Oliveira, L.A., Lobo, C., </w:t>
      </w:r>
      <w:proofErr w:type="spellStart"/>
      <w:r w:rsidRPr="00937286">
        <w:t>Melnikoff</w:t>
      </w:r>
      <w:proofErr w:type="spellEnd"/>
      <w:r w:rsidRPr="00937286">
        <w:t xml:space="preserve">, K.N.T., Soriano, S., </w:t>
      </w:r>
      <w:proofErr w:type="spellStart"/>
      <w:r w:rsidRPr="00937286">
        <w:t>Maior</w:t>
      </w:r>
      <w:proofErr w:type="spellEnd"/>
      <w:r w:rsidRPr="00937286">
        <w:t xml:space="preserve">, M.D.C.L.S., </w:t>
      </w:r>
      <w:proofErr w:type="spellStart"/>
      <w:r w:rsidRPr="00937286">
        <w:t>Kron-Rodrigues</w:t>
      </w:r>
      <w:proofErr w:type="spellEnd"/>
      <w:r w:rsidRPr="00937286">
        <w:t xml:space="preserve">, M.R., Gomes, D.F., Junior, H.A.O. and </w:t>
      </w:r>
      <w:proofErr w:type="spellStart"/>
      <w:r w:rsidRPr="00937286">
        <w:t>Lucchetta</w:t>
      </w:r>
      <w:proofErr w:type="spellEnd"/>
      <w:r w:rsidRPr="00937286">
        <w:t>, R.C., 2025. Updating the Brazilian clinical practice guidelines for sickle cell disease: Recommendations and development process. </w:t>
      </w:r>
      <w:r w:rsidRPr="00937286">
        <w:rPr>
          <w:i/>
          <w:iCs/>
        </w:rPr>
        <w:t>Hematology, Transfusion and Cell Therapy</w:t>
      </w:r>
      <w:r w:rsidRPr="00937286">
        <w:t>, </w:t>
      </w:r>
      <w:r w:rsidRPr="00937286">
        <w:rPr>
          <w:i/>
          <w:iCs/>
        </w:rPr>
        <w:t>47</w:t>
      </w:r>
      <w:r w:rsidRPr="00937286">
        <w:t xml:space="preserve">(4), p.103964. Available at: </w:t>
      </w:r>
      <w:hyperlink r:id="rId25" w:tgtFrame="_blank" w:history="1">
        <w:r w:rsidRPr="00937286">
          <w:rPr>
            <w:rStyle w:val="Hyperlink"/>
            <w:color w:val="auto"/>
          </w:rPr>
          <w:t>https://pubmed.ncbi.nlm.nih.gov/40850219/</w:t>
        </w:r>
      </w:hyperlink>
      <w:r w:rsidRPr="00937286">
        <w:t xml:space="preserve"> (Accessed: 21 June 2026). </w:t>
      </w:r>
    </w:p>
    <w:p w14:paraId="301009B7" w14:textId="77777777" w:rsidR="00121101" w:rsidRPr="00937286" w:rsidRDefault="00121101" w:rsidP="00334FE5">
      <w:pPr>
        <w:spacing w:line="360" w:lineRule="auto"/>
      </w:pPr>
      <w:r w:rsidRPr="00937286">
        <w:t xml:space="preserve">Jacob, S.A., Frei-Jones, M., </w:t>
      </w:r>
      <w:proofErr w:type="spellStart"/>
      <w:r w:rsidRPr="00937286">
        <w:t>Saif-Ur-Rehman</w:t>
      </w:r>
      <w:proofErr w:type="spellEnd"/>
      <w:r w:rsidRPr="00937286">
        <w:t xml:space="preserve">, S., </w:t>
      </w:r>
      <w:proofErr w:type="spellStart"/>
      <w:r w:rsidRPr="00937286">
        <w:t>Hulbert</w:t>
      </w:r>
      <w:proofErr w:type="spellEnd"/>
      <w:r w:rsidRPr="00937286">
        <w:t xml:space="preserve">, M.L., O’Brien, A.R., </w:t>
      </w:r>
      <w:proofErr w:type="spellStart"/>
      <w:r w:rsidRPr="00937286">
        <w:t>Strunk</w:t>
      </w:r>
      <w:proofErr w:type="spellEnd"/>
      <w:r w:rsidRPr="00937286">
        <w:t xml:space="preserve">, C., </w:t>
      </w:r>
      <w:proofErr w:type="spellStart"/>
      <w:r w:rsidRPr="00937286">
        <w:t>Villella</w:t>
      </w:r>
      <w:proofErr w:type="spellEnd"/>
      <w:r w:rsidRPr="00937286">
        <w:t xml:space="preserve">, A., </w:t>
      </w:r>
      <w:proofErr w:type="spellStart"/>
      <w:r w:rsidRPr="00937286">
        <w:t>Talati</w:t>
      </w:r>
      <w:proofErr w:type="spellEnd"/>
      <w:r w:rsidRPr="00937286">
        <w:t xml:space="preserve">, R., </w:t>
      </w:r>
      <w:proofErr w:type="spellStart"/>
      <w:r w:rsidRPr="00937286">
        <w:t>Owusu-Ansah</w:t>
      </w:r>
      <w:proofErr w:type="spellEnd"/>
      <w:r w:rsidRPr="00937286">
        <w:t xml:space="preserve">, A., </w:t>
      </w:r>
      <w:proofErr w:type="spellStart"/>
      <w:r w:rsidRPr="00937286">
        <w:t>Coyne</w:t>
      </w:r>
      <w:proofErr w:type="spellEnd"/>
      <w:r w:rsidRPr="00937286">
        <w:t>, F. and McGann, P.T., 2025. National Alliance of Sickle Cell Centers Consensus Recommendations on Sickle Cell Disease Health Maintenance: A Consensus Statement. </w:t>
      </w:r>
      <w:r w:rsidRPr="00937286">
        <w:rPr>
          <w:i/>
          <w:iCs/>
        </w:rPr>
        <w:t>JAMA network open</w:t>
      </w:r>
      <w:r w:rsidRPr="00937286">
        <w:t>, </w:t>
      </w:r>
      <w:r w:rsidRPr="00937286">
        <w:rPr>
          <w:i/>
          <w:iCs/>
        </w:rPr>
        <w:t>8</w:t>
      </w:r>
      <w:r w:rsidRPr="00937286">
        <w:t xml:space="preserve">(11), p.e2543421. Available at: </w:t>
      </w:r>
      <w:hyperlink r:id="rId26" w:history="1">
        <w:r w:rsidRPr="00937286">
          <w:rPr>
            <w:rStyle w:val="Hyperlink"/>
            <w:color w:val="auto"/>
          </w:rPr>
          <w:t>https://jamanetwork.com/journals/jamanetworkopen/articlepdf/2841331/jacob_2025_cs_250005_1762459856.75958.pdf</w:t>
        </w:r>
      </w:hyperlink>
      <w:r w:rsidRPr="00937286">
        <w:t xml:space="preserve">  (Accessed: 21 June 2026). </w:t>
      </w:r>
    </w:p>
    <w:p w14:paraId="72518459" w14:textId="77777777" w:rsidR="00121101" w:rsidRPr="00937286" w:rsidRDefault="00121101" w:rsidP="00334FE5">
      <w:pPr>
        <w:spacing w:line="360" w:lineRule="auto"/>
      </w:pPr>
      <w:proofErr w:type="spellStart"/>
      <w:r w:rsidRPr="00937286">
        <w:t>Kato</w:t>
      </w:r>
      <w:proofErr w:type="spellEnd"/>
      <w:r w:rsidRPr="00937286">
        <w:t xml:space="preserve">, G.J., </w:t>
      </w:r>
      <w:proofErr w:type="spellStart"/>
      <w:r w:rsidRPr="00937286">
        <w:t>Piel</w:t>
      </w:r>
      <w:proofErr w:type="spellEnd"/>
      <w:r w:rsidRPr="00937286">
        <w:t xml:space="preserve">, F.B., Reid, C.D., Gaston, M.H., </w:t>
      </w:r>
      <w:proofErr w:type="spellStart"/>
      <w:r w:rsidRPr="00937286">
        <w:t>Ohene-Frempong</w:t>
      </w:r>
      <w:proofErr w:type="spellEnd"/>
      <w:r w:rsidRPr="00937286">
        <w:t xml:space="preserve">, K. and </w:t>
      </w:r>
      <w:proofErr w:type="spellStart"/>
      <w:r w:rsidRPr="00937286">
        <w:t>Krishnamurti</w:t>
      </w:r>
      <w:proofErr w:type="spellEnd"/>
      <w:r w:rsidRPr="00937286">
        <w:t>, L., 2018. Costa FF. Sickle cell disease nature reviews disease. </w:t>
      </w:r>
      <w:r w:rsidRPr="00937286">
        <w:rPr>
          <w:i/>
          <w:iCs/>
        </w:rPr>
        <w:t>Primers.</w:t>
      </w:r>
      <w:r w:rsidRPr="00937286">
        <w:t>, </w:t>
      </w:r>
      <w:r w:rsidRPr="00937286">
        <w:rPr>
          <w:i/>
          <w:iCs/>
        </w:rPr>
        <w:t>4</w:t>
      </w:r>
      <w:r w:rsidRPr="00937286">
        <w:t xml:space="preserve">, pp.1-22. Available at: </w:t>
      </w:r>
      <w:hyperlink r:id="rId27" w:history="1">
        <w:r w:rsidRPr="00937286">
          <w:rPr>
            <w:rStyle w:val="Hyperlink"/>
            <w:color w:val="auto"/>
          </w:rPr>
          <w:t>https://pubmed.ncbi.nlm.nih.gov/29542687/</w:t>
        </w:r>
      </w:hyperlink>
      <w:r w:rsidRPr="00937286">
        <w:t xml:space="preserve">  (Accessed: 21 June 2026). </w:t>
      </w:r>
    </w:p>
    <w:p w14:paraId="3C4F467D" w14:textId="77777777" w:rsidR="00121101" w:rsidRPr="00937286" w:rsidRDefault="00121101" w:rsidP="00334FE5">
      <w:pPr>
        <w:spacing w:line="360" w:lineRule="auto"/>
      </w:pPr>
      <w:r w:rsidRPr="00937286">
        <w:t xml:space="preserve">Kunz, J.B. and </w:t>
      </w:r>
      <w:proofErr w:type="spellStart"/>
      <w:r w:rsidRPr="00937286">
        <w:t>Tagliaferri</w:t>
      </w:r>
      <w:proofErr w:type="spellEnd"/>
      <w:r w:rsidRPr="00937286">
        <w:t xml:space="preserve">, L., 2024. Sickle cell disease. Transfusion Medicine and </w:t>
      </w:r>
      <w:proofErr w:type="spellStart"/>
      <w:r w:rsidRPr="00937286">
        <w:t>Hemotherapy</w:t>
      </w:r>
      <w:proofErr w:type="spellEnd"/>
      <w:r w:rsidRPr="00937286">
        <w:t xml:space="preserve">, 51(5), pp.332-344. Available at: </w:t>
      </w:r>
      <w:hyperlink r:id="rId28" w:history="1">
        <w:r w:rsidRPr="00937286">
          <w:rPr>
            <w:rStyle w:val="Hyperlink"/>
            <w:color w:val="auto"/>
          </w:rPr>
          <w:t>https://karger.com/tmh/article-pdf/51/5/332/4285899/000540149.pdf</w:t>
        </w:r>
      </w:hyperlink>
      <w:r w:rsidRPr="00937286">
        <w:t xml:space="preserve"> (Accessed: 21 June 2026). </w:t>
      </w:r>
    </w:p>
    <w:p w14:paraId="48500280" w14:textId="77777777" w:rsidR="00121101" w:rsidRPr="00937286" w:rsidRDefault="00121101" w:rsidP="00334FE5">
      <w:pPr>
        <w:spacing w:line="360" w:lineRule="auto"/>
      </w:pPr>
      <w:r w:rsidRPr="00937286">
        <w:t xml:space="preserve">Leonard, A. and </w:t>
      </w:r>
      <w:proofErr w:type="spellStart"/>
      <w:r w:rsidRPr="00937286">
        <w:t>Kanter</w:t>
      </w:r>
      <w:proofErr w:type="spellEnd"/>
      <w:r w:rsidRPr="00937286">
        <w:t>, J., 2025. Clinical data comparison for FDA-approved gene therapies in sickle cell disease. </w:t>
      </w:r>
      <w:r w:rsidRPr="00937286">
        <w:rPr>
          <w:i/>
          <w:iCs/>
        </w:rPr>
        <w:t>Experimental Biology and Medicine</w:t>
      </w:r>
      <w:r w:rsidRPr="00937286">
        <w:t>, </w:t>
      </w:r>
      <w:r w:rsidRPr="00937286">
        <w:rPr>
          <w:i/>
          <w:iCs/>
        </w:rPr>
        <w:t>250</w:t>
      </w:r>
      <w:r w:rsidRPr="00937286">
        <w:t xml:space="preserve">, p.10806. Available at: </w:t>
      </w:r>
      <w:hyperlink r:id="rId29" w:history="1">
        <w:r w:rsidRPr="00937286">
          <w:rPr>
            <w:rStyle w:val="Hyperlink"/>
            <w:color w:val="auto"/>
          </w:rPr>
          <w:t>https://pmc.ncbi.nlm.nih.gov/articles/PMC12719290/</w:t>
        </w:r>
      </w:hyperlink>
      <w:r w:rsidRPr="00937286">
        <w:t xml:space="preserve">  (Accessed: 21 June 2026). </w:t>
      </w:r>
    </w:p>
    <w:p w14:paraId="407CC137" w14:textId="77777777" w:rsidR="00121101" w:rsidRPr="00937286" w:rsidRDefault="00121101" w:rsidP="00334FE5">
      <w:pPr>
        <w:spacing w:line="360" w:lineRule="auto"/>
      </w:pPr>
      <w:r w:rsidRPr="00937286">
        <w:t>Li, L. and Mandal, P.K., 2024. Recent advancements in gene therapy for sickle cell disease and β-thalassemia. </w:t>
      </w:r>
      <w:r w:rsidRPr="00937286">
        <w:rPr>
          <w:i/>
          <w:iCs/>
        </w:rPr>
        <w:t>Frontiers in Hematology</w:t>
      </w:r>
      <w:r w:rsidRPr="00937286">
        <w:t>, </w:t>
      </w:r>
      <w:r w:rsidRPr="00937286">
        <w:rPr>
          <w:i/>
          <w:iCs/>
        </w:rPr>
        <w:t>3</w:t>
      </w:r>
      <w:r w:rsidRPr="00937286">
        <w:t xml:space="preserve">, p.1468952. Available at: </w:t>
      </w:r>
      <w:hyperlink r:id="rId30" w:history="1">
        <w:r w:rsidRPr="00937286">
          <w:rPr>
            <w:rStyle w:val="Hyperlink"/>
            <w:color w:val="auto"/>
          </w:rPr>
          <w:t>https://www.frontiersin.org/journals/hematology/articles/10.3389/frhem.2024.1468952/pdf</w:t>
        </w:r>
      </w:hyperlink>
      <w:r w:rsidRPr="00937286">
        <w:t xml:space="preserve">  (Accessed: 21 June 2026). </w:t>
      </w:r>
    </w:p>
    <w:p w14:paraId="0D0D3738" w14:textId="77777777" w:rsidR="00121101" w:rsidRPr="00937286" w:rsidRDefault="00121101" w:rsidP="00334FE5">
      <w:pPr>
        <w:spacing w:line="360" w:lineRule="auto"/>
      </w:pPr>
      <w:r w:rsidRPr="00937286">
        <w:t xml:space="preserve">Locatelli, F., Lang, P., </w:t>
      </w:r>
      <w:proofErr w:type="spellStart"/>
      <w:r w:rsidRPr="00937286">
        <w:t>Corbacioglu</w:t>
      </w:r>
      <w:proofErr w:type="spellEnd"/>
      <w:r w:rsidRPr="00937286">
        <w:t xml:space="preserve">, S., Wall, D., </w:t>
      </w:r>
      <w:proofErr w:type="spellStart"/>
      <w:r w:rsidRPr="00937286">
        <w:t>Meisel</w:t>
      </w:r>
      <w:proofErr w:type="spellEnd"/>
      <w:r w:rsidRPr="00937286">
        <w:t xml:space="preserve">, R., Li, A.M., de La </w:t>
      </w:r>
      <w:proofErr w:type="spellStart"/>
      <w:r w:rsidRPr="00937286">
        <w:t>Fuente</w:t>
      </w:r>
      <w:proofErr w:type="spellEnd"/>
      <w:r w:rsidRPr="00937286">
        <w:t xml:space="preserve">, J., Shah, A.J., Carpenter, B., </w:t>
      </w:r>
      <w:proofErr w:type="spellStart"/>
      <w:r w:rsidRPr="00937286">
        <w:t>Kwiatkowski</w:t>
      </w:r>
      <w:proofErr w:type="spellEnd"/>
      <w:r w:rsidRPr="00937286">
        <w:t xml:space="preserve">, J.L. and </w:t>
      </w:r>
      <w:proofErr w:type="spellStart"/>
      <w:r w:rsidRPr="00937286">
        <w:t>Mapara</w:t>
      </w:r>
      <w:proofErr w:type="spellEnd"/>
      <w:r w:rsidRPr="00937286">
        <w:t xml:space="preserve">, M., 2023. </w:t>
      </w:r>
      <w:proofErr w:type="spellStart"/>
      <w:r w:rsidRPr="00937286">
        <w:t>Exagamglogene</w:t>
      </w:r>
      <w:proofErr w:type="spellEnd"/>
      <w:r w:rsidRPr="00937286">
        <w:t xml:space="preserve"> </w:t>
      </w:r>
      <w:proofErr w:type="spellStart"/>
      <w:r w:rsidRPr="00937286">
        <w:t>autotemcel</w:t>
      </w:r>
      <w:proofErr w:type="spellEnd"/>
      <w:r w:rsidRPr="00937286">
        <w:t xml:space="preserve"> for transfusion-dependent β-thalassemia. </w:t>
      </w:r>
      <w:r w:rsidRPr="00937286">
        <w:rPr>
          <w:i/>
          <w:iCs/>
        </w:rPr>
        <w:t>Blood</w:t>
      </w:r>
      <w:r w:rsidRPr="00937286">
        <w:t>, </w:t>
      </w:r>
      <w:r w:rsidRPr="00937286">
        <w:rPr>
          <w:i/>
          <w:iCs/>
        </w:rPr>
        <w:t>142</w:t>
      </w:r>
      <w:r w:rsidRPr="00937286">
        <w:t xml:space="preserve">, p.1053. Available at: </w:t>
      </w:r>
      <w:hyperlink r:id="rId31" w:history="1">
        <w:r w:rsidRPr="00937286">
          <w:rPr>
            <w:rStyle w:val="Hyperlink"/>
            <w:color w:val="auto"/>
          </w:rPr>
          <w:t>https://www.sciencedirect.com/science/article/pii/S0006497123076565</w:t>
        </w:r>
      </w:hyperlink>
      <w:r w:rsidRPr="00937286">
        <w:t xml:space="preserve"> (Accessed: 21 June 2026). </w:t>
      </w:r>
    </w:p>
    <w:p w14:paraId="4F0C29D2" w14:textId="77777777" w:rsidR="00121101" w:rsidRPr="00937286" w:rsidRDefault="00121101" w:rsidP="00334FE5">
      <w:pPr>
        <w:spacing w:line="360" w:lineRule="auto"/>
      </w:pPr>
      <w:proofErr w:type="spellStart"/>
      <w:r w:rsidRPr="00937286">
        <w:lastRenderedPageBreak/>
        <w:t>Makani</w:t>
      </w:r>
      <w:proofErr w:type="spellEnd"/>
      <w:r w:rsidRPr="00937286">
        <w:t xml:space="preserve">, J., </w:t>
      </w:r>
      <w:proofErr w:type="spellStart"/>
      <w:r w:rsidRPr="00937286">
        <w:t>Ofori-Acquah</w:t>
      </w:r>
      <w:proofErr w:type="spellEnd"/>
      <w:r w:rsidRPr="00937286">
        <w:t xml:space="preserve">, S.F., </w:t>
      </w:r>
      <w:proofErr w:type="spellStart"/>
      <w:r w:rsidRPr="00937286">
        <w:t>Nnodu</w:t>
      </w:r>
      <w:proofErr w:type="spellEnd"/>
      <w:r w:rsidRPr="00937286">
        <w:t xml:space="preserve">, O., </w:t>
      </w:r>
      <w:proofErr w:type="spellStart"/>
      <w:r w:rsidRPr="00937286">
        <w:t>Wonkam</w:t>
      </w:r>
      <w:proofErr w:type="spellEnd"/>
      <w:r w:rsidRPr="00937286">
        <w:t xml:space="preserve">, A. and </w:t>
      </w:r>
      <w:proofErr w:type="spellStart"/>
      <w:r w:rsidRPr="00937286">
        <w:t>Ohene-Frempong</w:t>
      </w:r>
      <w:proofErr w:type="spellEnd"/>
      <w:r w:rsidRPr="00937286">
        <w:t>, K., 2013. Sickle cell disease: new opportunities and challenges in Africa. </w:t>
      </w:r>
      <w:r w:rsidRPr="00937286">
        <w:rPr>
          <w:i/>
          <w:iCs/>
        </w:rPr>
        <w:t>The scientific world journal</w:t>
      </w:r>
      <w:r w:rsidRPr="00937286">
        <w:t>, </w:t>
      </w:r>
      <w:r w:rsidRPr="00937286">
        <w:rPr>
          <w:i/>
          <w:iCs/>
        </w:rPr>
        <w:t>2013</w:t>
      </w:r>
      <w:r w:rsidRPr="00937286">
        <w:t xml:space="preserve">(1), p.193252. Available at: </w:t>
      </w:r>
      <w:hyperlink r:id="rId32" w:history="1">
        <w:r w:rsidRPr="00937286">
          <w:rPr>
            <w:rStyle w:val="Hyperlink"/>
            <w:color w:val="auto"/>
          </w:rPr>
          <w:t>https://onlinelibrary.wiley.com/doi/pdf/10.1155/2013/193252</w:t>
        </w:r>
      </w:hyperlink>
      <w:r w:rsidRPr="00937286">
        <w:t xml:space="preserve">  (Accessed: 21 June 2026). </w:t>
      </w:r>
    </w:p>
    <w:p w14:paraId="20AD4C43" w14:textId="77777777" w:rsidR="00121101" w:rsidRPr="00937286" w:rsidRDefault="00121101" w:rsidP="00334FE5">
      <w:pPr>
        <w:spacing w:line="360" w:lineRule="auto"/>
      </w:pPr>
      <w:r w:rsidRPr="00937286">
        <w:t xml:space="preserve">Miller, A. C., and </w:t>
      </w:r>
      <w:proofErr w:type="spellStart"/>
      <w:r w:rsidRPr="00937286">
        <w:t>Gladwin</w:t>
      </w:r>
      <w:proofErr w:type="spellEnd"/>
      <w:r w:rsidRPr="00937286">
        <w:t>, M. T., 2012. Pulmonary complications of sickle cell disease. </w:t>
      </w:r>
      <w:r w:rsidRPr="00937286">
        <w:rPr>
          <w:i/>
          <w:iCs/>
        </w:rPr>
        <w:t>American journal of respiratory and critical care medicine</w:t>
      </w:r>
      <w:r w:rsidRPr="00937286">
        <w:t>, </w:t>
      </w:r>
      <w:r w:rsidRPr="00937286">
        <w:rPr>
          <w:i/>
          <w:iCs/>
        </w:rPr>
        <w:t>185</w:t>
      </w:r>
      <w:r w:rsidRPr="00937286">
        <w:t xml:space="preserve">(11), 1154–1165.  Available at: </w:t>
      </w:r>
      <w:hyperlink r:id="rId33" w:history="1">
        <w:r w:rsidRPr="00937286">
          <w:rPr>
            <w:rStyle w:val="Hyperlink"/>
            <w:color w:val="auto"/>
          </w:rPr>
          <w:t>https://pmc.ncbi.nlm.nih.gov/articles/PMC3373067/</w:t>
        </w:r>
      </w:hyperlink>
      <w:r w:rsidRPr="00937286">
        <w:t xml:space="preserve">  (Accessed: 21 June 2026). </w:t>
      </w:r>
    </w:p>
    <w:p w14:paraId="33535A31" w14:textId="77777777" w:rsidR="00121101" w:rsidRPr="00937286" w:rsidRDefault="00121101" w:rsidP="00334FE5">
      <w:pPr>
        <w:spacing w:before="0" w:after="160" w:line="360" w:lineRule="auto"/>
      </w:pPr>
      <w:r w:rsidRPr="00937286">
        <w:t xml:space="preserve">National Institute for Health and Care Excellence (NICE), 2023. Sickle cell disease: managing acute painful episodes in hospital [CG143]. Available at: </w:t>
      </w:r>
      <w:hyperlink r:id="rId34" w:tgtFrame="_blank" w:history="1">
        <w:r w:rsidRPr="00937286">
          <w:rPr>
            <w:rStyle w:val="Hyperlink"/>
            <w:color w:val="auto"/>
          </w:rPr>
          <w:t>https://www.nice.org.uk/guidance/cg143</w:t>
        </w:r>
      </w:hyperlink>
      <w:r w:rsidRPr="00937286">
        <w:t xml:space="preserve"> (Accessed: 21 June 2026).</w:t>
      </w:r>
    </w:p>
    <w:p w14:paraId="1FB7D7F4" w14:textId="77777777" w:rsidR="00121101" w:rsidRPr="00937286" w:rsidRDefault="00121101" w:rsidP="00334FE5">
      <w:pPr>
        <w:spacing w:before="0" w:after="160" w:line="360" w:lineRule="auto"/>
      </w:pPr>
      <w:r w:rsidRPr="00937286">
        <w:t xml:space="preserve">NHS England, 2025. Sickle cell disease: what every clinician needs to think about. Available at: </w:t>
      </w:r>
      <w:hyperlink r:id="rId35" w:tgtFrame="_blank" w:history="1">
        <w:r w:rsidRPr="00937286">
          <w:rPr>
            <w:rStyle w:val="Hyperlink"/>
            <w:color w:val="auto"/>
          </w:rPr>
          <w:t>https://www.england.nhs.uk/blog/sickle-cell-disease-what-every-clinician-needs-to-think-about/</w:t>
        </w:r>
      </w:hyperlink>
      <w:r w:rsidRPr="00937286">
        <w:t xml:space="preserve"> (Accessed: 21 June 2026).</w:t>
      </w:r>
    </w:p>
    <w:p w14:paraId="6AE4706C" w14:textId="77777777" w:rsidR="00121101" w:rsidRPr="00937286" w:rsidRDefault="00121101" w:rsidP="00334FE5">
      <w:pPr>
        <w:spacing w:before="0" w:after="160" w:line="360" w:lineRule="auto"/>
      </w:pPr>
      <w:r w:rsidRPr="00937286">
        <w:t xml:space="preserve">NHS, 2026a. Sickle cell disease. Available at: </w:t>
      </w:r>
      <w:hyperlink r:id="rId36" w:tgtFrame="_blank" w:history="1">
        <w:r w:rsidRPr="00937286">
          <w:rPr>
            <w:rStyle w:val="Hyperlink"/>
            <w:color w:val="auto"/>
          </w:rPr>
          <w:t>https://www.nhs.uk/conditions/sickle-cell-disease/</w:t>
        </w:r>
      </w:hyperlink>
      <w:r w:rsidRPr="00937286">
        <w:t xml:space="preserve"> (Accessed: 21 June 2026).</w:t>
      </w:r>
    </w:p>
    <w:p w14:paraId="58B9D5B2" w14:textId="77777777" w:rsidR="00121101" w:rsidRPr="00937286" w:rsidRDefault="00121101" w:rsidP="00334FE5">
      <w:pPr>
        <w:spacing w:before="0" w:after="160" w:line="360" w:lineRule="auto"/>
      </w:pPr>
      <w:r w:rsidRPr="00937286">
        <w:t xml:space="preserve">NHS, 2026b. Sickle cell disease – Treatment and support. Available at: </w:t>
      </w:r>
      <w:hyperlink r:id="rId37" w:tgtFrame="_blank" w:history="1">
        <w:r w:rsidRPr="00937286">
          <w:rPr>
            <w:rStyle w:val="Hyperlink"/>
            <w:color w:val="auto"/>
          </w:rPr>
          <w:t>https://www.nhs.uk/conditions/sickle-cell-disease/treatment/</w:t>
        </w:r>
      </w:hyperlink>
      <w:r w:rsidRPr="00937286">
        <w:t xml:space="preserve"> (Accessed: 21 June 2026).</w:t>
      </w:r>
    </w:p>
    <w:p w14:paraId="6C47EE3F" w14:textId="77777777" w:rsidR="00121101" w:rsidRPr="00937286" w:rsidRDefault="00121101" w:rsidP="00334FE5">
      <w:pPr>
        <w:spacing w:before="0" w:after="160" w:line="360" w:lineRule="auto"/>
      </w:pPr>
      <w:r w:rsidRPr="00937286">
        <w:t xml:space="preserve">NHS, 2026c. Sickle cell disease – Living with. Available at: </w:t>
      </w:r>
      <w:hyperlink r:id="rId38" w:tgtFrame="_blank" w:history="1">
        <w:r w:rsidRPr="00937286">
          <w:rPr>
            <w:rStyle w:val="Hyperlink"/>
            <w:color w:val="auto"/>
          </w:rPr>
          <w:t>https://www.nhs.uk/conditions/sickle-cell-disease/living-with/</w:t>
        </w:r>
      </w:hyperlink>
      <w:r w:rsidRPr="00937286">
        <w:t xml:space="preserve"> (Accessed: 21 June 2026).</w:t>
      </w:r>
    </w:p>
    <w:p w14:paraId="1E8BC5E6" w14:textId="77777777" w:rsidR="00121101" w:rsidRPr="00937286" w:rsidRDefault="00121101" w:rsidP="00334FE5">
      <w:pPr>
        <w:spacing w:line="360" w:lineRule="auto"/>
      </w:pPr>
      <w:r w:rsidRPr="00937286">
        <w:t xml:space="preserve">Patel, Z.V., </w:t>
      </w:r>
      <w:proofErr w:type="spellStart"/>
      <w:r w:rsidRPr="00937286">
        <w:t>Prajjwal</w:t>
      </w:r>
      <w:proofErr w:type="spellEnd"/>
      <w:r w:rsidRPr="00937286">
        <w:t xml:space="preserve">, P., </w:t>
      </w:r>
      <w:proofErr w:type="spellStart"/>
      <w:r w:rsidRPr="00937286">
        <w:t>Bethineedi</w:t>
      </w:r>
      <w:proofErr w:type="spellEnd"/>
      <w:r w:rsidRPr="00937286">
        <w:t xml:space="preserve">, L.D., Patel, D.J., </w:t>
      </w:r>
      <w:proofErr w:type="spellStart"/>
      <w:r w:rsidRPr="00937286">
        <w:t>Khullar</w:t>
      </w:r>
      <w:proofErr w:type="spellEnd"/>
      <w:r w:rsidRPr="00937286">
        <w:t xml:space="preserve">, K., Patel, H., </w:t>
      </w:r>
      <w:proofErr w:type="spellStart"/>
      <w:r w:rsidRPr="00937286">
        <w:t>Khatri</w:t>
      </w:r>
      <w:proofErr w:type="spellEnd"/>
      <w:r w:rsidRPr="00937286">
        <w:t xml:space="preserve">, K., </w:t>
      </w:r>
      <w:proofErr w:type="spellStart"/>
      <w:r w:rsidRPr="00937286">
        <w:t>Marsool</w:t>
      </w:r>
      <w:proofErr w:type="spellEnd"/>
      <w:r w:rsidRPr="00937286">
        <w:t xml:space="preserve">, M.D.M., </w:t>
      </w:r>
      <w:proofErr w:type="spellStart"/>
      <w:r w:rsidRPr="00937286">
        <w:t>Gadam</w:t>
      </w:r>
      <w:proofErr w:type="spellEnd"/>
      <w:r w:rsidRPr="00937286">
        <w:t xml:space="preserve">, S., </w:t>
      </w:r>
      <w:proofErr w:type="spellStart"/>
      <w:r w:rsidRPr="00937286">
        <w:t>Aleti</w:t>
      </w:r>
      <w:proofErr w:type="spellEnd"/>
      <w:r w:rsidRPr="00937286">
        <w:t>, S. and Amir, O., 2024. Newer modalities and updates in the management of sickle cell disease: a systematic review. </w:t>
      </w:r>
      <w:r w:rsidRPr="00937286">
        <w:rPr>
          <w:i/>
          <w:iCs/>
        </w:rPr>
        <w:t>Journal of Blood Medicine</w:t>
      </w:r>
      <w:r w:rsidRPr="00937286">
        <w:t xml:space="preserve">, pp.435-447. Available at: </w:t>
      </w:r>
      <w:hyperlink r:id="rId39" w:history="1">
        <w:r w:rsidRPr="00937286">
          <w:rPr>
            <w:rStyle w:val="Hyperlink"/>
            <w:color w:val="auto"/>
          </w:rPr>
          <w:t>https://www.tandfonline.com/doi/pdf/10.2147/jbm.s477507</w:t>
        </w:r>
      </w:hyperlink>
      <w:r w:rsidRPr="00937286">
        <w:t xml:space="preserve">  (Accessed: 21 June 2026). </w:t>
      </w:r>
    </w:p>
    <w:p w14:paraId="7333C851" w14:textId="77777777" w:rsidR="00121101" w:rsidRPr="00937286" w:rsidRDefault="00121101" w:rsidP="00334FE5">
      <w:pPr>
        <w:spacing w:line="360" w:lineRule="auto"/>
      </w:pPr>
      <w:r w:rsidRPr="00937286">
        <w:t xml:space="preserve">Sharma, A., Hankins, J.S., </w:t>
      </w:r>
      <w:proofErr w:type="spellStart"/>
      <w:r w:rsidRPr="00937286">
        <w:t>Boelens</w:t>
      </w:r>
      <w:proofErr w:type="spellEnd"/>
      <w:r w:rsidRPr="00937286">
        <w:t xml:space="preserve">, J.J., </w:t>
      </w:r>
      <w:proofErr w:type="spellStart"/>
      <w:r w:rsidRPr="00937286">
        <w:t>Cancio</w:t>
      </w:r>
      <w:proofErr w:type="spellEnd"/>
      <w:r w:rsidRPr="00937286">
        <w:t xml:space="preserve">, M., </w:t>
      </w:r>
      <w:proofErr w:type="spellStart"/>
      <w:r w:rsidRPr="00937286">
        <w:t>Peddinti</w:t>
      </w:r>
      <w:proofErr w:type="spellEnd"/>
      <w:r w:rsidRPr="00937286">
        <w:t xml:space="preserve">, R., </w:t>
      </w:r>
      <w:proofErr w:type="spellStart"/>
      <w:r w:rsidRPr="00937286">
        <w:t>Rispoli</w:t>
      </w:r>
      <w:proofErr w:type="spellEnd"/>
      <w:r w:rsidRPr="00937286">
        <w:t xml:space="preserve">, L., Sloan, S., Costa, S.D., </w:t>
      </w:r>
      <w:proofErr w:type="spellStart"/>
      <w:r w:rsidRPr="00937286">
        <w:t>Peled</w:t>
      </w:r>
      <w:proofErr w:type="spellEnd"/>
      <w:r w:rsidRPr="00937286">
        <w:t xml:space="preserve">, S., </w:t>
      </w:r>
      <w:proofErr w:type="spellStart"/>
      <w:r w:rsidRPr="00937286">
        <w:t>Wiethoff</w:t>
      </w:r>
      <w:proofErr w:type="spellEnd"/>
      <w:r w:rsidRPr="00937286">
        <w:t xml:space="preserve">, A. and </w:t>
      </w:r>
      <w:proofErr w:type="spellStart"/>
      <w:r w:rsidRPr="00937286">
        <w:t>Sitaram</w:t>
      </w:r>
      <w:proofErr w:type="spellEnd"/>
      <w:r w:rsidRPr="00937286">
        <w:t>, R., 2025. Normalization of cerebral hemodynamics after gene therapy in adults with sickle cell disease. </w:t>
      </w:r>
      <w:r w:rsidRPr="00937286">
        <w:rPr>
          <w:i/>
          <w:iCs/>
        </w:rPr>
        <w:t>American journal of hematology</w:t>
      </w:r>
      <w:r w:rsidRPr="00937286">
        <w:t>, </w:t>
      </w:r>
      <w:r w:rsidRPr="00937286">
        <w:rPr>
          <w:i/>
          <w:iCs/>
        </w:rPr>
        <w:t>100</w:t>
      </w:r>
      <w:r w:rsidRPr="00937286">
        <w:t>(10), pp.1882-</w:t>
      </w:r>
      <w:r w:rsidRPr="00937286">
        <w:lastRenderedPageBreak/>
        <w:t xml:space="preserve">1885. Available at: </w:t>
      </w:r>
      <w:hyperlink r:id="rId40" w:history="1">
        <w:r w:rsidRPr="00937286">
          <w:rPr>
            <w:rStyle w:val="Hyperlink"/>
            <w:color w:val="auto"/>
          </w:rPr>
          <w:t>https://onlinelibrary.wiley.com/doi/pdf/10.1002/ajh.27757</w:t>
        </w:r>
      </w:hyperlink>
      <w:r w:rsidRPr="00937286">
        <w:t xml:space="preserve">  (Accessed: 21 June 2026). </w:t>
      </w:r>
    </w:p>
    <w:p w14:paraId="2498BB5F" w14:textId="77777777" w:rsidR="00121101" w:rsidRPr="00937286" w:rsidRDefault="00121101" w:rsidP="00334FE5">
      <w:pPr>
        <w:spacing w:before="0" w:after="160" w:line="360" w:lineRule="auto"/>
      </w:pPr>
      <w:r w:rsidRPr="00937286">
        <w:t xml:space="preserve">Sickle Cell Society, 2025. About Sickle Cell. Available at: </w:t>
      </w:r>
      <w:hyperlink r:id="rId41" w:tgtFrame="_blank" w:history="1">
        <w:r w:rsidRPr="00937286">
          <w:rPr>
            <w:rStyle w:val="Hyperlink"/>
            <w:color w:val="auto"/>
          </w:rPr>
          <w:t>https://www.sicklecellsociety.org/about-sickle-cell/</w:t>
        </w:r>
      </w:hyperlink>
      <w:r w:rsidRPr="00937286">
        <w:t xml:space="preserve"> (Accessed: 21 June 2026).</w:t>
      </w:r>
    </w:p>
    <w:p w14:paraId="1258ED60" w14:textId="77777777" w:rsidR="00121101" w:rsidRPr="00937286" w:rsidRDefault="00121101" w:rsidP="00334FE5">
      <w:pPr>
        <w:spacing w:line="360" w:lineRule="auto"/>
      </w:pPr>
      <w:proofErr w:type="spellStart"/>
      <w:r w:rsidRPr="00937286">
        <w:t>Tebbi</w:t>
      </w:r>
      <w:proofErr w:type="spellEnd"/>
      <w:r w:rsidRPr="00937286">
        <w:t>, C.K., 2022. Sickle cell disease, a review. </w:t>
      </w:r>
      <w:proofErr w:type="spellStart"/>
      <w:r w:rsidRPr="00937286">
        <w:rPr>
          <w:i/>
          <w:iCs/>
        </w:rPr>
        <w:t>Hemato</w:t>
      </w:r>
      <w:proofErr w:type="spellEnd"/>
      <w:r w:rsidRPr="00937286">
        <w:t>, </w:t>
      </w:r>
      <w:r w:rsidRPr="00937286">
        <w:rPr>
          <w:i/>
          <w:iCs/>
        </w:rPr>
        <w:t>3</w:t>
      </w:r>
      <w:r w:rsidRPr="00937286">
        <w:t xml:space="preserve">(2), pp.341-366. Available at: </w:t>
      </w:r>
      <w:hyperlink r:id="rId42" w:history="1">
        <w:r w:rsidRPr="00937286">
          <w:rPr>
            <w:rStyle w:val="Hyperlink"/>
            <w:color w:val="auto"/>
          </w:rPr>
          <w:t>https://www.mdpi.com/2673-6357/3/2/24</w:t>
        </w:r>
      </w:hyperlink>
      <w:r w:rsidRPr="00937286">
        <w:t xml:space="preserve"> (Accessed: 21 June 2026). </w:t>
      </w:r>
    </w:p>
    <w:p w14:paraId="789748C0" w14:textId="77777777" w:rsidR="00121101" w:rsidRPr="00937286" w:rsidRDefault="00121101" w:rsidP="00334FE5">
      <w:pPr>
        <w:spacing w:line="360" w:lineRule="auto"/>
      </w:pPr>
      <w:r w:rsidRPr="00937286">
        <w:t xml:space="preserve">Thomson, A.M., </w:t>
      </w:r>
      <w:proofErr w:type="spellStart"/>
      <w:r w:rsidRPr="00937286">
        <w:t>Culbreth</w:t>
      </w:r>
      <w:proofErr w:type="spellEnd"/>
      <w:r w:rsidRPr="00937286">
        <w:t xml:space="preserve">, G.T., Haile, L.M., Rafferty, Q., Lo, J., </w:t>
      </w:r>
      <w:proofErr w:type="spellStart"/>
      <w:r w:rsidRPr="00937286">
        <w:t>Fukutaki</w:t>
      </w:r>
      <w:proofErr w:type="spellEnd"/>
      <w:r w:rsidRPr="00937286">
        <w:t xml:space="preserve">, K.G., Cruz, J.A., Smith, A.E., </w:t>
      </w:r>
      <w:proofErr w:type="spellStart"/>
      <w:r w:rsidRPr="00937286">
        <w:t>Vollset</w:t>
      </w:r>
      <w:proofErr w:type="spellEnd"/>
      <w:r w:rsidRPr="00937286">
        <w:t xml:space="preserve">, S.E., Brooks, P.M. and Cross, M., 2023. Global, regional, and national prevalence and mortality burden of sickle cell disease, 2000–2021: a systematic analysis from the Global Burden of Disease Study 2021. </w:t>
      </w:r>
      <w:r w:rsidRPr="00937286">
        <w:rPr>
          <w:i/>
          <w:iCs/>
        </w:rPr>
        <w:t>The Lancet Haematology</w:t>
      </w:r>
      <w:r w:rsidRPr="00937286">
        <w:t xml:space="preserve">, 10(8), </w:t>
      </w:r>
      <w:proofErr w:type="spellStart"/>
      <w:r w:rsidRPr="00937286">
        <w:t>pp.e585-e599</w:t>
      </w:r>
      <w:proofErr w:type="spellEnd"/>
      <w:r w:rsidRPr="00937286">
        <w:t xml:space="preserve">. Available at: </w:t>
      </w:r>
      <w:hyperlink r:id="rId43" w:history="1">
        <w:r w:rsidRPr="00937286">
          <w:rPr>
            <w:rStyle w:val="Hyperlink"/>
            <w:color w:val="auto"/>
          </w:rPr>
          <w:t>https://www.thelancet.com/journals/lanhae/article/PIIS2352-3026(23)00118-7/fulltext?linkId=100000205683156</w:t>
        </w:r>
      </w:hyperlink>
      <w:r w:rsidRPr="00937286">
        <w:t xml:space="preserve">  (Accessed: 21 June 2026). </w:t>
      </w:r>
    </w:p>
    <w:p w14:paraId="5ECED586" w14:textId="77777777" w:rsidR="00121101" w:rsidRPr="00937286" w:rsidRDefault="00121101" w:rsidP="00334FE5">
      <w:pPr>
        <w:spacing w:line="360" w:lineRule="auto"/>
      </w:pPr>
      <w:r w:rsidRPr="00937286">
        <w:t>Wagner, E.H., Austin, B.T., Davis, C., Hindmarsh, M., Schaefer, J. and Bonomi, A., 2001. Improving chronic illness care: translating evidence into action. </w:t>
      </w:r>
      <w:r w:rsidRPr="00937286">
        <w:rPr>
          <w:i/>
          <w:iCs/>
        </w:rPr>
        <w:t>Health affairs</w:t>
      </w:r>
      <w:r w:rsidRPr="00937286">
        <w:t>, </w:t>
      </w:r>
      <w:r w:rsidRPr="00937286">
        <w:rPr>
          <w:i/>
          <w:iCs/>
        </w:rPr>
        <w:t>20</w:t>
      </w:r>
      <w:r w:rsidRPr="00937286">
        <w:t xml:space="preserve">(6), pp.64-78. Available at: </w:t>
      </w:r>
      <w:hyperlink r:id="rId44" w:history="1">
        <w:r w:rsidRPr="00937286">
          <w:rPr>
            <w:rStyle w:val="Hyperlink"/>
            <w:color w:val="auto"/>
          </w:rPr>
          <w:t>https://www.researchgate.net/profile/Connie-Davis-2/publication/11542684_Improving_Chronic_Illness_Care_Translating_Evidence_Into_Action/links/5440fcfc0cf2e6f0c0f42b6f/Improving-Chronic-Illness-Care-Translating-Evidence-Into-Action.pdf</w:t>
        </w:r>
      </w:hyperlink>
      <w:r w:rsidRPr="00937286">
        <w:t xml:space="preserve">  (Accessed: 21 June 2026).</w:t>
      </w:r>
    </w:p>
    <w:p w14:paraId="3FE2658C" w14:textId="77777777" w:rsidR="00121101" w:rsidRPr="00937286" w:rsidRDefault="00121101" w:rsidP="00334FE5">
      <w:pPr>
        <w:spacing w:before="0" w:after="160" w:line="360" w:lineRule="auto"/>
      </w:pPr>
      <w:r w:rsidRPr="00937286">
        <w:t xml:space="preserve">World Health Organization (WHO), 2025. Sickle-cell disease. Available at: </w:t>
      </w:r>
      <w:hyperlink r:id="rId45" w:tgtFrame="_blank" w:history="1">
        <w:r w:rsidRPr="00937286">
          <w:rPr>
            <w:rStyle w:val="Hyperlink"/>
            <w:color w:val="auto"/>
          </w:rPr>
          <w:t>https://www.who.int/news-room/fact-sheets/detail/sickle-cell-disease</w:t>
        </w:r>
      </w:hyperlink>
      <w:r w:rsidRPr="00937286">
        <w:t xml:space="preserve"> (Accessed: 21 June 2026).</w:t>
      </w:r>
    </w:p>
    <w:p w14:paraId="6B5E8CF7" w14:textId="77777777" w:rsidR="00121101" w:rsidRPr="00937286" w:rsidRDefault="00121101" w:rsidP="00334FE5">
      <w:pPr>
        <w:spacing w:before="0" w:after="160" w:line="360" w:lineRule="auto"/>
      </w:pPr>
      <w:r w:rsidRPr="00937286">
        <w:t xml:space="preserve">Year of Care Partnerships, 2025. The House of Care model. Available at: </w:t>
      </w:r>
      <w:hyperlink r:id="rId46" w:tgtFrame="_blank" w:history="1">
        <w:r w:rsidRPr="00937286">
          <w:rPr>
            <w:rStyle w:val="Hyperlink"/>
            <w:color w:val="auto"/>
          </w:rPr>
          <w:t>https://www.yearofcare.co.uk/house-of-care</w:t>
        </w:r>
      </w:hyperlink>
      <w:r w:rsidRPr="00937286">
        <w:t xml:space="preserve"> (Accessed: 21 June 2026).</w:t>
      </w:r>
    </w:p>
    <w:p w14:paraId="4868806A" w14:textId="77777777" w:rsidR="00121101" w:rsidRPr="00937286" w:rsidRDefault="00121101" w:rsidP="00334FE5">
      <w:pPr>
        <w:pStyle w:val="BodyText"/>
        <w:spacing w:line="360" w:lineRule="auto"/>
        <w:rPr>
          <w:rFonts w:cs="Times New Roman"/>
        </w:rPr>
      </w:pPr>
    </w:p>
    <w:sectPr w:rsidR="00121101" w:rsidRPr="00937286" w:rsidSect="00121101">
      <w:footerReference w:type="default" r:id="rId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9E13E1" w14:textId="77777777" w:rsidR="00D60ABA" w:rsidRDefault="00D60ABA">
      <w:pPr>
        <w:spacing w:before="0" w:after="0"/>
      </w:pPr>
      <w:r>
        <w:separator/>
      </w:r>
    </w:p>
  </w:endnote>
  <w:endnote w:type="continuationSeparator" w:id="0">
    <w:p w14:paraId="49DA986A" w14:textId="77777777" w:rsidR="00D60ABA" w:rsidRDefault="00D60AB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86524743"/>
      <w:docPartObj>
        <w:docPartGallery w:val="Page Numbers (Bottom of Page)"/>
        <w:docPartUnique/>
      </w:docPartObj>
    </w:sdtPr>
    <w:sdtEndPr>
      <w:rPr>
        <w:noProof/>
        <w:sz w:val="20"/>
        <w:szCs w:val="20"/>
      </w:rPr>
    </w:sdtEndPr>
    <w:sdtContent>
      <w:p w14:paraId="70486247" w14:textId="66395DD3" w:rsidR="00121101" w:rsidRPr="00121101" w:rsidRDefault="00121101">
        <w:pPr>
          <w:pStyle w:val="Footer"/>
          <w:jc w:val="right"/>
          <w:rPr>
            <w:sz w:val="20"/>
            <w:szCs w:val="20"/>
          </w:rPr>
        </w:pPr>
        <w:r w:rsidRPr="00121101">
          <w:rPr>
            <w:sz w:val="20"/>
            <w:szCs w:val="20"/>
          </w:rPr>
          <w:fldChar w:fldCharType="begin"/>
        </w:r>
        <w:r w:rsidRPr="00121101">
          <w:rPr>
            <w:sz w:val="20"/>
            <w:szCs w:val="20"/>
          </w:rPr>
          <w:instrText xml:space="preserve"> PAGE   \* MERGEFORMAT </w:instrText>
        </w:r>
        <w:r w:rsidRPr="00121101">
          <w:rPr>
            <w:sz w:val="20"/>
            <w:szCs w:val="20"/>
          </w:rPr>
          <w:fldChar w:fldCharType="separate"/>
        </w:r>
        <w:r w:rsidRPr="00121101">
          <w:rPr>
            <w:noProof/>
            <w:sz w:val="20"/>
            <w:szCs w:val="20"/>
          </w:rPr>
          <w:t>2</w:t>
        </w:r>
        <w:r w:rsidRPr="00121101">
          <w:rPr>
            <w:noProof/>
            <w:sz w:val="20"/>
            <w:szCs w:val="20"/>
          </w:rPr>
          <w:fldChar w:fldCharType="end"/>
        </w:r>
      </w:p>
    </w:sdtContent>
  </w:sdt>
  <w:p w14:paraId="0E2BEDA3" w14:textId="77777777" w:rsidR="00121101" w:rsidRDefault="00121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97295B" w14:textId="77777777" w:rsidR="00D60ABA" w:rsidRDefault="00D60ABA">
      <w:r>
        <w:separator/>
      </w:r>
    </w:p>
  </w:footnote>
  <w:footnote w:type="continuationSeparator" w:id="0">
    <w:p w14:paraId="6FC2885A" w14:textId="77777777" w:rsidR="00D60ABA" w:rsidRDefault="00D60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A990"/>
    <w:multiLevelType w:val="multilevel"/>
    <w:tmpl w:val="D9983FA0"/>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A99411"/>
    <w:multiLevelType w:val="multilevel"/>
    <w:tmpl w:val="E916A09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2" w15:restartNumberingAfterBreak="0">
    <w:nsid w:val="00A99412"/>
    <w:multiLevelType w:val="multilevel"/>
    <w:tmpl w:val="A6C6972C"/>
    <w:lvl w:ilvl="0">
      <w:start w:val="2"/>
      <w:numFmt w:val="decimal"/>
      <w:lvlText w:val="%1."/>
      <w:lvlJc w:val="left"/>
      <w:pPr>
        <w:ind w:left="720" w:hanging="480"/>
      </w:pPr>
    </w:lvl>
    <w:lvl w:ilvl="1">
      <w:start w:val="2"/>
      <w:numFmt w:val="decimal"/>
      <w:lvlText w:val="%2."/>
      <w:lvlJc w:val="left"/>
      <w:pPr>
        <w:ind w:left="1440" w:hanging="480"/>
      </w:pPr>
    </w:lvl>
    <w:lvl w:ilvl="2">
      <w:start w:val="2"/>
      <w:numFmt w:val="decimal"/>
      <w:lvlText w:val="%3."/>
      <w:lvlJc w:val="left"/>
      <w:pPr>
        <w:ind w:left="2160" w:hanging="480"/>
      </w:pPr>
    </w:lvl>
    <w:lvl w:ilvl="3">
      <w:start w:val="2"/>
      <w:numFmt w:val="decimal"/>
      <w:lvlText w:val="%4."/>
      <w:lvlJc w:val="left"/>
      <w:pPr>
        <w:ind w:left="2880" w:hanging="480"/>
      </w:pPr>
    </w:lvl>
    <w:lvl w:ilvl="4">
      <w:start w:val="2"/>
      <w:numFmt w:val="decimal"/>
      <w:lvlText w:val="%5."/>
      <w:lvlJc w:val="left"/>
      <w:pPr>
        <w:ind w:left="3600" w:hanging="480"/>
      </w:pPr>
    </w:lvl>
    <w:lvl w:ilvl="5">
      <w:start w:val="2"/>
      <w:numFmt w:val="decimal"/>
      <w:lvlText w:val="%6."/>
      <w:lvlJc w:val="left"/>
      <w:pPr>
        <w:ind w:left="4320" w:hanging="480"/>
      </w:pPr>
    </w:lvl>
    <w:lvl w:ilvl="6">
      <w:start w:val="2"/>
      <w:numFmt w:val="decimal"/>
      <w:lvlText w:val="%7."/>
      <w:lvlJc w:val="left"/>
      <w:pPr>
        <w:ind w:left="5040" w:hanging="480"/>
      </w:pPr>
    </w:lvl>
    <w:lvl w:ilvl="7">
      <w:start w:val="2"/>
      <w:numFmt w:val="decimal"/>
      <w:lvlText w:val="%8."/>
      <w:lvlJc w:val="left"/>
      <w:pPr>
        <w:ind w:left="5760" w:hanging="480"/>
      </w:pPr>
    </w:lvl>
    <w:lvl w:ilvl="8">
      <w:start w:val="2"/>
      <w:numFmt w:val="decimal"/>
      <w:lvlText w:val="%9."/>
      <w:lvlJc w:val="left"/>
      <w:pPr>
        <w:ind w:left="6480" w:hanging="480"/>
      </w:pPr>
    </w:lvl>
  </w:abstractNum>
  <w:abstractNum w:abstractNumId="3" w15:restartNumberingAfterBreak="0">
    <w:nsid w:val="00A99413"/>
    <w:multiLevelType w:val="multilevel"/>
    <w:tmpl w:val="580E9592"/>
    <w:lvl w:ilvl="0">
      <w:start w:val="3"/>
      <w:numFmt w:val="decimal"/>
      <w:lvlText w:val="%1."/>
      <w:lvlJc w:val="left"/>
      <w:pPr>
        <w:ind w:left="720" w:hanging="480"/>
      </w:pPr>
    </w:lvl>
    <w:lvl w:ilvl="1">
      <w:start w:val="3"/>
      <w:numFmt w:val="decimal"/>
      <w:lvlText w:val="%2."/>
      <w:lvlJc w:val="left"/>
      <w:pPr>
        <w:ind w:left="1440" w:hanging="480"/>
      </w:pPr>
    </w:lvl>
    <w:lvl w:ilvl="2">
      <w:start w:val="3"/>
      <w:numFmt w:val="decimal"/>
      <w:lvlText w:val="%3."/>
      <w:lvlJc w:val="left"/>
      <w:pPr>
        <w:ind w:left="2160" w:hanging="480"/>
      </w:pPr>
    </w:lvl>
    <w:lvl w:ilvl="3">
      <w:start w:val="3"/>
      <w:numFmt w:val="decimal"/>
      <w:lvlText w:val="%4."/>
      <w:lvlJc w:val="left"/>
      <w:pPr>
        <w:ind w:left="2880" w:hanging="480"/>
      </w:pPr>
    </w:lvl>
    <w:lvl w:ilvl="4">
      <w:start w:val="3"/>
      <w:numFmt w:val="decimal"/>
      <w:lvlText w:val="%5."/>
      <w:lvlJc w:val="left"/>
      <w:pPr>
        <w:ind w:left="3600" w:hanging="480"/>
      </w:pPr>
    </w:lvl>
    <w:lvl w:ilvl="5">
      <w:start w:val="3"/>
      <w:numFmt w:val="decimal"/>
      <w:lvlText w:val="%6."/>
      <w:lvlJc w:val="left"/>
      <w:pPr>
        <w:ind w:left="4320" w:hanging="480"/>
      </w:pPr>
    </w:lvl>
    <w:lvl w:ilvl="6">
      <w:start w:val="3"/>
      <w:numFmt w:val="decimal"/>
      <w:lvlText w:val="%7."/>
      <w:lvlJc w:val="left"/>
      <w:pPr>
        <w:ind w:left="5040" w:hanging="480"/>
      </w:pPr>
    </w:lvl>
    <w:lvl w:ilvl="7">
      <w:start w:val="3"/>
      <w:numFmt w:val="decimal"/>
      <w:lvlText w:val="%8."/>
      <w:lvlJc w:val="left"/>
      <w:pPr>
        <w:ind w:left="5760" w:hanging="480"/>
      </w:pPr>
    </w:lvl>
    <w:lvl w:ilvl="8">
      <w:start w:val="3"/>
      <w:numFmt w:val="decimal"/>
      <w:lvlText w:val="%9."/>
      <w:lvlJc w:val="left"/>
      <w:pPr>
        <w:ind w:left="6480" w:hanging="480"/>
      </w:pPr>
    </w:lvl>
  </w:abstractNum>
  <w:abstractNum w:abstractNumId="4" w15:restartNumberingAfterBreak="0">
    <w:nsid w:val="00A99414"/>
    <w:multiLevelType w:val="multilevel"/>
    <w:tmpl w:val="17100AC0"/>
    <w:lvl w:ilvl="0">
      <w:start w:val="4"/>
      <w:numFmt w:val="decimal"/>
      <w:lvlText w:val="%1."/>
      <w:lvlJc w:val="left"/>
      <w:pPr>
        <w:ind w:left="720" w:hanging="480"/>
      </w:pPr>
    </w:lvl>
    <w:lvl w:ilvl="1">
      <w:start w:val="4"/>
      <w:numFmt w:val="decimal"/>
      <w:lvlText w:val="%2."/>
      <w:lvlJc w:val="left"/>
      <w:pPr>
        <w:ind w:left="1440" w:hanging="480"/>
      </w:pPr>
    </w:lvl>
    <w:lvl w:ilvl="2">
      <w:start w:val="4"/>
      <w:numFmt w:val="decimal"/>
      <w:lvlText w:val="%3."/>
      <w:lvlJc w:val="left"/>
      <w:pPr>
        <w:ind w:left="2160" w:hanging="480"/>
      </w:pPr>
    </w:lvl>
    <w:lvl w:ilvl="3">
      <w:start w:val="4"/>
      <w:numFmt w:val="decimal"/>
      <w:lvlText w:val="%4."/>
      <w:lvlJc w:val="left"/>
      <w:pPr>
        <w:ind w:left="2880" w:hanging="480"/>
      </w:pPr>
    </w:lvl>
    <w:lvl w:ilvl="4">
      <w:start w:val="4"/>
      <w:numFmt w:val="decimal"/>
      <w:lvlText w:val="%5."/>
      <w:lvlJc w:val="left"/>
      <w:pPr>
        <w:ind w:left="3600" w:hanging="480"/>
      </w:pPr>
    </w:lvl>
    <w:lvl w:ilvl="5">
      <w:start w:val="4"/>
      <w:numFmt w:val="decimal"/>
      <w:lvlText w:val="%6."/>
      <w:lvlJc w:val="left"/>
      <w:pPr>
        <w:ind w:left="4320" w:hanging="480"/>
      </w:pPr>
    </w:lvl>
    <w:lvl w:ilvl="6">
      <w:start w:val="4"/>
      <w:numFmt w:val="decimal"/>
      <w:lvlText w:val="%7."/>
      <w:lvlJc w:val="left"/>
      <w:pPr>
        <w:ind w:left="5040" w:hanging="480"/>
      </w:pPr>
    </w:lvl>
    <w:lvl w:ilvl="7">
      <w:start w:val="4"/>
      <w:numFmt w:val="decimal"/>
      <w:lvlText w:val="%8."/>
      <w:lvlJc w:val="left"/>
      <w:pPr>
        <w:ind w:left="5760" w:hanging="480"/>
      </w:pPr>
    </w:lvl>
    <w:lvl w:ilvl="8">
      <w:start w:val="4"/>
      <w:numFmt w:val="decimal"/>
      <w:lvlText w:val="%9."/>
      <w:lvlJc w:val="left"/>
      <w:pPr>
        <w:ind w:left="6480" w:hanging="480"/>
      </w:pPr>
    </w:lvl>
  </w:abstractNum>
  <w:abstractNum w:abstractNumId="5" w15:restartNumberingAfterBreak="0">
    <w:nsid w:val="00A99415"/>
    <w:multiLevelType w:val="multilevel"/>
    <w:tmpl w:val="A90A7446"/>
    <w:lvl w:ilvl="0">
      <w:start w:val="5"/>
      <w:numFmt w:val="decimal"/>
      <w:lvlText w:val="%1."/>
      <w:lvlJc w:val="left"/>
      <w:pPr>
        <w:ind w:left="720" w:hanging="480"/>
      </w:pPr>
    </w:lvl>
    <w:lvl w:ilvl="1">
      <w:start w:val="5"/>
      <w:numFmt w:val="decimal"/>
      <w:lvlText w:val="%2."/>
      <w:lvlJc w:val="left"/>
      <w:pPr>
        <w:ind w:left="1440" w:hanging="480"/>
      </w:pPr>
    </w:lvl>
    <w:lvl w:ilvl="2">
      <w:start w:val="5"/>
      <w:numFmt w:val="decimal"/>
      <w:lvlText w:val="%3."/>
      <w:lvlJc w:val="left"/>
      <w:pPr>
        <w:ind w:left="2160" w:hanging="480"/>
      </w:pPr>
    </w:lvl>
    <w:lvl w:ilvl="3">
      <w:start w:val="5"/>
      <w:numFmt w:val="decimal"/>
      <w:lvlText w:val="%4."/>
      <w:lvlJc w:val="left"/>
      <w:pPr>
        <w:ind w:left="2880" w:hanging="480"/>
      </w:pPr>
    </w:lvl>
    <w:lvl w:ilvl="4">
      <w:start w:val="5"/>
      <w:numFmt w:val="decimal"/>
      <w:lvlText w:val="%5."/>
      <w:lvlJc w:val="left"/>
      <w:pPr>
        <w:ind w:left="3600" w:hanging="480"/>
      </w:pPr>
    </w:lvl>
    <w:lvl w:ilvl="5">
      <w:start w:val="5"/>
      <w:numFmt w:val="decimal"/>
      <w:lvlText w:val="%6."/>
      <w:lvlJc w:val="left"/>
      <w:pPr>
        <w:ind w:left="4320" w:hanging="480"/>
      </w:pPr>
    </w:lvl>
    <w:lvl w:ilvl="6">
      <w:start w:val="5"/>
      <w:numFmt w:val="decimal"/>
      <w:lvlText w:val="%7."/>
      <w:lvlJc w:val="left"/>
      <w:pPr>
        <w:ind w:left="5040" w:hanging="480"/>
      </w:pPr>
    </w:lvl>
    <w:lvl w:ilvl="7">
      <w:start w:val="5"/>
      <w:numFmt w:val="decimal"/>
      <w:lvlText w:val="%8."/>
      <w:lvlJc w:val="left"/>
      <w:pPr>
        <w:ind w:left="5760" w:hanging="480"/>
      </w:pPr>
    </w:lvl>
    <w:lvl w:ilvl="8">
      <w:start w:val="5"/>
      <w:numFmt w:val="decimal"/>
      <w:lvlText w:val="%9."/>
      <w:lvlJc w:val="left"/>
      <w:pPr>
        <w:ind w:left="6480" w:hanging="480"/>
      </w:pPr>
    </w:lvl>
  </w:abstractNum>
  <w:abstractNum w:abstractNumId="6" w15:restartNumberingAfterBreak="0">
    <w:nsid w:val="00A99416"/>
    <w:multiLevelType w:val="multilevel"/>
    <w:tmpl w:val="27DEF81A"/>
    <w:lvl w:ilvl="0">
      <w:start w:val="6"/>
      <w:numFmt w:val="decimal"/>
      <w:lvlText w:val="%1."/>
      <w:lvlJc w:val="left"/>
      <w:pPr>
        <w:ind w:left="720" w:hanging="480"/>
      </w:pPr>
    </w:lvl>
    <w:lvl w:ilvl="1">
      <w:start w:val="6"/>
      <w:numFmt w:val="decimal"/>
      <w:lvlText w:val="%2."/>
      <w:lvlJc w:val="left"/>
      <w:pPr>
        <w:ind w:left="1440" w:hanging="480"/>
      </w:pPr>
    </w:lvl>
    <w:lvl w:ilvl="2">
      <w:start w:val="6"/>
      <w:numFmt w:val="decimal"/>
      <w:lvlText w:val="%3."/>
      <w:lvlJc w:val="left"/>
      <w:pPr>
        <w:ind w:left="2160" w:hanging="480"/>
      </w:pPr>
    </w:lvl>
    <w:lvl w:ilvl="3">
      <w:start w:val="6"/>
      <w:numFmt w:val="decimal"/>
      <w:lvlText w:val="%4."/>
      <w:lvlJc w:val="left"/>
      <w:pPr>
        <w:ind w:left="2880" w:hanging="480"/>
      </w:pPr>
    </w:lvl>
    <w:lvl w:ilvl="4">
      <w:start w:val="6"/>
      <w:numFmt w:val="decimal"/>
      <w:lvlText w:val="%5."/>
      <w:lvlJc w:val="left"/>
      <w:pPr>
        <w:ind w:left="3600" w:hanging="480"/>
      </w:pPr>
    </w:lvl>
    <w:lvl w:ilvl="5">
      <w:start w:val="6"/>
      <w:numFmt w:val="decimal"/>
      <w:lvlText w:val="%6."/>
      <w:lvlJc w:val="left"/>
      <w:pPr>
        <w:ind w:left="4320" w:hanging="480"/>
      </w:pPr>
    </w:lvl>
    <w:lvl w:ilvl="6">
      <w:start w:val="6"/>
      <w:numFmt w:val="decimal"/>
      <w:lvlText w:val="%7."/>
      <w:lvlJc w:val="left"/>
      <w:pPr>
        <w:ind w:left="5040" w:hanging="480"/>
      </w:pPr>
    </w:lvl>
    <w:lvl w:ilvl="7">
      <w:start w:val="6"/>
      <w:numFmt w:val="decimal"/>
      <w:lvlText w:val="%8."/>
      <w:lvlJc w:val="left"/>
      <w:pPr>
        <w:ind w:left="5760" w:hanging="480"/>
      </w:pPr>
    </w:lvl>
    <w:lvl w:ilvl="8">
      <w:start w:val="6"/>
      <w:numFmt w:val="decimal"/>
      <w:lvlText w:val="%9."/>
      <w:lvlJc w:val="left"/>
      <w:pPr>
        <w:ind w:left="6480" w:hanging="480"/>
      </w:pPr>
    </w:lvl>
  </w:abstractNum>
  <w:abstractNum w:abstractNumId="7" w15:restartNumberingAfterBreak="0">
    <w:nsid w:val="00A99417"/>
    <w:multiLevelType w:val="multilevel"/>
    <w:tmpl w:val="479EEE80"/>
    <w:lvl w:ilvl="0">
      <w:start w:val="7"/>
      <w:numFmt w:val="decimal"/>
      <w:lvlText w:val="%1."/>
      <w:lvlJc w:val="left"/>
      <w:pPr>
        <w:ind w:left="720" w:hanging="480"/>
      </w:pPr>
    </w:lvl>
    <w:lvl w:ilvl="1">
      <w:start w:val="7"/>
      <w:numFmt w:val="decimal"/>
      <w:lvlText w:val="%2."/>
      <w:lvlJc w:val="left"/>
      <w:pPr>
        <w:ind w:left="1440" w:hanging="480"/>
      </w:pPr>
    </w:lvl>
    <w:lvl w:ilvl="2">
      <w:start w:val="7"/>
      <w:numFmt w:val="decimal"/>
      <w:lvlText w:val="%3."/>
      <w:lvlJc w:val="left"/>
      <w:pPr>
        <w:ind w:left="2160" w:hanging="480"/>
      </w:pPr>
    </w:lvl>
    <w:lvl w:ilvl="3">
      <w:start w:val="7"/>
      <w:numFmt w:val="decimal"/>
      <w:lvlText w:val="%4."/>
      <w:lvlJc w:val="left"/>
      <w:pPr>
        <w:ind w:left="2880" w:hanging="480"/>
      </w:pPr>
    </w:lvl>
    <w:lvl w:ilvl="4">
      <w:start w:val="7"/>
      <w:numFmt w:val="decimal"/>
      <w:lvlText w:val="%5."/>
      <w:lvlJc w:val="left"/>
      <w:pPr>
        <w:ind w:left="3600" w:hanging="480"/>
      </w:pPr>
    </w:lvl>
    <w:lvl w:ilvl="5">
      <w:start w:val="7"/>
      <w:numFmt w:val="decimal"/>
      <w:lvlText w:val="%6."/>
      <w:lvlJc w:val="left"/>
      <w:pPr>
        <w:ind w:left="4320" w:hanging="480"/>
      </w:pPr>
    </w:lvl>
    <w:lvl w:ilvl="6">
      <w:start w:val="7"/>
      <w:numFmt w:val="decimal"/>
      <w:lvlText w:val="%7."/>
      <w:lvlJc w:val="left"/>
      <w:pPr>
        <w:ind w:left="5040" w:hanging="480"/>
      </w:pPr>
    </w:lvl>
    <w:lvl w:ilvl="7">
      <w:start w:val="7"/>
      <w:numFmt w:val="decimal"/>
      <w:lvlText w:val="%8."/>
      <w:lvlJc w:val="left"/>
      <w:pPr>
        <w:ind w:left="5760" w:hanging="480"/>
      </w:pPr>
    </w:lvl>
    <w:lvl w:ilvl="8">
      <w:start w:val="7"/>
      <w:numFmt w:val="decimal"/>
      <w:lvlText w:val="%9."/>
      <w:lvlJc w:val="left"/>
      <w:pPr>
        <w:ind w:left="6480" w:hanging="480"/>
      </w:pPr>
    </w:lvl>
  </w:abstractNum>
  <w:abstractNum w:abstractNumId="8" w15:restartNumberingAfterBreak="0">
    <w:nsid w:val="00A99418"/>
    <w:multiLevelType w:val="multilevel"/>
    <w:tmpl w:val="2B80227C"/>
    <w:lvl w:ilvl="0">
      <w:start w:val="8"/>
      <w:numFmt w:val="decimal"/>
      <w:lvlText w:val="%1."/>
      <w:lvlJc w:val="left"/>
      <w:pPr>
        <w:ind w:left="720" w:hanging="480"/>
      </w:pPr>
    </w:lvl>
    <w:lvl w:ilvl="1">
      <w:start w:val="8"/>
      <w:numFmt w:val="decimal"/>
      <w:lvlText w:val="%2."/>
      <w:lvlJc w:val="left"/>
      <w:pPr>
        <w:ind w:left="1440" w:hanging="480"/>
      </w:pPr>
    </w:lvl>
    <w:lvl w:ilvl="2">
      <w:start w:val="8"/>
      <w:numFmt w:val="decimal"/>
      <w:lvlText w:val="%3."/>
      <w:lvlJc w:val="left"/>
      <w:pPr>
        <w:ind w:left="2160" w:hanging="480"/>
      </w:pPr>
    </w:lvl>
    <w:lvl w:ilvl="3">
      <w:start w:val="8"/>
      <w:numFmt w:val="decimal"/>
      <w:lvlText w:val="%4."/>
      <w:lvlJc w:val="left"/>
      <w:pPr>
        <w:ind w:left="2880" w:hanging="480"/>
      </w:pPr>
    </w:lvl>
    <w:lvl w:ilvl="4">
      <w:start w:val="8"/>
      <w:numFmt w:val="decimal"/>
      <w:lvlText w:val="%5."/>
      <w:lvlJc w:val="left"/>
      <w:pPr>
        <w:ind w:left="3600" w:hanging="480"/>
      </w:pPr>
    </w:lvl>
    <w:lvl w:ilvl="5">
      <w:start w:val="8"/>
      <w:numFmt w:val="decimal"/>
      <w:lvlText w:val="%6."/>
      <w:lvlJc w:val="left"/>
      <w:pPr>
        <w:ind w:left="4320" w:hanging="480"/>
      </w:pPr>
    </w:lvl>
    <w:lvl w:ilvl="6">
      <w:start w:val="8"/>
      <w:numFmt w:val="decimal"/>
      <w:lvlText w:val="%7."/>
      <w:lvlJc w:val="left"/>
      <w:pPr>
        <w:ind w:left="5040" w:hanging="480"/>
      </w:pPr>
    </w:lvl>
    <w:lvl w:ilvl="7">
      <w:start w:val="8"/>
      <w:numFmt w:val="decimal"/>
      <w:lvlText w:val="%8."/>
      <w:lvlJc w:val="left"/>
      <w:pPr>
        <w:ind w:left="5760" w:hanging="480"/>
      </w:pPr>
    </w:lvl>
    <w:lvl w:ilvl="8">
      <w:start w:val="8"/>
      <w:numFmt w:val="decimal"/>
      <w:lvlText w:val="%9."/>
      <w:lvlJc w:val="left"/>
      <w:pPr>
        <w:ind w:left="6480" w:hanging="480"/>
      </w:pPr>
    </w:lvl>
  </w:abstractNum>
  <w:abstractNum w:abstractNumId="9" w15:restartNumberingAfterBreak="0">
    <w:nsid w:val="08943C77"/>
    <w:multiLevelType w:val="hybridMultilevel"/>
    <w:tmpl w:val="7F5C71E2"/>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C7F1893"/>
    <w:multiLevelType w:val="hybridMultilevel"/>
    <w:tmpl w:val="8FDA4126"/>
    <w:lvl w:ilvl="0" w:tplc="9FBC655A">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0D4A73B2"/>
    <w:multiLevelType w:val="hybridMultilevel"/>
    <w:tmpl w:val="8F3A3F30"/>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895598"/>
    <w:multiLevelType w:val="hybridMultilevel"/>
    <w:tmpl w:val="C804FA06"/>
    <w:lvl w:ilvl="0" w:tplc="8C1A4B5C">
      <w:numFmt w:val="bullet"/>
      <w:lvlText w:val="•"/>
      <w:lvlJc w:val="left"/>
      <w:pPr>
        <w:ind w:left="720" w:hanging="360"/>
      </w:pPr>
      <w:rPr>
        <w:rFonts w:ascii="Cambria" w:eastAsiaTheme="minorHAnsi" w:hAnsi="Cambria"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4221EED"/>
    <w:multiLevelType w:val="hybridMultilevel"/>
    <w:tmpl w:val="22A46C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66B3772"/>
    <w:multiLevelType w:val="hybridMultilevel"/>
    <w:tmpl w:val="014C07B6"/>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8896589"/>
    <w:multiLevelType w:val="hybridMultilevel"/>
    <w:tmpl w:val="FE664B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19E942B4"/>
    <w:multiLevelType w:val="hybridMultilevel"/>
    <w:tmpl w:val="728E14EC"/>
    <w:lvl w:ilvl="0" w:tplc="8C1A4B5C">
      <w:numFmt w:val="bullet"/>
      <w:lvlText w:val="•"/>
      <w:lvlJc w:val="left"/>
      <w:pPr>
        <w:ind w:left="720" w:hanging="360"/>
      </w:pPr>
      <w:rPr>
        <w:rFonts w:ascii="Cambria" w:eastAsiaTheme="minorHAnsi" w:hAnsi="Cambria"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1A4E652A"/>
    <w:multiLevelType w:val="hybridMultilevel"/>
    <w:tmpl w:val="B7666B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1DE47DD9"/>
    <w:multiLevelType w:val="hybridMultilevel"/>
    <w:tmpl w:val="93127C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0E703AB"/>
    <w:multiLevelType w:val="hybridMultilevel"/>
    <w:tmpl w:val="DEE232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1BE3809"/>
    <w:multiLevelType w:val="hybridMultilevel"/>
    <w:tmpl w:val="E390BC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28226701"/>
    <w:multiLevelType w:val="hybridMultilevel"/>
    <w:tmpl w:val="B8A40464"/>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90B4B9D"/>
    <w:multiLevelType w:val="hybridMultilevel"/>
    <w:tmpl w:val="0FF69BD2"/>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99F7AA6"/>
    <w:multiLevelType w:val="hybridMultilevel"/>
    <w:tmpl w:val="F97811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2DA01B75"/>
    <w:multiLevelType w:val="hybridMultilevel"/>
    <w:tmpl w:val="077A1A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2CF623A"/>
    <w:multiLevelType w:val="hybridMultilevel"/>
    <w:tmpl w:val="AEFA5656"/>
    <w:lvl w:ilvl="0" w:tplc="B3B49BF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33241F3E"/>
    <w:multiLevelType w:val="hybridMultilevel"/>
    <w:tmpl w:val="3DD2FD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3D2E51A5"/>
    <w:multiLevelType w:val="hybridMultilevel"/>
    <w:tmpl w:val="C916D6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0C45A35"/>
    <w:multiLevelType w:val="multilevel"/>
    <w:tmpl w:val="D484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D2AA2"/>
    <w:multiLevelType w:val="hybridMultilevel"/>
    <w:tmpl w:val="6608B206"/>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4982D3F"/>
    <w:multiLevelType w:val="hybridMultilevel"/>
    <w:tmpl w:val="32FC78D4"/>
    <w:lvl w:ilvl="0" w:tplc="AC74813A">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496A2130"/>
    <w:multiLevelType w:val="hybridMultilevel"/>
    <w:tmpl w:val="E9B434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52B07B71"/>
    <w:multiLevelType w:val="hybridMultilevel"/>
    <w:tmpl w:val="FC0275CC"/>
    <w:lvl w:ilvl="0" w:tplc="13AE59BC">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40D2B1C"/>
    <w:multiLevelType w:val="hybridMultilevel"/>
    <w:tmpl w:val="38AA39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5706370D"/>
    <w:multiLevelType w:val="hybridMultilevel"/>
    <w:tmpl w:val="339EB32A"/>
    <w:lvl w:ilvl="0" w:tplc="0EE4A23A">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AF24A9D"/>
    <w:multiLevelType w:val="multilevel"/>
    <w:tmpl w:val="76A6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366244"/>
    <w:multiLevelType w:val="hybridMultilevel"/>
    <w:tmpl w:val="438236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53A2DA1"/>
    <w:multiLevelType w:val="hybridMultilevel"/>
    <w:tmpl w:val="8C0C4F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7FE4D1F"/>
    <w:multiLevelType w:val="hybridMultilevel"/>
    <w:tmpl w:val="BB5435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B0E3BA1"/>
    <w:multiLevelType w:val="hybridMultilevel"/>
    <w:tmpl w:val="7BD29C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B8D5A9B"/>
    <w:multiLevelType w:val="hybridMultilevel"/>
    <w:tmpl w:val="C58E7E9A"/>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68F2C40"/>
    <w:multiLevelType w:val="hybridMultilevel"/>
    <w:tmpl w:val="C24671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97D7196"/>
    <w:multiLevelType w:val="hybridMultilevel"/>
    <w:tmpl w:val="6E88AEE0"/>
    <w:lvl w:ilvl="0" w:tplc="9528C858">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ABD6A73"/>
    <w:multiLevelType w:val="hybridMultilevel"/>
    <w:tmpl w:val="1FA2CB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C661AAF"/>
    <w:multiLevelType w:val="hybridMultilevel"/>
    <w:tmpl w:val="D2964D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CD678A3"/>
    <w:multiLevelType w:val="hybridMultilevel"/>
    <w:tmpl w:val="8BD4ADE6"/>
    <w:lvl w:ilvl="0" w:tplc="9E38532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EAF64E1"/>
    <w:multiLevelType w:val="hybridMultilevel"/>
    <w:tmpl w:val="C31A4ABE"/>
    <w:lvl w:ilvl="0" w:tplc="8C1A4B5C">
      <w:numFmt w:val="bullet"/>
      <w:lvlText w:val="•"/>
      <w:lvlJc w:val="left"/>
      <w:pPr>
        <w:ind w:left="720" w:hanging="360"/>
      </w:pPr>
      <w:rPr>
        <w:rFonts w:ascii="Cambria" w:eastAsiaTheme="minorHAnsi" w:hAnsi="Cambria"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96657370">
    <w:abstractNumId w:val="0"/>
  </w:num>
  <w:num w:numId="2" w16cid:durableId="14644280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0979495">
    <w:abstractNumId w:val="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 w16cid:durableId="618491908">
    <w:abstractNumId w:val="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5" w16cid:durableId="808397929">
    <w:abstractNumId w:val="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6" w16cid:durableId="440538602">
    <w:abstractNumId w:val="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7" w16cid:durableId="904222463">
    <w:abstractNumId w:val="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8" w16cid:durableId="173540605">
    <w:abstractNumId w:val="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9" w16cid:durableId="58792438">
    <w:abstractNumId w:val="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0" w16cid:durableId="557129488">
    <w:abstractNumId w:val="39"/>
  </w:num>
  <w:num w:numId="11" w16cid:durableId="1988897212">
    <w:abstractNumId w:val="16"/>
  </w:num>
  <w:num w:numId="12" w16cid:durableId="714504083">
    <w:abstractNumId w:val="12"/>
  </w:num>
  <w:num w:numId="13" w16cid:durableId="1562864316">
    <w:abstractNumId w:val="46"/>
  </w:num>
  <w:num w:numId="14" w16cid:durableId="724330134">
    <w:abstractNumId w:val="26"/>
  </w:num>
  <w:num w:numId="15" w16cid:durableId="478305114">
    <w:abstractNumId w:val="33"/>
  </w:num>
  <w:num w:numId="16" w16cid:durableId="1549806464">
    <w:abstractNumId w:val="34"/>
  </w:num>
  <w:num w:numId="17" w16cid:durableId="2052998281">
    <w:abstractNumId w:val="22"/>
  </w:num>
  <w:num w:numId="18" w16cid:durableId="591822773">
    <w:abstractNumId w:val="13"/>
  </w:num>
  <w:num w:numId="19" w16cid:durableId="24647963">
    <w:abstractNumId w:val="42"/>
  </w:num>
  <w:num w:numId="20" w16cid:durableId="1018119163">
    <w:abstractNumId w:val="29"/>
  </w:num>
  <w:num w:numId="21" w16cid:durableId="1734233022">
    <w:abstractNumId w:val="43"/>
  </w:num>
  <w:num w:numId="22" w16cid:durableId="1656647765">
    <w:abstractNumId w:val="45"/>
  </w:num>
  <w:num w:numId="23" w16cid:durableId="1672023462">
    <w:abstractNumId w:val="9"/>
  </w:num>
  <w:num w:numId="24" w16cid:durableId="326133820">
    <w:abstractNumId w:val="17"/>
  </w:num>
  <w:num w:numId="25" w16cid:durableId="256137642">
    <w:abstractNumId w:val="32"/>
  </w:num>
  <w:num w:numId="26" w16cid:durableId="1464926467">
    <w:abstractNumId w:val="14"/>
  </w:num>
  <w:num w:numId="27" w16cid:durableId="852307784">
    <w:abstractNumId w:val="20"/>
  </w:num>
  <w:num w:numId="28" w16cid:durableId="121307581">
    <w:abstractNumId w:val="25"/>
  </w:num>
  <w:num w:numId="29" w16cid:durableId="831920057">
    <w:abstractNumId w:val="11"/>
  </w:num>
  <w:num w:numId="30" w16cid:durableId="165637894">
    <w:abstractNumId w:val="41"/>
  </w:num>
  <w:num w:numId="31" w16cid:durableId="2051682015">
    <w:abstractNumId w:val="30"/>
  </w:num>
  <w:num w:numId="32" w16cid:durableId="1000548880">
    <w:abstractNumId w:val="40"/>
  </w:num>
  <w:num w:numId="33" w16cid:durableId="1354644652">
    <w:abstractNumId w:val="37"/>
  </w:num>
  <w:num w:numId="34" w16cid:durableId="874971330">
    <w:abstractNumId w:val="10"/>
  </w:num>
  <w:num w:numId="35" w16cid:durableId="1709718066">
    <w:abstractNumId w:val="21"/>
  </w:num>
  <w:num w:numId="36" w16cid:durableId="139462466">
    <w:abstractNumId w:val="19"/>
  </w:num>
  <w:num w:numId="37" w16cid:durableId="1680815102">
    <w:abstractNumId w:val="38"/>
  </w:num>
  <w:num w:numId="38" w16cid:durableId="31150597">
    <w:abstractNumId w:val="36"/>
  </w:num>
  <w:num w:numId="39" w16cid:durableId="1516991426">
    <w:abstractNumId w:val="18"/>
  </w:num>
  <w:num w:numId="40" w16cid:durableId="576866005">
    <w:abstractNumId w:val="15"/>
  </w:num>
  <w:num w:numId="41" w16cid:durableId="51464186">
    <w:abstractNumId w:val="44"/>
  </w:num>
  <w:num w:numId="42" w16cid:durableId="456142668">
    <w:abstractNumId w:val="23"/>
  </w:num>
  <w:num w:numId="43" w16cid:durableId="101268508">
    <w:abstractNumId w:val="31"/>
  </w:num>
  <w:num w:numId="44" w16cid:durableId="182793213">
    <w:abstractNumId w:val="24"/>
  </w:num>
  <w:num w:numId="45" w16cid:durableId="1609041981">
    <w:abstractNumId w:val="27"/>
  </w:num>
  <w:num w:numId="46" w16cid:durableId="609944390">
    <w:abstractNumId w:val="35"/>
  </w:num>
  <w:num w:numId="47" w16cid:durableId="1894849718">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E81"/>
    <w:rsid w:val="000321EE"/>
    <w:rsid w:val="00035062"/>
    <w:rsid w:val="00100180"/>
    <w:rsid w:val="00121101"/>
    <w:rsid w:val="001221BE"/>
    <w:rsid w:val="00123E36"/>
    <w:rsid w:val="001459A1"/>
    <w:rsid w:val="0016081C"/>
    <w:rsid w:val="00177759"/>
    <w:rsid w:val="00276D0A"/>
    <w:rsid w:val="002C0985"/>
    <w:rsid w:val="003104A8"/>
    <w:rsid w:val="0033273B"/>
    <w:rsid w:val="00334FE5"/>
    <w:rsid w:val="00370D50"/>
    <w:rsid w:val="00372728"/>
    <w:rsid w:val="003802AA"/>
    <w:rsid w:val="003C31F2"/>
    <w:rsid w:val="0042782C"/>
    <w:rsid w:val="004D2A00"/>
    <w:rsid w:val="00502324"/>
    <w:rsid w:val="005514AF"/>
    <w:rsid w:val="005948EF"/>
    <w:rsid w:val="005D3EE4"/>
    <w:rsid w:val="005E321D"/>
    <w:rsid w:val="005F16EE"/>
    <w:rsid w:val="0060403C"/>
    <w:rsid w:val="00611F37"/>
    <w:rsid w:val="00612321"/>
    <w:rsid w:val="006375E7"/>
    <w:rsid w:val="0067673A"/>
    <w:rsid w:val="006C45CB"/>
    <w:rsid w:val="006C631C"/>
    <w:rsid w:val="006E24E0"/>
    <w:rsid w:val="006F0A39"/>
    <w:rsid w:val="007040ED"/>
    <w:rsid w:val="00753BC9"/>
    <w:rsid w:val="00761D69"/>
    <w:rsid w:val="007B707D"/>
    <w:rsid w:val="00841E56"/>
    <w:rsid w:val="008704CD"/>
    <w:rsid w:val="00883EE0"/>
    <w:rsid w:val="008E5109"/>
    <w:rsid w:val="008F264E"/>
    <w:rsid w:val="00911E81"/>
    <w:rsid w:val="00937286"/>
    <w:rsid w:val="00962B1B"/>
    <w:rsid w:val="00973A09"/>
    <w:rsid w:val="009D0580"/>
    <w:rsid w:val="009E22CB"/>
    <w:rsid w:val="00A00DC0"/>
    <w:rsid w:val="00A21C29"/>
    <w:rsid w:val="00A54426"/>
    <w:rsid w:val="00A61D79"/>
    <w:rsid w:val="00A77D2B"/>
    <w:rsid w:val="00A844BC"/>
    <w:rsid w:val="00AC3E65"/>
    <w:rsid w:val="00AC44BB"/>
    <w:rsid w:val="00AD65AB"/>
    <w:rsid w:val="00AF0F7A"/>
    <w:rsid w:val="00B04F24"/>
    <w:rsid w:val="00BE6E77"/>
    <w:rsid w:val="00C201EB"/>
    <w:rsid w:val="00C72229"/>
    <w:rsid w:val="00C81F7D"/>
    <w:rsid w:val="00C85690"/>
    <w:rsid w:val="00CC4E7B"/>
    <w:rsid w:val="00D60ABA"/>
    <w:rsid w:val="00D852AE"/>
    <w:rsid w:val="00E03AB3"/>
    <w:rsid w:val="00E13A8A"/>
    <w:rsid w:val="00E60E81"/>
    <w:rsid w:val="00E614C9"/>
    <w:rsid w:val="00E61FD9"/>
    <w:rsid w:val="00E64B05"/>
    <w:rsid w:val="00EE4FE4"/>
    <w:rsid w:val="00F13B87"/>
    <w:rsid w:val="00F74F08"/>
    <w:rsid w:val="00FA6084"/>
  </w:rsids>
  <m:mathPr>
    <m:mathFont m:val="Cambria Math"/>
    <m:brkBin m:val="before"/>
    <m:brkBinSub m:val="--"/>
    <m:smallFrac m:val="0"/>
    <m:dispDef/>
    <m:lMargin m:val="0"/>
    <m:rMargin m:val="0"/>
    <m:defJc m:val="centerGroup"/>
    <m:wrapRight/>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106E6"/>
  <w15:docId w15:val="{8AAF155A-5887-4511-8C51-0DAEBB18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footer"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403C"/>
    <w:pPr>
      <w:spacing w:before="120" w:after="120"/>
      <w:jc w:val="both"/>
    </w:pPr>
    <w:rPr>
      <w:rFonts w:ascii="Times New Roman" w:hAnsi="Times New Roman"/>
    </w:rPr>
  </w:style>
  <w:style w:type="paragraph" w:styleId="Heading1">
    <w:name w:val="heading 1"/>
    <w:basedOn w:val="Normal"/>
    <w:next w:val="BodyText"/>
    <w:uiPriority w:val="9"/>
    <w:qFormat/>
    <w:rsid w:val="00123E36"/>
    <w:pPr>
      <w:keepNext/>
      <w:keepLines/>
      <w:outlineLvl w:val="0"/>
    </w:pPr>
    <w:rPr>
      <w:rFonts w:eastAsiaTheme="majorEastAsia" w:cstheme="majorBidi"/>
      <w:b/>
      <w:bCs/>
      <w:szCs w:val="32"/>
    </w:rPr>
  </w:style>
  <w:style w:type="paragraph" w:styleId="Heading2">
    <w:name w:val="heading 2"/>
    <w:basedOn w:val="BodyText"/>
    <w:next w:val="BodyText"/>
    <w:uiPriority w:val="9"/>
    <w:unhideWhenUsed/>
    <w:qFormat/>
    <w:rsid w:val="00121101"/>
    <w:pPr>
      <w:outlineLvl w:val="1"/>
    </w:pPr>
    <w:rPr>
      <w:b/>
      <w:bCs/>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before="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rFonts w:asciiTheme="majorHAnsi" w:hAnsiTheme="majorHAnsi"/>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ListParagraph">
    <w:name w:val="List Paragraph"/>
    <w:basedOn w:val="Normal"/>
    <w:rsid w:val="0060403C"/>
    <w:pPr>
      <w:ind w:left="720"/>
      <w:contextualSpacing/>
    </w:pPr>
  </w:style>
  <w:style w:type="paragraph" w:styleId="TOC1">
    <w:name w:val="toc 1"/>
    <w:basedOn w:val="Normal"/>
    <w:next w:val="Normal"/>
    <w:autoRedefine/>
    <w:uiPriority w:val="39"/>
    <w:rsid w:val="00121101"/>
    <w:pPr>
      <w:spacing w:after="100"/>
    </w:pPr>
  </w:style>
  <w:style w:type="paragraph" w:styleId="TOC2">
    <w:name w:val="toc 2"/>
    <w:basedOn w:val="Normal"/>
    <w:next w:val="Normal"/>
    <w:autoRedefine/>
    <w:uiPriority w:val="39"/>
    <w:rsid w:val="00121101"/>
    <w:pPr>
      <w:spacing w:after="100"/>
      <w:ind w:left="240"/>
    </w:pPr>
  </w:style>
  <w:style w:type="paragraph" w:styleId="Header">
    <w:name w:val="header"/>
    <w:basedOn w:val="Normal"/>
    <w:link w:val="HeaderChar"/>
    <w:rsid w:val="00121101"/>
    <w:pPr>
      <w:tabs>
        <w:tab w:val="center" w:pos="4513"/>
        <w:tab w:val="right" w:pos="9026"/>
      </w:tabs>
      <w:spacing w:before="0" w:after="0"/>
    </w:pPr>
  </w:style>
  <w:style w:type="character" w:customStyle="1" w:styleId="HeaderChar">
    <w:name w:val="Header Char"/>
    <w:basedOn w:val="DefaultParagraphFont"/>
    <w:link w:val="Header"/>
    <w:rsid w:val="00121101"/>
    <w:rPr>
      <w:rFonts w:ascii="Times New Roman" w:hAnsi="Times New Roman"/>
    </w:rPr>
  </w:style>
  <w:style w:type="paragraph" w:styleId="Footer">
    <w:name w:val="footer"/>
    <w:basedOn w:val="Normal"/>
    <w:link w:val="FooterChar"/>
    <w:uiPriority w:val="99"/>
    <w:rsid w:val="00121101"/>
    <w:pPr>
      <w:tabs>
        <w:tab w:val="center" w:pos="4513"/>
        <w:tab w:val="right" w:pos="9026"/>
      </w:tabs>
      <w:spacing w:before="0" w:after="0"/>
    </w:pPr>
  </w:style>
  <w:style w:type="character" w:customStyle="1" w:styleId="FooterChar">
    <w:name w:val="Footer Char"/>
    <w:basedOn w:val="DefaultParagraphFont"/>
    <w:link w:val="Footer"/>
    <w:uiPriority w:val="99"/>
    <w:rsid w:val="0012110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nk.springer.com/content/pdf/10.1186/s43088-023-00373-w.pdf" TargetMode="External"/><Relationship Id="rId26" Type="http://schemas.openxmlformats.org/officeDocument/2006/relationships/hyperlink" Target="https://jamanetwork.com/journals/jamanetworkopen/articlepdf/2841331/jacob_2025_cs_250005_1762459856.75958.pdf" TargetMode="External"/><Relationship Id="rId39" Type="http://schemas.openxmlformats.org/officeDocument/2006/relationships/hyperlink" Target="https://www.tandfonline.com/doi/pdf/10.2147/jbm.s477507" TargetMode="External"/><Relationship Id="rId21" Type="http://schemas.openxmlformats.org/officeDocument/2006/relationships/hyperlink" Target="http://pubmed.ncbi.nlm.nih.gov/39260843/" TargetMode="External"/><Relationship Id="rId34" Type="http://schemas.openxmlformats.org/officeDocument/2006/relationships/hyperlink" Target="https://www.nice.org.uk/guidance/cg143" TargetMode="External"/><Relationship Id="rId42" Type="http://schemas.openxmlformats.org/officeDocument/2006/relationships/hyperlink" Target="https://www.mdpi.com/2673-6357/3/2/24"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pmc.ncbi.nlm.nih.gov/articles/PMC12719290/" TargetMode="External"/><Relationship Id="rId11" Type="http://schemas.openxmlformats.org/officeDocument/2006/relationships/image" Target="media/image4.jpeg"/><Relationship Id="rId24" Type="http://schemas.openxmlformats.org/officeDocument/2006/relationships/hyperlink" Target="https://cancer-networks.com/wp-content/uploads/2024/04/exagamglogene-autotemcel-for-severe-sickle-cell-disease.pdf" TargetMode="External"/><Relationship Id="rId32" Type="http://schemas.openxmlformats.org/officeDocument/2006/relationships/hyperlink" Target="https://onlinelibrary.wiley.com/doi/pdf/10.1155/2013/193252" TargetMode="External"/><Relationship Id="rId37" Type="http://schemas.openxmlformats.org/officeDocument/2006/relationships/hyperlink" Target="https://www.nhs.uk/conditions/sickle-cell-disease/treatment/" TargetMode="External"/><Relationship Id="rId40" Type="http://schemas.openxmlformats.org/officeDocument/2006/relationships/hyperlink" Target="https://onlinelibrary.wiley.com/doi/pdf/10.1002/ajh.27757" TargetMode="External"/><Relationship Id="rId45" Type="http://schemas.openxmlformats.org/officeDocument/2006/relationships/hyperlink" Target="https://www.who.int/news-room/fact-sheets/detail/sickle-cell-disease"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sciencedirect.com/science/article/pii/S0006497123076553" TargetMode="External"/><Relationship Id="rId28" Type="http://schemas.openxmlformats.org/officeDocument/2006/relationships/hyperlink" Target="https://karger.com/tmh/article-pdf/51/5/332/4285899/000540149.pdf" TargetMode="External"/><Relationship Id="rId36" Type="http://schemas.openxmlformats.org/officeDocument/2006/relationships/hyperlink" Target="https://www.nhs.uk/conditions/sickle-cell-disease/"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journals.sagepub.com/doi/abs/10.1089/crispr.2024.0101" TargetMode="External"/><Relationship Id="rId31" Type="http://schemas.openxmlformats.org/officeDocument/2006/relationships/hyperlink" Target="https://www.sciencedirect.com/science/article/pii/S0006497123076565" TargetMode="External"/><Relationship Id="rId44" Type="http://schemas.openxmlformats.org/officeDocument/2006/relationships/hyperlink" Target="https://www.researchgate.net/profile/Connie-Davis-2/publication/11542684_Improving_Chronic_Illness_Care_Translating_Evidence_Into_Action/links/5440fcfc0cf2e6f0c0f42b6f/Improving-Chronic-Illness-Care-Translating-Evidence-Into-A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journals.lww.com/md-journal/_layouts/15/oaks.journals/downloadpdf.aspx?an=00005792-202309220-00030" TargetMode="External"/><Relationship Id="rId27" Type="http://schemas.openxmlformats.org/officeDocument/2006/relationships/hyperlink" Target="https://pubmed.ncbi.nlm.nih.gov/29542687/" TargetMode="External"/><Relationship Id="rId30" Type="http://schemas.openxmlformats.org/officeDocument/2006/relationships/hyperlink" Target="https://www.frontiersin.org/journals/hematology/articles/10.3389/frhem.2024.1468952/pdf" TargetMode="External"/><Relationship Id="rId35" Type="http://schemas.openxmlformats.org/officeDocument/2006/relationships/hyperlink" Target="https://www.england.nhs.uk/blog/sickle-cell-disease-what-every-clinician-needs-to-think-about/" TargetMode="External"/><Relationship Id="rId43" Type="http://schemas.openxmlformats.org/officeDocument/2006/relationships/hyperlink" Target="https://www.thelancet.com/journals/lanhae/article/PIIS2352-3026(23)00118-7/fulltext?linkId=100000205683156"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pubmed.ncbi.nlm.nih.gov/40850219/" TargetMode="External"/><Relationship Id="rId33" Type="http://schemas.openxmlformats.org/officeDocument/2006/relationships/hyperlink" Target="https://pmc.ncbi.nlm.nih.gov/articles/PMC3373067/" TargetMode="External"/><Relationship Id="rId38" Type="http://schemas.openxmlformats.org/officeDocument/2006/relationships/hyperlink" Target="https://www.nhs.uk/conditions/sickle-cell-disease/living-with/" TargetMode="External"/><Relationship Id="rId46" Type="http://schemas.openxmlformats.org/officeDocument/2006/relationships/hyperlink" Target="https://www.yearofcare.co.uk/house-of-care" TargetMode="External"/><Relationship Id="rId20" Type="http://schemas.openxmlformats.org/officeDocument/2006/relationships/hyperlink" Target="https://www.jpedhc.org/article/S0891-5245(24)00181-0/pdf" TargetMode="External"/><Relationship Id="rId41" Type="http://schemas.openxmlformats.org/officeDocument/2006/relationships/hyperlink" Target="https://www.sicklecellsociety.org/about-sickle-cel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DC674-69B8-4A81-94C2-660714CB8D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5289</Words>
  <Characters>30149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SICKLE CELL DISEASE</vt:lpstr>
    </vt:vector>
  </TitlesOfParts>
  <Company/>
  <LinksUpToDate>false</LinksUpToDate>
  <CharactersWithSpaces>35368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SICKLE CELL DISEASE</dc:title>
  <dc:creator/>
  <cp:keywords/>
  <cp:lastModifiedBy>ashok patel</cp:lastModifiedBy>
  <cp:revision>2</cp:revision>
  <dcterms:created xsi:type="dcterms:W3CDTF">2026-06-25T18:30:00Z</dcterms:created>
  <dcterms:modified xsi:type="dcterms:W3CDTF">2026-06-25T18:30:00Z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c4986322-d2b2-48f7-b142-a8ac5c7febbc</vt:lpwstr>
  </property>
</Properties>
</file>