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5E3342" w14:textId="77777777" w:rsidR="7673149C" w:rsidRDefault="00000000" w:rsidP="00720C6B">
      <w:pPr>
        <w:spacing w:line="480" w:lineRule="auto"/>
        <w:jc w:val="center"/>
        <w:rPr>
          <w:rFonts w:ascii="Arial" w:eastAsia="Arial Nova" w:hAnsi="Arial" w:cs="Arial"/>
          <w:u w:val="single"/>
        </w:rPr>
      </w:pPr>
      <w:r w:rsidRPr="0047484D">
        <w:rPr>
          <w:rFonts w:ascii="Arial" w:eastAsia="Arial Nova" w:hAnsi="Arial" w:cs="Arial"/>
          <w:u w:val="single"/>
        </w:rPr>
        <w:t>Design, conduct and critically evaluate a close-to-practice research project focusing on the model of the transformative teacher in developing practice that has a positive impact on the learner.</w:t>
      </w:r>
    </w:p>
    <w:p w14:paraId="55E1421E" w14:textId="77777777" w:rsidR="00720C6B" w:rsidRPr="0047484D" w:rsidRDefault="00720C6B" w:rsidP="00720C6B">
      <w:pPr>
        <w:spacing w:line="480" w:lineRule="auto"/>
        <w:jc w:val="center"/>
        <w:rPr>
          <w:rFonts w:ascii="Arial" w:eastAsia="Arial Nova" w:hAnsi="Arial" w:cs="Arial"/>
        </w:rPr>
      </w:pPr>
    </w:p>
    <w:p w14:paraId="3DB25C41" w14:textId="77777777" w:rsidR="1F67B26A"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Introduction</w:t>
      </w:r>
    </w:p>
    <w:p w14:paraId="7E89FDE7" w14:textId="77777777" w:rsidR="7673149C"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This research project aims to explore learners' engagement through brain teaser starter activities. </w:t>
      </w:r>
      <w:r w:rsidR="4C4ECA4E" w:rsidRPr="0047484D">
        <w:rPr>
          <w:rFonts w:ascii="Arial" w:eastAsia="Arial Nova" w:hAnsi="Arial" w:cs="Arial"/>
        </w:rPr>
        <w:t>This focus arises from a prevalent concern across multiple educational settings and classrooms. Specifically, it addresses the challenge wherein students frequently enter the classroom in a state of restlessness, lacking engagement, and requiring approximately 10 to 15 minutes to immerse themselves in the learning process fully. This phenomenon disrupts the lesson flow and presents considerable difficulties in ensuring the upkeep of the intended timing of instructional activities, thereby impacting the overall learning experience for students and educators alike.</w:t>
      </w:r>
    </w:p>
    <w:p w14:paraId="0EDE9463" w14:textId="77777777" w:rsidR="1463E8BC" w:rsidRPr="0047484D" w:rsidRDefault="00000000" w:rsidP="0047484D">
      <w:pPr>
        <w:spacing w:line="480" w:lineRule="auto"/>
        <w:rPr>
          <w:rFonts w:ascii="Arial" w:eastAsia="Arial Nova" w:hAnsi="Arial" w:cs="Arial"/>
        </w:rPr>
      </w:pPr>
      <w:r w:rsidRPr="0047484D">
        <w:rPr>
          <w:rFonts w:ascii="Arial" w:eastAsia="Arial Nova" w:hAnsi="Arial" w:cs="Arial"/>
        </w:rPr>
        <w:t>The research project occurred in an English</w:t>
      </w:r>
      <w:r w:rsidR="2D2A35C3" w:rsidRPr="0047484D">
        <w:rPr>
          <w:rFonts w:ascii="Arial" w:eastAsia="Arial Nova" w:hAnsi="Arial" w:cs="Arial"/>
        </w:rPr>
        <w:t>-</w:t>
      </w:r>
      <w:r w:rsidRPr="0047484D">
        <w:rPr>
          <w:rFonts w:ascii="Arial" w:eastAsia="Arial Nova" w:hAnsi="Arial" w:cs="Arial"/>
        </w:rPr>
        <w:t xml:space="preserve">medium secondary School in Neath Port Talbot. </w:t>
      </w:r>
      <w:r w:rsidR="6C40C7D2" w:rsidRPr="0047484D">
        <w:rPr>
          <w:rFonts w:ascii="Arial" w:eastAsia="Arial Nova" w:hAnsi="Arial" w:cs="Arial"/>
        </w:rPr>
        <w:t>The school consisted</w:t>
      </w:r>
      <w:r w:rsidR="3B475315" w:rsidRPr="0047484D">
        <w:rPr>
          <w:rFonts w:ascii="Arial" w:eastAsia="Arial Nova" w:hAnsi="Arial" w:cs="Arial"/>
        </w:rPr>
        <w:t xml:space="preserve"> of</w:t>
      </w:r>
      <w:r w:rsidR="6C40C7D2" w:rsidRPr="0047484D">
        <w:rPr>
          <w:rFonts w:ascii="Arial" w:eastAsia="Arial Nova" w:hAnsi="Arial" w:cs="Arial"/>
        </w:rPr>
        <w:t xml:space="preserve"> </w:t>
      </w:r>
      <w:r w:rsidR="6EC0C995" w:rsidRPr="0047484D">
        <w:rPr>
          <w:rFonts w:ascii="Arial" w:eastAsia="Arial Nova" w:hAnsi="Arial" w:cs="Arial"/>
        </w:rPr>
        <w:t>approximately</w:t>
      </w:r>
      <w:r w:rsidR="6C40C7D2" w:rsidRPr="0047484D">
        <w:rPr>
          <w:rFonts w:ascii="Arial" w:eastAsia="Arial Nova" w:hAnsi="Arial" w:cs="Arial"/>
        </w:rPr>
        <w:t xml:space="preserve"> 1400 pupils</w:t>
      </w:r>
      <w:r w:rsidR="0F6E56FD" w:rsidRPr="0047484D">
        <w:rPr>
          <w:rFonts w:ascii="Arial" w:eastAsia="Arial Nova" w:hAnsi="Arial" w:cs="Arial"/>
        </w:rPr>
        <w:t xml:space="preserve">, with an attendance rating of </w:t>
      </w:r>
      <w:r w:rsidR="6E9A6386" w:rsidRPr="0047484D">
        <w:rPr>
          <w:rFonts w:ascii="Arial" w:eastAsia="Arial Nova" w:hAnsi="Arial" w:cs="Arial"/>
        </w:rPr>
        <w:t>85.3%, slightly lower than Wales’ average of 87.5% (Welsh Government, 2023).</w:t>
      </w:r>
    </w:p>
    <w:p w14:paraId="0BEF4B0C" w14:textId="77777777" w:rsidR="3BB4D90C" w:rsidRPr="0047484D" w:rsidRDefault="00000000" w:rsidP="0047484D">
      <w:pPr>
        <w:spacing w:line="480" w:lineRule="auto"/>
        <w:rPr>
          <w:rFonts w:ascii="Arial" w:eastAsia="Arial Nova" w:hAnsi="Arial" w:cs="Arial"/>
        </w:rPr>
      </w:pPr>
      <w:r w:rsidRPr="0047484D">
        <w:rPr>
          <w:rFonts w:ascii="Arial" w:eastAsia="Arial Nova" w:hAnsi="Arial" w:cs="Arial"/>
        </w:rPr>
        <w:t>The research was conducted within a Year 7 class comprising students aged 11</w:t>
      </w:r>
      <w:r w:rsidR="1E0C6379" w:rsidRPr="0047484D">
        <w:rPr>
          <w:rFonts w:ascii="Arial" w:eastAsia="Arial Nova" w:hAnsi="Arial" w:cs="Arial"/>
        </w:rPr>
        <w:t xml:space="preserve"> – 12  </w:t>
      </w:r>
      <w:r w:rsidRPr="0047484D">
        <w:rPr>
          <w:rFonts w:ascii="Arial" w:eastAsia="Arial Nova" w:hAnsi="Arial" w:cs="Arial"/>
        </w:rPr>
        <w:t>years old, characteri</w:t>
      </w:r>
      <w:r w:rsidR="759D94E4" w:rsidRPr="0047484D">
        <w:rPr>
          <w:rFonts w:ascii="Arial" w:eastAsia="Arial Nova" w:hAnsi="Arial" w:cs="Arial"/>
        </w:rPr>
        <w:t>s</w:t>
      </w:r>
      <w:r w:rsidRPr="0047484D">
        <w:rPr>
          <w:rFonts w:ascii="Arial" w:eastAsia="Arial Nova" w:hAnsi="Arial" w:cs="Arial"/>
        </w:rPr>
        <w:t>ed by most pupils with additional learning needs (ALN)</w:t>
      </w:r>
      <w:r w:rsidR="6244CAB5" w:rsidRPr="0047484D">
        <w:rPr>
          <w:rFonts w:ascii="Arial" w:eastAsia="Arial Nova" w:hAnsi="Arial" w:cs="Arial"/>
        </w:rPr>
        <w:t xml:space="preserve">, such as </w:t>
      </w:r>
      <w:r w:rsidR="37F12DA7" w:rsidRPr="0047484D">
        <w:rPr>
          <w:rFonts w:ascii="Arial" w:eastAsia="Arial Nova" w:hAnsi="Arial" w:cs="Arial"/>
        </w:rPr>
        <w:t>Social, Emotional, and Behavioural Difficulties,</w:t>
      </w:r>
      <w:r w:rsidR="20606C41" w:rsidRPr="0047484D">
        <w:rPr>
          <w:rFonts w:ascii="Arial" w:eastAsia="Arial Nova" w:hAnsi="Arial" w:cs="Arial"/>
        </w:rPr>
        <w:t xml:space="preserve"> Speech, Language and Communication Needs, </w:t>
      </w:r>
      <w:r w:rsidR="7AC6406B" w:rsidRPr="0047484D">
        <w:rPr>
          <w:rFonts w:ascii="Arial" w:eastAsia="Arial Nova" w:hAnsi="Arial" w:cs="Arial"/>
        </w:rPr>
        <w:t>Autism Spectrum Disorder, and Attention Deficit Hyperactivity Disorder</w:t>
      </w:r>
      <w:r w:rsidRPr="0047484D">
        <w:rPr>
          <w:rFonts w:ascii="Arial" w:eastAsia="Arial Nova" w:hAnsi="Arial" w:cs="Arial"/>
        </w:rPr>
        <w:t xml:space="preserve">. Those without ALN were </w:t>
      </w:r>
      <w:r w:rsidR="745FAA07" w:rsidRPr="0047484D">
        <w:rPr>
          <w:rFonts w:ascii="Arial" w:eastAsia="Arial Nova" w:hAnsi="Arial" w:cs="Arial"/>
        </w:rPr>
        <w:t xml:space="preserve">either </w:t>
      </w:r>
      <w:r w:rsidRPr="0047484D">
        <w:rPr>
          <w:rFonts w:ascii="Arial" w:eastAsia="Arial Nova" w:hAnsi="Arial" w:cs="Arial"/>
        </w:rPr>
        <w:t xml:space="preserve">placed in the class due to their lower attainment </w:t>
      </w:r>
      <w:r w:rsidR="6535BD7D" w:rsidRPr="0047484D">
        <w:rPr>
          <w:rFonts w:ascii="Arial" w:eastAsia="Arial Nova" w:hAnsi="Arial" w:cs="Arial"/>
        </w:rPr>
        <w:t>levels or are on the pathway to receiving a diagnosis</w:t>
      </w:r>
      <w:r w:rsidRPr="0047484D">
        <w:rPr>
          <w:rFonts w:ascii="Arial" w:eastAsia="Arial Nova" w:hAnsi="Arial" w:cs="Arial"/>
        </w:rPr>
        <w:t xml:space="preserve">. </w:t>
      </w:r>
    </w:p>
    <w:p w14:paraId="761EBDDC" w14:textId="77777777" w:rsidR="6917E34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The unique context of the class underscored the importance of adopting inclusive practices and adapting instructional materials to accommodate diverse needs. Furthermore, exploring brain teaser starter activities to enhance engagement resonated with the broader goal of promoting active participation and creating stimulating learning environments conducive to academic success.</w:t>
      </w:r>
    </w:p>
    <w:p w14:paraId="14668B19" w14:textId="77777777" w:rsidR="27D3C7D2" w:rsidRPr="0047484D" w:rsidRDefault="27D3C7D2" w:rsidP="0047484D">
      <w:pPr>
        <w:spacing w:line="480" w:lineRule="auto"/>
        <w:rPr>
          <w:rFonts w:ascii="Arial" w:eastAsia="Arial Nova" w:hAnsi="Arial" w:cs="Arial"/>
        </w:rPr>
      </w:pPr>
    </w:p>
    <w:p w14:paraId="3CF30065" w14:textId="77777777" w:rsidR="7D7FE6D9" w:rsidRPr="0047484D" w:rsidRDefault="00000000" w:rsidP="0047484D">
      <w:pPr>
        <w:spacing w:line="480" w:lineRule="auto"/>
        <w:rPr>
          <w:rFonts w:ascii="Arial" w:eastAsia="Arial Nova" w:hAnsi="Arial" w:cs="Arial"/>
          <w:highlight w:val="yellow"/>
          <w:u w:val="single"/>
        </w:rPr>
      </w:pPr>
      <w:r w:rsidRPr="0047484D">
        <w:rPr>
          <w:rFonts w:ascii="Arial" w:eastAsia="Arial Nova" w:hAnsi="Arial" w:cs="Arial"/>
          <w:u w:val="single"/>
        </w:rPr>
        <w:t>Literature Review</w:t>
      </w:r>
    </w:p>
    <w:p w14:paraId="5162F304" w14:textId="77777777" w:rsidR="66EA5948"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literature review will be </w:t>
      </w:r>
      <w:r w:rsidR="0047484D">
        <w:rPr>
          <w:rFonts w:ascii="Arial" w:eastAsia="Arial Nova" w:hAnsi="Arial" w:cs="Arial"/>
        </w:rPr>
        <w:t>organised</w:t>
      </w:r>
      <w:r w:rsidRPr="0047484D">
        <w:rPr>
          <w:rFonts w:ascii="Arial" w:eastAsia="Arial Nova" w:hAnsi="Arial" w:cs="Arial"/>
        </w:rPr>
        <w:t xml:space="preserve"> into four sections </w:t>
      </w:r>
      <w:r w:rsidR="0047484D">
        <w:rPr>
          <w:rFonts w:ascii="Arial" w:eastAsia="Arial Nova" w:hAnsi="Arial" w:cs="Arial"/>
        </w:rPr>
        <w:t>to comprehensively examine the literature on this research topic</w:t>
      </w:r>
      <w:r w:rsidRPr="0047484D">
        <w:rPr>
          <w:rFonts w:ascii="Arial" w:eastAsia="Arial Nova" w:hAnsi="Arial" w:cs="Arial"/>
        </w:rPr>
        <w:t>. First, the literature related to classroom engagement</w:t>
      </w:r>
      <w:r w:rsidR="00473387">
        <w:rPr>
          <w:rFonts w:ascii="Arial" w:eastAsia="Arial Nova" w:hAnsi="Arial" w:cs="Arial"/>
        </w:rPr>
        <w:t xml:space="preserve"> will be delved into</w:t>
      </w:r>
      <w:r w:rsidRPr="0047484D">
        <w:rPr>
          <w:rFonts w:ascii="Arial" w:eastAsia="Arial Nova" w:hAnsi="Arial" w:cs="Arial"/>
        </w:rPr>
        <w:t xml:space="preserve">. Next, </w:t>
      </w:r>
      <w:r w:rsidR="0047484D">
        <w:rPr>
          <w:rFonts w:ascii="Arial" w:eastAsia="Arial Nova" w:hAnsi="Arial" w:cs="Arial"/>
        </w:rPr>
        <w:t>papers and studies focusing on brain teaser activities will be explored</w:t>
      </w:r>
      <w:r w:rsidRPr="0047484D">
        <w:rPr>
          <w:rFonts w:ascii="Arial" w:eastAsia="Arial Nova" w:hAnsi="Arial" w:cs="Arial"/>
        </w:rPr>
        <w:t xml:space="preserve">. Following that, the </w:t>
      </w:r>
      <w:r w:rsidR="00A66B94">
        <w:rPr>
          <w:rFonts w:ascii="Arial" w:eastAsia="Arial Nova" w:hAnsi="Arial" w:cs="Arial"/>
        </w:rPr>
        <w:t xml:space="preserve">‘Ready to Learn’ theme </w:t>
      </w:r>
      <w:r w:rsidR="00473387">
        <w:rPr>
          <w:rFonts w:ascii="Arial" w:eastAsia="Arial Nova" w:hAnsi="Arial" w:cs="Arial"/>
        </w:rPr>
        <w:t>will be investigated.</w:t>
      </w:r>
      <w:r w:rsidRPr="0047484D">
        <w:rPr>
          <w:rFonts w:ascii="Arial" w:eastAsia="Arial Nova" w:hAnsi="Arial" w:cs="Arial"/>
        </w:rPr>
        <w:t xml:space="preserve"> Lastly, </w:t>
      </w:r>
      <w:r w:rsidR="00AD4775">
        <w:rPr>
          <w:rFonts w:ascii="Arial" w:eastAsia="Arial Nova" w:hAnsi="Arial" w:cs="Arial"/>
        </w:rPr>
        <w:t>the reasons for disengagement at the beginning of lessons must be critically reviewed</w:t>
      </w:r>
      <w:r w:rsidRPr="0047484D">
        <w:rPr>
          <w:rFonts w:ascii="Arial" w:eastAsia="Arial Nova" w:hAnsi="Arial" w:cs="Arial"/>
        </w:rPr>
        <w:t>.</w:t>
      </w:r>
    </w:p>
    <w:p w14:paraId="5C11AF80" w14:textId="77777777" w:rsidR="35711F2A"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Engagement in the Classroom</w:t>
      </w:r>
    </w:p>
    <w:p w14:paraId="2D86B38B" w14:textId="77777777" w:rsidR="522936EC" w:rsidRPr="0047484D" w:rsidRDefault="00000000" w:rsidP="0047484D">
      <w:pPr>
        <w:spacing w:line="480" w:lineRule="auto"/>
        <w:rPr>
          <w:rFonts w:ascii="Arial" w:eastAsia="Arial Nova" w:hAnsi="Arial" w:cs="Arial"/>
        </w:rPr>
      </w:pPr>
      <w:r w:rsidRPr="0047484D">
        <w:rPr>
          <w:rFonts w:ascii="Arial" w:eastAsia="Arial Nova" w:hAnsi="Arial" w:cs="Arial"/>
        </w:rPr>
        <w:t>Theoretical frameworks of learner engagement offer an understanding of the elements that affect how learners participate and engage in the learning process</w:t>
      </w:r>
      <w:r w:rsidR="5E67B7CF" w:rsidRPr="0047484D">
        <w:rPr>
          <w:rFonts w:ascii="Arial" w:eastAsia="Arial Nova" w:hAnsi="Arial" w:cs="Arial"/>
        </w:rPr>
        <w:t xml:space="preserve"> </w:t>
      </w:r>
      <w:r w:rsidRPr="0047484D">
        <w:rPr>
          <w:rFonts w:ascii="Arial" w:eastAsia="Arial Nova" w:hAnsi="Arial" w:cs="Arial"/>
        </w:rPr>
        <w:t>(Qualifications Wales, 2022)</w:t>
      </w:r>
      <w:r w:rsidR="15AB09FC" w:rsidRPr="0047484D">
        <w:rPr>
          <w:rFonts w:ascii="Arial" w:eastAsia="Arial Nova" w:hAnsi="Arial" w:cs="Arial"/>
        </w:rPr>
        <w:t xml:space="preserve">. </w:t>
      </w:r>
      <w:r w:rsidR="11C1AC2B" w:rsidRPr="0047484D">
        <w:rPr>
          <w:rFonts w:ascii="Arial" w:eastAsia="Arial Nova" w:hAnsi="Arial" w:cs="Arial"/>
        </w:rPr>
        <w:t>According to Fredricks, Blumenfeld, and Paris (2004), engagement involves emotional, behavioural, and cognitive aspects</w:t>
      </w:r>
      <w:r w:rsidR="2B77A3F8" w:rsidRPr="0047484D">
        <w:rPr>
          <w:rFonts w:ascii="Arial" w:eastAsia="Arial Nova" w:hAnsi="Arial" w:cs="Arial"/>
        </w:rPr>
        <w:t>. They state various elements</w:t>
      </w:r>
      <w:r w:rsidR="1B32C297" w:rsidRPr="0047484D">
        <w:rPr>
          <w:rFonts w:ascii="Arial" w:eastAsia="Arial Nova" w:hAnsi="Arial" w:cs="Arial"/>
        </w:rPr>
        <w:t>,</w:t>
      </w:r>
      <w:r w:rsidR="2B77A3F8" w:rsidRPr="0047484D">
        <w:rPr>
          <w:rFonts w:ascii="Arial" w:eastAsia="Arial Nova" w:hAnsi="Arial" w:cs="Arial"/>
        </w:rPr>
        <w:t xml:space="preserve"> including the relationships between teachers and pupils, the atmosphere in the classroom, and the methods of instruction used to shape it.</w:t>
      </w:r>
      <w:r w:rsidR="6C8ADC0D" w:rsidRPr="0047484D">
        <w:rPr>
          <w:rFonts w:ascii="Arial" w:eastAsia="Arial Nova" w:hAnsi="Arial" w:cs="Arial"/>
        </w:rPr>
        <w:t xml:space="preserve"> Engagement theories, such as the self-determination theory (Ryan </w:t>
      </w:r>
      <w:r w:rsidR="0047484D">
        <w:rPr>
          <w:rFonts w:ascii="Arial" w:eastAsia="Arial Nova" w:hAnsi="Arial" w:cs="Arial"/>
        </w:rPr>
        <w:t>&amp;</w:t>
      </w:r>
      <w:r w:rsidR="6C8ADC0D" w:rsidRPr="0047484D">
        <w:rPr>
          <w:rFonts w:ascii="Arial" w:eastAsia="Arial Nova" w:hAnsi="Arial" w:cs="Arial"/>
        </w:rPr>
        <w:t xml:space="preserve"> Deci, 2000) and the socio-cultural perspective (Skinner </w:t>
      </w:r>
      <w:r w:rsidR="0047484D">
        <w:rPr>
          <w:rFonts w:ascii="Arial" w:eastAsia="Arial Nova" w:hAnsi="Arial" w:cs="Arial"/>
        </w:rPr>
        <w:t>&amp;</w:t>
      </w:r>
      <w:r w:rsidR="6C8ADC0D" w:rsidRPr="0047484D">
        <w:rPr>
          <w:rFonts w:ascii="Arial" w:eastAsia="Arial Nova" w:hAnsi="Arial" w:cs="Arial"/>
        </w:rPr>
        <w:t xml:space="preserve"> Belmont, 1993), emphasise the importance of </w:t>
      </w:r>
      <w:r w:rsidR="34DE3B93" w:rsidRPr="0047484D">
        <w:rPr>
          <w:rFonts w:ascii="Arial" w:eastAsia="Arial Nova" w:hAnsi="Arial" w:cs="Arial"/>
        </w:rPr>
        <w:t>relevance</w:t>
      </w:r>
      <w:r w:rsidR="6C8ADC0D" w:rsidRPr="0047484D">
        <w:rPr>
          <w:rFonts w:ascii="Arial" w:eastAsia="Arial Nova" w:hAnsi="Arial" w:cs="Arial"/>
        </w:rPr>
        <w:t xml:space="preserve">, </w:t>
      </w:r>
      <w:r w:rsidR="639B53BC" w:rsidRPr="0047484D">
        <w:rPr>
          <w:rFonts w:ascii="Arial" w:eastAsia="Arial Nova" w:hAnsi="Arial" w:cs="Arial"/>
        </w:rPr>
        <w:t>competence,</w:t>
      </w:r>
      <w:r w:rsidR="37B6551D" w:rsidRPr="0047484D">
        <w:rPr>
          <w:rFonts w:ascii="Arial" w:eastAsia="Arial Nova" w:hAnsi="Arial" w:cs="Arial"/>
        </w:rPr>
        <w:t xml:space="preserve"> and </w:t>
      </w:r>
      <w:r w:rsidR="37B6551D" w:rsidRPr="0047484D">
        <w:rPr>
          <w:rFonts w:ascii="Arial" w:eastAsia="Arial Nova" w:hAnsi="Arial" w:cs="Arial"/>
        </w:rPr>
        <w:lastRenderedPageBreak/>
        <w:t>autonomy</w:t>
      </w:r>
      <w:r w:rsidR="6C8ADC0D" w:rsidRPr="0047484D">
        <w:rPr>
          <w:rFonts w:ascii="Arial" w:eastAsia="Arial Nova" w:hAnsi="Arial" w:cs="Arial"/>
        </w:rPr>
        <w:t xml:space="preserve"> in fostering engagement.</w:t>
      </w:r>
      <w:r w:rsidR="6219E252" w:rsidRPr="0047484D">
        <w:rPr>
          <w:rFonts w:ascii="Arial" w:eastAsia="Arial Nova" w:hAnsi="Arial" w:cs="Arial"/>
        </w:rPr>
        <w:t xml:space="preserve"> According to the Teaching and Learning Research Programme (2010), actively involving learners in shaping their learning experiences and environment can have numerous benefits.</w:t>
      </w:r>
    </w:p>
    <w:p w14:paraId="23A2A082" w14:textId="77777777" w:rsidR="63BDE29F" w:rsidRPr="0047484D" w:rsidRDefault="00000000" w:rsidP="0047484D">
      <w:pPr>
        <w:spacing w:line="480" w:lineRule="auto"/>
        <w:rPr>
          <w:rFonts w:ascii="Arial" w:eastAsia="Arial Nova" w:hAnsi="Arial" w:cs="Arial"/>
        </w:rPr>
      </w:pPr>
      <w:r w:rsidRPr="0047484D">
        <w:rPr>
          <w:rFonts w:ascii="Arial" w:eastAsia="Arial Nova" w:hAnsi="Arial" w:cs="Arial"/>
        </w:rPr>
        <w:t>Expanding upon these theoretical frameworks, it becomes evident that several factors influence classroom engagement</w:t>
      </w:r>
      <w:r w:rsidR="1A4A1B8D" w:rsidRPr="0047484D">
        <w:rPr>
          <w:rFonts w:ascii="Arial" w:eastAsia="Arial Nova" w:hAnsi="Arial" w:cs="Arial"/>
        </w:rPr>
        <w:t>, including learner characteristics, instructional strategies, and</w:t>
      </w:r>
      <w:r w:rsidR="021B4207" w:rsidRPr="0047484D">
        <w:rPr>
          <w:rFonts w:ascii="Arial" w:eastAsia="Arial Nova" w:hAnsi="Arial" w:cs="Arial"/>
        </w:rPr>
        <w:t xml:space="preserve"> the</w:t>
      </w:r>
      <w:r w:rsidR="1A4A1B8D" w:rsidRPr="0047484D">
        <w:rPr>
          <w:rFonts w:ascii="Arial" w:eastAsia="Arial Nova" w:hAnsi="Arial" w:cs="Arial"/>
        </w:rPr>
        <w:t xml:space="preserve"> classroom environment. Skinner and Belmont (1993) highlight the role of intrinsic motivation and self-efficacy in driving engagement, whereas Reeve (2012) emphasi</w:t>
      </w:r>
      <w:r w:rsidR="718E5C50" w:rsidRPr="0047484D">
        <w:rPr>
          <w:rFonts w:ascii="Arial" w:eastAsia="Arial Nova" w:hAnsi="Arial" w:cs="Arial"/>
        </w:rPr>
        <w:t>s</w:t>
      </w:r>
      <w:r w:rsidR="1A4A1B8D" w:rsidRPr="0047484D">
        <w:rPr>
          <w:rFonts w:ascii="Arial" w:eastAsia="Arial Nova" w:hAnsi="Arial" w:cs="Arial"/>
        </w:rPr>
        <w:t>es the importance of teacher support and clear expectations. Classroom climate, peer interactions, and task relevance also impact engagement</w:t>
      </w:r>
      <w:r w:rsidR="602199CC" w:rsidRPr="0047484D">
        <w:rPr>
          <w:rFonts w:ascii="Arial" w:eastAsia="Arial Nova" w:hAnsi="Arial" w:cs="Arial"/>
        </w:rPr>
        <w:t xml:space="preserve"> </w:t>
      </w:r>
      <w:r w:rsidR="1A4A1B8D" w:rsidRPr="0047484D">
        <w:rPr>
          <w:rFonts w:ascii="Arial" w:eastAsia="Arial Nova" w:hAnsi="Arial" w:cs="Arial"/>
        </w:rPr>
        <w:t>(Fredricks</w:t>
      </w:r>
      <w:r w:rsidR="7C148BBA" w:rsidRPr="0047484D">
        <w:rPr>
          <w:rFonts w:ascii="Arial" w:eastAsia="Arial Nova" w:hAnsi="Arial" w:cs="Arial"/>
        </w:rPr>
        <w:t>, Blumenfeld, and Paris</w:t>
      </w:r>
      <w:r w:rsidR="1A4A1B8D" w:rsidRPr="0047484D">
        <w:rPr>
          <w:rFonts w:ascii="Arial" w:eastAsia="Arial Nova" w:hAnsi="Arial" w:cs="Arial"/>
        </w:rPr>
        <w:t>, 2004). Understanding these factors is crucial for designing effective interventions to promote engagement in education.</w:t>
      </w:r>
    </w:p>
    <w:p w14:paraId="30F459DE" w14:textId="77777777" w:rsidR="21B2FC51" w:rsidRPr="0047484D" w:rsidRDefault="00000000" w:rsidP="0047484D">
      <w:pPr>
        <w:spacing w:line="480" w:lineRule="auto"/>
        <w:rPr>
          <w:rFonts w:ascii="Arial" w:eastAsia="Arial Nova" w:hAnsi="Arial" w:cs="Arial"/>
        </w:rPr>
      </w:pPr>
      <w:r w:rsidRPr="0047484D">
        <w:rPr>
          <w:rFonts w:ascii="Arial" w:eastAsia="Arial Nova" w:hAnsi="Arial" w:cs="Arial"/>
        </w:rPr>
        <w:t xml:space="preserve">Building upon </w:t>
      </w:r>
      <w:r w:rsidR="6D0AF107" w:rsidRPr="0047484D">
        <w:rPr>
          <w:rFonts w:ascii="Arial" w:eastAsia="Arial Nova" w:hAnsi="Arial" w:cs="Arial"/>
        </w:rPr>
        <w:t>an</w:t>
      </w:r>
      <w:r w:rsidRPr="0047484D">
        <w:rPr>
          <w:rFonts w:ascii="Arial" w:eastAsia="Arial Nova" w:hAnsi="Arial" w:cs="Arial"/>
        </w:rPr>
        <w:t xml:space="preserve"> understanding of these factors, </w:t>
      </w:r>
      <w:r w:rsidR="7DB9711A" w:rsidRPr="0047484D">
        <w:rPr>
          <w:rFonts w:ascii="Arial" w:eastAsia="Arial Nova" w:hAnsi="Arial" w:cs="Arial"/>
        </w:rPr>
        <w:t>many strategies have been proposed to promote engagement in education. Active learning approaches, such as problem-based learning and collaborative learning, encourage pupil participation and interaction (Prince, 2004). Providing meaningful tasks, incorporating technology, and offering choice and autonomy can also enhance engagement</w:t>
      </w:r>
      <w:r w:rsidR="3AB88981" w:rsidRPr="0047484D">
        <w:rPr>
          <w:rFonts w:ascii="Arial" w:eastAsia="Arial Nova" w:hAnsi="Arial" w:cs="Arial"/>
        </w:rPr>
        <w:t xml:space="preserve"> </w:t>
      </w:r>
      <w:r w:rsidR="7DB9711A" w:rsidRPr="0047484D">
        <w:rPr>
          <w:rFonts w:ascii="Arial" w:eastAsia="Arial Nova" w:hAnsi="Arial" w:cs="Arial"/>
        </w:rPr>
        <w:t>(Reeve, 2012</w:t>
      </w:r>
      <w:r w:rsidR="4579F384" w:rsidRPr="0047484D">
        <w:rPr>
          <w:rFonts w:ascii="Arial" w:eastAsia="Arial Nova" w:hAnsi="Arial" w:cs="Arial"/>
        </w:rPr>
        <w:t>, &amp;</w:t>
      </w:r>
      <w:r w:rsidR="7DB9711A" w:rsidRPr="0047484D">
        <w:rPr>
          <w:rFonts w:ascii="Arial" w:eastAsia="Arial Nova" w:hAnsi="Arial" w:cs="Arial"/>
        </w:rPr>
        <w:t xml:space="preserve"> Hidi </w:t>
      </w:r>
      <w:r w:rsidR="690EFA1F" w:rsidRPr="0047484D">
        <w:rPr>
          <w:rFonts w:ascii="Arial" w:eastAsia="Arial Nova" w:hAnsi="Arial" w:cs="Arial"/>
        </w:rPr>
        <w:t>and</w:t>
      </w:r>
      <w:r w:rsidR="7DB9711A" w:rsidRPr="0047484D">
        <w:rPr>
          <w:rFonts w:ascii="Arial" w:eastAsia="Arial Nova" w:hAnsi="Arial" w:cs="Arial"/>
        </w:rPr>
        <w:t xml:space="preserve"> Renninger, 2006).</w:t>
      </w:r>
      <w:r w:rsidR="38BC2E9F" w:rsidRPr="0047484D">
        <w:rPr>
          <w:rFonts w:ascii="Arial" w:eastAsia="Arial Nova" w:hAnsi="Arial" w:cs="Arial"/>
        </w:rPr>
        <w:t xml:space="preserve"> F</w:t>
      </w:r>
      <w:r w:rsidR="7DB9711A" w:rsidRPr="0047484D">
        <w:rPr>
          <w:rFonts w:ascii="Arial" w:eastAsia="Arial Nova" w:hAnsi="Arial" w:cs="Arial"/>
        </w:rPr>
        <w:t>ostering a supportive and inclusive classroom environment promotes a sense of belonging</w:t>
      </w:r>
      <w:r w:rsidR="046C4E95" w:rsidRPr="0047484D">
        <w:rPr>
          <w:rFonts w:ascii="Arial" w:eastAsia="Arial Nova" w:hAnsi="Arial" w:cs="Arial"/>
        </w:rPr>
        <w:t>,</w:t>
      </w:r>
      <w:r w:rsidR="7DB9711A" w:rsidRPr="0047484D">
        <w:rPr>
          <w:rFonts w:ascii="Arial" w:eastAsia="Arial Nova" w:hAnsi="Arial" w:cs="Arial"/>
        </w:rPr>
        <w:t xml:space="preserve"> promoting student engagement (Skinner </w:t>
      </w:r>
      <w:r w:rsidR="0047484D">
        <w:rPr>
          <w:rFonts w:ascii="Arial" w:eastAsia="Arial Nova" w:hAnsi="Arial" w:cs="Arial"/>
        </w:rPr>
        <w:t>&amp;</w:t>
      </w:r>
      <w:r w:rsidR="7DB9711A" w:rsidRPr="0047484D">
        <w:rPr>
          <w:rFonts w:ascii="Arial" w:eastAsia="Arial Nova" w:hAnsi="Arial" w:cs="Arial"/>
        </w:rPr>
        <w:t xml:space="preserve"> Belmont, 1993).</w:t>
      </w:r>
      <w:r w:rsidR="15E3E291" w:rsidRPr="0047484D">
        <w:rPr>
          <w:rFonts w:ascii="Arial" w:eastAsia="Arial Nova" w:hAnsi="Arial" w:cs="Arial"/>
        </w:rPr>
        <w:t xml:space="preserve"> </w:t>
      </w:r>
      <w:r w:rsidR="1E86E7EC" w:rsidRPr="0047484D">
        <w:rPr>
          <w:rFonts w:ascii="Arial" w:eastAsia="Arial Nova" w:hAnsi="Arial" w:cs="Arial"/>
        </w:rPr>
        <w:t xml:space="preserve">Additionally, studies conducted by the University of Cardiff (2017) and the University of Wales Trinity Saint David (2017) have found that the level of engagement in research activities by educators, whether individually or collaboratively, can influence classroom engagement (Smith and Horton, 2017, &amp; Lewis, </w:t>
      </w:r>
      <w:r w:rsidR="1E86E7EC" w:rsidRPr="0047484D">
        <w:rPr>
          <w:rFonts w:ascii="Arial" w:eastAsia="Arial Nova" w:hAnsi="Arial" w:cs="Arial"/>
          <w:i/>
          <w:iCs/>
        </w:rPr>
        <w:t>et al</w:t>
      </w:r>
      <w:r w:rsidR="1E86E7EC" w:rsidRPr="0047484D">
        <w:rPr>
          <w:rFonts w:ascii="Arial" w:eastAsia="Arial Nova" w:hAnsi="Arial" w:cs="Arial"/>
        </w:rPr>
        <w:t>., 2017)</w:t>
      </w:r>
      <w:r w:rsidR="680B54BB" w:rsidRPr="0047484D">
        <w:rPr>
          <w:rFonts w:ascii="Arial" w:eastAsia="Arial Nova" w:hAnsi="Arial" w:cs="Arial"/>
        </w:rPr>
        <w:t>.</w:t>
      </w:r>
    </w:p>
    <w:p w14:paraId="29286DCB" w14:textId="77777777" w:rsidR="71B89276" w:rsidRPr="0047484D" w:rsidRDefault="71B89276" w:rsidP="0047484D">
      <w:pPr>
        <w:spacing w:line="480" w:lineRule="auto"/>
        <w:rPr>
          <w:rFonts w:ascii="Arial" w:eastAsia="Arial Nova" w:hAnsi="Arial" w:cs="Arial"/>
          <w:u w:val="single"/>
        </w:rPr>
      </w:pPr>
    </w:p>
    <w:p w14:paraId="0F08DDEA" w14:textId="77777777" w:rsidR="62C0331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The Role of Brain Teaser Activities</w:t>
      </w:r>
    </w:p>
    <w:p w14:paraId="62361354" w14:textId="77777777" w:rsidR="62C03317" w:rsidRPr="0047484D" w:rsidRDefault="00000000" w:rsidP="0047484D">
      <w:pPr>
        <w:spacing w:line="480" w:lineRule="auto"/>
        <w:rPr>
          <w:rFonts w:ascii="Arial" w:eastAsia="Arial Nova" w:hAnsi="Arial" w:cs="Arial"/>
        </w:rPr>
      </w:pPr>
      <w:r w:rsidRPr="0047484D">
        <w:rPr>
          <w:rFonts w:ascii="Arial" w:eastAsia="Arial Nova" w:hAnsi="Arial" w:cs="Arial"/>
        </w:rPr>
        <w:t xml:space="preserve">Brain teaser activities are thought-provoking and interactive tasks designed to stimulate </w:t>
      </w:r>
      <w:r w:rsidR="7825F9BE" w:rsidRPr="0047484D">
        <w:rPr>
          <w:rFonts w:ascii="Arial" w:eastAsia="Arial Nova" w:hAnsi="Arial" w:cs="Arial"/>
        </w:rPr>
        <w:t xml:space="preserve">problem-solving skills and </w:t>
      </w:r>
      <w:r w:rsidRPr="0047484D">
        <w:rPr>
          <w:rFonts w:ascii="Arial" w:eastAsia="Arial Nova" w:hAnsi="Arial" w:cs="Arial"/>
        </w:rPr>
        <w:t>critical thinking (</w:t>
      </w:r>
      <w:r w:rsidR="7CBD0647" w:rsidRPr="0047484D">
        <w:rPr>
          <w:rFonts w:ascii="Arial" w:eastAsia="Arial Nova" w:hAnsi="Arial" w:cs="Arial"/>
        </w:rPr>
        <w:t>Reading</w:t>
      </w:r>
      <w:r w:rsidRPr="0047484D">
        <w:rPr>
          <w:rFonts w:ascii="Arial" w:eastAsia="Arial Nova" w:hAnsi="Arial" w:cs="Arial"/>
        </w:rPr>
        <w:t>, 2007</w:t>
      </w:r>
      <w:r w:rsidR="640B06C2" w:rsidRPr="0047484D">
        <w:rPr>
          <w:rFonts w:ascii="Arial" w:eastAsia="Arial Nova" w:hAnsi="Arial" w:cs="Arial"/>
        </w:rPr>
        <w:t xml:space="preserve">; </w:t>
      </w:r>
      <w:r w:rsidR="242E70E2" w:rsidRPr="0047484D">
        <w:rPr>
          <w:rFonts w:ascii="Arial" w:eastAsia="Arial Nova" w:hAnsi="Arial" w:cs="Arial"/>
        </w:rPr>
        <w:t>Altun, Hazar, and Hazar, 2016</w:t>
      </w:r>
      <w:r w:rsidR="115BB922" w:rsidRPr="0047484D">
        <w:rPr>
          <w:rFonts w:ascii="Arial" w:eastAsia="Arial Nova" w:hAnsi="Arial" w:cs="Arial"/>
        </w:rPr>
        <w:t>, &amp; Taylor and Boyer, 2020</w:t>
      </w:r>
      <w:r w:rsidRPr="0047484D">
        <w:rPr>
          <w:rFonts w:ascii="Arial" w:eastAsia="Arial Nova" w:hAnsi="Arial" w:cs="Arial"/>
        </w:rPr>
        <w:t xml:space="preserve">). These activities typically involve puzzles, riddles, or challenging questions that require </w:t>
      </w:r>
      <w:r w:rsidR="0C4068AD" w:rsidRPr="0047484D">
        <w:rPr>
          <w:rFonts w:ascii="Arial" w:eastAsia="Arial Nova" w:hAnsi="Arial" w:cs="Arial"/>
        </w:rPr>
        <w:t xml:space="preserve">mental agility and </w:t>
      </w:r>
      <w:r w:rsidRPr="0047484D">
        <w:rPr>
          <w:rFonts w:ascii="Arial" w:eastAsia="Arial Nova" w:hAnsi="Arial" w:cs="Arial"/>
        </w:rPr>
        <w:t xml:space="preserve">creative thinking (Zhang </w:t>
      </w:r>
      <w:r w:rsidR="6CFB4438" w:rsidRPr="0047484D">
        <w:rPr>
          <w:rFonts w:ascii="Arial" w:eastAsia="Arial Nova" w:hAnsi="Arial" w:cs="Arial"/>
        </w:rPr>
        <w:t>and</w:t>
      </w:r>
      <w:r w:rsidRPr="0047484D">
        <w:rPr>
          <w:rFonts w:ascii="Arial" w:eastAsia="Arial Nova" w:hAnsi="Arial" w:cs="Arial"/>
        </w:rPr>
        <w:t xml:space="preserve"> </w:t>
      </w:r>
      <w:r w:rsidR="3FA3A6D1" w:rsidRPr="0047484D">
        <w:rPr>
          <w:rFonts w:ascii="Arial" w:eastAsia="Arial Nova" w:hAnsi="Arial" w:cs="Arial"/>
        </w:rPr>
        <w:t>Norman</w:t>
      </w:r>
      <w:r w:rsidRPr="0047484D">
        <w:rPr>
          <w:rFonts w:ascii="Arial" w:eastAsia="Arial Nova" w:hAnsi="Arial" w:cs="Arial"/>
        </w:rPr>
        <w:t xml:space="preserve">, </w:t>
      </w:r>
      <w:r w:rsidR="1AD6D197" w:rsidRPr="0047484D">
        <w:rPr>
          <w:rFonts w:ascii="Arial" w:eastAsia="Arial Nova" w:hAnsi="Arial" w:cs="Arial"/>
        </w:rPr>
        <w:t>1994</w:t>
      </w:r>
      <w:r w:rsidR="730A3705" w:rsidRPr="0047484D">
        <w:rPr>
          <w:rFonts w:ascii="Arial" w:eastAsia="Arial Nova" w:hAnsi="Arial" w:cs="Arial"/>
        </w:rPr>
        <w:t>, &amp; Knight and Crick, 2022</w:t>
      </w:r>
      <w:r w:rsidRPr="0047484D">
        <w:rPr>
          <w:rFonts w:ascii="Arial" w:eastAsia="Arial Nova" w:hAnsi="Arial" w:cs="Arial"/>
        </w:rPr>
        <w:t>). Brain teasers can be adapted to various subjects and age levels, making them versatile tools for engaging learners in the classroom.</w:t>
      </w:r>
    </w:p>
    <w:p w14:paraId="4F9055A1" w14:textId="77777777" w:rsidR="0AE9DE7F" w:rsidRPr="0047484D" w:rsidRDefault="00000000" w:rsidP="0047484D">
      <w:pPr>
        <w:spacing w:line="480" w:lineRule="auto"/>
        <w:rPr>
          <w:rFonts w:ascii="Arial" w:eastAsia="Arial Nova" w:hAnsi="Arial" w:cs="Arial"/>
        </w:rPr>
      </w:pPr>
      <w:r w:rsidRPr="0047484D">
        <w:rPr>
          <w:rFonts w:ascii="Arial" w:eastAsia="Arial Nova" w:hAnsi="Arial" w:cs="Arial"/>
        </w:rPr>
        <w:t>Research suggests that brain teaser activities offer cognitive benefits for learners. Engaging in challenging tasks stimulates neural pathways associated with problem-solving and decision-making (Anderson, 2005</w:t>
      </w:r>
      <w:r w:rsidR="466B8104" w:rsidRPr="0047484D">
        <w:rPr>
          <w:rFonts w:ascii="Arial" w:eastAsia="Arial Nova" w:hAnsi="Arial" w:cs="Arial"/>
        </w:rPr>
        <w:t>, &amp; Brisson and Markovits, 2020</w:t>
      </w:r>
      <w:r w:rsidRPr="0047484D">
        <w:rPr>
          <w:rFonts w:ascii="Arial" w:eastAsia="Arial Nova" w:hAnsi="Arial" w:cs="Arial"/>
        </w:rPr>
        <w:t>). Brain teasers promote cognitive flexibility</w:t>
      </w:r>
      <w:r w:rsidR="0047484D">
        <w:rPr>
          <w:rFonts w:ascii="Arial" w:eastAsia="Arial Nova" w:hAnsi="Arial" w:cs="Arial"/>
        </w:rPr>
        <w:t xml:space="preserve"> as learners consider multiple approaches and perspectives to solve problems (Ginsburg, 2007; Reading, 2007; Bronkhorst et al.,</w:t>
      </w:r>
      <w:r w:rsidR="39DAA907" w:rsidRPr="0047484D">
        <w:rPr>
          <w:rFonts w:ascii="Arial" w:eastAsia="Arial Nova" w:hAnsi="Arial" w:cs="Arial"/>
        </w:rPr>
        <w:t xml:space="preserve"> 2020</w:t>
      </w:r>
      <w:r w:rsidRPr="0047484D">
        <w:rPr>
          <w:rFonts w:ascii="Arial" w:eastAsia="Arial Nova" w:hAnsi="Arial" w:cs="Arial"/>
        </w:rPr>
        <w:t xml:space="preserve">). Additionally, these activities enhance </w:t>
      </w:r>
      <w:r w:rsidR="0568C9F6" w:rsidRPr="0047484D">
        <w:rPr>
          <w:rFonts w:ascii="Arial" w:eastAsia="Arial Nova" w:hAnsi="Arial" w:cs="Arial"/>
        </w:rPr>
        <w:t xml:space="preserve">logical reasoning skills, </w:t>
      </w:r>
      <w:r w:rsidRPr="0047484D">
        <w:rPr>
          <w:rFonts w:ascii="Arial" w:eastAsia="Arial Nova" w:hAnsi="Arial" w:cs="Arial"/>
        </w:rPr>
        <w:t xml:space="preserve">memory, </w:t>
      </w:r>
      <w:r w:rsidR="5BA265F4" w:rsidRPr="0047484D">
        <w:rPr>
          <w:rFonts w:ascii="Arial" w:eastAsia="Arial Nova" w:hAnsi="Arial" w:cs="Arial"/>
        </w:rPr>
        <w:t xml:space="preserve">and </w:t>
      </w:r>
      <w:r w:rsidRPr="0047484D">
        <w:rPr>
          <w:rFonts w:ascii="Arial" w:eastAsia="Arial Nova" w:hAnsi="Arial" w:cs="Arial"/>
        </w:rPr>
        <w:t xml:space="preserve">attention (Zhang </w:t>
      </w:r>
      <w:r w:rsidR="01266132" w:rsidRPr="0047484D">
        <w:rPr>
          <w:rFonts w:ascii="Arial" w:eastAsia="Arial Nova" w:hAnsi="Arial" w:cs="Arial"/>
        </w:rPr>
        <w:t xml:space="preserve">and Norman, 1994, &amp; </w:t>
      </w:r>
      <w:r w:rsidR="350C600A" w:rsidRPr="0047484D">
        <w:rPr>
          <w:rFonts w:ascii="Arial" w:eastAsia="Arial Nova" w:hAnsi="Arial" w:cs="Arial"/>
        </w:rPr>
        <w:t>Prado, 2019</w:t>
      </w:r>
      <w:r w:rsidRPr="0047484D">
        <w:rPr>
          <w:rFonts w:ascii="Arial" w:eastAsia="Arial Nova" w:hAnsi="Arial" w:cs="Arial"/>
        </w:rPr>
        <w:t>).</w:t>
      </w:r>
    </w:p>
    <w:p w14:paraId="6F31F2B4" w14:textId="77777777" w:rsidR="361CA7AD" w:rsidRPr="0047484D" w:rsidRDefault="00000000" w:rsidP="0047484D">
      <w:pPr>
        <w:spacing w:line="480" w:lineRule="auto"/>
        <w:rPr>
          <w:rFonts w:ascii="Arial" w:eastAsia="Arial Nova" w:hAnsi="Arial" w:cs="Arial"/>
        </w:rPr>
      </w:pPr>
      <w:r w:rsidRPr="0047484D">
        <w:rPr>
          <w:rFonts w:ascii="Arial" w:eastAsia="Arial Nova" w:hAnsi="Arial" w:cs="Arial"/>
        </w:rPr>
        <w:t>Brain teasers have ga</w:t>
      </w:r>
      <w:r w:rsidR="05F2EF12" w:rsidRPr="0047484D">
        <w:rPr>
          <w:rFonts w:ascii="Arial" w:eastAsia="Arial Nova" w:hAnsi="Arial" w:cs="Arial"/>
        </w:rPr>
        <w:t>ined</w:t>
      </w:r>
      <w:r w:rsidRPr="0047484D">
        <w:rPr>
          <w:rFonts w:ascii="Arial" w:eastAsia="Arial Nova" w:hAnsi="Arial" w:cs="Arial"/>
        </w:rPr>
        <w:t xml:space="preserve"> attention for their potential to enhance learner engagement by presenting </w:t>
      </w:r>
      <w:r w:rsidR="5F0E0D27" w:rsidRPr="0047484D">
        <w:rPr>
          <w:rFonts w:ascii="Arial" w:eastAsia="Arial Nova" w:hAnsi="Arial" w:cs="Arial"/>
        </w:rPr>
        <w:t>learner</w:t>
      </w:r>
      <w:r w:rsidRPr="0047484D">
        <w:rPr>
          <w:rFonts w:ascii="Arial" w:eastAsia="Arial Nova" w:hAnsi="Arial" w:cs="Arial"/>
        </w:rPr>
        <w:t>s with intriguing challenges</w:t>
      </w:r>
      <w:r w:rsidR="0047484D">
        <w:rPr>
          <w:rFonts w:ascii="Arial" w:eastAsia="Arial Nova" w:hAnsi="Arial" w:cs="Arial"/>
        </w:rPr>
        <w:t xml:space="preserve"> and </w:t>
      </w:r>
      <w:r w:rsidRPr="0047484D">
        <w:rPr>
          <w:rFonts w:ascii="Arial" w:eastAsia="Arial Nova" w:hAnsi="Arial" w:cs="Arial"/>
        </w:rPr>
        <w:t>motivating active participation in the learning process (</w:t>
      </w:r>
      <w:r w:rsidR="708324C7" w:rsidRPr="0047484D">
        <w:rPr>
          <w:rFonts w:ascii="Arial" w:eastAsia="Arial Nova" w:hAnsi="Arial" w:cs="Arial"/>
        </w:rPr>
        <w:t>Cloke, 2021)</w:t>
      </w:r>
      <w:r w:rsidRPr="0047484D">
        <w:rPr>
          <w:rFonts w:ascii="Arial" w:eastAsia="Arial Nova" w:hAnsi="Arial" w:cs="Arial"/>
        </w:rPr>
        <w:t xml:space="preserve">. This approach captures </w:t>
      </w:r>
      <w:r w:rsidR="59FD9AEA" w:rsidRPr="0047484D">
        <w:rPr>
          <w:rFonts w:ascii="Arial" w:eastAsia="Arial Nova" w:hAnsi="Arial" w:cs="Arial"/>
        </w:rPr>
        <w:t>pupils</w:t>
      </w:r>
      <w:r w:rsidRPr="0047484D">
        <w:rPr>
          <w:rFonts w:ascii="Arial" w:eastAsia="Arial Nova" w:hAnsi="Arial" w:cs="Arial"/>
        </w:rPr>
        <w:t>' attention and fosters a positive learning atmosphere, nurturing curiosity and intellectual exploration (</w:t>
      </w:r>
      <w:r w:rsidR="4C3BD720" w:rsidRPr="0047484D">
        <w:rPr>
          <w:rFonts w:ascii="Arial" w:eastAsia="Arial Nova" w:hAnsi="Arial" w:cs="Arial"/>
        </w:rPr>
        <w:t>Nodding, 2002</w:t>
      </w:r>
      <w:r w:rsidRPr="0047484D">
        <w:rPr>
          <w:rFonts w:ascii="Arial" w:eastAsia="Arial Nova" w:hAnsi="Arial" w:cs="Arial"/>
        </w:rPr>
        <w:t>). However, the effectiveness of brain teaser activities can be variable, influenced by factors such as the nature of the tasks, the context of</w:t>
      </w:r>
      <w:r w:rsidR="16049EB6" w:rsidRPr="0047484D">
        <w:rPr>
          <w:rFonts w:ascii="Arial" w:eastAsia="Arial Nova" w:hAnsi="Arial" w:cs="Arial"/>
        </w:rPr>
        <w:t xml:space="preserve"> the</w:t>
      </w:r>
      <w:r w:rsidRPr="0047484D">
        <w:rPr>
          <w:rFonts w:ascii="Arial" w:eastAsia="Arial Nova" w:hAnsi="Arial" w:cs="Arial"/>
        </w:rPr>
        <w:t xml:space="preserve"> presentation, and individual learner preferences (</w:t>
      </w:r>
      <w:r w:rsidR="790A226A" w:rsidRPr="0047484D">
        <w:rPr>
          <w:rFonts w:ascii="Arial" w:eastAsia="Arial Nova" w:hAnsi="Arial" w:cs="Arial"/>
        </w:rPr>
        <w:t xml:space="preserve">Hirsh-Pasek </w:t>
      </w:r>
      <w:r w:rsidR="790A226A" w:rsidRPr="0047484D">
        <w:rPr>
          <w:rFonts w:ascii="Arial" w:eastAsia="Arial Nova" w:hAnsi="Arial" w:cs="Arial"/>
          <w:i/>
          <w:iCs/>
        </w:rPr>
        <w:t>et al</w:t>
      </w:r>
      <w:r w:rsidR="790A226A" w:rsidRPr="0047484D">
        <w:rPr>
          <w:rFonts w:ascii="Arial" w:eastAsia="Arial Nova" w:hAnsi="Arial" w:cs="Arial"/>
        </w:rPr>
        <w:t>., 2019</w:t>
      </w:r>
      <w:r w:rsidRPr="0047484D">
        <w:rPr>
          <w:rFonts w:ascii="Arial" w:eastAsia="Arial Nova" w:hAnsi="Arial" w:cs="Arial"/>
        </w:rPr>
        <w:t xml:space="preserve">). While these activities may </w:t>
      </w:r>
      <w:r w:rsidR="69D2D60C" w:rsidRPr="0047484D">
        <w:rPr>
          <w:rFonts w:ascii="Arial" w:eastAsia="Arial Nova" w:hAnsi="Arial" w:cs="Arial"/>
        </w:rPr>
        <w:t>engage</w:t>
      </w:r>
      <w:r w:rsidRPr="0047484D">
        <w:rPr>
          <w:rFonts w:ascii="Arial" w:eastAsia="Arial Nova" w:hAnsi="Arial" w:cs="Arial"/>
        </w:rPr>
        <w:t xml:space="preserve"> </w:t>
      </w:r>
      <w:r w:rsidR="1B3EF4A5" w:rsidRPr="0047484D">
        <w:rPr>
          <w:rFonts w:ascii="Arial" w:eastAsia="Arial Nova" w:hAnsi="Arial" w:cs="Arial"/>
        </w:rPr>
        <w:t>pupils’</w:t>
      </w:r>
      <w:r w:rsidRPr="0047484D">
        <w:rPr>
          <w:rFonts w:ascii="Arial" w:eastAsia="Arial Nova" w:hAnsi="Arial" w:cs="Arial"/>
        </w:rPr>
        <w:t xml:space="preserve"> minds for learning, </w:t>
      </w:r>
      <w:r w:rsidR="00022779">
        <w:rPr>
          <w:rFonts w:ascii="Arial" w:eastAsia="Arial Nova" w:hAnsi="Arial" w:cs="Arial"/>
        </w:rPr>
        <w:t>it is</w:t>
      </w:r>
      <w:r w:rsidRPr="0047484D">
        <w:rPr>
          <w:rFonts w:ascii="Arial" w:eastAsia="Arial Nova" w:hAnsi="Arial" w:cs="Arial"/>
        </w:rPr>
        <w:t xml:space="preserve"> </w:t>
      </w:r>
      <w:r w:rsidR="254B8C99" w:rsidRPr="0047484D">
        <w:rPr>
          <w:rFonts w:ascii="Arial" w:eastAsia="Arial Nova" w:hAnsi="Arial" w:cs="Arial"/>
        </w:rPr>
        <w:t>necessary</w:t>
      </w:r>
      <w:r w:rsidRPr="0047484D">
        <w:rPr>
          <w:rFonts w:ascii="Arial" w:eastAsia="Arial Nova" w:hAnsi="Arial" w:cs="Arial"/>
        </w:rPr>
        <w:t xml:space="preserve"> to recogni</w:t>
      </w:r>
      <w:r w:rsidR="772685DB" w:rsidRPr="0047484D">
        <w:rPr>
          <w:rFonts w:ascii="Arial" w:eastAsia="Arial Nova" w:hAnsi="Arial" w:cs="Arial"/>
        </w:rPr>
        <w:t>s</w:t>
      </w:r>
      <w:r w:rsidRPr="0047484D">
        <w:rPr>
          <w:rFonts w:ascii="Arial" w:eastAsia="Arial Nova" w:hAnsi="Arial" w:cs="Arial"/>
        </w:rPr>
        <w:t xml:space="preserve">e that responses to such methods </w:t>
      </w:r>
      <w:r w:rsidRPr="0047484D">
        <w:rPr>
          <w:rFonts w:ascii="Arial" w:eastAsia="Arial Nova" w:hAnsi="Arial" w:cs="Arial"/>
        </w:rPr>
        <w:lastRenderedPageBreak/>
        <w:t>can vary among students. Some may find them highly engaging, while others may not respond as positively (</w:t>
      </w:r>
      <w:r w:rsidR="398C4616" w:rsidRPr="0047484D">
        <w:rPr>
          <w:rFonts w:ascii="Arial" w:eastAsia="Arial Nova" w:hAnsi="Arial" w:cs="Arial"/>
        </w:rPr>
        <w:t>Sternberg, 2018)</w:t>
      </w:r>
      <w:r w:rsidR="1FDC20BF" w:rsidRPr="0047484D">
        <w:rPr>
          <w:rFonts w:ascii="Arial" w:eastAsia="Arial Nova" w:hAnsi="Arial" w:cs="Arial"/>
        </w:rPr>
        <w:t>.</w:t>
      </w:r>
    </w:p>
    <w:p w14:paraId="6A38CED6" w14:textId="77777777" w:rsidR="1FDC20BF" w:rsidRPr="0047484D" w:rsidRDefault="00000000" w:rsidP="0047484D">
      <w:pPr>
        <w:spacing w:line="480" w:lineRule="auto"/>
        <w:rPr>
          <w:rFonts w:ascii="Arial" w:eastAsia="Arial Nova" w:hAnsi="Arial" w:cs="Arial"/>
        </w:rPr>
      </w:pPr>
      <w:r w:rsidRPr="0047484D">
        <w:rPr>
          <w:rFonts w:ascii="Arial" w:eastAsia="Arial Nova" w:hAnsi="Arial" w:cs="Arial"/>
        </w:rPr>
        <w:t>Through the implementation of brain teasers, educators aim to stimulate critical thinking and problem-solving skills (</w:t>
      </w:r>
      <w:r w:rsidR="7878ADB7" w:rsidRPr="0047484D">
        <w:rPr>
          <w:rFonts w:ascii="Arial" w:eastAsia="Arial Nova" w:hAnsi="Arial" w:cs="Arial"/>
        </w:rPr>
        <w:t>Byrnes, 2001)</w:t>
      </w:r>
      <w:r w:rsidRPr="0047484D">
        <w:rPr>
          <w:rFonts w:ascii="Arial" w:eastAsia="Arial Nova" w:hAnsi="Arial" w:cs="Arial"/>
        </w:rPr>
        <w:t>. Nevertheless, it</w:t>
      </w:r>
      <w:r w:rsidR="6B9F7801" w:rsidRPr="0047484D">
        <w:rPr>
          <w:rFonts w:ascii="Arial" w:eastAsia="Arial Nova" w:hAnsi="Arial" w:cs="Arial"/>
        </w:rPr>
        <w:t xml:space="preserve"> is essent</w:t>
      </w:r>
      <w:r w:rsidRPr="0047484D">
        <w:rPr>
          <w:rFonts w:ascii="Arial" w:eastAsia="Arial Nova" w:hAnsi="Arial" w:cs="Arial"/>
        </w:rPr>
        <w:t>ial to consider pupils' diverse needs and learning styles to ensure inclusivity and effectiveness in educational practices (</w:t>
      </w:r>
      <w:r w:rsidR="36E44993" w:rsidRPr="0047484D">
        <w:rPr>
          <w:rFonts w:ascii="Arial" w:eastAsia="Arial Nova" w:hAnsi="Arial" w:cs="Arial"/>
        </w:rPr>
        <w:t>Gardner, 1993)</w:t>
      </w:r>
      <w:r w:rsidRPr="0047484D">
        <w:rPr>
          <w:rFonts w:ascii="Arial" w:eastAsia="Arial Nova" w:hAnsi="Arial" w:cs="Arial"/>
        </w:rPr>
        <w:t xml:space="preserve">. Furthermore, </w:t>
      </w:r>
      <w:r w:rsidR="0047484D">
        <w:rPr>
          <w:rFonts w:ascii="Arial" w:eastAsia="Arial Nova" w:hAnsi="Arial" w:cs="Arial"/>
        </w:rPr>
        <w:t>integrating</w:t>
      </w:r>
      <w:r w:rsidRPr="0047484D">
        <w:rPr>
          <w:rFonts w:ascii="Arial" w:eastAsia="Arial Nova" w:hAnsi="Arial" w:cs="Arial"/>
        </w:rPr>
        <w:t xml:space="preserve"> brain teaser activities should be accompanied by thoughtful planning and assessment to maximi</w:t>
      </w:r>
      <w:r w:rsidR="3FF4174A" w:rsidRPr="0047484D">
        <w:rPr>
          <w:rFonts w:ascii="Arial" w:eastAsia="Arial Nova" w:hAnsi="Arial" w:cs="Arial"/>
        </w:rPr>
        <w:t>s</w:t>
      </w:r>
      <w:r w:rsidRPr="0047484D">
        <w:rPr>
          <w:rFonts w:ascii="Arial" w:eastAsia="Arial Nova" w:hAnsi="Arial" w:cs="Arial"/>
        </w:rPr>
        <w:t>e their impact on learner engagement and academic outcomes (</w:t>
      </w:r>
      <w:r w:rsidR="44359161" w:rsidRPr="0047484D">
        <w:rPr>
          <w:rFonts w:ascii="Arial" w:eastAsia="Arial Nova" w:hAnsi="Arial" w:cs="Arial"/>
        </w:rPr>
        <w:t>Hattie, 2009).</w:t>
      </w:r>
    </w:p>
    <w:p w14:paraId="2063D3DE" w14:textId="77777777" w:rsidR="66EA5948" w:rsidRPr="0047484D" w:rsidRDefault="66EA5948" w:rsidP="0047484D">
      <w:pPr>
        <w:spacing w:line="480" w:lineRule="auto"/>
        <w:rPr>
          <w:rFonts w:ascii="Arial" w:eastAsia="Arial Nova" w:hAnsi="Arial" w:cs="Arial"/>
        </w:rPr>
      </w:pPr>
    </w:p>
    <w:p w14:paraId="30C3A33F" w14:textId="77777777" w:rsidR="0C15829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Ready to Learn</w:t>
      </w:r>
    </w:p>
    <w:p w14:paraId="5C5A792F" w14:textId="77777777" w:rsidR="66EA5948" w:rsidRPr="0047484D" w:rsidRDefault="00000000" w:rsidP="0047484D">
      <w:pPr>
        <w:spacing w:line="480" w:lineRule="auto"/>
        <w:rPr>
          <w:rFonts w:ascii="Arial" w:eastAsia="Arial Nova" w:hAnsi="Arial" w:cs="Arial"/>
        </w:rPr>
      </w:pPr>
      <w:r w:rsidRPr="0047484D">
        <w:rPr>
          <w:rFonts w:ascii="Arial" w:eastAsia="Arial Nova" w:hAnsi="Arial" w:cs="Arial"/>
        </w:rPr>
        <w:t xml:space="preserve">Being 'ready to learn' encompasses a learner’s emotional, physical, and cognitive preparedness to engage effectively in the learning process (Blair, 2002; McClelland, Acock, </w:t>
      </w:r>
      <w:r w:rsidR="50B4E03B" w:rsidRPr="0047484D">
        <w:rPr>
          <w:rFonts w:ascii="Arial" w:eastAsia="Arial Nova" w:hAnsi="Arial" w:cs="Arial"/>
        </w:rPr>
        <w:t xml:space="preserve">and </w:t>
      </w:r>
      <w:r w:rsidRPr="0047484D">
        <w:rPr>
          <w:rFonts w:ascii="Arial" w:eastAsia="Arial Nova" w:hAnsi="Arial" w:cs="Arial"/>
        </w:rPr>
        <w:t>Morrison, 2006</w:t>
      </w:r>
      <w:r w:rsidR="41AECEB1" w:rsidRPr="0047484D">
        <w:rPr>
          <w:rFonts w:ascii="Arial" w:eastAsia="Arial Nova" w:hAnsi="Arial" w:cs="Arial"/>
        </w:rPr>
        <w:t xml:space="preserve"> &amp;</w:t>
      </w:r>
      <w:r w:rsidRPr="0047484D">
        <w:rPr>
          <w:rFonts w:ascii="Arial" w:eastAsia="Arial Nova" w:hAnsi="Arial" w:cs="Arial"/>
        </w:rPr>
        <w:t xml:space="preserve"> Brierley, 2021). This readiness is vital for optimal learning outcomes as it sets the foundation for students’ ability to focus, comprehend, and retain information (Tomlinson et al., 2003</w:t>
      </w:r>
      <w:r w:rsidR="4F695246" w:rsidRPr="0047484D">
        <w:rPr>
          <w:rFonts w:ascii="Arial" w:eastAsia="Arial Nova" w:hAnsi="Arial" w:cs="Arial"/>
        </w:rPr>
        <w:t xml:space="preserve"> &amp;</w:t>
      </w:r>
      <w:r w:rsidRPr="0047484D">
        <w:rPr>
          <w:rFonts w:ascii="Arial" w:eastAsia="Arial Nova" w:hAnsi="Arial" w:cs="Arial"/>
        </w:rPr>
        <w:t xml:space="preserve"> Bodrova </w:t>
      </w:r>
      <w:r w:rsidR="35938A85" w:rsidRPr="0047484D">
        <w:rPr>
          <w:rFonts w:ascii="Arial" w:eastAsia="Arial Nova" w:hAnsi="Arial" w:cs="Arial"/>
        </w:rPr>
        <w:t xml:space="preserve">and </w:t>
      </w:r>
      <w:r w:rsidRPr="0047484D">
        <w:rPr>
          <w:rFonts w:ascii="Arial" w:eastAsia="Arial Nova" w:hAnsi="Arial" w:cs="Arial"/>
        </w:rPr>
        <w:t>Leong, 2007). Studies have shown that adequately prepared learners demonstrate higher academic achievement and socio-emotional well-being (Duncan et al., 2007</w:t>
      </w:r>
      <w:r w:rsidR="4D250DD7" w:rsidRPr="0047484D">
        <w:rPr>
          <w:rFonts w:ascii="Arial" w:eastAsia="Arial Nova" w:hAnsi="Arial" w:cs="Arial"/>
        </w:rPr>
        <w:t xml:space="preserve"> &amp;</w:t>
      </w:r>
      <w:r w:rsidRPr="0047484D">
        <w:rPr>
          <w:rFonts w:ascii="Arial" w:eastAsia="Arial Nova" w:hAnsi="Arial" w:cs="Arial"/>
        </w:rPr>
        <w:t xml:space="preserve"> Berns </w:t>
      </w:r>
      <w:r w:rsidR="7B749E70" w:rsidRPr="0047484D">
        <w:rPr>
          <w:rFonts w:ascii="Arial" w:eastAsia="Arial Nova" w:hAnsi="Arial" w:cs="Arial"/>
        </w:rPr>
        <w:t>and</w:t>
      </w:r>
      <w:r w:rsidRPr="0047484D">
        <w:rPr>
          <w:rFonts w:ascii="Arial" w:eastAsia="Arial Nova" w:hAnsi="Arial" w:cs="Arial"/>
        </w:rPr>
        <w:t xml:space="preserve"> Moore, 2012). Research by Achterberg (</w:t>
      </w:r>
      <w:r w:rsidR="41B53588" w:rsidRPr="0047484D">
        <w:rPr>
          <w:rFonts w:ascii="Arial" w:eastAsia="Arial Nova" w:hAnsi="Arial" w:cs="Arial"/>
        </w:rPr>
        <w:t>1998</w:t>
      </w:r>
      <w:r w:rsidRPr="0047484D">
        <w:rPr>
          <w:rFonts w:ascii="Arial" w:eastAsia="Arial Nova" w:hAnsi="Arial" w:cs="Arial"/>
        </w:rPr>
        <w:t>) highlights four significant factors influencing learner readiness: information processing capacity, affective state, prior learning and experience, and the learner's philosophy of education. Rawson and Rose (2006) further contribute to this understanding by outlining the developmental trajectory from birth to school readiness, emphasi</w:t>
      </w:r>
      <w:r w:rsidR="3E477F56" w:rsidRPr="0047484D">
        <w:rPr>
          <w:rFonts w:ascii="Arial" w:eastAsia="Arial Nova" w:hAnsi="Arial" w:cs="Arial"/>
        </w:rPr>
        <w:t>s</w:t>
      </w:r>
      <w:r w:rsidRPr="0047484D">
        <w:rPr>
          <w:rFonts w:ascii="Arial" w:eastAsia="Arial Nova" w:hAnsi="Arial" w:cs="Arial"/>
        </w:rPr>
        <w:t>ing the importance of early foundational skills.</w:t>
      </w:r>
    </w:p>
    <w:p w14:paraId="15E7DCFD" w14:textId="77777777" w:rsidR="66EA5948"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A variety of factors influence readiness to learn. The home environment, including parental involvement, family dynamics, and socioeconomic status, can play a significant role (Sirin, 2005). Sleep patterns, nutrition, and physical health may also impact learners' readiness to engage in learning activities (Gruber et al., 2012). Furthermore, individual differences in learning styles, previous learning experiences, and developmental factors can also contribute to readiness to learn (Rimm-Kaufman, Pianta, </w:t>
      </w:r>
      <w:r w:rsidR="0A6E1DA0" w:rsidRPr="0047484D">
        <w:rPr>
          <w:rFonts w:ascii="Arial" w:eastAsia="Arial Nova" w:hAnsi="Arial" w:cs="Arial"/>
        </w:rPr>
        <w:t>and</w:t>
      </w:r>
      <w:r w:rsidRPr="0047484D">
        <w:rPr>
          <w:rFonts w:ascii="Arial" w:eastAsia="Arial Nova" w:hAnsi="Arial" w:cs="Arial"/>
        </w:rPr>
        <w:t xml:space="preserve"> Cox, 2000). Chorrojprasert (202</w:t>
      </w:r>
      <w:r w:rsidR="3DBDB53D" w:rsidRPr="0047484D">
        <w:rPr>
          <w:rFonts w:ascii="Arial" w:eastAsia="Arial Nova" w:hAnsi="Arial" w:cs="Arial"/>
        </w:rPr>
        <w:t>0</w:t>
      </w:r>
      <w:r w:rsidRPr="0047484D">
        <w:rPr>
          <w:rFonts w:ascii="Arial" w:eastAsia="Arial Nova" w:hAnsi="Arial" w:cs="Arial"/>
        </w:rPr>
        <w:t>) emphasi</w:t>
      </w:r>
      <w:r w:rsidR="7EA1CC1C" w:rsidRPr="0047484D">
        <w:rPr>
          <w:rFonts w:ascii="Arial" w:eastAsia="Arial Nova" w:hAnsi="Arial" w:cs="Arial"/>
        </w:rPr>
        <w:t>s</w:t>
      </w:r>
      <w:r w:rsidRPr="0047484D">
        <w:rPr>
          <w:rFonts w:ascii="Arial" w:eastAsia="Arial Nova" w:hAnsi="Arial" w:cs="Arial"/>
        </w:rPr>
        <w:t>es the importance of learning readiness on learning outcomes and suggests that teachers can enhance their teaching practices and their learners’ achievements by considering these notions.</w:t>
      </w:r>
    </w:p>
    <w:p w14:paraId="7B159260" w14:textId="77777777" w:rsidR="66EA5948" w:rsidRPr="0047484D" w:rsidRDefault="66EA5948" w:rsidP="0047484D">
      <w:pPr>
        <w:spacing w:line="480" w:lineRule="auto"/>
        <w:rPr>
          <w:rFonts w:ascii="Arial" w:eastAsia="Arial Nova" w:hAnsi="Arial" w:cs="Arial"/>
        </w:rPr>
      </w:pPr>
    </w:p>
    <w:p w14:paraId="059D5D1F" w14:textId="77777777" w:rsidR="0C15829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 xml:space="preserve">Disengagement at </w:t>
      </w:r>
      <w:r w:rsidR="00BB14C6" w:rsidRPr="0047484D">
        <w:rPr>
          <w:rFonts w:ascii="Arial" w:eastAsia="Arial Nova" w:hAnsi="Arial" w:cs="Arial"/>
          <w:u w:val="single"/>
        </w:rPr>
        <w:t>the Start</w:t>
      </w:r>
      <w:r w:rsidRPr="0047484D">
        <w:rPr>
          <w:rFonts w:ascii="Arial" w:eastAsia="Arial Nova" w:hAnsi="Arial" w:cs="Arial"/>
          <w:u w:val="single"/>
        </w:rPr>
        <w:t xml:space="preserve"> of </w:t>
      </w:r>
      <w:r w:rsidR="1EEA8CDD" w:rsidRPr="0047484D">
        <w:rPr>
          <w:rFonts w:ascii="Arial" w:eastAsia="Arial Nova" w:hAnsi="Arial" w:cs="Arial"/>
          <w:u w:val="single"/>
        </w:rPr>
        <w:t>L</w:t>
      </w:r>
      <w:r w:rsidRPr="0047484D">
        <w:rPr>
          <w:rFonts w:ascii="Arial" w:eastAsia="Arial Nova" w:hAnsi="Arial" w:cs="Arial"/>
          <w:u w:val="single"/>
        </w:rPr>
        <w:t>esson</w:t>
      </w:r>
      <w:r w:rsidR="6EB9029F" w:rsidRPr="0047484D">
        <w:rPr>
          <w:rFonts w:ascii="Arial" w:eastAsia="Arial Nova" w:hAnsi="Arial" w:cs="Arial"/>
          <w:u w:val="single"/>
        </w:rPr>
        <w:t>s</w:t>
      </w:r>
    </w:p>
    <w:p w14:paraId="010A25A3" w14:textId="77777777" w:rsidR="2FF958FF" w:rsidRPr="0047484D" w:rsidRDefault="00000000" w:rsidP="0047484D">
      <w:pPr>
        <w:spacing w:line="480" w:lineRule="auto"/>
        <w:rPr>
          <w:rFonts w:ascii="Arial" w:eastAsia="Arial Nova" w:hAnsi="Arial" w:cs="Arial"/>
        </w:rPr>
      </w:pPr>
      <w:r w:rsidRPr="0047484D">
        <w:rPr>
          <w:rFonts w:ascii="Arial" w:eastAsia="Arial Nova" w:hAnsi="Arial" w:cs="Arial"/>
        </w:rPr>
        <w:t>Disengagement at the start of the lesson refers to the initial lack of focus, motivation, or participation upon entering the classroom. Various factors can influence this phenomenon, including</w:t>
      </w:r>
      <w:r w:rsidR="50A6E666" w:rsidRPr="0047484D">
        <w:rPr>
          <w:rFonts w:ascii="Arial" w:eastAsia="Arial Nova" w:hAnsi="Arial" w:cs="Arial"/>
        </w:rPr>
        <w:t xml:space="preserve"> distractions,</w:t>
      </w:r>
      <w:r w:rsidRPr="0047484D">
        <w:rPr>
          <w:rFonts w:ascii="Arial" w:eastAsia="Arial Nova" w:hAnsi="Arial" w:cs="Arial"/>
        </w:rPr>
        <w:t xml:space="preserve"> fatigue, lack of interest, or socio-emotional concerns (Skinner </w:t>
      </w:r>
      <w:r w:rsidRPr="0047484D">
        <w:rPr>
          <w:rFonts w:ascii="Arial" w:eastAsia="Arial Nova" w:hAnsi="Arial" w:cs="Arial"/>
          <w:i/>
          <w:iCs/>
        </w:rPr>
        <w:t>et al</w:t>
      </w:r>
      <w:r w:rsidRPr="0047484D">
        <w:rPr>
          <w:rFonts w:ascii="Arial" w:eastAsia="Arial Nova" w:hAnsi="Arial" w:cs="Arial"/>
        </w:rPr>
        <w:t>., 200</w:t>
      </w:r>
      <w:r w:rsidR="164413E2" w:rsidRPr="0047484D">
        <w:rPr>
          <w:rFonts w:ascii="Arial" w:eastAsia="Arial Nova" w:hAnsi="Arial" w:cs="Arial"/>
        </w:rPr>
        <w:t>9</w:t>
      </w:r>
      <w:r w:rsidR="48765D6A" w:rsidRPr="0047484D">
        <w:rPr>
          <w:rFonts w:ascii="Arial" w:eastAsia="Arial Nova" w:hAnsi="Arial" w:cs="Arial"/>
        </w:rPr>
        <w:t>. &amp; Fredricks and McColskey, 2012)</w:t>
      </w:r>
      <w:r w:rsidRPr="0047484D">
        <w:rPr>
          <w:rFonts w:ascii="Arial" w:eastAsia="Arial Nova" w:hAnsi="Arial" w:cs="Arial"/>
        </w:rPr>
        <w:t xml:space="preserve">. Research indicates that disengagement at the beginning of the lesson may have negative implications for </w:t>
      </w:r>
      <w:r w:rsidR="5D8192F2" w:rsidRPr="0047484D">
        <w:rPr>
          <w:rFonts w:ascii="Arial" w:eastAsia="Arial Nova" w:hAnsi="Arial" w:cs="Arial"/>
        </w:rPr>
        <w:t>learners'</w:t>
      </w:r>
      <w:r w:rsidRPr="0047484D">
        <w:rPr>
          <w:rFonts w:ascii="Arial" w:eastAsia="Arial Nova" w:hAnsi="Arial" w:cs="Arial"/>
        </w:rPr>
        <w:t xml:space="preserve"> academic performance and classroom behavio</w:t>
      </w:r>
      <w:r w:rsidR="5FA509AE" w:rsidRPr="0047484D">
        <w:rPr>
          <w:rFonts w:ascii="Arial" w:eastAsia="Arial Nova" w:hAnsi="Arial" w:cs="Arial"/>
        </w:rPr>
        <w:t>u</w:t>
      </w:r>
      <w:r w:rsidRPr="0047484D">
        <w:rPr>
          <w:rFonts w:ascii="Arial" w:eastAsia="Arial Nova" w:hAnsi="Arial" w:cs="Arial"/>
        </w:rPr>
        <w:t>r (</w:t>
      </w:r>
      <w:r w:rsidR="5D62A6AB" w:rsidRPr="0047484D">
        <w:rPr>
          <w:rFonts w:ascii="Arial" w:eastAsia="Arial Nova" w:hAnsi="Arial" w:cs="Arial"/>
        </w:rPr>
        <w:t xml:space="preserve">Skinner </w:t>
      </w:r>
      <w:r w:rsidR="0047484D">
        <w:rPr>
          <w:rFonts w:ascii="Arial" w:eastAsia="Arial Nova" w:hAnsi="Arial" w:cs="Arial"/>
          <w:i/>
          <w:iCs/>
        </w:rPr>
        <w:t>et al.,</w:t>
      </w:r>
      <w:r w:rsidR="5D62A6AB" w:rsidRPr="0047484D">
        <w:rPr>
          <w:rFonts w:ascii="Arial" w:eastAsia="Arial Nova" w:hAnsi="Arial" w:cs="Arial"/>
        </w:rPr>
        <w:t xml:space="preserve"> 2008. &amp; </w:t>
      </w:r>
      <w:r w:rsidRPr="0047484D">
        <w:rPr>
          <w:rFonts w:ascii="Arial" w:eastAsia="Arial Nova" w:hAnsi="Arial" w:cs="Arial"/>
        </w:rPr>
        <w:t xml:space="preserve">Freeman </w:t>
      </w:r>
      <w:r w:rsidRPr="0047484D">
        <w:rPr>
          <w:rFonts w:ascii="Arial" w:eastAsia="Arial Nova" w:hAnsi="Arial" w:cs="Arial"/>
          <w:i/>
          <w:iCs/>
        </w:rPr>
        <w:t>et al</w:t>
      </w:r>
      <w:r w:rsidRPr="0047484D">
        <w:rPr>
          <w:rFonts w:ascii="Arial" w:eastAsia="Arial Nova" w:hAnsi="Arial" w:cs="Arial"/>
        </w:rPr>
        <w:t>., 201</w:t>
      </w:r>
      <w:r w:rsidR="3CD4058B" w:rsidRPr="0047484D">
        <w:rPr>
          <w:rFonts w:ascii="Arial" w:eastAsia="Arial Nova" w:hAnsi="Arial" w:cs="Arial"/>
        </w:rPr>
        <w:t>6</w:t>
      </w:r>
      <w:r w:rsidRPr="0047484D">
        <w:rPr>
          <w:rFonts w:ascii="Arial" w:eastAsia="Arial Nova" w:hAnsi="Arial" w:cs="Arial"/>
        </w:rPr>
        <w:t>).</w:t>
      </w:r>
    </w:p>
    <w:p w14:paraId="7D529A9B" w14:textId="77777777" w:rsidR="634F1F70" w:rsidRPr="0047484D" w:rsidRDefault="00000000" w:rsidP="0047484D">
      <w:pPr>
        <w:spacing w:line="480" w:lineRule="auto"/>
        <w:rPr>
          <w:rFonts w:ascii="Arial" w:eastAsia="Arial Nova" w:hAnsi="Arial" w:cs="Arial"/>
        </w:rPr>
      </w:pPr>
      <w:r w:rsidRPr="0047484D">
        <w:rPr>
          <w:rFonts w:ascii="Arial" w:eastAsia="Arial Nova" w:hAnsi="Arial" w:cs="Arial"/>
        </w:rPr>
        <w:t>The classroom environment can also promote or hinder engagement at the start of the lesson.</w:t>
      </w:r>
      <w:r w:rsidR="00187FFD" w:rsidRPr="0047484D">
        <w:rPr>
          <w:rFonts w:ascii="Arial" w:eastAsia="Arial Nova" w:hAnsi="Arial" w:cs="Arial"/>
        </w:rPr>
        <w:t xml:space="preserve"> Physical factors such as classroom layout, seating arrangements, and sensory stimuli can impact </w:t>
      </w:r>
      <w:r w:rsidR="18613F99" w:rsidRPr="0047484D">
        <w:rPr>
          <w:rFonts w:ascii="Arial" w:eastAsia="Arial Nova" w:hAnsi="Arial" w:cs="Arial"/>
        </w:rPr>
        <w:t>learners</w:t>
      </w:r>
      <w:r w:rsidR="00187FFD" w:rsidRPr="0047484D">
        <w:rPr>
          <w:rFonts w:ascii="Arial" w:eastAsia="Arial Nova" w:hAnsi="Arial" w:cs="Arial"/>
        </w:rPr>
        <w:t>' attention and behavio</w:t>
      </w:r>
      <w:r w:rsidR="07B6284D" w:rsidRPr="0047484D">
        <w:rPr>
          <w:rFonts w:ascii="Arial" w:eastAsia="Arial Nova" w:hAnsi="Arial" w:cs="Arial"/>
        </w:rPr>
        <w:t>u</w:t>
      </w:r>
      <w:r w:rsidR="00187FFD" w:rsidRPr="0047484D">
        <w:rPr>
          <w:rFonts w:ascii="Arial" w:eastAsia="Arial Nova" w:hAnsi="Arial" w:cs="Arial"/>
        </w:rPr>
        <w:t xml:space="preserve">r (Cohen </w:t>
      </w:r>
      <w:r w:rsidR="00187FFD" w:rsidRPr="0047484D">
        <w:rPr>
          <w:rFonts w:ascii="Arial" w:eastAsia="Arial Nova" w:hAnsi="Arial" w:cs="Arial"/>
          <w:i/>
          <w:iCs/>
        </w:rPr>
        <w:t>et al</w:t>
      </w:r>
      <w:r w:rsidR="00187FFD" w:rsidRPr="0047484D">
        <w:rPr>
          <w:rFonts w:ascii="Arial" w:eastAsia="Arial Nova" w:hAnsi="Arial" w:cs="Arial"/>
        </w:rPr>
        <w:t>., 2009</w:t>
      </w:r>
      <w:r w:rsidR="6B1AE48B" w:rsidRPr="0047484D">
        <w:rPr>
          <w:rFonts w:ascii="Arial" w:eastAsia="Arial Nova" w:hAnsi="Arial" w:cs="Arial"/>
        </w:rPr>
        <w:t xml:space="preserve"> &amp; van den Bogerd </w:t>
      </w:r>
      <w:r w:rsidR="0047484D">
        <w:rPr>
          <w:rFonts w:ascii="Arial" w:eastAsia="Arial Nova" w:hAnsi="Arial" w:cs="Arial"/>
          <w:i/>
          <w:iCs/>
        </w:rPr>
        <w:t>et al.,</w:t>
      </w:r>
      <w:r w:rsidR="6B1AE48B" w:rsidRPr="0047484D">
        <w:rPr>
          <w:rFonts w:ascii="Arial" w:eastAsia="Arial Nova" w:hAnsi="Arial" w:cs="Arial"/>
        </w:rPr>
        <w:t xml:space="preserve"> 2020</w:t>
      </w:r>
      <w:r w:rsidR="00187FFD" w:rsidRPr="0047484D">
        <w:rPr>
          <w:rFonts w:ascii="Arial" w:eastAsia="Arial Nova" w:hAnsi="Arial" w:cs="Arial"/>
        </w:rPr>
        <w:t>). Moreover, teacher-</w:t>
      </w:r>
      <w:r w:rsidR="1184B02D" w:rsidRPr="0047484D">
        <w:rPr>
          <w:rFonts w:ascii="Arial" w:eastAsia="Arial Nova" w:hAnsi="Arial" w:cs="Arial"/>
        </w:rPr>
        <w:t>pupil</w:t>
      </w:r>
      <w:r w:rsidR="00187FFD" w:rsidRPr="0047484D">
        <w:rPr>
          <w:rFonts w:ascii="Arial" w:eastAsia="Arial Nova" w:hAnsi="Arial" w:cs="Arial"/>
        </w:rPr>
        <w:t xml:space="preserve"> relationships, classroom routines, and </w:t>
      </w:r>
      <w:r w:rsidR="00187FFD" w:rsidRPr="0047484D">
        <w:rPr>
          <w:rFonts w:ascii="Arial" w:eastAsia="Arial Nova" w:hAnsi="Arial" w:cs="Arial"/>
        </w:rPr>
        <w:lastRenderedPageBreak/>
        <w:t xml:space="preserve">school culture influence </w:t>
      </w:r>
      <w:r w:rsidR="5029955E" w:rsidRPr="0047484D">
        <w:rPr>
          <w:rFonts w:ascii="Arial" w:eastAsia="Arial Nova" w:hAnsi="Arial" w:cs="Arial"/>
        </w:rPr>
        <w:t>learner</w:t>
      </w:r>
      <w:r w:rsidR="00187FFD" w:rsidRPr="0047484D">
        <w:rPr>
          <w:rFonts w:ascii="Arial" w:eastAsia="Arial Nova" w:hAnsi="Arial" w:cs="Arial"/>
        </w:rPr>
        <w:t>s' sense of belonging and motivation to participate (Ladd</w:t>
      </w:r>
      <w:r w:rsidR="1B177536" w:rsidRPr="0047484D">
        <w:rPr>
          <w:rFonts w:ascii="Arial" w:eastAsia="Arial Nova" w:hAnsi="Arial" w:cs="Arial"/>
        </w:rPr>
        <w:t>, Birch, and Buhs, 1999</w:t>
      </w:r>
      <w:r w:rsidR="707916AB" w:rsidRPr="0047484D">
        <w:rPr>
          <w:rFonts w:ascii="Arial" w:eastAsia="Arial Nova" w:hAnsi="Arial" w:cs="Arial"/>
        </w:rPr>
        <w:t xml:space="preserve"> &amp; Ryan and Deci, 2000</w:t>
      </w:r>
      <w:r w:rsidR="00187FFD" w:rsidRPr="0047484D">
        <w:rPr>
          <w:rFonts w:ascii="Arial" w:eastAsia="Arial Nova" w:hAnsi="Arial" w:cs="Arial"/>
        </w:rPr>
        <w:t xml:space="preserve">). </w:t>
      </w:r>
    </w:p>
    <w:p w14:paraId="65021595" w14:textId="77777777" w:rsidR="560BF9A0" w:rsidRPr="0047484D" w:rsidRDefault="00000000" w:rsidP="0047484D">
      <w:pPr>
        <w:spacing w:line="480" w:lineRule="auto"/>
        <w:rPr>
          <w:rFonts w:ascii="Arial" w:eastAsia="Arial Nova" w:hAnsi="Arial" w:cs="Arial"/>
        </w:rPr>
      </w:pPr>
      <w:r w:rsidRPr="0047484D">
        <w:rPr>
          <w:rFonts w:ascii="Arial" w:eastAsia="Arial Nova" w:hAnsi="Arial" w:cs="Arial"/>
        </w:rPr>
        <w:t>Effective instructional strategies can aid in mitigating disengagement at the start of the lesson. Establishing clear expectations, providing engaging and relevant learning tasks, and incorporating interactive activities can capture interest and promote active participation (Hattie, 2009</w:t>
      </w:r>
      <w:r w:rsidR="75D0D1C3" w:rsidRPr="0047484D">
        <w:rPr>
          <w:rFonts w:ascii="Arial" w:eastAsia="Arial Nova" w:hAnsi="Arial" w:cs="Arial"/>
        </w:rPr>
        <w:t xml:space="preserve"> &amp; Borick, 2016</w:t>
      </w:r>
      <w:r w:rsidRPr="0047484D">
        <w:rPr>
          <w:rFonts w:ascii="Arial" w:eastAsia="Arial Nova" w:hAnsi="Arial" w:cs="Arial"/>
        </w:rPr>
        <w:t>). Additionally, building positive teacher-</w:t>
      </w:r>
      <w:r w:rsidR="0B1E19C9" w:rsidRPr="0047484D">
        <w:rPr>
          <w:rFonts w:ascii="Arial" w:eastAsia="Arial Nova" w:hAnsi="Arial" w:cs="Arial"/>
        </w:rPr>
        <w:t>pupil</w:t>
      </w:r>
      <w:r w:rsidRPr="0047484D">
        <w:rPr>
          <w:rFonts w:ascii="Arial" w:eastAsia="Arial Nova" w:hAnsi="Arial" w:cs="Arial"/>
        </w:rPr>
        <w:t xml:space="preserve"> relationships, fostering a sense of autonomy, and recogni</w:t>
      </w:r>
      <w:r w:rsidR="730DABDD" w:rsidRPr="0047484D">
        <w:rPr>
          <w:rFonts w:ascii="Arial" w:eastAsia="Arial Nova" w:hAnsi="Arial" w:cs="Arial"/>
        </w:rPr>
        <w:t>s</w:t>
      </w:r>
      <w:r w:rsidRPr="0047484D">
        <w:rPr>
          <w:rFonts w:ascii="Arial" w:eastAsia="Arial Nova" w:hAnsi="Arial" w:cs="Arial"/>
        </w:rPr>
        <w:t xml:space="preserve">ing </w:t>
      </w:r>
      <w:r w:rsidR="68327889" w:rsidRPr="0047484D">
        <w:rPr>
          <w:rFonts w:ascii="Arial" w:eastAsia="Arial Nova" w:hAnsi="Arial" w:cs="Arial"/>
        </w:rPr>
        <w:t>learners</w:t>
      </w:r>
      <w:r w:rsidRPr="0047484D">
        <w:rPr>
          <w:rFonts w:ascii="Arial" w:eastAsia="Arial Nova" w:hAnsi="Arial" w:cs="Arial"/>
        </w:rPr>
        <w:t xml:space="preserve">' diverse needs and interests </w:t>
      </w:r>
      <w:r w:rsidR="0047484D">
        <w:rPr>
          <w:rFonts w:ascii="Arial" w:eastAsia="Arial Nova" w:hAnsi="Arial" w:cs="Arial"/>
        </w:rPr>
        <w:t>enhance</w:t>
      </w:r>
      <w:r w:rsidRPr="0047484D">
        <w:rPr>
          <w:rFonts w:ascii="Arial" w:eastAsia="Arial Nova" w:hAnsi="Arial" w:cs="Arial"/>
        </w:rPr>
        <w:t xml:space="preserve"> engagement (</w:t>
      </w:r>
      <w:r w:rsidR="33042D3F" w:rsidRPr="0047484D">
        <w:rPr>
          <w:rFonts w:ascii="Arial" w:eastAsia="Arial Nova" w:hAnsi="Arial" w:cs="Arial"/>
        </w:rPr>
        <w:t xml:space="preserve">Jones and Jones, 2012, &amp; </w:t>
      </w:r>
      <w:r w:rsidRPr="0047484D">
        <w:rPr>
          <w:rFonts w:ascii="Arial" w:eastAsia="Arial Nova" w:hAnsi="Arial" w:cs="Arial"/>
        </w:rPr>
        <w:t>Wentzel, 201</w:t>
      </w:r>
      <w:r w:rsidR="7BEEEA97" w:rsidRPr="0047484D">
        <w:rPr>
          <w:rFonts w:ascii="Arial" w:eastAsia="Arial Nova" w:hAnsi="Arial" w:cs="Arial"/>
        </w:rPr>
        <w:t>7</w:t>
      </w:r>
      <w:r w:rsidRPr="0047484D">
        <w:rPr>
          <w:rFonts w:ascii="Arial" w:eastAsia="Arial Nova" w:hAnsi="Arial" w:cs="Arial"/>
        </w:rPr>
        <w:t>).</w:t>
      </w:r>
    </w:p>
    <w:p w14:paraId="1C02E274" w14:textId="77777777" w:rsidR="71B89276" w:rsidRPr="0047484D" w:rsidRDefault="71B89276" w:rsidP="0047484D">
      <w:pPr>
        <w:spacing w:line="480" w:lineRule="auto"/>
        <w:rPr>
          <w:rFonts w:ascii="Arial" w:eastAsia="Arial Nova" w:hAnsi="Arial" w:cs="Arial"/>
        </w:rPr>
      </w:pPr>
    </w:p>
    <w:p w14:paraId="35B63024" w14:textId="77777777" w:rsidR="6EB3CAA6"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Explanation</w:t>
      </w:r>
      <w:r w:rsidR="14210F99" w:rsidRPr="0047484D">
        <w:rPr>
          <w:rFonts w:ascii="Arial" w:eastAsia="Arial Nova" w:hAnsi="Arial" w:cs="Arial"/>
          <w:u w:val="single"/>
        </w:rPr>
        <w:t xml:space="preserve"> of </w:t>
      </w:r>
      <w:r w:rsidR="72FB3932" w:rsidRPr="0047484D">
        <w:rPr>
          <w:rFonts w:ascii="Arial" w:eastAsia="Arial Nova" w:hAnsi="Arial" w:cs="Arial"/>
          <w:u w:val="single"/>
        </w:rPr>
        <w:t>C</w:t>
      </w:r>
      <w:r w:rsidR="14210F99" w:rsidRPr="0047484D">
        <w:rPr>
          <w:rFonts w:ascii="Arial" w:eastAsia="Arial Nova" w:hAnsi="Arial" w:cs="Arial"/>
          <w:u w:val="single"/>
        </w:rPr>
        <w:t xml:space="preserve">ase </w:t>
      </w:r>
      <w:r w:rsidR="022CDC97" w:rsidRPr="0047484D">
        <w:rPr>
          <w:rFonts w:ascii="Arial" w:eastAsia="Arial Nova" w:hAnsi="Arial" w:cs="Arial"/>
          <w:u w:val="single"/>
        </w:rPr>
        <w:t>S</w:t>
      </w:r>
      <w:r w:rsidR="14210F99" w:rsidRPr="0047484D">
        <w:rPr>
          <w:rFonts w:ascii="Arial" w:eastAsia="Arial Nova" w:hAnsi="Arial" w:cs="Arial"/>
          <w:u w:val="single"/>
        </w:rPr>
        <w:t>tu</w:t>
      </w:r>
      <w:r w:rsidR="42A29C27" w:rsidRPr="0047484D">
        <w:rPr>
          <w:rFonts w:ascii="Arial" w:eastAsia="Arial Nova" w:hAnsi="Arial" w:cs="Arial"/>
          <w:u w:val="single"/>
        </w:rPr>
        <w:t>dy</w:t>
      </w:r>
    </w:p>
    <w:p w14:paraId="2961B12B" w14:textId="77777777" w:rsidR="03ED8E22" w:rsidRPr="0047484D" w:rsidRDefault="00000000" w:rsidP="0047484D">
      <w:pPr>
        <w:spacing w:line="480" w:lineRule="auto"/>
        <w:rPr>
          <w:rFonts w:ascii="Arial" w:eastAsia="Arial Nova" w:hAnsi="Arial" w:cs="Arial"/>
        </w:rPr>
      </w:pPr>
      <w:r w:rsidRPr="0047484D">
        <w:rPr>
          <w:rFonts w:ascii="Arial" w:eastAsia="Arial Nova" w:hAnsi="Arial" w:cs="Arial"/>
        </w:rPr>
        <w:t xml:space="preserve">Case study research is a qualitative research approach that </w:t>
      </w:r>
      <w:r w:rsidR="2488350C" w:rsidRPr="0047484D">
        <w:rPr>
          <w:rFonts w:ascii="Arial" w:eastAsia="Arial Nova" w:hAnsi="Arial" w:cs="Arial"/>
        </w:rPr>
        <w:t xml:space="preserve">involves </w:t>
      </w:r>
      <w:r w:rsidRPr="0047484D">
        <w:rPr>
          <w:rFonts w:ascii="Arial" w:eastAsia="Arial Nova" w:hAnsi="Arial" w:cs="Arial"/>
        </w:rPr>
        <w:t xml:space="preserve">investigating a specific </w:t>
      </w:r>
      <w:r w:rsidR="3C4E6A4F" w:rsidRPr="0047484D">
        <w:rPr>
          <w:rFonts w:ascii="Arial" w:eastAsia="Arial Nova" w:hAnsi="Arial" w:cs="Arial"/>
        </w:rPr>
        <w:t>occurrence</w:t>
      </w:r>
      <w:r w:rsidRPr="0047484D">
        <w:rPr>
          <w:rFonts w:ascii="Arial" w:eastAsia="Arial Nova" w:hAnsi="Arial" w:cs="Arial"/>
        </w:rPr>
        <w:t xml:space="preserve"> within its authentic</w:t>
      </w:r>
      <w:r w:rsidR="66EECA26" w:rsidRPr="0047484D">
        <w:rPr>
          <w:rFonts w:ascii="Arial" w:eastAsia="Arial Nova" w:hAnsi="Arial" w:cs="Arial"/>
        </w:rPr>
        <w:t xml:space="preserve"> </w:t>
      </w:r>
      <w:r w:rsidRPr="0047484D">
        <w:rPr>
          <w:rFonts w:ascii="Arial" w:eastAsia="Arial Nova" w:hAnsi="Arial" w:cs="Arial"/>
        </w:rPr>
        <w:t>context</w:t>
      </w:r>
      <w:r w:rsidR="3DA8B435" w:rsidRPr="0047484D">
        <w:rPr>
          <w:rFonts w:ascii="Arial" w:eastAsia="Arial Nova" w:hAnsi="Arial" w:cs="Arial"/>
        </w:rPr>
        <w:t xml:space="preserve"> </w:t>
      </w:r>
      <w:r w:rsidRPr="0047484D">
        <w:rPr>
          <w:rFonts w:ascii="Arial" w:eastAsia="Arial Nova" w:hAnsi="Arial" w:cs="Arial"/>
        </w:rPr>
        <w:t>(</w:t>
      </w:r>
      <w:r w:rsidR="5682CDB8" w:rsidRPr="0047484D">
        <w:rPr>
          <w:rFonts w:ascii="Arial" w:eastAsia="Arial Nova" w:hAnsi="Arial" w:cs="Arial"/>
        </w:rPr>
        <w:t xml:space="preserve">Simons, 2009; </w:t>
      </w:r>
      <w:r w:rsidR="171A8489" w:rsidRPr="0047484D">
        <w:rPr>
          <w:rFonts w:ascii="Arial" w:eastAsia="Arial Nova" w:hAnsi="Arial" w:cs="Arial"/>
        </w:rPr>
        <w:t xml:space="preserve">Thomas, 2011 &amp; </w:t>
      </w:r>
      <w:r w:rsidRPr="0047484D">
        <w:rPr>
          <w:rFonts w:ascii="Arial" w:eastAsia="Arial Nova" w:hAnsi="Arial" w:cs="Arial"/>
        </w:rPr>
        <w:t xml:space="preserve">Yin, 2018). Researchers </w:t>
      </w:r>
      <w:r w:rsidR="165F022F" w:rsidRPr="0047484D">
        <w:rPr>
          <w:rFonts w:ascii="Arial" w:eastAsia="Arial Nova" w:hAnsi="Arial" w:cs="Arial"/>
        </w:rPr>
        <w:t xml:space="preserve">use </w:t>
      </w:r>
      <w:r w:rsidRPr="0047484D">
        <w:rPr>
          <w:rFonts w:ascii="Arial" w:eastAsia="Arial Nova" w:hAnsi="Arial" w:cs="Arial"/>
        </w:rPr>
        <w:t xml:space="preserve">this method to explore intricate issues or phenomena in their natural settings, </w:t>
      </w:r>
      <w:r w:rsidR="1370F087" w:rsidRPr="0047484D">
        <w:rPr>
          <w:rFonts w:ascii="Arial" w:eastAsia="Arial Nova" w:hAnsi="Arial" w:cs="Arial"/>
        </w:rPr>
        <w:t>aiming to provide</w:t>
      </w:r>
      <w:r w:rsidRPr="0047484D">
        <w:rPr>
          <w:rFonts w:ascii="Arial" w:eastAsia="Arial Nova" w:hAnsi="Arial" w:cs="Arial"/>
        </w:rPr>
        <w:t xml:space="preserve"> comprehensive and detailed insights into the subject of study</w:t>
      </w:r>
      <w:r w:rsidR="0AD8BACF" w:rsidRPr="0047484D">
        <w:rPr>
          <w:rFonts w:ascii="Arial" w:eastAsia="Arial Nova" w:hAnsi="Arial" w:cs="Arial"/>
        </w:rPr>
        <w:t xml:space="preserve"> </w:t>
      </w:r>
      <w:r w:rsidRPr="0047484D">
        <w:rPr>
          <w:rFonts w:ascii="Arial" w:eastAsia="Arial Nova" w:hAnsi="Arial" w:cs="Arial"/>
        </w:rPr>
        <w:t>(</w:t>
      </w:r>
      <w:r w:rsidR="106DFCC7" w:rsidRPr="0047484D">
        <w:rPr>
          <w:rFonts w:ascii="Arial" w:eastAsia="Arial Nova" w:hAnsi="Arial" w:cs="Arial"/>
        </w:rPr>
        <w:t xml:space="preserve">Merriam, 2009, &amp; </w:t>
      </w:r>
      <w:r w:rsidRPr="0047484D">
        <w:rPr>
          <w:rFonts w:ascii="Arial" w:eastAsia="Arial Nova" w:hAnsi="Arial" w:cs="Arial"/>
        </w:rPr>
        <w:t xml:space="preserve">Baxter </w:t>
      </w:r>
      <w:r w:rsidR="101FCA80" w:rsidRPr="0047484D">
        <w:rPr>
          <w:rFonts w:ascii="Arial" w:eastAsia="Arial Nova" w:hAnsi="Arial" w:cs="Arial"/>
        </w:rPr>
        <w:t>and</w:t>
      </w:r>
      <w:r w:rsidRPr="0047484D">
        <w:rPr>
          <w:rFonts w:ascii="Arial" w:eastAsia="Arial Nova" w:hAnsi="Arial" w:cs="Arial"/>
        </w:rPr>
        <w:t xml:space="preserve"> Jack, 20</w:t>
      </w:r>
      <w:r w:rsidR="78F5C3B0" w:rsidRPr="0047484D">
        <w:rPr>
          <w:rFonts w:ascii="Arial" w:eastAsia="Arial Nova" w:hAnsi="Arial" w:cs="Arial"/>
        </w:rPr>
        <w:t>15</w:t>
      </w:r>
      <w:r w:rsidRPr="0047484D">
        <w:rPr>
          <w:rFonts w:ascii="Arial" w:eastAsia="Arial Nova" w:hAnsi="Arial" w:cs="Arial"/>
        </w:rPr>
        <w:t>).</w:t>
      </w:r>
    </w:p>
    <w:p w14:paraId="23D67B2A" w14:textId="77777777" w:rsidR="3517402E"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w:t>
      </w:r>
      <w:r w:rsidR="65F63657" w:rsidRPr="0047484D">
        <w:rPr>
          <w:rFonts w:ascii="Arial" w:eastAsia="Arial Nova" w:hAnsi="Arial" w:cs="Arial"/>
        </w:rPr>
        <w:t>primary</w:t>
      </w:r>
      <w:r w:rsidRPr="0047484D">
        <w:rPr>
          <w:rFonts w:ascii="Arial" w:eastAsia="Arial Nova" w:hAnsi="Arial" w:cs="Arial"/>
        </w:rPr>
        <w:t xml:space="preserve"> purpose of using a case study approach is to gain a diverse understanding of a specific context, phenomenon, or situation (</w:t>
      </w:r>
      <w:r w:rsidR="1057024E" w:rsidRPr="0047484D">
        <w:rPr>
          <w:rFonts w:ascii="Arial" w:eastAsia="Arial Nova" w:hAnsi="Arial" w:cs="Arial"/>
        </w:rPr>
        <w:t>Eisenhardt, 1989</w:t>
      </w:r>
      <w:r w:rsidR="68CFC9D5" w:rsidRPr="0047484D">
        <w:rPr>
          <w:rFonts w:ascii="Arial" w:eastAsia="Arial Nova" w:hAnsi="Arial" w:cs="Arial"/>
        </w:rPr>
        <w:t xml:space="preserve">; </w:t>
      </w:r>
      <w:r w:rsidRPr="0047484D">
        <w:rPr>
          <w:rFonts w:ascii="Arial" w:eastAsia="Arial Nova" w:hAnsi="Arial" w:cs="Arial"/>
        </w:rPr>
        <w:t>Stake, 2005</w:t>
      </w:r>
      <w:r w:rsidR="657AE744" w:rsidRPr="0047484D">
        <w:rPr>
          <w:rFonts w:ascii="Arial" w:eastAsia="Arial Nova" w:hAnsi="Arial" w:cs="Arial"/>
        </w:rPr>
        <w:t>, &amp; Thomas, 2021</w:t>
      </w:r>
      <w:r w:rsidRPr="0047484D">
        <w:rPr>
          <w:rFonts w:ascii="Arial" w:eastAsia="Arial Nova" w:hAnsi="Arial" w:cs="Arial"/>
        </w:rPr>
        <w:t>).</w:t>
      </w:r>
      <w:r w:rsidR="2ED37D94" w:rsidRPr="0047484D">
        <w:rPr>
          <w:rFonts w:ascii="Arial" w:eastAsia="Arial Nova" w:hAnsi="Arial" w:cs="Arial"/>
        </w:rPr>
        <w:t xml:space="preserve"> By employing this approach, researchers delve into the intricacies and dynamics of a particular case, revealing </w:t>
      </w:r>
      <w:r w:rsidR="2421FF3D" w:rsidRPr="0047484D">
        <w:rPr>
          <w:rFonts w:ascii="Arial" w:eastAsia="Arial Nova" w:hAnsi="Arial" w:cs="Arial"/>
        </w:rPr>
        <w:t>underlying relationships</w:t>
      </w:r>
      <w:r w:rsidR="2ED37D94" w:rsidRPr="0047484D">
        <w:rPr>
          <w:rFonts w:ascii="Arial" w:eastAsia="Arial Nova" w:hAnsi="Arial" w:cs="Arial"/>
        </w:rPr>
        <w:t>, patterns, and processes</w:t>
      </w:r>
      <w:r w:rsidR="1FFD62A8" w:rsidRPr="0047484D">
        <w:rPr>
          <w:rFonts w:ascii="Arial" w:eastAsia="Arial Nova" w:hAnsi="Arial" w:cs="Arial"/>
        </w:rPr>
        <w:t xml:space="preserve"> </w:t>
      </w:r>
      <w:r w:rsidR="2ED37D94" w:rsidRPr="0047484D">
        <w:rPr>
          <w:rFonts w:ascii="Arial" w:eastAsia="Arial Nova" w:hAnsi="Arial" w:cs="Arial"/>
        </w:rPr>
        <w:t>(</w:t>
      </w:r>
      <w:r w:rsidR="73B3871F" w:rsidRPr="0047484D">
        <w:rPr>
          <w:rFonts w:ascii="Arial" w:eastAsia="Arial Nova" w:hAnsi="Arial" w:cs="Arial"/>
        </w:rPr>
        <w:t>Flyvbjerg, 2006;</w:t>
      </w:r>
      <w:r w:rsidR="16CFC012" w:rsidRPr="0047484D">
        <w:rPr>
          <w:rFonts w:ascii="Arial" w:eastAsia="Arial Nova" w:hAnsi="Arial" w:cs="Arial"/>
        </w:rPr>
        <w:t xml:space="preserve"> Denzin</w:t>
      </w:r>
      <w:r w:rsidR="71C23211" w:rsidRPr="0047484D">
        <w:rPr>
          <w:rFonts w:ascii="Arial" w:eastAsia="Arial Nova" w:hAnsi="Arial" w:cs="Arial"/>
        </w:rPr>
        <w:t xml:space="preserve"> and</w:t>
      </w:r>
      <w:r w:rsidR="16CFC012" w:rsidRPr="0047484D">
        <w:rPr>
          <w:rFonts w:ascii="Arial" w:eastAsia="Arial Nova" w:hAnsi="Arial" w:cs="Arial"/>
        </w:rPr>
        <w:t xml:space="preserve"> </w:t>
      </w:r>
      <w:r w:rsidR="7F2A1261" w:rsidRPr="0047484D">
        <w:rPr>
          <w:rFonts w:ascii="Arial" w:eastAsia="Arial Nova" w:hAnsi="Arial" w:cs="Arial"/>
        </w:rPr>
        <w:t>Lincoln, 20</w:t>
      </w:r>
      <w:r w:rsidR="126FBF79" w:rsidRPr="0047484D">
        <w:rPr>
          <w:rFonts w:ascii="Arial" w:eastAsia="Arial Nova" w:hAnsi="Arial" w:cs="Arial"/>
        </w:rPr>
        <w:t>11</w:t>
      </w:r>
      <w:r w:rsidR="7F2A1261" w:rsidRPr="0047484D">
        <w:rPr>
          <w:rFonts w:ascii="Arial" w:eastAsia="Arial Nova" w:hAnsi="Arial" w:cs="Arial"/>
        </w:rPr>
        <w:t xml:space="preserve">, &amp; </w:t>
      </w:r>
      <w:r w:rsidR="2ED37D94" w:rsidRPr="0047484D">
        <w:rPr>
          <w:rFonts w:ascii="Arial" w:eastAsia="Arial Nova" w:hAnsi="Arial" w:cs="Arial"/>
        </w:rPr>
        <w:t>Merriam, 2009).</w:t>
      </w:r>
      <w:r w:rsidR="0E5BB433" w:rsidRPr="0047484D">
        <w:rPr>
          <w:rFonts w:ascii="Arial" w:eastAsia="Arial Nova" w:hAnsi="Arial" w:cs="Arial"/>
        </w:rPr>
        <w:t xml:space="preserve"> Case studies prove particularly valuable when investigating complex and multifaceted issues, where </w:t>
      </w:r>
      <w:r w:rsidR="0E5BB433" w:rsidRPr="0047484D">
        <w:rPr>
          <w:rFonts w:ascii="Arial" w:eastAsia="Arial Nova" w:hAnsi="Arial" w:cs="Arial"/>
        </w:rPr>
        <w:lastRenderedPageBreak/>
        <w:t>context plays a pivotal role (</w:t>
      </w:r>
      <w:r w:rsidR="1C5E1D0B" w:rsidRPr="0047484D">
        <w:rPr>
          <w:rFonts w:ascii="Arial" w:eastAsia="Arial Nova" w:hAnsi="Arial" w:cs="Arial"/>
        </w:rPr>
        <w:t>Gerring, 2007;</w:t>
      </w:r>
      <w:r w:rsidR="374CF992" w:rsidRPr="0047484D">
        <w:rPr>
          <w:rFonts w:ascii="Arial" w:eastAsia="Arial Nova" w:hAnsi="Arial" w:cs="Arial"/>
        </w:rPr>
        <w:t xml:space="preserve"> George, Bennett, and Mahoney, 2010, &amp;</w:t>
      </w:r>
      <w:r w:rsidR="1C5E1D0B" w:rsidRPr="0047484D">
        <w:rPr>
          <w:rFonts w:ascii="Arial" w:eastAsia="Arial Nova" w:hAnsi="Arial" w:cs="Arial"/>
        </w:rPr>
        <w:t xml:space="preserve"> </w:t>
      </w:r>
      <w:r w:rsidR="0E5BB433" w:rsidRPr="0047484D">
        <w:rPr>
          <w:rFonts w:ascii="Arial" w:eastAsia="Arial Nova" w:hAnsi="Arial" w:cs="Arial"/>
        </w:rPr>
        <w:t>Yin, 2018)</w:t>
      </w:r>
      <w:r w:rsidR="552F8676" w:rsidRPr="0047484D">
        <w:rPr>
          <w:rFonts w:ascii="Arial" w:eastAsia="Arial Nova" w:hAnsi="Arial" w:cs="Arial"/>
        </w:rPr>
        <w:t>.</w:t>
      </w:r>
    </w:p>
    <w:p w14:paraId="763FCB1A" w14:textId="77777777" w:rsidR="06A3C3BF" w:rsidRPr="0047484D" w:rsidRDefault="00000000" w:rsidP="0047484D">
      <w:pPr>
        <w:spacing w:line="480" w:lineRule="auto"/>
        <w:rPr>
          <w:rFonts w:ascii="Arial" w:eastAsia="Arial Nova" w:hAnsi="Arial" w:cs="Arial"/>
        </w:rPr>
      </w:pPr>
      <w:r w:rsidRPr="0047484D">
        <w:rPr>
          <w:rFonts w:ascii="Arial" w:eastAsia="Arial Nova" w:hAnsi="Arial" w:cs="Arial"/>
        </w:rPr>
        <w:t xml:space="preserve">A notable strength of case study research is its ability to provide detailed, contextually rich data (Baxter </w:t>
      </w:r>
      <w:r w:rsidR="0047484D">
        <w:rPr>
          <w:rFonts w:ascii="Arial" w:eastAsia="Arial Nova" w:hAnsi="Arial" w:cs="Arial"/>
        </w:rPr>
        <w:t>&amp;</w:t>
      </w:r>
      <w:r w:rsidRPr="0047484D">
        <w:rPr>
          <w:rFonts w:ascii="Arial" w:eastAsia="Arial Nova" w:hAnsi="Arial" w:cs="Arial"/>
        </w:rPr>
        <w:t xml:space="preserve"> Jack, 2008; Thomas, 2011, &amp; Yin, 2018). </w:t>
      </w:r>
      <w:r w:rsidR="0047484D">
        <w:rPr>
          <w:rFonts w:ascii="Arial" w:eastAsia="Arial Nova" w:hAnsi="Arial" w:cs="Arial"/>
        </w:rPr>
        <w:t>Researchers can thoroughly explore the subject by focusing on a single case or a limited number of cases</w:t>
      </w:r>
      <w:r w:rsidRPr="0047484D">
        <w:rPr>
          <w:rFonts w:ascii="Arial" w:eastAsia="Arial Nova" w:hAnsi="Arial" w:cs="Arial"/>
        </w:rPr>
        <w:t xml:space="preserve">, uncovering nuances and subtleties that quantitative approaches may not capture (Stake, 2005; </w:t>
      </w:r>
      <w:r w:rsidR="7DEFEB49" w:rsidRPr="0047484D">
        <w:rPr>
          <w:rFonts w:ascii="Arial" w:eastAsia="Arial Nova" w:hAnsi="Arial" w:cs="Arial"/>
        </w:rPr>
        <w:t>Baxter and Jack, 2008, &amp; Merriam, 2009</w:t>
      </w:r>
      <w:r w:rsidRPr="0047484D">
        <w:rPr>
          <w:rFonts w:ascii="Arial" w:eastAsia="Arial Nova" w:hAnsi="Arial" w:cs="Arial"/>
        </w:rPr>
        <w:t xml:space="preserve">). Additionally, case studies facilitate the exploration of unique or rare situations, offering valuable insights for theory development and practical applications (Eisenhardt, 1989; </w:t>
      </w:r>
      <w:r w:rsidR="0FC08FC0" w:rsidRPr="0047484D">
        <w:rPr>
          <w:rFonts w:ascii="Arial" w:eastAsia="Arial Nova" w:hAnsi="Arial" w:cs="Arial"/>
        </w:rPr>
        <w:t xml:space="preserve">Stake, 2005, &amp; </w:t>
      </w:r>
      <w:r w:rsidRPr="0047484D">
        <w:rPr>
          <w:rFonts w:ascii="Arial" w:eastAsia="Arial Nova" w:hAnsi="Arial" w:cs="Arial"/>
        </w:rPr>
        <w:t xml:space="preserve">Yin, 2018). The flexibility and adaptability inherent in case study research allow researchers to employ diverse data collection methods, including interviews, observations, and document analysis (Flyvbjerg, 2006; </w:t>
      </w:r>
      <w:r w:rsidR="0959F95C" w:rsidRPr="0047484D">
        <w:rPr>
          <w:rFonts w:ascii="Arial" w:eastAsia="Arial Nova" w:hAnsi="Arial" w:cs="Arial"/>
        </w:rPr>
        <w:t>Denzin</w:t>
      </w:r>
      <w:r w:rsidR="70543CD5" w:rsidRPr="0047484D">
        <w:rPr>
          <w:rFonts w:ascii="Arial" w:eastAsia="Arial Nova" w:hAnsi="Arial" w:cs="Arial"/>
        </w:rPr>
        <w:t xml:space="preserve"> </w:t>
      </w:r>
      <w:r w:rsidR="0047484D">
        <w:rPr>
          <w:rFonts w:ascii="Arial" w:eastAsia="Arial Nova" w:hAnsi="Arial" w:cs="Arial"/>
        </w:rPr>
        <w:t>&amp;</w:t>
      </w:r>
      <w:r w:rsidR="0959F95C" w:rsidRPr="0047484D">
        <w:rPr>
          <w:rFonts w:ascii="Arial" w:eastAsia="Arial Nova" w:hAnsi="Arial" w:cs="Arial"/>
        </w:rPr>
        <w:t xml:space="preserve"> Lincoln, 20</w:t>
      </w:r>
      <w:r w:rsidR="028C4AF2" w:rsidRPr="0047484D">
        <w:rPr>
          <w:rFonts w:ascii="Arial" w:eastAsia="Arial Nova" w:hAnsi="Arial" w:cs="Arial"/>
        </w:rPr>
        <w:t>11</w:t>
      </w:r>
      <w:r w:rsidR="0047484D">
        <w:rPr>
          <w:rFonts w:ascii="Arial" w:eastAsia="Arial Nova" w:hAnsi="Arial" w:cs="Arial"/>
        </w:rPr>
        <w:t>;</w:t>
      </w:r>
      <w:r w:rsidR="0959F95C" w:rsidRPr="0047484D">
        <w:rPr>
          <w:rFonts w:ascii="Arial" w:eastAsia="Arial Nova" w:hAnsi="Arial" w:cs="Arial"/>
        </w:rPr>
        <w:t xml:space="preserve"> &amp; </w:t>
      </w:r>
      <w:r w:rsidRPr="0047484D">
        <w:rPr>
          <w:rFonts w:ascii="Arial" w:eastAsia="Arial Nova" w:hAnsi="Arial" w:cs="Arial"/>
        </w:rPr>
        <w:t>Merriam, 2009). This methodological versatility enhances the depth and richness of the findings, contributing to the credibility and trustworthiness of the study</w:t>
      </w:r>
      <w:r w:rsidR="44D2AFE8" w:rsidRPr="0047484D">
        <w:rPr>
          <w:rFonts w:ascii="Arial" w:eastAsia="Arial Nova" w:hAnsi="Arial" w:cs="Arial"/>
        </w:rPr>
        <w:t xml:space="preserve"> (Baxter </w:t>
      </w:r>
      <w:r w:rsidR="0047484D">
        <w:rPr>
          <w:rFonts w:ascii="Arial" w:eastAsia="Arial Nova" w:hAnsi="Arial" w:cs="Arial"/>
        </w:rPr>
        <w:t>&amp;</w:t>
      </w:r>
      <w:r w:rsidR="44D2AFE8" w:rsidRPr="0047484D">
        <w:rPr>
          <w:rFonts w:ascii="Arial" w:eastAsia="Arial Nova" w:hAnsi="Arial" w:cs="Arial"/>
        </w:rPr>
        <w:t xml:space="preserve"> Jack, 2008; Thomas, 2011, &amp; Yin, 2018).</w:t>
      </w:r>
    </w:p>
    <w:p w14:paraId="085FA447" w14:textId="77777777" w:rsidR="44D2AFE8" w:rsidRPr="0047484D" w:rsidRDefault="00000000" w:rsidP="0047484D">
      <w:pPr>
        <w:spacing w:line="480" w:lineRule="auto"/>
        <w:rPr>
          <w:rFonts w:ascii="Arial" w:eastAsia="Arial Nova" w:hAnsi="Arial" w:cs="Arial"/>
        </w:rPr>
      </w:pPr>
      <w:r w:rsidRPr="0047484D">
        <w:rPr>
          <w:rFonts w:ascii="Arial" w:eastAsia="Arial Nova" w:hAnsi="Arial" w:cs="Arial"/>
        </w:rPr>
        <w:t>However, d</w:t>
      </w:r>
      <w:r w:rsidR="342FF8DD" w:rsidRPr="0047484D">
        <w:rPr>
          <w:rFonts w:ascii="Arial" w:eastAsia="Arial Nova" w:hAnsi="Arial" w:cs="Arial"/>
        </w:rPr>
        <w:t>espite its strengths, case study research also has some limitations. One fundamental limitation is its potential lack of generalizability (</w:t>
      </w:r>
      <w:r w:rsidR="17B2A5B7" w:rsidRPr="0047484D">
        <w:rPr>
          <w:rFonts w:ascii="Arial" w:eastAsia="Arial Nova" w:hAnsi="Arial" w:cs="Arial"/>
        </w:rPr>
        <w:t>Gerring, 2007; George, Bennett, and Mahoney, 2010</w:t>
      </w:r>
      <w:r w:rsidR="0047484D">
        <w:rPr>
          <w:rFonts w:ascii="Arial" w:eastAsia="Arial Nova" w:hAnsi="Arial" w:cs="Arial"/>
        </w:rPr>
        <w:t xml:space="preserve">; </w:t>
      </w:r>
      <w:r w:rsidR="342FF8DD" w:rsidRPr="0047484D">
        <w:rPr>
          <w:rFonts w:ascii="Arial" w:eastAsia="Arial Nova" w:hAnsi="Arial" w:cs="Arial"/>
        </w:rPr>
        <w:t xml:space="preserve">Yin, 2018). Because case studies typically focus on specific cases or contexts, the findings may not </w:t>
      </w:r>
      <w:r w:rsidR="0047484D">
        <w:rPr>
          <w:rFonts w:ascii="Arial" w:eastAsia="Arial Nova" w:hAnsi="Arial" w:cs="Arial"/>
        </w:rPr>
        <w:t>readily</w:t>
      </w:r>
      <w:r w:rsidR="342FF8DD" w:rsidRPr="0047484D">
        <w:rPr>
          <w:rFonts w:ascii="Arial" w:eastAsia="Arial Nova" w:hAnsi="Arial" w:cs="Arial"/>
        </w:rPr>
        <w:t xml:space="preserve"> apply to other settings or populations (</w:t>
      </w:r>
      <w:r w:rsidR="5AACF477" w:rsidRPr="0047484D">
        <w:rPr>
          <w:rFonts w:ascii="Arial" w:eastAsia="Arial Nova" w:hAnsi="Arial" w:cs="Arial"/>
        </w:rPr>
        <w:t xml:space="preserve">Baxter and Jack, 2008, &amp; </w:t>
      </w:r>
      <w:r w:rsidR="342FF8DD" w:rsidRPr="0047484D">
        <w:rPr>
          <w:rFonts w:ascii="Arial" w:eastAsia="Arial Nova" w:hAnsi="Arial" w:cs="Arial"/>
        </w:rPr>
        <w:t>Stake, 2005). Additionally, the subjective nature of data collection and analysis in case study research may introduce bias or researcher interpretation (</w:t>
      </w:r>
      <w:r w:rsidR="39722001" w:rsidRPr="0047484D">
        <w:rPr>
          <w:rFonts w:ascii="Arial" w:eastAsia="Arial Nova" w:hAnsi="Arial" w:cs="Arial"/>
        </w:rPr>
        <w:t xml:space="preserve">Eisenhardt, 1989 </w:t>
      </w:r>
      <w:r w:rsidR="69C658CB" w:rsidRPr="0047484D">
        <w:rPr>
          <w:rFonts w:ascii="Arial" w:eastAsia="Arial Nova" w:hAnsi="Arial" w:cs="Arial"/>
        </w:rPr>
        <w:t>&amp;</w:t>
      </w:r>
      <w:r w:rsidR="39722001" w:rsidRPr="0047484D">
        <w:rPr>
          <w:rFonts w:ascii="Arial" w:eastAsia="Arial Nova" w:hAnsi="Arial" w:cs="Arial"/>
        </w:rPr>
        <w:t xml:space="preserve"> </w:t>
      </w:r>
      <w:r w:rsidR="342FF8DD" w:rsidRPr="0047484D">
        <w:rPr>
          <w:rFonts w:ascii="Arial" w:eastAsia="Arial Nova" w:hAnsi="Arial" w:cs="Arial"/>
        </w:rPr>
        <w:t>Merriam, 2009).</w:t>
      </w:r>
    </w:p>
    <w:p w14:paraId="582DE6C6" w14:textId="77777777" w:rsidR="7D1479FF"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In this case study, the participants were a lower-ability Year 7 class, </w:t>
      </w:r>
      <w:r w:rsidR="0047484D">
        <w:rPr>
          <w:rFonts w:ascii="Arial" w:eastAsia="Arial Nova" w:hAnsi="Arial" w:cs="Arial"/>
        </w:rPr>
        <w:t>ages</w:t>
      </w:r>
      <w:r w:rsidRPr="0047484D">
        <w:rPr>
          <w:rFonts w:ascii="Arial" w:eastAsia="Arial Nova" w:hAnsi="Arial" w:cs="Arial"/>
        </w:rPr>
        <w:t xml:space="preserve"> 11 to 12. A significant proportion of the students within this class exhibit various forms of </w:t>
      </w:r>
      <w:r w:rsidR="0E3A1EDD" w:rsidRPr="0047484D">
        <w:rPr>
          <w:rFonts w:ascii="Arial" w:eastAsia="Arial Nova" w:hAnsi="Arial" w:cs="Arial"/>
        </w:rPr>
        <w:t>ALN</w:t>
      </w:r>
      <w:r w:rsidRPr="0047484D">
        <w:rPr>
          <w:rFonts w:ascii="Arial" w:eastAsia="Arial Nova" w:hAnsi="Arial" w:cs="Arial"/>
        </w:rPr>
        <w:t xml:space="preserve">, while the rest of the </w:t>
      </w:r>
      <w:r w:rsidR="7EC97BB6" w:rsidRPr="0047484D">
        <w:rPr>
          <w:rFonts w:ascii="Arial" w:eastAsia="Arial Nova" w:hAnsi="Arial" w:cs="Arial"/>
        </w:rPr>
        <w:t xml:space="preserve">pupils were allocated to the </w:t>
      </w:r>
      <w:r w:rsidRPr="0047484D">
        <w:rPr>
          <w:rFonts w:ascii="Arial" w:eastAsia="Arial Nova" w:hAnsi="Arial" w:cs="Arial"/>
        </w:rPr>
        <w:t xml:space="preserve">class due to their lower attainment level. Random sampling was employed to ensure the </w:t>
      </w:r>
      <w:r w:rsidR="0047484D">
        <w:rPr>
          <w:rFonts w:ascii="Arial" w:eastAsia="Arial Nova" w:hAnsi="Arial" w:cs="Arial"/>
        </w:rPr>
        <w:t xml:space="preserve">sample was representative and to </w:t>
      </w:r>
      <w:r w:rsidRPr="0047484D">
        <w:rPr>
          <w:rFonts w:ascii="Arial" w:eastAsia="Arial Nova" w:hAnsi="Arial" w:cs="Arial"/>
        </w:rPr>
        <w:t>mitigate potential bias.</w:t>
      </w:r>
    </w:p>
    <w:p w14:paraId="73FB0F7F" w14:textId="77777777" w:rsidR="7C9B52B0" w:rsidRPr="0047484D" w:rsidRDefault="00000000" w:rsidP="0047484D">
      <w:pPr>
        <w:spacing w:line="480" w:lineRule="auto"/>
        <w:rPr>
          <w:rFonts w:ascii="Arial" w:eastAsia="Arial Nova" w:hAnsi="Arial" w:cs="Arial"/>
        </w:rPr>
      </w:pPr>
      <w:r w:rsidRPr="0047484D">
        <w:rPr>
          <w:rFonts w:ascii="Arial" w:eastAsia="Arial Nova" w:hAnsi="Arial" w:cs="Arial"/>
        </w:rPr>
        <w:t>Random sampling is a fundamental methodological technique used in research to ensure the unbiased selection of participants from a larger population (Bryman, 2016). By randomly selecting participants, researchers can minimi</w:t>
      </w:r>
      <w:r w:rsidR="32EDAADB" w:rsidRPr="0047484D">
        <w:rPr>
          <w:rFonts w:ascii="Arial" w:eastAsia="Arial Nova" w:hAnsi="Arial" w:cs="Arial"/>
        </w:rPr>
        <w:t>s</w:t>
      </w:r>
      <w:r w:rsidRPr="0047484D">
        <w:rPr>
          <w:rFonts w:ascii="Arial" w:eastAsia="Arial Nova" w:hAnsi="Arial" w:cs="Arial"/>
        </w:rPr>
        <w:t>e the risk of systematic bias and increase the generalizability of the study findings (Babbie, 2021). In this case study, random sampling was chosen to ensure that all students in the Year 7 class had an equal chance of being included in the research sample, regardless of their individual characteristics or academic performance. This approach enhances the validity and reliability of the study results, allowing for more robust conclusions about the impact of brain teaser activities on learner engagement in this specific classroom setting.</w:t>
      </w:r>
    </w:p>
    <w:p w14:paraId="018E659D" w14:textId="77777777" w:rsidR="71B89276" w:rsidRPr="0047484D" w:rsidRDefault="71B89276" w:rsidP="0047484D">
      <w:pPr>
        <w:spacing w:line="480" w:lineRule="auto"/>
        <w:rPr>
          <w:rFonts w:ascii="Arial" w:eastAsia="Arial Nova" w:hAnsi="Arial" w:cs="Arial"/>
        </w:rPr>
      </w:pPr>
    </w:p>
    <w:p w14:paraId="4EDCEFDB" w14:textId="77777777" w:rsidR="14210F99" w:rsidRPr="0047484D" w:rsidRDefault="00000000" w:rsidP="0047484D">
      <w:pPr>
        <w:spacing w:line="480" w:lineRule="auto"/>
        <w:rPr>
          <w:rFonts w:ascii="Arial" w:eastAsia="Arial Nova" w:hAnsi="Arial" w:cs="Arial"/>
          <w:highlight w:val="yellow"/>
          <w:u w:val="single"/>
        </w:rPr>
      </w:pPr>
      <w:r w:rsidRPr="0047484D">
        <w:rPr>
          <w:rFonts w:ascii="Arial" w:eastAsia="Arial Nova" w:hAnsi="Arial" w:cs="Arial"/>
          <w:u w:val="single"/>
        </w:rPr>
        <w:t>Research Methods</w:t>
      </w:r>
      <w:r w:rsidR="72FCBEAD" w:rsidRPr="0047484D">
        <w:rPr>
          <w:rFonts w:ascii="Arial" w:eastAsia="Arial Nova" w:hAnsi="Arial" w:cs="Arial"/>
          <w:u w:val="single"/>
        </w:rPr>
        <w:t xml:space="preserve"> </w:t>
      </w:r>
    </w:p>
    <w:p w14:paraId="0CEA8AC4" w14:textId="77777777" w:rsidR="626961E6" w:rsidRPr="0047484D" w:rsidRDefault="00000000" w:rsidP="0047484D">
      <w:pPr>
        <w:spacing w:line="480" w:lineRule="auto"/>
        <w:rPr>
          <w:rFonts w:ascii="Arial" w:eastAsia="Arial Nova" w:hAnsi="Arial" w:cs="Arial"/>
        </w:rPr>
      </w:pPr>
      <w:r w:rsidRPr="0047484D">
        <w:rPr>
          <w:rFonts w:ascii="Arial" w:eastAsia="Arial Nova" w:hAnsi="Arial" w:cs="Arial"/>
        </w:rPr>
        <w:t>This research study employed a combination of observation, questionnaires, and semi-structured interviews to investigate learners' engagement through brain teaser starter activities. Each method was chosen based on its suitability for capturing different aspects of learner engagement and readiness to learn, as supported by existing literature.</w:t>
      </w:r>
    </w:p>
    <w:p w14:paraId="1CDA36DB" w14:textId="77777777" w:rsidR="27D3C7D2" w:rsidRPr="0047484D" w:rsidRDefault="27D3C7D2" w:rsidP="0047484D">
      <w:pPr>
        <w:spacing w:line="480" w:lineRule="auto"/>
        <w:rPr>
          <w:rFonts w:ascii="Arial" w:eastAsia="Arial Nova" w:hAnsi="Arial" w:cs="Arial"/>
        </w:rPr>
      </w:pPr>
    </w:p>
    <w:p w14:paraId="7A772521"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Observation</w:t>
      </w:r>
    </w:p>
    <w:p w14:paraId="47D85E52"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Through observation, researchers can gain insights into the classroom atmosphere, including the interactions between teachers and students, the dynamics among peers, and the overall climate of the learning environment. This aligns with the theoretical emphasis on the significance of positive teacher-pupil relationships and a supportive classroom atmosphere in promoting engagement (Qualifications Wales, 2022). </w:t>
      </w:r>
      <w:r w:rsidR="77767589" w:rsidRPr="0047484D">
        <w:rPr>
          <w:rFonts w:ascii="Arial" w:eastAsia="Arial Nova" w:hAnsi="Arial" w:cs="Arial"/>
        </w:rPr>
        <w:t>The method allows for capturing non-verbal cues and contextual nuances, essential aspects of engagement</w:t>
      </w:r>
      <w:r w:rsidR="16C43D2E" w:rsidRPr="0047484D">
        <w:rPr>
          <w:rFonts w:ascii="Arial" w:eastAsia="Arial Nova" w:hAnsi="Arial" w:cs="Arial"/>
        </w:rPr>
        <w:t>,</w:t>
      </w:r>
      <w:r w:rsidR="77767589" w:rsidRPr="0047484D">
        <w:rPr>
          <w:rFonts w:ascii="Arial" w:eastAsia="Arial Nova" w:hAnsi="Arial" w:cs="Arial"/>
        </w:rPr>
        <w:t xml:space="preserve"> according to Fredricks, Blumenfeld, and Paris (2004) and Skinner and Belmont (1993).</w:t>
      </w:r>
    </w:p>
    <w:p w14:paraId="52A7490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Observation is a </w:t>
      </w:r>
      <w:r w:rsidR="00187FFD" w:rsidRPr="0047484D">
        <w:rPr>
          <w:rFonts w:ascii="Arial" w:eastAsia="Arial Nova" w:hAnsi="Arial" w:cs="Arial"/>
        </w:rPr>
        <w:t xml:space="preserve">qualitative research method </w:t>
      </w:r>
      <w:r w:rsidR="0B357154" w:rsidRPr="0047484D">
        <w:rPr>
          <w:rFonts w:ascii="Arial" w:eastAsia="Arial Nova" w:hAnsi="Arial" w:cs="Arial"/>
        </w:rPr>
        <w:t xml:space="preserve">that </w:t>
      </w:r>
      <w:r w:rsidR="00187FFD" w:rsidRPr="0047484D">
        <w:rPr>
          <w:rFonts w:ascii="Arial" w:eastAsia="Arial Nova" w:hAnsi="Arial" w:cs="Arial"/>
        </w:rPr>
        <w:t>systematically observes and records participants' interactions, behaviours, and events within their natural settings</w:t>
      </w:r>
      <w:r w:rsidR="46ECF9DD" w:rsidRPr="0047484D">
        <w:rPr>
          <w:rFonts w:ascii="Arial" w:eastAsia="Arial Nova" w:hAnsi="Arial" w:cs="Arial"/>
        </w:rPr>
        <w:t xml:space="preserve"> (Flick, 2014)</w:t>
      </w:r>
      <w:r w:rsidR="00187FFD" w:rsidRPr="0047484D">
        <w:rPr>
          <w:rFonts w:ascii="Arial" w:eastAsia="Arial Nova" w:hAnsi="Arial" w:cs="Arial"/>
        </w:rPr>
        <w:t>.</w:t>
      </w:r>
      <w:r w:rsidR="6E475121" w:rsidRPr="0047484D">
        <w:rPr>
          <w:rFonts w:ascii="Arial" w:eastAsia="Arial Nova" w:hAnsi="Arial" w:cs="Arial"/>
        </w:rPr>
        <w:t xml:space="preserve"> The critical advantage of observation lies in its capacity to offer detailed, contextually grounded information</w:t>
      </w:r>
      <w:r w:rsidR="00187FFD" w:rsidRPr="0047484D">
        <w:rPr>
          <w:rFonts w:ascii="Arial" w:eastAsia="Arial Nova" w:hAnsi="Arial" w:cs="Arial"/>
        </w:rPr>
        <w:t>, allowing researchers to gain insights into participants' behavio</w:t>
      </w:r>
      <w:r w:rsidR="3C97DF0A" w:rsidRPr="0047484D">
        <w:rPr>
          <w:rFonts w:ascii="Arial" w:eastAsia="Arial Nova" w:hAnsi="Arial" w:cs="Arial"/>
        </w:rPr>
        <w:t>u</w:t>
      </w:r>
      <w:r w:rsidR="00187FFD" w:rsidRPr="0047484D">
        <w:rPr>
          <w:rFonts w:ascii="Arial" w:eastAsia="Arial Nova" w:hAnsi="Arial" w:cs="Arial"/>
        </w:rPr>
        <w:t xml:space="preserve">rs and experiences as they occur naturally (Cohen </w:t>
      </w:r>
      <w:r w:rsidR="00187FFD" w:rsidRPr="0047484D">
        <w:rPr>
          <w:rFonts w:ascii="Arial" w:eastAsia="Arial Nova" w:hAnsi="Arial" w:cs="Arial"/>
          <w:i/>
          <w:iCs/>
        </w:rPr>
        <w:t>et al.</w:t>
      </w:r>
      <w:r w:rsidR="00187FFD" w:rsidRPr="0047484D">
        <w:rPr>
          <w:rFonts w:ascii="Arial" w:eastAsia="Arial Nova" w:hAnsi="Arial" w:cs="Arial"/>
        </w:rPr>
        <w:t>, 2011</w:t>
      </w:r>
      <w:r w:rsidR="7405CCC8" w:rsidRPr="0047484D">
        <w:rPr>
          <w:rFonts w:ascii="Arial" w:eastAsia="Arial Nova" w:hAnsi="Arial" w:cs="Arial"/>
        </w:rPr>
        <w:t xml:space="preserve"> &amp;</w:t>
      </w:r>
      <w:r w:rsidR="00187FFD" w:rsidRPr="0047484D">
        <w:rPr>
          <w:rFonts w:ascii="Arial" w:eastAsia="Arial Nova" w:hAnsi="Arial" w:cs="Arial"/>
        </w:rPr>
        <w:t xml:space="preserve"> Braun </w:t>
      </w:r>
      <w:r w:rsidR="08491894" w:rsidRPr="0047484D">
        <w:rPr>
          <w:rFonts w:ascii="Arial" w:eastAsia="Arial Nova" w:hAnsi="Arial" w:cs="Arial"/>
        </w:rPr>
        <w:t>and</w:t>
      </w:r>
      <w:r w:rsidR="00187FFD" w:rsidRPr="0047484D">
        <w:rPr>
          <w:rFonts w:ascii="Arial" w:eastAsia="Arial Nova" w:hAnsi="Arial" w:cs="Arial"/>
        </w:rPr>
        <w:t xml:space="preserve"> Clarke, 2006). Additionally, observation enables researchers to capture non-verbal cues and subtle nuances that may not be conveyed through other data collection methods </w:t>
      </w:r>
      <w:r w:rsidR="49A32F7A" w:rsidRPr="0047484D">
        <w:rPr>
          <w:rFonts w:ascii="Arial" w:eastAsia="Arial Nova" w:hAnsi="Arial" w:cs="Arial"/>
        </w:rPr>
        <w:t xml:space="preserve">(Downey, Hammersley, and Atkinson, 2012. &amp; </w:t>
      </w:r>
      <w:r w:rsidR="00187FFD" w:rsidRPr="0047484D">
        <w:rPr>
          <w:rFonts w:ascii="Arial" w:eastAsia="Arial Nova" w:hAnsi="Arial" w:cs="Arial"/>
        </w:rPr>
        <w:t xml:space="preserve">Maguire </w:t>
      </w:r>
      <w:r w:rsidR="560A2325" w:rsidRPr="0047484D">
        <w:rPr>
          <w:rFonts w:ascii="Arial" w:eastAsia="Arial Nova" w:hAnsi="Arial" w:cs="Arial"/>
        </w:rPr>
        <w:t xml:space="preserve">and </w:t>
      </w:r>
      <w:r w:rsidR="00187FFD" w:rsidRPr="0047484D">
        <w:rPr>
          <w:rFonts w:ascii="Arial" w:eastAsia="Arial Nova" w:hAnsi="Arial" w:cs="Arial"/>
        </w:rPr>
        <w:t xml:space="preserve">Delahunt, 2017). </w:t>
      </w:r>
    </w:p>
    <w:p w14:paraId="76A97831"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However, observational studies may be subject to observer bias, where the researcher's interpretations and preconceptions influence data collection and analysis</w:t>
      </w:r>
      <w:r w:rsidR="4B583131" w:rsidRPr="0047484D">
        <w:rPr>
          <w:rFonts w:ascii="Arial" w:eastAsia="Arial Nova" w:hAnsi="Arial" w:cs="Arial"/>
        </w:rPr>
        <w:t xml:space="preserve"> (Denzin</w:t>
      </w:r>
      <w:r w:rsidR="24883F10" w:rsidRPr="0047484D">
        <w:rPr>
          <w:rFonts w:ascii="Arial" w:eastAsia="Arial Nova" w:hAnsi="Arial" w:cs="Arial"/>
        </w:rPr>
        <w:t xml:space="preserve"> </w:t>
      </w:r>
      <w:r w:rsidR="0047484D">
        <w:rPr>
          <w:rFonts w:ascii="Arial" w:eastAsia="Arial Nova" w:hAnsi="Arial" w:cs="Arial"/>
        </w:rPr>
        <w:t>&amp;</w:t>
      </w:r>
      <w:r w:rsidR="24883F10" w:rsidRPr="0047484D">
        <w:rPr>
          <w:rFonts w:ascii="Arial" w:eastAsia="Arial Nova" w:hAnsi="Arial" w:cs="Arial"/>
        </w:rPr>
        <w:t xml:space="preserve"> </w:t>
      </w:r>
      <w:r w:rsidR="4B583131" w:rsidRPr="0047484D">
        <w:rPr>
          <w:rFonts w:ascii="Arial" w:eastAsia="Arial Nova" w:hAnsi="Arial" w:cs="Arial"/>
        </w:rPr>
        <w:t>Lincoln, 20</w:t>
      </w:r>
      <w:r w:rsidR="5962A3E0" w:rsidRPr="0047484D">
        <w:rPr>
          <w:rFonts w:ascii="Arial" w:eastAsia="Arial Nova" w:hAnsi="Arial" w:cs="Arial"/>
        </w:rPr>
        <w:t>11</w:t>
      </w:r>
      <w:r w:rsidR="4B583131" w:rsidRPr="0047484D">
        <w:rPr>
          <w:rFonts w:ascii="Arial" w:eastAsia="Arial Nova" w:hAnsi="Arial" w:cs="Arial"/>
        </w:rPr>
        <w:t>)</w:t>
      </w:r>
      <w:r w:rsidRPr="0047484D">
        <w:rPr>
          <w:rFonts w:ascii="Arial" w:eastAsia="Arial Nova" w:hAnsi="Arial" w:cs="Arial"/>
        </w:rPr>
        <w:t>. Furthermore, observation may not capture the full range of participant experiences, as certain behavio</w:t>
      </w:r>
      <w:r w:rsidR="266FB3A0" w:rsidRPr="0047484D">
        <w:rPr>
          <w:rFonts w:ascii="Arial" w:eastAsia="Arial Nova" w:hAnsi="Arial" w:cs="Arial"/>
        </w:rPr>
        <w:t>u</w:t>
      </w:r>
      <w:r w:rsidRPr="0047484D">
        <w:rPr>
          <w:rFonts w:ascii="Arial" w:eastAsia="Arial Nova" w:hAnsi="Arial" w:cs="Arial"/>
        </w:rPr>
        <w:t xml:space="preserve">rs may occur infrequently or in specific contexts that are not observed (Cohen </w:t>
      </w:r>
      <w:r w:rsidRPr="0047484D">
        <w:rPr>
          <w:rFonts w:ascii="Arial" w:eastAsia="Arial Nova" w:hAnsi="Arial" w:cs="Arial"/>
          <w:i/>
          <w:iCs/>
        </w:rPr>
        <w:t>et al</w:t>
      </w:r>
      <w:r w:rsidRPr="0047484D">
        <w:rPr>
          <w:rFonts w:ascii="Arial" w:eastAsia="Arial Nova" w:hAnsi="Arial" w:cs="Arial"/>
        </w:rPr>
        <w:t>., 2011</w:t>
      </w:r>
      <w:r w:rsidR="6C05BE98" w:rsidRPr="0047484D">
        <w:rPr>
          <w:rFonts w:ascii="Arial" w:eastAsia="Arial Nova" w:hAnsi="Arial" w:cs="Arial"/>
        </w:rPr>
        <w:t>, &amp; Downey, Hammersley, and Atkinson, 2012</w:t>
      </w:r>
      <w:r w:rsidRPr="0047484D">
        <w:rPr>
          <w:rFonts w:ascii="Arial" w:eastAsia="Arial Nova" w:hAnsi="Arial" w:cs="Arial"/>
        </w:rPr>
        <w:t xml:space="preserve">). </w:t>
      </w:r>
    </w:p>
    <w:p w14:paraId="5E74EA28"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This study conducted observations during the initial 15 minutes of each class session to capture the phenomenon of disengagement at the start of lessons (Baxter &amp; Jack, 2008). The observation schedule was designed to document various facets of engagement, including student participation levels, teacher instructional strategies, and the use of brain teaser activities</w:t>
      </w:r>
      <w:r w:rsidR="002D3FC7">
        <w:rPr>
          <w:rFonts w:ascii="Arial" w:eastAsia="Arial Nova" w:hAnsi="Arial" w:cs="Arial"/>
        </w:rPr>
        <w:t xml:space="preserve"> (Appendix </w:t>
      </w:r>
      <w:r w:rsidR="003E1D0E">
        <w:rPr>
          <w:rFonts w:ascii="Arial" w:eastAsia="Arial Nova" w:hAnsi="Arial" w:cs="Arial"/>
        </w:rPr>
        <w:t>E)</w:t>
      </w:r>
      <w:r w:rsidRPr="0047484D">
        <w:rPr>
          <w:rFonts w:ascii="Arial" w:eastAsia="Arial Nova" w:hAnsi="Arial" w:cs="Arial"/>
        </w:rPr>
        <w:t>. The use of open-ended observational notes allowed for the recording of nuanced behavio</w:t>
      </w:r>
      <w:r w:rsidR="344515A7" w:rsidRPr="0047484D">
        <w:rPr>
          <w:rFonts w:ascii="Arial" w:eastAsia="Arial Nova" w:hAnsi="Arial" w:cs="Arial"/>
        </w:rPr>
        <w:t>u</w:t>
      </w:r>
      <w:r w:rsidRPr="0047484D">
        <w:rPr>
          <w:rFonts w:ascii="Arial" w:eastAsia="Arial Nova" w:hAnsi="Arial" w:cs="Arial"/>
        </w:rPr>
        <w:t>rs and contextual factors influencing engagement, aligning with the principles of qualitative observation methods (Denzin &amp; Lincoln, 2011).</w:t>
      </w:r>
    </w:p>
    <w:p w14:paraId="4647F233" w14:textId="77777777" w:rsidR="27D3C7D2" w:rsidRPr="0047484D" w:rsidRDefault="27D3C7D2" w:rsidP="0047484D">
      <w:pPr>
        <w:spacing w:line="480" w:lineRule="auto"/>
        <w:rPr>
          <w:rFonts w:ascii="Arial" w:eastAsia="Arial Nova" w:hAnsi="Arial" w:cs="Arial"/>
        </w:rPr>
      </w:pPr>
    </w:p>
    <w:p w14:paraId="5123570F"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Questionnaires</w:t>
      </w:r>
    </w:p>
    <w:p w14:paraId="53CFADB2" w14:textId="77777777" w:rsidR="06793497" w:rsidRDefault="00000000" w:rsidP="0047484D">
      <w:pPr>
        <w:spacing w:line="480" w:lineRule="auto"/>
        <w:rPr>
          <w:rFonts w:ascii="Arial" w:eastAsia="Arial Nova" w:hAnsi="Arial" w:cs="Arial"/>
        </w:rPr>
      </w:pPr>
      <w:r w:rsidRPr="0047484D">
        <w:rPr>
          <w:rFonts w:ascii="Arial" w:eastAsia="Arial Nova" w:hAnsi="Arial" w:cs="Arial"/>
        </w:rPr>
        <w:t>Questionnaires are a quantitative research method used to gather participant data through structured questions</w:t>
      </w:r>
      <w:r w:rsidR="0767AB28" w:rsidRPr="0047484D">
        <w:rPr>
          <w:rFonts w:ascii="Arial" w:eastAsia="Arial Nova" w:hAnsi="Arial" w:cs="Arial"/>
        </w:rPr>
        <w:t xml:space="preserve"> (Bryman, 2016)</w:t>
      </w:r>
      <w:r w:rsidRPr="0047484D">
        <w:rPr>
          <w:rFonts w:ascii="Arial" w:eastAsia="Arial Nova" w:hAnsi="Arial" w:cs="Arial"/>
        </w:rPr>
        <w:t>.</w:t>
      </w:r>
      <w:r w:rsidR="045D48AC" w:rsidRPr="0047484D">
        <w:rPr>
          <w:rFonts w:ascii="Arial" w:eastAsia="Arial Nova" w:hAnsi="Arial" w:cs="Arial"/>
        </w:rPr>
        <w:t xml:space="preserve"> Questionnaires offer significant advantages due to their cost-effectiveness and ability to quickly and efficiently collect data from large sample sizes</w:t>
      </w:r>
      <w:r w:rsidRPr="0047484D">
        <w:rPr>
          <w:rFonts w:ascii="Arial" w:eastAsia="Arial Nova" w:hAnsi="Arial" w:cs="Arial"/>
        </w:rPr>
        <w:t xml:space="preserve"> (Dikko, 2016 &amp; Brace, 2018)</w:t>
      </w:r>
      <w:r w:rsidR="13E0AB11" w:rsidRPr="0047484D">
        <w:rPr>
          <w:rFonts w:ascii="Arial" w:eastAsia="Arial Nova" w:hAnsi="Arial" w:cs="Arial"/>
        </w:rPr>
        <w:t>. Additionally, questionnaires enable consistent data collection and analysis, making it easier to compare various groups or populations</w:t>
      </w:r>
      <w:r w:rsidR="2815388F" w:rsidRPr="0047484D">
        <w:rPr>
          <w:rFonts w:ascii="Arial" w:eastAsia="Arial Nova" w:hAnsi="Arial" w:cs="Arial"/>
        </w:rPr>
        <w:t xml:space="preserve"> (Bryman, 2016)</w:t>
      </w:r>
      <w:r w:rsidR="4A193578" w:rsidRPr="0047484D">
        <w:rPr>
          <w:rFonts w:ascii="Arial" w:eastAsia="Arial Nova" w:hAnsi="Arial" w:cs="Arial"/>
        </w:rPr>
        <w:t>.</w:t>
      </w:r>
    </w:p>
    <w:p w14:paraId="614757EF" w14:textId="77777777" w:rsidR="00BA5412" w:rsidRPr="0047484D" w:rsidRDefault="00000000" w:rsidP="0047484D">
      <w:pPr>
        <w:spacing w:line="480" w:lineRule="auto"/>
        <w:rPr>
          <w:rFonts w:ascii="Arial" w:eastAsia="Arial Nova" w:hAnsi="Arial" w:cs="Arial"/>
        </w:rPr>
      </w:pPr>
      <w:r w:rsidRPr="00BA5412">
        <w:rPr>
          <w:rFonts w:ascii="Arial" w:eastAsia="Arial Nova" w:hAnsi="Arial" w:cs="Arial"/>
        </w:rPr>
        <w:t xml:space="preserve">For this study, a questionnaire was developed to gather insights into </w:t>
      </w:r>
      <w:r>
        <w:rPr>
          <w:rFonts w:ascii="Arial" w:eastAsia="Arial Nova" w:hAnsi="Arial" w:cs="Arial"/>
        </w:rPr>
        <w:t>learners</w:t>
      </w:r>
      <w:r w:rsidRPr="00BA5412">
        <w:rPr>
          <w:rFonts w:ascii="Arial" w:eastAsia="Arial Nova" w:hAnsi="Arial" w:cs="Arial"/>
        </w:rPr>
        <w:t>' experiences and perceptions regarding brain teaser starter activities</w:t>
      </w:r>
      <w:r w:rsidR="00B26AE0">
        <w:rPr>
          <w:rFonts w:ascii="Arial" w:eastAsia="Arial Nova" w:hAnsi="Arial" w:cs="Arial"/>
        </w:rPr>
        <w:t xml:space="preserve"> (Appendix G)</w:t>
      </w:r>
      <w:r w:rsidRPr="00BA5412">
        <w:rPr>
          <w:rFonts w:ascii="Arial" w:eastAsia="Arial Nova" w:hAnsi="Arial" w:cs="Arial"/>
        </w:rPr>
        <w:t xml:space="preserve">. The questionnaire includes structured questions to assess </w:t>
      </w:r>
      <w:r>
        <w:rPr>
          <w:rFonts w:ascii="Arial" w:eastAsia="Arial Nova" w:hAnsi="Arial" w:cs="Arial"/>
        </w:rPr>
        <w:t>pupils</w:t>
      </w:r>
      <w:r w:rsidRPr="00BA5412">
        <w:rPr>
          <w:rFonts w:ascii="Arial" w:eastAsia="Arial Nova" w:hAnsi="Arial" w:cs="Arial"/>
        </w:rPr>
        <w:t xml:space="preserve">' engagement levels, preferences for brain teasers, experiences with different types of puzzles, and suggestions for improving the activities. The questionnaire was administered to </w:t>
      </w:r>
      <w:r w:rsidR="00B26AE0">
        <w:rPr>
          <w:rFonts w:ascii="Arial" w:eastAsia="Arial Nova" w:hAnsi="Arial" w:cs="Arial"/>
        </w:rPr>
        <w:t>learners</w:t>
      </w:r>
      <w:r w:rsidRPr="00BA5412">
        <w:rPr>
          <w:rFonts w:ascii="Arial" w:eastAsia="Arial Nova" w:hAnsi="Arial" w:cs="Arial"/>
        </w:rPr>
        <w:t xml:space="preserve"> in the Year 7 classroom as part of the research data collection process.</w:t>
      </w:r>
    </w:p>
    <w:p w14:paraId="0905569A"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However, questionnaires may have limitations such as</w:t>
      </w:r>
      <w:r w:rsidR="56B39EFB" w:rsidRPr="0047484D">
        <w:rPr>
          <w:rFonts w:ascii="Arial" w:eastAsia="Arial Nova" w:hAnsi="Arial" w:cs="Arial"/>
        </w:rPr>
        <w:t xml:space="preserve"> </w:t>
      </w:r>
      <w:r w:rsidR="3A0E9237" w:rsidRPr="0047484D">
        <w:rPr>
          <w:rFonts w:ascii="Arial" w:eastAsia="Arial Nova" w:hAnsi="Arial" w:cs="Arial"/>
        </w:rPr>
        <w:t>l</w:t>
      </w:r>
      <w:r w:rsidR="56B39EFB" w:rsidRPr="0047484D">
        <w:rPr>
          <w:rFonts w:ascii="Arial" w:eastAsia="Arial Nova" w:hAnsi="Arial" w:cs="Arial"/>
        </w:rPr>
        <w:t>imited depth in response, respondent bias, and</w:t>
      </w:r>
      <w:r w:rsidRPr="0047484D">
        <w:rPr>
          <w:rFonts w:ascii="Arial" w:eastAsia="Arial Nova" w:hAnsi="Arial" w:cs="Arial"/>
        </w:rPr>
        <w:t xml:space="preserve"> low response rates</w:t>
      </w:r>
      <w:r w:rsidR="4D6891AC" w:rsidRPr="0047484D">
        <w:rPr>
          <w:rFonts w:ascii="Arial" w:eastAsia="Arial Nova" w:hAnsi="Arial" w:cs="Arial"/>
        </w:rPr>
        <w:t xml:space="preserve"> </w:t>
      </w:r>
      <w:r w:rsidRPr="0047484D">
        <w:rPr>
          <w:rFonts w:ascii="Arial" w:eastAsia="Arial Nova" w:hAnsi="Arial" w:cs="Arial"/>
        </w:rPr>
        <w:t xml:space="preserve">(Kvale, 2007). Participants may provide socially desirable responses or skip questions, leading to incomplete or </w:t>
      </w:r>
      <w:r w:rsidR="0047484D">
        <w:rPr>
          <w:rFonts w:ascii="Arial" w:eastAsia="Arial Nova" w:hAnsi="Arial" w:cs="Arial"/>
        </w:rPr>
        <w:t>biased</w:t>
      </w:r>
      <w:r w:rsidRPr="0047484D">
        <w:rPr>
          <w:rFonts w:ascii="Arial" w:eastAsia="Arial Nova" w:hAnsi="Arial" w:cs="Arial"/>
        </w:rPr>
        <w:t xml:space="preserve"> data</w:t>
      </w:r>
      <w:r w:rsidR="3B6443B4" w:rsidRPr="0047484D">
        <w:rPr>
          <w:rFonts w:ascii="Arial" w:eastAsia="Arial Nova" w:hAnsi="Arial" w:cs="Arial"/>
        </w:rPr>
        <w:t xml:space="preserve"> </w:t>
      </w:r>
      <w:r w:rsidR="550BC09C" w:rsidRPr="0047484D">
        <w:rPr>
          <w:rFonts w:ascii="Arial" w:eastAsia="Arial Nova" w:hAnsi="Arial" w:cs="Arial"/>
        </w:rPr>
        <w:t>(Bryman, 2016)</w:t>
      </w:r>
      <w:r w:rsidRPr="0047484D">
        <w:rPr>
          <w:rFonts w:ascii="Arial" w:eastAsia="Arial Nova" w:hAnsi="Arial" w:cs="Arial"/>
        </w:rPr>
        <w:t xml:space="preserve">. Furthermore, the fixed-response format of questionnaires may restrict participants' ability to express nuanced or complex perspectives on the topic under investigation (Brace, 2018). </w:t>
      </w:r>
    </w:p>
    <w:p w14:paraId="2CD7FF34" w14:textId="77777777" w:rsidR="06793497" w:rsidRPr="0047484D" w:rsidRDefault="06793497" w:rsidP="0047484D">
      <w:pPr>
        <w:spacing w:line="480" w:lineRule="auto"/>
        <w:rPr>
          <w:rFonts w:ascii="Arial" w:eastAsia="Arial Nova" w:hAnsi="Arial" w:cs="Arial"/>
        </w:rPr>
      </w:pPr>
    </w:p>
    <w:p w14:paraId="75663CA3"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Semi-Structured Interviews</w:t>
      </w:r>
    </w:p>
    <w:p w14:paraId="6E3135BE"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Small group semi-structured interviews involve interviews with small groups of participants using a flexible interview guide. This method offers several strengths, particularly in its semi-structured format. </w:t>
      </w:r>
      <w:r w:rsidR="0CBDD247" w:rsidRPr="0047484D">
        <w:rPr>
          <w:rFonts w:ascii="Arial" w:eastAsia="Arial Nova" w:hAnsi="Arial" w:cs="Arial"/>
        </w:rPr>
        <w:t>Semi-structured interviews allow for a balance between flexibility and guidance, enabling researchers to maintain consistency across multiple interviews while exploring participants' perspectives (Kvale, 2007).</w:t>
      </w:r>
      <w:r w:rsidRPr="0047484D">
        <w:rPr>
          <w:rFonts w:ascii="Arial" w:eastAsia="Arial Nova" w:hAnsi="Arial" w:cs="Arial"/>
        </w:rPr>
        <w:t xml:space="preserve"> </w:t>
      </w:r>
      <w:r w:rsidR="0047484D">
        <w:rPr>
          <w:rFonts w:ascii="Arial" w:eastAsia="Arial Nova" w:hAnsi="Arial" w:cs="Arial"/>
        </w:rPr>
        <w:t xml:space="preserve">Using an interview guide with open-ended questions, researchers can delve into specific topics while </w:t>
      </w:r>
      <w:r w:rsidRPr="0047484D">
        <w:rPr>
          <w:rFonts w:ascii="Arial" w:eastAsia="Arial Nova" w:hAnsi="Arial" w:cs="Arial"/>
        </w:rPr>
        <w:t>allowing unexpected insights to emerge organically (Berger, 2015).</w:t>
      </w:r>
    </w:p>
    <w:p w14:paraId="70E7B60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In addition, s</w:t>
      </w:r>
      <w:r w:rsidR="3A835F52" w:rsidRPr="0047484D">
        <w:rPr>
          <w:rFonts w:ascii="Arial" w:eastAsia="Arial Nova" w:hAnsi="Arial" w:cs="Arial"/>
        </w:rPr>
        <w:t xml:space="preserve">emi-structured interviews </w:t>
      </w:r>
      <w:r w:rsidR="7BA6C7CA" w:rsidRPr="0047484D">
        <w:rPr>
          <w:rFonts w:ascii="Arial" w:eastAsia="Arial Nova" w:hAnsi="Arial" w:cs="Arial"/>
        </w:rPr>
        <w:t>foster</w:t>
      </w:r>
      <w:r w:rsidR="3A835F52" w:rsidRPr="0047484D">
        <w:rPr>
          <w:rFonts w:ascii="Arial" w:eastAsia="Arial Nova" w:hAnsi="Arial" w:cs="Arial"/>
        </w:rPr>
        <w:t xml:space="preserve"> interaction and exchange among participants, creating a conversational environment where ideas can be shared and elaborated upon collaboratively</w:t>
      </w:r>
      <w:r w:rsidR="33887E6D" w:rsidRPr="0047484D">
        <w:rPr>
          <w:rFonts w:ascii="Arial" w:eastAsia="Arial Nova" w:hAnsi="Arial" w:cs="Arial"/>
        </w:rPr>
        <w:t xml:space="preserve"> (Creswell </w:t>
      </w:r>
      <w:r w:rsidR="0047484D">
        <w:rPr>
          <w:rFonts w:ascii="Arial" w:eastAsia="Arial Nova" w:hAnsi="Arial" w:cs="Arial"/>
        </w:rPr>
        <w:t>&amp;</w:t>
      </w:r>
      <w:r w:rsidR="33887E6D" w:rsidRPr="0047484D">
        <w:rPr>
          <w:rFonts w:ascii="Arial" w:eastAsia="Arial Nova" w:hAnsi="Arial" w:cs="Arial"/>
        </w:rPr>
        <w:t xml:space="preserve"> Poth,</w:t>
      </w:r>
      <w:r w:rsidR="4C71EFAE" w:rsidRPr="0047484D">
        <w:rPr>
          <w:rFonts w:ascii="Arial" w:eastAsia="Arial Nova" w:hAnsi="Arial" w:cs="Arial"/>
        </w:rPr>
        <w:t xml:space="preserve"> </w:t>
      </w:r>
      <w:r w:rsidR="33887E6D" w:rsidRPr="0047484D">
        <w:rPr>
          <w:rFonts w:ascii="Arial" w:eastAsia="Arial Nova" w:hAnsi="Arial" w:cs="Arial"/>
        </w:rPr>
        <w:t>2017)</w:t>
      </w:r>
      <w:r w:rsidR="3A835F52" w:rsidRPr="0047484D">
        <w:rPr>
          <w:rFonts w:ascii="Arial" w:eastAsia="Arial Nova" w:hAnsi="Arial" w:cs="Arial"/>
        </w:rPr>
        <w:t xml:space="preserve">. This interactive aspect of semi-structured interviews </w:t>
      </w:r>
      <w:r w:rsidR="5A61E7BB" w:rsidRPr="0047484D">
        <w:rPr>
          <w:rFonts w:ascii="Arial" w:eastAsia="Arial Nova" w:hAnsi="Arial" w:cs="Arial"/>
        </w:rPr>
        <w:t>nurtures</w:t>
      </w:r>
      <w:r w:rsidR="3A835F52" w:rsidRPr="0047484D">
        <w:rPr>
          <w:rFonts w:ascii="Arial" w:eastAsia="Arial Nova" w:hAnsi="Arial" w:cs="Arial"/>
        </w:rPr>
        <w:t xml:space="preserve"> a sense of engagement and involvement among participants, leading to richer qualitative data</w:t>
      </w:r>
      <w:r w:rsidR="51FCD7FB" w:rsidRPr="0047484D">
        <w:rPr>
          <w:rFonts w:ascii="Arial" w:eastAsia="Arial Nova" w:hAnsi="Arial" w:cs="Arial"/>
        </w:rPr>
        <w:t xml:space="preserve"> (Silverman, 201</w:t>
      </w:r>
      <w:r w:rsidR="786743D5" w:rsidRPr="0047484D">
        <w:rPr>
          <w:rFonts w:ascii="Arial" w:eastAsia="Arial Nova" w:hAnsi="Arial" w:cs="Arial"/>
        </w:rPr>
        <w:t>1</w:t>
      </w:r>
      <w:r w:rsidR="51FCD7FB" w:rsidRPr="0047484D">
        <w:rPr>
          <w:rFonts w:ascii="Arial" w:eastAsia="Arial Nova" w:hAnsi="Arial" w:cs="Arial"/>
        </w:rPr>
        <w:t>).</w:t>
      </w:r>
    </w:p>
    <w:p w14:paraId="043F1C10"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However, conducting semi-structured interviews in a small group setting presents its own set of challenges. Managing group dynamics can be complex, particularly in </w:t>
      </w:r>
      <w:r w:rsidRPr="0047484D">
        <w:rPr>
          <w:rFonts w:ascii="Arial" w:eastAsia="Arial Nova" w:hAnsi="Arial" w:cs="Arial"/>
        </w:rPr>
        <w:lastRenderedPageBreak/>
        <w:t xml:space="preserve">ensuring that all participants have an opportunity to contribute their perspectives </w:t>
      </w:r>
      <w:r w:rsidR="355C95BE" w:rsidRPr="0047484D">
        <w:rPr>
          <w:rFonts w:ascii="Arial" w:eastAsia="Arial Nova" w:hAnsi="Arial" w:cs="Arial"/>
        </w:rPr>
        <w:t>(Creswell and Poth, 2017, &amp; Bloomberg &amp; Volpe, 2019)</w:t>
      </w:r>
      <w:r w:rsidRPr="0047484D">
        <w:rPr>
          <w:rFonts w:ascii="Arial" w:eastAsia="Arial Nova" w:hAnsi="Arial" w:cs="Arial"/>
        </w:rPr>
        <w:t>. The researcher must navigate interpersonal dynamics and balance the conversation to ensure that each participant's voice is heard and valued</w:t>
      </w:r>
      <w:r w:rsidR="646B58CD" w:rsidRPr="0047484D">
        <w:rPr>
          <w:rFonts w:ascii="Arial" w:eastAsia="Arial Nova" w:hAnsi="Arial" w:cs="Arial"/>
        </w:rPr>
        <w:t xml:space="preserve"> (Rubin and Rubin, 2005</w:t>
      </w:r>
      <w:r w:rsidR="7930E530" w:rsidRPr="0047484D">
        <w:rPr>
          <w:rFonts w:ascii="Arial" w:eastAsia="Arial Nova" w:hAnsi="Arial" w:cs="Arial"/>
        </w:rPr>
        <w:t xml:space="preserve">, &amp; </w:t>
      </w:r>
      <w:r w:rsidR="6F00E5B5" w:rsidRPr="0047484D">
        <w:rPr>
          <w:rFonts w:ascii="Arial" w:eastAsia="Arial Nova" w:hAnsi="Arial" w:cs="Arial"/>
        </w:rPr>
        <w:t>Lincoln, Lynham, and Guba, 2013</w:t>
      </w:r>
      <w:r w:rsidR="646B58CD" w:rsidRPr="0047484D">
        <w:rPr>
          <w:rFonts w:ascii="Arial" w:eastAsia="Arial Nova" w:hAnsi="Arial" w:cs="Arial"/>
        </w:rPr>
        <w:t>)</w:t>
      </w:r>
      <w:r w:rsidR="4DCF262C" w:rsidRPr="0047484D">
        <w:rPr>
          <w:rFonts w:ascii="Arial" w:eastAsia="Arial Nova" w:hAnsi="Arial" w:cs="Arial"/>
        </w:rPr>
        <w:t>.</w:t>
      </w:r>
    </w:p>
    <w:p w14:paraId="04244C7C"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Additionally, data analysis for semi-structured interviews can be time-consuming due to the volume and complexity of the qualitative data collected</w:t>
      </w:r>
      <w:r w:rsidR="4C7E8E7A" w:rsidRPr="0047484D">
        <w:rPr>
          <w:rFonts w:ascii="Arial" w:eastAsia="Arial Nova" w:hAnsi="Arial" w:cs="Arial"/>
        </w:rPr>
        <w:t xml:space="preserve"> </w:t>
      </w:r>
      <w:r w:rsidR="29263D9F" w:rsidRPr="0047484D">
        <w:rPr>
          <w:rFonts w:ascii="Arial" w:eastAsia="Arial Nova" w:hAnsi="Arial" w:cs="Arial"/>
        </w:rPr>
        <w:t xml:space="preserve">(Maguire </w:t>
      </w:r>
      <w:r w:rsidR="0047484D">
        <w:rPr>
          <w:rFonts w:ascii="Arial" w:eastAsia="Arial Nova" w:hAnsi="Arial" w:cs="Arial"/>
        </w:rPr>
        <w:t>&amp;</w:t>
      </w:r>
      <w:r w:rsidR="29263D9F" w:rsidRPr="0047484D">
        <w:rPr>
          <w:rFonts w:ascii="Arial" w:eastAsia="Arial Nova" w:hAnsi="Arial" w:cs="Arial"/>
        </w:rPr>
        <w:t xml:space="preserve"> Delahunt, 2017</w:t>
      </w:r>
      <w:r w:rsidRPr="0047484D">
        <w:rPr>
          <w:rFonts w:ascii="Arial" w:eastAsia="Arial Nova" w:hAnsi="Arial" w:cs="Arial"/>
        </w:rPr>
        <w:t>). Researchers must carefully transcribe and analyse the interview recordings, identifying emerging themes and patterns from the discussions</w:t>
      </w:r>
      <w:r w:rsidR="5C7F1A45" w:rsidRPr="0047484D">
        <w:rPr>
          <w:rFonts w:ascii="Arial" w:eastAsia="Arial Nova" w:hAnsi="Arial" w:cs="Arial"/>
        </w:rPr>
        <w:t xml:space="preserve"> (Creswell, 2012)</w:t>
      </w:r>
      <w:r w:rsidRPr="0047484D">
        <w:rPr>
          <w:rFonts w:ascii="Arial" w:eastAsia="Arial Nova" w:hAnsi="Arial" w:cs="Arial"/>
        </w:rPr>
        <w:t xml:space="preserve">. The </w:t>
      </w:r>
      <w:r w:rsidR="6E42485A" w:rsidRPr="0047484D">
        <w:rPr>
          <w:rFonts w:ascii="Arial" w:eastAsia="Arial Nova" w:hAnsi="Arial" w:cs="Arial"/>
        </w:rPr>
        <w:t xml:space="preserve">repetitive </w:t>
      </w:r>
      <w:r w:rsidRPr="0047484D">
        <w:rPr>
          <w:rFonts w:ascii="Arial" w:eastAsia="Arial Nova" w:hAnsi="Arial" w:cs="Arial"/>
        </w:rPr>
        <w:t>data analysis process in qualitative research requires thorough attention to detail to ensure the accuracy and validity of the findings</w:t>
      </w:r>
      <w:r w:rsidR="60CA96A4" w:rsidRPr="0047484D">
        <w:rPr>
          <w:rFonts w:ascii="Arial" w:eastAsia="Arial Nova" w:hAnsi="Arial" w:cs="Arial"/>
        </w:rPr>
        <w:t xml:space="preserve"> (NFER, 2013)</w:t>
      </w:r>
      <w:r w:rsidRPr="0047484D">
        <w:rPr>
          <w:rFonts w:ascii="Arial" w:eastAsia="Arial Nova" w:hAnsi="Arial" w:cs="Arial"/>
        </w:rPr>
        <w:t>.</w:t>
      </w:r>
    </w:p>
    <w:p w14:paraId="7F96ED23" w14:textId="77777777" w:rsidR="4D07DFC6" w:rsidRPr="0047484D" w:rsidRDefault="00000000" w:rsidP="0047484D">
      <w:pPr>
        <w:spacing w:line="480" w:lineRule="auto"/>
        <w:rPr>
          <w:rFonts w:ascii="Arial" w:eastAsia="Arial Nova" w:hAnsi="Arial" w:cs="Arial"/>
        </w:rPr>
      </w:pPr>
      <w:r w:rsidRPr="0047484D">
        <w:rPr>
          <w:rFonts w:ascii="Arial" w:eastAsia="Arial Nova" w:hAnsi="Arial" w:cs="Arial"/>
        </w:rPr>
        <w:t>The age and attainment levels of pupils significantly influenced the choice and implementation of research methods. As the participants were lower attainment pupils aged 11</w:t>
      </w:r>
      <w:r w:rsidR="37BB4654" w:rsidRPr="0047484D">
        <w:rPr>
          <w:rFonts w:ascii="Arial" w:eastAsia="Arial Nova" w:hAnsi="Arial" w:cs="Arial"/>
        </w:rPr>
        <w:t xml:space="preserve"> – </w:t>
      </w:r>
      <w:r w:rsidR="49907D09" w:rsidRPr="0047484D">
        <w:rPr>
          <w:rFonts w:ascii="Arial" w:eastAsia="Arial Nova" w:hAnsi="Arial" w:cs="Arial"/>
        </w:rPr>
        <w:t>12</w:t>
      </w:r>
      <w:r w:rsidR="37BB4654" w:rsidRPr="0047484D">
        <w:rPr>
          <w:rFonts w:ascii="Arial" w:eastAsia="Arial Nova" w:hAnsi="Arial" w:cs="Arial"/>
        </w:rPr>
        <w:t xml:space="preserve"> </w:t>
      </w:r>
      <w:r w:rsidRPr="0047484D">
        <w:rPr>
          <w:rFonts w:ascii="Arial" w:eastAsia="Arial Nova" w:hAnsi="Arial" w:cs="Arial"/>
        </w:rPr>
        <w:t xml:space="preserve">years old, with the majority having </w:t>
      </w:r>
      <w:r w:rsidR="17F2C0A1" w:rsidRPr="0047484D">
        <w:rPr>
          <w:rFonts w:ascii="Arial" w:eastAsia="Arial Nova" w:hAnsi="Arial" w:cs="Arial"/>
        </w:rPr>
        <w:t>ALN</w:t>
      </w:r>
      <w:r w:rsidRPr="0047484D">
        <w:rPr>
          <w:rFonts w:ascii="Arial" w:eastAsia="Arial Nova" w:hAnsi="Arial" w:cs="Arial"/>
        </w:rPr>
        <w:t>, careful consideration was given to selecting methods that could accommodate diverse needs and preferences. For instance, open-ended interview questions allowed for flexible exploration of individual experiences</w:t>
      </w:r>
      <w:r w:rsidR="00750BE0">
        <w:rPr>
          <w:rFonts w:ascii="Arial" w:eastAsia="Arial Nova" w:hAnsi="Arial" w:cs="Arial"/>
        </w:rPr>
        <w:t xml:space="preserve"> (Appendix </w:t>
      </w:r>
      <w:r w:rsidR="00D15695">
        <w:rPr>
          <w:rFonts w:ascii="Arial" w:eastAsia="Arial Nova" w:hAnsi="Arial" w:cs="Arial"/>
        </w:rPr>
        <w:t>F)</w:t>
      </w:r>
      <w:r w:rsidRPr="0047484D">
        <w:rPr>
          <w:rFonts w:ascii="Arial" w:eastAsia="Arial Nova" w:hAnsi="Arial" w:cs="Arial"/>
        </w:rPr>
        <w:t>, while the questionnaire format ensured accessibility and ease of completion for all participants</w:t>
      </w:r>
      <w:r w:rsidR="00D15695">
        <w:rPr>
          <w:rFonts w:ascii="Arial" w:eastAsia="Arial Nova" w:hAnsi="Arial" w:cs="Arial"/>
        </w:rPr>
        <w:t xml:space="preserve"> (Appendix G)</w:t>
      </w:r>
      <w:r w:rsidRPr="0047484D">
        <w:rPr>
          <w:rFonts w:ascii="Arial" w:eastAsia="Arial Nova" w:hAnsi="Arial" w:cs="Arial"/>
        </w:rPr>
        <w:t>. Additionally, random sampling was employed to mitigate bias and provide representative data collection, considering the diverse characteristics of the participant group (Brace, 2018).</w:t>
      </w:r>
    </w:p>
    <w:p w14:paraId="5C144B7A" w14:textId="77777777" w:rsidR="06793497" w:rsidRPr="0047484D" w:rsidRDefault="06793497" w:rsidP="0047484D">
      <w:pPr>
        <w:spacing w:line="480" w:lineRule="auto"/>
        <w:rPr>
          <w:rFonts w:ascii="Arial" w:eastAsia="Arial Nova" w:hAnsi="Arial" w:cs="Arial"/>
        </w:rPr>
      </w:pPr>
    </w:p>
    <w:p w14:paraId="11A07997"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u w:val="single"/>
        </w:rPr>
        <w:t>Data Presentation and Analysis Method</w:t>
      </w:r>
      <w:r w:rsidRPr="0047484D">
        <w:rPr>
          <w:rFonts w:ascii="Arial" w:eastAsia="Arial Nova" w:hAnsi="Arial" w:cs="Arial"/>
        </w:rPr>
        <w:t xml:space="preserve"> </w:t>
      </w:r>
    </w:p>
    <w:p w14:paraId="54654968"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Throughout this study, both qualitative and quantitative data ha</w:t>
      </w:r>
      <w:r w:rsidR="312421F9" w:rsidRPr="0047484D">
        <w:rPr>
          <w:rFonts w:ascii="Arial" w:eastAsia="Arial Nova" w:hAnsi="Arial" w:cs="Arial"/>
        </w:rPr>
        <w:t>ve</w:t>
      </w:r>
      <w:r w:rsidRPr="0047484D">
        <w:rPr>
          <w:rFonts w:ascii="Arial" w:eastAsia="Arial Nova" w:hAnsi="Arial" w:cs="Arial"/>
        </w:rPr>
        <w:t xml:space="preserve"> been collected. This has been collected through </w:t>
      </w:r>
      <w:r w:rsidR="70424286" w:rsidRPr="0047484D">
        <w:rPr>
          <w:rFonts w:ascii="Arial" w:eastAsia="Arial Nova" w:hAnsi="Arial" w:cs="Arial"/>
        </w:rPr>
        <w:t>observation</w:t>
      </w:r>
      <w:r w:rsidRPr="0047484D">
        <w:rPr>
          <w:rFonts w:ascii="Arial" w:eastAsia="Arial Nova" w:hAnsi="Arial" w:cs="Arial"/>
        </w:rPr>
        <w:t xml:space="preserve">, </w:t>
      </w:r>
      <w:r w:rsidR="13CF1B14" w:rsidRPr="0047484D">
        <w:rPr>
          <w:rFonts w:ascii="Arial" w:eastAsia="Arial Nova" w:hAnsi="Arial" w:cs="Arial"/>
        </w:rPr>
        <w:t>questionnaires</w:t>
      </w:r>
      <w:r w:rsidRPr="0047484D">
        <w:rPr>
          <w:rFonts w:ascii="Arial" w:eastAsia="Arial Nova" w:hAnsi="Arial" w:cs="Arial"/>
        </w:rPr>
        <w:t>, and small group</w:t>
      </w:r>
      <w:r w:rsidR="77407B92" w:rsidRPr="0047484D">
        <w:rPr>
          <w:rFonts w:ascii="Arial" w:eastAsia="Arial Nova" w:hAnsi="Arial" w:cs="Arial"/>
        </w:rPr>
        <w:t xml:space="preserve"> semi-</w:t>
      </w:r>
      <w:r w:rsidR="52EA4408" w:rsidRPr="0047484D">
        <w:rPr>
          <w:rFonts w:ascii="Arial" w:eastAsia="Arial Nova" w:hAnsi="Arial" w:cs="Arial"/>
        </w:rPr>
        <w:t>structured</w:t>
      </w:r>
      <w:r w:rsidR="77407B92" w:rsidRPr="0047484D">
        <w:rPr>
          <w:rFonts w:ascii="Arial" w:eastAsia="Arial Nova" w:hAnsi="Arial" w:cs="Arial"/>
        </w:rPr>
        <w:t xml:space="preserve"> interviews</w:t>
      </w:r>
      <w:r w:rsidRPr="0047484D">
        <w:rPr>
          <w:rFonts w:ascii="Arial" w:eastAsia="Arial Nova" w:hAnsi="Arial" w:cs="Arial"/>
        </w:rPr>
        <w:t xml:space="preserve">. </w:t>
      </w:r>
      <w:r w:rsidR="6490EA88" w:rsidRPr="0047484D">
        <w:rPr>
          <w:rFonts w:ascii="Arial" w:eastAsia="Arial Nova" w:hAnsi="Arial" w:cs="Arial"/>
        </w:rPr>
        <w:t>These methods were chosen based on their appropriateness for gathering insights into learner engagement in the classroom, as discussed in the literature review.</w:t>
      </w:r>
    </w:p>
    <w:p w14:paraId="4CBDF36C"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Quantitative Data Analysis</w:t>
      </w:r>
    </w:p>
    <w:p w14:paraId="2E304B81"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Questionnaires, conducted using online platforms</w:t>
      </w:r>
      <w:r w:rsidR="207AEB5A" w:rsidRPr="0047484D">
        <w:rPr>
          <w:rFonts w:ascii="Arial" w:eastAsia="Arial Nova" w:hAnsi="Arial" w:cs="Arial"/>
        </w:rPr>
        <w:t xml:space="preserve"> such as</w:t>
      </w:r>
      <w:r w:rsidRPr="0047484D">
        <w:rPr>
          <w:rFonts w:ascii="Arial" w:eastAsia="Arial Nova" w:hAnsi="Arial" w:cs="Arial"/>
        </w:rPr>
        <w:t xml:space="preserve"> Google Forms and SurveyMonkey, provided quantitative data on various aspects related to learner engagement and readiness to learn. </w:t>
      </w:r>
      <w:r w:rsidR="3549352A" w:rsidRPr="0047484D">
        <w:rPr>
          <w:rFonts w:ascii="Arial" w:eastAsia="Arial Nova" w:hAnsi="Arial" w:cs="Arial"/>
        </w:rPr>
        <w:t>The s</w:t>
      </w:r>
      <w:r w:rsidR="020B18ED" w:rsidRPr="0047484D">
        <w:rPr>
          <w:rFonts w:ascii="Arial" w:eastAsia="Arial Nova" w:hAnsi="Arial" w:cs="Arial"/>
        </w:rPr>
        <w:t>tatistical methods utilised to analyse the data included descriptive statistic</w:t>
      </w:r>
      <w:r w:rsidR="4C567504" w:rsidRPr="0047484D">
        <w:rPr>
          <w:rFonts w:ascii="Arial" w:eastAsia="Arial Nova" w:hAnsi="Arial" w:cs="Arial"/>
        </w:rPr>
        <w:t>s</w:t>
      </w:r>
      <w:r w:rsidR="020B18ED" w:rsidRPr="0047484D">
        <w:rPr>
          <w:rFonts w:ascii="Arial" w:eastAsia="Arial Nova" w:hAnsi="Arial" w:cs="Arial"/>
        </w:rPr>
        <w:t xml:space="preserve"> and inferential tests, </w:t>
      </w:r>
      <w:r w:rsidR="5B89605D" w:rsidRPr="0047484D">
        <w:rPr>
          <w:rFonts w:ascii="Arial" w:eastAsia="Arial Nova" w:hAnsi="Arial" w:cs="Arial"/>
        </w:rPr>
        <w:t>aligning</w:t>
      </w:r>
      <w:r w:rsidR="020B18ED" w:rsidRPr="0047484D">
        <w:rPr>
          <w:rFonts w:ascii="Arial" w:eastAsia="Arial Nova" w:hAnsi="Arial" w:cs="Arial"/>
        </w:rPr>
        <w:t xml:space="preserve"> with Bryman's recommendations (2016). </w:t>
      </w:r>
      <w:r w:rsidR="04C14E8A" w:rsidRPr="0047484D">
        <w:rPr>
          <w:rFonts w:ascii="Arial" w:eastAsia="Arial Nova" w:hAnsi="Arial" w:cs="Arial"/>
        </w:rPr>
        <w:t>Likert scales used in the questionnaires allowed for measuring attitudes and perceptions with numerical scores, facilitating quantitative analysis</w:t>
      </w:r>
      <w:r w:rsidR="2F60DF7F" w:rsidRPr="0047484D">
        <w:rPr>
          <w:rFonts w:ascii="Arial" w:eastAsia="Arial Nova" w:hAnsi="Arial" w:cs="Arial"/>
        </w:rPr>
        <w:t xml:space="preserve"> (Youngman, 19</w:t>
      </w:r>
      <w:r w:rsidR="77755139" w:rsidRPr="0047484D">
        <w:rPr>
          <w:rFonts w:ascii="Arial" w:eastAsia="Arial Nova" w:hAnsi="Arial" w:cs="Arial"/>
        </w:rPr>
        <w:t>82</w:t>
      </w:r>
      <w:r w:rsidR="2F60DF7F" w:rsidRPr="0047484D">
        <w:rPr>
          <w:rFonts w:ascii="Arial" w:eastAsia="Arial Nova" w:hAnsi="Arial" w:cs="Arial"/>
        </w:rPr>
        <w:t>)</w:t>
      </w:r>
      <w:r w:rsidR="04C14E8A" w:rsidRPr="0047484D">
        <w:rPr>
          <w:rFonts w:ascii="Arial" w:eastAsia="Arial Nova" w:hAnsi="Arial" w:cs="Arial"/>
        </w:rPr>
        <w:t>.</w:t>
      </w:r>
    </w:p>
    <w:p w14:paraId="0DCD6277"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Qualitative Data Analysis</w:t>
      </w:r>
    </w:p>
    <w:p w14:paraId="1B473777" w14:textId="77777777" w:rsidR="06793497" w:rsidRDefault="00000000" w:rsidP="0047484D">
      <w:pPr>
        <w:spacing w:line="480" w:lineRule="auto"/>
        <w:rPr>
          <w:rFonts w:ascii="Arial" w:eastAsia="Arial Nova" w:hAnsi="Arial" w:cs="Arial"/>
        </w:rPr>
      </w:pPr>
      <w:r w:rsidRPr="0047484D">
        <w:rPr>
          <w:rFonts w:ascii="Arial" w:eastAsia="Arial Nova" w:hAnsi="Arial" w:cs="Arial"/>
        </w:rPr>
        <w:t>Semi-structured interviews were conducted with small participant groups, manually recording their perspectives and experiences. These interviews provided qualitative data, which was analysed using thematic and content analysis methods. This process identified themes, categories, and patterns within the interview transcripts, consistent with the methods of</w:t>
      </w:r>
      <w:r w:rsidR="43A44421" w:rsidRPr="0047484D">
        <w:rPr>
          <w:rFonts w:ascii="Arial" w:eastAsia="Arial Nova" w:hAnsi="Arial" w:cs="Arial"/>
        </w:rPr>
        <w:t xml:space="preserve"> Braun and Clarke (2006) and Creswell (2012).</w:t>
      </w:r>
      <w:r w:rsidRPr="0047484D">
        <w:rPr>
          <w:rFonts w:ascii="Arial" w:eastAsia="Arial Nova" w:hAnsi="Arial" w:cs="Arial"/>
        </w:rPr>
        <w:t xml:space="preserve"> The open-ended nature of the </w:t>
      </w:r>
      <w:r w:rsidR="327A191F" w:rsidRPr="0047484D">
        <w:rPr>
          <w:rFonts w:ascii="Arial" w:eastAsia="Arial Nova" w:hAnsi="Arial" w:cs="Arial"/>
        </w:rPr>
        <w:t xml:space="preserve">interview </w:t>
      </w:r>
      <w:r w:rsidRPr="0047484D">
        <w:rPr>
          <w:rFonts w:ascii="Arial" w:eastAsia="Arial Nova" w:hAnsi="Arial" w:cs="Arial"/>
        </w:rPr>
        <w:t>questions allowed participants to provide rich and detailed responses, capturing the intricate nuances of their experiences.</w:t>
      </w:r>
    </w:p>
    <w:p w14:paraId="4B77568F" w14:textId="77777777" w:rsidR="00E97D10" w:rsidRPr="0047484D" w:rsidRDefault="00E97D10" w:rsidP="0047484D">
      <w:pPr>
        <w:spacing w:line="480" w:lineRule="auto"/>
        <w:rPr>
          <w:rFonts w:ascii="Arial" w:eastAsia="Arial Nova" w:hAnsi="Arial" w:cs="Arial"/>
        </w:rPr>
      </w:pPr>
    </w:p>
    <w:p w14:paraId="1627879B"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lastRenderedPageBreak/>
        <w:t>Observational Data Analysis</w:t>
      </w:r>
    </w:p>
    <w:p w14:paraId="058A01B4"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Observations in the classroom environment provided qualitative data on participants' interactions, behavio</w:t>
      </w:r>
      <w:r w:rsidR="2BA6C829" w:rsidRPr="0047484D">
        <w:rPr>
          <w:rFonts w:ascii="Arial" w:eastAsia="Arial Nova" w:hAnsi="Arial" w:cs="Arial"/>
        </w:rPr>
        <w:t>u</w:t>
      </w:r>
      <w:r w:rsidRPr="0047484D">
        <w:rPr>
          <w:rFonts w:ascii="Arial" w:eastAsia="Arial Nova" w:hAnsi="Arial" w:cs="Arial"/>
        </w:rPr>
        <w:t>rs, and events. Qualitative data analysis techniques, such as constant comparative analysis</w:t>
      </w:r>
      <w:r w:rsidR="26913050" w:rsidRPr="0047484D">
        <w:rPr>
          <w:rFonts w:ascii="Arial" w:eastAsia="Arial Nova" w:hAnsi="Arial" w:cs="Arial"/>
        </w:rPr>
        <w:t xml:space="preserve"> </w:t>
      </w:r>
      <w:r w:rsidR="257EB3C3" w:rsidRPr="0047484D">
        <w:rPr>
          <w:rFonts w:ascii="Arial" w:eastAsia="Arial Nova" w:hAnsi="Arial" w:cs="Arial"/>
        </w:rPr>
        <w:t xml:space="preserve">and </w:t>
      </w:r>
      <w:r w:rsidR="26913050" w:rsidRPr="0047484D">
        <w:rPr>
          <w:rFonts w:ascii="Arial" w:eastAsia="Arial Nova" w:hAnsi="Arial" w:cs="Arial"/>
        </w:rPr>
        <w:t>pattern coding,</w:t>
      </w:r>
      <w:r w:rsidRPr="0047484D">
        <w:rPr>
          <w:rFonts w:ascii="Arial" w:eastAsia="Arial Nova" w:hAnsi="Arial" w:cs="Arial"/>
        </w:rPr>
        <w:t xml:space="preserve"> were used to identify </w:t>
      </w:r>
      <w:r w:rsidR="3F664786" w:rsidRPr="0047484D">
        <w:rPr>
          <w:rFonts w:ascii="Arial" w:eastAsia="Arial Nova" w:hAnsi="Arial" w:cs="Arial"/>
        </w:rPr>
        <w:t xml:space="preserve">patterns and </w:t>
      </w:r>
      <w:r w:rsidRPr="0047484D">
        <w:rPr>
          <w:rFonts w:ascii="Arial" w:eastAsia="Arial Nova" w:hAnsi="Arial" w:cs="Arial"/>
        </w:rPr>
        <w:t xml:space="preserve">themes in the observational notes, </w:t>
      </w:r>
      <w:r w:rsidR="00B66EDC">
        <w:rPr>
          <w:rFonts w:ascii="Arial" w:eastAsia="Arial Nova" w:hAnsi="Arial" w:cs="Arial"/>
        </w:rPr>
        <w:t>which aligns</w:t>
      </w:r>
      <w:r w:rsidRPr="0047484D">
        <w:rPr>
          <w:rFonts w:ascii="Arial" w:eastAsia="Arial Nova" w:hAnsi="Arial" w:cs="Arial"/>
        </w:rPr>
        <w:t xml:space="preserve"> with Denzin and Lincoln's (2011) writings. The contextually embedded nature of observational data allowed for a </w:t>
      </w:r>
      <w:r w:rsidR="003F4F0D" w:rsidRPr="0047484D">
        <w:rPr>
          <w:rFonts w:ascii="Arial" w:eastAsia="Arial Nova" w:hAnsi="Arial" w:cs="Arial"/>
        </w:rPr>
        <w:t>refined</w:t>
      </w:r>
      <w:r w:rsidRPr="0047484D">
        <w:rPr>
          <w:rFonts w:ascii="Arial" w:eastAsia="Arial Nova" w:hAnsi="Arial" w:cs="Arial"/>
        </w:rPr>
        <w:t xml:space="preserve"> understanding of the factors influencing learner engagement.</w:t>
      </w:r>
    </w:p>
    <w:p w14:paraId="1A70194E"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Triangulation Approach</w:t>
      </w:r>
    </w:p>
    <w:p w14:paraId="598780AE"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A triangulation approach to data sourcing was employed to enhance the credibility of the study findings, combining information from questionnaires, interviews, and observations. This allowed for cross-verification of findings and increased confidence in the results (Denzin &amp; Lincoln, 2011).</w:t>
      </w:r>
    </w:p>
    <w:p w14:paraId="3E6067A8"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Ensuring Dependability and Confirmability</w:t>
      </w:r>
    </w:p>
    <w:p w14:paraId="137566B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To ensure the dependability and confirmability of the study's findings, meticulous documentation of the research process was maintained. </w:t>
      </w:r>
      <w:r w:rsidR="6D0652BA" w:rsidRPr="0047484D">
        <w:rPr>
          <w:rFonts w:ascii="Arial" w:eastAsia="Arial Nova" w:hAnsi="Arial" w:cs="Arial"/>
        </w:rPr>
        <w:t>This involved keeping detailed records of how data was collected, analytical interpretations, and pattern coding decisions.</w:t>
      </w:r>
      <w:r w:rsidR="1C360EA1" w:rsidRPr="0047484D">
        <w:rPr>
          <w:rFonts w:ascii="Arial" w:eastAsia="Arial Nova" w:hAnsi="Arial" w:cs="Arial"/>
        </w:rPr>
        <w:t xml:space="preserve"> </w:t>
      </w:r>
      <w:r w:rsidR="44DCDC9B" w:rsidRPr="0047484D">
        <w:rPr>
          <w:rFonts w:ascii="Arial" w:eastAsia="Arial Nova" w:hAnsi="Arial" w:cs="Arial"/>
        </w:rPr>
        <w:t xml:space="preserve">By </w:t>
      </w:r>
      <w:r w:rsidR="07AEB6C3" w:rsidRPr="0047484D">
        <w:rPr>
          <w:rFonts w:ascii="Arial" w:eastAsia="Arial Nova" w:hAnsi="Arial" w:cs="Arial"/>
        </w:rPr>
        <w:t>thoroughly</w:t>
      </w:r>
      <w:r w:rsidR="44DCDC9B" w:rsidRPr="0047484D">
        <w:rPr>
          <w:rFonts w:ascii="Arial" w:eastAsia="Arial Nova" w:hAnsi="Arial" w:cs="Arial"/>
        </w:rPr>
        <w:t xml:space="preserve"> documenting every step of this research process, the study’s accountability and transparency ha</w:t>
      </w:r>
      <w:r w:rsidR="75591526" w:rsidRPr="0047484D">
        <w:rPr>
          <w:rFonts w:ascii="Arial" w:eastAsia="Arial Nova" w:hAnsi="Arial" w:cs="Arial"/>
        </w:rPr>
        <w:t>ve</w:t>
      </w:r>
      <w:r w:rsidR="44DCDC9B" w:rsidRPr="0047484D">
        <w:rPr>
          <w:rFonts w:ascii="Arial" w:eastAsia="Arial Nova" w:hAnsi="Arial" w:cs="Arial"/>
        </w:rPr>
        <w:t xml:space="preserve"> been enhanced, making all de</w:t>
      </w:r>
      <w:r w:rsidR="5D00093D" w:rsidRPr="0047484D">
        <w:rPr>
          <w:rFonts w:ascii="Arial" w:eastAsia="Arial Nova" w:hAnsi="Arial" w:cs="Arial"/>
        </w:rPr>
        <w:t>cisions and interpretations traceable.</w:t>
      </w:r>
    </w:p>
    <w:p w14:paraId="19F1FCF5"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Validation Strategies</w:t>
      </w:r>
    </w:p>
    <w:p w14:paraId="7381F641"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While peer debriefing and member checking are common strategies for validating research findings (Lincoln </w:t>
      </w:r>
      <w:r w:rsidR="00B66EDC">
        <w:rPr>
          <w:rFonts w:ascii="Arial" w:eastAsia="Arial Nova" w:hAnsi="Arial" w:cs="Arial"/>
        </w:rPr>
        <w:t>&amp;</w:t>
      </w:r>
      <w:r w:rsidRPr="0047484D">
        <w:rPr>
          <w:rFonts w:ascii="Arial" w:eastAsia="Arial Nova" w:hAnsi="Arial" w:cs="Arial"/>
        </w:rPr>
        <w:t xml:space="preserve"> Guba, 1985), they were not feasible due to the confidential nature of the research.</w:t>
      </w:r>
      <w:r w:rsidR="260DECCC" w:rsidRPr="0047484D">
        <w:rPr>
          <w:rFonts w:ascii="Arial" w:eastAsia="Arial Nova" w:hAnsi="Arial" w:cs="Arial"/>
        </w:rPr>
        <w:t xml:space="preserve"> However, alternative methods were employed to enhance the rigour and trustworthiness of the study.</w:t>
      </w:r>
      <w:r w:rsidR="1ABAB7FA" w:rsidRPr="0047484D">
        <w:rPr>
          <w:rFonts w:ascii="Arial" w:eastAsia="Arial Nova" w:hAnsi="Arial" w:cs="Arial"/>
        </w:rPr>
        <w:t xml:space="preserve"> Among them were frequent introspection and critical analysis periods to examine interpretations and guarantee consistency in analytical </w:t>
      </w:r>
      <w:r w:rsidR="033B786F" w:rsidRPr="0047484D">
        <w:rPr>
          <w:rFonts w:ascii="Arial" w:eastAsia="Arial Nova" w:hAnsi="Arial" w:cs="Arial"/>
        </w:rPr>
        <w:t>decision</w:t>
      </w:r>
      <w:r w:rsidR="1ABAB7FA" w:rsidRPr="0047484D">
        <w:rPr>
          <w:rFonts w:ascii="Arial" w:eastAsia="Arial Nova" w:hAnsi="Arial" w:cs="Arial"/>
        </w:rPr>
        <w:t>s.</w:t>
      </w:r>
      <w:r w:rsidR="40170CE8" w:rsidRPr="0047484D">
        <w:rPr>
          <w:rFonts w:ascii="Arial" w:eastAsia="Arial Nova" w:hAnsi="Arial" w:cs="Arial"/>
        </w:rPr>
        <w:t xml:space="preserve"> </w:t>
      </w:r>
      <w:r w:rsidR="18A13F16" w:rsidRPr="0047484D">
        <w:rPr>
          <w:rFonts w:ascii="Arial" w:eastAsia="Arial Nova" w:hAnsi="Arial" w:cs="Arial"/>
        </w:rPr>
        <w:t>Also, periodic data reviews and analytical procedures were done to identify and correct potential biases or inconsistencies.</w:t>
      </w:r>
    </w:p>
    <w:p w14:paraId="5BD0FEBE"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Although peer debriefing and member checking are essential techniques for validating research, this study made up for their absence </w:t>
      </w:r>
      <w:r w:rsidR="41B05658" w:rsidRPr="0047484D">
        <w:rPr>
          <w:rFonts w:ascii="Arial" w:eastAsia="Arial Nova" w:hAnsi="Arial" w:cs="Arial"/>
        </w:rPr>
        <w:t>through</w:t>
      </w:r>
      <w:r w:rsidRPr="0047484D">
        <w:rPr>
          <w:rFonts w:ascii="Arial" w:eastAsia="Arial Nova" w:hAnsi="Arial" w:cs="Arial"/>
        </w:rPr>
        <w:t xml:space="preserve"> strict internal review procedures and adherence to accepted methodological criteria.</w:t>
      </w:r>
    </w:p>
    <w:p w14:paraId="7BC9A4D9" w14:textId="77777777" w:rsidR="06793497" w:rsidRPr="0047484D" w:rsidRDefault="06793497" w:rsidP="0047484D">
      <w:pPr>
        <w:spacing w:line="480" w:lineRule="auto"/>
        <w:rPr>
          <w:rFonts w:ascii="Arial" w:eastAsia="Arial Nova" w:hAnsi="Arial" w:cs="Arial"/>
        </w:rPr>
      </w:pPr>
    </w:p>
    <w:p w14:paraId="01C61345" w14:textId="77777777" w:rsidR="06793497"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Ethical considerations</w:t>
      </w:r>
    </w:p>
    <w:p w14:paraId="26DDEA0D"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Several ethical considerations were vital to ensur</w:t>
      </w:r>
      <w:r w:rsidR="4B06B5F9" w:rsidRPr="0047484D">
        <w:rPr>
          <w:rFonts w:ascii="Arial" w:eastAsia="Arial Nova" w:hAnsi="Arial" w:cs="Arial"/>
        </w:rPr>
        <w:t>ing</w:t>
      </w:r>
      <w:r w:rsidRPr="0047484D">
        <w:rPr>
          <w:rFonts w:ascii="Arial" w:eastAsia="Arial Nova" w:hAnsi="Arial" w:cs="Arial"/>
        </w:rPr>
        <w:t xml:space="preserve"> the integrity and well-being of participants in this study.</w:t>
      </w:r>
      <w:r w:rsidR="17BA93D2" w:rsidRPr="0047484D">
        <w:rPr>
          <w:rFonts w:ascii="Arial" w:eastAsia="Arial Nova" w:hAnsi="Arial" w:cs="Arial"/>
        </w:rPr>
        <w:t xml:space="preserve"> Anonymity and confidentiality were </w:t>
      </w:r>
      <w:r w:rsidR="514A9F0B" w:rsidRPr="0047484D">
        <w:rPr>
          <w:rFonts w:ascii="Arial" w:eastAsia="Arial Nova" w:hAnsi="Arial" w:cs="Arial"/>
        </w:rPr>
        <w:t xml:space="preserve">the </w:t>
      </w:r>
      <w:r w:rsidR="17BA93D2" w:rsidRPr="0047484D">
        <w:rPr>
          <w:rFonts w:ascii="Arial" w:eastAsia="Arial Nova" w:hAnsi="Arial" w:cs="Arial"/>
        </w:rPr>
        <w:t xml:space="preserve">central principles guiding the research process. </w:t>
      </w:r>
      <w:r w:rsidR="541BE685" w:rsidRPr="0047484D">
        <w:rPr>
          <w:rFonts w:ascii="Arial" w:eastAsia="Arial Nova" w:hAnsi="Arial" w:cs="Arial"/>
        </w:rPr>
        <w:t xml:space="preserve">Participants were assured that their identities would remain confidential, and </w:t>
      </w:r>
      <w:r w:rsidR="00B66EDC">
        <w:rPr>
          <w:rFonts w:ascii="Arial" w:eastAsia="Arial Nova" w:hAnsi="Arial" w:cs="Arial"/>
        </w:rPr>
        <w:t>unique</w:t>
      </w:r>
      <w:r w:rsidR="541BE685" w:rsidRPr="0047484D">
        <w:rPr>
          <w:rFonts w:ascii="Arial" w:eastAsia="Arial Nova" w:hAnsi="Arial" w:cs="Arial"/>
        </w:rPr>
        <w:t xml:space="preserve"> identifiers were employed to safeguard their privacy. Additionally, meticulous efforts were made to eliminate or </w:t>
      </w:r>
      <w:r w:rsidR="00B66EDC">
        <w:rPr>
          <w:rFonts w:ascii="Arial" w:eastAsia="Arial Nova" w:hAnsi="Arial" w:cs="Arial"/>
        </w:rPr>
        <w:t>anonymise</w:t>
      </w:r>
      <w:r w:rsidR="541BE685" w:rsidRPr="0047484D">
        <w:rPr>
          <w:rFonts w:ascii="Arial" w:eastAsia="Arial Nova" w:hAnsi="Arial" w:cs="Arial"/>
        </w:rPr>
        <w:t xml:space="preserve"> all personally identifiable information during </w:t>
      </w:r>
      <w:r w:rsidR="00B66EDC">
        <w:rPr>
          <w:rFonts w:ascii="Arial" w:eastAsia="Arial Nova" w:hAnsi="Arial" w:cs="Arial"/>
        </w:rPr>
        <w:t>transcription</w:t>
      </w:r>
      <w:r w:rsidR="541BE685" w:rsidRPr="0047484D">
        <w:rPr>
          <w:rFonts w:ascii="Arial" w:eastAsia="Arial Nova" w:hAnsi="Arial" w:cs="Arial"/>
        </w:rPr>
        <w:t>.</w:t>
      </w:r>
    </w:p>
    <w:p w14:paraId="2A68C01B"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process of obtaining pupil assent was carefully outlined and adhered to, as detailed in Section </w:t>
      </w:r>
      <w:r w:rsidR="2E34CBD5" w:rsidRPr="0047484D">
        <w:rPr>
          <w:rFonts w:ascii="Arial" w:eastAsia="Arial Nova" w:hAnsi="Arial" w:cs="Arial"/>
        </w:rPr>
        <w:t>I 2</w:t>
      </w:r>
      <w:r w:rsidRPr="0047484D">
        <w:rPr>
          <w:rFonts w:ascii="Arial" w:eastAsia="Arial Nova" w:hAnsi="Arial" w:cs="Arial"/>
        </w:rPr>
        <w:t xml:space="preserve"> of the Ethics Form (Appendix A). Before participation, participants were fully informed about the research procedures through participant information sheets (Appendix B).</w:t>
      </w:r>
      <w:r w:rsidR="66557E87" w:rsidRPr="0047484D">
        <w:rPr>
          <w:rFonts w:ascii="Arial" w:eastAsia="Arial Nova" w:hAnsi="Arial" w:cs="Arial"/>
        </w:rPr>
        <w:t xml:space="preserve"> They were assured that their involvement was voluntary, and written </w:t>
      </w:r>
      <w:r w:rsidR="66557E87" w:rsidRPr="0047484D">
        <w:rPr>
          <w:rFonts w:ascii="Arial" w:eastAsia="Arial Nova" w:hAnsi="Arial" w:cs="Arial"/>
        </w:rPr>
        <w:lastRenderedPageBreak/>
        <w:t>consent was obtained from both guardians and assent from children (</w:t>
      </w:r>
      <w:r w:rsidR="76DF98AB" w:rsidRPr="0047484D">
        <w:rPr>
          <w:rFonts w:ascii="Arial" w:eastAsia="Arial Nova" w:hAnsi="Arial" w:cs="Arial"/>
        </w:rPr>
        <w:t>Appendices</w:t>
      </w:r>
      <w:r w:rsidR="66557E87" w:rsidRPr="0047484D">
        <w:rPr>
          <w:rFonts w:ascii="Arial" w:eastAsia="Arial Nova" w:hAnsi="Arial" w:cs="Arial"/>
        </w:rPr>
        <w:t xml:space="preserve"> B</w:t>
      </w:r>
      <w:r w:rsidR="6172E023" w:rsidRPr="0047484D">
        <w:rPr>
          <w:rFonts w:ascii="Arial" w:eastAsia="Arial Nova" w:hAnsi="Arial" w:cs="Arial"/>
        </w:rPr>
        <w:t>-</w:t>
      </w:r>
      <w:r w:rsidR="66557E87" w:rsidRPr="0047484D">
        <w:rPr>
          <w:rFonts w:ascii="Arial" w:eastAsia="Arial Nova" w:hAnsi="Arial" w:cs="Arial"/>
        </w:rPr>
        <w:t>D).</w:t>
      </w:r>
      <w:r w:rsidR="27B09956" w:rsidRPr="0047484D">
        <w:rPr>
          <w:rFonts w:ascii="Arial" w:eastAsia="Arial Nova" w:hAnsi="Arial" w:cs="Arial"/>
        </w:rPr>
        <w:t xml:space="preserve"> </w:t>
      </w:r>
      <w:r w:rsidR="7215EAA3" w:rsidRPr="0047484D">
        <w:rPr>
          <w:rFonts w:ascii="Arial" w:eastAsia="Arial Nova" w:hAnsi="Arial" w:cs="Arial"/>
        </w:rPr>
        <w:t>Participants were informed of their right to refuse participation without impacting their treatment or education.</w:t>
      </w:r>
      <w:r w:rsidR="27B09956" w:rsidRPr="0047484D">
        <w:rPr>
          <w:rFonts w:ascii="Arial" w:eastAsia="Arial Nova" w:hAnsi="Arial" w:cs="Arial"/>
        </w:rPr>
        <w:t xml:space="preserve"> Additionally, participants were given the option to withdraw from the research at any time, and their decision to do so was respected without consequence (Appendix A, Section </w:t>
      </w:r>
      <w:r w:rsidR="5C83C820" w:rsidRPr="0047484D">
        <w:rPr>
          <w:rFonts w:ascii="Arial" w:eastAsia="Arial Nova" w:hAnsi="Arial" w:cs="Arial"/>
        </w:rPr>
        <w:t>G</w:t>
      </w:r>
      <w:r w:rsidR="27B09956" w:rsidRPr="0047484D">
        <w:rPr>
          <w:rFonts w:ascii="Arial" w:eastAsia="Arial Nova" w:hAnsi="Arial" w:cs="Arial"/>
        </w:rPr>
        <w:t>13-21).</w:t>
      </w:r>
    </w:p>
    <w:p w14:paraId="0F9E8BF3"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Risk mitigation strategies were implemented to address potential risks to participants and</w:t>
      </w:r>
      <w:r w:rsidR="16A628AD" w:rsidRPr="0047484D">
        <w:rPr>
          <w:rFonts w:ascii="Arial" w:eastAsia="Arial Nova" w:hAnsi="Arial" w:cs="Arial"/>
        </w:rPr>
        <w:t xml:space="preserve"> the</w:t>
      </w:r>
      <w:r w:rsidRPr="0047484D">
        <w:rPr>
          <w:rFonts w:ascii="Arial" w:eastAsia="Arial Nova" w:hAnsi="Arial" w:cs="Arial"/>
        </w:rPr>
        <w:t xml:space="preserve"> researcher </w:t>
      </w:r>
      <w:r w:rsidR="70E85AE1" w:rsidRPr="0047484D">
        <w:rPr>
          <w:rFonts w:ascii="Arial" w:eastAsia="Arial Nova" w:hAnsi="Arial" w:cs="Arial"/>
        </w:rPr>
        <w:t>(</w:t>
      </w:r>
      <w:r w:rsidRPr="0047484D">
        <w:rPr>
          <w:rFonts w:ascii="Arial" w:eastAsia="Arial Nova" w:hAnsi="Arial" w:cs="Arial"/>
        </w:rPr>
        <w:t>Appendix A</w:t>
      </w:r>
      <w:r w:rsidR="04D02B3E" w:rsidRPr="0047484D">
        <w:rPr>
          <w:rFonts w:ascii="Arial" w:eastAsia="Arial Nova" w:hAnsi="Arial" w:cs="Arial"/>
        </w:rPr>
        <w:t xml:space="preserve">, </w:t>
      </w:r>
      <w:r w:rsidR="6B4FCB2E" w:rsidRPr="0047484D">
        <w:rPr>
          <w:rFonts w:ascii="Arial" w:eastAsia="Arial Nova" w:hAnsi="Arial" w:cs="Arial"/>
        </w:rPr>
        <w:t xml:space="preserve">Section </w:t>
      </w:r>
      <w:r w:rsidR="04D02B3E" w:rsidRPr="0047484D">
        <w:rPr>
          <w:rFonts w:ascii="Arial" w:eastAsia="Arial Nova" w:hAnsi="Arial" w:cs="Arial"/>
        </w:rPr>
        <w:t>H 2 &amp; 4).</w:t>
      </w:r>
      <w:r w:rsidR="5B90CD54" w:rsidRPr="0047484D">
        <w:rPr>
          <w:rFonts w:ascii="Arial" w:eastAsia="Arial Nova" w:hAnsi="Arial" w:cs="Arial"/>
        </w:rPr>
        <w:t xml:space="preserve"> To mitigate these risks, robust informed consent processes were established, providing participants access to support services and ensuring the confidentiality and anonymity of their data. </w:t>
      </w:r>
      <w:r w:rsidR="47A93C57" w:rsidRPr="0047484D">
        <w:rPr>
          <w:rFonts w:ascii="Arial" w:eastAsia="Arial Nova" w:hAnsi="Arial" w:cs="Arial"/>
        </w:rPr>
        <w:t xml:space="preserve">In addition, safeguarding measures were implemented to ensure </w:t>
      </w:r>
      <w:r w:rsidR="6856C9BE" w:rsidRPr="0047484D">
        <w:rPr>
          <w:rFonts w:ascii="Arial" w:eastAsia="Arial Nova" w:hAnsi="Arial" w:cs="Arial"/>
        </w:rPr>
        <w:t>the researcher's validity, such as clarifying participant access to transcripts, providing secure interview spaces, and complying with data protection regulations (</w:t>
      </w:r>
      <w:r w:rsidR="61556DD9" w:rsidRPr="0047484D">
        <w:rPr>
          <w:rFonts w:ascii="Arial" w:eastAsia="Arial Nova" w:hAnsi="Arial" w:cs="Arial"/>
        </w:rPr>
        <w:t>Appendix A, Section J</w:t>
      </w:r>
      <w:r w:rsidR="6856C9BE" w:rsidRPr="0047484D">
        <w:rPr>
          <w:rFonts w:ascii="Arial" w:eastAsia="Arial Nova" w:hAnsi="Arial" w:cs="Arial"/>
        </w:rPr>
        <w:t>)</w:t>
      </w:r>
      <w:r w:rsidR="1C7F6FD5" w:rsidRPr="0047484D">
        <w:rPr>
          <w:rFonts w:ascii="Arial" w:eastAsia="Arial Nova" w:hAnsi="Arial" w:cs="Arial"/>
        </w:rPr>
        <w:t xml:space="preserve">. </w:t>
      </w:r>
    </w:p>
    <w:p w14:paraId="506BAF5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The University and institutional risks, including reputational damage, were carefully considered. Adherence to ethical and research standards, compliance with data regulations, and clear reporting procedures were integral to mitigating these risks (</w:t>
      </w:r>
      <w:r w:rsidR="568597DE" w:rsidRPr="0047484D">
        <w:rPr>
          <w:rFonts w:ascii="Arial" w:eastAsia="Arial Nova" w:hAnsi="Arial" w:cs="Arial"/>
        </w:rPr>
        <w:t xml:space="preserve">Appendix A, Section H </w:t>
      </w:r>
      <w:r w:rsidRPr="0047484D">
        <w:rPr>
          <w:rFonts w:ascii="Arial" w:eastAsia="Arial Nova" w:hAnsi="Arial" w:cs="Arial"/>
        </w:rPr>
        <w:t>5). Environmental risks, such as paper usage and travel, were minimi</w:t>
      </w:r>
      <w:r w:rsidR="60A35534" w:rsidRPr="0047484D">
        <w:rPr>
          <w:rFonts w:ascii="Arial" w:eastAsia="Arial Nova" w:hAnsi="Arial" w:cs="Arial"/>
        </w:rPr>
        <w:t>s</w:t>
      </w:r>
      <w:r w:rsidRPr="0047484D">
        <w:rPr>
          <w:rFonts w:ascii="Arial" w:eastAsia="Arial Nova" w:hAnsi="Arial" w:cs="Arial"/>
        </w:rPr>
        <w:t>ed through the utili</w:t>
      </w:r>
      <w:r w:rsidR="58EC66DA" w:rsidRPr="0047484D">
        <w:rPr>
          <w:rFonts w:ascii="Arial" w:eastAsia="Arial Nova" w:hAnsi="Arial" w:cs="Arial"/>
        </w:rPr>
        <w:t>s</w:t>
      </w:r>
      <w:r w:rsidRPr="0047484D">
        <w:rPr>
          <w:rFonts w:ascii="Arial" w:eastAsia="Arial Nova" w:hAnsi="Arial" w:cs="Arial"/>
        </w:rPr>
        <w:t>ation of electronic systems (</w:t>
      </w:r>
      <w:r w:rsidR="5C442DDC" w:rsidRPr="0047484D">
        <w:rPr>
          <w:rFonts w:ascii="Arial" w:eastAsia="Arial Nova" w:hAnsi="Arial" w:cs="Arial"/>
        </w:rPr>
        <w:t xml:space="preserve">Appendix A, Section H </w:t>
      </w:r>
      <w:r w:rsidRPr="0047484D">
        <w:rPr>
          <w:rFonts w:ascii="Arial" w:eastAsia="Arial Nova" w:hAnsi="Arial" w:cs="Arial"/>
        </w:rPr>
        <w:t>6).</w:t>
      </w:r>
    </w:p>
    <w:p w14:paraId="4E3249B6" w14:textId="77777777" w:rsidR="06793497" w:rsidRPr="0047484D" w:rsidRDefault="00000000" w:rsidP="0047484D">
      <w:pPr>
        <w:spacing w:line="480" w:lineRule="auto"/>
        <w:rPr>
          <w:rFonts w:ascii="Arial" w:eastAsia="Arial Nova" w:hAnsi="Arial" w:cs="Arial"/>
        </w:rPr>
      </w:pPr>
      <w:r w:rsidRPr="0047484D">
        <w:rPr>
          <w:rFonts w:ascii="Arial" w:eastAsia="Arial Nova" w:hAnsi="Arial" w:cs="Arial"/>
        </w:rPr>
        <w:t>In summary, the ethical guidelines outlined in the Ethics Form were critical in guiding the research process. These guidelines ensured the protection of participants' rights, the maintenance of anonymity and confidentiality, and the overall integrity of the study. Upholding these ethical norms is imperative for maintaining the rigo</w:t>
      </w:r>
      <w:r w:rsidR="13D88141" w:rsidRPr="0047484D">
        <w:rPr>
          <w:rFonts w:ascii="Arial" w:eastAsia="Arial Nova" w:hAnsi="Arial" w:cs="Arial"/>
        </w:rPr>
        <w:t>u</w:t>
      </w:r>
      <w:r w:rsidRPr="0047484D">
        <w:rPr>
          <w:rFonts w:ascii="Arial" w:eastAsia="Arial Nova" w:hAnsi="Arial" w:cs="Arial"/>
        </w:rPr>
        <w:t>r and credibility of the research endeavo</w:t>
      </w:r>
      <w:r w:rsidR="2DBAF7F8" w:rsidRPr="0047484D">
        <w:rPr>
          <w:rFonts w:ascii="Arial" w:eastAsia="Arial Nova" w:hAnsi="Arial" w:cs="Arial"/>
        </w:rPr>
        <w:t>u</w:t>
      </w:r>
      <w:r w:rsidRPr="0047484D">
        <w:rPr>
          <w:rFonts w:ascii="Arial" w:eastAsia="Arial Nova" w:hAnsi="Arial" w:cs="Arial"/>
        </w:rPr>
        <w:t>r.</w:t>
      </w:r>
    </w:p>
    <w:p w14:paraId="7A42B24A" w14:textId="77777777" w:rsidR="27D3C7D2" w:rsidRPr="0047484D" w:rsidRDefault="27D3C7D2" w:rsidP="0047484D">
      <w:pPr>
        <w:spacing w:line="480" w:lineRule="auto"/>
        <w:rPr>
          <w:rFonts w:ascii="Arial" w:eastAsia="Arial Nova" w:hAnsi="Arial" w:cs="Arial"/>
        </w:rPr>
      </w:pPr>
    </w:p>
    <w:p w14:paraId="6BBEC5A7" w14:textId="77777777" w:rsidR="4308C704"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Results</w:t>
      </w:r>
    </w:p>
    <w:p w14:paraId="10B192C7" w14:textId="77777777" w:rsidR="4308C704"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The data analysis revealed compelling insights into the impact of brain teaser starter activities on pupils' engagement, particularly at the start of lessons. Most pupils demonstrated heightened levels of engagement, displaying enthusiasm and eagerness upon entering the classroom to discover the day's brain teaser. However, it became apparent that the complexity of specific brain teasers posed challenges for some pupils, leading to </w:t>
      </w:r>
      <w:r w:rsidR="00B66EDC">
        <w:rPr>
          <w:rFonts w:ascii="Arial" w:eastAsia="Arial Nova" w:hAnsi="Arial" w:cs="Arial"/>
        </w:rPr>
        <w:t>decreased</w:t>
      </w:r>
      <w:r w:rsidRPr="0047484D">
        <w:rPr>
          <w:rFonts w:ascii="Arial" w:eastAsia="Arial Nova" w:hAnsi="Arial" w:cs="Arial"/>
        </w:rPr>
        <w:t xml:space="preserve"> engagement on rare occasions.</w:t>
      </w:r>
    </w:p>
    <w:p w14:paraId="0758A08E"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The findings indicate that brain teaser activities effectively captured the interest and attention of pupils, aligning with previous research highlighting the motivational benefits of such activities (Cloke, 2021). The excitement observed among pupils upon encountering brain teasers underscores their potential to create a positive and stimulating learning environment, fostering a sense of anticipation and curiosity (Nodding, 2002). This positive response resonates with literature emphasi</w:t>
      </w:r>
      <w:r w:rsidR="2D027DDA" w:rsidRPr="0047484D">
        <w:rPr>
          <w:rFonts w:ascii="Arial" w:eastAsia="Arial Nova" w:hAnsi="Arial" w:cs="Arial"/>
        </w:rPr>
        <w:t>s</w:t>
      </w:r>
      <w:r w:rsidRPr="0047484D">
        <w:rPr>
          <w:rFonts w:ascii="Arial" w:eastAsia="Arial Nova" w:hAnsi="Arial" w:cs="Arial"/>
        </w:rPr>
        <w:t>ing the importance of engaging instructional strategies in promoting learner involvement and active participation (Prince, 2004).</w:t>
      </w:r>
    </w:p>
    <w:p w14:paraId="6E142D44"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 xml:space="preserve">However, the data also revealed instances where the complexity of brain teasers exceeded the cognitive abilities of certain pupils, leading to disengagement. This highlights the importance of aligning instructional materials with learners' diverse needs and abilities, particularly in classrooms with varying attainment levels (Gardner, 1993). The findings underscore the necessity of selecting brain teasers that are appropriately </w:t>
      </w:r>
      <w:r w:rsidRPr="0047484D">
        <w:rPr>
          <w:rFonts w:ascii="Arial" w:eastAsia="Arial Nova" w:hAnsi="Arial" w:cs="Arial"/>
        </w:rPr>
        <w:lastRenderedPageBreak/>
        <w:t>challenging yet accessible to all pupils, ensuring inclusivity and maximi</w:t>
      </w:r>
      <w:r w:rsidR="4BC820A0" w:rsidRPr="0047484D">
        <w:rPr>
          <w:rFonts w:ascii="Arial" w:eastAsia="Arial Nova" w:hAnsi="Arial" w:cs="Arial"/>
        </w:rPr>
        <w:t>s</w:t>
      </w:r>
      <w:r w:rsidRPr="0047484D">
        <w:rPr>
          <w:rFonts w:ascii="Arial" w:eastAsia="Arial Nova" w:hAnsi="Arial" w:cs="Arial"/>
        </w:rPr>
        <w:t>ing engagement (Sternberg, 2018).</w:t>
      </w:r>
    </w:p>
    <w:p w14:paraId="17198710"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Considering the implications of these findings for the class and school environment, it is evident that the effective integration of brain teaser activities can enhance the overall learning experience and promote a positive classroom atmosphere. By catering to diverse learning preferences and abilities, educators can create inclusive learning environments that foster engagement and enthusiasm among all pupils (Reeve, 2012). Furthermore, the identification of brain teasers that are both engaging and cognitively appropriate can inform instructional practices and curriculum development, contributing to the enhancement of teaching and learning outcomes.</w:t>
      </w:r>
    </w:p>
    <w:p w14:paraId="495F1FF1"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The findings also underscore the importance of ongoing assessment and adaptation in instructional design, particularly in addressing learners' diverse needs. By continuously monitoring pupil engagement and soliciting feedback, educators can refine their approach to selecting and implementing brain teaser activities, ensuring their relevance and effectiveness in promoting engagement (Hattie, 2009).</w:t>
      </w:r>
    </w:p>
    <w:p w14:paraId="6159440E"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t>In linking the findings to existing literature, it is evident that the observed patterns of engagement align with theoretical frameworks emphasi</w:t>
      </w:r>
      <w:r w:rsidR="18F0CAFF" w:rsidRPr="0047484D">
        <w:rPr>
          <w:rFonts w:ascii="Arial" w:eastAsia="Arial Nova" w:hAnsi="Arial" w:cs="Arial"/>
        </w:rPr>
        <w:t>s</w:t>
      </w:r>
      <w:r w:rsidRPr="0047484D">
        <w:rPr>
          <w:rFonts w:ascii="Arial" w:eastAsia="Arial Nova" w:hAnsi="Arial" w:cs="Arial"/>
        </w:rPr>
        <w:t>ing the role of intrinsic motivation and cognitive challenge in fostering learner involvement (Fredricks, Blumenfeld, &amp; Paris, 2004). The data corroborate previous research highlighting the cognitive benefits of engaging in challenging tasks while also highlighting the importance of considering individual differences in cognitive abilities and learning preferences (Zhang and Norman, 1994, &amp; Prado, 2019).</w:t>
      </w:r>
    </w:p>
    <w:p w14:paraId="3894AF51" w14:textId="77777777" w:rsidR="5D4FBE07" w:rsidRPr="0047484D" w:rsidRDefault="00000000" w:rsidP="0047484D">
      <w:pPr>
        <w:spacing w:line="480" w:lineRule="auto"/>
        <w:rPr>
          <w:rFonts w:ascii="Arial" w:eastAsia="Arial Nova" w:hAnsi="Arial" w:cs="Arial"/>
        </w:rPr>
      </w:pPr>
      <w:r w:rsidRPr="0047484D">
        <w:rPr>
          <w:rFonts w:ascii="Arial" w:eastAsia="Arial Nova" w:hAnsi="Arial" w:cs="Arial"/>
        </w:rPr>
        <w:lastRenderedPageBreak/>
        <w:t xml:space="preserve">In summary, this study's findings underscore the potential of brain teaser starter activities to enhance pupil engagement at the start of lessons. While most pupils responded positively to these activities, the complexity of specific brain teasers posed challenges for some, highlighting the importance of carefully selecting and adapting instructional materials. </w:t>
      </w:r>
      <w:r w:rsidR="00B66EDC">
        <w:rPr>
          <w:rFonts w:ascii="Arial" w:eastAsia="Arial Nova" w:hAnsi="Arial" w:cs="Arial"/>
        </w:rPr>
        <w:t>Educators can create inclusive and engaging learning environments that promote positive learning experiences and foster academic success by aligning instructional practices with learners' diverse needs and abilities</w:t>
      </w:r>
      <w:r w:rsidRPr="0047484D">
        <w:rPr>
          <w:rFonts w:ascii="Arial" w:eastAsia="Arial Nova" w:hAnsi="Arial" w:cs="Arial"/>
        </w:rPr>
        <w:t>.</w:t>
      </w:r>
    </w:p>
    <w:p w14:paraId="3B169549" w14:textId="77777777" w:rsidR="27D3C7D2" w:rsidRPr="0047484D" w:rsidRDefault="27D3C7D2" w:rsidP="0047484D">
      <w:pPr>
        <w:spacing w:line="480" w:lineRule="auto"/>
        <w:rPr>
          <w:rFonts w:ascii="Arial" w:eastAsia="Arial Nova" w:hAnsi="Arial" w:cs="Arial"/>
        </w:rPr>
      </w:pPr>
    </w:p>
    <w:p w14:paraId="6C69E9B5" w14:textId="77777777" w:rsidR="7230ED7E" w:rsidRPr="0047484D" w:rsidRDefault="00000000" w:rsidP="0047484D">
      <w:pPr>
        <w:spacing w:line="480" w:lineRule="auto"/>
        <w:rPr>
          <w:rFonts w:ascii="Arial" w:eastAsia="Arial Nova" w:hAnsi="Arial" w:cs="Arial"/>
          <w:u w:val="single"/>
        </w:rPr>
      </w:pPr>
      <w:r w:rsidRPr="0047484D">
        <w:rPr>
          <w:rFonts w:ascii="Arial" w:eastAsia="Arial Nova" w:hAnsi="Arial" w:cs="Arial"/>
          <w:u w:val="single"/>
        </w:rPr>
        <w:t xml:space="preserve">Conclusion and Recommendations </w:t>
      </w:r>
    </w:p>
    <w:p w14:paraId="3637BCF1" w14:textId="77777777" w:rsidR="2910D81D" w:rsidRPr="0047484D" w:rsidRDefault="00000000" w:rsidP="0047484D">
      <w:pPr>
        <w:spacing w:line="480" w:lineRule="auto"/>
        <w:rPr>
          <w:rFonts w:ascii="Arial" w:eastAsia="Arial Nova" w:hAnsi="Arial" w:cs="Arial"/>
        </w:rPr>
      </w:pPr>
      <w:r>
        <w:rPr>
          <w:rFonts w:ascii="Arial" w:eastAsia="Arial Nova" w:hAnsi="Arial" w:cs="Arial"/>
        </w:rPr>
        <w:t>Several critical observations emerge from the research study conducted on learners' engagement through brain teaser starter activities</w:t>
      </w:r>
      <w:r w:rsidR="00187FFD" w:rsidRPr="0047484D">
        <w:rPr>
          <w:rFonts w:ascii="Arial" w:eastAsia="Arial Nova" w:hAnsi="Arial" w:cs="Arial"/>
        </w:rPr>
        <w:t xml:space="preserve">. Firstly, the methods employed in data collection, including observation, questionnaires, and semi-structured interviews, appeared well-suited to the study context. These methods provided a comprehensive understanding of learner engagement, capturing quantitative and qualitative insights. However, </w:t>
      </w:r>
      <w:r w:rsidR="00022779">
        <w:rPr>
          <w:rFonts w:ascii="Arial" w:eastAsia="Arial Nova" w:hAnsi="Arial" w:cs="Arial"/>
        </w:rPr>
        <w:t>it is</w:t>
      </w:r>
      <w:r w:rsidR="00187FFD" w:rsidRPr="0047484D">
        <w:rPr>
          <w:rFonts w:ascii="Arial" w:eastAsia="Arial Nova" w:hAnsi="Arial" w:cs="Arial"/>
        </w:rPr>
        <w:t xml:space="preserve"> essential to acknowledge that while these methods offer depth and richness in understanding, they may not be fully </w:t>
      </w:r>
      <w:r>
        <w:rPr>
          <w:rFonts w:ascii="Arial" w:eastAsia="Arial Nova" w:hAnsi="Arial" w:cs="Arial"/>
        </w:rPr>
        <w:t>generalisable</w:t>
      </w:r>
      <w:r w:rsidR="00187FFD" w:rsidRPr="0047484D">
        <w:rPr>
          <w:rFonts w:ascii="Arial" w:eastAsia="Arial Nova" w:hAnsi="Arial" w:cs="Arial"/>
        </w:rPr>
        <w:t xml:space="preserve"> beyond the specific context studied.</w:t>
      </w:r>
    </w:p>
    <w:p w14:paraId="13582A84"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Considering the reliability and validity of the methods, rigorous protocols were implemented to ensure data integrity and minimi</w:t>
      </w:r>
      <w:r w:rsidR="4EFDD83B" w:rsidRPr="0047484D">
        <w:rPr>
          <w:rFonts w:ascii="Arial" w:eastAsia="Arial Nova" w:hAnsi="Arial" w:cs="Arial"/>
        </w:rPr>
        <w:t>s</w:t>
      </w:r>
      <w:r w:rsidRPr="0047484D">
        <w:rPr>
          <w:rFonts w:ascii="Arial" w:eastAsia="Arial Nova" w:hAnsi="Arial" w:cs="Arial"/>
        </w:rPr>
        <w:t xml:space="preserve">e bias. Triangulating data from multiple sources enhanced the dependability of the findings, contributing to the study's credibility. However, the limited sample size and focus on a specific classroom context may restrict the generalizability of the findings to broader educational settings. Future </w:t>
      </w:r>
      <w:r w:rsidRPr="0047484D">
        <w:rPr>
          <w:rFonts w:ascii="Arial" w:eastAsia="Arial Nova" w:hAnsi="Arial" w:cs="Arial"/>
        </w:rPr>
        <w:lastRenderedPageBreak/>
        <w:t>research endeavo</w:t>
      </w:r>
      <w:r w:rsidR="4B408EB9" w:rsidRPr="0047484D">
        <w:rPr>
          <w:rFonts w:ascii="Arial" w:eastAsia="Arial Nova" w:hAnsi="Arial" w:cs="Arial"/>
        </w:rPr>
        <w:t>u</w:t>
      </w:r>
      <w:r w:rsidRPr="0047484D">
        <w:rPr>
          <w:rFonts w:ascii="Arial" w:eastAsia="Arial Nova" w:hAnsi="Arial" w:cs="Arial"/>
        </w:rPr>
        <w:t>rs could benefit from larger sample sizes and diverse contexts to enhance the external validity of the findings.</w:t>
      </w:r>
    </w:p>
    <w:p w14:paraId="3863CFF0"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Looking ahead, there are several avenues for future research exploration. </w:t>
      </w:r>
      <w:r w:rsidR="30EDAEB2" w:rsidRPr="0047484D">
        <w:rPr>
          <w:rFonts w:ascii="Arial" w:eastAsia="Arial Nova" w:hAnsi="Arial" w:cs="Arial"/>
        </w:rPr>
        <w:t>I</w:t>
      </w:r>
      <w:r w:rsidRPr="0047484D">
        <w:rPr>
          <w:rFonts w:ascii="Arial" w:eastAsia="Arial Nova" w:hAnsi="Arial" w:cs="Arial"/>
        </w:rPr>
        <w:t>nvestigating the longitudinal effects of brain teaser activities on learner engagement could provide valuable insights into the sustained impact of such interventions. Additionally, exploring the differential effects of brain teasers on diverse learner populations, including those with varying cognitive abilities and cultural backgrounds, could inform more inclusive instructional practices.</w:t>
      </w:r>
    </w:p>
    <w:p w14:paraId="682CF6B0"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This research </w:t>
      </w:r>
      <w:r w:rsidR="5BCA7C49" w:rsidRPr="0047484D">
        <w:rPr>
          <w:rFonts w:ascii="Arial" w:eastAsia="Arial Nova" w:hAnsi="Arial" w:cs="Arial"/>
        </w:rPr>
        <w:t>highlights</w:t>
      </w:r>
      <w:r w:rsidRPr="0047484D">
        <w:rPr>
          <w:rFonts w:ascii="Arial" w:eastAsia="Arial Nova" w:hAnsi="Arial" w:cs="Arial"/>
        </w:rPr>
        <w:t xml:space="preserve"> the importance of evidence-based practice and continual reflection on teaching methodologies regarding professional standards. Educators can </w:t>
      </w:r>
      <w:r w:rsidR="5492FD61" w:rsidRPr="0047484D">
        <w:rPr>
          <w:rFonts w:ascii="Arial" w:eastAsia="Arial Nova" w:hAnsi="Arial" w:cs="Arial"/>
        </w:rPr>
        <w:t>use</w:t>
      </w:r>
      <w:r w:rsidRPr="0047484D">
        <w:rPr>
          <w:rFonts w:ascii="Arial" w:eastAsia="Arial Nova" w:hAnsi="Arial" w:cs="Arial"/>
        </w:rPr>
        <w:t xml:space="preserve"> the findings to inform their instructional approaches, ensuring they align with</w:t>
      </w:r>
      <w:r w:rsidR="0DD6BAC2" w:rsidRPr="0047484D">
        <w:rPr>
          <w:rFonts w:ascii="Arial" w:eastAsia="Arial Nova" w:hAnsi="Arial" w:cs="Arial"/>
        </w:rPr>
        <w:t xml:space="preserve"> </w:t>
      </w:r>
      <w:r w:rsidRPr="0047484D">
        <w:rPr>
          <w:rFonts w:ascii="Arial" w:eastAsia="Arial Nova" w:hAnsi="Arial" w:cs="Arial"/>
        </w:rPr>
        <w:t xml:space="preserve">learner engagement and inclusivity principles. Furthermore, the emphasis on ethical considerations in research </w:t>
      </w:r>
      <w:r w:rsidR="3C152B2B" w:rsidRPr="0047484D">
        <w:rPr>
          <w:rFonts w:ascii="Arial" w:eastAsia="Arial Nova" w:hAnsi="Arial" w:cs="Arial"/>
        </w:rPr>
        <w:t>shows</w:t>
      </w:r>
      <w:r w:rsidRPr="0047484D">
        <w:rPr>
          <w:rFonts w:ascii="Arial" w:eastAsia="Arial Nova" w:hAnsi="Arial" w:cs="Arial"/>
        </w:rPr>
        <w:t xml:space="preserve"> the importance of upholding professional integrity and prioriti</w:t>
      </w:r>
      <w:r w:rsidR="6E0697D5" w:rsidRPr="0047484D">
        <w:rPr>
          <w:rFonts w:ascii="Arial" w:eastAsia="Arial Nova" w:hAnsi="Arial" w:cs="Arial"/>
        </w:rPr>
        <w:t>s</w:t>
      </w:r>
      <w:r w:rsidRPr="0047484D">
        <w:rPr>
          <w:rFonts w:ascii="Arial" w:eastAsia="Arial Nova" w:hAnsi="Arial" w:cs="Arial"/>
        </w:rPr>
        <w:t xml:space="preserve">ing the well-being of </w:t>
      </w:r>
      <w:r w:rsidR="7BDFBC97" w:rsidRPr="0047484D">
        <w:rPr>
          <w:rFonts w:ascii="Arial" w:eastAsia="Arial Nova" w:hAnsi="Arial" w:cs="Arial"/>
        </w:rPr>
        <w:t>learner</w:t>
      </w:r>
      <w:r w:rsidRPr="0047484D">
        <w:rPr>
          <w:rFonts w:ascii="Arial" w:eastAsia="Arial Nova" w:hAnsi="Arial" w:cs="Arial"/>
        </w:rPr>
        <w:t>s in educational research endeavo</w:t>
      </w:r>
      <w:r w:rsidR="11767552" w:rsidRPr="0047484D">
        <w:rPr>
          <w:rFonts w:ascii="Arial" w:eastAsia="Arial Nova" w:hAnsi="Arial" w:cs="Arial"/>
        </w:rPr>
        <w:t>u</w:t>
      </w:r>
      <w:r w:rsidRPr="0047484D">
        <w:rPr>
          <w:rFonts w:ascii="Arial" w:eastAsia="Arial Nova" w:hAnsi="Arial" w:cs="Arial"/>
        </w:rPr>
        <w:t>rs.</w:t>
      </w:r>
    </w:p>
    <w:p w14:paraId="2000A93D"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In light of the findings, several recommendations emerge. Firstly, educators should consider integrating brain teaser activities into their instructional repertoire</w:t>
      </w:r>
      <w:r w:rsidR="3C747D90" w:rsidRPr="0047484D">
        <w:rPr>
          <w:rFonts w:ascii="Arial" w:eastAsia="Arial Nova" w:hAnsi="Arial" w:cs="Arial"/>
        </w:rPr>
        <w:t xml:space="preserve"> while</w:t>
      </w:r>
      <w:r w:rsidR="39358F8F" w:rsidRPr="0047484D">
        <w:rPr>
          <w:rFonts w:ascii="Arial" w:eastAsia="Arial Nova" w:hAnsi="Arial" w:cs="Arial"/>
        </w:rPr>
        <w:t xml:space="preserve"> acknowledging</w:t>
      </w:r>
      <w:r w:rsidRPr="0047484D">
        <w:rPr>
          <w:rFonts w:ascii="Arial" w:eastAsia="Arial Nova" w:hAnsi="Arial" w:cs="Arial"/>
        </w:rPr>
        <w:t xml:space="preserve"> learners' diverse needs and abilities. Providing scaffolding and differentiation strategies can ensure that all </w:t>
      </w:r>
      <w:r w:rsidR="1DD9FC4B" w:rsidRPr="0047484D">
        <w:rPr>
          <w:rFonts w:ascii="Arial" w:eastAsia="Arial Nova" w:hAnsi="Arial" w:cs="Arial"/>
        </w:rPr>
        <w:t>pupil</w:t>
      </w:r>
      <w:r w:rsidRPr="0047484D">
        <w:rPr>
          <w:rFonts w:ascii="Arial" w:eastAsia="Arial Nova" w:hAnsi="Arial" w:cs="Arial"/>
        </w:rPr>
        <w:t>s benefit from such activities. Along with ongoing professional development and collaboration among educators</w:t>
      </w:r>
      <w:r w:rsidR="737690F1" w:rsidRPr="0047484D">
        <w:rPr>
          <w:rFonts w:ascii="Arial" w:eastAsia="Arial Nova" w:hAnsi="Arial" w:cs="Arial"/>
        </w:rPr>
        <w:t>, this</w:t>
      </w:r>
      <w:r w:rsidRPr="0047484D">
        <w:rPr>
          <w:rFonts w:ascii="Arial" w:eastAsia="Arial Nova" w:hAnsi="Arial" w:cs="Arial"/>
        </w:rPr>
        <w:t xml:space="preserve"> can facilitate the sharing of best practices and </w:t>
      </w:r>
      <w:r w:rsidR="50D34FFD" w:rsidRPr="0047484D">
        <w:rPr>
          <w:rFonts w:ascii="Arial" w:eastAsia="Arial Nova" w:hAnsi="Arial" w:cs="Arial"/>
        </w:rPr>
        <w:t xml:space="preserve">the </w:t>
      </w:r>
      <w:r w:rsidRPr="0047484D">
        <w:rPr>
          <w:rFonts w:ascii="Arial" w:eastAsia="Arial Nova" w:hAnsi="Arial" w:cs="Arial"/>
        </w:rPr>
        <w:t>refinement of instructional approaches.</w:t>
      </w:r>
    </w:p>
    <w:p w14:paraId="546940D5"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To address the challenges identified in the study, educators could explore tailored interventions, such as providing additional support for students struggling with complex </w:t>
      </w:r>
      <w:r w:rsidRPr="0047484D">
        <w:rPr>
          <w:rFonts w:ascii="Arial" w:eastAsia="Arial Nova" w:hAnsi="Arial" w:cs="Arial"/>
        </w:rPr>
        <w:lastRenderedPageBreak/>
        <w:t xml:space="preserve">brain teasers or diversifying the range of activities to cater to diverse learning </w:t>
      </w:r>
      <w:r w:rsidR="2155A317" w:rsidRPr="0047484D">
        <w:rPr>
          <w:rFonts w:ascii="Arial" w:eastAsia="Arial Nova" w:hAnsi="Arial" w:cs="Arial"/>
        </w:rPr>
        <w:t>needs</w:t>
      </w:r>
      <w:r w:rsidRPr="0047484D">
        <w:rPr>
          <w:rFonts w:ascii="Arial" w:eastAsia="Arial Nova" w:hAnsi="Arial" w:cs="Arial"/>
        </w:rPr>
        <w:t xml:space="preserve">. Moreover, fostering a supportive classroom environment that nurtures curiosity and intellectual exploration can promote positive learning experiences for all </w:t>
      </w:r>
      <w:r w:rsidR="6D75A192" w:rsidRPr="0047484D">
        <w:rPr>
          <w:rFonts w:ascii="Arial" w:eastAsia="Arial Nova" w:hAnsi="Arial" w:cs="Arial"/>
        </w:rPr>
        <w:t>pupil</w:t>
      </w:r>
      <w:r w:rsidRPr="0047484D">
        <w:rPr>
          <w:rFonts w:ascii="Arial" w:eastAsia="Arial Nova" w:hAnsi="Arial" w:cs="Arial"/>
        </w:rPr>
        <w:t>s.</w:t>
      </w:r>
    </w:p>
    <w:p w14:paraId="64E903A4" w14:textId="77777777" w:rsidR="2910D81D" w:rsidRPr="0047484D" w:rsidRDefault="00000000" w:rsidP="0047484D">
      <w:pPr>
        <w:spacing w:line="480" w:lineRule="auto"/>
        <w:rPr>
          <w:rFonts w:ascii="Arial" w:eastAsia="Arial Nova" w:hAnsi="Arial" w:cs="Arial"/>
        </w:rPr>
      </w:pPr>
      <w:r w:rsidRPr="0047484D">
        <w:rPr>
          <w:rFonts w:ascii="Arial" w:eastAsia="Arial Nova" w:hAnsi="Arial" w:cs="Arial"/>
        </w:rPr>
        <w:t xml:space="preserve">Moving forward, </w:t>
      </w:r>
      <w:r w:rsidR="00022779">
        <w:rPr>
          <w:rFonts w:ascii="Arial" w:eastAsia="Arial Nova" w:hAnsi="Arial" w:cs="Arial"/>
        </w:rPr>
        <w:t>it is</w:t>
      </w:r>
      <w:r w:rsidRPr="0047484D">
        <w:rPr>
          <w:rFonts w:ascii="Arial" w:eastAsia="Arial Nova" w:hAnsi="Arial" w:cs="Arial"/>
        </w:rPr>
        <w:t xml:space="preserve"> </w:t>
      </w:r>
      <w:r w:rsidR="20874E86" w:rsidRPr="0047484D">
        <w:rPr>
          <w:rFonts w:ascii="Arial" w:eastAsia="Arial Nova" w:hAnsi="Arial" w:cs="Arial"/>
        </w:rPr>
        <w:t>essent</w:t>
      </w:r>
      <w:r w:rsidRPr="0047484D">
        <w:rPr>
          <w:rFonts w:ascii="Arial" w:eastAsia="Arial Nova" w:hAnsi="Arial" w:cs="Arial"/>
        </w:rPr>
        <w:t xml:space="preserve">ial to </w:t>
      </w:r>
      <w:r w:rsidR="0E99E983" w:rsidRPr="0047484D">
        <w:rPr>
          <w:rFonts w:ascii="Arial" w:eastAsia="Arial Nova" w:hAnsi="Arial" w:cs="Arial"/>
        </w:rPr>
        <w:t>use</w:t>
      </w:r>
      <w:r w:rsidRPr="0047484D">
        <w:rPr>
          <w:rFonts w:ascii="Arial" w:eastAsia="Arial Nova" w:hAnsi="Arial" w:cs="Arial"/>
        </w:rPr>
        <w:t xml:space="preserve"> the findings of this research to inform further inquiry and innovation in educational practice. By embracing evidence-based approaches and fostering a culture of inquiry, educators can continually enhance teaching and learning outcomes, ultimately promoting academic success and well-being for all learners.</w:t>
      </w:r>
    </w:p>
    <w:p w14:paraId="5A3DA9BB" w14:textId="77777777" w:rsidR="66EA5948" w:rsidRDefault="66EA5948" w:rsidP="0047484D">
      <w:pPr>
        <w:spacing w:line="480" w:lineRule="auto"/>
        <w:rPr>
          <w:rFonts w:ascii="Arial" w:eastAsia="Roboto" w:hAnsi="Arial" w:cs="Arial"/>
          <w:color w:val="111111"/>
        </w:rPr>
      </w:pPr>
    </w:p>
    <w:p w14:paraId="0AA54E24" w14:textId="77777777" w:rsidR="002A64FF" w:rsidRDefault="002A64FF" w:rsidP="0047484D">
      <w:pPr>
        <w:spacing w:line="480" w:lineRule="auto"/>
        <w:rPr>
          <w:rFonts w:ascii="Arial" w:eastAsia="Roboto" w:hAnsi="Arial" w:cs="Arial"/>
          <w:color w:val="111111"/>
        </w:rPr>
      </w:pPr>
    </w:p>
    <w:p w14:paraId="02B38171" w14:textId="77777777" w:rsidR="002A64FF" w:rsidRDefault="002A64FF" w:rsidP="0047484D">
      <w:pPr>
        <w:spacing w:line="480" w:lineRule="auto"/>
        <w:rPr>
          <w:rFonts w:ascii="Arial" w:eastAsia="Roboto" w:hAnsi="Arial" w:cs="Arial"/>
          <w:color w:val="111111"/>
        </w:rPr>
      </w:pPr>
    </w:p>
    <w:p w14:paraId="3B796EAB" w14:textId="77777777" w:rsidR="002A64FF" w:rsidRDefault="002A64FF" w:rsidP="0047484D">
      <w:pPr>
        <w:spacing w:line="480" w:lineRule="auto"/>
        <w:rPr>
          <w:rFonts w:ascii="Arial" w:eastAsia="Roboto" w:hAnsi="Arial" w:cs="Arial"/>
          <w:color w:val="111111"/>
        </w:rPr>
      </w:pPr>
    </w:p>
    <w:p w14:paraId="3C976CD1" w14:textId="77777777" w:rsidR="002A64FF" w:rsidRDefault="002A64FF" w:rsidP="0047484D">
      <w:pPr>
        <w:spacing w:line="480" w:lineRule="auto"/>
        <w:rPr>
          <w:rFonts w:ascii="Arial" w:eastAsia="Roboto" w:hAnsi="Arial" w:cs="Arial"/>
          <w:color w:val="111111"/>
        </w:rPr>
      </w:pPr>
    </w:p>
    <w:p w14:paraId="18365E7A" w14:textId="77777777" w:rsidR="002A64FF" w:rsidRDefault="002A64FF" w:rsidP="0047484D">
      <w:pPr>
        <w:spacing w:line="480" w:lineRule="auto"/>
        <w:rPr>
          <w:rFonts w:ascii="Arial" w:eastAsia="Roboto" w:hAnsi="Arial" w:cs="Arial"/>
          <w:color w:val="111111"/>
        </w:rPr>
      </w:pPr>
    </w:p>
    <w:p w14:paraId="54514A21" w14:textId="77777777" w:rsidR="00397A89" w:rsidRDefault="00397A89" w:rsidP="0047484D">
      <w:pPr>
        <w:spacing w:line="480" w:lineRule="auto"/>
        <w:rPr>
          <w:rFonts w:ascii="Arial" w:eastAsia="Roboto" w:hAnsi="Arial" w:cs="Arial"/>
          <w:color w:val="111111"/>
        </w:rPr>
      </w:pPr>
    </w:p>
    <w:p w14:paraId="0661FFD7" w14:textId="77777777" w:rsidR="00397A89" w:rsidRDefault="00397A89" w:rsidP="0047484D">
      <w:pPr>
        <w:spacing w:line="480" w:lineRule="auto"/>
        <w:rPr>
          <w:rFonts w:ascii="Arial" w:eastAsia="Roboto" w:hAnsi="Arial" w:cs="Arial"/>
          <w:color w:val="111111"/>
        </w:rPr>
      </w:pPr>
    </w:p>
    <w:p w14:paraId="43EF2BC4" w14:textId="77777777" w:rsidR="00397A89" w:rsidRDefault="00397A89" w:rsidP="0047484D">
      <w:pPr>
        <w:spacing w:line="480" w:lineRule="auto"/>
        <w:rPr>
          <w:rFonts w:ascii="Arial" w:eastAsia="Roboto" w:hAnsi="Arial" w:cs="Arial"/>
          <w:color w:val="111111"/>
        </w:rPr>
      </w:pPr>
    </w:p>
    <w:p w14:paraId="3A800565" w14:textId="77777777" w:rsidR="00397A89" w:rsidRDefault="00397A89" w:rsidP="0047484D">
      <w:pPr>
        <w:spacing w:line="480" w:lineRule="auto"/>
        <w:rPr>
          <w:rFonts w:ascii="Arial" w:eastAsia="Roboto" w:hAnsi="Arial" w:cs="Arial"/>
          <w:color w:val="111111"/>
        </w:rPr>
      </w:pPr>
    </w:p>
    <w:p w14:paraId="491C69C0" w14:textId="77777777" w:rsidR="00397A89" w:rsidRDefault="00397A89" w:rsidP="0047484D">
      <w:pPr>
        <w:spacing w:line="480" w:lineRule="auto"/>
        <w:rPr>
          <w:rFonts w:ascii="Arial" w:eastAsia="Roboto" w:hAnsi="Arial" w:cs="Arial"/>
          <w:color w:val="111111"/>
        </w:rPr>
      </w:pPr>
    </w:p>
    <w:p w14:paraId="15A0C24B" w14:textId="77777777" w:rsidR="00E97D10" w:rsidRDefault="00E97D10" w:rsidP="0047484D">
      <w:pPr>
        <w:spacing w:line="480" w:lineRule="auto"/>
        <w:rPr>
          <w:rFonts w:ascii="Arial" w:eastAsia="Roboto" w:hAnsi="Arial" w:cs="Arial"/>
          <w:color w:val="111111"/>
        </w:rPr>
      </w:pPr>
    </w:p>
    <w:p w14:paraId="67EB92F9" w14:textId="3C409BAB" w:rsidR="6E9A6386" w:rsidRPr="0047484D" w:rsidRDefault="00000000" w:rsidP="0047484D">
      <w:pPr>
        <w:spacing w:line="480" w:lineRule="auto"/>
        <w:rPr>
          <w:rFonts w:ascii="Arial" w:hAnsi="Arial" w:cs="Arial"/>
          <w:u w:val="single"/>
        </w:rPr>
      </w:pPr>
      <w:r w:rsidRPr="0047484D">
        <w:rPr>
          <w:rFonts w:ascii="Arial" w:hAnsi="Arial" w:cs="Arial"/>
          <w:u w:val="single"/>
        </w:rPr>
        <w:lastRenderedPageBreak/>
        <w:t>Reference List</w:t>
      </w:r>
    </w:p>
    <w:p w14:paraId="5372481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Achterberg, C. (1988). ‘Factors that influence learner readiness’. </w:t>
      </w:r>
      <w:r w:rsidRPr="0047484D">
        <w:rPr>
          <w:rFonts w:ascii="Arial" w:hAnsi="Arial" w:cs="Arial"/>
          <w:i/>
          <w:iCs/>
        </w:rPr>
        <w:t>Perspectives in Practice</w:t>
      </w:r>
      <w:r w:rsidRPr="0047484D">
        <w:rPr>
          <w:rFonts w:ascii="Arial" w:hAnsi="Arial" w:cs="Arial"/>
        </w:rPr>
        <w:t xml:space="preserve">, 88(11), 1426–1428. Available at: </w:t>
      </w:r>
      <w:hyperlink r:id="rId10">
        <w:r w:rsidRPr="0047484D">
          <w:rPr>
            <w:rStyle w:val="Hyperlink"/>
            <w:rFonts w:ascii="Arial" w:hAnsi="Arial" w:cs="Arial"/>
          </w:rPr>
          <w:t>https://doi.org/10.1016/S0002-8223(21)08029-9</w:t>
        </w:r>
      </w:hyperlink>
      <w:r w:rsidRPr="0047484D">
        <w:rPr>
          <w:rFonts w:ascii="Arial" w:hAnsi="Arial" w:cs="Arial"/>
        </w:rPr>
        <w:t xml:space="preserve"> (Accessed: 5</w:t>
      </w:r>
      <w:r w:rsidRPr="0047484D">
        <w:rPr>
          <w:rFonts w:ascii="Arial" w:hAnsi="Arial" w:cs="Arial"/>
          <w:vertAlign w:val="superscript"/>
        </w:rPr>
        <w:t>th</w:t>
      </w:r>
      <w:r w:rsidRPr="0047484D">
        <w:rPr>
          <w:rFonts w:ascii="Arial" w:hAnsi="Arial" w:cs="Arial"/>
        </w:rPr>
        <w:t xml:space="preserve"> May 2024)</w:t>
      </w:r>
    </w:p>
    <w:p w14:paraId="6243F72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Altun, M., Hazar, M., &amp; Hazar, Z. (2016). ‘Investigation of the Effects of Brain Teasers on Attention Spans of Pre-School Children’. </w:t>
      </w:r>
      <w:r w:rsidRPr="0047484D">
        <w:rPr>
          <w:rFonts w:ascii="Arial" w:hAnsi="Arial" w:cs="Arial"/>
          <w:i/>
          <w:iCs/>
        </w:rPr>
        <w:t>International Journal of Environmental &amp; Science Education</w:t>
      </w:r>
      <w:r w:rsidRPr="0047484D">
        <w:rPr>
          <w:rFonts w:ascii="Arial" w:hAnsi="Arial" w:cs="Arial"/>
        </w:rPr>
        <w:t xml:space="preserve">, 11(15), Available at: </w:t>
      </w:r>
      <w:hyperlink r:id="rId11">
        <w:r w:rsidRPr="0047484D">
          <w:rPr>
            <w:rStyle w:val="Hyperlink"/>
            <w:rFonts w:ascii="Arial" w:hAnsi="Arial" w:cs="Arial"/>
          </w:rPr>
          <w:t>https://files.eric.ed.gov/fulltext/EJ1118315.pdf</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646CEBA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Anderson, J. R. (2005). Cognitive psychology and its implications (6th ed.). Worth Publishers.</w:t>
      </w:r>
    </w:p>
    <w:p w14:paraId="419A569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Babbie, E. R. (2021). </w:t>
      </w:r>
      <w:r w:rsidRPr="0047484D">
        <w:rPr>
          <w:rFonts w:ascii="Arial" w:hAnsi="Arial" w:cs="Arial"/>
          <w:i/>
          <w:iCs/>
        </w:rPr>
        <w:t>The practice of social research</w:t>
      </w:r>
      <w:r w:rsidRPr="0047484D">
        <w:rPr>
          <w:rFonts w:ascii="Arial" w:hAnsi="Arial" w:cs="Arial"/>
        </w:rPr>
        <w:t xml:space="preserve"> (Fifteenth Edition.). Cengage.</w:t>
      </w:r>
    </w:p>
    <w:p w14:paraId="58F9AE2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Baxter, P., &amp; Jack, S. (2015). ‘Qualitative Case Study Methodology: Study Design and Implementation for Novice Researchers’. </w:t>
      </w:r>
      <w:r w:rsidRPr="0047484D">
        <w:rPr>
          <w:rFonts w:ascii="Arial" w:hAnsi="Arial" w:cs="Arial"/>
          <w:i/>
          <w:iCs/>
        </w:rPr>
        <w:t>Qualitative Report</w:t>
      </w:r>
      <w:r w:rsidRPr="0047484D">
        <w:rPr>
          <w:rFonts w:ascii="Arial" w:hAnsi="Arial" w:cs="Arial"/>
        </w:rPr>
        <w:t xml:space="preserve">. Available at: </w:t>
      </w:r>
      <w:hyperlink r:id="rId12">
        <w:r w:rsidRPr="0047484D">
          <w:rPr>
            <w:rStyle w:val="Hyperlink"/>
            <w:rFonts w:ascii="Arial" w:hAnsi="Arial" w:cs="Arial"/>
          </w:rPr>
          <w:t>https://doi.org/10.46743/2160-3715/2008.1573</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7D9B2EA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Berger, R. (2015). ‘Now I see it, now I don’t: researcher’s position and reflexivity in qualitative research’. </w:t>
      </w:r>
      <w:r w:rsidRPr="0047484D">
        <w:rPr>
          <w:rFonts w:ascii="Arial" w:hAnsi="Arial" w:cs="Arial"/>
          <w:i/>
          <w:iCs/>
        </w:rPr>
        <w:t>Qualitative Research</w:t>
      </w:r>
      <w:r w:rsidRPr="0047484D">
        <w:rPr>
          <w:rFonts w:ascii="Arial" w:hAnsi="Arial" w:cs="Arial"/>
        </w:rPr>
        <w:t xml:space="preserve">, 15(2), 219–234. Available at: </w:t>
      </w:r>
      <w:hyperlink r:id="rId13">
        <w:r w:rsidRPr="0047484D">
          <w:rPr>
            <w:rStyle w:val="Hyperlink"/>
            <w:rFonts w:ascii="Arial" w:hAnsi="Arial" w:cs="Arial"/>
          </w:rPr>
          <w:t>https://doi.org/10.1177/1468794112468475</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455A0C7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Berns, G. S., &amp; Moore, S. E. (2012). ‘A neural predictor of cultural popularity’. </w:t>
      </w:r>
      <w:r w:rsidRPr="0047484D">
        <w:rPr>
          <w:rFonts w:ascii="Arial" w:hAnsi="Arial" w:cs="Arial"/>
          <w:i/>
          <w:iCs/>
        </w:rPr>
        <w:t>Journal of Consumer Psychology</w:t>
      </w:r>
      <w:r w:rsidRPr="0047484D">
        <w:rPr>
          <w:rFonts w:ascii="Arial" w:hAnsi="Arial" w:cs="Arial"/>
        </w:rPr>
        <w:t xml:space="preserve">, 22(1), 154–160. Available at: </w:t>
      </w:r>
      <w:hyperlink r:id="rId14">
        <w:r w:rsidRPr="0047484D">
          <w:rPr>
            <w:rStyle w:val="Hyperlink"/>
            <w:rFonts w:ascii="Arial" w:hAnsi="Arial" w:cs="Arial"/>
          </w:rPr>
          <w:t>https://doi.org/10.1016/j.jcps.2011.05.001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A9C3F6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Blair, C. (2002). 'School Readiness: Integrating Cognition and Emotion in a Neurobiological Conceptualisation of Children's Functioning at School Entry'.</w:t>
      </w:r>
      <w:r w:rsidRPr="0047484D">
        <w:rPr>
          <w:rFonts w:ascii="Arial" w:hAnsi="Arial" w:cs="Arial"/>
          <w:i/>
          <w:iCs/>
        </w:rPr>
        <w:t xml:space="preserve"> The American Psychologist</w:t>
      </w:r>
      <w:r w:rsidRPr="0047484D">
        <w:rPr>
          <w:rFonts w:ascii="Arial" w:hAnsi="Arial" w:cs="Arial"/>
        </w:rPr>
        <w:t xml:space="preserve">, 57(2), 111–127. Available at: </w:t>
      </w:r>
      <w:hyperlink r:id="rId15">
        <w:r w:rsidRPr="0047484D">
          <w:rPr>
            <w:rStyle w:val="Hyperlink"/>
            <w:rFonts w:ascii="Arial" w:hAnsi="Arial" w:cs="Arial"/>
          </w:rPr>
          <w:t>https://doi.org/10.1037/0003-066X.57.2.111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739A2B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Bloomberg, L.D. &amp; Volpe, M. (2019) </w:t>
      </w:r>
      <w:r w:rsidRPr="0047484D">
        <w:rPr>
          <w:rFonts w:ascii="Arial" w:hAnsi="Arial" w:cs="Arial"/>
          <w:i/>
          <w:iCs/>
        </w:rPr>
        <w:t>Completing your Qualitative Dissertation: A road map from beginning to end (</w:t>
      </w:r>
      <w:r w:rsidRPr="0047484D">
        <w:rPr>
          <w:rFonts w:ascii="Arial" w:hAnsi="Arial" w:cs="Arial"/>
        </w:rPr>
        <w:t>4th ed). CA: Sage.</w:t>
      </w:r>
    </w:p>
    <w:p w14:paraId="0924453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Bodrova, E., &amp; Leong, D. J. (2007). </w:t>
      </w:r>
      <w:r w:rsidRPr="0047484D">
        <w:rPr>
          <w:rFonts w:ascii="Arial" w:hAnsi="Arial" w:cs="Arial"/>
          <w:i/>
          <w:iCs/>
        </w:rPr>
        <w:t>Tools of the Mind: The Vygotskian Approach to Early Childhood Education</w:t>
      </w:r>
      <w:r w:rsidRPr="0047484D">
        <w:rPr>
          <w:rFonts w:ascii="Arial" w:hAnsi="Arial" w:cs="Arial"/>
        </w:rPr>
        <w:t xml:space="preserve"> (2nd ed.). Upper Saddle River, New Jersey: Pearson Merrill Prentice Hall.</w:t>
      </w:r>
    </w:p>
    <w:p w14:paraId="4F7EFBD5"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Borich, G. (2016). </w:t>
      </w:r>
      <w:r w:rsidRPr="0047484D">
        <w:rPr>
          <w:rFonts w:ascii="Arial" w:hAnsi="Arial" w:cs="Arial"/>
          <w:i/>
          <w:iCs/>
        </w:rPr>
        <w:t>Observation Skills for Effective Teaching</w:t>
      </w:r>
      <w:r w:rsidRPr="0047484D">
        <w:rPr>
          <w:rFonts w:ascii="Arial" w:hAnsi="Arial" w:cs="Arial"/>
        </w:rPr>
        <w:t xml:space="preserve"> (7th ed.). Taylor and Francis.</w:t>
      </w:r>
    </w:p>
    <w:p w14:paraId="558FF976"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Brace, I. (2018) </w:t>
      </w:r>
      <w:r w:rsidRPr="0047484D">
        <w:rPr>
          <w:rFonts w:ascii="Arial" w:hAnsi="Arial" w:cs="Arial"/>
          <w:i/>
          <w:iCs/>
        </w:rPr>
        <w:t>Questionnaire Design (4th edition)</w:t>
      </w:r>
      <w:r w:rsidRPr="0047484D">
        <w:rPr>
          <w:rFonts w:ascii="Arial" w:hAnsi="Arial" w:cs="Arial"/>
        </w:rPr>
        <w:t>. London: Kogan Page</w:t>
      </w:r>
    </w:p>
    <w:p w14:paraId="0F6210F7"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Braun, V., &amp; Clarke, V. (2006). ‘Using thematic analysis in psychology’. </w:t>
      </w:r>
      <w:r w:rsidRPr="0047484D">
        <w:rPr>
          <w:rFonts w:ascii="Arial" w:hAnsi="Arial" w:cs="Arial"/>
          <w:i/>
          <w:iCs/>
        </w:rPr>
        <w:t>Qualitative Research in Psychology</w:t>
      </w:r>
      <w:r w:rsidRPr="0047484D">
        <w:rPr>
          <w:rFonts w:ascii="Arial" w:hAnsi="Arial" w:cs="Arial"/>
        </w:rPr>
        <w:t xml:space="preserve">, 3(2), 77–101. Available at: </w:t>
      </w:r>
      <w:hyperlink r:id="rId16">
        <w:r w:rsidRPr="0047484D">
          <w:rPr>
            <w:rStyle w:val="Hyperlink"/>
            <w:rFonts w:ascii="Arial" w:hAnsi="Arial" w:cs="Arial"/>
          </w:rPr>
          <w:t>https://doi.org/10.1191/1478088706qp063oa</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4031993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Brierley, R. (2021). Ready to learn. Nature Physics, 17(12), 1282–1282. Available at: </w:t>
      </w:r>
      <w:hyperlink r:id="rId17">
        <w:r w:rsidRPr="0047484D">
          <w:rPr>
            <w:rStyle w:val="Hyperlink"/>
            <w:rFonts w:ascii="Arial" w:hAnsi="Arial" w:cs="Arial"/>
          </w:rPr>
          <w:t>https://doi.org/10.1038/s41567-021-01472-0</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9CEAEE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Brisson, J., &amp; Markovits, H. (2020). ‘Reasoning strategies and semantic memory effects in deductive reasoning’. </w:t>
      </w:r>
      <w:r w:rsidRPr="0047484D">
        <w:rPr>
          <w:rFonts w:ascii="Arial" w:hAnsi="Arial" w:cs="Arial"/>
          <w:i/>
          <w:iCs/>
        </w:rPr>
        <w:t>Memory &amp; Cognition</w:t>
      </w:r>
      <w:r w:rsidRPr="0047484D">
        <w:rPr>
          <w:rFonts w:ascii="Arial" w:hAnsi="Arial" w:cs="Arial"/>
        </w:rPr>
        <w:t xml:space="preserve">, 48(6), 920–930. Available at </w:t>
      </w:r>
      <w:hyperlink r:id="rId18">
        <w:r w:rsidRPr="0047484D">
          <w:rPr>
            <w:rStyle w:val="Hyperlink"/>
            <w:rFonts w:ascii="Arial" w:hAnsi="Arial" w:cs="Arial"/>
          </w:rPr>
          <w:t>https://doi.org/10.3758/s13421-020-01027-3</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19181C4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Bronkhorst, H., Roorda, G., Suhre, C., &amp; Goedhart, M. (2020). ‘Logical Reasoning in Formal and Everyday Reasoning Tasks’. </w:t>
      </w:r>
      <w:r w:rsidRPr="0047484D">
        <w:rPr>
          <w:rFonts w:ascii="Arial" w:hAnsi="Arial" w:cs="Arial"/>
          <w:i/>
          <w:iCs/>
        </w:rPr>
        <w:t xml:space="preserve">International Journal of </w:t>
      </w:r>
      <w:r w:rsidRPr="0047484D">
        <w:rPr>
          <w:rFonts w:ascii="Arial" w:hAnsi="Arial" w:cs="Arial"/>
          <w:i/>
          <w:iCs/>
        </w:rPr>
        <w:lastRenderedPageBreak/>
        <w:t>Science and Mathematics Education</w:t>
      </w:r>
      <w:r w:rsidRPr="0047484D">
        <w:rPr>
          <w:rFonts w:ascii="Arial" w:hAnsi="Arial" w:cs="Arial"/>
        </w:rPr>
        <w:t xml:space="preserve">, 18, 1673–1694. Available at: </w:t>
      </w:r>
      <w:hyperlink r:id="rId19">
        <w:r w:rsidRPr="0047484D">
          <w:rPr>
            <w:rStyle w:val="Hyperlink"/>
            <w:rFonts w:ascii="Arial" w:hAnsi="Arial" w:cs="Arial"/>
          </w:rPr>
          <w:t>https://doi.org/10.1007/s10763-019-10039-8</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4D00784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Bryman, Alan. (2016). </w:t>
      </w:r>
      <w:r w:rsidRPr="0047484D">
        <w:rPr>
          <w:rFonts w:ascii="Arial" w:hAnsi="Arial" w:cs="Arial"/>
          <w:i/>
          <w:iCs/>
        </w:rPr>
        <w:t>Social research methods (5th ed.)</w:t>
      </w:r>
      <w:r w:rsidRPr="0047484D">
        <w:rPr>
          <w:rFonts w:ascii="Arial" w:hAnsi="Arial" w:cs="Arial"/>
        </w:rPr>
        <w:t>. Oxford University Press.</w:t>
      </w:r>
    </w:p>
    <w:p w14:paraId="2613EC87"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Byrnes, J. P. (2001). </w:t>
      </w:r>
      <w:r w:rsidRPr="0047484D">
        <w:rPr>
          <w:rFonts w:ascii="Arial" w:hAnsi="Arial" w:cs="Arial"/>
          <w:i/>
          <w:iCs/>
        </w:rPr>
        <w:t>Minds, brains, and learning: Understanding the psychological and educational relevance of neuroscientific research</w:t>
      </w:r>
      <w:r w:rsidRPr="0047484D">
        <w:rPr>
          <w:rFonts w:ascii="Arial" w:hAnsi="Arial" w:cs="Arial"/>
        </w:rPr>
        <w:t>. Guilford Press.</w:t>
      </w:r>
    </w:p>
    <w:p w14:paraId="6565C69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Chorrojprasert, L. (2020). ‘Learner Readiness – Why and How Should They Be Ready?’</w:t>
      </w:r>
      <w:r w:rsidRPr="0047484D">
        <w:rPr>
          <w:rFonts w:ascii="Arial" w:hAnsi="Arial" w:cs="Arial"/>
          <w:i/>
          <w:iCs/>
        </w:rPr>
        <w:t xml:space="preserve"> LEARN Journal: Language Education and Acquisition Research Network Journal,</w:t>
      </w:r>
      <w:r w:rsidRPr="0047484D">
        <w:rPr>
          <w:rFonts w:ascii="Arial" w:hAnsi="Arial" w:cs="Arial"/>
        </w:rPr>
        <w:t xml:space="preserve"> 13(1), 268. Available at: </w:t>
      </w:r>
      <w:hyperlink r:id="rId20">
        <w:r w:rsidRPr="0047484D">
          <w:rPr>
            <w:rStyle w:val="Hyperlink"/>
            <w:rFonts w:ascii="Arial" w:hAnsi="Arial" w:cs="Arial"/>
          </w:rPr>
          <w:t>https://files.eric.ed.gov/fulltext/EJ1242968.pdf</w:t>
        </w:r>
      </w:hyperlink>
      <w:r w:rsidRPr="0047484D">
        <w:rPr>
          <w:rFonts w:ascii="Arial" w:hAnsi="Arial" w:cs="Arial"/>
        </w:rPr>
        <w:t xml:space="preserve"> (Accessed: 5</w:t>
      </w:r>
      <w:r w:rsidRPr="0047484D">
        <w:rPr>
          <w:rFonts w:ascii="Arial" w:hAnsi="Arial" w:cs="Arial"/>
          <w:vertAlign w:val="superscript"/>
        </w:rPr>
        <w:t>th</w:t>
      </w:r>
      <w:r w:rsidRPr="0047484D">
        <w:rPr>
          <w:rFonts w:ascii="Arial" w:hAnsi="Arial" w:cs="Arial"/>
        </w:rPr>
        <w:t xml:space="preserve"> May 2024)</w:t>
      </w:r>
    </w:p>
    <w:p w14:paraId="0C81717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Cloke, H. (2021). The Neuroscience of Learner Engagement: Insights for Effective Learning. Brain Science, Engagement, Growth Engineering. Available at: </w:t>
      </w:r>
      <w:hyperlink r:id="rId21">
        <w:r w:rsidRPr="0047484D">
          <w:rPr>
            <w:rStyle w:val="Hyperlink"/>
            <w:rFonts w:ascii="Arial" w:hAnsi="Arial" w:cs="Arial"/>
          </w:rPr>
          <w:t>https://www.growthengineering.co.uk/the-neuroscience-of-learner-engagement/</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2021)</w:t>
      </w:r>
    </w:p>
    <w:p w14:paraId="5CEBBD4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Cohen, J., McCabe, L., Michelli, N. M., &amp; Pickeral, T. (2009). ‘School Climate: Research, Policy, Practice, and Teacher Education’. </w:t>
      </w:r>
      <w:r w:rsidRPr="0047484D">
        <w:rPr>
          <w:rFonts w:ascii="Arial" w:hAnsi="Arial" w:cs="Arial"/>
          <w:i/>
          <w:iCs/>
        </w:rPr>
        <w:t xml:space="preserve">Teachers College Record </w:t>
      </w:r>
      <w:r w:rsidRPr="0047484D">
        <w:rPr>
          <w:rFonts w:ascii="Arial" w:hAnsi="Arial" w:cs="Arial"/>
        </w:rPr>
        <w:t xml:space="preserve">(1970), 111(1), 180–213. Available at: </w:t>
      </w:r>
      <w:hyperlink r:id="rId22">
        <w:r w:rsidRPr="0047484D">
          <w:rPr>
            <w:rStyle w:val="Hyperlink"/>
            <w:rFonts w:ascii="Arial" w:hAnsi="Arial" w:cs="Arial"/>
          </w:rPr>
          <w:t>https://doi.org/10.1177/016146810911100108</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AC9F43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Cohen, L., Manion, Lawrence., Morrison, K. (Keith R. B. ), &amp; Bell, Richard. (2011). </w:t>
      </w:r>
      <w:r w:rsidRPr="0047484D">
        <w:rPr>
          <w:rFonts w:ascii="Arial" w:hAnsi="Arial" w:cs="Arial"/>
          <w:i/>
          <w:iCs/>
        </w:rPr>
        <w:t>Research methods in education (7th ed.)</w:t>
      </w:r>
      <w:r w:rsidRPr="0047484D">
        <w:rPr>
          <w:rFonts w:ascii="Arial" w:hAnsi="Arial" w:cs="Arial"/>
        </w:rPr>
        <w:t>. Routledge.</w:t>
      </w:r>
    </w:p>
    <w:p w14:paraId="10AB83A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Creswell, </w:t>
      </w:r>
      <w:r>
        <w:rPr>
          <w:rFonts w:ascii="Arial" w:hAnsi="Arial" w:cs="Arial"/>
        </w:rPr>
        <w:t>J. W. (2012).</w:t>
      </w:r>
      <w:r w:rsidRPr="0047484D">
        <w:rPr>
          <w:rFonts w:ascii="Arial" w:hAnsi="Arial" w:cs="Arial"/>
        </w:rPr>
        <w:t xml:space="preserve"> </w:t>
      </w:r>
      <w:r w:rsidRPr="0047484D">
        <w:rPr>
          <w:rFonts w:ascii="Arial" w:hAnsi="Arial" w:cs="Arial"/>
          <w:i/>
          <w:iCs/>
        </w:rPr>
        <w:t>Educational research: Planning, conducting, and evaluating quantitative and qualitative research (4th edition)</w:t>
      </w:r>
      <w:r w:rsidRPr="0047484D">
        <w:rPr>
          <w:rFonts w:ascii="Arial" w:hAnsi="Arial" w:cs="Arial"/>
        </w:rPr>
        <w:t>. Boston: Pearson.</w:t>
      </w:r>
    </w:p>
    <w:p w14:paraId="1EE6800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Creswell, J. W., &amp; Poth, C. N. (2017). </w:t>
      </w:r>
      <w:r w:rsidRPr="0047484D">
        <w:rPr>
          <w:rFonts w:ascii="Arial" w:hAnsi="Arial" w:cs="Arial"/>
          <w:i/>
          <w:iCs/>
        </w:rPr>
        <w:t xml:space="preserve">Qualitative inquiry and research design: Choosing among five approaches </w:t>
      </w:r>
      <w:r w:rsidRPr="0047484D">
        <w:rPr>
          <w:rFonts w:ascii="Arial" w:hAnsi="Arial" w:cs="Arial"/>
        </w:rPr>
        <w:t>(4</w:t>
      </w:r>
      <w:r w:rsidRPr="0047484D">
        <w:rPr>
          <w:rFonts w:ascii="Arial" w:hAnsi="Arial" w:cs="Arial"/>
          <w:vertAlign w:val="superscript"/>
        </w:rPr>
        <w:t>th</w:t>
      </w:r>
      <w:r w:rsidRPr="0047484D">
        <w:rPr>
          <w:rFonts w:ascii="Arial" w:hAnsi="Arial" w:cs="Arial"/>
        </w:rPr>
        <w:t xml:space="preserve"> ed). Sage Publications.</w:t>
      </w:r>
    </w:p>
    <w:p w14:paraId="0BCB392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Denzin, N. K., &amp; Lincoln, Y. S. (2011). </w:t>
      </w:r>
      <w:r w:rsidRPr="0047484D">
        <w:rPr>
          <w:rFonts w:ascii="Arial" w:hAnsi="Arial" w:cs="Arial"/>
          <w:i/>
          <w:iCs/>
        </w:rPr>
        <w:t xml:space="preserve">The Sage </w:t>
      </w:r>
      <w:r>
        <w:rPr>
          <w:rFonts w:ascii="Arial" w:hAnsi="Arial" w:cs="Arial"/>
          <w:i/>
          <w:iCs/>
        </w:rPr>
        <w:t>Handbook</w:t>
      </w:r>
      <w:r w:rsidRPr="0047484D">
        <w:rPr>
          <w:rFonts w:ascii="Arial" w:hAnsi="Arial" w:cs="Arial"/>
          <w:i/>
          <w:iCs/>
        </w:rPr>
        <w:t xml:space="preserve"> of </w:t>
      </w:r>
      <w:r>
        <w:rPr>
          <w:rFonts w:ascii="Arial" w:hAnsi="Arial" w:cs="Arial"/>
          <w:i/>
          <w:iCs/>
        </w:rPr>
        <w:t>Qualitative Research</w:t>
      </w:r>
      <w:r w:rsidRPr="0047484D">
        <w:rPr>
          <w:rFonts w:ascii="Arial" w:hAnsi="Arial" w:cs="Arial"/>
          <w:i/>
          <w:iCs/>
        </w:rPr>
        <w:t xml:space="preserve"> (4th ed.).</w:t>
      </w:r>
      <w:r w:rsidRPr="0047484D">
        <w:rPr>
          <w:rFonts w:ascii="Arial" w:hAnsi="Arial" w:cs="Arial"/>
        </w:rPr>
        <w:t xml:space="preserve"> Sage.</w:t>
      </w:r>
    </w:p>
    <w:p w14:paraId="0E5C837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Dikko, M. (2016). ‘Establishing Construct Validity and Reliability: Pilot Testing of a Qualitative Interview for Research in Takaful (Islamic Insurance)’. </w:t>
      </w:r>
      <w:r w:rsidRPr="0047484D">
        <w:rPr>
          <w:rFonts w:ascii="Arial" w:hAnsi="Arial" w:cs="Arial"/>
          <w:i/>
          <w:iCs/>
        </w:rPr>
        <w:t>Qualitative Report</w:t>
      </w:r>
      <w:r w:rsidRPr="0047484D">
        <w:rPr>
          <w:rFonts w:ascii="Arial" w:hAnsi="Arial" w:cs="Arial"/>
        </w:rPr>
        <w:t xml:space="preserve">, 21(3), 521-. Available at: </w:t>
      </w:r>
      <w:hyperlink r:id="rId23">
        <w:r w:rsidRPr="0047484D">
          <w:rPr>
            <w:rStyle w:val="Hyperlink"/>
            <w:rFonts w:ascii="Arial" w:hAnsi="Arial" w:cs="Arial"/>
          </w:rPr>
          <w:t>https://doi.org/10.46743/2160-3715/2016.2243</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0E2CD84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Downey, G., Hammersley, M., &amp; Atkinson, P. (2012). ‘Ethnography: principles in practice [Review of Ethnography: principles in practice]’.</w:t>
      </w:r>
      <w:r w:rsidRPr="0047484D">
        <w:rPr>
          <w:rFonts w:ascii="Arial" w:hAnsi="Arial" w:cs="Arial"/>
          <w:i/>
          <w:iCs/>
        </w:rPr>
        <w:t xml:space="preserve"> Qualitative Research</w:t>
      </w:r>
      <w:r w:rsidRPr="0047484D">
        <w:rPr>
          <w:rFonts w:ascii="Arial" w:hAnsi="Arial" w:cs="Arial"/>
        </w:rPr>
        <w:t xml:space="preserve">, 12(5), 598–599. Available at: </w:t>
      </w:r>
      <w:hyperlink r:id="rId24">
        <w:r w:rsidRPr="0047484D">
          <w:rPr>
            <w:rStyle w:val="Hyperlink"/>
            <w:rFonts w:ascii="Arial" w:hAnsi="Arial" w:cs="Arial"/>
          </w:rPr>
          <w:t>https://doi.org/10.1177/1468794112438999</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697115E5"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Duncan, G. J., Dowsett, C. J., Claessens, A., Magnuson, K., Huston, A. C., Klebanov, P., Pagani, L. S., Feinstein, L., Engel, M., Brooks-Gunn, J., Sexton, H., Duckworth, K., &amp; Japel, C. (2007). ‘School Readiness and Later Achievement’. </w:t>
      </w:r>
      <w:r w:rsidRPr="0047484D">
        <w:rPr>
          <w:rFonts w:ascii="Arial" w:hAnsi="Arial" w:cs="Arial"/>
          <w:i/>
          <w:iCs/>
        </w:rPr>
        <w:t>Developmental Psychology</w:t>
      </w:r>
      <w:r w:rsidRPr="0047484D">
        <w:rPr>
          <w:rFonts w:ascii="Arial" w:hAnsi="Arial" w:cs="Arial"/>
        </w:rPr>
        <w:t xml:space="preserve">, 43(6), 1428–1446. Available at: </w:t>
      </w:r>
      <w:hyperlink r:id="rId25">
        <w:r w:rsidRPr="0047484D">
          <w:rPr>
            <w:rStyle w:val="Hyperlink"/>
            <w:rFonts w:ascii="Arial" w:hAnsi="Arial" w:cs="Arial"/>
          </w:rPr>
          <w:t>https://doi.org/10.1037/0012-1649.43.6.1428</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3261DBB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Eisenhardt, K. M. (1989). ‘Building Theories from Case Study Research.’ </w:t>
      </w:r>
      <w:r w:rsidRPr="0047484D">
        <w:rPr>
          <w:rFonts w:ascii="Arial" w:hAnsi="Arial" w:cs="Arial"/>
          <w:i/>
          <w:iCs/>
        </w:rPr>
        <w:t>The Academy of Management Review</w:t>
      </w:r>
      <w:r w:rsidRPr="0047484D">
        <w:rPr>
          <w:rFonts w:ascii="Arial" w:hAnsi="Arial" w:cs="Arial"/>
        </w:rPr>
        <w:t xml:space="preserve">, 14(4), 532–550. Available at: </w:t>
      </w:r>
      <w:hyperlink r:id="rId26">
        <w:r w:rsidRPr="0047484D">
          <w:rPr>
            <w:rStyle w:val="Hyperlink"/>
            <w:rFonts w:ascii="Arial" w:hAnsi="Arial" w:cs="Arial"/>
          </w:rPr>
          <w:t>https://doi.org/10.2307/258557</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6F35E58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Flick, U. (2014).</w:t>
      </w:r>
      <w:r w:rsidRPr="0047484D">
        <w:rPr>
          <w:rFonts w:ascii="Arial" w:hAnsi="Arial" w:cs="Arial"/>
          <w:i/>
          <w:iCs/>
        </w:rPr>
        <w:t xml:space="preserve"> An introduction to qualitative research</w:t>
      </w:r>
      <w:r w:rsidRPr="0047484D">
        <w:rPr>
          <w:rFonts w:ascii="Arial" w:hAnsi="Arial" w:cs="Arial"/>
        </w:rPr>
        <w:t>. Sage Publications Limited.</w:t>
      </w:r>
    </w:p>
    <w:p w14:paraId="01B41A4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Flyvbjerg, B. (2006). ‘Five Misunderstandings About Case-Study Research.’ </w:t>
      </w:r>
      <w:r w:rsidRPr="0047484D">
        <w:rPr>
          <w:rFonts w:ascii="Arial" w:hAnsi="Arial" w:cs="Arial"/>
          <w:i/>
          <w:iCs/>
        </w:rPr>
        <w:t>Qualitative Inquiry</w:t>
      </w:r>
      <w:r w:rsidRPr="0047484D">
        <w:rPr>
          <w:rFonts w:ascii="Arial" w:hAnsi="Arial" w:cs="Arial"/>
        </w:rPr>
        <w:t xml:space="preserve">, 12(2), 219–245. Available at: </w:t>
      </w:r>
      <w:hyperlink r:id="rId27">
        <w:r w:rsidRPr="0047484D">
          <w:rPr>
            <w:rStyle w:val="Hyperlink"/>
            <w:rFonts w:ascii="Arial" w:hAnsi="Arial" w:cs="Arial"/>
          </w:rPr>
          <w:t>https://doi.org/10.1177/1077800405284363</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7561F24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Fredricks, J. A., &amp; McColskey, W. (2012). The measurement of student engagement: A comparative analysis of various methods and student self-report instruments. In S. L. Christenson, A. L. Reschly, &amp; C. Wylie (Eds.), </w:t>
      </w:r>
      <w:r w:rsidRPr="0047484D">
        <w:rPr>
          <w:rFonts w:ascii="Arial" w:hAnsi="Arial" w:cs="Arial"/>
          <w:i/>
          <w:iCs/>
        </w:rPr>
        <w:t xml:space="preserve">Handbook of research on student engagement </w:t>
      </w:r>
      <w:r w:rsidRPr="0047484D">
        <w:rPr>
          <w:rFonts w:ascii="Arial" w:hAnsi="Arial" w:cs="Arial"/>
        </w:rPr>
        <w:t xml:space="preserve">(pp. 763-782). Springer. Available at: </w:t>
      </w:r>
      <w:hyperlink r:id="rId28">
        <w:r w:rsidRPr="0047484D">
          <w:rPr>
            <w:rStyle w:val="Hyperlink"/>
            <w:rFonts w:ascii="Arial" w:hAnsi="Arial" w:cs="Arial"/>
          </w:rPr>
          <w:t>https://psycnet.apa.org/doi/10.1007/978-1-4614-2018-7_37</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4998AD1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Fredricks, J. A., Blumenfeld, P. C., &amp; Paris, A. H. (2004). ‘School engagement: Potential of the concept, state of the evidence’. </w:t>
      </w:r>
      <w:r w:rsidRPr="0047484D">
        <w:rPr>
          <w:rFonts w:ascii="Arial" w:hAnsi="Arial" w:cs="Arial"/>
          <w:i/>
          <w:iCs/>
        </w:rPr>
        <w:t>Review of Educational Research</w:t>
      </w:r>
      <w:r w:rsidRPr="0047484D">
        <w:rPr>
          <w:rFonts w:ascii="Arial" w:hAnsi="Arial" w:cs="Arial"/>
        </w:rPr>
        <w:t xml:space="preserve">, 74(1), 59–109. Available at: </w:t>
      </w:r>
      <w:hyperlink r:id="rId29">
        <w:r w:rsidRPr="0047484D">
          <w:rPr>
            <w:rStyle w:val="Hyperlink"/>
            <w:rFonts w:ascii="Arial" w:hAnsi="Arial" w:cs="Arial"/>
          </w:rPr>
          <w:t>https://doi.org/10.3102/00346543074001059</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13542B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Freeman, J., Simonsen, B., McCoach, D. B., Sugai, G., Lombardi, A., &amp; Horner, R. (2016). ‘Relationship Between School-Wide Positive Behavior Interventions and Supports and Academic, Attendance, and Behavior Outcomes in High Schools’. </w:t>
      </w:r>
      <w:r w:rsidRPr="0047484D">
        <w:rPr>
          <w:rFonts w:ascii="Arial" w:hAnsi="Arial" w:cs="Arial"/>
          <w:i/>
          <w:iCs/>
        </w:rPr>
        <w:t>Journal of Positive Behavior Interventions</w:t>
      </w:r>
      <w:r w:rsidRPr="0047484D">
        <w:rPr>
          <w:rFonts w:ascii="Arial" w:hAnsi="Arial" w:cs="Arial"/>
        </w:rPr>
        <w:t xml:space="preserve">, 18(1), 41–51. Available at:  </w:t>
      </w:r>
      <w:hyperlink r:id="rId30">
        <w:r w:rsidRPr="0047484D">
          <w:rPr>
            <w:rStyle w:val="Hyperlink"/>
            <w:rFonts w:ascii="Arial" w:hAnsi="Arial" w:cs="Arial"/>
          </w:rPr>
          <w:t>https://doi.org/10.1177/1098300715580992</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734D4DE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Gardner, H. (1993). </w:t>
      </w:r>
      <w:r w:rsidRPr="0047484D">
        <w:rPr>
          <w:rFonts w:ascii="Arial" w:hAnsi="Arial" w:cs="Arial"/>
          <w:i/>
          <w:iCs/>
        </w:rPr>
        <w:t>Frames of Mind: The Theory of Multiple Intelligences</w:t>
      </w:r>
      <w:r w:rsidRPr="0047484D">
        <w:rPr>
          <w:rFonts w:ascii="Arial" w:hAnsi="Arial" w:cs="Arial"/>
        </w:rPr>
        <w:t>. Basic Books.</w:t>
      </w:r>
    </w:p>
    <w:p w14:paraId="77B1A40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George, A. L., Bennett, A., &amp; Mahoney, J. (2010). Case studies and theory development in the social sciences </w:t>
      </w:r>
      <w:r w:rsidRPr="0047484D">
        <w:rPr>
          <w:rFonts w:ascii="Arial" w:hAnsi="Arial" w:cs="Arial"/>
          <w:i/>
          <w:iCs/>
        </w:rPr>
        <w:t>[Review of Case studies and theory development in the social sciences]. World Politics</w:t>
      </w:r>
      <w:r w:rsidRPr="0047484D">
        <w:rPr>
          <w:rFonts w:ascii="Arial" w:hAnsi="Arial" w:cs="Arial"/>
        </w:rPr>
        <w:t>, 62(1), 120–147.</w:t>
      </w:r>
    </w:p>
    <w:p w14:paraId="74EF811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Gerring, J. (2007). </w:t>
      </w:r>
      <w:r w:rsidRPr="0047484D">
        <w:rPr>
          <w:rFonts w:ascii="Arial" w:hAnsi="Arial" w:cs="Arial"/>
          <w:i/>
          <w:iCs/>
        </w:rPr>
        <w:t>Case study research: principles and practices</w:t>
      </w:r>
      <w:r w:rsidRPr="0047484D">
        <w:rPr>
          <w:rFonts w:ascii="Arial" w:hAnsi="Arial" w:cs="Arial"/>
        </w:rPr>
        <w:t>. Cambridge University Press.</w:t>
      </w:r>
    </w:p>
    <w:p w14:paraId="2337CD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Ginsburg, K. R. (2007). ‘The importance of play in promoting healthy child development and maintaining strong parent-child bonds’. </w:t>
      </w:r>
      <w:r w:rsidRPr="0047484D">
        <w:rPr>
          <w:rFonts w:ascii="Arial" w:hAnsi="Arial" w:cs="Arial"/>
          <w:i/>
          <w:iCs/>
        </w:rPr>
        <w:t>Pediatrics</w:t>
      </w:r>
      <w:r w:rsidRPr="0047484D">
        <w:rPr>
          <w:rFonts w:ascii="Arial" w:hAnsi="Arial" w:cs="Arial"/>
        </w:rPr>
        <w:t xml:space="preserve">, 119(1), 182–191. Available at: </w:t>
      </w:r>
      <w:hyperlink r:id="rId31">
        <w:r w:rsidRPr="0047484D">
          <w:rPr>
            <w:rStyle w:val="Hyperlink"/>
            <w:rFonts w:ascii="Arial" w:hAnsi="Arial" w:cs="Arial"/>
          </w:rPr>
          <w:t>https://doi.org/10.1542/peds.2006-2697</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2EE4126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Gruber, R., Wiebe, S.T., Wells, S.A., Cassoff, J., &amp; Monson, E. (2010). ‘Sleep and academic success: mechanisms, empirical evidence, and interventional strategies’.</w:t>
      </w:r>
      <w:r w:rsidRPr="0047484D">
        <w:rPr>
          <w:rFonts w:ascii="Arial" w:hAnsi="Arial" w:cs="Arial"/>
          <w:i/>
          <w:iCs/>
        </w:rPr>
        <w:t xml:space="preserve"> Adolescent medicine: state of the art reviews</w:t>
      </w:r>
      <w:r w:rsidRPr="0047484D">
        <w:rPr>
          <w:rFonts w:ascii="Arial" w:hAnsi="Arial" w:cs="Arial"/>
        </w:rPr>
        <w:t xml:space="preserve">, 21 3, 522-41. Available at: </w:t>
      </w:r>
      <w:hyperlink r:id="rId32">
        <w:r w:rsidRPr="0047484D">
          <w:rPr>
            <w:rStyle w:val="Hyperlink"/>
            <w:rFonts w:ascii="Arial" w:hAnsi="Arial" w:cs="Arial"/>
          </w:rPr>
          <w:t>https://www.semanticscholar.org/paper/Sleep-and-academic-success%3A-mechanisms%2C-empirical-Gruber-Wiebe/5b2a65bde5b8f56aa9541454d31cc49f60b76692</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 </w:t>
      </w:r>
    </w:p>
    <w:p w14:paraId="7EA3E02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Hattie, J. (2009). </w:t>
      </w:r>
      <w:r w:rsidRPr="0047484D">
        <w:rPr>
          <w:rFonts w:ascii="Arial" w:hAnsi="Arial" w:cs="Arial"/>
          <w:i/>
          <w:iCs/>
        </w:rPr>
        <w:t>Visible learning : a synthesis of over 800 meta-analyses relating to achievement</w:t>
      </w:r>
      <w:r w:rsidRPr="0047484D">
        <w:rPr>
          <w:rFonts w:ascii="Arial" w:hAnsi="Arial" w:cs="Arial"/>
        </w:rPr>
        <w:t>. Routledge.</w:t>
      </w:r>
    </w:p>
    <w:p w14:paraId="6FDBEC7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Hidi, S., &amp; Renninger, K. A. (2006). ‘The Four-Phase Model of Interest Development’. </w:t>
      </w:r>
      <w:r w:rsidRPr="0047484D">
        <w:rPr>
          <w:rFonts w:ascii="Arial" w:hAnsi="Arial" w:cs="Arial"/>
          <w:i/>
          <w:iCs/>
        </w:rPr>
        <w:t>Educational Psychologist</w:t>
      </w:r>
      <w:r w:rsidRPr="0047484D">
        <w:rPr>
          <w:rFonts w:ascii="Arial" w:hAnsi="Arial" w:cs="Arial"/>
        </w:rPr>
        <w:t xml:space="preserve">, 41(2), 111–127. Available at  </w:t>
      </w:r>
      <w:hyperlink r:id="rId33">
        <w:r w:rsidRPr="0047484D">
          <w:rPr>
            <w:rStyle w:val="Hyperlink"/>
            <w:rFonts w:ascii="Arial" w:hAnsi="Arial" w:cs="Arial"/>
          </w:rPr>
          <w:t>https://doi.org/10.1207/s15326985ep4102_4</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630CAF5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Hirsh-Pasek, K., Zosh, J. M., Golinkoff, R. M., Gray, J. H., Robb, M. B., &amp; Kaufman, J. (2015). ‘Putting Education in “Educational” Apps: Lessons From the Science of Learning’. </w:t>
      </w:r>
      <w:r w:rsidRPr="0047484D">
        <w:rPr>
          <w:rFonts w:ascii="Arial" w:hAnsi="Arial" w:cs="Arial"/>
          <w:i/>
          <w:iCs/>
        </w:rPr>
        <w:t>Psychological Science in the Public Interest</w:t>
      </w:r>
      <w:r w:rsidRPr="0047484D">
        <w:rPr>
          <w:rFonts w:ascii="Arial" w:hAnsi="Arial" w:cs="Arial"/>
        </w:rPr>
        <w:t xml:space="preserve">, 16(1), 3–34. Available at: </w:t>
      </w:r>
      <w:hyperlink r:id="rId34">
        <w:r w:rsidRPr="0047484D">
          <w:rPr>
            <w:rStyle w:val="Hyperlink"/>
            <w:rFonts w:ascii="Arial" w:hAnsi="Arial" w:cs="Arial"/>
          </w:rPr>
          <w:t>https://doi.org/10.1177/1529100615569721</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78B0338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Jones, V. F., &amp; Jones, L. S. (2012). </w:t>
      </w:r>
      <w:r w:rsidRPr="0047484D">
        <w:rPr>
          <w:rFonts w:ascii="Arial" w:hAnsi="Arial" w:cs="Arial"/>
          <w:i/>
          <w:iCs/>
        </w:rPr>
        <w:t>Comprehensive classroom management: Creating communities of support and solving problems</w:t>
      </w:r>
      <w:r w:rsidRPr="0047484D">
        <w:rPr>
          <w:rFonts w:ascii="Arial" w:hAnsi="Arial" w:cs="Arial"/>
        </w:rPr>
        <w:t xml:space="preserve"> (10th ed.). Reference &amp; Research Book News, 27(2). Ringgold, Inc.</w:t>
      </w:r>
    </w:p>
    <w:p w14:paraId="1AB6FEA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Knight, C., &amp; Crick, T. (2022). ‘Inclusive Education in Wales: Interpreting Discourses of Values and Practice Using Critical Policy Analysis’. </w:t>
      </w:r>
      <w:r w:rsidRPr="0047484D">
        <w:rPr>
          <w:rFonts w:ascii="Arial" w:hAnsi="Arial" w:cs="Arial"/>
          <w:i/>
          <w:iCs/>
        </w:rPr>
        <w:t>ECNU Review of Education</w:t>
      </w:r>
      <w:r w:rsidRPr="0047484D">
        <w:rPr>
          <w:rFonts w:ascii="Arial" w:hAnsi="Arial" w:cs="Arial"/>
        </w:rPr>
        <w:t xml:space="preserve">, 5(2), 258-283. Available at: </w:t>
      </w:r>
      <w:hyperlink r:id="rId35">
        <w:r w:rsidRPr="0047484D">
          <w:rPr>
            <w:rStyle w:val="Hyperlink"/>
            <w:rFonts w:ascii="Arial" w:hAnsi="Arial" w:cs="Arial"/>
          </w:rPr>
          <w:t>https://doi.org/10.1177/20965311211039858</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7954BA9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Kvale, S. (2007) </w:t>
      </w:r>
      <w:r w:rsidRPr="0047484D">
        <w:rPr>
          <w:rFonts w:ascii="Arial" w:hAnsi="Arial" w:cs="Arial"/>
          <w:i/>
          <w:iCs/>
        </w:rPr>
        <w:t>Doing Interviews.</w:t>
      </w:r>
      <w:r w:rsidRPr="0047484D">
        <w:rPr>
          <w:rFonts w:ascii="Arial" w:hAnsi="Arial" w:cs="Arial"/>
        </w:rPr>
        <w:t xml:space="preserve"> Sage Publications, Thousand Oaks.</w:t>
      </w:r>
    </w:p>
    <w:p w14:paraId="42861B5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Ladd, G. W., Birch, S. H., &amp; Buhs, E. S. (1999). ‘Children’s Social and Scholastic Lives in Kindergarten: Related Spheres of Influence?’. </w:t>
      </w:r>
      <w:r w:rsidRPr="0047484D">
        <w:rPr>
          <w:rFonts w:ascii="Arial" w:hAnsi="Arial" w:cs="Arial"/>
          <w:i/>
          <w:iCs/>
        </w:rPr>
        <w:t>Child Development</w:t>
      </w:r>
      <w:r w:rsidRPr="0047484D">
        <w:rPr>
          <w:rFonts w:ascii="Arial" w:hAnsi="Arial" w:cs="Arial"/>
        </w:rPr>
        <w:t xml:space="preserve">, 70(6), 1373–1400. Available at: </w:t>
      </w:r>
      <w:hyperlink r:id="rId36">
        <w:r w:rsidRPr="0047484D">
          <w:rPr>
            <w:rStyle w:val="Hyperlink"/>
            <w:rFonts w:ascii="Arial" w:hAnsi="Arial" w:cs="Arial"/>
          </w:rPr>
          <w:t>https://doi.org/10.1111/1467-8624.00101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DD41B0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Lewis, H., Brooks, S., Parker, G., &amp; Thomas, D. (2018). ‘A close up on close-to-practice research: reflecting on teacher educator’s experiences of and engagement with a classroom-based research project’. </w:t>
      </w:r>
      <w:r w:rsidRPr="0047484D">
        <w:rPr>
          <w:rFonts w:ascii="Arial" w:hAnsi="Arial" w:cs="Arial"/>
          <w:i/>
          <w:iCs/>
        </w:rPr>
        <w:t>Wales Journal of Education</w:t>
      </w:r>
      <w:r w:rsidRPr="0047484D">
        <w:rPr>
          <w:rFonts w:ascii="Arial" w:hAnsi="Arial" w:cs="Arial"/>
        </w:rPr>
        <w:t xml:space="preserve">, 20(1), 76-92. Available at: </w:t>
      </w:r>
      <w:hyperlink r:id="rId37">
        <w:r w:rsidRPr="0047484D">
          <w:rPr>
            <w:rStyle w:val="Hyperlink"/>
            <w:rFonts w:ascii="Arial" w:hAnsi="Arial" w:cs="Arial"/>
          </w:rPr>
          <w:t>http://www.uwp.co.uk/journal/cylchgrawn-addysg-prifysgol-cymru-university-of-wales-journal-of-education/</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3D1E5C8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Lincoln, Y., Lynham, S., &amp; Guba, E. (2013). Paradigmatic controversies, contradictions, and emerging confluences, revisited. In N. Denzin &amp; Y. Lincoln (Eds.),</w:t>
      </w:r>
      <w:r w:rsidRPr="0047484D">
        <w:rPr>
          <w:rFonts w:ascii="Arial" w:hAnsi="Arial" w:cs="Arial"/>
          <w:i/>
          <w:iCs/>
        </w:rPr>
        <w:t xml:space="preserve"> The landscape of qualitative research</w:t>
      </w:r>
      <w:r w:rsidRPr="0047484D">
        <w:rPr>
          <w:rFonts w:ascii="Arial" w:hAnsi="Arial" w:cs="Arial"/>
        </w:rPr>
        <w:t xml:space="preserve"> (4th ed., pp. 199–266). Thousand Oaks, CA: SAGE.</w:t>
      </w:r>
    </w:p>
    <w:p w14:paraId="50D141B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Maguire, M. &amp; Delahunt, B. (2017)’ Doing a Thematical Analysis: A Practical, Step by Step Guide for Learning and Teaching Scholars’. </w:t>
      </w:r>
      <w:r w:rsidRPr="0047484D">
        <w:rPr>
          <w:rFonts w:ascii="Arial" w:hAnsi="Arial" w:cs="Arial"/>
          <w:i/>
          <w:iCs/>
        </w:rPr>
        <w:t>All Ireland Journal of Teaching and Learning in Education,</w:t>
      </w:r>
      <w:r w:rsidRPr="0047484D">
        <w:rPr>
          <w:rFonts w:ascii="Arial" w:hAnsi="Arial" w:cs="Arial"/>
        </w:rPr>
        <w:t xml:space="preserve"> 9(3), Available at: </w:t>
      </w:r>
      <w:hyperlink r:id="rId38">
        <w:r w:rsidRPr="0047484D">
          <w:rPr>
            <w:rStyle w:val="Hyperlink"/>
            <w:rFonts w:ascii="Arial" w:hAnsi="Arial" w:cs="Arial"/>
          </w:rPr>
          <w:t>https://ojs.aishe.org/index.php/aishej/article/view/335</w:t>
        </w:r>
      </w:hyperlink>
      <w:r w:rsidRPr="0047484D">
        <w:rPr>
          <w:rFonts w:ascii="Arial" w:hAnsi="Arial" w:cs="Arial"/>
        </w:rPr>
        <w:t xml:space="preserve">  (Accessed: 3rd April 2024)  </w:t>
      </w:r>
    </w:p>
    <w:p w14:paraId="06D422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McClelland, M. M., Acock, A., &amp; Morrison, F. J. (2006). ‘The Impact of Kindergarten Learning-Related Skills on Academic Trajectories at the End of Elementary School’. Early Childhood Research Quarterly, 21(4), 471-490. Available at: </w:t>
      </w:r>
      <w:hyperlink r:id="rId39">
        <w:r w:rsidRPr="0047484D">
          <w:rPr>
            <w:rStyle w:val="Hyperlink"/>
            <w:rFonts w:ascii="Arial" w:hAnsi="Arial" w:cs="Arial"/>
          </w:rPr>
          <w:t>https://doi.org/10.1016/j.ecresq.2006.09.003</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134B4A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Merriam, S. B. (2009). </w:t>
      </w:r>
      <w:r w:rsidRPr="0047484D">
        <w:rPr>
          <w:rFonts w:ascii="Arial" w:hAnsi="Arial" w:cs="Arial"/>
          <w:i/>
          <w:iCs/>
        </w:rPr>
        <w:t>Qualitative research: A guide to design and implementation</w:t>
      </w:r>
      <w:r w:rsidRPr="0047484D">
        <w:rPr>
          <w:rFonts w:ascii="Arial" w:hAnsi="Arial" w:cs="Arial"/>
        </w:rPr>
        <w:t>. John Wiley &amp; Sons.</w:t>
      </w:r>
    </w:p>
    <w:p w14:paraId="4A84B9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NFER (2013) </w:t>
      </w:r>
      <w:r w:rsidRPr="0047484D">
        <w:rPr>
          <w:rFonts w:ascii="Arial" w:hAnsi="Arial" w:cs="Arial"/>
          <w:i/>
          <w:iCs/>
        </w:rPr>
        <w:t>How to Run qualitative and quantitative research</w:t>
      </w:r>
      <w:r w:rsidRPr="0047484D">
        <w:rPr>
          <w:rFonts w:ascii="Arial" w:hAnsi="Arial" w:cs="Arial"/>
        </w:rPr>
        <w:t xml:space="preserve">. Available at: </w:t>
      </w:r>
      <w:hyperlink r:id="rId40">
        <w:r w:rsidRPr="0047484D">
          <w:rPr>
            <w:rStyle w:val="Hyperlink"/>
            <w:rFonts w:ascii="Arial" w:hAnsi="Arial" w:cs="Arial"/>
          </w:rPr>
          <w:t>https://www.nfer.ac.uk/publications/how-to-run-qualitative-and-quantitative-research-from-definitions-through-to-analysis/</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60DDED0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Noddings, Nel. (2002). </w:t>
      </w:r>
      <w:r w:rsidRPr="0047484D">
        <w:rPr>
          <w:rFonts w:ascii="Arial" w:hAnsi="Arial" w:cs="Arial"/>
          <w:i/>
          <w:iCs/>
        </w:rPr>
        <w:t>Educating moral people : a caring alternative to character education</w:t>
      </w:r>
      <w:r w:rsidRPr="0047484D">
        <w:rPr>
          <w:rFonts w:ascii="Arial" w:hAnsi="Arial" w:cs="Arial"/>
        </w:rPr>
        <w:t>. Teachers College.</w:t>
      </w:r>
    </w:p>
    <w:p w14:paraId="3CD9F76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Prado, J. (2019). The development of the reasoning brain and how to foster logical reasoning skills. Available at: </w:t>
      </w:r>
      <w:hyperlink r:id="rId41">
        <w:r w:rsidRPr="0047484D">
          <w:rPr>
            <w:rStyle w:val="Hyperlink"/>
            <w:rFonts w:ascii="Arial" w:hAnsi="Arial" w:cs="Arial"/>
          </w:rPr>
          <w:t>https://solportal.ibe-unesco.org/wp-content/uploads/_pdfs/the-development-of-the-reasoning-brain-and-how-to-foster-logical-reasoning-skills.pdf</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10F54B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Prince, M. (2004). ‘Does Active Learning Work? A Review of the Research’.</w:t>
      </w:r>
      <w:r w:rsidRPr="0047484D">
        <w:rPr>
          <w:rFonts w:ascii="Arial" w:hAnsi="Arial" w:cs="Arial"/>
          <w:i/>
          <w:iCs/>
        </w:rPr>
        <w:t xml:space="preserve"> Journal of Engineering Education</w:t>
      </w:r>
      <w:r w:rsidRPr="0047484D">
        <w:rPr>
          <w:rFonts w:ascii="Arial" w:hAnsi="Arial" w:cs="Arial"/>
        </w:rPr>
        <w:t xml:space="preserve"> (Oxford, U.K.), 93(3), 223–231. Available at: </w:t>
      </w:r>
      <w:hyperlink r:id="rId42">
        <w:r w:rsidRPr="0047484D">
          <w:rPr>
            <w:rStyle w:val="Hyperlink"/>
            <w:rFonts w:ascii="Arial" w:hAnsi="Arial" w:cs="Arial"/>
          </w:rPr>
          <w:t>https://doi.org/10.1002/j.2168-9830.2004.tb00809.x</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2D6D2E0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Qualifications Wales. (2022). </w:t>
      </w:r>
      <w:r w:rsidRPr="0047484D">
        <w:rPr>
          <w:rFonts w:ascii="Arial" w:hAnsi="Arial" w:cs="Arial"/>
          <w:i/>
          <w:iCs/>
        </w:rPr>
        <w:t>Qualitative engagement with learners in the travel, tourism, hospitality and catering sector</w:t>
      </w:r>
      <w:r w:rsidRPr="0047484D">
        <w:rPr>
          <w:rFonts w:ascii="Arial" w:hAnsi="Arial" w:cs="Arial"/>
        </w:rPr>
        <w:t xml:space="preserve">. Available at: </w:t>
      </w:r>
      <w:hyperlink r:id="rId43">
        <w:r w:rsidRPr="0047484D">
          <w:rPr>
            <w:rStyle w:val="Hyperlink"/>
            <w:rFonts w:ascii="Arial" w:hAnsi="Arial" w:cs="Arial"/>
          </w:rPr>
          <w:t>https://qualificationswales.org/media/ma0gl4bj/tthc-learner-engagement-report.pdf</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508B0E2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Rawson, M., &amp; Rose, M. (2006).</w:t>
      </w:r>
      <w:r w:rsidRPr="0047484D">
        <w:rPr>
          <w:rFonts w:ascii="Arial" w:hAnsi="Arial" w:cs="Arial"/>
          <w:i/>
          <w:iCs/>
        </w:rPr>
        <w:t xml:space="preserve"> Ready to learn : from birth to school readiness</w:t>
      </w:r>
      <w:r w:rsidRPr="0047484D">
        <w:rPr>
          <w:rFonts w:ascii="Arial" w:hAnsi="Arial" w:cs="Arial"/>
        </w:rPr>
        <w:t xml:space="preserve"> (2nd ed.). Hawthorn.</w:t>
      </w:r>
    </w:p>
    <w:p w14:paraId="01AB62BD"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Reading, R. (2007). ‘The importance of play in promoting healthy child development and maintaining strong parent-child bonds [Review of The importance of play in promoting healthy child development and maintaining strong parent-child bonds]’.</w:t>
      </w:r>
      <w:r w:rsidRPr="0047484D">
        <w:rPr>
          <w:rFonts w:ascii="Arial" w:hAnsi="Arial" w:cs="Arial"/>
          <w:i/>
          <w:iCs/>
        </w:rPr>
        <w:t xml:space="preserve"> Child : Care, Health &amp; Development</w:t>
      </w:r>
      <w:r w:rsidRPr="0047484D">
        <w:rPr>
          <w:rFonts w:ascii="Arial" w:hAnsi="Arial" w:cs="Arial"/>
        </w:rPr>
        <w:t xml:space="preserve">, 33(6), 807–808. Blackwell Publishing Ltd. Available at: </w:t>
      </w:r>
      <w:hyperlink r:id="rId44">
        <w:r w:rsidRPr="0047484D">
          <w:rPr>
            <w:rStyle w:val="Hyperlink"/>
            <w:rFonts w:ascii="Arial" w:hAnsi="Arial" w:cs="Arial"/>
          </w:rPr>
          <w:t>https://doi.org/10.1111/j.1365-2214.2007.00799_8.x</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26F79B5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Reeve, J. (2012). A self-determination theory perspective on student engagement. In S. L. Christenson, A. L. Reschly, &amp; C. Wylie (Eds.), </w:t>
      </w:r>
      <w:r w:rsidRPr="0047484D">
        <w:rPr>
          <w:rFonts w:ascii="Arial" w:hAnsi="Arial" w:cs="Arial"/>
          <w:i/>
          <w:iCs/>
        </w:rPr>
        <w:t>Handbook of research on student engagement</w:t>
      </w:r>
      <w:r w:rsidRPr="0047484D">
        <w:rPr>
          <w:rFonts w:ascii="Arial" w:hAnsi="Arial" w:cs="Arial"/>
        </w:rPr>
        <w:t xml:space="preserve"> (pp. 149–172). Springer Science + Business Media. Available at: </w:t>
      </w:r>
      <w:hyperlink r:id="rId45">
        <w:r w:rsidRPr="0047484D">
          <w:rPr>
            <w:rStyle w:val="Hyperlink"/>
            <w:rFonts w:ascii="Arial" w:hAnsi="Arial" w:cs="Arial"/>
          </w:rPr>
          <w:t>https://doi.org/10.1007/978-1-4614-2018-7_7</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40F38A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Rimm-Kaufman, S. E., Pianta, R. C., &amp; Cox, M. J. (2000). ‘Teachers’ judgments of problems in the transition to kindergarten’.</w:t>
      </w:r>
      <w:r w:rsidRPr="0047484D">
        <w:rPr>
          <w:rFonts w:ascii="Arial" w:hAnsi="Arial" w:cs="Arial"/>
          <w:i/>
          <w:iCs/>
        </w:rPr>
        <w:t xml:space="preserve"> Early Childhood Research Quarterly</w:t>
      </w:r>
      <w:r w:rsidRPr="0047484D">
        <w:rPr>
          <w:rFonts w:ascii="Arial" w:hAnsi="Arial" w:cs="Arial"/>
        </w:rPr>
        <w:t xml:space="preserve">, 15(2), 147–166. Available at: </w:t>
      </w:r>
      <w:hyperlink r:id="rId46">
        <w:r w:rsidRPr="0047484D">
          <w:rPr>
            <w:rStyle w:val="Hyperlink"/>
            <w:rFonts w:ascii="Arial" w:hAnsi="Arial" w:cs="Arial"/>
          </w:rPr>
          <w:t>https://doi.org/10.1016/S0885-2006(00)00049-1</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6FDBD5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Rubin, H. J., &amp; Rubin, I. S. (2005). </w:t>
      </w:r>
      <w:r w:rsidRPr="0047484D">
        <w:rPr>
          <w:rFonts w:ascii="Arial" w:hAnsi="Arial" w:cs="Arial"/>
          <w:i/>
          <w:iCs/>
        </w:rPr>
        <w:t>Qualitative Interviewing: The Art of Hearing Data</w:t>
      </w:r>
      <w:r w:rsidRPr="0047484D">
        <w:rPr>
          <w:rFonts w:ascii="Arial" w:hAnsi="Arial" w:cs="Arial"/>
        </w:rPr>
        <w:t xml:space="preserve"> (2nd ed.). SAGE Publications, Inc.</w:t>
      </w:r>
    </w:p>
    <w:p w14:paraId="5F561F9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Ryan, R. M., &amp; Deci, E. L. (2000). ‘Self-Determination Theory and the Facilitation of Intrinsic Motivation, Social Development, and Well-Being'. </w:t>
      </w:r>
      <w:r w:rsidRPr="0047484D">
        <w:rPr>
          <w:rFonts w:ascii="Arial" w:hAnsi="Arial" w:cs="Arial"/>
          <w:i/>
          <w:iCs/>
        </w:rPr>
        <w:t>The American Psychologist</w:t>
      </w:r>
      <w:r w:rsidRPr="0047484D">
        <w:rPr>
          <w:rFonts w:ascii="Arial" w:hAnsi="Arial" w:cs="Arial"/>
        </w:rPr>
        <w:t xml:space="preserve">, 55(1), 68–78. Available at: </w:t>
      </w:r>
      <w:hyperlink r:id="rId47">
        <w:r w:rsidRPr="0047484D">
          <w:rPr>
            <w:rStyle w:val="Hyperlink"/>
            <w:rFonts w:ascii="Arial" w:hAnsi="Arial" w:cs="Arial"/>
          </w:rPr>
          <w:t>https://doi.org/10.1037/0003-066X.55.1.68</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0607451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Silverman, D. (2011).</w:t>
      </w:r>
      <w:r w:rsidRPr="0047484D">
        <w:rPr>
          <w:rFonts w:ascii="Arial" w:hAnsi="Arial" w:cs="Arial"/>
          <w:i/>
          <w:iCs/>
        </w:rPr>
        <w:t xml:space="preserve"> Interpreting Qualitative Data: A Guide to the Principles of Qualitative Research</w:t>
      </w:r>
      <w:r w:rsidRPr="0047484D">
        <w:rPr>
          <w:rFonts w:ascii="Arial" w:hAnsi="Arial" w:cs="Arial"/>
        </w:rPr>
        <w:t xml:space="preserve"> (5th ed.). SAGE</w:t>
      </w:r>
    </w:p>
    <w:p w14:paraId="5FF25DA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Simons, H. (2009) </w:t>
      </w:r>
      <w:r w:rsidRPr="0047484D">
        <w:rPr>
          <w:rFonts w:ascii="Arial" w:hAnsi="Arial" w:cs="Arial"/>
          <w:i/>
          <w:iCs/>
        </w:rPr>
        <w:t>Case Study Research in Practice,</w:t>
      </w:r>
      <w:r w:rsidRPr="0047484D">
        <w:rPr>
          <w:rFonts w:ascii="Arial" w:hAnsi="Arial" w:cs="Arial"/>
        </w:rPr>
        <w:t xml:space="preserve"> London: Sage.</w:t>
      </w:r>
    </w:p>
    <w:p w14:paraId="6FFF580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Sirin, S. R. (2005). ‘Socioeconomic status and academic achievement: A meta-analytic review of research’. </w:t>
      </w:r>
      <w:r w:rsidRPr="0047484D">
        <w:rPr>
          <w:rFonts w:ascii="Arial" w:hAnsi="Arial" w:cs="Arial"/>
          <w:i/>
          <w:iCs/>
        </w:rPr>
        <w:t>Review of Educational Research</w:t>
      </w:r>
      <w:r w:rsidRPr="0047484D">
        <w:rPr>
          <w:rFonts w:ascii="Arial" w:hAnsi="Arial" w:cs="Arial"/>
        </w:rPr>
        <w:t xml:space="preserve">, 75(3), 417–453. Available at: </w:t>
      </w:r>
      <w:hyperlink r:id="rId48">
        <w:r w:rsidRPr="0047484D">
          <w:rPr>
            <w:rStyle w:val="Hyperlink"/>
            <w:rFonts w:ascii="Arial" w:hAnsi="Arial" w:cs="Arial"/>
          </w:rPr>
          <w:t>https://doi.org/10.3102/00346543075003417</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31E21E7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Skinner, E. A., &amp; Belmont, M. J. (1993). ‘Motivation in the Classroom: Reciprocal Effects of Teacher Behavior and Student Engagement Across the School Year’. J</w:t>
      </w:r>
      <w:r w:rsidRPr="0047484D">
        <w:rPr>
          <w:rFonts w:ascii="Arial" w:hAnsi="Arial" w:cs="Arial"/>
          <w:i/>
          <w:iCs/>
        </w:rPr>
        <w:t>ournal of Educational Psychology</w:t>
      </w:r>
      <w:r w:rsidRPr="0047484D">
        <w:rPr>
          <w:rFonts w:ascii="Arial" w:hAnsi="Arial" w:cs="Arial"/>
        </w:rPr>
        <w:t xml:space="preserve">, 85(4), 571–581. Available at: </w:t>
      </w:r>
      <w:hyperlink r:id="rId49">
        <w:r w:rsidRPr="0047484D">
          <w:rPr>
            <w:rStyle w:val="Hyperlink"/>
            <w:rFonts w:ascii="Arial" w:hAnsi="Arial" w:cs="Arial"/>
          </w:rPr>
          <w:t>https://doi.org/10.1037/0022-0663.85.4.571</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4AB7FEDE"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Skinner, E. A., Kindermann, T. A., Connell, J. P., &amp; Wellborn, J. G. (2009). Engagement and disaffection as organisational constructs in the dynamics of motivational development. In K. R. Wenzel &amp; A. Wigfield (Eds.),</w:t>
      </w:r>
      <w:r w:rsidRPr="0047484D">
        <w:rPr>
          <w:rFonts w:ascii="Arial" w:hAnsi="Arial" w:cs="Arial"/>
          <w:i/>
          <w:iCs/>
        </w:rPr>
        <w:t xml:space="preserve"> Handbook of motivation at school</w:t>
      </w:r>
      <w:r w:rsidRPr="0047484D">
        <w:rPr>
          <w:rFonts w:ascii="Arial" w:hAnsi="Arial" w:cs="Arial"/>
        </w:rPr>
        <w:t xml:space="preserve"> (pp. 223–245). Routledge/Taylor &amp; Francis Group.</w:t>
      </w:r>
    </w:p>
    <w:p w14:paraId="0FB96E9B"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Skinner, E., Furrer, C., Marchand, G., &amp; Kindermann, T. (2008). ‘Engagement and disaffection in the classroom: Part of a larger motivational dynamic?’ </w:t>
      </w:r>
      <w:r w:rsidRPr="0047484D">
        <w:rPr>
          <w:rFonts w:ascii="Arial" w:hAnsi="Arial" w:cs="Arial"/>
          <w:i/>
          <w:iCs/>
        </w:rPr>
        <w:t>Journal of Educational Psychology</w:t>
      </w:r>
      <w:r w:rsidRPr="0047484D">
        <w:rPr>
          <w:rFonts w:ascii="Arial" w:hAnsi="Arial" w:cs="Arial"/>
        </w:rPr>
        <w:t xml:space="preserve">, 100(4), 765–781. </w:t>
      </w:r>
      <w:hyperlink r:id="rId50">
        <w:r w:rsidRPr="0047484D">
          <w:rPr>
            <w:rStyle w:val="Hyperlink"/>
            <w:rFonts w:ascii="Arial" w:hAnsi="Arial" w:cs="Arial"/>
          </w:rPr>
          <w:t>https://doi.org/10.1037/a0012840</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57D4EF9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Smith, K., &amp; Horton, K. (2017). </w:t>
      </w:r>
      <w:r w:rsidRPr="0047484D">
        <w:rPr>
          <w:rFonts w:ascii="Arial" w:hAnsi="Arial" w:cs="Arial"/>
          <w:i/>
          <w:iCs/>
        </w:rPr>
        <w:t xml:space="preserve">Teaching and Educational Research in Wales: How Does Teachers’ Engagement with Educational Research Differ in Wales from those in England? </w:t>
      </w:r>
      <w:r w:rsidRPr="0047484D">
        <w:rPr>
          <w:rFonts w:ascii="Arial" w:hAnsi="Arial" w:cs="Arial"/>
        </w:rPr>
        <w:t xml:space="preserve">Cardiff University. Available at: </w:t>
      </w:r>
      <w:hyperlink r:id="rId51">
        <w:r w:rsidRPr="0047484D">
          <w:rPr>
            <w:rStyle w:val="Hyperlink"/>
            <w:rFonts w:ascii="Arial" w:hAnsi="Arial" w:cs="Arial"/>
          </w:rPr>
          <w:t>https://doi.org/10.16922/wje.19.1.7</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1EF99343"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Stake, R. E. (2005). Qualitative Case Studies. In N. K. Denzin &amp; Y. S. Lincoln (Eds.), </w:t>
      </w:r>
      <w:r w:rsidRPr="0047484D">
        <w:rPr>
          <w:rFonts w:ascii="Arial" w:hAnsi="Arial" w:cs="Arial"/>
          <w:i/>
          <w:iCs/>
        </w:rPr>
        <w:t>The Sage handbook of qualitative research</w:t>
      </w:r>
      <w:r w:rsidRPr="0047484D">
        <w:rPr>
          <w:rFonts w:ascii="Arial" w:hAnsi="Arial" w:cs="Arial"/>
        </w:rPr>
        <w:t xml:space="preserve"> (3rd ed., pp. 443–466). Sage Publications Ltd.</w:t>
      </w:r>
    </w:p>
    <w:p w14:paraId="6793256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Sternberg, R. J. (2018). </w:t>
      </w:r>
      <w:r w:rsidRPr="0047484D">
        <w:rPr>
          <w:rFonts w:ascii="Arial" w:hAnsi="Arial" w:cs="Arial"/>
          <w:i/>
          <w:iCs/>
        </w:rPr>
        <w:t>The nature of human intelligence</w:t>
      </w:r>
      <w:r w:rsidRPr="0047484D">
        <w:rPr>
          <w:rFonts w:ascii="Arial" w:hAnsi="Arial" w:cs="Arial"/>
        </w:rPr>
        <w:t xml:space="preserve">. Cambridge University Press. Available at: </w:t>
      </w:r>
      <w:hyperlink r:id="rId52">
        <w:r w:rsidRPr="0047484D">
          <w:rPr>
            <w:rStyle w:val="Hyperlink"/>
            <w:rFonts w:ascii="Arial" w:hAnsi="Arial" w:cs="Arial"/>
          </w:rPr>
          <w:t>https://doi.org/10.1017/9781316817049</w:t>
        </w:r>
      </w:hyperlink>
      <w:r w:rsidRPr="0047484D">
        <w:rPr>
          <w:rFonts w:ascii="Arial" w:hAnsi="Arial" w:cs="Arial"/>
        </w:rPr>
        <w:t xml:space="preserve"> (Accessed: 3</w:t>
      </w:r>
      <w:r w:rsidRPr="0047484D">
        <w:rPr>
          <w:rFonts w:ascii="Arial" w:hAnsi="Arial" w:cs="Arial"/>
          <w:vertAlign w:val="superscript"/>
        </w:rPr>
        <w:t>rd</w:t>
      </w:r>
      <w:r w:rsidRPr="0047484D">
        <w:rPr>
          <w:rFonts w:ascii="Arial" w:hAnsi="Arial" w:cs="Arial"/>
        </w:rPr>
        <w:t xml:space="preserve"> April 2024)</w:t>
      </w:r>
    </w:p>
    <w:p w14:paraId="130F3691"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Taylor, M.E., &amp; Boyer, W. (2020). ‘Play-Based Learning: Evidence-Based Research to Improve Children’s Learning Experiences in the Kindergarten Classroom’. </w:t>
      </w:r>
      <w:r w:rsidRPr="0047484D">
        <w:rPr>
          <w:rFonts w:ascii="Arial" w:hAnsi="Arial" w:cs="Arial"/>
          <w:i/>
          <w:iCs/>
        </w:rPr>
        <w:t>Early Childhood Education Journal</w:t>
      </w:r>
      <w:r w:rsidRPr="0047484D">
        <w:rPr>
          <w:rFonts w:ascii="Arial" w:hAnsi="Arial" w:cs="Arial"/>
        </w:rPr>
        <w:t xml:space="preserve">, 48, 127–133. Available at: </w:t>
      </w:r>
      <w:hyperlink r:id="rId53">
        <w:r w:rsidRPr="0047484D">
          <w:rPr>
            <w:rStyle w:val="Hyperlink"/>
            <w:rFonts w:ascii="Arial" w:hAnsi="Arial" w:cs="Arial"/>
          </w:rPr>
          <w:t>https://doi.org/10.1007/s10643-019-00989-7</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49AD1119"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Thomas, G. (2011). ‘A Typology for the Case Study in Social Science Following a Review of Definition, Discourse, and Structure’.</w:t>
      </w:r>
      <w:r w:rsidRPr="0047484D">
        <w:rPr>
          <w:rFonts w:ascii="Arial" w:hAnsi="Arial" w:cs="Arial"/>
          <w:i/>
          <w:iCs/>
        </w:rPr>
        <w:t xml:space="preserve"> Qualitative Inquiry,</w:t>
      </w:r>
      <w:r w:rsidRPr="0047484D">
        <w:rPr>
          <w:rFonts w:ascii="Arial" w:hAnsi="Arial" w:cs="Arial"/>
        </w:rPr>
        <w:t xml:space="preserve"> 17(6), 511–521. Available at: </w:t>
      </w:r>
      <w:hyperlink r:id="rId54">
        <w:r w:rsidRPr="0047484D">
          <w:rPr>
            <w:rStyle w:val="Hyperlink"/>
            <w:rFonts w:ascii="Arial" w:hAnsi="Arial" w:cs="Arial"/>
          </w:rPr>
          <w:t>https://doi.org/10.1177/1077800411409884</w:t>
        </w:r>
      </w:hyperlink>
      <w:r w:rsidRPr="0047484D">
        <w:rPr>
          <w:rFonts w:ascii="Arial" w:hAnsi="Arial" w:cs="Arial"/>
        </w:rPr>
        <w:t xml:space="preserve"> (Accessed: 30</w:t>
      </w:r>
      <w:r w:rsidRPr="0047484D">
        <w:rPr>
          <w:rFonts w:ascii="Arial" w:hAnsi="Arial" w:cs="Arial"/>
          <w:vertAlign w:val="superscript"/>
        </w:rPr>
        <w:t>th</w:t>
      </w:r>
      <w:r w:rsidRPr="0047484D">
        <w:rPr>
          <w:rFonts w:ascii="Arial" w:hAnsi="Arial" w:cs="Arial"/>
        </w:rPr>
        <w:t xml:space="preserve"> March 2024)</w:t>
      </w:r>
    </w:p>
    <w:p w14:paraId="0F75BD4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Thomas, G. (2021) </w:t>
      </w:r>
      <w:r w:rsidRPr="0047484D">
        <w:rPr>
          <w:rFonts w:ascii="Arial" w:hAnsi="Arial" w:cs="Arial"/>
          <w:i/>
          <w:iCs/>
        </w:rPr>
        <w:t>How to do your case study</w:t>
      </w:r>
      <w:r w:rsidRPr="0047484D">
        <w:rPr>
          <w:rFonts w:ascii="Arial" w:hAnsi="Arial" w:cs="Arial"/>
        </w:rPr>
        <w:t>. Sage.</w:t>
      </w:r>
    </w:p>
    <w:p w14:paraId="32EC2F48"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Tomlinson, C. A., Brighton, C., Hertberg, H., Callahan, C. M., Moon, T. R., Brimijoin, K., Conover, L. A., &amp; Reynolds, T. (2003). ‘Differentiating Instruction in Response to Student Readiness, Interest, and Learning Profile in Academically Diverse Classrooms: A Review of Literature’. </w:t>
      </w:r>
      <w:r w:rsidRPr="0047484D">
        <w:rPr>
          <w:rFonts w:ascii="Arial" w:hAnsi="Arial" w:cs="Arial"/>
          <w:i/>
          <w:iCs/>
        </w:rPr>
        <w:t xml:space="preserve">Journal for the Education of the </w:t>
      </w:r>
      <w:r w:rsidRPr="0047484D">
        <w:rPr>
          <w:rFonts w:ascii="Arial" w:hAnsi="Arial" w:cs="Arial"/>
          <w:i/>
          <w:iCs/>
        </w:rPr>
        <w:lastRenderedPageBreak/>
        <w:t>Gifted</w:t>
      </w:r>
      <w:r w:rsidRPr="0047484D">
        <w:rPr>
          <w:rFonts w:ascii="Arial" w:hAnsi="Arial" w:cs="Arial"/>
        </w:rPr>
        <w:t xml:space="preserve">, 27(2–3), 119–145. Available at: </w:t>
      </w:r>
      <w:hyperlink r:id="rId55">
        <w:r w:rsidRPr="0047484D">
          <w:rPr>
            <w:rStyle w:val="Hyperlink"/>
            <w:rFonts w:ascii="Arial" w:hAnsi="Arial" w:cs="Arial"/>
          </w:rPr>
          <w:t>https://doi.org/10.1177/016235320302700203</w:t>
        </w:r>
      </w:hyperlink>
      <w:r w:rsidRPr="0047484D">
        <w:rPr>
          <w:rFonts w:ascii="Arial" w:hAnsi="Arial" w:cs="Arial"/>
        </w:rPr>
        <w:t xml:space="preserve"> (Accessed: 28</w:t>
      </w:r>
      <w:r w:rsidRPr="0047484D">
        <w:rPr>
          <w:rFonts w:ascii="Arial" w:hAnsi="Arial" w:cs="Arial"/>
          <w:vertAlign w:val="superscript"/>
        </w:rPr>
        <w:t>th</w:t>
      </w:r>
      <w:r w:rsidRPr="0047484D">
        <w:rPr>
          <w:rFonts w:ascii="Arial" w:hAnsi="Arial" w:cs="Arial"/>
        </w:rPr>
        <w:t xml:space="preserve"> March 2024)</w:t>
      </w:r>
    </w:p>
    <w:p w14:paraId="29DE9DB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van den Bogerd, N., Dijkstra, S. C., Tanja-Dijkstra, K., de Boer, M. R., Seidell, J. C., Koole, S. L., &amp; Maas, J. (2020). ‘Greening the classroom: Three field experiments on the effects of indoor nature on students’ attention, well-being, and perceived environmental quality’. </w:t>
      </w:r>
      <w:r w:rsidRPr="0047484D">
        <w:rPr>
          <w:rFonts w:ascii="Arial" w:hAnsi="Arial" w:cs="Arial"/>
          <w:i/>
          <w:iCs/>
        </w:rPr>
        <w:t>Building and Environment,</w:t>
      </w:r>
      <w:r w:rsidRPr="0047484D">
        <w:rPr>
          <w:rFonts w:ascii="Arial" w:hAnsi="Arial" w:cs="Arial"/>
        </w:rPr>
        <w:t xml:space="preserve"> 171, 106675–10. Available at: </w:t>
      </w:r>
      <w:hyperlink r:id="rId56">
        <w:r w:rsidRPr="0047484D">
          <w:rPr>
            <w:rStyle w:val="Hyperlink"/>
            <w:rFonts w:ascii="Arial" w:hAnsi="Arial" w:cs="Arial"/>
          </w:rPr>
          <w:t>https://doi.org/10.1016/j.buildenv.2020.106675</w:t>
        </w:r>
      </w:hyperlink>
      <w:r w:rsidRPr="0047484D">
        <w:rPr>
          <w:rFonts w:ascii="Arial" w:hAnsi="Arial" w:cs="Arial"/>
        </w:rPr>
        <w:t xml:space="preserve"> (Accessed: 29</w:t>
      </w:r>
      <w:r w:rsidRPr="0047484D">
        <w:rPr>
          <w:rFonts w:ascii="Arial" w:hAnsi="Arial" w:cs="Arial"/>
          <w:vertAlign w:val="superscript"/>
        </w:rPr>
        <w:t>th</w:t>
      </w:r>
      <w:r w:rsidRPr="0047484D">
        <w:rPr>
          <w:rFonts w:ascii="Arial" w:hAnsi="Arial" w:cs="Arial"/>
        </w:rPr>
        <w:t xml:space="preserve"> March 2024)</w:t>
      </w:r>
    </w:p>
    <w:p w14:paraId="5C5671E4"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Welsh Government. (2010). </w:t>
      </w:r>
      <w:r w:rsidRPr="0047484D">
        <w:rPr>
          <w:rFonts w:ascii="Arial" w:hAnsi="Arial" w:cs="Arial"/>
          <w:i/>
          <w:iCs/>
        </w:rPr>
        <w:t>The Teaching and Learning Research Programme in Wales: Improving Learning by Taking Account of Learners’ Perspectives</w:t>
      </w:r>
      <w:r w:rsidRPr="0047484D">
        <w:rPr>
          <w:rFonts w:ascii="Arial" w:hAnsi="Arial" w:cs="Arial"/>
        </w:rPr>
        <w:t xml:space="preserve">. Available at: </w:t>
      </w:r>
      <w:hyperlink r:id="rId57">
        <w:r w:rsidRPr="0047484D">
          <w:rPr>
            <w:rStyle w:val="Hyperlink"/>
            <w:rFonts w:ascii="Arial" w:hAnsi="Arial" w:cs="Arial"/>
          </w:rPr>
          <w:t>https://www.gov.wales/sites/default/files/statistics-and-research/2019-09/101206-improving-learning-taking-account-learners-perspectives-briefing-en.pdf</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7B5C18EF"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Welsh Government. (2023). </w:t>
      </w:r>
      <w:r w:rsidRPr="0047484D">
        <w:rPr>
          <w:rFonts w:ascii="Arial" w:hAnsi="Arial" w:cs="Arial"/>
          <w:i/>
          <w:iCs/>
        </w:rPr>
        <w:t>My Local School</w:t>
      </w:r>
      <w:r w:rsidRPr="0047484D">
        <w:rPr>
          <w:rFonts w:ascii="Arial" w:hAnsi="Arial" w:cs="Arial"/>
        </w:rPr>
        <w:t xml:space="preserve">. Available at: </w:t>
      </w:r>
      <w:hyperlink r:id="rId58">
        <w:r w:rsidRPr="0047484D">
          <w:rPr>
            <w:rStyle w:val="Hyperlink"/>
            <w:rFonts w:ascii="Arial" w:hAnsi="Arial" w:cs="Arial"/>
          </w:rPr>
          <w:t>https://mylocalschool.gov.wales/School/6715502?lang=en</w:t>
        </w:r>
      </w:hyperlink>
      <w:r w:rsidRPr="0047484D">
        <w:rPr>
          <w:rFonts w:ascii="Arial" w:hAnsi="Arial" w:cs="Arial"/>
        </w:rPr>
        <w:t xml:space="preserve"> (Accessed: 18</w:t>
      </w:r>
      <w:r w:rsidRPr="0047484D">
        <w:rPr>
          <w:rFonts w:ascii="Arial" w:hAnsi="Arial" w:cs="Arial"/>
          <w:vertAlign w:val="superscript"/>
        </w:rPr>
        <w:t>th</w:t>
      </w:r>
      <w:r w:rsidRPr="0047484D">
        <w:rPr>
          <w:rFonts w:ascii="Arial" w:hAnsi="Arial" w:cs="Arial"/>
        </w:rPr>
        <w:t xml:space="preserve"> March 2024)</w:t>
      </w:r>
    </w:p>
    <w:p w14:paraId="17357240"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Wentzel, K. R. (2017). Peer relationships, motivation, and academic performance at school. In A. J. Elliot, C. S. Dweck, &amp; D. S. Yeager (Eds.), </w:t>
      </w:r>
      <w:r w:rsidRPr="0047484D">
        <w:rPr>
          <w:rFonts w:ascii="Arial" w:hAnsi="Arial" w:cs="Arial"/>
          <w:i/>
          <w:iCs/>
        </w:rPr>
        <w:t>Handbook of competence and motivation: Theory and application</w:t>
      </w:r>
      <w:r w:rsidRPr="0047484D">
        <w:rPr>
          <w:rFonts w:ascii="Arial" w:hAnsi="Arial" w:cs="Arial"/>
        </w:rPr>
        <w:t xml:space="preserve"> (2nd ed., pp. 586–603). The Guilford Press.</w:t>
      </w:r>
    </w:p>
    <w:p w14:paraId="786CCA9A"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Yin, R. K. (2018). </w:t>
      </w:r>
      <w:r w:rsidRPr="0047484D">
        <w:rPr>
          <w:rFonts w:ascii="Arial" w:hAnsi="Arial" w:cs="Arial"/>
          <w:i/>
          <w:iCs/>
        </w:rPr>
        <w:t>Case study research and applications : design and methods</w:t>
      </w:r>
      <w:r w:rsidRPr="0047484D">
        <w:rPr>
          <w:rFonts w:ascii="Arial" w:hAnsi="Arial" w:cs="Arial"/>
        </w:rPr>
        <w:t xml:space="preserve"> (6</w:t>
      </w:r>
      <w:r w:rsidRPr="0047484D">
        <w:rPr>
          <w:rFonts w:ascii="Arial" w:hAnsi="Arial" w:cs="Arial"/>
          <w:vertAlign w:val="superscript"/>
        </w:rPr>
        <w:t>th</w:t>
      </w:r>
      <w:r w:rsidRPr="0047484D">
        <w:rPr>
          <w:rFonts w:ascii="Arial" w:hAnsi="Arial" w:cs="Arial"/>
        </w:rPr>
        <w:t xml:space="preserve"> ed.). SAGE Publications, Inc.</w:t>
      </w:r>
    </w:p>
    <w:p w14:paraId="00A56F7C"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lastRenderedPageBreak/>
        <w:t xml:space="preserve">Youngman, M.B. (1982). </w:t>
      </w:r>
      <w:r w:rsidRPr="0047484D">
        <w:rPr>
          <w:rFonts w:ascii="Arial" w:hAnsi="Arial" w:cs="Arial"/>
          <w:i/>
          <w:iCs/>
        </w:rPr>
        <w:t>Designing and Analysing Questionnaires</w:t>
      </w:r>
      <w:r w:rsidRPr="0047484D">
        <w:rPr>
          <w:rFonts w:ascii="Arial" w:hAnsi="Arial" w:cs="Arial"/>
        </w:rPr>
        <w:t xml:space="preserve"> (Rediguide Series No. 12). Oxford: Publisher.</w:t>
      </w:r>
    </w:p>
    <w:p w14:paraId="65B28D22" w14:textId="77777777" w:rsidR="00B66EDC" w:rsidRPr="0047484D" w:rsidRDefault="00000000" w:rsidP="0047484D">
      <w:pPr>
        <w:pStyle w:val="ListParagraph"/>
        <w:numPr>
          <w:ilvl w:val="0"/>
          <w:numId w:val="1"/>
        </w:numPr>
        <w:spacing w:line="480" w:lineRule="auto"/>
        <w:rPr>
          <w:rFonts w:ascii="Arial" w:hAnsi="Arial" w:cs="Arial"/>
        </w:rPr>
      </w:pPr>
      <w:r w:rsidRPr="0047484D">
        <w:rPr>
          <w:rFonts w:ascii="Arial" w:hAnsi="Arial" w:cs="Arial"/>
        </w:rPr>
        <w:t xml:space="preserve">Zhang, J., &amp; Norman, D. A. (1994). ‘Representations in Distributed Cognitive Tasks’. </w:t>
      </w:r>
      <w:r w:rsidRPr="0047484D">
        <w:rPr>
          <w:rFonts w:ascii="Arial" w:hAnsi="Arial" w:cs="Arial"/>
          <w:i/>
          <w:iCs/>
        </w:rPr>
        <w:t>Cognitive Science</w:t>
      </w:r>
      <w:r w:rsidRPr="0047484D">
        <w:rPr>
          <w:rFonts w:ascii="Arial" w:hAnsi="Arial" w:cs="Arial"/>
        </w:rPr>
        <w:t xml:space="preserve">, 18(1), 87–122. Available at:  </w:t>
      </w:r>
      <w:hyperlink r:id="rId59">
        <w:r w:rsidRPr="0047484D">
          <w:rPr>
            <w:rStyle w:val="Hyperlink"/>
            <w:rFonts w:ascii="Arial" w:hAnsi="Arial" w:cs="Arial"/>
          </w:rPr>
          <w:t>https://doi.org/10.1207/s15516709cog1801_3</w:t>
        </w:r>
      </w:hyperlink>
      <w:r w:rsidRPr="0047484D">
        <w:rPr>
          <w:rFonts w:ascii="Arial" w:hAnsi="Arial" w:cs="Arial"/>
        </w:rPr>
        <w:t xml:space="preserve"> (Accessed: 20</w:t>
      </w:r>
      <w:r w:rsidRPr="0047484D">
        <w:rPr>
          <w:rFonts w:ascii="Arial" w:hAnsi="Arial" w:cs="Arial"/>
          <w:vertAlign w:val="superscript"/>
        </w:rPr>
        <w:t>th</w:t>
      </w:r>
      <w:r w:rsidRPr="0047484D">
        <w:rPr>
          <w:rFonts w:ascii="Arial" w:hAnsi="Arial" w:cs="Arial"/>
        </w:rPr>
        <w:t xml:space="preserve"> March 2024)</w:t>
      </w:r>
    </w:p>
    <w:p w14:paraId="0DDD4E30" w14:textId="77777777" w:rsidR="66EA5948" w:rsidRPr="0047484D" w:rsidRDefault="66EA5948" w:rsidP="0047484D">
      <w:pPr>
        <w:spacing w:line="480" w:lineRule="auto"/>
        <w:rPr>
          <w:rFonts w:ascii="Arial" w:hAnsi="Arial" w:cs="Arial"/>
        </w:rPr>
      </w:pPr>
    </w:p>
    <w:p w14:paraId="7E0D378A" w14:textId="77777777" w:rsidR="66EA5948" w:rsidRPr="0047484D" w:rsidRDefault="66EA5948" w:rsidP="0047484D">
      <w:pPr>
        <w:spacing w:line="480" w:lineRule="auto"/>
        <w:rPr>
          <w:rFonts w:ascii="Arial" w:hAnsi="Arial" w:cs="Arial"/>
        </w:rPr>
      </w:pPr>
    </w:p>
    <w:p w14:paraId="5C189A7F" w14:textId="77777777" w:rsidR="66EA5948" w:rsidRPr="0047484D" w:rsidRDefault="66EA5948" w:rsidP="0047484D">
      <w:pPr>
        <w:spacing w:line="480" w:lineRule="auto"/>
        <w:rPr>
          <w:rFonts w:ascii="Arial" w:hAnsi="Arial" w:cs="Arial"/>
        </w:rPr>
      </w:pPr>
    </w:p>
    <w:p w14:paraId="36EBF399" w14:textId="77777777" w:rsidR="66EA5948" w:rsidRPr="0047484D" w:rsidRDefault="66EA5948" w:rsidP="0047484D">
      <w:pPr>
        <w:spacing w:line="480" w:lineRule="auto"/>
        <w:rPr>
          <w:rFonts w:ascii="Arial" w:hAnsi="Arial" w:cs="Arial"/>
        </w:rPr>
      </w:pPr>
    </w:p>
    <w:sectPr w:rsidR="66EA5948" w:rsidRPr="0047484D">
      <w:headerReference w:type="default" r:id="rId60"/>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01095B" w14:textId="77777777" w:rsidR="0081428D" w:rsidRDefault="0081428D">
      <w:pPr>
        <w:spacing w:after="0" w:line="240" w:lineRule="auto"/>
      </w:pPr>
      <w:r>
        <w:separator/>
      </w:r>
    </w:p>
  </w:endnote>
  <w:endnote w:type="continuationSeparator" w:id="0">
    <w:p w14:paraId="55363991" w14:textId="77777777" w:rsidR="0081428D" w:rsidRDefault="00814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526CE" w14:textId="77777777" w:rsidR="0047484D" w:rsidRDefault="00000000">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C1E7B70" w14:textId="77777777" w:rsidR="0047484D" w:rsidRDefault="00474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AB8289" w14:textId="77777777" w:rsidR="0081428D" w:rsidRDefault="0081428D">
      <w:pPr>
        <w:spacing w:after="0" w:line="240" w:lineRule="auto"/>
      </w:pPr>
      <w:r>
        <w:separator/>
      </w:r>
    </w:p>
  </w:footnote>
  <w:footnote w:type="continuationSeparator" w:id="0">
    <w:p w14:paraId="612A805D" w14:textId="77777777" w:rsidR="0081428D" w:rsidRDefault="008142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F80A3F" w14:textId="77777777" w:rsidR="0047484D" w:rsidRDefault="00000000">
    <w:pPr>
      <w:pStyle w:val="Header"/>
    </w:pPr>
    <w:r>
      <w:t>1701972</w:t>
    </w:r>
  </w:p>
  <w:p w14:paraId="65ADECCC" w14:textId="77777777" w:rsidR="0047484D" w:rsidRDefault="004748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0DF66"/>
    <w:multiLevelType w:val="hybridMultilevel"/>
    <w:tmpl w:val="00000000"/>
    <w:lvl w:ilvl="0" w:tplc="30BE4820">
      <w:start w:val="1"/>
      <w:numFmt w:val="decimal"/>
      <w:lvlText w:val="%1."/>
      <w:lvlJc w:val="left"/>
      <w:pPr>
        <w:ind w:left="720" w:hanging="360"/>
      </w:pPr>
    </w:lvl>
    <w:lvl w:ilvl="1" w:tplc="40C8CA7C">
      <w:start w:val="1"/>
      <w:numFmt w:val="lowerLetter"/>
      <w:lvlText w:val="%2."/>
      <w:lvlJc w:val="left"/>
      <w:pPr>
        <w:ind w:left="1440" w:hanging="360"/>
      </w:pPr>
    </w:lvl>
    <w:lvl w:ilvl="2" w:tplc="9790002A">
      <w:start w:val="1"/>
      <w:numFmt w:val="lowerRoman"/>
      <w:lvlText w:val="%3."/>
      <w:lvlJc w:val="right"/>
      <w:pPr>
        <w:ind w:left="2160" w:hanging="180"/>
      </w:pPr>
    </w:lvl>
    <w:lvl w:ilvl="3" w:tplc="BDE48D74">
      <w:start w:val="1"/>
      <w:numFmt w:val="decimal"/>
      <w:lvlText w:val="%4."/>
      <w:lvlJc w:val="left"/>
      <w:pPr>
        <w:ind w:left="2880" w:hanging="360"/>
      </w:pPr>
    </w:lvl>
    <w:lvl w:ilvl="4" w:tplc="3C108ECE">
      <w:start w:val="1"/>
      <w:numFmt w:val="lowerLetter"/>
      <w:lvlText w:val="%5."/>
      <w:lvlJc w:val="left"/>
      <w:pPr>
        <w:ind w:left="3600" w:hanging="360"/>
      </w:pPr>
    </w:lvl>
    <w:lvl w:ilvl="5" w:tplc="F41EBF8E">
      <w:start w:val="1"/>
      <w:numFmt w:val="lowerRoman"/>
      <w:lvlText w:val="%6."/>
      <w:lvlJc w:val="right"/>
      <w:pPr>
        <w:ind w:left="4320" w:hanging="180"/>
      </w:pPr>
    </w:lvl>
    <w:lvl w:ilvl="6" w:tplc="4CACF23C">
      <w:start w:val="1"/>
      <w:numFmt w:val="decimal"/>
      <w:lvlText w:val="%7."/>
      <w:lvlJc w:val="left"/>
      <w:pPr>
        <w:ind w:left="5040" w:hanging="360"/>
      </w:pPr>
    </w:lvl>
    <w:lvl w:ilvl="7" w:tplc="AECC58E2">
      <w:start w:val="1"/>
      <w:numFmt w:val="lowerLetter"/>
      <w:lvlText w:val="%8."/>
      <w:lvlJc w:val="left"/>
      <w:pPr>
        <w:ind w:left="5760" w:hanging="360"/>
      </w:pPr>
    </w:lvl>
    <w:lvl w:ilvl="8" w:tplc="6F08F49E">
      <w:start w:val="1"/>
      <w:numFmt w:val="lowerRoman"/>
      <w:lvlText w:val="%9."/>
      <w:lvlJc w:val="right"/>
      <w:pPr>
        <w:ind w:left="6480" w:hanging="180"/>
      </w:pPr>
    </w:lvl>
  </w:abstractNum>
  <w:abstractNum w:abstractNumId="1" w15:restartNumberingAfterBreak="0">
    <w:nsid w:val="2CD64F47"/>
    <w:multiLevelType w:val="hybridMultilevel"/>
    <w:tmpl w:val="FE9C627A"/>
    <w:lvl w:ilvl="0" w:tplc="6120A336">
      <w:numFmt w:val="bullet"/>
      <w:lvlText w:val="-"/>
      <w:lvlJc w:val="left"/>
      <w:pPr>
        <w:ind w:left="720" w:hanging="360"/>
      </w:pPr>
      <w:rPr>
        <w:rFonts w:ascii="Arial" w:eastAsia="Times New Roman" w:hAnsi="Arial" w:cs="Arial" w:hint="default"/>
        <w:color w:val="0D0D0D"/>
      </w:rPr>
    </w:lvl>
    <w:lvl w:ilvl="1" w:tplc="D35ACA58" w:tentative="1">
      <w:start w:val="1"/>
      <w:numFmt w:val="bullet"/>
      <w:lvlText w:val="o"/>
      <w:lvlJc w:val="left"/>
      <w:pPr>
        <w:ind w:left="1440" w:hanging="360"/>
      </w:pPr>
      <w:rPr>
        <w:rFonts w:ascii="Courier New" w:hAnsi="Courier New" w:cs="Courier New" w:hint="default"/>
      </w:rPr>
    </w:lvl>
    <w:lvl w:ilvl="2" w:tplc="366648B0" w:tentative="1">
      <w:start w:val="1"/>
      <w:numFmt w:val="bullet"/>
      <w:lvlText w:val=""/>
      <w:lvlJc w:val="left"/>
      <w:pPr>
        <w:ind w:left="2160" w:hanging="360"/>
      </w:pPr>
      <w:rPr>
        <w:rFonts w:ascii="Wingdings" w:hAnsi="Wingdings" w:hint="default"/>
      </w:rPr>
    </w:lvl>
    <w:lvl w:ilvl="3" w:tplc="DB028BD2" w:tentative="1">
      <w:start w:val="1"/>
      <w:numFmt w:val="bullet"/>
      <w:lvlText w:val=""/>
      <w:lvlJc w:val="left"/>
      <w:pPr>
        <w:ind w:left="2880" w:hanging="360"/>
      </w:pPr>
      <w:rPr>
        <w:rFonts w:ascii="Symbol" w:hAnsi="Symbol" w:hint="default"/>
      </w:rPr>
    </w:lvl>
    <w:lvl w:ilvl="4" w:tplc="70BC76A2" w:tentative="1">
      <w:start w:val="1"/>
      <w:numFmt w:val="bullet"/>
      <w:lvlText w:val="o"/>
      <w:lvlJc w:val="left"/>
      <w:pPr>
        <w:ind w:left="3600" w:hanging="360"/>
      </w:pPr>
      <w:rPr>
        <w:rFonts w:ascii="Courier New" w:hAnsi="Courier New" w:cs="Courier New" w:hint="default"/>
      </w:rPr>
    </w:lvl>
    <w:lvl w:ilvl="5" w:tplc="96AA70F6" w:tentative="1">
      <w:start w:val="1"/>
      <w:numFmt w:val="bullet"/>
      <w:lvlText w:val=""/>
      <w:lvlJc w:val="left"/>
      <w:pPr>
        <w:ind w:left="4320" w:hanging="360"/>
      </w:pPr>
      <w:rPr>
        <w:rFonts w:ascii="Wingdings" w:hAnsi="Wingdings" w:hint="default"/>
      </w:rPr>
    </w:lvl>
    <w:lvl w:ilvl="6" w:tplc="EF461A7C" w:tentative="1">
      <w:start w:val="1"/>
      <w:numFmt w:val="bullet"/>
      <w:lvlText w:val=""/>
      <w:lvlJc w:val="left"/>
      <w:pPr>
        <w:ind w:left="5040" w:hanging="360"/>
      </w:pPr>
      <w:rPr>
        <w:rFonts w:ascii="Symbol" w:hAnsi="Symbol" w:hint="default"/>
      </w:rPr>
    </w:lvl>
    <w:lvl w:ilvl="7" w:tplc="6D62DEE6" w:tentative="1">
      <w:start w:val="1"/>
      <w:numFmt w:val="bullet"/>
      <w:lvlText w:val="o"/>
      <w:lvlJc w:val="left"/>
      <w:pPr>
        <w:ind w:left="5760" w:hanging="360"/>
      </w:pPr>
      <w:rPr>
        <w:rFonts w:ascii="Courier New" w:hAnsi="Courier New" w:cs="Courier New" w:hint="default"/>
      </w:rPr>
    </w:lvl>
    <w:lvl w:ilvl="8" w:tplc="D284CAC0" w:tentative="1">
      <w:start w:val="1"/>
      <w:numFmt w:val="bullet"/>
      <w:lvlText w:val=""/>
      <w:lvlJc w:val="left"/>
      <w:pPr>
        <w:ind w:left="6480" w:hanging="360"/>
      </w:pPr>
      <w:rPr>
        <w:rFonts w:ascii="Wingdings" w:hAnsi="Wingdings" w:hint="default"/>
      </w:rPr>
    </w:lvl>
  </w:abstractNum>
  <w:abstractNum w:abstractNumId="2" w15:restartNumberingAfterBreak="0">
    <w:nsid w:val="47B7014B"/>
    <w:multiLevelType w:val="hybridMultilevel"/>
    <w:tmpl w:val="AE22E0C8"/>
    <w:lvl w:ilvl="0" w:tplc="8D5C645A">
      <w:numFmt w:val="bullet"/>
      <w:lvlText w:val="-"/>
      <w:lvlJc w:val="left"/>
      <w:pPr>
        <w:ind w:left="720" w:hanging="360"/>
      </w:pPr>
      <w:rPr>
        <w:rFonts w:ascii="Arial" w:eastAsia="Times New Roman" w:hAnsi="Arial" w:cs="Arial" w:hint="default"/>
        <w:color w:val="0D0D0D"/>
      </w:rPr>
    </w:lvl>
    <w:lvl w:ilvl="1" w:tplc="6BC01E9A" w:tentative="1">
      <w:start w:val="1"/>
      <w:numFmt w:val="bullet"/>
      <w:lvlText w:val="o"/>
      <w:lvlJc w:val="left"/>
      <w:pPr>
        <w:ind w:left="1440" w:hanging="360"/>
      </w:pPr>
      <w:rPr>
        <w:rFonts w:ascii="Courier New" w:hAnsi="Courier New" w:cs="Courier New" w:hint="default"/>
      </w:rPr>
    </w:lvl>
    <w:lvl w:ilvl="2" w:tplc="4552B1B6" w:tentative="1">
      <w:start w:val="1"/>
      <w:numFmt w:val="bullet"/>
      <w:lvlText w:val=""/>
      <w:lvlJc w:val="left"/>
      <w:pPr>
        <w:ind w:left="2160" w:hanging="360"/>
      </w:pPr>
      <w:rPr>
        <w:rFonts w:ascii="Wingdings" w:hAnsi="Wingdings" w:hint="default"/>
      </w:rPr>
    </w:lvl>
    <w:lvl w:ilvl="3" w:tplc="284AF6F4" w:tentative="1">
      <w:start w:val="1"/>
      <w:numFmt w:val="bullet"/>
      <w:lvlText w:val=""/>
      <w:lvlJc w:val="left"/>
      <w:pPr>
        <w:ind w:left="2880" w:hanging="360"/>
      </w:pPr>
      <w:rPr>
        <w:rFonts w:ascii="Symbol" w:hAnsi="Symbol" w:hint="default"/>
      </w:rPr>
    </w:lvl>
    <w:lvl w:ilvl="4" w:tplc="81B2E796" w:tentative="1">
      <w:start w:val="1"/>
      <w:numFmt w:val="bullet"/>
      <w:lvlText w:val="o"/>
      <w:lvlJc w:val="left"/>
      <w:pPr>
        <w:ind w:left="3600" w:hanging="360"/>
      </w:pPr>
      <w:rPr>
        <w:rFonts w:ascii="Courier New" w:hAnsi="Courier New" w:cs="Courier New" w:hint="default"/>
      </w:rPr>
    </w:lvl>
    <w:lvl w:ilvl="5" w:tplc="146CE29C" w:tentative="1">
      <w:start w:val="1"/>
      <w:numFmt w:val="bullet"/>
      <w:lvlText w:val=""/>
      <w:lvlJc w:val="left"/>
      <w:pPr>
        <w:ind w:left="4320" w:hanging="360"/>
      </w:pPr>
      <w:rPr>
        <w:rFonts w:ascii="Wingdings" w:hAnsi="Wingdings" w:hint="default"/>
      </w:rPr>
    </w:lvl>
    <w:lvl w:ilvl="6" w:tplc="FA18229A" w:tentative="1">
      <w:start w:val="1"/>
      <w:numFmt w:val="bullet"/>
      <w:lvlText w:val=""/>
      <w:lvlJc w:val="left"/>
      <w:pPr>
        <w:ind w:left="5040" w:hanging="360"/>
      </w:pPr>
      <w:rPr>
        <w:rFonts w:ascii="Symbol" w:hAnsi="Symbol" w:hint="default"/>
      </w:rPr>
    </w:lvl>
    <w:lvl w:ilvl="7" w:tplc="E578CEA4" w:tentative="1">
      <w:start w:val="1"/>
      <w:numFmt w:val="bullet"/>
      <w:lvlText w:val="o"/>
      <w:lvlJc w:val="left"/>
      <w:pPr>
        <w:ind w:left="5760" w:hanging="360"/>
      </w:pPr>
      <w:rPr>
        <w:rFonts w:ascii="Courier New" w:hAnsi="Courier New" w:cs="Courier New" w:hint="default"/>
      </w:rPr>
    </w:lvl>
    <w:lvl w:ilvl="8" w:tplc="2214A0D6" w:tentative="1">
      <w:start w:val="1"/>
      <w:numFmt w:val="bullet"/>
      <w:lvlText w:val=""/>
      <w:lvlJc w:val="left"/>
      <w:pPr>
        <w:ind w:left="6480" w:hanging="360"/>
      </w:pPr>
      <w:rPr>
        <w:rFonts w:ascii="Wingdings" w:hAnsi="Wingdings" w:hint="default"/>
      </w:rPr>
    </w:lvl>
  </w:abstractNum>
  <w:abstractNum w:abstractNumId="3" w15:restartNumberingAfterBreak="0">
    <w:nsid w:val="54297C05"/>
    <w:multiLevelType w:val="hybridMultilevel"/>
    <w:tmpl w:val="58B0C9E0"/>
    <w:lvl w:ilvl="0" w:tplc="56FC6440">
      <w:numFmt w:val="bullet"/>
      <w:lvlText w:val="-"/>
      <w:lvlJc w:val="left"/>
      <w:pPr>
        <w:ind w:left="720" w:hanging="360"/>
      </w:pPr>
      <w:rPr>
        <w:rFonts w:ascii="Arial" w:eastAsia="Times New Roman" w:hAnsi="Arial" w:cs="Arial" w:hint="default"/>
        <w:color w:val="0D0D0D"/>
      </w:rPr>
    </w:lvl>
    <w:lvl w:ilvl="1" w:tplc="7B44764C" w:tentative="1">
      <w:start w:val="1"/>
      <w:numFmt w:val="bullet"/>
      <w:lvlText w:val="o"/>
      <w:lvlJc w:val="left"/>
      <w:pPr>
        <w:ind w:left="1440" w:hanging="360"/>
      </w:pPr>
      <w:rPr>
        <w:rFonts w:ascii="Courier New" w:hAnsi="Courier New" w:cs="Courier New" w:hint="default"/>
      </w:rPr>
    </w:lvl>
    <w:lvl w:ilvl="2" w:tplc="E7DED4BA" w:tentative="1">
      <w:start w:val="1"/>
      <w:numFmt w:val="bullet"/>
      <w:lvlText w:val=""/>
      <w:lvlJc w:val="left"/>
      <w:pPr>
        <w:ind w:left="2160" w:hanging="360"/>
      </w:pPr>
      <w:rPr>
        <w:rFonts w:ascii="Wingdings" w:hAnsi="Wingdings" w:hint="default"/>
      </w:rPr>
    </w:lvl>
    <w:lvl w:ilvl="3" w:tplc="64AA5370" w:tentative="1">
      <w:start w:val="1"/>
      <w:numFmt w:val="bullet"/>
      <w:lvlText w:val=""/>
      <w:lvlJc w:val="left"/>
      <w:pPr>
        <w:ind w:left="2880" w:hanging="360"/>
      </w:pPr>
      <w:rPr>
        <w:rFonts w:ascii="Symbol" w:hAnsi="Symbol" w:hint="default"/>
      </w:rPr>
    </w:lvl>
    <w:lvl w:ilvl="4" w:tplc="72046294" w:tentative="1">
      <w:start w:val="1"/>
      <w:numFmt w:val="bullet"/>
      <w:lvlText w:val="o"/>
      <w:lvlJc w:val="left"/>
      <w:pPr>
        <w:ind w:left="3600" w:hanging="360"/>
      </w:pPr>
      <w:rPr>
        <w:rFonts w:ascii="Courier New" w:hAnsi="Courier New" w:cs="Courier New" w:hint="default"/>
      </w:rPr>
    </w:lvl>
    <w:lvl w:ilvl="5" w:tplc="43301CAC" w:tentative="1">
      <w:start w:val="1"/>
      <w:numFmt w:val="bullet"/>
      <w:lvlText w:val=""/>
      <w:lvlJc w:val="left"/>
      <w:pPr>
        <w:ind w:left="4320" w:hanging="360"/>
      </w:pPr>
      <w:rPr>
        <w:rFonts w:ascii="Wingdings" w:hAnsi="Wingdings" w:hint="default"/>
      </w:rPr>
    </w:lvl>
    <w:lvl w:ilvl="6" w:tplc="3AE84A60" w:tentative="1">
      <w:start w:val="1"/>
      <w:numFmt w:val="bullet"/>
      <w:lvlText w:val=""/>
      <w:lvlJc w:val="left"/>
      <w:pPr>
        <w:ind w:left="5040" w:hanging="360"/>
      </w:pPr>
      <w:rPr>
        <w:rFonts w:ascii="Symbol" w:hAnsi="Symbol" w:hint="default"/>
      </w:rPr>
    </w:lvl>
    <w:lvl w:ilvl="7" w:tplc="C86671D2" w:tentative="1">
      <w:start w:val="1"/>
      <w:numFmt w:val="bullet"/>
      <w:lvlText w:val="o"/>
      <w:lvlJc w:val="left"/>
      <w:pPr>
        <w:ind w:left="5760" w:hanging="360"/>
      </w:pPr>
      <w:rPr>
        <w:rFonts w:ascii="Courier New" w:hAnsi="Courier New" w:cs="Courier New" w:hint="default"/>
      </w:rPr>
    </w:lvl>
    <w:lvl w:ilvl="8" w:tplc="20A0000A" w:tentative="1">
      <w:start w:val="1"/>
      <w:numFmt w:val="bullet"/>
      <w:lvlText w:val=""/>
      <w:lvlJc w:val="left"/>
      <w:pPr>
        <w:ind w:left="6480" w:hanging="360"/>
      </w:pPr>
      <w:rPr>
        <w:rFonts w:ascii="Wingdings" w:hAnsi="Wingdings" w:hint="default"/>
      </w:rPr>
    </w:lvl>
  </w:abstractNum>
  <w:abstractNum w:abstractNumId="4" w15:restartNumberingAfterBreak="0">
    <w:nsid w:val="56A891DD"/>
    <w:multiLevelType w:val="hybridMultilevel"/>
    <w:tmpl w:val="00000000"/>
    <w:lvl w:ilvl="0" w:tplc="4A9CA91E">
      <w:start w:val="1"/>
      <w:numFmt w:val="decimal"/>
      <w:lvlText w:val="%1."/>
      <w:lvlJc w:val="left"/>
      <w:pPr>
        <w:ind w:left="720" w:hanging="360"/>
      </w:pPr>
    </w:lvl>
    <w:lvl w:ilvl="1" w:tplc="589E3170">
      <w:start w:val="1"/>
      <w:numFmt w:val="lowerLetter"/>
      <w:lvlText w:val="%2."/>
      <w:lvlJc w:val="left"/>
      <w:pPr>
        <w:ind w:left="1440" w:hanging="360"/>
      </w:pPr>
    </w:lvl>
    <w:lvl w:ilvl="2" w:tplc="E4E2462A">
      <w:start w:val="1"/>
      <w:numFmt w:val="lowerRoman"/>
      <w:lvlText w:val="%3."/>
      <w:lvlJc w:val="right"/>
      <w:pPr>
        <w:ind w:left="2160" w:hanging="180"/>
      </w:pPr>
    </w:lvl>
    <w:lvl w:ilvl="3" w:tplc="30BCF690">
      <w:start w:val="1"/>
      <w:numFmt w:val="decimal"/>
      <w:lvlText w:val="%4."/>
      <w:lvlJc w:val="left"/>
      <w:pPr>
        <w:ind w:left="2880" w:hanging="360"/>
      </w:pPr>
    </w:lvl>
    <w:lvl w:ilvl="4" w:tplc="A89009DC">
      <w:start w:val="1"/>
      <w:numFmt w:val="lowerLetter"/>
      <w:lvlText w:val="%5."/>
      <w:lvlJc w:val="left"/>
      <w:pPr>
        <w:ind w:left="3600" w:hanging="360"/>
      </w:pPr>
    </w:lvl>
    <w:lvl w:ilvl="5" w:tplc="A22C1484">
      <w:start w:val="1"/>
      <w:numFmt w:val="lowerRoman"/>
      <w:lvlText w:val="%6."/>
      <w:lvlJc w:val="right"/>
      <w:pPr>
        <w:ind w:left="4320" w:hanging="180"/>
      </w:pPr>
    </w:lvl>
    <w:lvl w:ilvl="6" w:tplc="7536380C">
      <w:start w:val="1"/>
      <w:numFmt w:val="decimal"/>
      <w:lvlText w:val="%7."/>
      <w:lvlJc w:val="left"/>
      <w:pPr>
        <w:ind w:left="5040" w:hanging="360"/>
      </w:pPr>
    </w:lvl>
    <w:lvl w:ilvl="7" w:tplc="AB1821FE">
      <w:start w:val="1"/>
      <w:numFmt w:val="lowerLetter"/>
      <w:lvlText w:val="%8."/>
      <w:lvlJc w:val="left"/>
      <w:pPr>
        <w:ind w:left="5760" w:hanging="360"/>
      </w:pPr>
    </w:lvl>
    <w:lvl w:ilvl="8" w:tplc="82023072">
      <w:start w:val="1"/>
      <w:numFmt w:val="lowerRoman"/>
      <w:lvlText w:val="%9."/>
      <w:lvlJc w:val="right"/>
      <w:pPr>
        <w:ind w:left="6480" w:hanging="180"/>
      </w:pPr>
    </w:lvl>
  </w:abstractNum>
  <w:num w:numId="1" w16cid:durableId="1958176440">
    <w:abstractNumId w:val="4"/>
  </w:num>
  <w:num w:numId="2" w16cid:durableId="1077243421">
    <w:abstractNumId w:val="0"/>
  </w:num>
  <w:num w:numId="3" w16cid:durableId="100102710">
    <w:abstractNumId w:val="3"/>
  </w:num>
  <w:num w:numId="4" w16cid:durableId="963387975">
    <w:abstractNumId w:val="1"/>
  </w:num>
  <w:num w:numId="5" w16cid:durableId="14065649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F80E71"/>
    <w:rsid w:val="00022779"/>
    <w:rsid w:val="00118C08"/>
    <w:rsid w:val="00123E2B"/>
    <w:rsid w:val="00141B99"/>
    <w:rsid w:val="00187FFD"/>
    <w:rsid w:val="001C37F5"/>
    <w:rsid w:val="00247DD5"/>
    <w:rsid w:val="002A64FF"/>
    <w:rsid w:val="002B2430"/>
    <w:rsid w:val="002C4BC4"/>
    <w:rsid w:val="002D0BC4"/>
    <w:rsid w:val="002D3FC7"/>
    <w:rsid w:val="00317667"/>
    <w:rsid w:val="00341235"/>
    <w:rsid w:val="00357BA7"/>
    <w:rsid w:val="00390BCC"/>
    <w:rsid w:val="00397A89"/>
    <w:rsid w:val="003AC251"/>
    <w:rsid w:val="003B62EC"/>
    <w:rsid w:val="003E1D0E"/>
    <w:rsid w:val="003F4F0D"/>
    <w:rsid w:val="0040333F"/>
    <w:rsid w:val="00410091"/>
    <w:rsid w:val="00415AD5"/>
    <w:rsid w:val="00463D5F"/>
    <w:rsid w:val="00473387"/>
    <w:rsid w:val="0047484D"/>
    <w:rsid w:val="00482984"/>
    <w:rsid w:val="0049288F"/>
    <w:rsid w:val="005102BF"/>
    <w:rsid w:val="00514421"/>
    <w:rsid w:val="00551BC6"/>
    <w:rsid w:val="00567CCE"/>
    <w:rsid w:val="005F7F58"/>
    <w:rsid w:val="00608B3C"/>
    <w:rsid w:val="006A54F5"/>
    <w:rsid w:val="006C33A2"/>
    <w:rsid w:val="006FA6B8"/>
    <w:rsid w:val="00720C6B"/>
    <w:rsid w:val="00734133"/>
    <w:rsid w:val="00750BE0"/>
    <w:rsid w:val="007B49DB"/>
    <w:rsid w:val="0081428D"/>
    <w:rsid w:val="00837193"/>
    <w:rsid w:val="009132BF"/>
    <w:rsid w:val="00951357"/>
    <w:rsid w:val="00A01287"/>
    <w:rsid w:val="00A42606"/>
    <w:rsid w:val="00A66B94"/>
    <w:rsid w:val="00AD4775"/>
    <w:rsid w:val="00B26AE0"/>
    <w:rsid w:val="00B66EDC"/>
    <w:rsid w:val="00BA5412"/>
    <w:rsid w:val="00BB14C6"/>
    <w:rsid w:val="00C25D00"/>
    <w:rsid w:val="00C509A2"/>
    <w:rsid w:val="00CA64D9"/>
    <w:rsid w:val="00CC5E98"/>
    <w:rsid w:val="00CF3419"/>
    <w:rsid w:val="00D15695"/>
    <w:rsid w:val="00D978C7"/>
    <w:rsid w:val="00E97D10"/>
    <w:rsid w:val="00EE202A"/>
    <w:rsid w:val="00F07AA2"/>
    <w:rsid w:val="00F3D8DA"/>
    <w:rsid w:val="00F5612D"/>
    <w:rsid w:val="00F627D3"/>
    <w:rsid w:val="00F64864"/>
    <w:rsid w:val="00F71DD1"/>
    <w:rsid w:val="00F86904"/>
    <w:rsid w:val="00FC2A22"/>
    <w:rsid w:val="01266132"/>
    <w:rsid w:val="0143FAE2"/>
    <w:rsid w:val="01735F04"/>
    <w:rsid w:val="01771822"/>
    <w:rsid w:val="01B25A06"/>
    <w:rsid w:val="020B18ED"/>
    <w:rsid w:val="021B4207"/>
    <w:rsid w:val="0224C72E"/>
    <w:rsid w:val="022CDC97"/>
    <w:rsid w:val="028C4AF2"/>
    <w:rsid w:val="02F7128D"/>
    <w:rsid w:val="0300F3AB"/>
    <w:rsid w:val="03076F28"/>
    <w:rsid w:val="0312E883"/>
    <w:rsid w:val="0331C14D"/>
    <w:rsid w:val="0335020A"/>
    <w:rsid w:val="033B786F"/>
    <w:rsid w:val="035CB342"/>
    <w:rsid w:val="0368B5A2"/>
    <w:rsid w:val="03A5872A"/>
    <w:rsid w:val="03B56F61"/>
    <w:rsid w:val="03ED8E22"/>
    <w:rsid w:val="03FDE9F4"/>
    <w:rsid w:val="041ECC21"/>
    <w:rsid w:val="045D48AC"/>
    <w:rsid w:val="046C4E95"/>
    <w:rsid w:val="046D7B4D"/>
    <w:rsid w:val="047F95DB"/>
    <w:rsid w:val="04C14E8A"/>
    <w:rsid w:val="04D02B3E"/>
    <w:rsid w:val="04FC6274"/>
    <w:rsid w:val="05048603"/>
    <w:rsid w:val="053FD9AD"/>
    <w:rsid w:val="0540AE05"/>
    <w:rsid w:val="0568C9F6"/>
    <w:rsid w:val="0573E68B"/>
    <w:rsid w:val="05813A2F"/>
    <w:rsid w:val="0599BA55"/>
    <w:rsid w:val="05D9A113"/>
    <w:rsid w:val="05F080F4"/>
    <w:rsid w:val="05F2EF12"/>
    <w:rsid w:val="0630585A"/>
    <w:rsid w:val="0646D027"/>
    <w:rsid w:val="066CA2CC"/>
    <w:rsid w:val="067465AA"/>
    <w:rsid w:val="06793497"/>
    <w:rsid w:val="06A3C3BF"/>
    <w:rsid w:val="06A4E428"/>
    <w:rsid w:val="06B0CE52"/>
    <w:rsid w:val="06DC7E66"/>
    <w:rsid w:val="06F83851"/>
    <w:rsid w:val="070FB6EC"/>
    <w:rsid w:val="072962DB"/>
    <w:rsid w:val="0736B158"/>
    <w:rsid w:val="075E1542"/>
    <w:rsid w:val="0767AB28"/>
    <w:rsid w:val="07757174"/>
    <w:rsid w:val="077A60E2"/>
    <w:rsid w:val="079A152E"/>
    <w:rsid w:val="07A1CEBE"/>
    <w:rsid w:val="07AEB6C3"/>
    <w:rsid w:val="07B6284D"/>
    <w:rsid w:val="07D303ED"/>
    <w:rsid w:val="084218FA"/>
    <w:rsid w:val="08491894"/>
    <w:rsid w:val="08A1EFB1"/>
    <w:rsid w:val="090B9777"/>
    <w:rsid w:val="0935E46A"/>
    <w:rsid w:val="0954BD99"/>
    <w:rsid w:val="0959F95C"/>
    <w:rsid w:val="0973C0D7"/>
    <w:rsid w:val="098A70A1"/>
    <w:rsid w:val="09BCCEEA"/>
    <w:rsid w:val="0A3994C6"/>
    <w:rsid w:val="0A65DA96"/>
    <w:rsid w:val="0A6E1DA0"/>
    <w:rsid w:val="0AB93A27"/>
    <w:rsid w:val="0AD1B4CB"/>
    <w:rsid w:val="0AD7CF79"/>
    <w:rsid w:val="0AD8BACF"/>
    <w:rsid w:val="0AE9DE7F"/>
    <w:rsid w:val="0AEADD28"/>
    <w:rsid w:val="0AF14C47"/>
    <w:rsid w:val="0B1E19C9"/>
    <w:rsid w:val="0B357154"/>
    <w:rsid w:val="0B527B9B"/>
    <w:rsid w:val="0B539B90"/>
    <w:rsid w:val="0B5F1C86"/>
    <w:rsid w:val="0BA4C661"/>
    <w:rsid w:val="0BA6C5C2"/>
    <w:rsid w:val="0BCBA974"/>
    <w:rsid w:val="0BD7C378"/>
    <w:rsid w:val="0C05FF10"/>
    <w:rsid w:val="0C158294"/>
    <w:rsid w:val="0C1D3B43"/>
    <w:rsid w:val="0C4068AD"/>
    <w:rsid w:val="0C5AAB7F"/>
    <w:rsid w:val="0C5C0DFD"/>
    <w:rsid w:val="0C739FDA"/>
    <w:rsid w:val="0CA19815"/>
    <w:rsid w:val="0CB9CAC9"/>
    <w:rsid w:val="0CBDD247"/>
    <w:rsid w:val="0CC1306D"/>
    <w:rsid w:val="0CE42DE7"/>
    <w:rsid w:val="0D37BEF8"/>
    <w:rsid w:val="0D67DCA4"/>
    <w:rsid w:val="0DD6BAC2"/>
    <w:rsid w:val="0DEF078C"/>
    <w:rsid w:val="0E3A1EDD"/>
    <w:rsid w:val="0E5BB433"/>
    <w:rsid w:val="0E8F0E26"/>
    <w:rsid w:val="0E99E983"/>
    <w:rsid w:val="0ECC1AA7"/>
    <w:rsid w:val="0EFF6452"/>
    <w:rsid w:val="0F6E56FD"/>
    <w:rsid w:val="0FC08FC0"/>
    <w:rsid w:val="0FC1C9C0"/>
    <w:rsid w:val="0FF16B8B"/>
    <w:rsid w:val="0FF9B225"/>
    <w:rsid w:val="101FCA80"/>
    <w:rsid w:val="1049A5AF"/>
    <w:rsid w:val="1057024E"/>
    <w:rsid w:val="105A6111"/>
    <w:rsid w:val="106DFCC7"/>
    <w:rsid w:val="10751B2D"/>
    <w:rsid w:val="10802628"/>
    <w:rsid w:val="10BCA3AA"/>
    <w:rsid w:val="10F9B9C3"/>
    <w:rsid w:val="10FFE572"/>
    <w:rsid w:val="11018ED0"/>
    <w:rsid w:val="115BB922"/>
    <w:rsid w:val="11767552"/>
    <w:rsid w:val="1184B02D"/>
    <w:rsid w:val="11BCA84B"/>
    <w:rsid w:val="11C1AC2B"/>
    <w:rsid w:val="11C31A91"/>
    <w:rsid w:val="11E1B7F3"/>
    <w:rsid w:val="12043C5D"/>
    <w:rsid w:val="1219BE0D"/>
    <w:rsid w:val="122436A6"/>
    <w:rsid w:val="126FBF79"/>
    <w:rsid w:val="12783C78"/>
    <w:rsid w:val="128DABB7"/>
    <w:rsid w:val="12BF74A1"/>
    <w:rsid w:val="12DCBE33"/>
    <w:rsid w:val="12E47483"/>
    <w:rsid w:val="130C581B"/>
    <w:rsid w:val="13101C46"/>
    <w:rsid w:val="131CEB60"/>
    <w:rsid w:val="13354EFA"/>
    <w:rsid w:val="1338D1C6"/>
    <w:rsid w:val="1370F087"/>
    <w:rsid w:val="137D8854"/>
    <w:rsid w:val="13B58E6E"/>
    <w:rsid w:val="13CF1B14"/>
    <w:rsid w:val="13D88141"/>
    <w:rsid w:val="13E0AB11"/>
    <w:rsid w:val="14210F99"/>
    <w:rsid w:val="14297C18"/>
    <w:rsid w:val="1459C11F"/>
    <w:rsid w:val="145B4502"/>
    <w:rsid w:val="1463E8BC"/>
    <w:rsid w:val="14788E94"/>
    <w:rsid w:val="14C150D9"/>
    <w:rsid w:val="14D8481C"/>
    <w:rsid w:val="14E9E972"/>
    <w:rsid w:val="14F80E71"/>
    <w:rsid w:val="1507AFE4"/>
    <w:rsid w:val="151958B5"/>
    <w:rsid w:val="15488C50"/>
    <w:rsid w:val="1549ADF5"/>
    <w:rsid w:val="156C5357"/>
    <w:rsid w:val="1582B105"/>
    <w:rsid w:val="15881337"/>
    <w:rsid w:val="15A75C48"/>
    <w:rsid w:val="15AB09FC"/>
    <w:rsid w:val="15D6634E"/>
    <w:rsid w:val="15E3E291"/>
    <w:rsid w:val="16049EB6"/>
    <w:rsid w:val="164413E2"/>
    <w:rsid w:val="165F022F"/>
    <w:rsid w:val="1674BB16"/>
    <w:rsid w:val="1685B9D3"/>
    <w:rsid w:val="169999F7"/>
    <w:rsid w:val="16A628AD"/>
    <w:rsid w:val="16C43D2E"/>
    <w:rsid w:val="16CFC012"/>
    <w:rsid w:val="16FE4DBD"/>
    <w:rsid w:val="171A8489"/>
    <w:rsid w:val="17290095"/>
    <w:rsid w:val="17373650"/>
    <w:rsid w:val="17432CA9"/>
    <w:rsid w:val="174BAD9B"/>
    <w:rsid w:val="17A35F99"/>
    <w:rsid w:val="17B2A5B7"/>
    <w:rsid w:val="17BA93D2"/>
    <w:rsid w:val="17D2219C"/>
    <w:rsid w:val="17DB2FBF"/>
    <w:rsid w:val="17DDB553"/>
    <w:rsid w:val="17DFC93E"/>
    <w:rsid w:val="17F2C0A1"/>
    <w:rsid w:val="18233EAF"/>
    <w:rsid w:val="183A4125"/>
    <w:rsid w:val="1856EF13"/>
    <w:rsid w:val="18613F99"/>
    <w:rsid w:val="1879F1A1"/>
    <w:rsid w:val="188EC3E0"/>
    <w:rsid w:val="18A13F16"/>
    <w:rsid w:val="18AAEDA0"/>
    <w:rsid w:val="18DD5BC1"/>
    <w:rsid w:val="18EAA0A3"/>
    <w:rsid w:val="18ECA79E"/>
    <w:rsid w:val="18F0CAFF"/>
    <w:rsid w:val="190E8F95"/>
    <w:rsid w:val="19229CF9"/>
    <w:rsid w:val="19F2BF74"/>
    <w:rsid w:val="19F57614"/>
    <w:rsid w:val="1A0447EA"/>
    <w:rsid w:val="1A0A1958"/>
    <w:rsid w:val="1A1D7047"/>
    <w:rsid w:val="1A24CFF2"/>
    <w:rsid w:val="1A4A1B8D"/>
    <w:rsid w:val="1ABAB7FA"/>
    <w:rsid w:val="1AD1381C"/>
    <w:rsid w:val="1AD5CF77"/>
    <w:rsid w:val="1AD6D197"/>
    <w:rsid w:val="1ADB1E9F"/>
    <w:rsid w:val="1AE08C42"/>
    <w:rsid w:val="1B176A00"/>
    <w:rsid w:val="1B177536"/>
    <w:rsid w:val="1B32C297"/>
    <w:rsid w:val="1B3AE86F"/>
    <w:rsid w:val="1B3EF4A5"/>
    <w:rsid w:val="1B65D0F7"/>
    <w:rsid w:val="1B65F131"/>
    <w:rsid w:val="1BDB9B88"/>
    <w:rsid w:val="1BF8DFBC"/>
    <w:rsid w:val="1C0AFFAA"/>
    <w:rsid w:val="1C14C6E7"/>
    <w:rsid w:val="1C224165"/>
    <w:rsid w:val="1C360EA1"/>
    <w:rsid w:val="1C5C6258"/>
    <w:rsid w:val="1C5E1D0B"/>
    <w:rsid w:val="1C75071E"/>
    <w:rsid w:val="1C7887D2"/>
    <w:rsid w:val="1C7C5CA3"/>
    <w:rsid w:val="1C7F6FD5"/>
    <w:rsid w:val="1C810943"/>
    <w:rsid w:val="1C91B02F"/>
    <w:rsid w:val="1CBC67D4"/>
    <w:rsid w:val="1CD3E66F"/>
    <w:rsid w:val="1D42FC3E"/>
    <w:rsid w:val="1D776BE9"/>
    <w:rsid w:val="1D79ACD5"/>
    <w:rsid w:val="1DD9FC4B"/>
    <w:rsid w:val="1DE13217"/>
    <w:rsid w:val="1DF11E0C"/>
    <w:rsid w:val="1E0BEA5B"/>
    <w:rsid w:val="1E0C6379"/>
    <w:rsid w:val="1E114908"/>
    <w:rsid w:val="1E182D04"/>
    <w:rsid w:val="1E248CDC"/>
    <w:rsid w:val="1E583835"/>
    <w:rsid w:val="1E5840DC"/>
    <w:rsid w:val="1E66A49E"/>
    <w:rsid w:val="1E68331F"/>
    <w:rsid w:val="1E86E7EC"/>
    <w:rsid w:val="1E922097"/>
    <w:rsid w:val="1E98E089"/>
    <w:rsid w:val="1EB2574B"/>
    <w:rsid w:val="1EB9FEAD"/>
    <w:rsid w:val="1EEA8CDD"/>
    <w:rsid w:val="1EEF838A"/>
    <w:rsid w:val="1EFCA166"/>
    <w:rsid w:val="1F133C4A"/>
    <w:rsid w:val="1F1ED601"/>
    <w:rsid w:val="1F460B73"/>
    <w:rsid w:val="1F4A3F6E"/>
    <w:rsid w:val="1F51291F"/>
    <w:rsid w:val="1F564C53"/>
    <w:rsid w:val="1F59E227"/>
    <w:rsid w:val="1F5F482A"/>
    <w:rsid w:val="1F67B26A"/>
    <w:rsid w:val="1FC05D3D"/>
    <w:rsid w:val="1FC641C6"/>
    <w:rsid w:val="1FDC20BF"/>
    <w:rsid w:val="1FFD62A8"/>
    <w:rsid w:val="20302173"/>
    <w:rsid w:val="20606C41"/>
    <w:rsid w:val="2063F09F"/>
    <w:rsid w:val="207AEB5A"/>
    <w:rsid w:val="20874E86"/>
    <w:rsid w:val="209BD26E"/>
    <w:rsid w:val="20CC50DF"/>
    <w:rsid w:val="20E60FCF"/>
    <w:rsid w:val="20EB4DE0"/>
    <w:rsid w:val="20F37605"/>
    <w:rsid w:val="20F5B288"/>
    <w:rsid w:val="211447BE"/>
    <w:rsid w:val="211D341F"/>
    <w:rsid w:val="2134FE7A"/>
    <w:rsid w:val="2155A317"/>
    <w:rsid w:val="218FD8F7"/>
    <w:rsid w:val="219EA1CB"/>
    <w:rsid w:val="21ACC72B"/>
    <w:rsid w:val="21B2FC51"/>
    <w:rsid w:val="21CA2E93"/>
    <w:rsid w:val="21CC8E71"/>
    <w:rsid w:val="228817F7"/>
    <w:rsid w:val="228BA3CC"/>
    <w:rsid w:val="22A74948"/>
    <w:rsid w:val="22C18E20"/>
    <w:rsid w:val="22E4BA2B"/>
    <w:rsid w:val="2307195A"/>
    <w:rsid w:val="232BA958"/>
    <w:rsid w:val="23711169"/>
    <w:rsid w:val="239B99A4"/>
    <w:rsid w:val="23AB2A30"/>
    <w:rsid w:val="23FC90FB"/>
    <w:rsid w:val="2403F1A1"/>
    <w:rsid w:val="2421FF3D"/>
    <w:rsid w:val="242E70E2"/>
    <w:rsid w:val="242FB92B"/>
    <w:rsid w:val="2467743D"/>
    <w:rsid w:val="2488350C"/>
    <w:rsid w:val="24883F10"/>
    <w:rsid w:val="24C75A77"/>
    <w:rsid w:val="24C8BCD7"/>
    <w:rsid w:val="24E58846"/>
    <w:rsid w:val="24F844CB"/>
    <w:rsid w:val="250A6479"/>
    <w:rsid w:val="25388902"/>
    <w:rsid w:val="254B8C99"/>
    <w:rsid w:val="257EB3C3"/>
    <w:rsid w:val="25827DCE"/>
    <w:rsid w:val="25DFA21B"/>
    <w:rsid w:val="25F34177"/>
    <w:rsid w:val="2603449E"/>
    <w:rsid w:val="260DECCC"/>
    <w:rsid w:val="2632CFFE"/>
    <w:rsid w:val="26620A2D"/>
    <w:rsid w:val="266FB3A0"/>
    <w:rsid w:val="26913050"/>
    <w:rsid w:val="269D9FB6"/>
    <w:rsid w:val="269E0E5B"/>
    <w:rsid w:val="27395117"/>
    <w:rsid w:val="2759B209"/>
    <w:rsid w:val="275C8DA7"/>
    <w:rsid w:val="2798D345"/>
    <w:rsid w:val="27B09956"/>
    <w:rsid w:val="27B82B4E"/>
    <w:rsid w:val="27CDAA4B"/>
    <w:rsid w:val="27D3C7D2"/>
    <w:rsid w:val="27DBB9C1"/>
    <w:rsid w:val="27E0B1EF"/>
    <w:rsid w:val="27E43EBF"/>
    <w:rsid w:val="27EDF544"/>
    <w:rsid w:val="2815388F"/>
    <w:rsid w:val="28EBC840"/>
    <w:rsid w:val="29058F4C"/>
    <w:rsid w:val="2910D81D"/>
    <w:rsid w:val="291742DD"/>
    <w:rsid w:val="29179EEE"/>
    <w:rsid w:val="29263D9F"/>
    <w:rsid w:val="292E2E26"/>
    <w:rsid w:val="2953FBAF"/>
    <w:rsid w:val="29778A22"/>
    <w:rsid w:val="2983D85E"/>
    <w:rsid w:val="29AAE5C6"/>
    <w:rsid w:val="29ADDEC7"/>
    <w:rsid w:val="29BDDB5C"/>
    <w:rsid w:val="29BFDFC2"/>
    <w:rsid w:val="29CFEB24"/>
    <w:rsid w:val="29E7EAFC"/>
    <w:rsid w:val="29EDAB9B"/>
    <w:rsid w:val="29F64445"/>
    <w:rsid w:val="2A1A6BB4"/>
    <w:rsid w:val="2A550314"/>
    <w:rsid w:val="2AB36F4F"/>
    <w:rsid w:val="2AC7EC88"/>
    <w:rsid w:val="2B0FCD8E"/>
    <w:rsid w:val="2B33B4E9"/>
    <w:rsid w:val="2B46B627"/>
    <w:rsid w:val="2B77A3F8"/>
    <w:rsid w:val="2BA6C829"/>
    <w:rsid w:val="2BBEA54A"/>
    <w:rsid w:val="2BC4015F"/>
    <w:rsid w:val="2BCD4103"/>
    <w:rsid w:val="2BD61415"/>
    <w:rsid w:val="2BE7F994"/>
    <w:rsid w:val="2BFA1C07"/>
    <w:rsid w:val="2C545329"/>
    <w:rsid w:val="2CCB909A"/>
    <w:rsid w:val="2CEFAB35"/>
    <w:rsid w:val="2CF91E63"/>
    <w:rsid w:val="2D027DDA"/>
    <w:rsid w:val="2D2A35C3"/>
    <w:rsid w:val="2D2A9318"/>
    <w:rsid w:val="2D3B9765"/>
    <w:rsid w:val="2D6EBDD4"/>
    <w:rsid w:val="2D746756"/>
    <w:rsid w:val="2D7A8204"/>
    <w:rsid w:val="2D7E968F"/>
    <w:rsid w:val="2D81C752"/>
    <w:rsid w:val="2DBAF7F8"/>
    <w:rsid w:val="2DBB929D"/>
    <w:rsid w:val="2E00C95D"/>
    <w:rsid w:val="2E34CBD5"/>
    <w:rsid w:val="2E45CF69"/>
    <w:rsid w:val="2E9B0B05"/>
    <w:rsid w:val="2ED37D94"/>
    <w:rsid w:val="2F16998F"/>
    <w:rsid w:val="2F322180"/>
    <w:rsid w:val="2F58F17F"/>
    <w:rsid w:val="2F60DF7F"/>
    <w:rsid w:val="2F868461"/>
    <w:rsid w:val="2F992216"/>
    <w:rsid w:val="2FD9F185"/>
    <w:rsid w:val="2FF958FF"/>
    <w:rsid w:val="30273AC4"/>
    <w:rsid w:val="30418E3F"/>
    <w:rsid w:val="306DC2CC"/>
    <w:rsid w:val="307A1CAC"/>
    <w:rsid w:val="30997756"/>
    <w:rsid w:val="30B27737"/>
    <w:rsid w:val="30EDAEB2"/>
    <w:rsid w:val="30F3335F"/>
    <w:rsid w:val="3122CF91"/>
    <w:rsid w:val="312421F9"/>
    <w:rsid w:val="323C572E"/>
    <w:rsid w:val="327769E4"/>
    <w:rsid w:val="327A191F"/>
    <w:rsid w:val="329C0B9C"/>
    <w:rsid w:val="32D71DCD"/>
    <w:rsid w:val="32E52B47"/>
    <w:rsid w:val="32EDAADB"/>
    <w:rsid w:val="33042D3F"/>
    <w:rsid w:val="331C3572"/>
    <w:rsid w:val="332C6466"/>
    <w:rsid w:val="33841044"/>
    <w:rsid w:val="33887E6D"/>
    <w:rsid w:val="33A895D7"/>
    <w:rsid w:val="3426F52A"/>
    <w:rsid w:val="342FF8DD"/>
    <w:rsid w:val="3430C0FB"/>
    <w:rsid w:val="3437DBFD"/>
    <w:rsid w:val="344515A7"/>
    <w:rsid w:val="346E84EB"/>
    <w:rsid w:val="3497A89D"/>
    <w:rsid w:val="349BE890"/>
    <w:rsid w:val="34A0B15D"/>
    <w:rsid w:val="34DE3B93"/>
    <w:rsid w:val="350C600A"/>
    <w:rsid w:val="3517402E"/>
    <w:rsid w:val="351FE0A5"/>
    <w:rsid w:val="3549352A"/>
    <w:rsid w:val="354D119C"/>
    <w:rsid w:val="355C95BE"/>
    <w:rsid w:val="3562272C"/>
    <w:rsid w:val="35711F2A"/>
    <w:rsid w:val="357BEB8E"/>
    <w:rsid w:val="35848CC0"/>
    <w:rsid w:val="35938A85"/>
    <w:rsid w:val="35AF0AA6"/>
    <w:rsid w:val="35D3AC5E"/>
    <w:rsid w:val="360A554C"/>
    <w:rsid w:val="361CA7AD"/>
    <w:rsid w:val="36915AE1"/>
    <w:rsid w:val="3696E2E7"/>
    <w:rsid w:val="36AA33C7"/>
    <w:rsid w:val="36B9A836"/>
    <w:rsid w:val="36E44993"/>
    <w:rsid w:val="36F41BBF"/>
    <w:rsid w:val="37096045"/>
    <w:rsid w:val="3724777A"/>
    <w:rsid w:val="374CF992"/>
    <w:rsid w:val="37790E1C"/>
    <w:rsid w:val="37A625AD"/>
    <w:rsid w:val="37B6551D"/>
    <w:rsid w:val="37BB4654"/>
    <w:rsid w:val="37D8E7C9"/>
    <w:rsid w:val="37F12DA7"/>
    <w:rsid w:val="37F5BA9F"/>
    <w:rsid w:val="37FB7F92"/>
    <w:rsid w:val="38578167"/>
    <w:rsid w:val="38B38C50"/>
    <w:rsid w:val="38BC2E9F"/>
    <w:rsid w:val="38C3EDA3"/>
    <w:rsid w:val="38C5E8E5"/>
    <w:rsid w:val="38F224C3"/>
    <w:rsid w:val="391393BA"/>
    <w:rsid w:val="391F0F17"/>
    <w:rsid w:val="39358F8F"/>
    <w:rsid w:val="394E0D6D"/>
    <w:rsid w:val="39722001"/>
    <w:rsid w:val="398C4616"/>
    <w:rsid w:val="39959B72"/>
    <w:rsid w:val="39DAA907"/>
    <w:rsid w:val="39E52D8D"/>
    <w:rsid w:val="3A0CC3A2"/>
    <w:rsid w:val="3A0E9237"/>
    <w:rsid w:val="3A10FEF2"/>
    <w:rsid w:val="3A37B493"/>
    <w:rsid w:val="3A4218B1"/>
    <w:rsid w:val="3A7945AD"/>
    <w:rsid w:val="3A835F52"/>
    <w:rsid w:val="3A89E3CF"/>
    <w:rsid w:val="3AAF641B"/>
    <w:rsid w:val="3AB88981"/>
    <w:rsid w:val="3ABDA6BC"/>
    <w:rsid w:val="3AD714E8"/>
    <w:rsid w:val="3B0CECC3"/>
    <w:rsid w:val="3B0F1C14"/>
    <w:rsid w:val="3B1D0258"/>
    <w:rsid w:val="3B475315"/>
    <w:rsid w:val="3B6443B4"/>
    <w:rsid w:val="3B962525"/>
    <w:rsid w:val="3BA89403"/>
    <w:rsid w:val="3BB4D90C"/>
    <w:rsid w:val="3C152B2B"/>
    <w:rsid w:val="3C39EA6C"/>
    <w:rsid w:val="3C42EDE2"/>
    <w:rsid w:val="3C4E6A4F"/>
    <w:rsid w:val="3C509762"/>
    <w:rsid w:val="3C57E01B"/>
    <w:rsid w:val="3C747D90"/>
    <w:rsid w:val="3C97DF0A"/>
    <w:rsid w:val="3CAAEC75"/>
    <w:rsid w:val="3CC022D2"/>
    <w:rsid w:val="3CC99C79"/>
    <w:rsid w:val="3CD4058B"/>
    <w:rsid w:val="3D1510C6"/>
    <w:rsid w:val="3D2AF28A"/>
    <w:rsid w:val="3D309D84"/>
    <w:rsid w:val="3D6E52D6"/>
    <w:rsid w:val="3D91D9CE"/>
    <w:rsid w:val="3DA8B435"/>
    <w:rsid w:val="3DB4AF13"/>
    <w:rsid w:val="3DBDB53D"/>
    <w:rsid w:val="3DDDE3D4"/>
    <w:rsid w:val="3DEB9CF1"/>
    <w:rsid w:val="3DEF742C"/>
    <w:rsid w:val="3E064847"/>
    <w:rsid w:val="3E477F56"/>
    <w:rsid w:val="3E488D4D"/>
    <w:rsid w:val="3EBF14D3"/>
    <w:rsid w:val="3EF0382D"/>
    <w:rsid w:val="3EF10FE1"/>
    <w:rsid w:val="3EF76F0A"/>
    <w:rsid w:val="3F10F6F8"/>
    <w:rsid w:val="3F19BCD2"/>
    <w:rsid w:val="3F2DAA2F"/>
    <w:rsid w:val="3F3D0F7F"/>
    <w:rsid w:val="3F664786"/>
    <w:rsid w:val="3FA3A6D1"/>
    <w:rsid w:val="3FDE9B37"/>
    <w:rsid w:val="3FF4174A"/>
    <w:rsid w:val="40055554"/>
    <w:rsid w:val="40170CE8"/>
    <w:rsid w:val="40256EB9"/>
    <w:rsid w:val="403F4F5F"/>
    <w:rsid w:val="40413F6B"/>
    <w:rsid w:val="4073359C"/>
    <w:rsid w:val="40D820A1"/>
    <w:rsid w:val="40DFFCF6"/>
    <w:rsid w:val="40F1BD4D"/>
    <w:rsid w:val="41309F16"/>
    <w:rsid w:val="41AECEB1"/>
    <w:rsid w:val="41B05658"/>
    <w:rsid w:val="41B53588"/>
    <w:rsid w:val="41C39BFF"/>
    <w:rsid w:val="41CAC186"/>
    <w:rsid w:val="41E36C55"/>
    <w:rsid w:val="42730153"/>
    <w:rsid w:val="4273F102"/>
    <w:rsid w:val="427A9395"/>
    <w:rsid w:val="429370E7"/>
    <w:rsid w:val="42957B34"/>
    <w:rsid w:val="4298A38D"/>
    <w:rsid w:val="42A29C27"/>
    <w:rsid w:val="42B258C2"/>
    <w:rsid w:val="42D95FD9"/>
    <w:rsid w:val="42FB4F8E"/>
    <w:rsid w:val="4308C704"/>
    <w:rsid w:val="43998CFF"/>
    <w:rsid w:val="439D2FF2"/>
    <w:rsid w:val="439EA161"/>
    <w:rsid w:val="43A44421"/>
    <w:rsid w:val="44314B95"/>
    <w:rsid w:val="4434D76A"/>
    <w:rsid w:val="44359161"/>
    <w:rsid w:val="443EF515"/>
    <w:rsid w:val="448A7FD0"/>
    <w:rsid w:val="44CC57EC"/>
    <w:rsid w:val="44D2AFE8"/>
    <w:rsid w:val="44DBFE49"/>
    <w:rsid w:val="44DCDC9B"/>
    <w:rsid w:val="45355D60"/>
    <w:rsid w:val="454AB3E4"/>
    <w:rsid w:val="4579F384"/>
    <w:rsid w:val="4580387C"/>
    <w:rsid w:val="45856803"/>
    <w:rsid w:val="459A935B"/>
    <w:rsid w:val="45B3BE49"/>
    <w:rsid w:val="45B64817"/>
    <w:rsid w:val="45F9FF11"/>
    <w:rsid w:val="46061EB8"/>
    <w:rsid w:val="4613AEF8"/>
    <w:rsid w:val="462AA0B7"/>
    <w:rsid w:val="46505054"/>
    <w:rsid w:val="466B8104"/>
    <w:rsid w:val="466C5C65"/>
    <w:rsid w:val="467D7478"/>
    <w:rsid w:val="468C6166"/>
    <w:rsid w:val="46E68445"/>
    <w:rsid w:val="46ECF9DD"/>
    <w:rsid w:val="47169482"/>
    <w:rsid w:val="471C08DD"/>
    <w:rsid w:val="4725CBF0"/>
    <w:rsid w:val="47355862"/>
    <w:rsid w:val="4735CD3F"/>
    <w:rsid w:val="47808633"/>
    <w:rsid w:val="47A1EF19"/>
    <w:rsid w:val="47A93C57"/>
    <w:rsid w:val="47BD69AD"/>
    <w:rsid w:val="47EAF50E"/>
    <w:rsid w:val="481D5F25"/>
    <w:rsid w:val="483A00C0"/>
    <w:rsid w:val="48422AB4"/>
    <w:rsid w:val="48682023"/>
    <w:rsid w:val="48765D6A"/>
    <w:rsid w:val="4881F87C"/>
    <w:rsid w:val="48863720"/>
    <w:rsid w:val="489BE849"/>
    <w:rsid w:val="48C19C51"/>
    <w:rsid w:val="48DF4198"/>
    <w:rsid w:val="48FCCF32"/>
    <w:rsid w:val="49907D09"/>
    <w:rsid w:val="499864F5"/>
    <w:rsid w:val="49A32F7A"/>
    <w:rsid w:val="49CDF9C6"/>
    <w:rsid w:val="49E2E323"/>
    <w:rsid w:val="4A03F084"/>
    <w:rsid w:val="4A0541B3"/>
    <w:rsid w:val="4A0F632B"/>
    <w:rsid w:val="4A193578"/>
    <w:rsid w:val="4A35E8AB"/>
    <w:rsid w:val="4A55DC78"/>
    <w:rsid w:val="4A614587"/>
    <w:rsid w:val="4A7EDF63"/>
    <w:rsid w:val="4A989F93"/>
    <w:rsid w:val="4AB826F5"/>
    <w:rsid w:val="4AE702FF"/>
    <w:rsid w:val="4AFE6AA7"/>
    <w:rsid w:val="4B06B5F9"/>
    <w:rsid w:val="4B11BD52"/>
    <w:rsid w:val="4B38C128"/>
    <w:rsid w:val="4B408EB9"/>
    <w:rsid w:val="4B4DE216"/>
    <w:rsid w:val="4B583131"/>
    <w:rsid w:val="4B7579EF"/>
    <w:rsid w:val="4B7EB384"/>
    <w:rsid w:val="4BB9F568"/>
    <w:rsid w:val="4BC820A0"/>
    <w:rsid w:val="4BD96B25"/>
    <w:rsid w:val="4BEF7A00"/>
    <w:rsid w:val="4BFD15E8"/>
    <w:rsid w:val="4C346FF4"/>
    <w:rsid w:val="4C3BD720"/>
    <w:rsid w:val="4C41F236"/>
    <w:rsid w:val="4C4ECA4E"/>
    <w:rsid w:val="4C567504"/>
    <w:rsid w:val="4C71EFAE"/>
    <w:rsid w:val="4C7E8E7A"/>
    <w:rsid w:val="4C8AE4AB"/>
    <w:rsid w:val="4CA1362E"/>
    <w:rsid w:val="4CEF215A"/>
    <w:rsid w:val="4D07DFC6"/>
    <w:rsid w:val="4D12F076"/>
    <w:rsid w:val="4D1A83E5"/>
    <w:rsid w:val="4D1DD336"/>
    <w:rsid w:val="4D250DD7"/>
    <w:rsid w:val="4D40D5C4"/>
    <w:rsid w:val="4D65CA15"/>
    <w:rsid w:val="4D665422"/>
    <w:rsid w:val="4D6891AC"/>
    <w:rsid w:val="4D72E81A"/>
    <w:rsid w:val="4D950D74"/>
    <w:rsid w:val="4D9DDBB6"/>
    <w:rsid w:val="4DAFEB1E"/>
    <w:rsid w:val="4DB6B3A7"/>
    <w:rsid w:val="4DCF262C"/>
    <w:rsid w:val="4DFBDD52"/>
    <w:rsid w:val="4E26B50C"/>
    <w:rsid w:val="4E3D068F"/>
    <w:rsid w:val="4E84DD25"/>
    <w:rsid w:val="4EFDD83B"/>
    <w:rsid w:val="4F1592B9"/>
    <w:rsid w:val="4F27815A"/>
    <w:rsid w:val="4F4BBB7F"/>
    <w:rsid w:val="4F695246"/>
    <w:rsid w:val="4F86E762"/>
    <w:rsid w:val="4FD44786"/>
    <w:rsid w:val="4FFCAC87"/>
    <w:rsid w:val="5026C21C"/>
    <w:rsid w:val="5029955E"/>
    <w:rsid w:val="50562C92"/>
    <w:rsid w:val="507F0EFB"/>
    <w:rsid w:val="509FCE37"/>
    <w:rsid w:val="50A6E666"/>
    <w:rsid w:val="50B385D9"/>
    <w:rsid w:val="50B4E03B"/>
    <w:rsid w:val="50D34FFD"/>
    <w:rsid w:val="50E78BE0"/>
    <w:rsid w:val="50EAF58D"/>
    <w:rsid w:val="50EFB7E0"/>
    <w:rsid w:val="5125B41F"/>
    <w:rsid w:val="512E838D"/>
    <w:rsid w:val="51451BBA"/>
    <w:rsid w:val="514A9F0B"/>
    <w:rsid w:val="51C2927D"/>
    <w:rsid w:val="51C923AD"/>
    <w:rsid w:val="51EAC10B"/>
    <w:rsid w:val="51FCD7FB"/>
    <w:rsid w:val="521F6FE6"/>
    <w:rsid w:val="522936EC"/>
    <w:rsid w:val="52312472"/>
    <w:rsid w:val="52323F39"/>
    <w:rsid w:val="525235DF"/>
    <w:rsid w:val="526F1BF8"/>
    <w:rsid w:val="52DF970B"/>
    <w:rsid w:val="52EA4408"/>
    <w:rsid w:val="52EF3970"/>
    <w:rsid w:val="530F6B9D"/>
    <w:rsid w:val="53212FE6"/>
    <w:rsid w:val="534B2CF6"/>
    <w:rsid w:val="536E8096"/>
    <w:rsid w:val="53837E17"/>
    <w:rsid w:val="5394A736"/>
    <w:rsid w:val="53AD0B71"/>
    <w:rsid w:val="53B6AFBD"/>
    <w:rsid w:val="53D9F625"/>
    <w:rsid w:val="5403C91C"/>
    <w:rsid w:val="540CBCD0"/>
    <w:rsid w:val="54189CAA"/>
    <w:rsid w:val="541BE685"/>
    <w:rsid w:val="54299C5D"/>
    <w:rsid w:val="5434D0AF"/>
    <w:rsid w:val="54570871"/>
    <w:rsid w:val="5492FD61"/>
    <w:rsid w:val="54FF5B6B"/>
    <w:rsid w:val="550BC09C"/>
    <w:rsid w:val="552F8676"/>
    <w:rsid w:val="5583FC8C"/>
    <w:rsid w:val="55877849"/>
    <w:rsid w:val="55F44553"/>
    <w:rsid w:val="560A2325"/>
    <w:rsid w:val="560BF9A0"/>
    <w:rsid w:val="56280F15"/>
    <w:rsid w:val="562D6B8C"/>
    <w:rsid w:val="56321FA8"/>
    <w:rsid w:val="563F2DF2"/>
    <w:rsid w:val="5680D752"/>
    <w:rsid w:val="5682CDB8"/>
    <w:rsid w:val="568597DE"/>
    <w:rsid w:val="56B39EFB"/>
    <w:rsid w:val="56BDAD0D"/>
    <w:rsid w:val="56D75B9D"/>
    <w:rsid w:val="571F3D60"/>
    <w:rsid w:val="574242FF"/>
    <w:rsid w:val="57564E44"/>
    <w:rsid w:val="577510A1"/>
    <w:rsid w:val="579DC511"/>
    <w:rsid w:val="57A699C7"/>
    <w:rsid w:val="57D3AE48"/>
    <w:rsid w:val="57D6A543"/>
    <w:rsid w:val="57F71A12"/>
    <w:rsid w:val="58B303AB"/>
    <w:rsid w:val="58DE0E77"/>
    <w:rsid w:val="58E4FF5C"/>
    <w:rsid w:val="58EC66DA"/>
    <w:rsid w:val="59195201"/>
    <w:rsid w:val="59300A00"/>
    <w:rsid w:val="59366C29"/>
    <w:rsid w:val="59399572"/>
    <w:rsid w:val="5962A3E0"/>
    <w:rsid w:val="5969BC06"/>
    <w:rsid w:val="596AC879"/>
    <w:rsid w:val="5992EA73"/>
    <w:rsid w:val="599446AC"/>
    <w:rsid w:val="59A38ECD"/>
    <w:rsid w:val="59C20E77"/>
    <w:rsid w:val="59C5E9AD"/>
    <w:rsid w:val="59EA26A0"/>
    <w:rsid w:val="59FD9AEA"/>
    <w:rsid w:val="5A0EF523"/>
    <w:rsid w:val="5A3842C5"/>
    <w:rsid w:val="5A4ED40C"/>
    <w:rsid w:val="5A61E7BB"/>
    <w:rsid w:val="5AA684BD"/>
    <w:rsid w:val="5AACF477"/>
    <w:rsid w:val="5ABD0F5F"/>
    <w:rsid w:val="5ABE3494"/>
    <w:rsid w:val="5AC74731"/>
    <w:rsid w:val="5B30170D"/>
    <w:rsid w:val="5B30BC72"/>
    <w:rsid w:val="5B651D56"/>
    <w:rsid w:val="5B73B876"/>
    <w:rsid w:val="5B7B2743"/>
    <w:rsid w:val="5B7EFE42"/>
    <w:rsid w:val="5B89605D"/>
    <w:rsid w:val="5B90CD54"/>
    <w:rsid w:val="5B94D74E"/>
    <w:rsid w:val="5B97A5B4"/>
    <w:rsid w:val="5BA265F4"/>
    <w:rsid w:val="5BA85FEB"/>
    <w:rsid w:val="5BCA7C49"/>
    <w:rsid w:val="5BEAA46D"/>
    <w:rsid w:val="5C442DDC"/>
    <w:rsid w:val="5C6B5EB7"/>
    <w:rsid w:val="5C74C679"/>
    <w:rsid w:val="5C7F1A45"/>
    <w:rsid w:val="5C83C820"/>
    <w:rsid w:val="5CB024AA"/>
    <w:rsid w:val="5CBA151F"/>
    <w:rsid w:val="5CF21114"/>
    <w:rsid w:val="5CF9AF39"/>
    <w:rsid w:val="5D00093D"/>
    <w:rsid w:val="5D0189AA"/>
    <w:rsid w:val="5D2A440D"/>
    <w:rsid w:val="5D4FBE07"/>
    <w:rsid w:val="5D62A6AB"/>
    <w:rsid w:val="5D8192F2"/>
    <w:rsid w:val="5DDA70D7"/>
    <w:rsid w:val="5E4E4707"/>
    <w:rsid w:val="5E55E580"/>
    <w:rsid w:val="5E62E064"/>
    <w:rsid w:val="5E67B7CF"/>
    <w:rsid w:val="5F0E0D27"/>
    <w:rsid w:val="5F705225"/>
    <w:rsid w:val="5FA509AE"/>
    <w:rsid w:val="5FC82007"/>
    <w:rsid w:val="5FD555C7"/>
    <w:rsid w:val="5FFBD206"/>
    <w:rsid w:val="5FFEB0C5"/>
    <w:rsid w:val="601C0FB1"/>
    <w:rsid w:val="601FFD0B"/>
    <w:rsid w:val="602199CC"/>
    <w:rsid w:val="60A35534"/>
    <w:rsid w:val="60CA96A4"/>
    <w:rsid w:val="611F703C"/>
    <w:rsid w:val="61556DD9"/>
    <w:rsid w:val="6162F79D"/>
    <w:rsid w:val="6164F267"/>
    <w:rsid w:val="6172E023"/>
    <w:rsid w:val="6180D4CF"/>
    <w:rsid w:val="618A79F2"/>
    <w:rsid w:val="61957855"/>
    <w:rsid w:val="61CAA0EA"/>
    <w:rsid w:val="61CD6DE5"/>
    <w:rsid w:val="61E165A5"/>
    <w:rsid w:val="62026E77"/>
    <w:rsid w:val="6211F483"/>
    <w:rsid w:val="6219E252"/>
    <w:rsid w:val="6244CAB5"/>
    <w:rsid w:val="626961E6"/>
    <w:rsid w:val="62ADE1FA"/>
    <w:rsid w:val="62B4FFCB"/>
    <w:rsid w:val="62BA2FCA"/>
    <w:rsid w:val="62C03317"/>
    <w:rsid w:val="62CF46A4"/>
    <w:rsid w:val="631C1259"/>
    <w:rsid w:val="632820FC"/>
    <w:rsid w:val="634F1F70"/>
    <w:rsid w:val="639B53BC"/>
    <w:rsid w:val="63A5026F"/>
    <w:rsid w:val="63A7D6B9"/>
    <w:rsid w:val="63BDE29F"/>
    <w:rsid w:val="640B06C2"/>
    <w:rsid w:val="642A3785"/>
    <w:rsid w:val="646B58CD"/>
    <w:rsid w:val="6490EA88"/>
    <w:rsid w:val="64BC8C6C"/>
    <w:rsid w:val="64CEF5AA"/>
    <w:rsid w:val="64D56BCD"/>
    <w:rsid w:val="652E9D1C"/>
    <w:rsid w:val="6535BD7D"/>
    <w:rsid w:val="65382DBF"/>
    <w:rsid w:val="6543A71A"/>
    <w:rsid w:val="657AE744"/>
    <w:rsid w:val="657B1A07"/>
    <w:rsid w:val="659F8FC4"/>
    <w:rsid w:val="65BF6936"/>
    <w:rsid w:val="65C0DC0A"/>
    <w:rsid w:val="65F63657"/>
    <w:rsid w:val="6642CB4F"/>
    <w:rsid w:val="6645267F"/>
    <w:rsid w:val="66557E87"/>
    <w:rsid w:val="6658CB83"/>
    <w:rsid w:val="667325A8"/>
    <w:rsid w:val="66883030"/>
    <w:rsid w:val="66A70956"/>
    <w:rsid w:val="66AD2E21"/>
    <w:rsid w:val="66B273EE"/>
    <w:rsid w:val="66EA5948"/>
    <w:rsid w:val="66EECA26"/>
    <w:rsid w:val="6742F9D7"/>
    <w:rsid w:val="6758EE4E"/>
    <w:rsid w:val="67D56A93"/>
    <w:rsid w:val="67D6F778"/>
    <w:rsid w:val="67DE9BB0"/>
    <w:rsid w:val="67ED666F"/>
    <w:rsid w:val="67F5294D"/>
    <w:rsid w:val="6809C2AA"/>
    <w:rsid w:val="680B54BB"/>
    <w:rsid w:val="6825D1B0"/>
    <w:rsid w:val="68327889"/>
    <w:rsid w:val="68351BF2"/>
    <w:rsid w:val="6845DF10"/>
    <w:rsid w:val="684D10BC"/>
    <w:rsid w:val="6856C9BE"/>
    <w:rsid w:val="686A2E58"/>
    <w:rsid w:val="68C8F16C"/>
    <w:rsid w:val="68C959B2"/>
    <w:rsid w:val="68CFC9D5"/>
    <w:rsid w:val="68D4A735"/>
    <w:rsid w:val="68DEFDE3"/>
    <w:rsid w:val="68F709F8"/>
    <w:rsid w:val="690EFA1F"/>
    <w:rsid w:val="690F4182"/>
    <w:rsid w:val="6917E347"/>
    <w:rsid w:val="697F8E3E"/>
    <w:rsid w:val="698317DB"/>
    <w:rsid w:val="699CBE71"/>
    <w:rsid w:val="69C658CB"/>
    <w:rsid w:val="69D0EC53"/>
    <w:rsid w:val="69D2D60C"/>
    <w:rsid w:val="69D87FCA"/>
    <w:rsid w:val="69E85074"/>
    <w:rsid w:val="6A525A21"/>
    <w:rsid w:val="6A707796"/>
    <w:rsid w:val="6AA6E953"/>
    <w:rsid w:val="6AC22383"/>
    <w:rsid w:val="6B0A2107"/>
    <w:rsid w:val="6B1AE48B"/>
    <w:rsid w:val="6B45116F"/>
    <w:rsid w:val="6B4FCB2E"/>
    <w:rsid w:val="6B69AD89"/>
    <w:rsid w:val="6B6E5DB6"/>
    <w:rsid w:val="6B829633"/>
    <w:rsid w:val="6B9F7801"/>
    <w:rsid w:val="6BA76F43"/>
    <w:rsid w:val="6C05BE98"/>
    <w:rsid w:val="6C40C7D2"/>
    <w:rsid w:val="6C5DF3E4"/>
    <w:rsid w:val="6C8ADC0D"/>
    <w:rsid w:val="6CDD33CD"/>
    <w:rsid w:val="6CFB4438"/>
    <w:rsid w:val="6D0652BA"/>
    <w:rsid w:val="6D0AF107"/>
    <w:rsid w:val="6D433FA4"/>
    <w:rsid w:val="6D6A7FA2"/>
    <w:rsid w:val="6D75A192"/>
    <w:rsid w:val="6D91794C"/>
    <w:rsid w:val="6DDCDB27"/>
    <w:rsid w:val="6E0623BE"/>
    <w:rsid w:val="6E0697D5"/>
    <w:rsid w:val="6E42485A"/>
    <w:rsid w:val="6E475121"/>
    <w:rsid w:val="6E4E5063"/>
    <w:rsid w:val="6E649579"/>
    <w:rsid w:val="6E702F94"/>
    <w:rsid w:val="6E82C741"/>
    <w:rsid w:val="6E88AE19"/>
    <w:rsid w:val="6E9A6386"/>
    <w:rsid w:val="6EB3CAA6"/>
    <w:rsid w:val="6EB9029F"/>
    <w:rsid w:val="6EC0C995"/>
    <w:rsid w:val="6EDFC6A6"/>
    <w:rsid w:val="6F00E5B5"/>
    <w:rsid w:val="6F0B2DF8"/>
    <w:rsid w:val="6F19AAAD"/>
    <w:rsid w:val="6F224249"/>
    <w:rsid w:val="6F2E249F"/>
    <w:rsid w:val="6F4E95F3"/>
    <w:rsid w:val="6F51493F"/>
    <w:rsid w:val="6F8717F1"/>
    <w:rsid w:val="6F8D7C78"/>
    <w:rsid w:val="6FBC9909"/>
    <w:rsid w:val="6FC6E846"/>
    <w:rsid w:val="6FF023B8"/>
    <w:rsid w:val="6FF81B4D"/>
    <w:rsid w:val="702668D9"/>
    <w:rsid w:val="7040D070"/>
    <w:rsid w:val="70424286"/>
    <w:rsid w:val="704985A3"/>
    <w:rsid w:val="70543CD5"/>
    <w:rsid w:val="707916AB"/>
    <w:rsid w:val="708324C7"/>
    <w:rsid w:val="70B26724"/>
    <w:rsid w:val="70C2C9BE"/>
    <w:rsid w:val="70E85AE1"/>
    <w:rsid w:val="7103B9F9"/>
    <w:rsid w:val="71369CEF"/>
    <w:rsid w:val="71603A2E"/>
    <w:rsid w:val="718E5C50"/>
    <w:rsid w:val="719076CA"/>
    <w:rsid w:val="71A6B061"/>
    <w:rsid w:val="71B0A4F0"/>
    <w:rsid w:val="71B89276"/>
    <w:rsid w:val="71BFC6B0"/>
    <w:rsid w:val="71C23211"/>
    <w:rsid w:val="72104EC9"/>
    <w:rsid w:val="7215EAA3"/>
    <w:rsid w:val="7216B0C7"/>
    <w:rsid w:val="7230ED7E"/>
    <w:rsid w:val="727A6DB7"/>
    <w:rsid w:val="727E44A2"/>
    <w:rsid w:val="72A8D8B9"/>
    <w:rsid w:val="72C7D4A0"/>
    <w:rsid w:val="72EDD8F1"/>
    <w:rsid w:val="72FB3932"/>
    <w:rsid w:val="72FCBEAD"/>
    <w:rsid w:val="730A3705"/>
    <w:rsid w:val="730DABDD"/>
    <w:rsid w:val="7319E2AF"/>
    <w:rsid w:val="73331DA9"/>
    <w:rsid w:val="734280C2"/>
    <w:rsid w:val="73526FAF"/>
    <w:rsid w:val="73563864"/>
    <w:rsid w:val="7374BF6E"/>
    <w:rsid w:val="7375AF1D"/>
    <w:rsid w:val="737690F1"/>
    <w:rsid w:val="7393EB53"/>
    <w:rsid w:val="73B28128"/>
    <w:rsid w:val="73B3871F"/>
    <w:rsid w:val="73D3B0C8"/>
    <w:rsid w:val="7405CCC8"/>
    <w:rsid w:val="7416045B"/>
    <w:rsid w:val="742DCD5F"/>
    <w:rsid w:val="744848D5"/>
    <w:rsid w:val="745FAA07"/>
    <w:rsid w:val="7467C3AB"/>
    <w:rsid w:val="74DE5123"/>
    <w:rsid w:val="74FE21DD"/>
    <w:rsid w:val="751ED7C6"/>
    <w:rsid w:val="75274A01"/>
    <w:rsid w:val="753717B7"/>
    <w:rsid w:val="754C3D9E"/>
    <w:rsid w:val="754E5189"/>
    <w:rsid w:val="75591526"/>
    <w:rsid w:val="7597714D"/>
    <w:rsid w:val="759D94E4"/>
    <w:rsid w:val="75D0D1C3"/>
    <w:rsid w:val="75FA098E"/>
    <w:rsid w:val="761EECF5"/>
    <w:rsid w:val="76400091"/>
    <w:rsid w:val="7663D1D9"/>
    <w:rsid w:val="7673149C"/>
    <w:rsid w:val="768C0399"/>
    <w:rsid w:val="76C699DC"/>
    <w:rsid w:val="76DF98AB"/>
    <w:rsid w:val="772685DB"/>
    <w:rsid w:val="77407B92"/>
    <w:rsid w:val="77693545"/>
    <w:rsid w:val="77755139"/>
    <w:rsid w:val="77767589"/>
    <w:rsid w:val="7783BD6D"/>
    <w:rsid w:val="778CB3BD"/>
    <w:rsid w:val="77952298"/>
    <w:rsid w:val="77E83407"/>
    <w:rsid w:val="77FFA23A"/>
    <w:rsid w:val="7801BB51"/>
    <w:rsid w:val="7810CC60"/>
    <w:rsid w:val="7825F9BE"/>
    <w:rsid w:val="784D6ACB"/>
    <w:rsid w:val="786743D5"/>
    <w:rsid w:val="7878ADB7"/>
    <w:rsid w:val="78C682C5"/>
    <w:rsid w:val="78ECB5D7"/>
    <w:rsid w:val="78F5C3B0"/>
    <w:rsid w:val="790A226A"/>
    <w:rsid w:val="7930E530"/>
    <w:rsid w:val="798B2814"/>
    <w:rsid w:val="799B729B"/>
    <w:rsid w:val="79A34E93"/>
    <w:rsid w:val="79E4FB39"/>
    <w:rsid w:val="7A8D4275"/>
    <w:rsid w:val="7AB7BEF2"/>
    <w:rsid w:val="7AC6406B"/>
    <w:rsid w:val="7B33D3C9"/>
    <w:rsid w:val="7B749E70"/>
    <w:rsid w:val="7B863901"/>
    <w:rsid w:val="7BA6C7CA"/>
    <w:rsid w:val="7BDFBC97"/>
    <w:rsid w:val="7BEEEA97"/>
    <w:rsid w:val="7C148BBA"/>
    <w:rsid w:val="7C94595D"/>
    <w:rsid w:val="7C9B52B0"/>
    <w:rsid w:val="7CBD0647"/>
    <w:rsid w:val="7CC5C085"/>
    <w:rsid w:val="7CE61E57"/>
    <w:rsid w:val="7CFA39E7"/>
    <w:rsid w:val="7D092073"/>
    <w:rsid w:val="7D1479FF"/>
    <w:rsid w:val="7D1F691A"/>
    <w:rsid w:val="7D24CDEE"/>
    <w:rsid w:val="7D4CA071"/>
    <w:rsid w:val="7D7FE6D9"/>
    <w:rsid w:val="7DAAA46E"/>
    <w:rsid w:val="7DAFA06A"/>
    <w:rsid w:val="7DB958D0"/>
    <w:rsid w:val="7DB9711A"/>
    <w:rsid w:val="7DD30B1E"/>
    <w:rsid w:val="7DEFEB49"/>
    <w:rsid w:val="7E0D2E05"/>
    <w:rsid w:val="7E5E9B3D"/>
    <w:rsid w:val="7E7AB943"/>
    <w:rsid w:val="7E9B689B"/>
    <w:rsid w:val="7EA1CC1C"/>
    <w:rsid w:val="7EA4F0D4"/>
    <w:rsid w:val="7EC4D1A0"/>
    <w:rsid w:val="7EC97BB6"/>
    <w:rsid w:val="7ECE8493"/>
    <w:rsid w:val="7EFB0D6A"/>
    <w:rsid w:val="7EFFDD5F"/>
    <w:rsid w:val="7F202221"/>
    <w:rsid w:val="7F2A1261"/>
    <w:rsid w:val="7F5818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307B34"/>
  <w15:chartTrackingRefBased/>
  <w15:docId w15:val="{8D2DF2EF-38A1-447B-BE89-19D34DF3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474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484D"/>
  </w:style>
  <w:style w:type="paragraph" w:styleId="Footer">
    <w:name w:val="footer"/>
    <w:basedOn w:val="Normal"/>
    <w:link w:val="FooterChar"/>
    <w:uiPriority w:val="99"/>
    <w:unhideWhenUsed/>
    <w:rsid w:val="00474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84D"/>
  </w:style>
  <w:style w:type="paragraph" w:customStyle="1" w:styleId="paragraph">
    <w:name w:val="paragraph"/>
    <w:basedOn w:val="Normal"/>
    <w:rsid w:val="00EE202A"/>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EE202A"/>
  </w:style>
  <w:style w:type="character" w:customStyle="1" w:styleId="eop">
    <w:name w:val="eop"/>
    <w:basedOn w:val="DefaultParagraphFont"/>
    <w:rsid w:val="00EE20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468794112468475" TargetMode="External"/><Relationship Id="rId18" Type="http://schemas.openxmlformats.org/officeDocument/2006/relationships/hyperlink" Target="https://doi.org/10.3758/s13421-020-01027-3" TargetMode="External"/><Relationship Id="rId26" Type="http://schemas.openxmlformats.org/officeDocument/2006/relationships/hyperlink" Target="https://doi.org/10.2307/258557" TargetMode="External"/><Relationship Id="rId39" Type="http://schemas.openxmlformats.org/officeDocument/2006/relationships/hyperlink" Target="https://doi.org/10.1016/j.ecresq.2006.09.003" TargetMode="External"/><Relationship Id="rId21" Type="http://schemas.openxmlformats.org/officeDocument/2006/relationships/hyperlink" Target="https://www.growthengineering.co.uk/the-neuroscience-of-learner-engagement/" TargetMode="External"/><Relationship Id="rId34" Type="http://schemas.openxmlformats.org/officeDocument/2006/relationships/hyperlink" Target="https://doi.org/10.1177/1529100615569721" TargetMode="External"/><Relationship Id="rId42" Type="http://schemas.openxmlformats.org/officeDocument/2006/relationships/hyperlink" Target="https://doi.org/10.1002/j.2168-9830.2004.tb00809.x" TargetMode="External"/><Relationship Id="rId47" Type="http://schemas.openxmlformats.org/officeDocument/2006/relationships/hyperlink" Target="https://doi.org/10.1037/0003-066X.55.1.68" TargetMode="External"/><Relationship Id="rId50" Type="http://schemas.openxmlformats.org/officeDocument/2006/relationships/hyperlink" Target="https://doi.org/10.1037/a0012840" TargetMode="External"/><Relationship Id="rId55" Type="http://schemas.openxmlformats.org/officeDocument/2006/relationships/hyperlink" Target="https://doi.org/10.1177/016235320302700203"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191/1478088706qp063oa" TargetMode="External"/><Relationship Id="rId29" Type="http://schemas.openxmlformats.org/officeDocument/2006/relationships/hyperlink" Target="https://doi.org/10.3102/00346543074001059" TargetMode="External"/><Relationship Id="rId11" Type="http://schemas.openxmlformats.org/officeDocument/2006/relationships/hyperlink" Target="https://files.eric.ed.gov/fulltext/EJ1118315.pdf" TargetMode="External"/><Relationship Id="rId24" Type="http://schemas.openxmlformats.org/officeDocument/2006/relationships/hyperlink" Target="https://doi.org/10.1177/1468794112438999" TargetMode="External"/><Relationship Id="rId32" Type="http://schemas.openxmlformats.org/officeDocument/2006/relationships/hyperlink" Target="https://www.semanticscholar.org/paper/Sleep-and-academic-success%3A-mechanisms%2C-empirical-Gruber-Wiebe/5b2a65bde5b8f56aa9541454d31cc49f60b76692" TargetMode="External"/><Relationship Id="rId37" Type="http://schemas.openxmlformats.org/officeDocument/2006/relationships/hyperlink" Target="http://www.uwp.co.uk/journal/cylchgrawn-addysg-prifysgol-cymru-university-of-wales-journal-of-education/" TargetMode="External"/><Relationship Id="rId40" Type="http://schemas.openxmlformats.org/officeDocument/2006/relationships/hyperlink" Target="https://www.nfer.ac.uk/publications/how-to-run-qualitative-and-quantitative-research-from-definitions-through-to-analysis/" TargetMode="External"/><Relationship Id="rId45" Type="http://schemas.openxmlformats.org/officeDocument/2006/relationships/hyperlink" Target="https://doi.org/10.1007/978-1-4614-2018-7_7" TargetMode="External"/><Relationship Id="rId53" Type="http://schemas.openxmlformats.org/officeDocument/2006/relationships/hyperlink" Target="https://doi.org/10.1007/s10643-019-00989-7" TargetMode="External"/><Relationship Id="rId58" Type="http://schemas.openxmlformats.org/officeDocument/2006/relationships/hyperlink" Target="https://mylocalschool.gov.wales/School/6715502?lang=en"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https://doi.org/10.1007/s10763-019-10039-8" TargetMode="External"/><Relationship Id="rId14" Type="http://schemas.openxmlformats.org/officeDocument/2006/relationships/hyperlink" Target="https://doi.org/10.1016/j.jcps.2011.05.001" TargetMode="External"/><Relationship Id="rId22" Type="http://schemas.openxmlformats.org/officeDocument/2006/relationships/hyperlink" Target="https://doi.org/10.1177/016146810911100108" TargetMode="External"/><Relationship Id="rId27" Type="http://schemas.openxmlformats.org/officeDocument/2006/relationships/hyperlink" Target="https://doi.org/10.1177/1077800405284363" TargetMode="External"/><Relationship Id="rId30" Type="http://schemas.openxmlformats.org/officeDocument/2006/relationships/hyperlink" Target="https://doi.org/10.1177/1098300715580992" TargetMode="External"/><Relationship Id="rId35" Type="http://schemas.openxmlformats.org/officeDocument/2006/relationships/hyperlink" Target="https://doi.org/10.1177/20965311211039858" TargetMode="External"/><Relationship Id="rId43" Type="http://schemas.openxmlformats.org/officeDocument/2006/relationships/hyperlink" Target="https://qualificationswales.org/media/ma0gl4bj/tthc-learner-engagement-report.pdf" TargetMode="External"/><Relationship Id="rId48" Type="http://schemas.openxmlformats.org/officeDocument/2006/relationships/hyperlink" Target="https://doi.org/10.3102/00346543075003417" TargetMode="External"/><Relationship Id="rId56" Type="http://schemas.openxmlformats.org/officeDocument/2006/relationships/hyperlink" Target="https://doi.org/10.1016/j.buildenv.2020.106675" TargetMode="External"/><Relationship Id="rId8" Type="http://schemas.openxmlformats.org/officeDocument/2006/relationships/footnotes" Target="footnotes.xml"/><Relationship Id="rId51" Type="http://schemas.openxmlformats.org/officeDocument/2006/relationships/hyperlink" Target="https://doi.org/10.16922/wje.19.1.7" TargetMode="External"/><Relationship Id="rId3" Type="http://schemas.openxmlformats.org/officeDocument/2006/relationships/customXml" Target="../customXml/item3.xml"/><Relationship Id="rId12" Type="http://schemas.openxmlformats.org/officeDocument/2006/relationships/hyperlink" Target="https://doi.org/10.46743/2160-3715/2008.1573" TargetMode="External"/><Relationship Id="rId17" Type="http://schemas.openxmlformats.org/officeDocument/2006/relationships/hyperlink" Target="https://doi.org/10.1038/s41567-021-01472-0" TargetMode="External"/><Relationship Id="rId25" Type="http://schemas.openxmlformats.org/officeDocument/2006/relationships/hyperlink" Target="https://doi.org/10.1037/0012-1649.43.6.1428" TargetMode="External"/><Relationship Id="rId33" Type="http://schemas.openxmlformats.org/officeDocument/2006/relationships/hyperlink" Target="https://doi.org/10.1207/s15326985ep4102_4" TargetMode="External"/><Relationship Id="rId38" Type="http://schemas.openxmlformats.org/officeDocument/2006/relationships/hyperlink" Target="https://ojs.aishe.org/index.php/aishej/article/view/335" TargetMode="External"/><Relationship Id="rId46" Type="http://schemas.openxmlformats.org/officeDocument/2006/relationships/hyperlink" Target="https://doi.org/10.1016/S0885-2006(00)00049-1" TargetMode="External"/><Relationship Id="rId59" Type="http://schemas.openxmlformats.org/officeDocument/2006/relationships/hyperlink" Target="https://doi.org/10.1207/s15516709cog1801_3" TargetMode="External"/><Relationship Id="rId20" Type="http://schemas.openxmlformats.org/officeDocument/2006/relationships/hyperlink" Target="https://files.eric.ed.gov/fulltext/EJ1242968.pdf" TargetMode="External"/><Relationship Id="rId41" Type="http://schemas.openxmlformats.org/officeDocument/2006/relationships/hyperlink" Target="https://solportal.ibe-unesco.org/wp-content/uploads/_pdfs/the-development-of-the-reasoning-brain-and-how-to-foster-logical-reasoning-skills.pdf" TargetMode="External"/><Relationship Id="rId54" Type="http://schemas.openxmlformats.org/officeDocument/2006/relationships/hyperlink" Target="https://doi.org/10.1177/107780041140988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37/0003-066X.57.2.111" TargetMode="External"/><Relationship Id="rId23" Type="http://schemas.openxmlformats.org/officeDocument/2006/relationships/hyperlink" Target="https://doi.org/10.46743/2160-3715/2016.2243" TargetMode="External"/><Relationship Id="rId28" Type="http://schemas.openxmlformats.org/officeDocument/2006/relationships/hyperlink" Target="https://psycnet.apa.org/doi/10.1007/978-1-4614-2018-7_37" TargetMode="External"/><Relationship Id="rId36" Type="http://schemas.openxmlformats.org/officeDocument/2006/relationships/hyperlink" Target="https://doi.org/10.1111/1467-8624.00101" TargetMode="External"/><Relationship Id="rId49" Type="http://schemas.openxmlformats.org/officeDocument/2006/relationships/hyperlink" Target="https://doi.org/10.1037/0022-0663.85.4.571" TargetMode="External"/><Relationship Id="rId57" Type="http://schemas.openxmlformats.org/officeDocument/2006/relationships/hyperlink" Target="https://www.gov.wales/sites/default/files/statistics-and-research/2019-09/101206-improving-learning-taking-account-learners-perspectives-briefing-en.pdf" TargetMode="External"/><Relationship Id="rId10" Type="http://schemas.openxmlformats.org/officeDocument/2006/relationships/hyperlink" Target="https://doi.org/10.1016/S0002-8223(21)08029-9" TargetMode="External"/><Relationship Id="rId31" Type="http://schemas.openxmlformats.org/officeDocument/2006/relationships/hyperlink" Target="https://doi.org/10.1542/peds.2006-2697" TargetMode="External"/><Relationship Id="rId44" Type="http://schemas.openxmlformats.org/officeDocument/2006/relationships/hyperlink" Target="https://doi.org/10.1111/j.1365-2214.2007.00799_8.x" TargetMode="External"/><Relationship Id="rId52" Type="http://schemas.openxmlformats.org/officeDocument/2006/relationships/hyperlink" Target="https://doi.org/10.1017/9781316817049" TargetMode="External"/><Relationship Id="rId6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6" ma:contentTypeDescription="Create a new document." ma:contentTypeScope="" ma:versionID="d47611656e618cb255afc7e6271cd4e3">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f3a5cb5957328b00056e7346f60d44b"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74C902B9-CF7E-4751-9A8D-7A36EA5FC9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9C65E1-D85E-4F53-B05A-CCA1161A1555}">
  <ds:schemaRefs>
    <ds:schemaRef ds:uri="http://schemas.microsoft.com/sharepoint/v3/contenttype/forms"/>
  </ds:schemaRefs>
</ds:datastoreItem>
</file>

<file path=customXml/itemProps3.xml><?xml version="1.0" encoding="utf-8"?>
<ds:datastoreItem xmlns:ds="http://schemas.openxmlformats.org/officeDocument/2006/customXml" ds:itemID="{93DEBADA-4F2D-4C14-A79A-6DA910F437C0}">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7012</Words>
  <Characters>45889</Characters>
  <Application>Microsoft Office Word</Application>
  <DocSecurity>0</DocSecurity>
  <Lines>760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Etain Adams (1701972)</dc:creator>
  <cp:lastModifiedBy>Etain Adams (1701972)</cp:lastModifiedBy>
  <cp:revision>3</cp:revision>
  <dcterms:created xsi:type="dcterms:W3CDTF">2024-05-06T10:03:00Z</dcterms:created>
  <dcterms:modified xsi:type="dcterms:W3CDTF">2024-05-06T10:19:00Z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d0af7d70f5b91c0367652c6350e052484acc65a565f2f0fd49e7227ab47c8db4</vt:lpwstr>
  </property>
</Properties>
</file>