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66F35" w14:textId="77777777" w:rsidR="00C34D7D" w:rsidRPr="00425000" w:rsidRDefault="00000000" w:rsidP="00A119A7">
      <w:pPr>
        <w:spacing w:before="240" w:after="240" w:line="360" w:lineRule="auto"/>
        <w:jc w:val="center"/>
        <w:rPr>
          <w:rFonts w:ascii="Times New Roman" w:eastAsia="Times New Roman" w:hAnsi="Times New Roman" w:cs="Times New Roman"/>
          <w:b/>
          <w:bCs/>
          <w:sz w:val="36"/>
          <w:szCs w:val="36"/>
        </w:rPr>
      </w:pPr>
      <w:r w:rsidRPr="00425000">
        <w:rPr>
          <w:rFonts w:ascii="Times New Roman" w:eastAsia="Times New Roman" w:hAnsi="Times New Roman" w:cs="Times New Roman"/>
          <w:b/>
          <w:bCs/>
          <w:noProof/>
          <w:sz w:val="36"/>
          <w:szCs w:val="36"/>
        </w:rPr>
        <w:drawing>
          <wp:inline distT="114300" distB="114300" distL="114300" distR="114300" wp14:anchorId="16365701" wp14:editId="3DB47A62">
            <wp:extent cx="5943600" cy="863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863600"/>
                    </a:xfrm>
                    <a:prstGeom prst="rect">
                      <a:avLst/>
                    </a:prstGeom>
                    <a:ln/>
                  </pic:spPr>
                </pic:pic>
              </a:graphicData>
            </a:graphic>
          </wp:inline>
        </w:drawing>
      </w:r>
    </w:p>
    <w:p w14:paraId="6DA2D189" w14:textId="77777777" w:rsidR="00A119A7" w:rsidRDefault="00A119A7" w:rsidP="00A119A7">
      <w:pPr>
        <w:spacing w:before="240" w:after="240" w:line="360" w:lineRule="auto"/>
        <w:jc w:val="center"/>
        <w:rPr>
          <w:rFonts w:ascii="Times New Roman" w:eastAsia="Times New Roman" w:hAnsi="Times New Roman" w:cs="Times New Roman"/>
          <w:b/>
          <w:bCs/>
          <w:sz w:val="36"/>
          <w:szCs w:val="36"/>
        </w:rPr>
      </w:pPr>
    </w:p>
    <w:p w14:paraId="21352404" w14:textId="76170EE1" w:rsidR="00C34D7D" w:rsidRPr="00425000" w:rsidRDefault="00000000" w:rsidP="00A119A7">
      <w:pPr>
        <w:spacing w:before="240" w:after="240" w:line="360" w:lineRule="auto"/>
        <w:jc w:val="center"/>
        <w:rPr>
          <w:rFonts w:ascii="Times New Roman" w:eastAsia="Times New Roman" w:hAnsi="Times New Roman" w:cs="Times New Roman"/>
          <w:b/>
          <w:bCs/>
          <w:sz w:val="36"/>
          <w:szCs w:val="36"/>
        </w:rPr>
      </w:pPr>
      <w:r w:rsidRPr="00425000">
        <w:rPr>
          <w:rFonts w:ascii="Times New Roman" w:eastAsia="Times New Roman" w:hAnsi="Times New Roman" w:cs="Times New Roman"/>
          <w:b/>
          <w:bCs/>
          <w:sz w:val="36"/>
          <w:szCs w:val="36"/>
        </w:rPr>
        <w:t>Programme: BA (Hons) Business Management</w:t>
      </w:r>
    </w:p>
    <w:p w14:paraId="0EB3662D" w14:textId="77777777" w:rsidR="00C34D7D" w:rsidRPr="00425000" w:rsidRDefault="00000000" w:rsidP="00A119A7">
      <w:pPr>
        <w:spacing w:before="240" w:after="240" w:line="360" w:lineRule="auto"/>
        <w:jc w:val="center"/>
        <w:rPr>
          <w:rFonts w:ascii="Times New Roman" w:eastAsia="Times New Roman" w:hAnsi="Times New Roman" w:cs="Times New Roman"/>
          <w:b/>
          <w:bCs/>
          <w:sz w:val="36"/>
          <w:szCs w:val="36"/>
        </w:rPr>
      </w:pPr>
      <w:r w:rsidRPr="00425000">
        <w:rPr>
          <w:rFonts w:ascii="Times New Roman" w:eastAsia="Times New Roman" w:hAnsi="Times New Roman" w:cs="Times New Roman"/>
          <w:b/>
          <w:bCs/>
          <w:sz w:val="36"/>
          <w:szCs w:val="36"/>
        </w:rPr>
        <w:t>Module: International Business Communications</w:t>
      </w:r>
    </w:p>
    <w:p w14:paraId="13639315" w14:textId="77777777" w:rsidR="00C34D7D" w:rsidRPr="00425000" w:rsidRDefault="00000000" w:rsidP="00A119A7">
      <w:pPr>
        <w:spacing w:before="240" w:after="240" w:line="360" w:lineRule="auto"/>
        <w:jc w:val="center"/>
        <w:rPr>
          <w:rFonts w:ascii="Times New Roman" w:eastAsia="Times New Roman" w:hAnsi="Times New Roman" w:cs="Times New Roman"/>
          <w:b/>
          <w:bCs/>
          <w:sz w:val="36"/>
          <w:szCs w:val="36"/>
        </w:rPr>
      </w:pPr>
      <w:r w:rsidRPr="00425000">
        <w:rPr>
          <w:rFonts w:ascii="Times New Roman" w:eastAsia="Times New Roman" w:hAnsi="Times New Roman" w:cs="Times New Roman"/>
          <w:b/>
          <w:bCs/>
          <w:sz w:val="36"/>
          <w:szCs w:val="36"/>
        </w:rPr>
        <w:t>Module code: LCBB6023</w:t>
      </w:r>
    </w:p>
    <w:p w14:paraId="6E0E5216" w14:textId="77777777" w:rsidR="00C34D7D" w:rsidRDefault="00000000" w:rsidP="00A119A7">
      <w:pPr>
        <w:spacing w:before="240" w:after="240" w:line="360" w:lineRule="auto"/>
        <w:jc w:val="center"/>
        <w:rPr>
          <w:rFonts w:ascii="Times New Roman" w:eastAsia="Times New Roman" w:hAnsi="Times New Roman" w:cs="Times New Roman"/>
          <w:b/>
          <w:bCs/>
          <w:sz w:val="36"/>
          <w:szCs w:val="36"/>
        </w:rPr>
      </w:pPr>
      <w:r w:rsidRPr="00425000">
        <w:rPr>
          <w:rFonts w:ascii="Times New Roman" w:eastAsia="Times New Roman" w:hAnsi="Times New Roman" w:cs="Times New Roman"/>
          <w:b/>
          <w:bCs/>
          <w:sz w:val="36"/>
          <w:szCs w:val="36"/>
        </w:rPr>
        <w:t>Assignment Title: Component 2: Coursework: Essay</w:t>
      </w:r>
    </w:p>
    <w:p w14:paraId="45D29CAE" w14:textId="4C9D1476" w:rsidR="00A43363" w:rsidRDefault="00A43363" w:rsidP="00A119A7">
      <w:pPr>
        <w:spacing w:before="240"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Student name: Nicoleta Carp</w:t>
      </w:r>
    </w:p>
    <w:p w14:paraId="0AE97203" w14:textId="3539ED9B" w:rsidR="00A43363" w:rsidRPr="00425000" w:rsidRDefault="00A43363" w:rsidP="00A119A7">
      <w:pPr>
        <w:spacing w:before="240"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Student ID: 2125547</w:t>
      </w:r>
    </w:p>
    <w:p w14:paraId="366FFE71" w14:textId="77777777" w:rsidR="00C34D7D" w:rsidRPr="00425000" w:rsidRDefault="00000000" w:rsidP="00A119A7">
      <w:pPr>
        <w:spacing w:before="240" w:after="240" w:line="360" w:lineRule="auto"/>
      </w:pPr>
      <w:r w:rsidRPr="00425000">
        <w:br w:type="page"/>
      </w:r>
    </w:p>
    <w:p w14:paraId="018116FC" w14:textId="77777777" w:rsidR="00C34D7D" w:rsidRPr="00425000" w:rsidRDefault="00000000" w:rsidP="00A119A7">
      <w:pPr>
        <w:spacing w:before="240" w:after="240" w:line="360" w:lineRule="auto"/>
        <w:jc w:val="center"/>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lastRenderedPageBreak/>
        <w:t>Table of Contents</w:t>
      </w:r>
    </w:p>
    <w:sdt>
      <w:sdtPr>
        <w:id w:val="-778883694"/>
        <w:docPartObj>
          <w:docPartGallery w:val="Table of Contents"/>
          <w:docPartUnique/>
        </w:docPartObj>
      </w:sdtPr>
      <w:sdtContent>
        <w:p w14:paraId="505B8488"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r w:rsidRPr="00425000">
            <w:fldChar w:fldCharType="begin"/>
          </w:r>
          <w:r w:rsidR="00000000" w:rsidRPr="00425000">
            <w:instrText xml:space="preserve"> TOC \h \u \z \t "Heading 1,1,Heading 2,2,Heading 3,3,Heading 4,4,Heading 5,5,Heading 6,6,"</w:instrText>
          </w:r>
          <w:r w:rsidRPr="00425000">
            <w:fldChar w:fldCharType="separate"/>
          </w:r>
          <w:hyperlink w:anchor="_z8wpr3co8crf">
            <w:r w:rsidRPr="00425000">
              <w:rPr>
                <w:rFonts w:ascii="Times New Roman" w:eastAsia="Times New Roman" w:hAnsi="Times New Roman" w:cs="Times New Roman"/>
                <w:color w:val="000000"/>
                <w:sz w:val="24"/>
                <w:szCs w:val="24"/>
              </w:rPr>
              <w:t>Introduction</w:t>
            </w:r>
            <w:r w:rsidRPr="00425000">
              <w:rPr>
                <w:rFonts w:ascii="Times New Roman" w:eastAsia="Times New Roman" w:hAnsi="Times New Roman" w:cs="Times New Roman"/>
                <w:color w:val="000000"/>
                <w:sz w:val="24"/>
                <w:szCs w:val="24"/>
              </w:rPr>
              <w:tab/>
              <w:t>3</w:t>
            </w:r>
          </w:hyperlink>
        </w:p>
        <w:p w14:paraId="61F83E15"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3tnrdvsijjpu">
            <w:r w:rsidRPr="00425000">
              <w:rPr>
                <w:rFonts w:ascii="Times New Roman" w:eastAsia="Times New Roman" w:hAnsi="Times New Roman" w:cs="Times New Roman"/>
                <w:color w:val="000000"/>
                <w:sz w:val="24"/>
                <w:szCs w:val="24"/>
              </w:rPr>
              <w:t>UK Company overview</w:t>
            </w:r>
            <w:r w:rsidRPr="00425000">
              <w:rPr>
                <w:rFonts w:ascii="Times New Roman" w:eastAsia="Times New Roman" w:hAnsi="Times New Roman" w:cs="Times New Roman"/>
                <w:color w:val="000000"/>
                <w:sz w:val="24"/>
                <w:szCs w:val="24"/>
              </w:rPr>
              <w:tab/>
              <w:t>3</w:t>
            </w:r>
          </w:hyperlink>
        </w:p>
        <w:p w14:paraId="0B72876B"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6bf3cssnw9vi">
            <w:r w:rsidRPr="00425000">
              <w:rPr>
                <w:rFonts w:ascii="Times New Roman" w:eastAsia="Times New Roman" w:hAnsi="Times New Roman" w:cs="Times New Roman"/>
                <w:color w:val="000000"/>
                <w:sz w:val="24"/>
                <w:szCs w:val="24"/>
              </w:rPr>
              <w:t>Asian company overview</w:t>
            </w:r>
            <w:r w:rsidRPr="00425000">
              <w:rPr>
                <w:rFonts w:ascii="Times New Roman" w:eastAsia="Times New Roman" w:hAnsi="Times New Roman" w:cs="Times New Roman"/>
                <w:color w:val="000000"/>
                <w:sz w:val="24"/>
                <w:szCs w:val="24"/>
              </w:rPr>
              <w:tab/>
              <w:t>3</w:t>
            </w:r>
          </w:hyperlink>
        </w:p>
        <w:p w14:paraId="43C1DAE7"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r5lif2hp3kn4">
            <w:r w:rsidRPr="00425000">
              <w:rPr>
                <w:rFonts w:ascii="Times New Roman" w:eastAsia="Times New Roman" w:hAnsi="Times New Roman" w:cs="Times New Roman"/>
                <w:color w:val="000000"/>
                <w:sz w:val="24"/>
                <w:szCs w:val="24"/>
              </w:rPr>
              <w:t>Japan culture overview</w:t>
            </w:r>
            <w:r w:rsidRPr="00425000">
              <w:rPr>
                <w:rFonts w:ascii="Times New Roman" w:eastAsia="Times New Roman" w:hAnsi="Times New Roman" w:cs="Times New Roman"/>
                <w:color w:val="000000"/>
                <w:sz w:val="24"/>
                <w:szCs w:val="24"/>
              </w:rPr>
              <w:tab/>
              <w:t>4</w:t>
            </w:r>
          </w:hyperlink>
        </w:p>
        <w:p w14:paraId="7EF7B13F"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uvzfj0f33iyy">
            <w:r w:rsidRPr="00425000">
              <w:rPr>
                <w:rFonts w:ascii="Times New Roman" w:eastAsia="Times New Roman" w:hAnsi="Times New Roman" w:cs="Times New Roman"/>
                <w:color w:val="000000"/>
                <w:sz w:val="24"/>
                <w:szCs w:val="24"/>
              </w:rPr>
              <w:t>Discussing the theories related to cultural dimensions</w:t>
            </w:r>
            <w:r w:rsidRPr="00425000">
              <w:rPr>
                <w:rFonts w:ascii="Times New Roman" w:eastAsia="Times New Roman" w:hAnsi="Times New Roman" w:cs="Times New Roman"/>
                <w:color w:val="000000"/>
                <w:sz w:val="24"/>
                <w:szCs w:val="24"/>
              </w:rPr>
              <w:tab/>
              <w:t>4</w:t>
            </w:r>
          </w:hyperlink>
        </w:p>
        <w:p w14:paraId="7F57BC36"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roebqfxb40a3">
            <w:r w:rsidRPr="00425000">
              <w:rPr>
                <w:rFonts w:ascii="Times New Roman" w:eastAsia="Times New Roman" w:hAnsi="Times New Roman" w:cs="Times New Roman"/>
                <w:color w:val="000000"/>
                <w:sz w:val="24"/>
                <w:szCs w:val="24"/>
              </w:rPr>
              <w:t>High-context and low-context communication theory</w:t>
            </w:r>
            <w:r w:rsidRPr="00425000">
              <w:rPr>
                <w:rFonts w:ascii="Times New Roman" w:eastAsia="Times New Roman" w:hAnsi="Times New Roman" w:cs="Times New Roman"/>
                <w:color w:val="000000"/>
                <w:sz w:val="24"/>
                <w:szCs w:val="24"/>
              </w:rPr>
              <w:tab/>
              <w:t>4</w:t>
            </w:r>
          </w:hyperlink>
        </w:p>
        <w:p w14:paraId="63DC6D69"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jm0k6xuaq98m">
            <w:r w:rsidRPr="00425000">
              <w:rPr>
                <w:rFonts w:ascii="Times New Roman" w:eastAsia="Times New Roman" w:hAnsi="Times New Roman" w:cs="Times New Roman"/>
                <w:color w:val="000000"/>
                <w:sz w:val="24"/>
                <w:szCs w:val="24"/>
              </w:rPr>
              <w:t>Application of High-context and low-context communication theory</w:t>
            </w:r>
            <w:r w:rsidRPr="00425000">
              <w:rPr>
                <w:rFonts w:ascii="Times New Roman" w:eastAsia="Times New Roman" w:hAnsi="Times New Roman" w:cs="Times New Roman"/>
                <w:color w:val="000000"/>
                <w:sz w:val="24"/>
                <w:szCs w:val="24"/>
              </w:rPr>
              <w:tab/>
              <w:t>5</w:t>
            </w:r>
          </w:hyperlink>
        </w:p>
        <w:p w14:paraId="1A5E307C"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g8tuaxk30536">
            <w:r w:rsidRPr="00425000">
              <w:rPr>
                <w:rFonts w:ascii="Times New Roman" w:eastAsia="Times New Roman" w:hAnsi="Times New Roman" w:cs="Times New Roman"/>
                <w:color w:val="000000"/>
                <w:sz w:val="24"/>
                <w:szCs w:val="24"/>
              </w:rPr>
              <w:t>Hofstede’s Cultural Dimensions Theory</w:t>
            </w:r>
            <w:r w:rsidRPr="00425000">
              <w:rPr>
                <w:rFonts w:ascii="Times New Roman" w:eastAsia="Times New Roman" w:hAnsi="Times New Roman" w:cs="Times New Roman"/>
                <w:color w:val="000000"/>
                <w:sz w:val="24"/>
                <w:szCs w:val="24"/>
              </w:rPr>
              <w:tab/>
              <w:t>6</w:t>
            </w:r>
          </w:hyperlink>
        </w:p>
        <w:p w14:paraId="2A76C8A2"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3hzi6nqrnkja">
            <w:r w:rsidRPr="00425000">
              <w:rPr>
                <w:rFonts w:ascii="Times New Roman" w:eastAsia="Times New Roman" w:hAnsi="Times New Roman" w:cs="Times New Roman"/>
                <w:color w:val="000000"/>
                <w:sz w:val="24"/>
                <w:szCs w:val="24"/>
              </w:rPr>
              <w:t>Application of Hofstede’s Cultural Dimensions Theory</w:t>
            </w:r>
            <w:r w:rsidRPr="00425000">
              <w:rPr>
                <w:rFonts w:ascii="Times New Roman" w:eastAsia="Times New Roman" w:hAnsi="Times New Roman" w:cs="Times New Roman"/>
                <w:color w:val="000000"/>
                <w:sz w:val="24"/>
                <w:szCs w:val="24"/>
              </w:rPr>
              <w:tab/>
              <w:t>6</w:t>
            </w:r>
          </w:hyperlink>
        </w:p>
        <w:p w14:paraId="29FBC28C"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6et20a3vv9ly">
            <w:r w:rsidRPr="00425000">
              <w:rPr>
                <w:rFonts w:ascii="Times New Roman" w:eastAsia="Times New Roman" w:hAnsi="Times New Roman" w:cs="Times New Roman"/>
                <w:color w:val="000000"/>
                <w:sz w:val="24"/>
                <w:szCs w:val="24"/>
              </w:rPr>
              <w:t>Impact of cultural challenges</w:t>
            </w:r>
            <w:r w:rsidRPr="00425000">
              <w:rPr>
                <w:rFonts w:ascii="Times New Roman" w:eastAsia="Times New Roman" w:hAnsi="Times New Roman" w:cs="Times New Roman"/>
                <w:color w:val="000000"/>
                <w:sz w:val="24"/>
                <w:szCs w:val="24"/>
              </w:rPr>
              <w:tab/>
              <w:t>8</w:t>
            </w:r>
          </w:hyperlink>
        </w:p>
        <w:p w14:paraId="3A634A94"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6dtc98z9krzu">
            <w:r w:rsidRPr="00425000">
              <w:rPr>
                <w:rFonts w:ascii="Times New Roman" w:eastAsia="Times New Roman" w:hAnsi="Times New Roman" w:cs="Times New Roman"/>
                <w:color w:val="000000"/>
                <w:sz w:val="24"/>
                <w:szCs w:val="24"/>
              </w:rPr>
              <w:t>Communication Differences</w:t>
            </w:r>
            <w:r w:rsidRPr="00425000">
              <w:rPr>
                <w:rFonts w:ascii="Times New Roman" w:eastAsia="Times New Roman" w:hAnsi="Times New Roman" w:cs="Times New Roman"/>
                <w:color w:val="000000"/>
                <w:sz w:val="24"/>
                <w:szCs w:val="24"/>
              </w:rPr>
              <w:tab/>
              <w:t>8</w:t>
            </w:r>
          </w:hyperlink>
        </w:p>
        <w:p w14:paraId="0E30E1D1"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mfh5nlnv2hkj">
            <w:r w:rsidRPr="00425000">
              <w:rPr>
                <w:rFonts w:ascii="Times New Roman" w:eastAsia="Times New Roman" w:hAnsi="Times New Roman" w:cs="Times New Roman"/>
                <w:color w:val="000000"/>
                <w:sz w:val="24"/>
                <w:szCs w:val="24"/>
              </w:rPr>
              <w:t>Decision-Making</w:t>
            </w:r>
            <w:r w:rsidRPr="00425000">
              <w:rPr>
                <w:rFonts w:ascii="Times New Roman" w:eastAsia="Times New Roman" w:hAnsi="Times New Roman" w:cs="Times New Roman"/>
                <w:color w:val="000000"/>
                <w:sz w:val="24"/>
                <w:szCs w:val="24"/>
              </w:rPr>
              <w:tab/>
              <w:t>8</w:t>
            </w:r>
          </w:hyperlink>
        </w:p>
        <w:p w14:paraId="0453BE6F"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jio5kpu51g4q">
            <w:r w:rsidRPr="00425000">
              <w:rPr>
                <w:rFonts w:ascii="Times New Roman" w:eastAsia="Times New Roman" w:hAnsi="Times New Roman" w:cs="Times New Roman"/>
                <w:color w:val="000000"/>
                <w:sz w:val="24"/>
                <w:szCs w:val="24"/>
              </w:rPr>
              <w:t>Risk Avoidance</w:t>
            </w:r>
            <w:r w:rsidRPr="00425000">
              <w:rPr>
                <w:rFonts w:ascii="Times New Roman" w:eastAsia="Times New Roman" w:hAnsi="Times New Roman" w:cs="Times New Roman"/>
                <w:color w:val="000000"/>
                <w:sz w:val="24"/>
                <w:szCs w:val="24"/>
              </w:rPr>
              <w:tab/>
              <w:t>9</w:t>
            </w:r>
          </w:hyperlink>
        </w:p>
        <w:p w14:paraId="1BBD61F2"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jjmzafrx4l0c">
            <w:r w:rsidRPr="00425000">
              <w:rPr>
                <w:rFonts w:ascii="Times New Roman" w:eastAsia="Times New Roman" w:hAnsi="Times New Roman" w:cs="Times New Roman"/>
                <w:color w:val="000000"/>
                <w:sz w:val="24"/>
                <w:szCs w:val="24"/>
              </w:rPr>
              <w:t>Solutions</w:t>
            </w:r>
            <w:r w:rsidRPr="00425000">
              <w:rPr>
                <w:rFonts w:ascii="Times New Roman" w:eastAsia="Times New Roman" w:hAnsi="Times New Roman" w:cs="Times New Roman"/>
                <w:color w:val="000000"/>
                <w:sz w:val="24"/>
                <w:szCs w:val="24"/>
              </w:rPr>
              <w:tab/>
              <w:t>9</w:t>
            </w:r>
          </w:hyperlink>
        </w:p>
        <w:p w14:paraId="4B634E8A"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bf8wu5nxoyin">
            <w:r w:rsidRPr="00425000">
              <w:rPr>
                <w:rFonts w:ascii="Times New Roman" w:eastAsia="Times New Roman" w:hAnsi="Times New Roman" w:cs="Times New Roman"/>
                <w:color w:val="000000"/>
                <w:sz w:val="24"/>
                <w:szCs w:val="24"/>
              </w:rPr>
              <w:t>Solution regarding communication differences</w:t>
            </w:r>
            <w:r w:rsidRPr="00425000">
              <w:rPr>
                <w:rFonts w:ascii="Times New Roman" w:eastAsia="Times New Roman" w:hAnsi="Times New Roman" w:cs="Times New Roman"/>
                <w:color w:val="000000"/>
                <w:sz w:val="24"/>
                <w:szCs w:val="24"/>
              </w:rPr>
              <w:tab/>
              <w:t>9</w:t>
            </w:r>
          </w:hyperlink>
        </w:p>
        <w:p w14:paraId="3BC8E4DE"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238nyr17a4c5">
            <w:r w:rsidRPr="00425000">
              <w:rPr>
                <w:rFonts w:ascii="Times New Roman" w:eastAsia="Times New Roman" w:hAnsi="Times New Roman" w:cs="Times New Roman"/>
                <w:color w:val="000000"/>
                <w:sz w:val="24"/>
                <w:szCs w:val="24"/>
              </w:rPr>
              <w:t>Solution regarding decision-making</w:t>
            </w:r>
            <w:r w:rsidRPr="00425000">
              <w:rPr>
                <w:rFonts w:ascii="Times New Roman" w:eastAsia="Times New Roman" w:hAnsi="Times New Roman" w:cs="Times New Roman"/>
                <w:color w:val="000000"/>
                <w:sz w:val="24"/>
                <w:szCs w:val="24"/>
              </w:rPr>
              <w:tab/>
              <w:t>9</w:t>
            </w:r>
          </w:hyperlink>
        </w:p>
        <w:p w14:paraId="2500DF3C" w14:textId="77777777" w:rsidR="00C34D7D" w:rsidRPr="00425000" w:rsidRDefault="00C34D7D" w:rsidP="00A119A7">
          <w:pPr>
            <w:widowControl w:val="0"/>
            <w:tabs>
              <w:tab w:val="right" w:pos="12000"/>
            </w:tabs>
            <w:spacing w:before="240" w:after="240" w:line="360" w:lineRule="auto"/>
            <w:ind w:left="360"/>
            <w:jc w:val="both"/>
            <w:rPr>
              <w:rFonts w:ascii="Times New Roman" w:eastAsia="Times New Roman" w:hAnsi="Times New Roman" w:cs="Times New Roman"/>
              <w:color w:val="000000"/>
              <w:sz w:val="24"/>
              <w:szCs w:val="24"/>
            </w:rPr>
          </w:pPr>
          <w:hyperlink w:anchor="_dcey8fos1md4">
            <w:r w:rsidRPr="00425000">
              <w:rPr>
                <w:rFonts w:ascii="Times New Roman" w:eastAsia="Times New Roman" w:hAnsi="Times New Roman" w:cs="Times New Roman"/>
                <w:color w:val="000000"/>
                <w:sz w:val="24"/>
                <w:szCs w:val="24"/>
              </w:rPr>
              <w:t>Solution regarding risk avoidance</w:t>
            </w:r>
            <w:r w:rsidRPr="00425000">
              <w:rPr>
                <w:rFonts w:ascii="Times New Roman" w:eastAsia="Times New Roman" w:hAnsi="Times New Roman" w:cs="Times New Roman"/>
                <w:color w:val="000000"/>
                <w:sz w:val="24"/>
                <w:szCs w:val="24"/>
              </w:rPr>
              <w:tab/>
              <w:t>9</w:t>
            </w:r>
          </w:hyperlink>
        </w:p>
        <w:p w14:paraId="2D80B852" w14:textId="77777777" w:rsidR="00C34D7D" w:rsidRPr="00425000"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tx3nh45paofs">
            <w:r w:rsidRPr="00425000">
              <w:rPr>
                <w:rFonts w:ascii="Times New Roman" w:eastAsia="Times New Roman" w:hAnsi="Times New Roman" w:cs="Times New Roman"/>
                <w:color w:val="000000"/>
                <w:sz w:val="24"/>
                <w:szCs w:val="24"/>
              </w:rPr>
              <w:t>Conclusion</w:t>
            </w:r>
            <w:r w:rsidRPr="00425000">
              <w:rPr>
                <w:rFonts w:ascii="Times New Roman" w:eastAsia="Times New Roman" w:hAnsi="Times New Roman" w:cs="Times New Roman"/>
                <w:color w:val="000000"/>
                <w:sz w:val="24"/>
                <w:szCs w:val="24"/>
              </w:rPr>
              <w:tab/>
              <w:t>10</w:t>
            </w:r>
          </w:hyperlink>
        </w:p>
        <w:p w14:paraId="360E1BEE" w14:textId="3398B4C0" w:rsidR="00C34D7D" w:rsidRPr="00A119A7" w:rsidRDefault="00C34D7D" w:rsidP="00A119A7">
          <w:pPr>
            <w:widowControl w:val="0"/>
            <w:tabs>
              <w:tab w:val="right" w:pos="12000"/>
            </w:tabs>
            <w:spacing w:before="240" w:after="240" w:line="360" w:lineRule="auto"/>
            <w:jc w:val="both"/>
            <w:rPr>
              <w:rFonts w:ascii="Times New Roman" w:eastAsia="Times New Roman" w:hAnsi="Times New Roman" w:cs="Times New Roman"/>
              <w:color w:val="000000"/>
              <w:sz w:val="24"/>
              <w:szCs w:val="24"/>
            </w:rPr>
          </w:pPr>
          <w:hyperlink w:anchor="_4537tbcm2ly0">
            <w:r w:rsidRPr="00425000">
              <w:rPr>
                <w:rFonts w:ascii="Times New Roman" w:eastAsia="Times New Roman" w:hAnsi="Times New Roman" w:cs="Times New Roman"/>
                <w:color w:val="000000"/>
                <w:sz w:val="24"/>
                <w:szCs w:val="24"/>
              </w:rPr>
              <w:t>References</w:t>
            </w:r>
            <w:r w:rsidRPr="00425000">
              <w:rPr>
                <w:rFonts w:ascii="Times New Roman" w:eastAsia="Times New Roman" w:hAnsi="Times New Roman" w:cs="Times New Roman"/>
                <w:color w:val="000000"/>
                <w:sz w:val="24"/>
                <w:szCs w:val="24"/>
              </w:rPr>
              <w:tab/>
              <w:t>11</w:t>
            </w:r>
          </w:hyperlink>
          <w:r w:rsidRPr="00425000">
            <w:fldChar w:fldCharType="end"/>
          </w:r>
        </w:p>
      </w:sdtContent>
    </w:sdt>
    <w:bookmarkStart w:id="0" w:name="_6txmxt9wxcj" w:colFirst="0" w:colLast="0" w:displacedByCustomXml="prev"/>
    <w:bookmarkEnd w:id="0" w:displacedByCustomXml="prev"/>
    <w:p w14:paraId="56525BEA" w14:textId="77777777" w:rsidR="00C34D7D" w:rsidRPr="00425000" w:rsidRDefault="00000000" w:rsidP="00A119A7">
      <w:pPr>
        <w:pStyle w:val="Heading1"/>
        <w:spacing w:before="240" w:after="240"/>
      </w:pPr>
      <w:bookmarkStart w:id="1" w:name="_z8wpr3co8crf" w:colFirst="0" w:colLast="0"/>
      <w:bookmarkEnd w:id="1"/>
      <w:r w:rsidRPr="00425000">
        <w:lastRenderedPageBreak/>
        <w:t xml:space="preserve">Introduction </w:t>
      </w:r>
    </w:p>
    <w:p w14:paraId="309D13C6"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 xml:space="preserve">The essay will mainly focus on the organisations of the UK and Asia, and how, with the collaboration of these organisations, the company will significantly expand in Japan. The theories related to communication and culture will be discussed to significantly enhance the style of communication. However, the theories will be implemented in the countries to highlight the issues related to the style. Moreover, the challenges that the organisation will face because of the barriers will be analysed, and then the solutions will be provided to overcome the challenges faced effectively. </w:t>
      </w:r>
    </w:p>
    <w:p w14:paraId="150C5EC3" w14:textId="77777777" w:rsidR="00C34D7D" w:rsidRPr="00425000" w:rsidRDefault="00000000" w:rsidP="00A119A7">
      <w:pPr>
        <w:pStyle w:val="Heading1"/>
        <w:spacing w:before="240" w:after="240"/>
      </w:pPr>
      <w:bookmarkStart w:id="2" w:name="_3tnrdvsijjpu" w:colFirst="0" w:colLast="0"/>
      <w:bookmarkEnd w:id="2"/>
      <w:r w:rsidRPr="00425000">
        <w:t>UK Company overview</w:t>
      </w:r>
    </w:p>
    <w:p w14:paraId="169C0B6D"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One of the major retailers in the UK, John Lewis, is characterised by a positive working environment and great customer service. In John Lewis, the organisation advocates trust, justice, cooperation, and teamwork between managers and staff members. Different people from diverse cultures, backgrounds and nationalities work with John Lewis, making the organisation highly diverse. English is the major language of communication within the organisation, though there are other community and regional languages spoken by various staff members. Effective communication facilitates information exchange, problem-solving, teamwork, and customer service. Staff members are allowed to give their views, suggestions and feedback (Almeida, 2025).</w:t>
      </w:r>
    </w:p>
    <w:p w14:paraId="7B6F0AFE" w14:textId="77777777" w:rsidR="00C34D7D" w:rsidRPr="00425000" w:rsidRDefault="00000000" w:rsidP="00A119A7">
      <w:pPr>
        <w:pStyle w:val="Heading1"/>
        <w:spacing w:before="240" w:after="240"/>
      </w:pPr>
      <w:bookmarkStart w:id="3" w:name="_6bf3cssnw9vi" w:colFirst="0" w:colLast="0"/>
      <w:bookmarkEnd w:id="3"/>
      <w:r w:rsidRPr="00425000">
        <w:t xml:space="preserve">Asian company overview </w:t>
      </w:r>
    </w:p>
    <w:p w14:paraId="6E05AD87"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MUJI is a retailing company from Japan founded in 1980. The brand is known for its simplicity, practicality and eco-friendly products ranging from clothes to furniture, household items, food and stationery. MUJI's philosophy is to think about simplicity, functionality, quality and elimination of unnecessary ornamentation. The cultural aspects can impact on leadership, teamwork, customer service and corporate branding in companies like MUJI. MUJI's global business and its communication with customers are achieved with a unified visual identity, simplicity of products and minimal promotion. The company's communication style reflects Japanese cultural values and how they shape the company, its communication with customers, branding and international communication. They mainly work within international and Japanese retail communities. They primarily speak in Japanese and English (Liu and Chutong, 2022).</w:t>
      </w:r>
    </w:p>
    <w:p w14:paraId="6ADF0C9A" w14:textId="77777777" w:rsidR="00C34D7D" w:rsidRPr="00425000" w:rsidRDefault="00000000" w:rsidP="00A119A7">
      <w:pPr>
        <w:pStyle w:val="Heading1"/>
        <w:spacing w:before="240" w:after="240"/>
      </w:pPr>
      <w:bookmarkStart w:id="4" w:name="_r5lif2hp3kn4" w:colFirst="0" w:colLast="0"/>
      <w:bookmarkEnd w:id="4"/>
      <w:r w:rsidRPr="00425000">
        <w:lastRenderedPageBreak/>
        <w:t>Japan culture overview</w:t>
      </w:r>
    </w:p>
    <w:p w14:paraId="09F353D4"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Japanese corporate culture is highly valued for harmony, respect, hierarchy, group responsibility and long-term relationships. When employees disagree in the workplace, they may think about how others may feel and what they think before speaking their minds. Personal communication and decision-making styles may be affected by seniority and organisational position. Punctuality, politeness, trust and consensus are also important for Japanese businesses. Silence, facial expressions and understanding in context can thus be very meaningful. Cultural awareness is essential to international managers who manage Japanese staff and Japanese partners, as indirect communication that is indirect may actually be a sign of respect. In Japan, people work within collaborative communities, where Japanese is their main language (E-housing, 2025).</w:t>
      </w:r>
    </w:p>
    <w:p w14:paraId="56E3A470" w14:textId="77777777" w:rsidR="00C34D7D" w:rsidRPr="00425000" w:rsidRDefault="00000000" w:rsidP="00A119A7">
      <w:pPr>
        <w:pStyle w:val="Heading1"/>
        <w:spacing w:before="240" w:after="240"/>
      </w:pPr>
      <w:bookmarkStart w:id="5" w:name="_uvzfj0f33iyy" w:colFirst="0" w:colLast="0"/>
      <w:bookmarkEnd w:id="5"/>
      <w:r w:rsidRPr="00425000">
        <w:t xml:space="preserve">Discussing the theories related to cultural dimensions </w:t>
      </w:r>
    </w:p>
    <w:p w14:paraId="76282DE8" w14:textId="77777777" w:rsidR="00C34D7D" w:rsidRPr="00425000" w:rsidRDefault="00000000" w:rsidP="00A119A7">
      <w:pPr>
        <w:pStyle w:val="Heading2"/>
        <w:spacing w:before="240" w:after="240"/>
      </w:pPr>
      <w:bookmarkStart w:id="6" w:name="_roebqfxb40a3" w:colFirst="0" w:colLast="0"/>
      <w:bookmarkEnd w:id="6"/>
      <w:r w:rsidRPr="00425000">
        <w:t>High-context and low-context communication theory</w:t>
      </w:r>
    </w:p>
    <w:p w14:paraId="7E761995"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Edward T. Hall's theory of high-context and low-context communication is an explanation of how cultures communicate information. In high-context culture countries (HCC), like Japan, these shared understandings are significant, as are relationships, social context, and non-verbal cues. Constructed messages may be indirect since the reader is expected to understand the meaning from context. In low-context cultures, like the United States and Germany, information is typically conveyed more directly and explicitly through words, both spoken and written (Katarina, 2026). </w:t>
      </w:r>
    </w:p>
    <w:p w14:paraId="13C07686" w14:textId="77777777" w:rsidR="00C34D7D" w:rsidRPr="00425000" w:rsidRDefault="00000000" w:rsidP="00A119A7">
      <w:pPr>
        <w:spacing w:before="240" w:after="240" w:line="360" w:lineRule="auto"/>
        <w:jc w:val="center"/>
        <w:rPr>
          <w:rFonts w:ascii="Times New Roman" w:eastAsia="Times New Roman" w:hAnsi="Times New Roman" w:cs="Times New Roman"/>
          <w:sz w:val="24"/>
          <w:szCs w:val="24"/>
        </w:rPr>
      </w:pPr>
      <w:r w:rsidRPr="00425000">
        <w:rPr>
          <w:rFonts w:ascii="Times New Roman" w:eastAsia="Times New Roman" w:hAnsi="Times New Roman" w:cs="Times New Roman"/>
          <w:noProof/>
          <w:sz w:val="24"/>
          <w:szCs w:val="24"/>
        </w:rPr>
        <w:lastRenderedPageBreak/>
        <w:drawing>
          <wp:inline distT="114300" distB="114300" distL="114300" distR="114300" wp14:anchorId="4FC7E435" wp14:editId="428AA097">
            <wp:extent cx="3431181" cy="2881313"/>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431181" cy="2881313"/>
                    </a:xfrm>
                    <a:prstGeom prst="rect">
                      <a:avLst/>
                    </a:prstGeom>
                    <a:ln w="12700">
                      <a:solidFill>
                        <a:srgbClr val="000000"/>
                      </a:solidFill>
                      <a:prstDash val="solid"/>
                    </a:ln>
                  </pic:spPr>
                </pic:pic>
              </a:graphicData>
            </a:graphic>
          </wp:inline>
        </w:drawing>
      </w:r>
    </w:p>
    <w:p w14:paraId="598F9CDD" w14:textId="77777777" w:rsidR="00C34D7D" w:rsidRPr="00425000" w:rsidRDefault="00000000" w:rsidP="00A119A7">
      <w:pPr>
        <w:spacing w:before="240" w:after="240" w:line="360" w:lineRule="auto"/>
        <w:jc w:val="center"/>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Figure: </w:t>
      </w:r>
      <w:r w:rsidRPr="00425000">
        <w:rPr>
          <w:rFonts w:ascii="Times New Roman" w:eastAsia="Times New Roman" w:hAnsi="Times New Roman" w:cs="Times New Roman"/>
          <w:b/>
          <w:bCs/>
          <w:sz w:val="24"/>
          <w:szCs w:val="24"/>
        </w:rPr>
        <w:t>High-context and low-context communication theory</w:t>
      </w:r>
    </w:p>
    <w:p w14:paraId="7581AE3D" w14:textId="1E99D5A3" w:rsidR="00C34D7D" w:rsidRPr="00425000" w:rsidRDefault="00000000" w:rsidP="00A119A7">
      <w:pPr>
        <w:spacing w:before="240" w:after="240" w:line="360" w:lineRule="auto"/>
        <w:jc w:val="center"/>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(Source: David </w:t>
      </w:r>
      <w:r w:rsidRPr="00425000">
        <w:rPr>
          <w:rFonts w:ascii="Times New Roman" w:eastAsia="Times New Roman" w:hAnsi="Times New Roman" w:cs="Times New Roman"/>
          <w:i/>
          <w:iCs/>
          <w:sz w:val="24"/>
          <w:szCs w:val="24"/>
        </w:rPr>
        <w:t>e</w:t>
      </w:r>
      <w:r w:rsidR="00425000">
        <w:rPr>
          <w:rFonts w:ascii="Times New Roman" w:eastAsia="Times New Roman" w:hAnsi="Times New Roman" w:cs="Times New Roman"/>
          <w:i/>
          <w:iCs/>
          <w:sz w:val="24"/>
          <w:szCs w:val="24"/>
        </w:rPr>
        <w:t>t</w:t>
      </w:r>
      <w:r w:rsidRPr="00425000">
        <w:rPr>
          <w:rFonts w:ascii="Times New Roman" w:eastAsia="Times New Roman" w:hAnsi="Times New Roman" w:cs="Times New Roman"/>
          <w:i/>
          <w:iCs/>
          <w:sz w:val="24"/>
          <w:szCs w:val="24"/>
        </w:rPr>
        <w:t xml:space="preserve"> al. </w:t>
      </w:r>
      <w:r w:rsidRPr="00425000">
        <w:rPr>
          <w:rFonts w:ascii="Times New Roman" w:eastAsia="Times New Roman" w:hAnsi="Times New Roman" w:cs="Times New Roman"/>
          <w:sz w:val="24"/>
          <w:szCs w:val="24"/>
        </w:rPr>
        <w:t>2016)</w:t>
      </w:r>
    </w:p>
    <w:p w14:paraId="0B063FD7"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 xml:space="preserve">Critics argue that the theory helps understand general communication variations across cultures; it can categorise cultures rather simply and lump individuals within countries into specific groups. People, groups, age and circumstances are different. Some of the traditional differences have also been diminished due to globalisation and multicultural workplaces (Sheposh, 2025). </w:t>
      </w:r>
    </w:p>
    <w:p w14:paraId="09CBE151" w14:textId="77777777" w:rsidR="00C34D7D" w:rsidRPr="00425000" w:rsidRDefault="00000000" w:rsidP="00A119A7">
      <w:pPr>
        <w:pStyle w:val="Heading2"/>
        <w:spacing w:before="240" w:after="240"/>
      </w:pPr>
      <w:bookmarkStart w:id="7" w:name="_jm0k6xuaq98m" w:colFirst="0" w:colLast="0"/>
      <w:bookmarkEnd w:id="7"/>
      <w:r w:rsidRPr="00425000">
        <w:t>Application of High-context and low-context communication theory</w:t>
      </w:r>
    </w:p>
    <w:p w14:paraId="6D8F9B78"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Recognising Communication Differences</w:t>
      </w:r>
    </w:p>
    <w:p w14:paraId="394C2987"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John Lewis, a British retailer, generally operates in a relatively low-context communication environment, where employees are expected to communicate information clearly and directly. In contrast, Japan is considered a high-context communication culture, where meaning is often communicated indirectly through relationships, social position, tone, silence and non-verbal behaviour. This difference could create challenges when John Lewis collaborates with Muji. British managers may expect Japanese employees to express disagreement or problems openly, while Japanese employees may avoid direct refusal to maintain harmony. John Lewis could misunderstand silence or indirect responses (Mehra, 2025). </w:t>
      </w:r>
    </w:p>
    <w:p w14:paraId="39E1FF47"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lastRenderedPageBreak/>
        <w:t>Managing Communication and Cultural Barriers</w:t>
      </w:r>
    </w:p>
    <w:p w14:paraId="2E0B1B77"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Adapting communication practices to reduce misunderstandings between John Lewis and Muji is also crucial. John Lewis managers should avoid assuming that direct communication is always the most effective approach in Japan. Japanese partners may place greater importance on trust, long-term relationships, hierarchy and group harmony before discussing sensitive business issues. Japanese managers may communicate disagreement indirectly rather than saying no directly. John Lewis could therefore use relationship-building meetings, careful listening, formal communication and culturally appropriate language. At the same time, Muji representatives may need to understand John Lewis’s preference for clearer explanations and direct decision-making (Smith, 2024).</w:t>
      </w:r>
    </w:p>
    <w:p w14:paraId="7B296172"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Integrating Communication Styles</w:t>
      </w:r>
    </w:p>
    <w:p w14:paraId="7D8C3B9C" w14:textId="77777777" w:rsidR="00C34D7D" w:rsidRPr="00425000" w:rsidRDefault="00000000" w:rsidP="00A119A7">
      <w:pPr>
        <w:spacing w:before="240" w:after="240" w:line="360" w:lineRule="auto"/>
        <w:jc w:val="both"/>
      </w:pPr>
      <w:r w:rsidRPr="00425000">
        <w:rPr>
          <w:rFonts w:ascii="Times New Roman" w:eastAsia="Times New Roman" w:hAnsi="Times New Roman" w:cs="Times New Roman"/>
          <w:sz w:val="24"/>
          <w:szCs w:val="24"/>
        </w:rPr>
        <w:t xml:space="preserve">Developing a shared communication approach between John Lewis and Muji is essential. Instead of completely adopting either the British low-context or Japanese high-context style, both organisations can combine their strengths. John Lewis can provide clear written objectives, responsibilities, deadlines and performance expectations, while allowing Japanese colleagues sufficient time to build consensus and relationships. Managers should also pay attention to non-verbal signals, silence and indirect feedback during meetings. Cross-cultural training can help employees understand these differences and prevent communication from being interpreted incorrectly (The European, 2026). </w:t>
      </w:r>
    </w:p>
    <w:p w14:paraId="07D7D0C7" w14:textId="77777777" w:rsidR="00C34D7D" w:rsidRPr="00425000" w:rsidRDefault="00000000" w:rsidP="00A119A7">
      <w:pPr>
        <w:pStyle w:val="Heading2"/>
        <w:spacing w:before="240" w:after="240"/>
      </w:pPr>
      <w:bookmarkStart w:id="8" w:name="_g8tuaxk30536" w:colFirst="0" w:colLast="0"/>
      <w:bookmarkEnd w:id="8"/>
      <w:r w:rsidRPr="00425000">
        <w:t xml:space="preserve">Hofstede’s Cultural Dimensions Theory </w:t>
      </w:r>
    </w:p>
    <w:p w14:paraId="7D711491"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Hofstede’s theory on cultural aspects is used to describe how national culture affects individuals’ value systems, behavior, and communication at work. The theory was developed by Geert Hofstede, and it consists of six basic cultural aspects, namely: power distance, individualism versus collectivism, masculinity versus femininity, uncertainty avoidance, long-term versus short-term orientation, and indulgence versus restraint. The six aspects allow organisations to be aware of differences in the cultural background of employees. There are cultures that embrace an authoritative management style while others embrace equality and participation of employees. The theory is important in international organisations where it allows managers to improve </w:t>
      </w:r>
      <w:r w:rsidRPr="00425000">
        <w:rPr>
          <w:rFonts w:ascii="Times New Roman" w:eastAsia="Times New Roman" w:hAnsi="Times New Roman" w:cs="Times New Roman"/>
          <w:sz w:val="24"/>
          <w:szCs w:val="24"/>
        </w:rPr>
        <w:lastRenderedPageBreak/>
        <w:t xml:space="preserve">communication and decision-making among other organisational processes (Greene and Jim, 2021). </w:t>
      </w:r>
    </w:p>
    <w:p w14:paraId="762EFA4E"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The Hofstede culture theory has been criticised for being overly simplistic in its view of national cultures by assuming uniformity among individuals and not recognising any regional differences. It was based on the experiences of IBM employees, which limited its application to a wider context. The theory overlooks the fact that cultures evolve (Minkov and Kaasa, 2021).</w:t>
      </w:r>
    </w:p>
    <w:p w14:paraId="03457774" w14:textId="77777777" w:rsidR="00C34D7D" w:rsidRPr="00425000" w:rsidRDefault="00000000" w:rsidP="00A119A7">
      <w:pPr>
        <w:spacing w:before="240" w:after="240" w:line="360" w:lineRule="auto"/>
        <w:jc w:val="center"/>
        <w:rPr>
          <w:rFonts w:ascii="Times New Roman" w:eastAsia="Times New Roman" w:hAnsi="Times New Roman" w:cs="Times New Roman"/>
          <w:sz w:val="24"/>
          <w:szCs w:val="24"/>
        </w:rPr>
      </w:pPr>
      <w:r w:rsidRPr="00425000">
        <w:rPr>
          <w:rFonts w:ascii="Times New Roman" w:eastAsia="Times New Roman" w:hAnsi="Times New Roman" w:cs="Times New Roman"/>
          <w:noProof/>
          <w:sz w:val="24"/>
          <w:szCs w:val="24"/>
        </w:rPr>
        <w:drawing>
          <wp:inline distT="114300" distB="114300" distL="114300" distR="114300" wp14:anchorId="5B3FAACE" wp14:editId="34887488">
            <wp:extent cx="3776663" cy="1809651"/>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776663" cy="1809651"/>
                    </a:xfrm>
                    <a:prstGeom prst="rect">
                      <a:avLst/>
                    </a:prstGeom>
                    <a:ln w="12700">
                      <a:solidFill>
                        <a:srgbClr val="000000"/>
                      </a:solidFill>
                      <a:prstDash val="solid"/>
                    </a:ln>
                  </pic:spPr>
                </pic:pic>
              </a:graphicData>
            </a:graphic>
          </wp:inline>
        </w:drawing>
      </w:r>
    </w:p>
    <w:p w14:paraId="1B044D06" w14:textId="77777777" w:rsidR="00C34D7D" w:rsidRPr="00425000" w:rsidRDefault="00000000" w:rsidP="00A119A7">
      <w:pPr>
        <w:spacing w:before="240" w:after="240" w:line="360" w:lineRule="auto"/>
        <w:jc w:val="center"/>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Figure: Hofstede’s Cultural Dimensions Theory</w:t>
      </w:r>
    </w:p>
    <w:p w14:paraId="0F0B9549" w14:textId="77777777" w:rsidR="00C34D7D" w:rsidRPr="00425000" w:rsidRDefault="00000000" w:rsidP="00A119A7">
      <w:pPr>
        <w:spacing w:before="240" w:after="240" w:line="360" w:lineRule="auto"/>
        <w:jc w:val="center"/>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 xml:space="preserve">(Source: Nickerson, 2025). </w:t>
      </w:r>
    </w:p>
    <w:p w14:paraId="4A6ABB2E" w14:textId="77777777" w:rsidR="00C34D7D" w:rsidRPr="00425000" w:rsidRDefault="00000000" w:rsidP="00A119A7">
      <w:pPr>
        <w:pStyle w:val="Heading2"/>
        <w:spacing w:before="240" w:after="240"/>
      </w:pPr>
      <w:bookmarkStart w:id="9" w:name="_3hzi6nqrnkja" w:colFirst="0" w:colLast="0"/>
      <w:bookmarkEnd w:id="9"/>
      <w:r w:rsidRPr="00425000">
        <w:t>Application of Hofstede’s Cultural Dimensions Theory</w:t>
      </w:r>
    </w:p>
    <w:p w14:paraId="7B9BAD3F"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Power Distance Index</w:t>
      </w:r>
    </w:p>
    <w:p w14:paraId="1E524C6A"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In the context, the UK’s PDI score is around 35, which highlights a low dimension rate, where the society believes that inequalities should be reduced and the communication within the employees must get stronger (Gierusz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2022). However, Japan scores 54, which highlights that Japan is always conscious about its hierarchical position and acts accordingly (Obara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2021).</w:t>
      </w:r>
    </w:p>
    <w:p w14:paraId="564A422B"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Individualism vs Collectivism</w:t>
      </w:r>
    </w:p>
    <w:p w14:paraId="79D94648"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In this section, the UK scores 76, which highlights that the country is actually an individualistic society. The society is highly individualistic and private, which is also taught to their children, that resulted in direct and clear-cut communication (Chen-Xia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2023). On the other hand, Japan </w:t>
      </w:r>
      <w:r w:rsidRPr="00425000">
        <w:rPr>
          <w:rFonts w:ascii="Times New Roman" w:eastAsia="Times New Roman" w:hAnsi="Times New Roman" w:cs="Times New Roman"/>
          <w:sz w:val="24"/>
          <w:szCs w:val="24"/>
        </w:rPr>
        <w:lastRenderedPageBreak/>
        <w:t xml:space="preserve">scores 62, reflecting an individualistic society, but they are different from the Western kind (Miyanaga, 2024). </w:t>
      </w:r>
    </w:p>
    <w:p w14:paraId="1F6A301E"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Masculinity vs Femininity</w:t>
      </w:r>
    </w:p>
    <w:p w14:paraId="47C4C165"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In this aspect, the UK scores 66, which reflects a culture of high orientation, which is decisive in behavioural terms, success-oriented, and driven (Wood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2022). However, Japan highlights the score of 95, which reflects the most achievement-oriented culture around the globe, along with being decisive in behavioural terms (Salenius, 2023).</w:t>
      </w:r>
    </w:p>
    <w:p w14:paraId="623C1901" w14:textId="77777777" w:rsidR="00C34D7D" w:rsidRPr="00425000" w:rsidRDefault="00000000" w:rsidP="00A119A7">
      <w:pPr>
        <w:spacing w:before="240" w:after="240" w:line="360" w:lineRule="auto"/>
        <w:jc w:val="center"/>
        <w:rPr>
          <w:rFonts w:ascii="Times New Roman" w:eastAsia="Times New Roman" w:hAnsi="Times New Roman" w:cs="Times New Roman"/>
          <w:b/>
          <w:bCs/>
          <w:sz w:val="24"/>
          <w:szCs w:val="24"/>
        </w:rPr>
      </w:pPr>
      <w:r w:rsidRPr="00425000">
        <w:rPr>
          <w:rFonts w:ascii="Times New Roman" w:eastAsia="Times New Roman" w:hAnsi="Times New Roman" w:cs="Times New Roman"/>
          <w:b/>
          <w:bCs/>
          <w:noProof/>
          <w:sz w:val="24"/>
          <w:szCs w:val="24"/>
        </w:rPr>
        <w:drawing>
          <wp:inline distT="114300" distB="114300" distL="114300" distR="114300" wp14:anchorId="71EB5B1F" wp14:editId="6D13ACAB">
            <wp:extent cx="4548188" cy="2507334"/>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48188" cy="2507334"/>
                    </a:xfrm>
                    <a:prstGeom prst="rect">
                      <a:avLst/>
                    </a:prstGeom>
                    <a:ln w="12700">
                      <a:solidFill>
                        <a:srgbClr val="000000"/>
                      </a:solidFill>
                      <a:prstDash val="solid"/>
                    </a:ln>
                  </pic:spPr>
                </pic:pic>
              </a:graphicData>
            </a:graphic>
          </wp:inline>
        </w:drawing>
      </w:r>
    </w:p>
    <w:p w14:paraId="369828FC" w14:textId="77777777" w:rsidR="00C34D7D" w:rsidRPr="00425000" w:rsidRDefault="00000000" w:rsidP="00A119A7">
      <w:pPr>
        <w:spacing w:before="240" w:after="240" w:line="360" w:lineRule="auto"/>
        <w:jc w:val="center"/>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Figure: Hofstede’s Cultural Dimensions of the UK and Japan</w:t>
      </w:r>
    </w:p>
    <w:p w14:paraId="06691B6D" w14:textId="77777777" w:rsidR="00C34D7D" w:rsidRPr="00425000" w:rsidRDefault="00000000" w:rsidP="00A119A7">
      <w:pPr>
        <w:spacing w:before="240" w:after="240" w:line="360" w:lineRule="auto"/>
        <w:jc w:val="center"/>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(Source: Theculturefactor, 2026).</w:t>
      </w:r>
    </w:p>
    <w:p w14:paraId="094DC9D7"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Uncertainty Avoidance Index</w:t>
      </w:r>
    </w:p>
    <w:p w14:paraId="0844FB26"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The UK has a low Uncertainty Avoidance Index rating of 35. Therefore, the culture of Britain is used to uncertainty and flexibility of rules (De Beckker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2020). However, Japan has a high Uncertainty Avoidance Index rating of 92. This is an indication that the culture of Japan likes certainty and planning (Yi, 2021).</w:t>
      </w:r>
    </w:p>
    <w:p w14:paraId="5963A391" w14:textId="77777777" w:rsidR="00C34D7D" w:rsidRPr="00425000" w:rsidRDefault="00000000" w:rsidP="00A119A7">
      <w:pPr>
        <w:shd w:val="clear" w:color="auto" w:fill="FFFFFF"/>
        <w:spacing w:before="240" w:after="240" w:line="360" w:lineRule="auto"/>
        <w:jc w:val="both"/>
        <w:rPr>
          <w:rFonts w:ascii="Times New Roman" w:eastAsia="Times New Roman" w:hAnsi="Times New Roman" w:cs="Times New Roman"/>
          <w:b/>
          <w:bCs/>
          <w:color w:val="282828"/>
          <w:sz w:val="24"/>
          <w:szCs w:val="24"/>
        </w:rPr>
      </w:pPr>
      <w:r w:rsidRPr="00425000">
        <w:rPr>
          <w:rFonts w:ascii="Times New Roman" w:eastAsia="Times New Roman" w:hAnsi="Times New Roman" w:cs="Times New Roman"/>
          <w:b/>
          <w:bCs/>
          <w:sz w:val="24"/>
          <w:szCs w:val="24"/>
        </w:rPr>
        <w:t xml:space="preserve">Long-Term Orientation vs </w:t>
      </w:r>
      <w:r w:rsidRPr="00425000">
        <w:rPr>
          <w:rFonts w:ascii="Times New Roman" w:eastAsia="Times New Roman" w:hAnsi="Times New Roman" w:cs="Times New Roman"/>
          <w:b/>
          <w:bCs/>
          <w:color w:val="282828"/>
          <w:sz w:val="24"/>
          <w:szCs w:val="24"/>
        </w:rPr>
        <w:t>Short-Term Orientation</w:t>
      </w:r>
    </w:p>
    <w:p w14:paraId="5E86C572" w14:textId="77777777" w:rsidR="00C34D7D" w:rsidRPr="00425000" w:rsidRDefault="00000000" w:rsidP="00A119A7">
      <w:pPr>
        <w:shd w:val="clear" w:color="auto" w:fill="FFFFFF"/>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lastRenderedPageBreak/>
        <w:t xml:space="preserve">The UK gets 60 for Long-Term Orientation, reflecting an approach that is equally future-oriented and traditional, so that they can enhance their communication as well. Both forward-looking and tradition-based planning are important here (Gerlich, 2023). Japan gets 100 for Long-Term Orientation, indicating its future orientation. Perseverance, savings, investments, and forward-looking plans to achieve goals are important here (Anyangwe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2022).</w:t>
      </w:r>
    </w:p>
    <w:p w14:paraId="73518319" w14:textId="77777777" w:rsidR="00C34D7D" w:rsidRPr="00425000" w:rsidRDefault="00000000" w:rsidP="00A119A7">
      <w:pPr>
        <w:shd w:val="clear" w:color="auto" w:fill="FFFFFF"/>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b/>
          <w:bCs/>
          <w:sz w:val="24"/>
          <w:szCs w:val="24"/>
        </w:rPr>
        <w:t xml:space="preserve">Indulgence vs restraint </w:t>
      </w:r>
    </w:p>
    <w:p w14:paraId="191F4A60" w14:textId="77777777" w:rsidR="00C34D7D" w:rsidRPr="00425000" w:rsidRDefault="00000000" w:rsidP="00A119A7">
      <w:pPr>
        <w:shd w:val="clear" w:color="auto" w:fill="FFFFFF"/>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 xml:space="preserve">The United Kingdom ranks at 69 for Indulgence, which signifies an indulgent society that appreciates pleasure, leisure, independence, and self-satisfaction. People usually hold a positive view about spending and living (Riefler </w:t>
      </w:r>
      <w:r w:rsidRPr="00425000">
        <w:rPr>
          <w:rFonts w:ascii="Times New Roman" w:eastAsia="Times New Roman" w:hAnsi="Times New Roman" w:cs="Times New Roman"/>
          <w:i/>
          <w:iCs/>
          <w:sz w:val="24"/>
          <w:szCs w:val="24"/>
        </w:rPr>
        <w:t>et al.</w:t>
      </w:r>
      <w:r w:rsidRPr="00425000">
        <w:rPr>
          <w:rFonts w:ascii="Times New Roman" w:eastAsia="Times New Roman" w:hAnsi="Times New Roman" w:cs="Times New Roman"/>
          <w:sz w:val="24"/>
          <w:szCs w:val="24"/>
        </w:rPr>
        <w:t xml:space="preserve"> 2024). Moreover, Japan ranks 42nd for Indulgence, which denotes a restrained society where people usually curb their desires and follow social norms (Calder, 2021).</w:t>
      </w:r>
    </w:p>
    <w:p w14:paraId="6074F4C1" w14:textId="77777777" w:rsidR="00C34D7D" w:rsidRPr="00425000" w:rsidRDefault="00000000" w:rsidP="00A119A7">
      <w:pPr>
        <w:pStyle w:val="Heading1"/>
        <w:spacing w:before="240" w:after="240"/>
      </w:pPr>
      <w:bookmarkStart w:id="10" w:name="_6et20a3vv9ly" w:colFirst="0" w:colLast="0"/>
      <w:bookmarkEnd w:id="10"/>
      <w:r w:rsidRPr="00425000">
        <w:t xml:space="preserve">Impact of cultural challenges </w:t>
      </w:r>
    </w:p>
    <w:p w14:paraId="01DE6C94" w14:textId="77777777" w:rsidR="00C34D7D" w:rsidRPr="00425000" w:rsidRDefault="00000000" w:rsidP="00A119A7">
      <w:pPr>
        <w:pStyle w:val="Heading2"/>
        <w:spacing w:before="240" w:after="240"/>
      </w:pPr>
      <w:bookmarkStart w:id="11" w:name="_6dtc98z9krzu" w:colFirst="0" w:colLast="0"/>
      <w:bookmarkEnd w:id="11"/>
      <w:r w:rsidRPr="00425000">
        <w:t>Communication Differences</w:t>
      </w:r>
    </w:p>
    <w:p w14:paraId="4CF822C9"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Differences in communication may become a serious cultural problem for John Lewis in establishing itself in Japan. The communication pattern in the United Kingdom is more direct, whereas in Japan, communication is indirect, polite, and harmonious. These differences may create problems in conducting meetings, negotiations, and dealing with customers. According to the Hofstede scale, the score of individualism in the UK is 76, in comparison with 62 in Japan, and uncertainty avoidance is 35 in the UK and 92 in Japan. Thus, John Lewis should adapt its communication and hire Japanese locals for communication with customers (Oyama, 2025).</w:t>
      </w:r>
    </w:p>
    <w:p w14:paraId="665B5BA0" w14:textId="77777777" w:rsidR="00C34D7D" w:rsidRPr="00425000" w:rsidRDefault="00000000" w:rsidP="00A119A7">
      <w:pPr>
        <w:pStyle w:val="Heading2"/>
        <w:spacing w:before="240" w:after="240"/>
      </w:pPr>
      <w:bookmarkStart w:id="12" w:name="_mfh5nlnv2hkj" w:colFirst="0" w:colLast="0"/>
      <w:bookmarkEnd w:id="12"/>
      <w:r w:rsidRPr="00425000">
        <w:t>Decision-Making</w:t>
      </w:r>
    </w:p>
    <w:p w14:paraId="59D6FB77"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The decision-making process can present one of the cultural difficulties for John Lewis while expanding to Japan. British organisations normally have a faster and more individual way of making decisions, whereas Japanese organisations usually concentrate on consensus-building and agreement. The “nemawashi” method used in Japan includes discussion of decisions with influential individuals prior to their official endorsement, and this makes the decision-making process slow. In such a way, John Lewis can face problems in market entry and making other </w:t>
      </w:r>
      <w:r w:rsidRPr="00425000">
        <w:rPr>
          <w:rFonts w:ascii="Times New Roman" w:eastAsia="Times New Roman" w:hAnsi="Times New Roman" w:cs="Times New Roman"/>
          <w:sz w:val="24"/>
          <w:szCs w:val="24"/>
        </w:rPr>
        <w:lastRenderedPageBreak/>
        <w:t>decisions. Studies show that the consensus-oriented decision-making process in Japan can slow down organisational performance (J2gglobal, 2026).</w:t>
      </w:r>
    </w:p>
    <w:p w14:paraId="2779E51D" w14:textId="77777777" w:rsidR="00C34D7D" w:rsidRPr="00425000" w:rsidRDefault="00000000" w:rsidP="00A119A7">
      <w:pPr>
        <w:pStyle w:val="Heading2"/>
        <w:spacing w:before="240" w:after="240"/>
      </w:pPr>
      <w:bookmarkStart w:id="13" w:name="_jio5kpu51g4q" w:colFirst="0" w:colLast="0"/>
      <w:bookmarkEnd w:id="13"/>
      <w:r w:rsidRPr="00425000">
        <w:t>Risk Avoidance</w:t>
      </w:r>
    </w:p>
    <w:p w14:paraId="0A575E0F"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However, the avoidance of risks may pose a cultural dilemma for John Lewis as it expands into Japan due to the fact that the Japanese business culture places greater emphasis on the need for certainty than the UK does. The Uncertainty Avoidance dimension, which is measured by Hofstede, is scored at 92 for Japan, but the score for the UK is only 35, and therefore there is a gap of 57 between the two countries. Consequently, the Japanese will expect detailed planning and evidence for any new ideas introduced (Zyl, 2024).</w:t>
      </w:r>
    </w:p>
    <w:p w14:paraId="54C014BA" w14:textId="77777777" w:rsidR="00C34D7D" w:rsidRPr="00425000" w:rsidRDefault="00000000" w:rsidP="00A119A7">
      <w:pPr>
        <w:pStyle w:val="Heading1"/>
        <w:spacing w:before="240" w:after="240"/>
      </w:pPr>
      <w:bookmarkStart w:id="14" w:name="_jjmzafrx4l0c" w:colFirst="0" w:colLast="0"/>
      <w:bookmarkEnd w:id="14"/>
      <w:r w:rsidRPr="00425000">
        <w:t>Solutions</w:t>
      </w:r>
    </w:p>
    <w:p w14:paraId="67E81502" w14:textId="77777777" w:rsidR="00C34D7D" w:rsidRPr="00425000" w:rsidRDefault="00000000" w:rsidP="00A119A7">
      <w:pPr>
        <w:pStyle w:val="Heading2"/>
        <w:spacing w:before="240" w:after="240"/>
      </w:pPr>
      <w:bookmarkStart w:id="15" w:name="_bf8wu5nxoyin" w:colFirst="0" w:colLast="0"/>
      <w:bookmarkEnd w:id="15"/>
      <w:r w:rsidRPr="00425000">
        <w:t xml:space="preserve">Solution regarding communication differences </w:t>
      </w:r>
    </w:p>
    <w:p w14:paraId="4D7AEE14"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John Lewis could adopt a culturally sensitive communication strategy when collaborating in Japan. Managers should be given cross-cultural communication training to understand the indirectness, politeness and harmony of the Japanese culture. This can also help with communication with local customers and business partners via Japanese employees and managers. Provide enough time for discussion, do not be overly critical, and provide for social interaction. This can minimise misinterpretation and can help to increase the trust between John Lewis and Japanese stakeholders (Globalbusinessculture, 2026).</w:t>
      </w:r>
    </w:p>
    <w:p w14:paraId="000C54E1" w14:textId="77777777" w:rsidR="00C34D7D" w:rsidRPr="00425000" w:rsidRDefault="00000000" w:rsidP="00A119A7">
      <w:pPr>
        <w:pStyle w:val="Heading2"/>
        <w:spacing w:before="240" w:after="240"/>
      </w:pPr>
      <w:bookmarkStart w:id="16" w:name="_238nyr17a4c5" w:colFirst="0" w:colLast="0"/>
      <w:bookmarkEnd w:id="16"/>
      <w:r w:rsidRPr="00425000">
        <w:t xml:space="preserve">Solution regarding decision-making </w:t>
      </w:r>
    </w:p>
    <w:p w14:paraId="7420E685" w14:textId="77777777" w:rsidR="00C34D7D" w:rsidRPr="00425000" w:rsidRDefault="00000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John Lewis's quicker decision-making process in Britain should be merged with the consensus culture in Japan. Japanese employees and/or partners should be left enough time to discuss Japanese proposals with British managers prior to a decision. A formal version of nemawashi can be helpful to raise issues and garner support without unnecessarily slowing the process. John Lewis might also secure definite decision-making deadlines and responsibilities. This equitable strategy can help keep Japanese stakeholders engaged while keeping vital business decisions on track and on time (Blake, 2026).</w:t>
      </w:r>
    </w:p>
    <w:p w14:paraId="2D3871A8" w14:textId="77777777" w:rsidR="00C34D7D" w:rsidRPr="00425000" w:rsidRDefault="00000000" w:rsidP="00A119A7">
      <w:pPr>
        <w:pStyle w:val="Heading2"/>
        <w:spacing w:before="240" w:after="240"/>
      </w:pPr>
      <w:bookmarkStart w:id="17" w:name="_dcey8fos1md4" w:colFirst="0" w:colLast="0"/>
      <w:bookmarkEnd w:id="17"/>
      <w:r w:rsidRPr="00425000">
        <w:lastRenderedPageBreak/>
        <w:t xml:space="preserve">Solution regarding risk avoidance </w:t>
      </w:r>
    </w:p>
    <w:p w14:paraId="696D0C86"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To minimise uncertainty for Japanese stakeholders, John Lewis must offer comprehensive evidence, market research and clear implementation plans prior to any introduction of new products or strategies. To test ideas on a small scale before they are implemented on a wider scale, pilot projects can be employed to reduce perceived risks. Another thing that the company should have in place is the standards of quality, contingency plans and performance indicators. The inclusion of Japanese managers in the risk assessment process can help build even more confidence and help make sure that any decisions on expanding are made (Luvina Software, 2025).</w:t>
      </w:r>
    </w:p>
    <w:p w14:paraId="1786705C" w14:textId="77777777" w:rsidR="00C34D7D" w:rsidRPr="00425000" w:rsidRDefault="00000000" w:rsidP="00A119A7">
      <w:pPr>
        <w:pStyle w:val="Heading1"/>
        <w:spacing w:before="240" w:after="240"/>
      </w:pPr>
      <w:bookmarkStart w:id="18" w:name="_tx3nh45paofs" w:colFirst="0" w:colLast="0"/>
      <w:bookmarkEnd w:id="18"/>
      <w:r w:rsidRPr="00425000">
        <w:t>Conclusion</w:t>
      </w:r>
    </w:p>
    <w:p w14:paraId="1B9140AE" w14:textId="77777777" w:rsidR="00C34D7D" w:rsidRPr="00425000" w:rsidRDefault="00000000" w:rsidP="00A119A7">
      <w:pPr>
        <w:spacing w:before="240" w:after="240" w:line="360" w:lineRule="auto"/>
        <w:jc w:val="both"/>
        <w:rPr>
          <w:rFonts w:ascii="Times New Roman" w:eastAsia="Times New Roman" w:hAnsi="Times New Roman" w:cs="Times New Roman"/>
          <w:b/>
          <w:bCs/>
          <w:sz w:val="24"/>
          <w:szCs w:val="24"/>
        </w:rPr>
      </w:pPr>
      <w:r w:rsidRPr="00425000">
        <w:rPr>
          <w:rFonts w:ascii="Times New Roman" w:eastAsia="Times New Roman" w:hAnsi="Times New Roman" w:cs="Times New Roman"/>
          <w:sz w:val="24"/>
          <w:szCs w:val="24"/>
        </w:rPr>
        <w:t>John Lewis’s expansion into Japan could be possible through collaborating with MUJI. There are various opportunities and also significant challenges for the organisation while expanding. The communicational and cultural barriers which might be created are analysed through High-context and low-context communication theory</w:t>
      </w:r>
      <w:r w:rsidRPr="00425000">
        <w:t xml:space="preserve"> and </w:t>
      </w:r>
      <w:r w:rsidRPr="00425000">
        <w:rPr>
          <w:rFonts w:ascii="Times New Roman" w:eastAsia="Times New Roman" w:hAnsi="Times New Roman" w:cs="Times New Roman"/>
          <w:sz w:val="24"/>
          <w:szCs w:val="24"/>
        </w:rPr>
        <w:t xml:space="preserve">Hofstede’s Cultural Dimensions Theory. Solutions to strengthen trust and reduce misunderstanding are also provided in the end.  </w:t>
      </w:r>
      <w:r w:rsidRPr="00425000">
        <w:br w:type="page"/>
      </w:r>
    </w:p>
    <w:p w14:paraId="2E6B2316" w14:textId="77777777" w:rsidR="00C34D7D" w:rsidRPr="00425000" w:rsidRDefault="00000000" w:rsidP="00A119A7">
      <w:pPr>
        <w:pStyle w:val="Heading1"/>
        <w:spacing w:before="240" w:after="240"/>
      </w:pPr>
      <w:bookmarkStart w:id="19" w:name="_4537tbcm2ly0" w:colFirst="0" w:colLast="0"/>
      <w:bookmarkEnd w:id="19"/>
      <w:r w:rsidRPr="00425000">
        <w:lastRenderedPageBreak/>
        <w:t>References</w:t>
      </w:r>
    </w:p>
    <w:p w14:paraId="15B2AC51"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Almeida, C.M. de (2025) </w:t>
      </w:r>
      <w:r w:rsidRPr="00425000">
        <w:rPr>
          <w:rFonts w:ascii="Times New Roman" w:eastAsia="Times New Roman" w:hAnsi="Times New Roman" w:cs="Times New Roman"/>
          <w:i/>
          <w:iCs/>
          <w:sz w:val="24"/>
          <w:szCs w:val="24"/>
        </w:rPr>
        <w:t>John Lewis: Courage, activism, and the pursuit of equality</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New Hampshire Center for Justice &amp; Equity</w:t>
      </w:r>
      <w:r w:rsidRPr="00425000">
        <w:rPr>
          <w:rFonts w:ascii="Times New Roman" w:eastAsia="Times New Roman" w:hAnsi="Times New Roman" w:cs="Times New Roman"/>
          <w:sz w:val="24"/>
          <w:szCs w:val="24"/>
        </w:rPr>
        <w:t>. Available at: https://nhcje.org/blog/john-lewis-courage-activism-and-the-pursuit-of-equality (Accessed: 10 August 2026).</w:t>
      </w:r>
    </w:p>
    <w:p w14:paraId="02895EE5"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proofErr w:type="spellStart"/>
      <w:r w:rsidRPr="00425000">
        <w:rPr>
          <w:rFonts w:ascii="Times New Roman" w:eastAsia="Times New Roman" w:hAnsi="Times New Roman" w:cs="Times New Roman"/>
          <w:sz w:val="24"/>
          <w:szCs w:val="24"/>
        </w:rPr>
        <w:t>Anyangwe</w:t>
      </w:r>
      <w:proofErr w:type="spellEnd"/>
      <w:r w:rsidRPr="00425000">
        <w:rPr>
          <w:rFonts w:ascii="Times New Roman" w:eastAsia="Times New Roman" w:hAnsi="Times New Roman" w:cs="Times New Roman"/>
          <w:sz w:val="24"/>
          <w:szCs w:val="24"/>
        </w:rPr>
        <w:t xml:space="preserve">, T., Vanroose, A. and Fanta, A., (2022). Determinants of financial inclusion: does culture </w:t>
      </w:r>
      <w:proofErr w:type="gramStart"/>
      <w:r w:rsidRPr="00425000">
        <w:rPr>
          <w:rFonts w:ascii="Times New Roman" w:eastAsia="Times New Roman" w:hAnsi="Times New Roman" w:cs="Times New Roman"/>
          <w:sz w:val="24"/>
          <w:szCs w:val="24"/>
        </w:rPr>
        <w:t>matter?.</w:t>
      </w:r>
      <w:proofErr w:type="gramEnd"/>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Cogent Economics &amp; Finance</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10</w:t>
      </w:r>
      <w:r w:rsidRPr="00425000">
        <w:rPr>
          <w:rFonts w:ascii="Times New Roman" w:eastAsia="Times New Roman" w:hAnsi="Times New Roman" w:cs="Times New Roman"/>
          <w:sz w:val="24"/>
          <w:szCs w:val="24"/>
        </w:rPr>
        <w:t xml:space="preserve">(1), p.2073656. Link: </w:t>
      </w:r>
      <w:hyperlink r:id="rId10">
        <w:r w:rsidRPr="00425000">
          <w:rPr>
            <w:rFonts w:ascii="Times New Roman" w:eastAsia="Times New Roman" w:hAnsi="Times New Roman" w:cs="Times New Roman"/>
            <w:color w:val="1155CC"/>
            <w:sz w:val="24"/>
            <w:szCs w:val="24"/>
            <w:u w:val="single"/>
          </w:rPr>
          <w:t>https://www.tandfonline.com/doi/full/10.1080/23322039.2022.2073656</w:t>
        </w:r>
      </w:hyperlink>
    </w:p>
    <w:p w14:paraId="6B0A24E5" w14:textId="6AC5EDD5"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Blake, C. (2026). </w:t>
      </w:r>
      <w:r w:rsidRPr="00425000">
        <w:rPr>
          <w:rFonts w:ascii="Times New Roman" w:eastAsia="Times New Roman" w:hAnsi="Times New Roman" w:cs="Times New Roman"/>
          <w:i/>
          <w:iCs/>
          <w:sz w:val="24"/>
          <w:szCs w:val="24"/>
        </w:rPr>
        <w:t>Understanding Japanese business culture</w:t>
      </w:r>
      <w:r w:rsidRPr="00425000">
        <w:rPr>
          <w:rFonts w:ascii="Times New Roman" w:eastAsia="Times New Roman" w:hAnsi="Times New Roman" w:cs="Times New Roman"/>
          <w:sz w:val="24"/>
          <w:szCs w:val="24"/>
        </w:rPr>
        <w:t xml:space="preserve">. [online] Christinablake.de. Available at: </w:t>
      </w:r>
      <w:r w:rsidR="00057199" w:rsidRPr="00425000">
        <w:rPr>
          <w:rFonts w:ascii="Times New Roman" w:eastAsia="Times New Roman" w:hAnsi="Times New Roman" w:cs="Times New Roman"/>
          <w:sz w:val="24"/>
          <w:szCs w:val="24"/>
        </w:rPr>
        <w:t>https://www.christinablake.de/en/blog/understanding-japanese-business-culture (</w:t>
      </w:r>
      <w:r w:rsidRPr="00425000">
        <w:rPr>
          <w:rFonts w:ascii="Times New Roman" w:eastAsia="Times New Roman" w:hAnsi="Times New Roman" w:cs="Times New Roman"/>
          <w:sz w:val="24"/>
          <w:szCs w:val="24"/>
        </w:rPr>
        <w:t>Accessed: 10 Aug. 2026).</w:t>
      </w:r>
    </w:p>
    <w:p w14:paraId="7F365DC0"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Calder, K.E., (2021). </w:t>
      </w:r>
      <w:r w:rsidRPr="00425000">
        <w:rPr>
          <w:rFonts w:ascii="Times New Roman" w:eastAsia="Times New Roman" w:hAnsi="Times New Roman" w:cs="Times New Roman"/>
          <w:i/>
          <w:iCs/>
          <w:sz w:val="24"/>
          <w:szCs w:val="24"/>
        </w:rPr>
        <w:t>Crisis and compensation: Public policy and political stability in Japan</w:t>
      </w:r>
      <w:r w:rsidRPr="00425000">
        <w:rPr>
          <w:rFonts w:ascii="Times New Roman" w:eastAsia="Times New Roman" w:hAnsi="Times New Roman" w:cs="Times New Roman"/>
          <w:sz w:val="24"/>
          <w:szCs w:val="24"/>
        </w:rPr>
        <w:t xml:space="preserve">. Princeton University Press. </w:t>
      </w:r>
    </w:p>
    <w:p w14:paraId="63B7898E"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Chen-Xia, X.J., Betancor, V., Rodríguez-Gómez, L. and Rodríguez-Pérez, A., (2023). Cultural variations in perceptions and reactions to social norm transgressions: a comparative study. </w:t>
      </w:r>
      <w:r w:rsidRPr="00425000">
        <w:rPr>
          <w:rFonts w:ascii="Times New Roman" w:eastAsia="Times New Roman" w:hAnsi="Times New Roman" w:cs="Times New Roman"/>
          <w:i/>
          <w:iCs/>
          <w:sz w:val="24"/>
          <w:szCs w:val="24"/>
        </w:rPr>
        <w:t>Frontiers in Psychology</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14</w:t>
      </w:r>
      <w:r w:rsidRPr="00425000">
        <w:rPr>
          <w:rFonts w:ascii="Times New Roman" w:eastAsia="Times New Roman" w:hAnsi="Times New Roman" w:cs="Times New Roman"/>
          <w:sz w:val="24"/>
          <w:szCs w:val="24"/>
        </w:rPr>
        <w:t xml:space="preserve">, p.1243955. Link: </w:t>
      </w:r>
      <w:hyperlink r:id="rId11">
        <w:r w:rsidRPr="00425000">
          <w:rPr>
            <w:rFonts w:ascii="Times New Roman" w:eastAsia="Times New Roman" w:hAnsi="Times New Roman" w:cs="Times New Roman"/>
            <w:color w:val="1155CC"/>
            <w:sz w:val="24"/>
            <w:szCs w:val="24"/>
            <w:u w:val="single"/>
          </w:rPr>
          <w:t>https://www.frontiersin.org/journals/psychology/articles/10.3389/fpsyg.2023.1243955/full</w:t>
        </w:r>
      </w:hyperlink>
    </w:p>
    <w:p w14:paraId="132501B4"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David, Maya &amp; </w:t>
      </w:r>
      <w:proofErr w:type="spellStart"/>
      <w:r w:rsidRPr="00425000">
        <w:rPr>
          <w:rFonts w:ascii="Times New Roman" w:eastAsia="Times New Roman" w:hAnsi="Times New Roman" w:cs="Times New Roman"/>
          <w:sz w:val="24"/>
          <w:szCs w:val="24"/>
        </w:rPr>
        <w:t>Dumanig</w:t>
      </w:r>
      <w:proofErr w:type="spellEnd"/>
      <w:r w:rsidRPr="00425000">
        <w:rPr>
          <w:rFonts w:ascii="Times New Roman" w:eastAsia="Times New Roman" w:hAnsi="Times New Roman" w:cs="Times New Roman"/>
          <w:sz w:val="24"/>
          <w:szCs w:val="24"/>
        </w:rPr>
        <w:t xml:space="preserve">, Francisco &amp; Kuang, Ching Hei &amp; Nomnian, Singhanat. (2016). SPECIAL ISSUE ARTICLES Cross-Cultural Encounters in Giving Compliments and Making Requests through Literary Texts: Pedagogical Ramifications. 10. 5-22. Link: </w:t>
      </w:r>
      <w:hyperlink r:id="rId12">
        <w:r w:rsidRPr="00425000">
          <w:rPr>
            <w:rFonts w:ascii="Times New Roman" w:eastAsia="Times New Roman" w:hAnsi="Times New Roman" w:cs="Times New Roman"/>
            <w:color w:val="1155CC"/>
            <w:sz w:val="24"/>
            <w:szCs w:val="24"/>
            <w:u w:val="single"/>
          </w:rPr>
          <w:t>https://www.researchgate.net/publication/322224075_SPECIAL_ISSUE_ARTICLES_Cross-Cultural_Encounters_in_Giving_Compliments_and_Making_Requests_through_Literary_Texts_Pedagogical_Ramifications</w:t>
        </w:r>
      </w:hyperlink>
      <w:r w:rsidRPr="00425000">
        <w:rPr>
          <w:rFonts w:ascii="Times New Roman" w:eastAsia="Times New Roman" w:hAnsi="Times New Roman" w:cs="Times New Roman"/>
          <w:sz w:val="24"/>
          <w:szCs w:val="24"/>
        </w:rPr>
        <w:t xml:space="preserve"> </w:t>
      </w:r>
    </w:p>
    <w:p w14:paraId="0DBF0633"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De Beckker, K., De Witte, K. and Van Campenhout, G., (2020). The role of national culture in financial literacy: Cross‐country evidence. </w:t>
      </w:r>
      <w:r w:rsidRPr="00425000">
        <w:rPr>
          <w:rFonts w:ascii="Times New Roman" w:eastAsia="Times New Roman" w:hAnsi="Times New Roman" w:cs="Times New Roman"/>
          <w:i/>
          <w:iCs/>
          <w:sz w:val="24"/>
          <w:szCs w:val="24"/>
        </w:rPr>
        <w:t>Journal of Consumer Affairs</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54</w:t>
      </w:r>
      <w:r w:rsidRPr="00425000">
        <w:rPr>
          <w:rFonts w:ascii="Times New Roman" w:eastAsia="Times New Roman" w:hAnsi="Times New Roman" w:cs="Times New Roman"/>
          <w:sz w:val="24"/>
          <w:szCs w:val="24"/>
        </w:rPr>
        <w:t xml:space="preserve">(3), pp.912-930. Link: </w:t>
      </w:r>
      <w:hyperlink r:id="rId13">
        <w:r w:rsidRPr="00425000">
          <w:rPr>
            <w:rFonts w:ascii="Times New Roman" w:eastAsia="Times New Roman" w:hAnsi="Times New Roman" w:cs="Times New Roman"/>
            <w:color w:val="1155CC"/>
            <w:sz w:val="24"/>
            <w:szCs w:val="24"/>
            <w:u w:val="single"/>
          </w:rPr>
          <w:t>https://onlinelibrary.wiley.com/doi/abs/10.1111/joca.12306</w:t>
        </w:r>
      </w:hyperlink>
    </w:p>
    <w:p w14:paraId="745D81A8" w14:textId="41BCA2AB"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lastRenderedPageBreak/>
        <w:t xml:space="preserve">E-housing (2025). </w:t>
      </w:r>
      <w:r w:rsidRPr="00425000">
        <w:rPr>
          <w:rFonts w:ascii="Times New Roman" w:eastAsia="Times New Roman" w:hAnsi="Times New Roman" w:cs="Times New Roman"/>
          <w:i/>
          <w:iCs/>
          <w:sz w:val="24"/>
          <w:szCs w:val="24"/>
        </w:rPr>
        <w:t>The truth about corporate life in Japan and how it’s changing | e-housing</w:t>
      </w:r>
      <w:r w:rsidRPr="00425000">
        <w:rPr>
          <w:rFonts w:ascii="Times New Roman" w:eastAsia="Times New Roman" w:hAnsi="Times New Roman" w:cs="Times New Roman"/>
          <w:sz w:val="24"/>
          <w:szCs w:val="24"/>
        </w:rPr>
        <w:t xml:space="preserve">. [online] </w:t>
      </w:r>
      <w:r w:rsidRPr="00425000">
        <w:rPr>
          <w:rFonts w:ascii="Times New Roman" w:eastAsia="Times New Roman" w:hAnsi="Times New Roman" w:cs="Times New Roman"/>
          <w:i/>
          <w:iCs/>
          <w:sz w:val="24"/>
          <w:szCs w:val="24"/>
        </w:rPr>
        <w:t>E-housing.jp</w:t>
      </w:r>
      <w:r w:rsidRPr="00425000">
        <w:rPr>
          <w:rFonts w:ascii="Times New Roman" w:eastAsia="Times New Roman" w:hAnsi="Times New Roman" w:cs="Times New Roman"/>
          <w:sz w:val="24"/>
          <w:szCs w:val="24"/>
        </w:rPr>
        <w:t xml:space="preserve">. Available at: </w:t>
      </w:r>
      <w:r w:rsidR="00057199" w:rsidRPr="00425000">
        <w:rPr>
          <w:rFonts w:ascii="Times New Roman" w:eastAsia="Times New Roman" w:hAnsi="Times New Roman" w:cs="Times New Roman"/>
          <w:sz w:val="24"/>
          <w:szCs w:val="24"/>
        </w:rPr>
        <w:t>https://e-housing.jp/post/the-truth-about-corporate-life-in-japan (</w:t>
      </w:r>
      <w:r w:rsidRPr="00425000">
        <w:rPr>
          <w:rFonts w:ascii="Times New Roman" w:eastAsia="Times New Roman" w:hAnsi="Times New Roman" w:cs="Times New Roman"/>
          <w:sz w:val="24"/>
          <w:szCs w:val="24"/>
        </w:rPr>
        <w:t>Accessed: 10 Aug. 2026).</w:t>
      </w:r>
    </w:p>
    <w:p w14:paraId="4243ED89"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Gerlich, M., (2023). How short-term orientation dominates Western businesses and the challenges they face—an example using Germany, the UK, and the USA. </w:t>
      </w:r>
      <w:r w:rsidRPr="00425000">
        <w:rPr>
          <w:rFonts w:ascii="Times New Roman" w:eastAsia="Times New Roman" w:hAnsi="Times New Roman" w:cs="Times New Roman"/>
          <w:i/>
          <w:iCs/>
          <w:sz w:val="24"/>
          <w:szCs w:val="24"/>
        </w:rPr>
        <w:t>Administrative Sciences</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13</w:t>
      </w:r>
      <w:r w:rsidRPr="00425000">
        <w:rPr>
          <w:rFonts w:ascii="Times New Roman" w:eastAsia="Times New Roman" w:hAnsi="Times New Roman" w:cs="Times New Roman"/>
          <w:sz w:val="24"/>
          <w:szCs w:val="24"/>
        </w:rPr>
        <w:t xml:space="preserve">(1), p.25. Link: </w:t>
      </w:r>
      <w:hyperlink r:id="rId14">
        <w:r w:rsidRPr="00425000">
          <w:rPr>
            <w:rFonts w:ascii="Times New Roman" w:eastAsia="Times New Roman" w:hAnsi="Times New Roman" w:cs="Times New Roman"/>
            <w:color w:val="1155CC"/>
            <w:sz w:val="24"/>
            <w:szCs w:val="24"/>
            <w:u w:val="single"/>
          </w:rPr>
          <w:t>https://www.mdpi.com/2076-3387/13/1/25</w:t>
        </w:r>
      </w:hyperlink>
    </w:p>
    <w:p w14:paraId="42FC8300"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proofErr w:type="spellStart"/>
      <w:r w:rsidRPr="00425000">
        <w:rPr>
          <w:rFonts w:ascii="Times New Roman" w:eastAsia="Times New Roman" w:hAnsi="Times New Roman" w:cs="Times New Roman"/>
          <w:sz w:val="24"/>
          <w:szCs w:val="24"/>
        </w:rPr>
        <w:t>Gierusz</w:t>
      </w:r>
      <w:proofErr w:type="spellEnd"/>
      <w:r w:rsidRPr="00425000">
        <w:rPr>
          <w:rFonts w:ascii="Times New Roman" w:eastAsia="Times New Roman" w:hAnsi="Times New Roman" w:cs="Times New Roman"/>
          <w:sz w:val="24"/>
          <w:szCs w:val="24"/>
        </w:rPr>
        <w:t xml:space="preserve">, J., Kolesnik, K., Silska-Gembka, S. and Zamojska, A., (2022). The influence of culture on accounting judgment–Evidence from Poland and the United Kingdom. </w:t>
      </w:r>
      <w:r w:rsidRPr="00425000">
        <w:rPr>
          <w:rFonts w:ascii="Times New Roman" w:eastAsia="Times New Roman" w:hAnsi="Times New Roman" w:cs="Times New Roman"/>
          <w:i/>
          <w:iCs/>
          <w:sz w:val="24"/>
          <w:szCs w:val="24"/>
        </w:rPr>
        <w:t>Cogent Business &amp; Management</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9</w:t>
      </w:r>
      <w:r w:rsidRPr="00425000">
        <w:rPr>
          <w:rFonts w:ascii="Times New Roman" w:eastAsia="Times New Roman" w:hAnsi="Times New Roman" w:cs="Times New Roman"/>
          <w:sz w:val="24"/>
          <w:szCs w:val="24"/>
        </w:rPr>
        <w:t xml:space="preserve">(1), p.1993556. Link: </w:t>
      </w:r>
      <w:hyperlink r:id="rId15">
        <w:r w:rsidRPr="00425000">
          <w:rPr>
            <w:rFonts w:ascii="Times New Roman" w:eastAsia="Times New Roman" w:hAnsi="Times New Roman" w:cs="Times New Roman"/>
            <w:color w:val="1155CC"/>
            <w:sz w:val="24"/>
            <w:szCs w:val="24"/>
            <w:u w:val="single"/>
          </w:rPr>
          <w:t>https://www.tandfonline.com/doi/abs/10.1080/23311975.2021.1993556</w:t>
        </w:r>
      </w:hyperlink>
    </w:p>
    <w:p w14:paraId="6C3A75DB" w14:textId="35206A8E" w:rsidR="00425000" w:rsidRPr="00425000" w:rsidRDefault="00425000" w:rsidP="00A119A7">
      <w:pPr>
        <w:spacing w:before="240" w:after="240" w:line="360" w:lineRule="auto"/>
        <w:jc w:val="both"/>
        <w:rPr>
          <w:rFonts w:ascii="Times New Roman" w:eastAsia="Times New Roman" w:hAnsi="Times New Roman" w:cs="Times New Roman"/>
          <w:sz w:val="24"/>
          <w:szCs w:val="24"/>
        </w:rPr>
      </w:pPr>
      <w:proofErr w:type="spellStart"/>
      <w:r w:rsidRPr="00425000">
        <w:rPr>
          <w:rFonts w:ascii="Times New Roman" w:eastAsia="Times New Roman" w:hAnsi="Times New Roman" w:cs="Times New Roman"/>
          <w:sz w:val="24"/>
          <w:szCs w:val="24"/>
        </w:rPr>
        <w:t>Globalbusinessculture</w:t>
      </w:r>
      <w:proofErr w:type="spellEnd"/>
      <w:r w:rsidRPr="00425000">
        <w:rPr>
          <w:rFonts w:ascii="Times New Roman" w:eastAsia="Times New Roman" w:hAnsi="Times New Roman" w:cs="Times New Roman"/>
          <w:sz w:val="24"/>
          <w:szCs w:val="24"/>
        </w:rPr>
        <w:t xml:space="preserve"> (2026). </w:t>
      </w:r>
      <w:r w:rsidRPr="00425000">
        <w:rPr>
          <w:rFonts w:ascii="Times New Roman" w:eastAsia="Times New Roman" w:hAnsi="Times New Roman" w:cs="Times New Roman"/>
          <w:i/>
          <w:iCs/>
          <w:sz w:val="24"/>
          <w:szCs w:val="24"/>
        </w:rPr>
        <w:t>Japan business culture guide | global business culture</w:t>
      </w:r>
      <w:r w:rsidRPr="00425000">
        <w:rPr>
          <w:rFonts w:ascii="Times New Roman" w:eastAsia="Times New Roman" w:hAnsi="Times New Roman" w:cs="Times New Roman"/>
          <w:sz w:val="24"/>
          <w:szCs w:val="24"/>
        </w:rPr>
        <w:t xml:space="preserve">. [online] Global Business Culture. Available at: </w:t>
      </w:r>
      <w:r w:rsidR="00057199" w:rsidRPr="00425000">
        <w:rPr>
          <w:rFonts w:ascii="Times New Roman" w:eastAsia="Times New Roman" w:hAnsi="Times New Roman" w:cs="Times New Roman"/>
          <w:sz w:val="24"/>
          <w:szCs w:val="24"/>
        </w:rPr>
        <w:t>https://www.globalbusinessculture.com/countries/global-business-culture-resources/country-profiles/japan-business-culture/ (</w:t>
      </w:r>
      <w:r w:rsidRPr="00425000">
        <w:rPr>
          <w:rFonts w:ascii="Times New Roman" w:eastAsia="Times New Roman" w:hAnsi="Times New Roman" w:cs="Times New Roman"/>
          <w:sz w:val="24"/>
          <w:szCs w:val="24"/>
        </w:rPr>
        <w:t>Accessed: 10 Aug. 2026).</w:t>
      </w:r>
    </w:p>
    <w:p w14:paraId="19C8511D"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Greene and Jim (2021) </w:t>
      </w:r>
      <w:r w:rsidRPr="00425000">
        <w:rPr>
          <w:rFonts w:ascii="Times New Roman" w:eastAsia="Times New Roman" w:hAnsi="Times New Roman" w:cs="Times New Roman"/>
          <w:i/>
          <w:iCs/>
          <w:sz w:val="24"/>
          <w:szCs w:val="24"/>
        </w:rPr>
        <w:t>Hofstede’s cultural dimensions theory: Business and Management: Research Starters: EBSCO Research</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EBSCO</w:t>
      </w:r>
      <w:r w:rsidRPr="00425000">
        <w:rPr>
          <w:rFonts w:ascii="Times New Roman" w:eastAsia="Times New Roman" w:hAnsi="Times New Roman" w:cs="Times New Roman"/>
          <w:sz w:val="24"/>
          <w:szCs w:val="24"/>
        </w:rPr>
        <w:t>. Available at: https://www.ebsco.com/research-starters/business-and-management/hofstedes-cultural-dimensions-theory (Accessed: 10 August 2026).</w:t>
      </w:r>
    </w:p>
    <w:p w14:paraId="34DC976F"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J2gglobal (2026) </w:t>
      </w:r>
      <w:r w:rsidRPr="00425000">
        <w:rPr>
          <w:rFonts w:ascii="Times New Roman" w:eastAsia="Times New Roman" w:hAnsi="Times New Roman" w:cs="Times New Roman"/>
          <w:i/>
          <w:iCs/>
          <w:sz w:val="24"/>
          <w:szCs w:val="24"/>
        </w:rPr>
        <w:t>How Japanese decision-making works: Why your proposal stalls and what to do next - J2G global</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J2G</w:t>
      </w:r>
      <w:r w:rsidRPr="00425000">
        <w:rPr>
          <w:rFonts w:ascii="Times New Roman" w:eastAsia="Times New Roman" w:hAnsi="Times New Roman" w:cs="Times New Roman"/>
          <w:sz w:val="24"/>
          <w:szCs w:val="24"/>
        </w:rPr>
        <w:t>. Available at: https://j2gglobal.com/how-japanese-decision-making-works/ (Accessed: 10 August 2026).</w:t>
      </w:r>
    </w:p>
    <w:p w14:paraId="0DAA4542"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hAnsi="Times New Roman" w:cs="Times New Roman"/>
          <w:color w:val="222222"/>
          <w:sz w:val="24"/>
          <w:szCs w:val="24"/>
        </w:rPr>
        <w:t xml:space="preserve">Katarina, F., 2026. High-Context Culture and Communication. </w:t>
      </w:r>
      <w:r w:rsidRPr="00425000">
        <w:rPr>
          <w:rFonts w:ascii="Times New Roman" w:hAnsi="Times New Roman" w:cs="Times New Roman"/>
          <w:i/>
          <w:iCs/>
          <w:color w:val="222222"/>
          <w:sz w:val="24"/>
          <w:szCs w:val="24"/>
        </w:rPr>
        <w:t xml:space="preserve">International Journal </w:t>
      </w:r>
      <w:proofErr w:type="gramStart"/>
      <w:r w:rsidRPr="00425000">
        <w:rPr>
          <w:rFonts w:ascii="Times New Roman" w:hAnsi="Times New Roman" w:cs="Times New Roman"/>
          <w:i/>
          <w:iCs/>
          <w:color w:val="222222"/>
          <w:sz w:val="24"/>
          <w:szCs w:val="24"/>
        </w:rPr>
        <w:t>Of</w:t>
      </w:r>
      <w:proofErr w:type="gramEnd"/>
      <w:r w:rsidRPr="00425000">
        <w:rPr>
          <w:rFonts w:ascii="Times New Roman" w:hAnsi="Times New Roman" w:cs="Times New Roman"/>
          <w:i/>
          <w:iCs/>
          <w:color w:val="222222"/>
          <w:sz w:val="24"/>
          <w:szCs w:val="24"/>
        </w:rPr>
        <w:t xml:space="preserve"> Education </w:t>
      </w:r>
      <w:proofErr w:type="gramStart"/>
      <w:r w:rsidRPr="00425000">
        <w:rPr>
          <w:rFonts w:ascii="Times New Roman" w:hAnsi="Times New Roman" w:cs="Times New Roman"/>
          <w:i/>
          <w:iCs/>
          <w:color w:val="222222"/>
          <w:sz w:val="24"/>
          <w:szCs w:val="24"/>
        </w:rPr>
        <w:t>And</w:t>
      </w:r>
      <w:proofErr w:type="gramEnd"/>
      <w:r w:rsidRPr="00425000">
        <w:rPr>
          <w:rFonts w:ascii="Times New Roman" w:hAnsi="Times New Roman" w:cs="Times New Roman"/>
          <w:i/>
          <w:iCs/>
          <w:color w:val="222222"/>
          <w:sz w:val="24"/>
          <w:szCs w:val="24"/>
        </w:rPr>
        <w:t xml:space="preserve"> Social Research (IJESR)</w:t>
      </w:r>
      <w:r w:rsidRPr="00425000">
        <w:rPr>
          <w:rFonts w:ascii="Times New Roman" w:hAnsi="Times New Roman" w:cs="Times New Roman"/>
          <w:color w:val="222222"/>
          <w:sz w:val="24"/>
          <w:szCs w:val="24"/>
        </w:rPr>
        <w:t xml:space="preserve">, </w:t>
      </w:r>
      <w:r w:rsidRPr="00425000">
        <w:rPr>
          <w:rFonts w:ascii="Times New Roman" w:hAnsi="Times New Roman" w:cs="Times New Roman"/>
          <w:i/>
          <w:iCs/>
          <w:color w:val="222222"/>
          <w:sz w:val="24"/>
          <w:szCs w:val="24"/>
        </w:rPr>
        <w:t>4</w:t>
      </w:r>
      <w:r w:rsidRPr="00425000">
        <w:rPr>
          <w:rFonts w:ascii="Times New Roman" w:hAnsi="Times New Roman" w:cs="Times New Roman"/>
          <w:color w:val="222222"/>
          <w:sz w:val="24"/>
          <w:szCs w:val="24"/>
        </w:rPr>
        <w:t>(3), pp.8-15.</w:t>
      </w:r>
      <w:r w:rsidRPr="00425000">
        <w:rPr>
          <w:rFonts w:ascii="Times New Roman" w:eastAsia="Times New Roman" w:hAnsi="Times New Roman" w:cs="Times New Roman"/>
          <w:sz w:val="24"/>
          <w:szCs w:val="24"/>
        </w:rPr>
        <w:t xml:space="preserve"> Link: </w:t>
      </w:r>
      <w:hyperlink r:id="rId16">
        <w:r w:rsidRPr="00425000">
          <w:rPr>
            <w:rFonts w:ascii="Times New Roman" w:eastAsia="Times New Roman" w:hAnsi="Times New Roman" w:cs="Times New Roman"/>
            <w:color w:val="1155CC"/>
            <w:sz w:val="24"/>
            <w:szCs w:val="24"/>
            <w:u w:val="single"/>
          </w:rPr>
          <w:t>https://ejournal.internasional.org/index.php/ijesr/article/view/170</w:t>
        </w:r>
      </w:hyperlink>
      <w:r w:rsidRPr="00425000">
        <w:rPr>
          <w:rFonts w:ascii="Times New Roman" w:eastAsia="Times New Roman" w:hAnsi="Times New Roman" w:cs="Times New Roman"/>
          <w:sz w:val="24"/>
          <w:szCs w:val="24"/>
        </w:rPr>
        <w:t xml:space="preserve">  </w:t>
      </w:r>
    </w:p>
    <w:p w14:paraId="582FB6D6"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Liu and </w:t>
      </w:r>
      <w:proofErr w:type="spellStart"/>
      <w:r w:rsidRPr="00425000">
        <w:rPr>
          <w:rFonts w:ascii="Times New Roman" w:eastAsia="Times New Roman" w:hAnsi="Times New Roman" w:cs="Times New Roman"/>
          <w:sz w:val="24"/>
          <w:szCs w:val="24"/>
        </w:rPr>
        <w:t>Chutong</w:t>
      </w:r>
      <w:proofErr w:type="spellEnd"/>
      <w:r w:rsidRPr="00425000">
        <w:rPr>
          <w:rFonts w:ascii="Times New Roman" w:eastAsia="Times New Roman" w:hAnsi="Times New Roman" w:cs="Times New Roman"/>
          <w:sz w:val="24"/>
          <w:szCs w:val="24"/>
        </w:rPr>
        <w:t xml:space="preserve"> (2025). Research on Marketing Strategy and Business Operation Mode of FMCG Brands: A Case Study of MUJI. Advances in Economics, Management and Political Sciences. 148. 74-81. 10.54254/2754-1169/2024.LD19171.  Link: </w:t>
      </w:r>
      <w:hyperlink r:id="rId17">
        <w:r w:rsidRPr="00425000">
          <w:rPr>
            <w:rFonts w:ascii="Times New Roman" w:eastAsia="Times New Roman" w:hAnsi="Times New Roman" w:cs="Times New Roman"/>
            <w:color w:val="1155CC"/>
            <w:sz w:val="24"/>
            <w:szCs w:val="24"/>
            <w:u w:val="single"/>
          </w:rPr>
          <w:t>https://www.researchgate.net/publication/387714744_Research_on_Marketing_Strategy_and_Business_Operation_Mode_of_FMCG_Brands_A_Case_Study_of_MUJI</w:t>
        </w:r>
      </w:hyperlink>
      <w:r w:rsidRPr="00425000">
        <w:rPr>
          <w:rFonts w:ascii="Times New Roman" w:eastAsia="Times New Roman" w:hAnsi="Times New Roman" w:cs="Times New Roman"/>
          <w:sz w:val="24"/>
          <w:szCs w:val="24"/>
        </w:rPr>
        <w:t xml:space="preserve"> </w:t>
      </w:r>
    </w:p>
    <w:p w14:paraId="398622FC" w14:textId="47F20C20"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Luvina Software (2025). </w:t>
      </w:r>
      <w:r w:rsidRPr="00425000">
        <w:rPr>
          <w:rFonts w:ascii="Times New Roman" w:eastAsia="Times New Roman" w:hAnsi="Times New Roman" w:cs="Times New Roman"/>
          <w:i/>
          <w:iCs/>
          <w:sz w:val="24"/>
          <w:szCs w:val="24"/>
        </w:rPr>
        <w:t>Your guide to finding a reliable business partner in Japan</w:t>
      </w:r>
      <w:r w:rsidRPr="00425000">
        <w:rPr>
          <w:rFonts w:ascii="Times New Roman" w:eastAsia="Times New Roman" w:hAnsi="Times New Roman" w:cs="Times New Roman"/>
          <w:sz w:val="24"/>
          <w:szCs w:val="24"/>
        </w:rPr>
        <w:t xml:space="preserve">. [online] Luvina Software JSC - Vietnam’s Leading Software Outsourcing Company. Available at: </w:t>
      </w:r>
      <w:r w:rsidR="00057199" w:rsidRPr="00425000">
        <w:rPr>
          <w:rFonts w:ascii="Times New Roman" w:eastAsia="Times New Roman" w:hAnsi="Times New Roman" w:cs="Times New Roman"/>
          <w:sz w:val="24"/>
          <w:szCs w:val="24"/>
        </w:rPr>
        <w:t>https://luvina.net/finding-a-reliable-business-partner-in-japan/ (</w:t>
      </w:r>
      <w:r w:rsidRPr="00425000">
        <w:rPr>
          <w:rFonts w:ascii="Times New Roman" w:eastAsia="Times New Roman" w:hAnsi="Times New Roman" w:cs="Times New Roman"/>
          <w:sz w:val="24"/>
          <w:szCs w:val="24"/>
        </w:rPr>
        <w:t>Accessed: 10 Aug. 2026).</w:t>
      </w:r>
    </w:p>
    <w:p w14:paraId="69F8DEF5"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hAnsi="Times New Roman" w:cs="Times New Roman"/>
          <w:color w:val="222222"/>
          <w:sz w:val="24"/>
          <w:szCs w:val="24"/>
        </w:rPr>
        <w:t xml:space="preserve">Mehra, N., (2025) Bridging Business Cultures: Japan’s Relationship-Driven Model vs. the West’s Transactional Approach. </w:t>
      </w:r>
      <w:r w:rsidRPr="00425000">
        <w:rPr>
          <w:rFonts w:ascii="Times New Roman" w:hAnsi="Times New Roman" w:cs="Times New Roman"/>
          <w:i/>
          <w:iCs/>
          <w:color w:val="222222"/>
          <w:sz w:val="24"/>
          <w:szCs w:val="24"/>
        </w:rPr>
        <w:t>Available at SSRN 5167932</w:t>
      </w:r>
      <w:r w:rsidRPr="00425000">
        <w:rPr>
          <w:rFonts w:ascii="Times New Roman" w:hAnsi="Times New Roman" w:cs="Times New Roman"/>
          <w:color w:val="222222"/>
          <w:sz w:val="24"/>
          <w:szCs w:val="24"/>
        </w:rPr>
        <w:t>.</w:t>
      </w:r>
      <w:r w:rsidRPr="00425000">
        <w:rPr>
          <w:rFonts w:ascii="Times New Roman" w:eastAsia="Times New Roman" w:hAnsi="Times New Roman" w:cs="Times New Roman"/>
          <w:sz w:val="24"/>
          <w:szCs w:val="24"/>
        </w:rPr>
        <w:t xml:space="preserve"> Link: </w:t>
      </w:r>
      <w:hyperlink r:id="rId18">
        <w:r w:rsidRPr="00425000">
          <w:rPr>
            <w:rFonts w:ascii="Times New Roman" w:eastAsia="Times New Roman" w:hAnsi="Times New Roman" w:cs="Times New Roman"/>
            <w:color w:val="1155CC"/>
            <w:sz w:val="24"/>
            <w:szCs w:val="24"/>
            <w:u w:val="single"/>
          </w:rPr>
          <w:t>https://papers.ssrn.com/sol3/papers.cfm?abstract_id=5167932</w:t>
        </w:r>
      </w:hyperlink>
      <w:r w:rsidRPr="00425000">
        <w:rPr>
          <w:rFonts w:ascii="Times New Roman" w:eastAsia="Times New Roman" w:hAnsi="Times New Roman" w:cs="Times New Roman"/>
          <w:sz w:val="24"/>
          <w:szCs w:val="24"/>
        </w:rPr>
        <w:t xml:space="preserve"> </w:t>
      </w:r>
    </w:p>
    <w:p w14:paraId="0B8E4CCD"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Minkov, M. and Kaasa, A., (2021). A test of Hofstede's model of culture following his own approach. </w:t>
      </w:r>
      <w:r w:rsidRPr="00425000">
        <w:rPr>
          <w:rFonts w:ascii="Times New Roman" w:eastAsia="Times New Roman" w:hAnsi="Times New Roman" w:cs="Times New Roman"/>
          <w:i/>
          <w:iCs/>
          <w:sz w:val="24"/>
          <w:szCs w:val="24"/>
        </w:rPr>
        <w:t>Cross Cultural &amp; Strategic Management</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28</w:t>
      </w:r>
      <w:r w:rsidRPr="00425000">
        <w:rPr>
          <w:rFonts w:ascii="Times New Roman" w:eastAsia="Times New Roman" w:hAnsi="Times New Roman" w:cs="Times New Roman"/>
          <w:sz w:val="24"/>
          <w:szCs w:val="24"/>
        </w:rPr>
        <w:t xml:space="preserve">(2), pp.384-406. Link: </w:t>
      </w:r>
      <w:hyperlink r:id="rId19">
        <w:r w:rsidRPr="00425000">
          <w:rPr>
            <w:rFonts w:ascii="Times New Roman" w:eastAsia="Times New Roman" w:hAnsi="Times New Roman" w:cs="Times New Roman"/>
            <w:color w:val="1155CC"/>
            <w:sz w:val="24"/>
            <w:szCs w:val="24"/>
            <w:u w:val="single"/>
          </w:rPr>
          <w:t>https://www.emerald.com/ccsm/article-abstract/28/2/384/97135/A-test-of-Hofstede-s-model-of-culture-following</w:t>
        </w:r>
      </w:hyperlink>
    </w:p>
    <w:p w14:paraId="6D25083F"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Miyanaga, K., (2024). </w:t>
      </w:r>
      <w:r w:rsidRPr="00425000">
        <w:rPr>
          <w:rFonts w:ascii="Times New Roman" w:eastAsia="Times New Roman" w:hAnsi="Times New Roman" w:cs="Times New Roman"/>
          <w:i/>
          <w:iCs/>
          <w:sz w:val="24"/>
          <w:szCs w:val="24"/>
        </w:rPr>
        <w:t>The creative edge: Emerging individualism in Japan</w:t>
      </w:r>
      <w:r w:rsidRPr="00425000">
        <w:rPr>
          <w:rFonts w:ascii="Times New Roman" w:eastAsia="Times New Roman" w:hAnsi="Times New Roman" w:cs="Times New Roman"/>
          <w:sz w:val="24"/>
          <w:szCs w:val="24"/>
        </w:rPr>
        <w:t xml:space="preserve">. Routledge. </w:t>
      </w:r>
    </w:p>
    <w:p w14:paraId="40BA466F"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Nickerson, C. (2025) </w:t>
      </w:r>
      <w:r w:rsidRPr="00425000">
        <w:rPr>
          <w:rFonts w:ascii="Times New Roman" w:eastAsia="Times New Roman" w:hAnsi="Times New Roman" w:cs="Times New Roman"/>
          <w:i/>
          <w:iCs/>
          <w:sz w:val="24"/>
          <w:szCs w:val="24"/>
        </w:rPr>
        <w:t>Hofstede’s cultural dimensions theory</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Simply Psychology</w:t>
      </w:r>
      <w:r w:rsidRPr="00425000">
        <w:rPr>
          <w:rFonts w:ascii="Times New Roman" w:eastAsia="Times New Roman" w:hAnsi="Times New Roman" w:cs="Times New Roman"/>
          <w:sz w:val="24"/>
          <w:szCs w:val="24"/>
        </w:rPr>
        <w:t>. Available at: https://www.simplypsychology.org/hofstedes-cultural-dimensions-theory.html (Accessed: 10 August 2026).</w:t>
      </w:r>
    </w:p>
    <w:p w14:paraId="452CD961"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Obara, H., Saiki, T., Imafuku, R., Fujisaki, K. and Suzuki, Y., (2021). Influence of national culture on mentoring relationship: a qualitative study of Japanese physician-scientists. </w:t>
      </w:r>
      <w:r w:rsidRPr="00425000">
        <w:rPr>
          <w:rFonts w:ascii="Times New Roman" w:eastAsia="Times New Roman" w:hAnsi="Times New Roman" w:cs="Times New Roman"/>
          <w:i/>
          <w:iCs/>
          <w:sz w:val="24"/>
          <w:szCs w:val="24"/>
        </w:rPr>
        <w:t>BMC Medical Education</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21</w:t>
      </w:r>
      <w:r w:rsidRPr="00425000">
        <w:rPr>
          <w:rFonts w:ascii="Times New Roman" w:eastAsia="Times New Roman" w:hAnsi="Times New Roman" w:cs="Times New Roman"/>
          <w:sz w:val="24"/>
          <w:szCs w:val="24"/>
        </w:rPr>
        <w:t xml:space="preserve">(1), p.300. Link: </w:t>
      </w:r>
      <w:hyperlink r:id="rId20">
        <w:r w:rsidRPr="00425000">
          <w:rPr>
            <w:rFonts w:ascii="Times New Roman" w:eastAsia="Times New Roman" w:hAnsi="Times New Roman" w:cs="Times New Roman"/>
            <w:color w:val="1155CC"/>
            <w:sz w:val="24"/>
            <w:szCs w:val="24"/>
            <w:u w:val="single"/>
          </w:rPr>
          <w:t>https://link.springer.com/article/10.1186/s12909-021-02744-2</w:t>
        </w:r>
      </w:hyperlink>
    </w:p>
    <w:p w14:paraId="649C3BE6"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Oyama, H. (2025) </w:t>
      </w:r>
      <w:r w:rsidRPr="00425000">
        <w:rPr>
          <w:rFonts w:ascii="Times New Roman" w:eastAsia="Times New Roman" w:hAnsi="Times New Roman" w:cs="Times New Roman"/>
          <w:i/>
          <w:iCs/>
          <w:sz w:val="24"/>
          <w:szCs w:val="24"/>
        </w:rPr>
        <w:t>Why communication fails in Japan — and how to decode it | by Hiroyuki Oyama | decode Japan | medium</w:t>
      </w:r>
      <w:r w:rsidRPr="00425000">
        <w:rPr>
          <w:rFonts w:ascii="Times New Roman" w:eastAsia="Times New Roman" w:hAnsi="Times New Roman" w:cs="Times New Roman"/>
          <w:sz w:val="24"/>
          <w:szCs w:val="24"/>
        </w:rPr>
        <w:t>. Available at: https://medium.com/decode-japan/why-communication-fails-in-japan-and-how-to-decode-it-6b96a611e3f7 (Accessed: 10 August 2026).</w:t>
      </w:r>
    </w:p>
    <w:p w14:paraId="58B2C257"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Riefler, P., Büttner, O.B. and Davvetas, V., (2024). Indulge or reduce? A cross-country investigation of consumption patterns following pandemic lockdowns. </w:t>
      </w:r>
      <w:r w:rsidRPr="00425000">
        <w:rPr>
          <w:rFonts w:ascii="Times New Roman" w:eastAsia="Times New Roman" w:hAnsi="Times New Roman" w:cs="Times New Roman"/>
          <w:i/>
          <w:iCs/>
          <w:sz w:val="24"/>
          <w:szCs w:val="24"/>
        </w:rPr>
        <w:t>Journal of International Marketing</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32</w:t>
      </w:r>
      <w:r w:rsidRPr="00425000">
        <w:rPr>
          <w:rFonts w:ascii="Times New Roman" w:eastAsia="Times New Roman" w:hAnsi="Times New Roman" w:cs="Times New Roman"/>
          <w:sz w:val="24"/>
          <w:szCs w:val="24"/>
        </w:rPr>
        <w:t xml:space="preserve">(2), pp.49-64. Link: </w:t>
      </w:r>
      <w:hyperlink r:id="rId21">
        <w:r w:rsidRPr="00425000">
          <w:rPr>
            <w:rFonts w:ascii="Times New Roman" w:eastAsia="Times New Roman" w:hAnsi="Times New Roman" w:cs="Times New Roman"/>
            <w:color w:val="1155CC"/>
            <w:sz w:val="24"/>
            <w:szCs w:val="24"/>
            <w:u w:val="single"/>
          </w:rPr>
          <w:t>https://journals.sagepub.com/doi/abs/10.1177/1069031X231201077</w:t>
        </w:r>
      </w:hyperlink>
    </w:p>
    <w:p w14:paraId="5CD67100"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lastRenderedPageBreak/>
        <w:t xml:space="preserve">Salenius, S., (2023). </w:t>
      </w:r>
      <w:r w:rsidRPr="00425000">
        <w:rPr>
          <w:rFonts w:ascii="Times New Roman" w:eastAsia="Times New Roman" w:hAnsi="Times New Roman" w:cs="Times New Roman"/>
          <w:i/>
          <w:iCs/>
          <w:sz w:val="24"/>
          <w:szCs w:val="24"/>
        </w:rPr>
        <w:t>Gender in Japanese popular culture: rethinking masculinities and femininities</w:t>
      </w:r>
      <w:r w:rsidRPr="00425000">
        <w:rPr>
          <w:rFonts w:ascii="Times New Roman" w:eastAsia="Times New Roman" w:hAnsi="Times New Roman" w:cs="Times New Roman"/>
          <w:sz w:val="24"/>
          <w:szCs w:val="24"/>
        </w:rPr>
        <w:t xml:space="preserve"> (p. 278). Springer Nature. </w:t>
      </w:r>
    </w:p>
    <w:p w14:paraId="29B9EE55" w14:textId="3E3F1A5D" w:rsidR="00425000" w:rsidRPr="00425000" w:rsidRDefault="00425000" w:rsidP="00A119A7">
      <w:pPr>
        <w:spacing w:before="240" w:after="240" w:line="360" w:lineRule="auto"/>
        <w:jc w:val="both"/>
        <w:rPr>
          <w:rFonts w:ascii="Times New Roman" w:eastAsia="Times New Roman" w:hAnsi="Times New Roman" w:cs="Times New Roman"/>
          <w:sz w:val="24"/>
          <w:szCs w:val="24"/>
        </w:rPr>
      </w:pPr>
      <w:proofErr w:type="spellStart"/>
      <w:r w:rsidRPr="00425000">
        <w:rPr>
          <w:rFonts w:ascii="Times New Roman" w:eastAsia="Times New Roman" w:hAnsi="Times New Roman" w:cs="Times New Roman"/>
          <w:sz w:val="24"/>
          <w:szCs w:val="24"/>
        </w:rPr>
        <w:t>Sheposh</w:t>
      </w:r>
      <w:proofErr w:type="spellEnd"/>
      <w:r w:rsidRPr="00425000">
        <w:rPr>
          <w:rFonts w:ascii="Times New Roman" w:eastAsia="Times New Roman" w:hAnsi="Times New Roman" w:cs="Times New Roman"/>
          <w:sz w:val="24"/>
          <w:szCs w:val="24"/>
        </w:rPr>
        <w:t xml:space="preserve">, R. (2025). </w:t>
      </w:r>
      <w:r w:rsidRPr="00425000">
        <w:rPr>
          <w:rFonts w:ascii="Times New Roman" w:eastAsia="Times New Roman" w:hAnsi="Times New Roman" w:cs="Times New Roman"/>
          <w:i/>
          <w:iCs/>
          <w:sz w:val="24"/>
          <w:szCs w:val="24"/>
        </w:rPr>
        <w:t>High-context and low-context cultures</w:t>
      </w:r>
      <w:r w:rsidRPr="00425000">
        <w:rPr>
          <w:rFonts w:ascii="Times New Roman" w:eastAsia="Times New Roman" w:hAnsi="Times New Roman" w:cs="Times New Roman"/>
          <w:sz w:val="24"/>
          <w:szCs w:val="24"/>
        </w:rPr>
        <w:t xml:space="preserve">. [online] </w:t>
      </w:r>
      <w:r w:rsidRPr="00425000">
        <w:rPr>
          <w:rFonts w:ascii="Times New Roman" w:eastAsia="Times New Roman" w:hAnsi="Times New Roman" w:cs="Times New Roman"/>
          <w:i/>
          <w:iCs/>
          <w:sz w:val="24"/>
          <w:szCs w:val="24"/>
        </w:rPr>
        <w:t>EBSCO Information Services, Inc.</w:t>
      </w:r>
      <w:r w:rsidRPr="00425000">
        <w:rPr>
          <w:rFonts w:ascii="Times New Roman" w:eastAsia="Times New Roman" w:hAnsi="Times New Roman" w:cs="Times New Roman"/>
          <w:sz w:val="24"/>
          <w:szCs w:val="24"/>
        </w:rPr>
        <w:t xml:space="preserve"> Available at: </w:t>
      </w:r>
      <w:r w:rsidR="00057199" w:rsidRPr="00425000">
        <w:rPr>
          <w:rFonts w:ascii="Times New Roman" w:eastAsia="Times New Roman" w:hAnsi="Times New Roman" w:cs="Times New Roman"/>
          <w:sz w:val="24"/>
          <w:szCs w:val="24"/>
        </w:rPr>
        <w:t>https://www.ebsco.com/research-starters/communication-and-mass-media/high-context-and-low-context-cultures (</w:t>
      </w:r>
      <w:r w:rsidRPr="00425000">
        <w:rPr>
          <w:rFonts w:ascii="Times New Roman" w:eastAsia="Times New Roman" w:hAnsi="Times New Roman" w:cs="Times New Roman"/>
          <w:sz w:val="24"/>
          <w:szCs w:val="24"/>
        </w:rPr>
        <w:t>Accessed: 10 Aug. 2026).</w:t>
      </w:r>
    </w:p>
    <w:p w14:paraId="5CF90AD8" w14:textId="4BD87121"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Smith, P. (2024). </w:t>
      </w:r>
      <w:r w:rsidRPr="00425000">
        <w:rPr>
          <w:rFonts w:ascii="Times New Roman" w:eastAsia="Times New Roman" w:hAnsi="Times New Roman" w:cs="Times New Roman"/>
          <w:i/>
          <w:iCs/>
          <w:sz w:val="24"/>
          <w:szCs w:val="24"/>
        </w:rPr>
        <w:t>Japanese Business Etiquette and Culture</w:t>
      </w:r>
      <w:r w:rsidRPr="00425000">
        <w:rPr>
          <w:rFonts w:ascii="Times New Roman" w:eastAsia="Times New Roman" w:hAnsi="Times New Roman" w:cs="Times New Roman"/>
          <w:sz w:val="24"/>
          <w:szCs w:val="24"/>
        </w:rPr>
        <w:t xml:space="preserve">. [online] </w:t>
      </w:r>
      <w:r w:rsidRPr="00425000">
        <w:rPr>
          <w:rFonts w:ascii="Times New Roman" w:eastAsia="Times New Roman" w:hAnsi="Times New Roman" w:cs="Times New Roman"/>
          <w:i/>
          <w:iCs/>
          <w:sz w:val="24"/>
          <w:szCs w:val="24"/>
        </w:rPr>
        <w:t>Shinka Management</w:t>
      </w:r>
      <w:r w:rsidRPr="00425000">
        <w:rPr>
          <w:rFonts w:ascii="Times New Roman" w:eastAsia="Times New Roman" w:hAnsi="Times New Roman" w:cs="Times New Roman"/>
          <w:sz w:val="24"/>
          <w:szCs w:val="24"/>
        </w:rPr>
        <w:t xml:space="preserve">. Available at: </w:t>
      </w:r>
      <w:r w:rsidR="00057199" w:rsidRPr="00425000">
        <w:rPr>
          <w:rFonts w:ascii="Times New Roman" w:eastAsia="Times New Roman" w:hAnsi="Times New Roman" w:cs="Times New Roman"/>
          <w:sz w:val="24"/>
          <w:szCs w:val="24"/>
        </w:rPr>
        <w:t>https://shinkamanagement.com/japanese-business-etiquette-guide/ (</w:t>
      </w:r>
      <w:r w:rsidRPr="00425000">
        <w:rPr>
          <w:rFonts w:ascii="Times New Roman" w:eastAsia="Times New Roman" w:hAnsi="Times New Roman" w:cs="Times New Roman"/>
          <w:sz w:val="24"/>
          <w:szCs w:val="24"/>
        </w:rPr>
        <w:t>Accessed: 10 Aug. 2026).</w:t>
      </w:r>
    </w:p>
    <w:p w14:paraId="5921E3BF" w14:textId="01DCB35A"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The European (2026). </w:t>
      </w:r>
      <w:r w:rsidRPr="00425000">
        <w:rPr>
          <w:rFonts w:ascii="Times New Roman" w:eastAsia="Times New Roman" w:hAnsi="Times New Roman" w:cs="Times New Roman"/>
          <w:i/>
          <w:iCs/>
          <w:sz w:val="24"/>
          <w:szCs w:val="24"/>
        </w:rPr>
        <w:t>Navigating the complexities of cross-cultural management – the European magazine</w:t>
      </w:r>
      <w:r w:rsidRPr="00425000">
        <w:rPr>
          <w:rFonts w:ascii="Times New Roman" w:eastAsia="Times New Roman" w:hAnsi="Times New Roman" w:cs="Times New Roman"/>
          <w:sz w:val="24"/>
          <w:szCs w:val="24"/>
        </w:rPr>
        <w:t xml:space="preserve">. [online] </w:t>
      </w:r>
      <w:r w:rsidRPr="00425000">
        <w:rPr>
          <w:rFonts w:ascii="Times New Roman" w:eastAsia="Times New Roman" w:hAnsi="Times New Roman" w:cs="Times New Roman"/>
          <w:i/>
          <w:iCs/>
          <w:sz w:val="24"/>
          <w:szCs w:val="24"/>
        </w:rPr>
        <w:t>The-european.eu</w:t>
      </w:r>
      <w:r w:rsidRPr="00425000">
        <w:rPr>
          <w:rFonts w:ascii="Times New Roman" w:eastAsia="Times New Roman" w:hAnsi="Times New Roman" w:cs="Times New Roman"/>
          <w:sz w:val="24"/>
          <w:szCs w:val="24"/>
        </w:rPr>
        <w:t xml:space="preserve">. Available at: </w:t>
      </w:r>
      <w:r w:rsidR="00057199" w:rsidRPr="00425000">
        <w:rPr>
          <w:rFonts w:ascii="Times New Roman" w:eastAsia="Times New Roman" w:hAnsi="Times New Roman" w:cs="Times New Roman"/>
          <w:sz w:val="24"/>
          <w:szCs w:val="24"/>
        </w:rPr>
        <w:t>https://the-european.eu/story-35736/navigating-the-complexities-of-cross-cultural-management.html (</w:t>
      </w:r>
      <w:r w:rsidRPr="00425000">
        <w:rPr>
          <w:rFonts w:ascii="Times New Roman" w:eastAsia="Times New Roman" w:hAnsi="Times New Roman" w:cs="Times New Roman"/>
          <w:sz w:val="24"/>
          <w:szCs w:val="24"/>
        </w:rPr>
        <w:t>Accessed: 10 Aug. 2026).</w:t>
      </w:r>
    </w:p>
    <w:p w14:paraId="042B0A14"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proofErr w:type="spellStart"/>
      <w:r w:rsidRPr="00425000">
        <w:rPr>
          <w:rFonts w:ascii="Times New Roman" w:eastAsia="Times New Roman" w:hAnsi="Times New Roman" w:cs="Times New Roman"/>
          <w:sz w:val="24"/>
          <w:szCs w:val="24"/>
        </w:rPr>
        <w:t>Theculturefactor</w:t>
      </w:r>
      <w:proofErr w:type="spellEnd"/>
      <w:r w:rsidRPr="00425000">
        <w:rPr>
          <w:rFonts w:ascii="Times New Roman" w:eastAsia="Times New Roman" w:hAnsi="Times New Roman" w:cs="Times New Roman"/>
          <w:sz w:val="24"/>
          <w:szCs w:val="24"/>
        </w:rPr>
        <w:t xml:space="preserve"> (2026) </w:t>
      </w:r>
      <w:r w:rsidRPr="00425000">
        <w:rPr>
          <w:rFonts w:ascii="Times New Roman" w:eastAsia="Times New Roman" w:hAnsi="Times New Roman" w:cs="Times New Roman"/>
          <w:i/>
          <w:iCs/>
          <w:sz w:val="24"/>
          <w:szCs w:val="24"/>
        </w:rPr>
        <w:t>Country comparison tool</w:t>
      </w:r>
      <w:r w:rsidRPr="00425000">
        <w:rPr>
          <w:rFonts w:ascii="Times New Roman" w:eastAsia="Times New Roman" w:hAnsi="Times New Roman" w:cs="Times New Roman"/>
          <w:sz w:val="24"/>
          <w:szCs w:val="24"/>
        </w:rPr>
        <w:t>. Available at: https://www.theculturefactor.com/country-comparison-tool?countries=japan%2Cunited%2Bkingdom (Accessed: 10 August 2026).</w:t>
      </w:r>
    </w:p>
    <w:p w14:paraId="022E6621"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Wood, L.A., Hutchison, J., Aitken, M. and Cunningham, S.J., (2022). Gender stereotypes in UK children and adolescents: Changing patterns of knowledge and endorsement. </w:t>
      </w:r>
      <w:r w:rsidRPr="00425000">
        <w:rPr>
          <w:rFonts w:ascii="Times New Roman" w:eastAsia="Times New Roman" w:hAnsi="Times New Roman" w:cs="Times New Roman"/>
          <w:i/>
          <w:iCs/>
          <w:sz w:val="24"/>
          <w:szCs w:val="24"/>
        </w:rPr>
        <w:t>British Journal of social psychology</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61</w:t>
      </w:r>
      <w:r w:rsidRPr="00425000">
        <w:rPr>
          <w:rFonts w:ascii="Times New Roman" w:eastAsia="Times New Roman" w:hAnsi="Times New Roman" w:cs="Times New Roman"/>
          <w:sz w:val="24"/>
          <w:szCs w:val="24"/>
        </w:rPr>
        <w:t xml:space="preserve">(3), pp.768-789. Link: </w:t>
      </w:r>
      <w:hyperlink r:id="rId22">
        <w:r w:rsidRPr="00425000">
          <w:rPr>
            <w:rFonts w:ascii="Times New Roman" w:eastAsia="Times New Roman" w:hAnsi="Times New Roman" w:cs="Times New Roman"/>
            <w:color w:val="1155CC"/>
            <w:sz w:val="24"/>
            <w:szCs w:val="24"/>
            <w:u w:val="single"/>
          </w:rPr>
          <w:t>https://bpspsychub.onlinelibrary.wiley.com/doi/abs/10.1111/bjso.12510</w:t>
        </w:r>
      </w:hyperlink>
    </w:p>
    <w:p w14:paraId="4910B0B1"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Yi, J.S., (2021). Revisiting Hofstede’s uncertainty-avoidance dimension: A cross-cultural comparison of organizational employees in four countries. </w:t>
      </w:r>
      <w:r w:rsidRPr="00425000">
        <w:rPr>
          <w:rFonts w:ascii="Times New Roman" w:eastAsia="Times New Roman" w:hAnsi="Times New Roman" w:cs="Times New Roman"/>
          <w:i/>
          <w:iCs/>
          <w:sz w:val="24"/>
          <w:szCs w:val="24"/>
        </w:rPr>
        <w:t>Journal of Intercultural Communication</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21</w:t>
      </w:r>
      <w:r w:rsidRPr="00425000">
        <w:rPr>
          <w:rFonts w:ascii="Times New Roman" w:eastAsia="Times New Roman" w:hAnsi="Times New Roman" w:cs="Times New Roman"/>
          <w:sz w:val="24"/>
          <w:szCs w:val="24"/>
        </w:rPr>
        <w:t xml:space="preserve">(1), pp.46-61. Link: </w:t>
      </w:r>
      <w:hyperlink r:id="rId23">
        <w:r w:rsidRPr="00425000">
          <w:rPr>
            <w:rFonts w:ascii="Times New Roman" w:eastAsia="Times New Roman" w:hAnsi="Times New Roman" w:cs="Times New Roman"/>
            <w:color w:val="1155CC"/>
            <w:sz w:val="24"/>
            <w:szCs w:val="24"/>
            <w:u w:val="single"/>
          </w:rPr>
          <w:t>https://immi.se/index.php/intercultural/article/view/5</w:t>
        </w:r>
      </w:hyperlink>
    </w:p>
    <w:p w14:paraId="205752B1" w14:textId="77777777" w:rsidR="00425000" w:rsidRPr="00425000" w:rsidRDefault="00425000" w:rsidP="00A119A7">
      <w:pPr>
        <w:spacing w:before="240" w:after="240" w:line="360" w:lineRule="auto"/>
        <w:jc w:val="both"/>
        <w:rPr>
          <w:rFonts w:ascii="Times New Roman" w:eastAsia="Times New Roman" w:hAnsi="Times New Roman" w:cs="Times New Roman"/>
          <w:sz w:val="24"/>
          <w:szCs w:val="24"/>
        </w:rPr>
      </w:pPr>
      <w:r w:rsidRPr="00425000">
        <w:rPr>
          <w:rFonts w:ascii="Times New Roman" w:eastAsia="Times New Roman" w:hAnsi="Times New Roman" w:cs="Times New Roman"/>
          <w:sz w:val="24"/>
          <w:szCs w:val="24"/>
        </w:rPr>
        <w:t xml:space="preserve">Zyl, M. van (2024) </w:t>
      </w:r>
      <w:r w:rsidRPr="00425000">
        <w:rPr>
          <w:rFonts w:ascii="Times New Roman" w:eastAsia="Times New Roman" w:hAnsi="Times New Roman" w:cs="Times New Roman"/>
          <w:i/>
          <w:iCs/>
          <w:sz w:val="24"/>
          <w:szCs w:val="24"/>
        </w:rPr>
        <w:t>Japan’s changing narrative: Investment risks and opportunities</w:t>
      </w:r>
      <w:r w:rsidRPr="00425000">
        <w:rPr>
          <w:rFonts w:ascii="Times New Roman" w:eastAsia="Times New Roman" w:hAnsi="Times New Roman" w:cs="Times New Roman"/>
          <w:sz w:val="24"/>
          <w:szCs w:val="24"/>
        </w:rPr>
        <w:t xml:space="preserve">, </w:t>
      </w:r>
      <w:r w:rsidRPr="00425000">
        <w:rPr>
          <w:rFonts w:ascii="Times New Roman" w:eastAsia="Times New Roman" w:hAnsi="Times New Roman" w:cs="Times New Roman"/>
          <w:i/>
          <w:iCs/>
          <w:sz w:val="24"/>
          <w:szCs w:val="24"/>
        </w:rPr>
        <w:t>Control Risks</w:t>
      </w:r>
      <w:r w:rsidRPr="00425000">
        <w:rPr>
          <w:rFonts w:ascii="Times New Roman" w:eastAsia="Times New Roman" w:hAnsi="Times New Roman" w:cs="Times New Roman"/>
          <w:sz w:val="24"/>
          <w:szCs w:val="24"/>
        </w:rPr>
        <w:t>. Available at: https://www.controlrisks.com/our-thinking/insights/japans-changing-narrative-investment-risks-and-opportunities (Accessed: 10 August 2026).</w:t>
      </w:r>
    </w:p>
    <w:sectPr w:rsidR="00425000" w:rsidRPr="00425000" w:rsidSect="00425000">
      <w:footerReference w:type="default" r:id="rId2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303E5" w14:textId="77777777" w:rsidR="00753CA0" w:rsidRPr="00425000" w:rsidRDefault="00753CA0" w:rsidP="00425000">
      <w:pPr>
        <w:spacing w:line="240" w:lineRule="auto"/>
      </w:pPr>
      <w:r w:rsidRPr="00425000">
        <w:separator/>
      </w:r>
    </w:p>
  </w:endnote>
  <w:endnote w:type="continuationSeparator" w:id="0">
    <w:p w14:paraId="3B9A8A97" w14:textId="77777777" w:rsidR="00753CA0" w:rsidRPr="00425000" w:rsidRDefault="00753CA0" w:rsidP="00425000">
      <w:pPr>
        <w:spacing w:line="240" w:lineRule="auto"/>
      </w:pPr>
      <w:r w:rsidRPr="004250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209EC78-9CDD-4D9A-9589-C9A7946D2D34}"/>
  </w:font>
  <w:font w:name="Cambria">
    <w:panose1 w:val="02040503050406030204"/>
    <w:charset w:val="00"/>
    <w:family w:val="roman"/>
    <w:pitch w:val="variable"/>
    <w:sig w:usb0="E00006FF" w:usb1="420024FF" w:usb2="02000000" w:usb3="00000000" w:csb0="0000019F" w:csb1="00000000"/>
    <w:embedRegular r:id="rId2" w:fontKey="{E79C868D-12B3-48DC-8842-CD51334F56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279822"/>
      <w:docPartObj>
        <w:docPartGallery w:val="Page Numbers (Bottom of Page)"/>
        <w:docPartUnique/>
      </w:docPartObj>
    </w:sdtPr>
    <w:sdtContent>
      <w:p w14:paraId="1BD7AD19" w14:textId="0C876E12" w:rsidR="00425000" w:rsidRPr="00425000" w:rsidRDefault="00425000">
        <w:pPr>
          <w:pStyle w:val="Footer"/>
          <w:jc w:val="right"/>
        </w:pPr>
        <w:r w:rsidRPr="00425000">
          <w:fldChar w:fldCharType="begin"/>
        </w:r>
        <w:r w:rsidRPr="00425000">
          <w:instrText xml:space="preserve"> PAGE   \* MERGEFORMAT </w:instrText>
        </w:r>
        <w:r w:rsidRPr="00425000">
          <w:fldChar w:fldCharType="separate"/>
        </w:r>
        <w:r w:rsidRPr="00425000">
          <w:t>2</w:t>
        </w:r>
        <w:r w:rsidRPr="00425000">
          <w:fldChar w:fldCharType="end"/>
        </w:r>
      </w:p>
    </w:sdtContent>
  </w:sdt>
  <w:p w14:paraId="1FED3A6E" w14:textId="77777777" w:rsidR="00425000" w:rsidRPr="00425000" w:rsidRDefault="00425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140B2" w14:textId="77777777" w:rsidR="00753CA0" w:rsidRPr="00425000" w:rsidRDefault="00753CA0" w:rsidP="00425000">
      <w:pPr>
        <w:spacing w:line="240" w:lineRule="auto"/>
      </w:pPr>
      <w:r w:rsidRPr="00425000">
        <w:separator/>
      </w:r>
    </w:p>
  </w:footnote>
  <w:footnote w:type="continuationSeparator" w:id="0">
    <w:p w14:paraId="0FBBA79F" w14:textId="77777777" w:rsidR="00753CA0" w:rsidRPr="00425000" w:rsidRDefault="00753CA0" w:rsidP="00425000">
      <w:pPr>
        <w:spacing w:line="240" w:lineRule="auto"/>
      </w:pPr>
      <w:r w:rsidRPr="00425000">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D7D"/>
    <w:rsid w:val="00057199"/>
    <w:rsid w:val="00425000"/>
    <w:rsid w:val="005A6CC6"/>
    <w:rsid w:val="00753CA0"/>
    <w:rsid w:val="00A119A7"/>
    <w:rsid w:val="00A43363"/>
    <w:rsid w:val="00A97992"/>
    <w:rsid w:val="00C34D7D"/>
    <w:rsid w:val="00DA59ED"/>
    <w:rsid w:val="00ED7E4C"/>
    <w:rsid w:val="00F764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1C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25000"/>
    <w:pPr>
      <w:tabs>
        <w:tab w:val="center" w:pos="4513"/>
        <w:tab w:val="right" w:pos="9026"/>
      </w:tabs>
      <w:spacing w:line="240" w:lineRule="auto"/>
    </w:pPr>
  </w:style>
  <w:style w:type="character" w:customStyle="1" w:styleId="HeaderChar">
    <w:name w:val="Header Char"/>
    <w:basedOn w:val="DefaultParagraphFont"/>
    <w:link w:val="Header"/>
    <w:uiPriority w:val="99"/>
    <w:rsid w:val="00425000"/>
  </w:style>
  <w:style w:type="paragraph" w:styleId="Footer">
    <w:name w:val="footer"/>
    <w:basedOn w:val="Normal"/>
    <w:link w:val="FooterChar"/>
    <w:uiPriority w:val="99"/>
    <w:unhideWhenUsed/>
    <w:rsid w:val="00425000"/>
    <w:pPr>
      <w:tabs>
        <w:tab w:val="center" w:pos="4513"/>
        <w:tab w:val="right" w:pos="9026"/>
      </w:tabs>
      <w:spacing w:line="240" w:lineRule="auto"/>
    </w:pPr>
  </w:style>
  <w:style w:type="character" w:customStyle="1" w:styleId="FooterChar">
    <w:name w:val="Footer Char"/>
    <w:basedOn w:val="DefaultParagraphFont"/>
    <w:link w:val="Footer"/>
    <w:uiPriority w:val="99"/>
    <w:rsid w:val="00425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onlinelibrary.wiley.com/doi/abs/10.1111/joca.12306" TargetMode="External"/><Relationship Id="rId18" Type="http://schemas.openxmlformats.org/officeDocument/2006/relationships/hyperlink" Target="https://papers.ssrn.com/sol3/papers.cfm?abstract_id=5167932"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journals.sagepub.com/doi/abs/10.1177/1069031X231201077" TargetMode="External"/><Relationship Id="rId7" Type="http://schemas.openxmlformats.org/officeDocument/2006/relationships/image" Target="media/image2.png"/><Relationship Id="rId12" Type="http://schemas.openxmlformats.org/officeDocument/2006/relationships/hyperlink" Target="https://www.researchgate.net/publication/322224075_SPECIAL_ISSUE_ARTICLES_Cross-Cultural_Encounters_in_Giving_Compliments_and_Making_Requests_through_Literary_Texts_Pedagogical_Ramifications" TargetMode="External"/><Relationship Id="rId17" Type="http://schemas.openxmlformats.org/officeDocument/2006/relationships/hyperlink" Target="https://www.researchgate.net/publication/387714744_Research_on_Marketing_Strategy_and_Business_Operation_Mode_of_FMCG_Brands_A_Case_Study_of_MUJI"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journal.internasional.org/index.php/ijesr/article/view/170" TargetMode="External"/><Relationship Id="rId20" Type="http://schemas.openxmlformats.org/officeDocument/2006/relationships/hyperlink" Target="https://link.springer.com/article/10.1186/s12909-021-02744-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frontiersin.org/journals/psychology/articles/10.3389/fpsyg.2023.1243955/full"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tandfonline.com/doi/abs/10.1080/23311975.2021.1993556" TargetMode="External"/><Relationship Id="rId23" Type="http://schemas.openxmlformats.org/officeDocument/2006/relationships/hyperlink" Target="https://immi.se/index.php/intercultural/article/view/5" TargetMode="External"/><Relationship Id="rId10" Type="http://schemas.openxmlformats.org/officeDocument/2006/relationships/hyperlink" Target="https://www.tandfonline.com/doi/full/10.1080/23322039.2022.2073656" TargetMode="External"/><Relationship Id="rId19" Type="http://schemas.openxmlformats.org/officeDocument/2006/relationships/hyperlink" Target="https://www.emerald.com/ccsm/article-abstract/28/2/384/97135/A-test-of-Hofstede-s-model-of-culture-following"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mdpi.com/2076-3387/13/1/25" TargetMode="External"/><Relationship Id="rId22" Type="http://schemas.openxmlformats.org/officeDocument/2006/relationships/hyperlink" Target="https://bpspsychub.onlinelibrary.wiley.com/doi/abs/10.1111/bjso.1251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3826</Words>
  <Characters>21809</Characters>
  <Application>Microsoft Office Word</Application>
  <DocSecurity>0</DocSecurity>
  <Lines>181</Lines>
  <Paragraphs>51</Paragraphs>
  <ScaleCrop>false</ScaleCrop>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2026-08-16T20:18:00Z</dcterms:created>
  <dcterms:modified xsi:type="dcterms:W3CDTF">2026-08-16T20:18:00Z</dcterms:modified>
</cp:coreProperties>
</file>