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B3E" w:rsidRDefault="00762B3E">
      <w:pPr>
        <w:spacing w:before="60" w:after="60"/>
      </w:pPr>
    </w:p>
    <w:p w:rsidR="00762B3E" w:rsidRDefault="00762B3E">
      <w:pPr>
        <w:spacing w:before="60" w:after="60"/>
      </w:pPr>
    </w:p>
    <w:p w:rsidR="00762B3E" w:rsidRDefault="00283E5C">
      <w:pPr>
        <w:spacing w:before="120" w:after="120"/>
        <w:jc w:val="center"/>
      </w:pPr>
      <w:r>
        <w:rPr>
          <w:b/>
          <w:bCs/>
          <w:color w:val="1F3864"/>
          <w:sz w:val="36"/>
          <w:szCs w:val="36"/>
        </w:rPr>
        <w:t>DISSERTATION PROPOSAL</w:t>
      </w:r>
    </w:p>
    <w:p w:rsidR="00762B3E" w:rsidRDefault="00762B3E">
      <w:pPr>
        <w:spacing w:before="60" w:after="60"/>
      </w:pPr>
    </w:p>
    <w:p w:rsidR="00762B3E" w:rsidRDefault="00762B3E">
      <w:pPr>
        <w:pBdr>
          <w:bottom w:val="single" w:sz="6" w:space="1" w:color="2E5496"/>
        </w:pBdr>
        <w:spacing w:before="60" w:after="60"/>
        <w:jc w:val="center"/>
      </w:pPr>
    </w:p>
    <w:p w:rsidR="00762B3E" w:rsidRDefault="00762B3E">
      <w:pPr>
        <w:spacing w:before="60" w:after="60"/>
      </w:pPr>
    </w:p>
    <w:p w:rsidR="00762B3E" w:rsidRDefault="00283E5C">
      <w:pPr>
        <w:spacing w:before="120" w:after="200"/>
        <w:jc w:val="center"/>
      </w:pPr>
      <w:r>
        <w:rPr>
          <w:b/>
          <w:bCs/>
          <w:color w:val="1F3864"/>
          <w:sz w:val="26"/>
          <w:szCs w:val="26"/>
        </w:rPr>
        <w:t>Consumer Trust and Perceived Risk as Drivers of Electric Vehicle Purchase Intentions in China: A Systematic Literature Review</w:t>
      </w:r>
    </w:p>
    <w:p w:rsidR="00762B3E" w:rsidRDefault="00762B3E">
      <w:pPr>
        <w:spacing w:before="60" w:after="60"/>
      </w:pPr>
    </w:p>
    <w:p w:rsidR="00762B3E" w:rsidRDefault="00762B3E">
      <w:pPr>
        <w:spacing w:before="60" w:after="60"/>
      </w:pPr>
    </w:p>
    <w:p w:rsidR="00762B3E" w:rsidRDefault="00283E5C">
      <w:pPr>
        <w:pStyle w:val="Heading1"/>
      </w:pPr>
      <w:r>
        <w:t>1. Introduction, Background, and Research Problem</w:t>
      </w:r>
    </w:p>
    <w:p w:rsidR="00762B3E" w:rsidRDefault="00283E5C">
      <w:pPr>
        <w:pStyle w:val="Heading2"/>
      </w:pPr>
      <w:r>
        <w:t>1.1 Introduction</w:t>
      </w:r>
    </w:p>
    <w:p w:rsidR="00762B3E" w:rsidRDefault="00283E5C">
      <w:pPr>
        <w:spacing w:before="80" w:after="120" w:line="276" w:lineRule="auto"/>
        <w:jc w:val="both"/>
      </w:pPr>
      <w:r>
        <w:t>The global automotive sector is undergoing its most significant transformation since the introduction of the assembly line: a structural shift from conventional Internal Combustion Engine (ICE) vehicles to Electric Vehicles (EVs). Driven by international c</w:t>
      </w:r>
      <w:r>
        <w:t>limate mandates and domestic environmental concerns, nations are aggressively legislating the decarbonisation of transport. Within this global reconfiguration, China has established itself as the uncontested epicentre of the EV ecosystem. Through state-dir</w:t>
      </w:r>
      <w:r>
        <w:t>ected industrial planning, infrastructure investment, and regulatory mandates, China commands over half of global EV market share in both manufacturing and consumer adoption. According to the International Energy Agency (2025), global electric vehicle sale</w:t>
      </w:r>
      <w:r>
        <w:t>s exceeded 17 million units in 2024, with China accounting for the majority of this growth.</w:t>
      </w:r>
    </w:p>
    <w:p w:rsidR="00762B3E" w:rsidRDefault="00283E5C">
      <w:pPr>
        <w:spacing w:before="80" w:after="120" w:line="276" w:lineRule="auto"/>
        <w:jc w:val="both"/>
      </w:pPr>
      <w:r>
        <w:t xml:space="preserve">Despite this substantial growth, the Chinese domestic EV market is entering a critical </w:t>
      </w:r>
      <w:proofErr w:type="gramStart"/>
      <w:r>
        <w:t>secondary</w:t>
      </w:r>
      <w:proofErr w:type="gramEnd"/>
      <w:r>
        <w:t xml:space="preserve"> evolutionary stage. For over a decade, consumer adoption was aggres</w:t>
      </w:r>
      <w:r>
        <w:t xml:space="preserve">sively stimulated by direct financial incentives, including national purchase subsidies, tax exemptions, and municipal licensing privileges such as preferential “green licence plates” in tier-1 cities such as Shanghai, Beijing, and Shenzhen. By 2023–2024, </w:t>
      </w:r>
      <w:r>
        <w:t>the central government executed a planned phase-out of these subsidies, transitioning the industry into a market-driven environment. Consequently, the consumer demographic is shifting from tech-savvy early adopters to mainstream, highly risk-conscious mass</w:t>
      </w:r>
      <w:r>
        <w:t>-market buyers for whom EV purchase represents a complex, high-involvement socio-cognitive decision.</w:t>
      </w:r>
    </w:p>
    <w:p w:rsidR="00762B3E" w:rsidRDefault="00283E5C">
      <w:pPr>
        <w:pStyle w:val="Heading2"/>
      </w:pPr>
      <w:r>
        <w:t>1.2 Background</w:t>
      </w:r>
    </w:p>
    <w:p w:rsidR="00762B3E" w:rsidRDefault="00283E5C">
      <w:pPr>
        <w:spacing w:before="80" w:after="120" w:line="276" w:lineRule="auto"/>
        <w:jc w:val="both"/>
      </w:pPr>
      <w:r>
        <w:t xml:space="preserve">Research on technology adoption has traditionally focused on rational decision-making models emphasising perceived usefulness, ease of use, </w:t>
      </w:r>
      <w:r>
        <w:t>and economic benefits. Unlike conventional vehicles, electric vehicles require Chinese consumers to adapt to unfamiliar charging systems, battery technologies, and ownership experiences distinct from those of ICE vehicles. Consequently, consumers face subs</w:t>
      </w:r>
      <w:r>
        <w:t>tantial uncertainty when evaluating EV purchases, generating perceptions of financial, functional, infrastructural, and psychological risk that may discourage adoption, particularly among mainstream mass-market buyers in the post-subsidy era.</w:t>
      </w:r>
    </w:p>
    <w:p w:rsidR="00762B3E" w:rsidRDefault="00283E5C">
      <w:pPr>
        <w:spacing w:before="80" w:after="120" w:line="276" w:lineRule="auto"/>
        <w:jc w:val="both"/>
      </w:pPr>
      <w:r>
        <w:lastRenderedPageBreak/>
        <w:t>Consumer trus</w:t>
      </w:r>
      <w:r>
        <w:t>t has emerged as a particularly important construct within this context. Trust can be defined as the willingness of an individual to accept vulnerability based on positive expectations regarding the actions or performance of another party (Mayer, Davis and</w:t>
      </w:r>
      <w:r>
        <w:t xml:space="preserve"> </w:t>
      </w:r>
      <w:proofErr w:type="spellStart"/>
      <w:r>
        <w:t>Schoorman</w:t>
      </w:r>
      <w:proofErr w:type="spellEnd"/>
      <w:r>
        <w:t>, 1995). In China’s EV market, trust may be directed towards domestic manufacturers such as BYD and NIO, battery technology, charging infrastructure providers, or municipal and central government institutions. When consumers trust these actors, t</w:t>
      </w:r>
      <w:r>
        <w:t>hey are more willing to adopt electric vehicles despite inherent uncertainties, making trust a critical mechanism in China’s post-subsidy consumer landscape.</w:t>
      </w:r>
    </w:p>
    <w:p w:rsidR="00762B3E" w:rsidRDefault="00283E5C">
      <w:pPr>
        <w:pStyle w:val="Heading2"/>
      </w:pPr>
      <w:r>
        <w:t>1.3 Research Problem</w:t>
      </w:r>
    </w:p>
    <w:p w:rsidR="00762B3E" w:rsidRDefault="00283E5C">
      <w:pPr>
        <w:spacing w:before="80" w:after="120" w:line="276" w:lineRule="auto"/>
        <w:jc w:val="both"/>
      </w:pPr>
      <w:r>
        <w:t>Although the literature on electric vehicle adoption has expanded considerabl</w:t>
      </w:r>
      <w:r>
        <w:t>y during the past decade, significant theoretical and empirical gaps remain. The majority of EV adoption research either focuses on Western developed economies or treats China only at a macro level, failing to account for the micro-level behavioural psycho</w:t>
      </w:r>
      <w:r>
        <w:t>logy of Chinese consumers. Crucially, market penetration in China remains highly concentrated within affluent tier-1 and tier-2 coastal cities, with adoption in tier-3, tier-4, and rural interior provinces remaining sluggish, highlighting a severe disconne</w:t>
      </w:r>
      <w:r>
        <w:t>ct between state infrastructure expansion and individual consumer psychology.</w:t>
      </w:r>
    </w:p>
    <w:p w:rsidR="00762B3E" w:rsidRDefault="00283E5C">
      <w:pPr>
        <w:spacing w:before="80" w:after="120" w:line="276" w:lineRule="auto"/>
        <w:jc w:val="both"/>
      </w:pPr>
      <w:r>
        <w:t>A particularly important limitation concerns the conceptual treatment of trust and perceived risk. Existing studies commonly regard these variables as independent predictors of p</w:t>
      </w:r>
      <w:r>
        <w:t>urchase intention rather than examining their interaction. Furthermore, empirical studies published prior to 2023 reflect an obsolete socio-economic reality dominated by heavy state subsidies, rendering them poorly suited to the contemporary Chinese consum</w:t>
      </w:r>
      <w:r>
        <w:t>er environment. This theoretical and temporal gap remains insufficiently addressed. Consequently, this dissertation proposes a systematic literature review to critically synthesise contemporary research examining how consumer trust reduces perceived risk a</w:t>
      </w:r>
      <w:r>
        <w:t>nd subsequently influences EV purchase intentions in mainland China.</w:t>
      </w:r>
    </w:p>
    <w:p w:rsidR="00762B3E" w:rsidRDefault="00762B3E">
      <w:pPr>
        <w:spacing w:before="60" w:after="60"/>
      </w:pPr>
    </w:p>
    <w:p w:rsidR="00762B3E" w:rsidRDefault="00283E5C">
      <w:pPr>
        <w:pStyle w:val="Heading1"/>
      </w:pPr>
      <w:r>
        <w:t>2. Research Aim, Objectives, and Questions</w:t>
      </w:r>
    </w:p>
    <w:p w:rsidR="00762B3E" w:rsidRDefault="00283E5C">
      <w:pPr>
        <w:pStyle w:val="Heading2"/>
      </w:pPr>
      <w:r>
        <w:t>2.1 Research Aim</w:t>
      </w:r>
    </w:p>
    <w:p w:rsidR="00762B3E" w:rsidRDefault="00283E5C">
      <w:pPr>
        <w:spacing w:before="80" w:after="120" w:line="276" w:lineRule="auto"/>
        <w:jc w:val="both"/>
      </w:pPr>
      <w:r>
        <w:t>The aim of this study is to critically synthesise contemporary peer-reviewed literature examining how consumer trust reduces p</w:t>
      </w:r>
      <w:r>
        <w:t>erceived risk and subsequently influences electric vehicle purchase intentions in mainland China, with the objective of developing an integrated, post-subsidy conceptual framework explaining consumer adoption behaviour across Chinese city tiers.</w:t>
      </w:r>
    </w:p>
    <w:p w:rsidR="00762B3E" w:rsidRDefault="00283E5C">
      <w:pPr>
        <w:pStyle w:val="Heading2"/>
      </w:pPr>
      <w:r>
        <w:t>2.2 Research Objectives</w:t>
      </w:r>
    </w:p>
    <w:p w:rsidR="00762B3E" w:rsidRDefault="00283E5C">
      <w:pPr>
        <w:pStyle w:val="ListParagraph"/>
        <w:numPr>
          <w:ilvl w:val="0"/>
          <w:numId w:val="2"/>
        </w:numPr>
        <w:spacing w:before="40" w:after="40"/>
      </w:pPr>
      <w:r>
        <w:t>To identify the dimensions of consumer trust that influence electric vehicle adoption within the contemporary Chinese retail market.</w:t>
      </w:r>
    </w:p>
    <w:p w:rsidR="00762B3E" w:rsidRDefault="00283E5C">
      <w:pPr>
        <w:pStyle w:val="ListParagraph"/>
        <w:numPr>
          <w:ilvl w:val="0"/>
          <w:numId w:val="2"/>
        </w:numPr>
        <w:spacing w:before="40" w:after="40"/>
      </w:pPr>
      <w:r>
        <w:t>To examine the principal forms of perceived risk associated with electric vehicle purchasing decisi</w:t>
      </w:r>
      <w:r>
        <w:t>ons.</w:t>
      </w:r>
    </w:p>
    <w:p w:rsidR="00762B3E" w:rsidRDefault="00283E5C">
      <w:pPr>
        <w:pStyle w:val="ListParagraph"/>
        <w:numPr>
          <w:ilvl w:val="0"/>
          <w:numId w:val="2"/>
        </w:numPr>
        <w:spacing w:before="40" w:after="40"/>
      </w:pPr>
      <w:r>
        <w:t>To evaluate the mechanisms through which consumer trust mitigates perceived risk in the context of EV adoption.</w:t>
      </w:r>
    </w:p>
    <w:p w:rsidR="00762B3E" w:rsidRDefault="00283E5C">
      <w:pPr>
        <w:pStyle w:val="ListParagraph"/>
        <w:numPr>
          <w:ilvl w:val="0"/>
          <w:numId w:val="2"/>
        </w:numPr>
        <w:spacing w:before="40" w:after="40"/>
      </w:pPr>
      <w:r>
        <w:lastRenderedPageBreak/>
        <w:t>To investigate how regional socio-economic disparities across Chinese city tiers (tier-1 metropolises versus lower-tier urban and rural env</w:t>
      </w:r>
      <w:r>
        <w:t xml:space="preserve">ironments) shape the relationship between </w:t>
      </w:r>
      <w:proofErr w:type="gramStart"/>
      <w:r>
        <w:t>trust</w:t>
      </w:r>
      <w:proofErr w:type="gramEnd"/>
      <w:r>
        <w:t>, perceived risk, and EV purchase intentions.</w:t>
      </w:r>
    </w:p>
    <w:p w:rsidR="00762B3E" w:rsidRDefault="00283E5C">
      <w:pPr>
        <w:pStyle w:val="ListParagraph"/>
        <w:numPr>
          <w:ilvl w:val="0"/>
          <w:numId w:val="2"/>
        </w:numPr>
        <w:spacing w:before="40" w:after="40"/>
      </w:pPr>
      <w:r>
        <w:t>To develop an integrated conceptual framework explaining electric vehicle purchase intentions in the Chinese market, providing strategic recommendations for automo</w:t>
      </w:r>
      <w:r>
        <w:t>tive executives and public policy formulators.</w:t>
      </w:r>
    </w:p>
    <w:p w:rsidR="00762B3E" w:rsidRDefault="00283E5C">
      <w:pPr>
        <w:pStyle w:val="Heading2"/>
      </w:pPr>
      <w:r>
        <w:t>2.3 Research Questions</w:t>
      </w:r>
    </w:p>
    <w:p w:rsidR="00762B3E" w:rsidRDefault="00283E5C">
      <w:pPr>
        <w:pStyle w:val="ListParagraph"/>
        <w:numPr>
          <w:ilvl w:val="0"/>
          <w:numId w:val="2"/>
        </w:numPr>
        <w:spacing w:before="40" w:after="40"/>
      </w:pPr>
      <w:r>
        <w:t>RQ1: What are the defining dimensions of consumer trust that serve as primary cognitive drivers governing electric vehicle purchase intentions among consumers in mainland China?</w:t>
      </w:r>
    </w:p>
    <w:p w:rsidR="00762B3E" w:rsidRDefault="00283E5C">
      <w:pPr>
        <w:pStyle w:val="ListParagraph"/>
        <w:numPr>
          <w:ilvl w:val="0"/>
          <w:numId w:val="2"/>
        </w:numPr>
        <w:spacing w:before="40" w:after="40"/>
      </w:pPr>
      <w:r>
        <w:t>RQ2: Wha</w:t>
      </w:r>
      <w:r>
        <w:t>t forms of perceived risk act as barriers to electric vehicle adoption in China, and how do they differ across city tiers and regional contexts?</w:t>
      </w:r>
    </w:p>
    <w:p w:rsidR="00762B3E" w:rsidRDefault="00283E5C">
      <w:pPr>
        <w:pStyle w:val="ListParagraph"/>
        <w:numPr>
          <w:ilvl w:val="0"/>
          <w:numId w:val="2"/>
        </w:numPr>
        <w:spacing w:before="40" w:after="40"/>
      </w:pPr>
      <w:r>
        <w:t>RQ3: Through what mechanisms does consumer trust mitigate perceived risk associated with electric vehicle adopt</w:t>
      </w:r>
      <w:r>
        <w:t>ion?</w:t>
      </w:r>
    </w:p>
    <w:p w:rsidR="00762B3E" w:rsidRDefault="00283E5C">
      <w:pPr>
        <w:pStyle w:val="ListParagraph"/>
        <w:numPr>
          <w:ilvl w:val="0"/>
          <w:numId w:val="2"/>
        </w:numPr>
        <w:spacing w:before="40" w:after="40"/>
      </w:pPr>
      <w:r>
        <w:t>RQ4: How do contextual factors specific to China — including charging infrastructure density, green licence plate policies, and post-subsidy pricing dynamics — shape the relationship between trust, perceived risk, and EV purchase intentions?</w:t>
      </w:r>
    </w:p>
    <w:p w:rsidR="00762B3E" w:rsidRDefault="00283E5C">
      <w:pPr>
        <w:pStyle w:val="ListParagraph"/>
        <w:numPr>
          <w:ilvl w:val="0"/>
          <w:numId w:val="2"/>
        </w:numPr>
        <w:spacing w:before="40" w:after="40"/>
      </w:pPr>
      <w:r>
        <w:t xml:space="preserve">RQ5: How </w:t>
      </w:r>
      <w:r>
        <w:t>can an integrated conceptual framework be developed to explain the behavioural pathways linking trust, risk, and EV adoption intentions within the Chinese post-subsidy market context?</w:t>
      </w:r>
    </w:p>
    <w:p w:rsidR="00762B3E" w:rsidRDefault="00762B3E">
      <w:pPr>
        <w:spacing w:before="60" w:after="60"/>
      </w:pPr>
    </w:p>
    <w:p w:rsidR="00762B3E" w:rsidRDefault="00283E5C">
      <w:pPr>
        <w:pStyle w:val="Heading1"/>
      </w:pPr>
      <w:r>
        <w:t>3. Preliminary Literature Review</w:t>
      </w:r>
    </w:p>
    <w:p w:rsidR="00762B3E" w:rsidRDefault="00283E5C">
      <w:pPr>
        <w:pStyle w:val="Heading2"/>
      </w:pPr>
      <w:r>
        <w:t>3.1 Theoretical Foundations of EV Adop</w:t>
      </w:r>
      <w:r>
        <w:t>tion</w:t>
      </w:r>
    </w:p>
    <w:p w:rsidR="00762B3E" w:rsidRDefault="00283E5C">
      <w:pPr>
        <w:spacing w:before="80" w:after="120" w:line="276" w:lineRule="auto"/>
        <w:jc w:val="both"/>
      </w:pPr>
      <w:r>
        <w:t>Understanding electric vehicle adoption requires engagement with established theories of consumer behaviour and technology acceptance. The Technology Acceptance Model (TAM) proposes that perceived usefulness and ease of use are primary determinants of</w:t>
      </w:r>
      <w:r>
        <w:t xml:space="preserve"> technology adoption (Davis, 1989). The Theory of Planned Behaviour (TPB) extends this by incorporating attitudes, subjective norms, and perceived behavioural control (</w:t>
      </w:r>
      <w:proofErr w:type="spellStart"/>
      <w:r>
        <w:t>Ajzen</w:t>
      </w:r>
      <w:proofErr w:type="spellEnd"/>
      <w:r>
        <w:t>, 1991). The Value-Based Adoption Model (VAM) further proposes that consumers asses</w:t>
      </w:r>
      <w:r>
        <w:t>s innovations through a trade-off between perceived benefits and perceived sacrifices.</w:t>
      </w:r>
    </w:p>
    <w:p w:rsidR="00762B3E" w:rsidRDefault="00283E5C">
      <w:pPr>
        <w:spacing w:before="80" w:after="120" w:line="276" w:lineRule="auto"/>
        <w:jc w:val="both"/>
      </w:pPr>
      <w:r>
        <w:t>Taken together, these frameworks contribute significantly to understanding EV adoption behaviour. However, none explicitly conceptualises trust as a mechanism through wh</w:t>
      </w:r>
      <w:r>
        <w:t xml:space="preserve">ich consumers reduce perceived risk. This limitation is particularly salient in China, where consumers face unique uncertainties regarding charging infrastructure availability in lower-tier cities, the stability of municipal EV policies, and the long-term </w:t>
      </w:r>
      <w:r>
        <w:t>viability of domestic EV manufacturers. Integrating trust theory into existing adoption frameworks therefore provides a more comprehensive explanation of Chinese EV purchase intentions.</w:t>
      </w:r>
    </w:p>
    <w:p w:rsidR="00762B3E" w:rsidRDefault="00283E5C">
      <w:pPr>
        <w:pStyle w:val="Heading2"/>
      </w:pPr>
      <w:r>
        <w:t>3.2 Perceived Risk as a Barrier to Adoption</w:t>
      </w:r>
    </w:p>
    <w:p w:rsidR="00762B3E" w:rsidRDefault="00283E5C">
      <w:pPr>
        <w:spacing w:before="80" w:after="120" w:line="276" w:lineRule="auto"/>
        <w:jc w:val="both"/>
      </w:pPr>
      <w:r>
        <w:t>Perceived risk has emerged as one of the most consistently identified barriers to EV adoption. Financial risk remains among the most frequently cited, encompassing high initial investment, uncertain resale values, and maintenance costs. Functional risk rel</w:t>
      </w:r>
      <w:r>
        <w:t xml:space="preserve">ates to driving range </w:t>
      </w:r>
      <w:bookmarkStart w:id="0" w:name="_GoBack"/>
      <w:bookmarkEnd w:id="0"/>
      <w:r>
        <w:t xml:space="preserve">limitations, charging times, and overall vehicle reliability — with range anxiety continuing to dominate the literature. Infrastructure risk concerns the adequacy and reliability of charging </w:t>
      </w:r>
      <w:r>
        <w:lastRenderedPageBreak/>
        <w:t>networks, while psychological and social ri</w:t>
      </w:r>
      <w:r>
        <w:t>sks involve fears of incorrect decision-making or negative peer evaluations.</w:t>
      </w:r>
    </w:p>
    <w:p w:rsidR="00762B3E" w:rsidRDefault="00283E5C">
      <w:pPr>
        <w:spacing w:before="80" w:after="120" w:line="276" w:lineRule="auto"/>
        <w:jc w:val="both"/>
      </w:pPr>
      <w:r>
        <w:t>These forms of risk are particularly pronounced in China’s mass market, where the phase-out of national subsidies has increased the financial risk for mainstream consumers, reside</w:t>
      </w:r>
      <w:r>
        <w:t>ntial charging installation remains difficult in high-density urban compounds managed by conservative property management companies (</w:t>
      </w:r>
      <w:proofErr w:type="spellStart"/>
      <w:r>
        <w:t>wuye</w:t>
      </w:r>
      <w:proofErr w:type="spellEnd"/>
      <w:r>
        <w:t>), and the rapid obsolescence of EV models creates depressed resale values. Although extensively documented, risk is of</w:t>
      </w:r>
      <w:r>
        <w:t>ten treated as a direct determinant of purchase intention, overlooking the mediating role that trust may play in shaping Chinese consumer responses to uncertainty.</w:t>
      </w:r>
    </w:p>
    <w:p w:rsidR="00762B3E" w:rsidRDefault="00283E5C">
      <w:pPr>
        <w:pStyle w:val="Heading2"/>
      </w:pPr>
      <w:r>
        <w:t>3.3 Consumer Trust as a Risk-Reduction Mechanism</w:t>
      </w:r>
    </w:p>
    <w:p w:rsidR="00762B3E" w:rsidRDefault="00283E5C">
      <w:pPr>
        <w:spacing w:before="80" w:after="120" w:line="276" w:lineRule="auto"/>
        <w:jc w:val="both"/>
      </w:pPr>
      <w:r>
        <w:t>Trust has increasingly been recognised as a</w:t>
      </w:r>
      <w:r>
        <w:t xml:space="preserve"> critical determinant of technology adoption. This study argues that trust should not be conceptualised merely as an additional predictor of purchase intention but as a mechanism through which consumers reduce perceived risk and become willing to adopt unf</w:t>
      </w:r>
      <w:r>
        <w:t>amiliar technologies. Three dimensions are relevant: technological trust (confidence in EV performance and battery reliability), brand trust (confidence in manufacturer reputation and after-sales support), and institutional trust (confidence in governments</w:t>
      </w:r>
      <w:r>
        <w:t xml:space="preserve"> and infrastructure providers).</w:t>
      </w:r>
    </w:p>
    <w:p w:rsidR="00762B3E" w:rsidRDefault="00283E5C">
      <w:pPr>
        <w:spacing w:before="80" w:after="120" w:line="276" w:lineRule="auto"/>
        <w:jc w:val="both"/>
      </w:pPr>
      <w:r>
        <w:t xml:space="preserve">The relationship between trust and perceived risk suggests a more sophisticated explanation of EV adoption than models treating these constructs independently. Rather than directly influencing purchase intentions, trust may </w:t>
      </w:r>
      <w:r>
        <w:t>first reduce uncertainty and perceived risk, thereby increasing consumer willingness to adopt electric vehicles. This mediating pathway remains underexplored, particularly in the context of China’s post-subsidy market where trust in domestic OEMs, governme</w:t>
      </w:r>
      <w:r>
        <w:t>nt policy, and charging infrastructure each plays a distinct role.</w:t>
      </w:r>
    </w:p>
    <w:p w:rsidR="00762B3E" w:rsidRDefault="00283E5C">
      <w:pPr>
        <w:pStyle w:val="Heading2"/>
      </w:pPr>
      <w:r>
        <w:t>3.4 Chinese Market Context and Knowledge Gaps</w:t>
      </w:r>
    </w:p>
    <w:p w:rsidR="00762B3E" w:rsidRDefault="00283E5C">
      <w:pPr>
        <w:spacing w:before="80" w:after="120" w:line="276" w:lineRule="auto"/>
        <w:jc w:val="both"/>
      </w:pPr>
      <w:r>
        <w:t>The importance of trust is amplified within the Chinese EV market due to unique economic, institutional, and infrastructural conditions. Severe</w:t>
      </w:r>
      <w:r>
        <w:t xml:space="preserve"> charging infrastructure disparities between tier-1 and lower-tier cities, rapid technological obsolescence of EV models, the post-subsidy price premium, and sensitivity to government policy shifts all heighten consumer uncertainty, making trust-based eval</w:t>
      </w:r>
      <w:r>
        <w:t>uations correspondingly more influential. Three significant gaps emerge from the existing literature: EV adoption research in China frequently examines trust and perceived risk as separate constructs; existing reviews are temporally misaligned with the pos</w:t>
      </w:r>
      <w:r>
        <w:t>t-subsidy era; and no integrated synthesis maps how specific trust dimensions moderate specific risk categories in the Chinese context. This proposal directly addresses all three gaps.</w:t>
      </w:r>
    </w:p>
    <w:p w:rsidR="00762B3E" w:rsidRDefault="00762B3E">
      <w:pPr>
        <w:spacing w:before="60" w:after="60"/>
      </w:pPr>
    </w:p>
    <w:p w:rsidR="00762B3E" w:rsidRDefault="00283E5C">
      <w:pPr>
        <w:pStyle w:val="Heading1"/>
      </w:pPr>
      <w:r>
        <w:t>4. Research Methodology</w:t>
      </w:r>
    </w:p>
    <w:p w:rsidR="00762B3E" w:rsidRDefault="00283E5C">
      <w:pPr>
        <w:pStyle w:val="Heading2"/>
      </w:pPr>
      <w:r>
        <w:t>4.1 Research Philosophy and Approach</w:t>
      </w:r>
    </w:p>
    <w:p w:rsidR="00762B3E" w:rsidRDefault="00283E5C">
      <w:pPr>
        <w:spacing w:before="80" w:after="120" w:line="276" w:lineRule="auto"/>
        <w:jc w:val="both"/>
      </w:pPr>
      <w:r>
        <w:t>This research adopts a Critical Realist philosophical position, acknowledging that an objective reality exists independently of human perceptions while recognising that individuals interpret that reality through socially constructed meanings. This perspect</w:t>
      </w:r>
      <w:r>
        <w:t xml:space="preserve">ive is particularly appropriate for the Chinese EV context, where adoption is shaped by both structural conditions (charging infrastructure, post-subsidy pricing, </w:t>
      </w:r>
      <w:proofErr w:type="gramStart"/>
      <w:r>
        <w:t>government</w:t>
      </w:r>
      <w:proofErr w:type="gramEnd"/>
      <w:r>
        <w:t xml:space="preserve"> policy) and subjective cognitive perceptions </w:t>
      </w:r>
      <w:r>
        <w:lastRenderedPageBreak/>
        <w:t>(trust in OEMs, range anxiety, policy</w:t>
      </w:r>
      <w:r>
        <w:t xml:space="preserve"> uncertainty). A purely positivist or </w:t>
      </w:r>
      <w:proofErr w:type="spellStart"/>
      <w:r>
        <w:t>interpretivist</w:t>
      </w:r>
      <w:proofErr w:type="spellEnd"/>
      <w:r>
        <w:t xml:space="preserve"> stance would capture only part of this complexity.</w:t>
      </w:r>
    </w:p>
    <w:p w:rsidR="00762B3E" w:rsidRDefault="00283E5C">
      <w:pPr>
        <w:spacing w:before="80" w:after="120" w:line="276" w:lineRule="auto"/>
        <w:jc w:val="both"/>
      </w:pPr>
      <w:r>
        <w:t xml:space="preserve">This dissertation will employ an </w:t>
      </w:r>
      <w:proofErr w:type="spellStart"/>
      <w:r>
        <w:t>abductive</w:t>
      </w:r>
      <w:proofErr w:type="spellEnd"/>
      <w:r>
        <w:t xml:space="preserve"> research approach, moving iteratively between established theory and emerging evidence. Existing frameworks —</w:t>
      </w:r>
      <w:r>
        <w:t xml:space="preserve"> TAM, TPB, and VAM — provide an initial analytical lens, while openness to new patterns allows the development of a refined conceptual framework that may extend beyond these established models.</w:t>
      </w:r>
    </w:p>
    <w:p w:rsidR="00762B3E" w:rsidRDefault="00283E5C">
      <w:pPr>
        <w:pStyle w:val="Heading2"/>
      </w:pPr>
      <w:r>
        <w:t>4.2 Research Design: Systematic Literature Review</w:t>
      </w:r>
    </w:p>
    <w:p w:rsidR="00762B3E" w:rsidRDefault="00283E5C">
      <w:pPr>
        <w:spacing w:before="80" w:after="120" w:line="276" w:lineRule="auto"/>
        <w:jc w:val="both"/>
      </w:pPr>
      <w:r>
        <w:t>This dissert</w:t>
      </w:r>
      <w:r>
        <w:t>ation will utilise a Systematic Literature Review (SLR) as its primary research design, guided by the PRISMA 2020 framework. An SLR is appropriate because EV adoption research remains fragmented across marketing, consumer behaviour, transportation studies,</w:t>
      </w:r>
      <w:r>
        <w:t xml:space="preserve"> sustainability, and technology management. A systematic review consolidates these diverse findings within a single analytical framework, enables identification of patterns and theoretical relationships across the literature, and provides a rigorous founda</w:t>
      </w:r>
      <w:r>
        <w:t>tion for conceptual development.</w:t>
      </w:r>
    </w:p>
    <w:p w:rsidR="00762B3E" w:rsidRDefault="00283E5C">
      <w:pPr>
        <w:spacing w:before="80" w:after="120" w:line="276" w:lineRule="auto"/>
        <w:jc w:val="both"/>
      </w:pPr>
      <w:r>
        <w:t xml:space="preserve">The PRISMA 2020 framework structures the review through four stages: identification of relevant studies, screening of retrieved records, assessment of eligibility, and inclusion of final studies for analysis. This approach </w:t>
      </w:r>
      <w:r>
        <w:t>enhances methodological transparency and replicability.</w:t>
      </w:r>
    </w:p>
    <w:p w:rsidR="00762B3E" w:rsidRDefault="00283E5C">
      <w:pPr>
        <w:pStyle w:val="Heading2"/>
      </w:pPr>
      <w:r>
        <w:t>4.3 Search Strategy and Selection Criteria</w:t>
      </w:r>
    </w:p>
    <w:p w:rsidR="00762B3E" w:rsidRDefault="00283E5C">
      <w:pPr>
        <w:spacing w:before="80" w:after="120" w:line="276" w:lineRule="auto"/>
        <w:jc w:val="both"/>
      </w:pPr>
      <w:r>
        <w:t xml:space="preserve">A comprehensive search will be conducted across Scopus, Web of Science, </w:t>
      </w:r>
      <w:proofErr w:type="spellStart"/>
      <w:r>
        <w:t>ScienceDirect</w:t>
      </w:r>
      <w:proofErr w:type="spellEnd"/>
      <w:r>
        <w:t xml:space="preserve">, Emerald Insight, IEEE </w:t>
      </w:r>
      <w:proofErr w:type="spellStart"/>
      <w:r>
        <w:t>Xplore</w:t>
      </w:r>
      <w:proofErr w:type="spellEnd"/>
      <w:r>
        <w:t>, and Google Scholar. These databases prov</w:t>
      </w:r>
      <w:r>
        <w:t xml:space="preserve">ide extensive coverage across business, marketing, sustainability, and transportation disciplines. The search will focus on literature published between 2021 and 2026, using search terms combining electric vehicle adoption, consumer trust, perceived risk, </w:t>
      </w:r>
      <w:r>
        <w:t>purchase intention, and emerging market contexts.</w:t>
      </w:r>
    </w:p>
    <w:p w:rsidR="00762B3E" w:rsidRDefault="00283E5C">
      <w:pPr>
        <w:spacing w:before="80" w:after="120" w:line="276" w:lineRule="auto"/>
        <w:jc w:val="both"/>
      </w:pPr>
      <w:r>
        <w:t>Inclusion criteria require peer-reviewed English-language articles examining EV consumer behaviour, trust, risk, or purchase intention within the Chinese market context, including studies addressing specifi</w:t>
      </w:r>
      <w:r>
        <w:t xml:space="preserve">c city tiers, regional infrastructure disparities, or Chinese government policy impacts. Studies will be excluded if they focus exclusively on vehicle engineering, report only on non-Chinese markets, or are non-peer-reviewed. Quality appraisal will follow </w:t>
      </w:r>
      <w:r>
        <w:t>the Critical Appraisal Skills Programme (CASP) framework, evaluating clarity of objectives, methodological appropriateness, analytical rigour, and transparency of findings.</w:t>
      </w:r>
    </w:p>
    <w:p w:rsidR="00762B3E" w:rsidRDefault="00283E5C">
      <w:pPr>
        <w:pStyle w:val="Heading2"/>
      </w:pPr>
      <w:r>
        <w:t>4.4 Data Analysis</w:t>
      </w:r>
    </w:p>
    <w:p w:rsidR="00762B3E" w:rsidRDefault="00283E5C">
      <w:pPr>
        <w:spacing w:before="80" w:after="120" w:line="276" w:lineRule="auto"/>
        <w:jc w:val="both"/>
      </w:pPr>
      <w:r>
        <w:t>Selected studies will be analysed using Thematic Analysis followi</w:t>
      </w:r>
      <w:r>
        <w:t>ng Braun and Clarke (2006). The process proceeds through five stages: familiarisation with selected studies; initial coding of findings related to trust, risk, and purchase intentions; development of broader themes; refinement of themes for conceptual cons</w:t>
      </w:r>
      <w:r>
        <w:t>istency; and synthesis into an integrated conceptual framework. Thematic analysis is particularly suitable because it supports both descriptive synthesis and theory development, aligning with the study's objective of generating a more integrated understand</w:t>
      </w:r>
      <w:r>
        <w:t>ing of adoption behaviour.</w:t>
      </w:r>
    </w:p>
    <w:p w:rsidR="00762B3E" w:rsidRDefault="00283E5C">
      <w:pPr>
        <w:pStyle w:val="Heading2"/>
      </w:pPr>
      <w:r>
        <w:t>4.5 Ethical Considerations</w:t>
      </w:r>
    </w:p>
    <w:p w:rsidR="00762B3E" w:rsidRDefault="00283E5C">
      <w:pPr>
        <w:spacing w:before="80" w:after="120" w:line="276" w:lineRule="auto"/>
        <w:jc w:val="both"/>
      </w:pPr>
      <w:r>
        <w:t xml:space="preserve">As the study relies exclusively on secondary data obtained from publicly available academic sources, ethical risks are relatively limited. All sources will be accurately cited in accordance </w:t>
      </w:r>
      <w:r>
        <w:lastRenderedPageBreak/>
        <w:t>with Harvard</w:t>
      </w:r>
      <w:r>
        <w:t xml:space="preserve"> referencing guidelines to ensure academic integrity. Findings will be reported transparently regardless of whether they support the proposed framework, and methodological decisions will be documented clearly to ensure reproducibility. No human participant</w:t>
      </w:r>
      <w:r>
        <w:t>s, personal data, or confidential information are involved; however, the research will remain fully compliant with university ethical guidelines.</w:t>
      </w:r>
    </w:p>
    <w:p w:rsidR="00762B3E" w:rsidRDefault="00762B3E">
      <w:pPr>
        <w:spacing w:before="60" w:after="60"/>
      </w:pPr>
    </w:p>
    <w:p w:rsidR="00762B3E" w:rsidRDefault="00283E5C">
      <w:pPr>
        <w:pStyle w:val="Heading1"/>
      </w:pPr>
      <w:r>
        <w:t>5. Risks and Limitations</w:t>
      </w:r>
    </w:p>
    <w:p w:rsidR="00762B3E" w:rsidRDefault="00283E5C">
      <w:pPr>
        <w:spacing w:before="80" w:after="120" w:line="276" w:lineRule="auto"/>
        <w:jc w:val="both"/>
      </w:pPr>
      <w:r>
        <w:t>Although this dissertation adopts a rigorous and systematic approach, several limita</w:t>
      </w:r>
      <w:r>
        <w:t>tions and risks may influence the research process and findings.</w:t>
      </w:r>
    </w:p>
    <w:p w:rsidR="00762B3E" w:rsidRDefault="00283E5C">
      <w:pPr>
        <w:pStyle w:val="ListParagraph"/>
        <w:numPr>
          <w:ilvl w:val="0"/>
          <w:numId w:val="2"/>
        </w:numPr>
        <w:spacing w:before="40" w:after="40"/>
      </w:pPr>
      <w:r>
        <w:t xml:space="preserve">Publication bias: Academic journals tend to publish statistically significant findings, potentially underrepresenting studies reporting weak or null relationships between trust, risk, and EV </w:t>
      </w:r>
      <w:r>
        <w:t>adoption.</w:t>
      </w:r>
    </w:p>
    <w:p w:rsidR="00762B3E" w:rsidRDefault="00283E5C">
      <w:pPr>
        <w:pStyle w:val="ListParagraph"/>
        <w:numPr>
          <w:ilvl w:val="0"/>
          <w:numId w:val="2"/>
        </w:numPr>
        <w:spacing w:before="40" w:after="40"/>
      </w:pPr>
      <w:r>
        <w:t>Geographic inconsistency: Different studies focus on specific Chinese city tiers, provinces, or demographic segments, complicating direct comparisons across regional contexts within China.</w:t>
      </w:r>
    </w:p>
    <w:p w:rsidR="00762B3E" w:rsidRDefault="00283E5C">
      <w:pPr>
        <w:pStyle w:val="ListParagraph"/>
        <w:numPr>
          <w:ilvl w:val="0"/>
          <w:numId w:val="2"/>
        </w:numPr>
        <w:spacing w:before="40" w:after="40"/>
      </w:pPr>
      <w:r>
        <w:t>Rapidly evolving landscape: Technological developments, b</w:t>
      </w:r>
      <w:r>
        <w:t>attery innovations, and changing government policies may render some findings outdated over the duration of the study.</w:t>
      </w:r>
    </w:p>
    <w:p w:rsidR="00762B3E" w:rsidRDefault="00283E5C">
      <w:pPr>
        <w:pStyle w:val="ListParagraph"/>
        <w:numPr>
          <w:ilvl w:val="0"/>
          <w:numId w:val="2"/>
        </w:numPr>
        <w:spacing w:before="40" w:after="40"/>
      </w:pPr>
      <w:r>
        <w:t>Language restrictions: Focusing on English-language publications may exclude relevant research published in Chinese, potentially omitting</w:t>
      </w:r>
      <w:r>
        <w:t xml:space="preserve"> important studies from domestic Chinese academic journals.</w:t>
      </w:r>
    </w:p>
    <w:p w:rsidR="00762B3E" w:rsidRDefault="00283E5C">
      <w:pPr>
        <w:pStyle w:val="ListParagraph"/>
        <w:numPr>
          <w:ilvl w:val="0"/>
          <w:numId w:val="2"/>
        </w:numPr>
        <w:spacing w:before="40" w:after="40"/>
      </w:pPr>
      <w:r>
        <w:t>Methodological variation: Diverse measurement scales and analytical techniques across studies may limit the extent to which universal conclusions can be drawn.</w:t>
      </w:r>
    </w:p>
    <w:p w:rsidR="00762B3E" w:rsidRDefault="00283E5C">
      <w:pPr>
        <w:spacing w:before="80" w:after="120" w:line="276" w:lineRule="auto"/>
        <w:jc w:val="both"/>
      </w:pPr>
      <w:r>
        <w:t>These risks will be mitigated throug</w:t>
      </w:r>
      <w:r>
        <w:t>h transparent inclusion criteria, systematic quality appraisal, and careful contextual interpretation of findings. Explicit acknowledgement of methodological constraints will further enhance the credibility of the review.</w:t>
      </w:r>
    </w:p>
    <w:p w:rsidR="00762B3E" w:rsidRDefault="00762B3E">
      <w:pPr>
        <w:spacing w:before="60" w:after="60"/>
      </w:pPr>
    </w:p>
    <w:p w:rsidR="00762B3E" w:rsidRDefault="00283E5C">
      <w:pPr>
        <w:pStyle w:val="Heading1"/>
      </w:pPr>
      <w:r>
        <w:t xml:space="preserve">6. Timeline and Gantt </w:t>
      </w:r>
      <w:proofErr w:type="gramStart"/>
      <w:r>
        <w:t>Chart</w:t>
      </w:r>
      <w:proofErr w:type="gramEnd"/>
    </w:p>
    <w:p w:rsidR="00762B3E" w:rsidRDefault="00283E5C">
      <w:pPr>
        <w:spacing w:before="80" w:after="120" w:line="276" w:lineRule="auto"/>
        <w:jc w:val="both"/>
      </w:pPr>
      <w:r>
        <w:t>The p</w:t>
      </w:r>
      <w:r>
        <w:t>roject is expected to be completed over a six-month period. The schedule below illustrates the planned sequence and overlap of key research activities.</w:t>
      </w:r>
    </w:p>
    <w:p w:rsidR="00762B3E" w:rsidRDefault="00762B3E">
      <w:pPr>
        <w:spacing w:before="60" w:after="60"/>
      </w:pPr>
    </w:p>
    <w:tbl>
      <w:tblPr>
        <w:tblW w:w="9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1060"/>
        <w:gridCol w:w="1060"/>
        <w:gridCol w:w="1060"/>
        <w:gridCol w:w="1060"/>
        <w:gridCol w:w="1060"/>
        <w:gridCol w:w="1060"/>
      </w:tblGrid>
      <w:tr w:rsidR="00762B3E">
        <w:tblPrEx>
          <w:tblCellMar>
            <w:top w:w="0" w:type="dxa"/>
            <w:bottom w:w="0" w:type="dxa"/>
          </w:tblCellMar>
        </w:tblPrEx>
        <w:trPr>
          <w:tblHeader/>
        </w:trPr>
        <w:tc>
          <w:tcPr>
            <w:tcW w:w="28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rsidR="00762B3E" w:rsidRDefault="00283E5C">
            <w:r>
              <w:rPr>
                <w:b/>
                <w:bCs/>
                <w:color w:val="FFFFFF"/>
                <w:sz w:val="18"/>
                <w:szCs w:val="18"/>
              </w:rPr>
              <w:t>Activity</w:t>
            </w:r>
          </w:p>
        </w:tc>
        <w:tc>
          <w:tcPr>
            <w:tcW w:w="1060" w:type="dxa"/>
            <w:tcBorders>
              <w:top w:val="single" w:sz="1" w:space="0" w:color="AAAAAA"/>
              <w:left w:val="single" w:sz="1" w:space="0" w:color="AAAAAA"/>
              <w:bottom w:val="single" w:sz="1" w:space="0" w:color="AAAAAA"/>
              <w:right w:val="single" w:sz="1" w:space="0" w:color="AAAAAA"/>
            </w:tcBorders>
            <w:shd w:val="clear" w:color="auto" w:fill="1F3864"/>
            <w:tcMar>
              <w:top w:w="80" w:type="dxa"/>
              <w:left w:w="60" w:type="dxa"/>
              <w:bottom w:w="80" w:type="dxa"/>
              <w:right w:w="60" w:type="dxa"/>
            </w:tcMar>
          </w:tcPr>
          <w:p w:rsidR="00762B3E" w:rsidRDefault="00283E5C">
            <w:pPr>
              <w:jc w:val="center"/>
            </w:pPr>
            <w:r>
              <w:rPr>
                <w:b/>
                <w:bCs/>
                <w:color w:val="FFFFFF"/>
                <w:sz w:val="16"/>
                <w:szCs w:val="16"/>
              </w:rPr>
              <w:t>Month 1</w:t>
            </w:r>
          </w:p>
        </w:tc>
        <w:tc>
          <w:tcPr>
            <w:tcW w:w="1060" w:type="dxa"/>
            <w:tcBorders>
              <w:top w:val="single" w:sz="1" w:space="0" w:color="AAAAAA"/>
              <w:left w:val="single" w:sz="1" w:space="0" w:color="AAAAAA"/>
              <w:bottom w:val="single" w:sz="1" w:space="0" w:color="AAAAAA"/>
              <w:right w:val="single" w:sz="1" w:space="0" w:color="AAAAAA"/>
            </w:tcBorders>
            <w:shd w:val="clear" w:color="auto" w:fill="1F3864"/>
            <w:tcMar>
              <w:top w:w="80" w:type="dxa"/>
              <w:left w:w="60" w:type="dxa"/>
              <w:bottom w:w="80" w:type="dxa"/>
              <w:right w:w="60" w:type="dxa"/>
            </w:tcMar>
          </w:tcPr>
          <w:p w:rsidR="00762B3E" w:rsidRDefault="00283E5C">
            <w:pPr>
              <w:jc w:val="center"/>
            </w:pPr>
            <w:r>
              <w:rPr>
                <w:b/>
                <w:bCs/>
                <w:color w:val="FFFFFF"/>
                <w:sz w:val="16"/>
                <w:szCs w:val="16"/>
              </w:rPr>
              <w:t>Month 2</w:t>
            </w:r>
          </w:p>
        </w:tc>
        <w:tc>
          <w:tcPr>
            <w:tcW w:w="1060" w:type="dxa"/>
            <w:tcBorders>
              <w:top w:val="single" w:sz="1" w:space="0" w:color="AAAAAA"/>
              <w:left w:val="single" w:sz="1" w:space="0" w:color="AAAAAA"/>
              <w:bottom w:val="single" w:sz="1" w:space="0" w:color="AAAAAA"/>
              <w:right w:val="single" w:sz="1" w:space="0" w:color="AAAAAA"/>
            </w:tcBorders>
            <w:shd w:val="clear" w:color="auto" w:fill="1F3864"/>
            <w:tcMar>
              <w:top w:w="80" w:type="dxa"/>
              <w:left w:w="60" w:type="dxa"/>
              <w:bottom w:w="80" w:type="dxa"/>
              <w:right w:w="60" w:type="dxa"/>
            </w:tcMar>
          </w:tcPr>
          <w:p w:rsidR="00762B3E" w:rsidRDefault="00283E5C">
            <w:pPr>
              <w:jc w:val="center"/>
            </w:pPr>
            <w:r>
              <w:rPr>
                <w:b/>
                <w:bCs/>
                <w:color w:val="FFFFFF"/>
                <w:sz w:val="16"/>
                <w:szCs w:val="16"/>
              </w:rPr>
              <w:t>Month 3</w:t>
            </w:r>
          </w:p>
        </w:tc>
        <w:tc>
          <w:tcPr>
            <w:tcW w:w="1060" w:type="dxa"/>
            <w:tcBorders>
              <w:top w:val="single" w:sz="1" w:space="0" w:color="AAAAAA"/>
              <w:left w:val="single" w:sz="1" w:space="0" w:color="AAAAAA"/>
              <w:bottom w:val="single" w:sz="1" w:space="0" w:color="AAAAAA"/>
              <w:right w:val="single" w:sz="1" w:space="0" w:color="AAAAAA"/>
            </w:tcBorders>
            <w:shd w:val="clear" w:color="auto" w:fill="1F3864"/>
            <w:tcMar>
              <w:top w:w="80" w:type="dxa"/>
              <w:left w:w="60" w:type="dxa"/>
              <w:bottom w:w="80" w:type="dxa"/>
              <w:right w:w="60" w:type="dxa"/>
            </w:tcMar>
          </w:tcPr>
          <w:p w:rsidR="00762B3E" w:rsidRDefault="00283E5C">
            <w:pPr>
              <w:jc w:val="center"/>
            </w:pPr>
            <w:r>
              <w:rPr>
                <w:b/>
                <w:bCs/>
                <w:color w:val="FFFFFF"/>
                <w:sz w:val="16"/>
                <w:szCs w:val="16"/>
              </w:rPr>
              <w:t>Month 4</w:t>
            </w:r>
          </w:p>
        </w:tc>
        <w:tc>
          <w:tcPr>
            <w:tcW w:w="1060" w:type="dxa"/>
            <w:tcBorders>
              <w:top w:val="single" w:sz="1" w:space="0" w:color="AAAAAA"/>
              <w:left w:val="single" w:sz="1" w:space="0" w:color="AAAAAA"/>
              <w:bottom w:val="single" w:sz="1" w:space="0" w:color="AAAAAA"/>
              <w:right w:val="single" w:sz="1" w:space="0" w:color="AAAAAA"/>
            </w:tcBorders>
            <w:shd w:val="clear" w:color="auto" w:fill="1F3864"/>
            <w:tcMar>
              <w:top w:w="80" w:type="dxa"/>
              <w:left w:w="60" w:type="dxa"/>
              <w:bottom w:w="80" w:type="dxa"/>
              <w:right w:w="60" w:type="dxa"/>
            </w:tcMar>
          </w:tcPr>
          <w:p w:rsidR="00762B3E" w:rsidRDefault="00283E5C">
            <w:pPr>
              <w:jc w:val="center"/>
            </w:pPr>
            <w:r>
              <w:rPr>
                <w:b/>
                <w:bCs/>
                <w:color w:val="FFFFFF"/>
                <w:sz w:val="16"/>
                <w:szCs w:val="16"/>
              </w:rPr>
              <w:t>Month 5</w:t>
            </w:r>
          </w:p>
        </w:tc>
        <w:tc>
          <w:tcPr>
            <w:tcW w:w="1060" w:type="dxa"/>
            <w:tcBorders>
              <w:top w:val="single" w:sz="1" w:space="0" w:color="AAAAAA"/>
              <w:left w:val="single" w:sz="1" w:space="0" w:color="AAAAAA"/>
              <w:bottom w:val="single" w:sz="1" w:space="0" w:color="AAAAAA"/>
              <w:right w:val="single" w:sz="1" w:space="0" w:color="AAAAAA"/>
            </w:tcBorders>
            <w:shd w:val="clear" w:color="auto" w:fill="1F3864"/>
            <w:tcMar>
              <w:top w:w="80" w:type="dxa"/>
              <w:left w:w="60" w:type="dxa"/>
              <w:bottom w:w="80" w:type="dxa"/>
              <w:right w:w="60" w:type="dxa"/>
            </w:tcMar>
          </w:tcPr>
          <w:p w:rsidR="00762B3E" w:rsidRDefault="00283E5C">
            <w:pPr>
              <w:jc w:val="center"/>
            </w:pPr>
            <w:r>
              <w:rPr>
                <w:b/>
                <w:bCs/>
                <w:color w:val="FFFFFF"/>
                <w:sz w:val="16"/>
                <w:szCs w:val="16"/>
              </w:rPr>
              <w:t>Month 6</w:t>
            </w:r>
          </w:p>
        </w:tc>
      </w:tr>
      <w:tr w:rsidR="00762B3E">
        <w:tblPrEx>
          <w:tblCellMar>
            <w:top w:w="0" w:type="dxa"/>
            <w:bottom w:w="0" w:type="dxa"/>
          </w:tblCellMar>
        </w:tblPrEx>
        <w:tc>
          <w:tcPr>
            <w:tcW w:w="2800" w:type="dxa"/>
            <w:tcBorders>
              <w:top w:val="single" w:sz="1" w:space="0" w:color="AAAAAA"/>
              <w:left w:val="single" w:sz="1" w:space="0" w:color="AAAAAA"/>
              <w:bottom w:val="single" w:sz="1" w:space="0" w:color="AAAAAA"/>
              <w:right w:val="single" w:sz="1" w:space="0" w:color="AAAAAA"/>
            </w:tcBorders>
            <w:shd w:val="clear" w:color="auto" w:fill="EBF0FA"/>
            <w:tcMar>
              <w:top w:w="60" w:type="dxa"/>
              <w:left w:w="120" w:type="dxa"/>
              <w:bottom w:w="60" w:type="dxa"/>
              <w:right w:w="120" w:type="dxa"/>
            </w:tcMar>
          </w:tcPr>
          <w:p w:rsidR="00762B3E" w:rsidRDefault="00283E5C">
            <w:r>
              <w:rPr>
                <w:sz w:val="18"/>
                <w:szCs w:val="18"/>
              </w:rPr>
              <w:t>Proposal Development</w:t>
            </w:r>
          </w:p>
        </w:tc>
        <w:tc>
          <w:tcPr>
            <w:tcW w:w="1060" w:type="dxa"/>
            <w:tcBorders>
              <w:top w:val="single" w:sz="1" w:space="0" w:color="AAAAAA"/>
              <w:left w:val="single" w:sz="1" w:space="0" w:color="AAAAAA"/>
              <w:bottom w:val="single" w:sz="1" w:space="0" w:color="AAAAAA"/>
              <w:right w:val="single" w:sz="1" w:space="0" w:color="AAAAAA"/>
            </w:tcBorders>
            <w:shd w:val="clear" w:color="auto" w:fill="2E5496"/>
            <w:tcMar>
              <w:top w:w="60" w:type="dxa"/>
              <w:left w:w="60" w:type="dxa"/>
              <w:bottom w:w="60" w:type="dxa"/>
              <w:right w:w="60" w:type="dxa"/>
            </w:tcMar>
          </w:tcPr>
          <w:p w:rsidR="00762B3E" w:rsidRDefault="00283E5C">
            <w:pPr>
              <w:jc w:val="center"/>
            </w:pPr>
            <w:r>
              <w:rPr>
                <w:color w:val="FFFFFF"/>
                <w:sz w:val="18"/>
                <w:szCs w:val="18"/>
              </w:rPr>
              <w:t>▪</w:t>
            </w:r>
          </w:p>
        </w:tc>
        <w:tc>
          <w:tcPr>
            <w:tcW w:w="1060" w:type="dxa"/>
            <w:tcBorders>
              <w:top w:val="single" w:sz="1" w:space="0" w:color="AAAAAA"/>
              <w:left w:val="single" w:sz="1" w:space="0" w:color="AAAAAA"/>
              <w:bottom w:val="single" w:sz="1" w:space="0" w:color="AAAAAA"/>
              <w:right w:val="single" w:sz="1" w:space="0" w:color="AAAAAA"/>
            </w:tcBorders>
            <w:shd w:val="clear" w:color="auto" w:fill="EBF0FA"/>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EBF0FA"/>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EBF0FA"/>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EBF0FA"/>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EBF0FA"/>
            <w:tcMar>
              <w:top w:w="60" w:type="dxa"/>
              <w:left w:w="60" w:type="dxa"/>
              <w:bottom w:w="60" w:type="dxa"/>
              <w:right w:w="60" w:type="dxa"/>
            </w:tcMar>
          </w:tcPr>
          <w:p w:rsidR="00762B3E" w:rsidRDefault="00762B3E">
            <w:pPr>
              <w:jc w:val="center"/>
            </w:pPr>
          </w:p>
        </w:tc>
      </w:tr>
      <w:tr w:rsidR="00762B3E">
        <w:tblPrEx>
          <w:tblCellMar>
            <w:top w:w="0" w:type="dxa"/>
            <w:bottom w:w="0" w:type="dxa"/>
          </w:tblCellMar>
        </w:tblPrEx>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rsidR="00762B3E" w:rsidRDefault="00283E5C">
            <w:r>
              <w:rPr>
                <w:sz w:val="18"/>
                <w:szCs w:val="18"/>
              </w:rPr>
              <w:t>Literature Search</w:t>
            </w:r>
          </w:p>
        </w:tc>
        <w:tc>
          <w:tcPr>
            <w:tcW w:w="1060" w:type="dxa"/>
            <w:tcBorders>
              <w:top w:val="single" w:sz="1" w:space="0" w:color="AAAAAA"/>
              <w:left w:val="single" w:sz="1" w:space="0" w:color="AAAAAA"/>
              <w:bottom w:val="single" w:sz="1" w:space="0" w:color="AAAAAA"/>
              <w:right w:val="single" w:sz="1" w:space="0" w:color="AAAAAA"/>
            </w:tcBorders>
            <w:shd w:val="clear" w:color="auto" w:fill="2E5496"/>
            <w:tcMar>
              <w:top w:w="60" w:type="dxa"/>
              <w:left w:w="60" w:type="dxa"/>
              <w:bottom w:w="60" w:type="dxa"/>
              <w:right w:w="60" w:type="dxa"/>
            </w:tcMar>
          </w:tcPr>
          <w:p w:rsidR="00762B3E" w:rsidRDefault="00283E5C">
            <w:pPr>
              <w:jc w:val="center"/>
            </w:pPr>
            <w:r>
              <w:rPr>
                <w:color w:val="FFFFFF"/>
                <w:sz w:val="18"/>
                <w:szCs w:val="18"/>
              </w:rPr>
              <w:t>▪</w:t>
            </w:r>
          </w:p>
        </w:tc>
        <w:tc>
          <w:tcPr>
            <w:tcW w:w="1060" w:type="dxa"/>
            <w:tcBorders>
              <w:top w:val="single" w:sz="1" w:space="0" w:color="AAAAAA"/>
              <w:left w:val="single" w:sz="1" w:space="0" w:color="AAAAAA"/>
              <w:bottom w:val="single" w:sz="1" w:space="0" w:color="AAAAAA"/>
              <w:right w:val="single" w:sz="1" w:space="0" w:color="AAAAAA"/>
            </w:tcBorders>
            <w:shd w:val="clear" w:color="auto" w:fill="2E5496"/>
            <w:tcMar>
              <w:top w:w="60" w:type="dxa"/>
              <w:left w:w="60" w:type="dxa"/>
              <w:bottom w:w="60" w:type="dxa"/>
              <w:right w:w="60" w:type="dxa"/>
            </w:tcMar>
          </w:tcPr>
          <w:p w:rsidR="00762B3E" w:rsidRDefault="00283E5C">
            <w:pPr>
              <w:jc w:val="center"/>
            </w:pPr>
            <w:r>
              <w:rPr>
                <w:color w:val="FFFFFF"/>
                <w:sz w:val="18"/>
                <w:szCs w:val="18"/>
              </w:rPr>
              <w:t>▪</w:t>
            </w:r>
          </w:p>
        </w:tc>
        <w:tc>
          <w:tcPr>
            <w:tcW w:w="10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rsidR="00762B3E" w:rsidRDefault="00762B3E">
            <w:pPr>
              <w:jc w:val="center"/>
            </w:pPr>
          </w:p>
        </w:tc>
      </w:tr>
      <w:tr w:rsidR="00762B3E">
        <w:tblPrEx>
          <w:tblCellMar>
            <w:top w:w="0" w:type="dxa"/>
            <w:bottom w:w="0" w:type="dxa"/>
          </w:tblCellMar>
        </w:tblPrEx>
        <w:tc>
          <w:tcPr>
            <w:tcW w:w="2800" w:type="dxa"/>
            <w:tcBorders>
              <w:top w:val="single" w:sz="1" w:space="0" w:color="AAAAAA"/>
              <w:left w:val="single" w:sz="1" w:space="0" w:color="AAAAAA"/>
              <w:bottom w:val="single" w:sz="1" w:space="0" w:color="AAAAAA"/>
              <w:right w:val="single" w:sz="1" w:space="0" w:color="AAAAAA"/>
            </w:tcBorders>
            <w:shd w:val="clear" w:color="auto" w:fill="EBF0FA"/>
            <w:tcMar>
              <w:top w:w="60" w:type="dxa"/>
              <w:left w:w="120" w:type="dxa"/>
              <w:bottom w:w="60" w:type="dxa"/>
              <w:right w:w="120" w:type="dxa"/>
            </w:tcMar>
          </w:tcPr>
          <w:p w:rsidR="00762B3E" w:rsidRDefault="00283E5C">
            <w:r>
              <w:rPr>
                <w:sz w:val="18"/>
                <w:szCs w:val="18"/>
              </w:rPr>
              <w:t>Screening &amp; Selection</w:t>
            </w:r>
          </w:p>
        </w:tc>
        <w:tc>
          <w:tcPr>
            <w:tcW w:w="1060" w:type="dxa"/>
            <w:tcBorders>
              <w:top w:val="single" w:sz="1" w:space="0" w:color="AAAAAA"/>
              <w:left w:val="single" w:sz="1" w:space="0" w:color="AAAAAA"/>
              <w:bottom w:val="single" w:sz="1" w:space="0" w:color="AAAAAA"/>
              <w:right w:val="single" w:sz="1" w:space="0" w:color="AAAAAA"/>
            </w:tcBorders>
            <w:shd w:val="clear" w:color="auto" w:fill="EBF0FA"/>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2E5496"/>
            <w:tcMar>
              <w:top w:w="60" w:type="dxa"/>
              <w:left w:w="60" w:type="dxa"/>
              <w:bottom w:w="60" w:type="dxa"/>
              <w:right w:w="60" w:type="dxa"/>
            </w:tcMar>
          </w:tcPr>
          <w:p w:rsidR="00762B3E" w:rsidRDefault="00283E5C">
            <w:pPr>
              <w:jc w:val="center"/>
            </w:pPr>
            <w:r>
              <w:rPr>
                <w:color w:val="FFFFFF"/>
                <w:sz w:val="18"/>
                <w:szCs w:val="18"/>
              </w:rPr>
              <w:t>▪</w:t>
            </w:r>
          </w:p>
        </w:tc>
        <w:tc>
          <w:tcPr>
            <w:tcW w:w="1060" w:type="dxa"/>
            <w:tcBorders>
              <w:top w:val="single" w:sz="1" w:space="0" w:color="AAAAAA"/>
              <w:left w:val="single" w:sz="1" w:space="0" w:color="AAAAAA"/>
              <w:bottom w:val="single" w:sz="1" w:space="0" w:color="AAAAAA"/>
              <w:right w:val="single" w:sz="1" w:space="0" w:color="AAAAAA"/>
            </w:tcBorders>
            <w:shd w:val="clear" w:color="auto" w:fill="2E5496"/>
            <w:tcMar>
              <w:top w:w="60" w:type="dxa"/>
              <w:left w:w="60" w:type="dxa"/>
              <w:bottom w:w="60" w:type="dxa"/>
              <w:right w:w="60" w:type="dxa"/>
            </w:tcMar>
          </w:tcPr>
          <w:p w:rsidR="00762B3E" w:rsidRDefault="00283E5C">
            <w:pPr>
              <w:jc w:val="center"/>
            </w:pPr>
            <w:r>
              <w:rPr>
                <w:color w:val="FFFFFF"/>
                <w:sz w:val="18"/>
                <w:szCs w:val="18"/>
              </w:rPr>
              <w:t>▪</w:t>
            </w:r>
          </w:p>
        </w:tc>
        <w:tc>
          <w:tcPr>
            <w:tcW w:w="1060" w:type="dxa"/>
            <w:tcBorders>
              <w:top w:val="single" w:sz="1" w:space="0" w:color="AAAAAA"/>
              <w:left w:val="single" w:sz="1" w:space="0" w:color="AAAAAA"/>
              <w:bottom w:val="single" w:sz="1" w:space="0" w:color="AAAAAA"/>
              <w:right w:val="single" w:sz="1" w:space="0" w:color="AAAAAA"/>
            </w:tcBorders>
            <w:shd w:val="clear" w:color="auto" w:fill="EBF0FA"/>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EBF0FA"/>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EBF0FA"/>
            <w:tcMar>
              <w:top w:w="60" w:type="dxa"/>
              <w:left w:w="60" w:type="dxa"/>
              <w:bottom w:w="60" w:type="dxa"/>
              <w:right w:w="60" w:type="dxa"/>
            </w:tcMar>
          </w:tcPr>
          <w:p w:rsidR="00762B3E" w:rsidRDefault="00762B3E">
            <w:pPr>
              <w:jc w:val="center"/>
            </w:pPr>
          </w:p>
        </w:tc>
      </w:tr>
      <w:tr w:rsidR="00762B3E">
        <w:tblPrEx>
          <w:tblCellMar>
            <w:top w:w="0" w:type="dxa"/>
            <w:bottom w:w="0" w:type="dxa"/>
          </w:tblCellMar>
        </w:tblPrEx>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rsidR="00762B3E" w:rsidRDefault="00283E5C">
            <w:r>
              <w:rPr>
                <w:sz w:val="18"/>
                <w:szCs w:val="18"/>
              </w:rPr>
              <w:t>Data Extraction</w:t>
            </w:r>
          </w:p>
        </w:tc>
        <w:tc>
          <w:tcPr>
            <w:tcW w:w="10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2E5496"/>
            <w:tcMar>
              <w:top w:w="60" w:type="dxa"/>
              <w:left w:w="60" w:type="dxa"/>
              <w:bottom w:w="60" w:type="dxa"/>
              <w:right w:w="60" w:type="dxa"/>
            </w:tcMar>
          </w:tcPr>
          <w:p w:rsidR="00762B3E" w:rsidRDefault="00283E5C">
            <w:pPr>
              <w:jc w:val="center"/>
            </w:pPr>
            <w:r>
              <w:rPr>
                <w:color w:val="FFFFFF"/>
                <w:sz w:val="18"/>
                <w:szCs w:val="18"/>
              </w:rPr>
              <w:t>▪</w:t>
            </w:r>
          </w:p>
        </w:tc>
        <w:tc>
          <w:tcPr>
            <w:tcW w:w="1060" w:type="dxa"/>
            <w:tcBorders>
              <w:top w:val="single" w:sz="1" w:space="0" w:color="AAAAAA"/>
              <w:left w:val="single" w:sz="1" w:space="0" w:color="AAAAAA"/>
              <w:bottom w:val="single" w:sz="1" w:space="0" w:color="AAAAAA"/>
              <w:right w:val="single" w:sz="1" w:space="0" w:color="AAAAAA"/>
            </w:tcBorders>
            <w:shd w:val="clear" w:color="auto" w:fill="2E5496"/>
            <w:tcMar>
              <w:top w:w="60" w:type="dxa"/>
              <w:left w:w="60" w:type="dxa"/>
              <w:bottom w:w="60" w:type="dxa"/>
              <w:right w:w="60" w:type="dxa"/>
            </w:tcMar>
          </w:tcPr>
          <w:p w:rsidR="00762B3E" w:rsidRDefault="00283E5C">
            <w:pPr>
              <w:jc w:val="center"/>
            </w:pPr>
            <w:r>
              <w:rPr>
                <w:color w:val="FFFFFF"/>
                <w:sz w:val="18"/>
                <w:szCs w:val="18"/>
              </w:rPr>
              <w:t>▪</w:t>
            </w:r>
          </w:p>
        </w:tc>
        <w:tc>
          <w:tcPr>
            <w:tcW w:w="10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rsidR="00762B3E" w:rsidRDefault="00762B3E">
            <w:pPr>
              <w:jc w:val="center"/>
            </w:pPr>
          </w:p>
        </w:tc>
      </w:tr>
      <w:tr w:rsidR="00762B3E">
        <w:tblPrEx>
          <w:tblCellMar>
            <w:top w:w="0" w:type="dxa"/>
            <w:bottom w:w="0" w:type="dxa"/>
          </w:tblCellMar>
        </w:tblPrEx>
        <w:tc>
          <w:tcPr>
            <w:tcW w:w="2800" w:type="dxa"/>
            <w:tcBorders>
              <w:top w:val="single" w:sz="1" w:space="0" w:color="AAAAAA"/>
              <w:left w:val="single" w:sz="1" w:space="0" w:color="AAAAAA"/>
              <w:bottom w:val="single" w:sz="1" w:space="0" w:color="AAAAAA"/>
              <w:right w:val="single" w:sz="1" w:space="0" w:color="AAAAAA"/>
            </w:tcBorders>
            <w:shd w:val="clear" w:color="auto" w:fill="EBF0FA"/>
            <w:tcMar>
              <w:top w:w="60" w:type="dxa"/>
              <w:left w:w="120" w:type="dxa"/>
              <w:bottom w:w="60" w:type="dxa"/>
              <w:right w:w="120" w:type="dxa"/>
            </w:tcMar>
          </w:tcPr>
          <w:p w:rsidR="00762B3E" w:rsidRDefault="00283E5C">
            <w:r>
              <w:rPr>
                <w:sz w:val="18"/>
                <w:szCs w:val="18"/>
              </w:rPr>
              <w:t>Quality Appraisal (CASP)</w:t>
            </w:r>
          </w:p>
        </w:tc>
        <w:tc>
          <w:tcPr>
            <w:tcW w:w="1060" w:type="dxa"/>
            <w:tcBorders>
              <w:top w:val="single" w:sz="1" w:space="0" w:color="AAAAAA"/>
              <w:left w:val="single" w:sz="1" w:space="0" w:color="AAAAAA"/>
              <w:bottom w:val="single" w:sz="1" w:space="0" w:color="AAAAAA"/>
              <w:right w:val="single" w:sz="1" w:space="0" w:color="AAAAAA"/>
            </w:tcBorders>
            <w:shd w:val="clear" w:color="auto" w:fill="EBF0FA"/>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EBF0FA"/>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2E5496"/>
            <w:tcMar>
              <w:top w:w="60" w:type="dxa"/>
              <w:left w:w="60" w:type="dxa"/>
              <w:bottom w:w="60" w:type="dxa"/>
              <w:right w:w="60" w:type="dxa"/>
            </w:tcMar>
          </w:tcPr>
          <w:p w:rsidR="00762B3E" w:rsidRDefault="00283E5C">
            <w:pPr>
              <w:jc w:val="center"/>
            </w:pPr>
            <w:r>
              <w:rPr>
                <w:color w:val="FFFFFF"/>
                <w:sz w:val="18"/>
                <w:szCs w:val="18"/>
              </w:rPr>
              <w:t>▪</w:t>
            </w:r>
          </w:p>
        </w:tc>
        <w:tc>
          <w:tcPr>
            <w:tcW w:w="1060" w:type="dxa"/>
            <w:tcBorders>
              <w:top w:val="single" w:sz="1" w:space="0" w:color="AAAAAA"/>
              <w:left w:val="single" w:sz="1" w:space="0" w:color="AAAAAA"/>
              <w:bottom w:val="single" w:sz="1" w:space="0" w:color="AAAAAA"/>
              <w:right w:val="single" w:sz="1" w:space="0" w:color="AAAAAA"/>
            </w:tcBorders>
            <w:shd w:val="clear" w:color="auto" w:fill="2E5496"/>
            <w:tcMar>
              <w:top w:w="60" w:type="dxa"/>
              <w:left w:w="60" w:type="dxa"/>
              <w:bottom w:w="60" w:type="dxa"/>
              <w:right w:w="60" w:type="dxa"/>
            </w:tcMar>
          </w:tcPr>
          <w:p w:rsidR="00762B3E" w:rsidRDefault="00283E5C">
            <w:pPr>
              <w:jc w:val="center"/>
            </w:pPr>
            <w:r>
              <w:rPr>
                <w:color w:val="FFFFFF"/>
                <w:sz w:val="18"/>
                <w:szCs w:val="18"/>
              </w:rPr>
              <w:t>▪</w:t>
            </w:r>
          </w:p>
        </w:tc>
        <w:tc>
          <w:tcPr>
            <w:tcW w:w="1060" w:type="dxa"/>
            <w:tcBorders>
              <w:top w:val="single" w:sz="1" w:space="0" w:color="AAAAAA"/>
              <w:left w:val="single" w:sz="1" w:space="0" w:color="AAAAAA"/>
              <w:bottom w:val="single" w:sz="1" w:space="0" w:color="AAAAAA"/>
              <w:right w:val="single" w:sz="1" w:space="0" w:color="AAAAAA"/>
            </w:tcBorders>
            <w:shd w:val="clear" w:color="auto" w:fill="EBF0FA"/>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EBF0FA"/>
            <w:tcMar>
              <w:top w:w="60" w:type="dxa"/>
              <w:left w:w="60" w:type="dxa"/>
              <w:bottom w:w="60" w:type="dxa"/>
              <w:right w:w="60" w:type="dxa"/>
            </w:tcMar>
          </w:tcPr>
          <w:p w:rsidR="00762B3E" w:rsidRDefault="00762B3E">
            <w:pPr>
              <w:jc w:val="center"/>
            </w:pPr>
          </w:p>
        </w:tc>
      </w:tr>
      <w:tr w:rsidR="00762B3E">
        <w:tblPrEx>
          <w:tblCellMar>
            <w:top w:w="0" w:type="dxa"/>
            <w:bottom w:w="0" w:type="dxa"/>
          </w:tblCellMar>
        </w:tblPrEx>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rsidR="00762B3E" w:rsidRDefault="00283E5C">
            <w:r>
              <w:rPr>
                <w:sz w:val="18"/>
                <w:szCs w:val="18"/>
              </w:rPr>
              <w:t>Thematic Analysis</w:t>
            </w:r>
          </w:p>
        </w:tc>
        <w:tc>
          <w:tcPr>
            <w:tcW w:w="10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2E5496"/>
            <w:tcMar>
              <w:top w:w="60" w:type="dxa"/>
              <w:left w:w="60" w:type="dxa"/>
              <w:bottom w:w="60" w:type="dxa"/>
              <w:right w:w="60" w:type="dxa"/>
            </w:tcMar>
          </w:tcPr>
          <w:p w:rsidR="00762B3E" w:rsidRDefault="00283E5C">
            <w:pPr>
              <w:jc w:val="center"/>
            </w:pPr>
            <w:r>
              <w:rPr>
                <w:color w:val="FFFFFF"/>
                <w:sz w:val="18"/>
                <w:szCs w:val="18"/>
              </w:rPr>
              <w:t>▪</w:t>
            </w:r>
          </w:p>
        </w:tc>
        <w:tc>
          <w:tcPr>
            <w:tcW w:w="1060" w:type="dxa"/>
            <w:tcBorders>
              <w:top w:val="single" w:sz="1" w:space="0" w:color="AAAAAA"/>
              <w:left w:val="single" w:sz="1" w:space="0" w:color="AAAAAA"/>
              <w:bottom w:val="single" w:sz="1" w:space="0" w:color="AAAAAA"/>
              <w:right w:val="single" w:sz="1" w:space="0" w:color="AAAAAA"/>
            </w:tcBorders>
            <w:shd w:val="clear" w:color="auto" w:fill="2E5496"/>
            <w:tcMar>
              <w:top w:w="60" w:type="dxa"/>
              <w:left w:w="60" w:type="dxa"/>
              <w:bottom w:w="60" w:type="dxa"/>
              <w:right w:w="60" w:type="dxa"/>
            </w:tcMar>
          </w:tcPr>
          <w:p w:rsidR="00762B3E" w:rsidRDefault="00283E5C">
            <w:pPr>
              <w:jc w:val="center"/>
            </w:pPr>
            <w:r>
              <w:rPr>
                <w:color w:val="FFFFFF"/>
                <w:sz w:val="18"/>
                <w:szCs w:val="18"/>
              </w:rPr>
              <w:t>▪</w:t>
            </w:r>
          </w:p>
        </w:tc>
        <w:tc>
          <w:tcPr>
            <w:tcW w:w="10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rsidR="00762B3E" w:rsidRDefault="00762B3E">
            <w:pPr>
              <w:jc w:val="center"/>
            </w:pPr>
          </w:p>
        </w:tc>
      </w:tr>
      <w:tr w:rsidR="00762B3E">
        <w:tblPrEx>
          <w:tblCellMar>
            <w:top w:w="0" w:type="dxa"/>
            <w:bottom w:w="0" w:type="dxa"/>
          </w:tblCellMar>
        </w:tblPrEx>
        <w:tc>
          <w:tcPr>
            <w:tcW w:w="2800" w:type="dxa"/>
            <w:tcBorders>
              <w:top w:val="single" w:sz="1" w:space="0" w:color="AAAAAA"/>
              <w:left w:val="single" w:sz="1" w:space="0" w:color="AAAAAA"/>
              <w:bottom w:val="single" w:sz="1" w:space="0" w:color="AAAAAA"/>
              <w:right w:val="single" w:sz="1" w:space="0" w:color="AAAAAA"/>
            </w:tcBorders>
            <w:shd w:val="clear" w:color="auto" w:fill="EBF0FA"/>
            <w:tcMar>
              <w:top w:w="60" w:type="dxa"/>
              <w:left w:w="120" w:type="dxa"/>
              <w:bottom w:w="60" w:type="dxa"/>
              <w:right w:w="120" w:type="dxa"/>
            </w:tcMar>
          </w:tcPr>
          <w:p w:rsidR="00762B3E" w:rsidRDefault="00283E5C">
            <w:r>
              <w:rPr>
                <w:sz w:val="18"/>
                <w:szCs w:val="18"/>
              </w:rPr>
              <w:t>Framework Development</w:t>
            </w:r>
          </w:p>
        </w:tc>
        <w:tc>
          <w:tcPr>
            <w:tcW w:w="1060" w:type="dxa"/>
            <w:tcBorders>
              <w:top w:val="single" w:sz="1" w:space="0" w:color="AAAAAA"/>
              <w:left w:val="single" w:sz="1" w:space="0" w:color="AAAAAA"/>
              <w:bottom w:val="single" w:sz="1" w:space="0" w:color="AAAAAA"/>
              <w:right w:val="single" w:sz="1" w:space="0" w:color="AAAAAA"/>
            </w:tcBorders>
            <w:shd w:val="clear" w:color="auto" w:fill="EBF0FA"/>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EBF0FA"/>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EBF0FA"/>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2E5496"/>
            <w:tcMar>
              <w:top w:w="60" w:type="dxa"/>
              <w:left w:w="60" w:type="dxa"/>
              <w:bottom w:w="60" w:type="dxa"/>
              <w:right w:w="60" w:type="dxa"/>
            </w:tcMar>
          </w:tcPr>
          <w:p w:rsidR="00762B3E" w:rsidRDefault="00283E5C">
            <w:pPr>
              <w:jc w:val="center"/>
            </w:pPr>
            <w:r>
              <w:rPr>
                <w:color w:val="FFFFFF"/>
                <w:sz w:val="18"/>
                <w:szCs w:val="18"/>
              </w:rPr>
              <w:t>▪</w:t>
            </w:r>
          </w:p>
        </w:tc>
        <w:tc>
          <w:tcPr>
            <w:tcW w:w="1060" w:type="dxa"/>
            <w:tcBorders>
              <w:top w:val="single" w:sz="1" w:space="0" w:color="AAAAAA"/>
              <w:left w:val="single" w:sz="1" w:space="0" w:color="AAAAAA"/>
              <w:bottom w:val="single" w:sz="1" w:space="0" w:color="AAAAAA"/>
              <w:right w:val="single" w:sz="1" w:space="0" w:color="AAAAAA"/>
            </w:tcBorders>
            <w:shd w:val="clear" w:color="auto" w:fill="2E5496"/>
            <w:tcMar>
              <w:top w:w="60" w:type="dxa"/>
              <w:left w:w="60" w:type="dxa"/>
              <w:bottom w:w="60" w:type="dxa"/>
              <w:right w:w="60" w:type="dxa"/>
            </w:tcMar>
          </w:tcPr>
          <w:p w:rsidR="00762B3E" w:rsidRDefault="00283E5C">
            <w:pPr>
              <w:jc w:val="center"/>
            </w:pPr>
            <w:r>
              <w:rPr>
                <w:color w:val="FFFFFF"/>
                <w:sz w:val="18"/>
                <w:szCs w:val="18"/>
              </w:rPr>
              <w:t>▪</w:t>
            </w:r>
          </w:p>
        </w:tc>
        <w:tc>
          <w:tcPr>
            <w:tcW w:w="1060" w:type="dxa"/>
            <w:tcBorders>
              <w:top w:val="single" w:sz="1" w:space="0" w:color="AAAAAA"/>
              <w:left w:val="single" w:sz="1" w:space="0" w:color="AAAAAA"/>
              <w:bottom w:val="single" w:sz="1" w:space="0" w:color="AAAAAA"/>
              <w:right w:val="single" w:sz="1" w:space="0" w:color="AAAAAA"/>
            </w:tcBorders>
            <w:shd w:val="clear" w:color="auto" w:fill="EBF0FA"/>
            <w:tcMar>
              <w:top w:w="60" w:type="dxa"/>
              <w:left w:w="60" w:type="dxa"/>
              <w:bottom w:w="60" w:type="dxa"/>
              <w:right w:w="60" w:type="dxa"/>
            </w:tcMar>
          </w:tcPr>
          <w:p w:rsidR="00762B3E" w:rsidRDefault="00762B3E">
            <w:pPr>
              <w:jc w:val="center"/>
            </w:pPr>
          </w:p>
        </w:tc>
      </w:tr>
      <w:tr w:rsidR="00762B3E">
        <w:tblPrEx>
          <w:tblCellMar>
            <w:top w:w="0" w:type="dxa"/>
            <w:bottom w:w="0" w:type="dxa"/>
          </w:tblCellMar>
        </w:tblPrEx>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rsidR="00762B3E" w:rsidRDefault="00283E5C">
            <w:r>
              <w:rPr>
                <w:sz w:val="18"/>
                <w:szCs w:val="18"/>
              </w:rPr>
              <w:t>Writing Findings</w:t>
            </w:r>
          </w:p>
        </w:tc>
        <w:tc>
          <w:tcPr>
            <w:tcW w:w="10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2E5496"/>
            <w:tcMar>
              <w:top w:w="60" w:type="dxa"/>
              <w:left w:w="60" w:type="dxa"/>
              <w:bottom w:w="60" w:type="dxa"/>
              <w:right w:w="60" w:type="dxa"/>
            </w:tcMar>
          </w:tcPr>
          <w:p w:rsidR="00762B3E" w:rsidRDefault="00283E5C">
            <w:pPr>
              <w:jc w:val="center"/>
            </w:pPr>
            <w:r>
              <w:rPr>
                <w:color w:val="FFFFFF"/>
                <w:sz w:val="18"/>
                <w:szCs w:val="18"/>
              </w:rPr>
              <w:t>▪</w:t>
            </w:r>
          </w:p>
        </w:tc>
        <w:tc>
          <w:tcPr>
            <w:tcW w:w="10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rsidR="00762B3E" w:rsidRDefault="00762B3E">
            <w:pPr>
              <w:jc w:val="center"/>
            </w:pPr>
          </w:p>
        </w:tc>
      </w:tr>
      <w:tr w:rsidR="00762B3E">
        <w:tblPrEx>
          <w:tblCellMar>
            <w:top w:w="0" w:type="dxa"/>
            <w:bottom w:w="0" w:type="dxa"/>
          </w:tblCellMar>
        </w:tblPrEx>
        <w:tc>
          <w:tcPr>
            <w:tcW w:w="2800" w:type="dxa"/>
            <w:tcBorders>
              <w:top w:val="single" w:sz="1" w:space="0" w:color="AAAAAA"/>
              <w:left w:val="single" w:sz="1" w:space="0" w:color="AAAAAA"/>
              <w:bottom w:val="single" w:sz="1" w:space="0" w:color="AAAAAA"/>
              <w:right w:val="single" w:sz="1" w:space="0" w:color="AAAAAA"/>
            </w:tcBorders>
            <w:shd w:val="clear" w:color="auto" w:fill="EBF0FA"/>
            <w:tcMar>
              <w:top w:w="60" w:type="dxa"/>
              <w:left w:w="120" w:type="dxa"/>
              <w:bottom w:w="60" w:type="dxa"/>
              <w:right w:w="120" w:type="dxa"/>
            </w:tcMar>
          </w:tcPr>
          <w:p w:rsidR="00762B3E" w:rsidRDefault="00283E5C">
            <w:r>
              <w:rPr>
                <w:sz w:val="18"/>
                <w:szCs w:val="18"/>
              </w:rPr>
              <w:t>Editing &amp; Review</w:t>
            </w:r>
          </w:p>
        </w:tc>
        <w:tc>
          <w:tcPr>
            <w:tcW w:w="1060" w:type="dxa"/>
            <w:tcBorders>
              <w:top w:val="single" w:sz="1" w:space="0" w:color="AAAAAA"/>
              <w:left w:val="single" w:sz="1" w:space="0" w:color="AAAAAA"/>
              <w:bottom w:val="single" w:sz="1" w:space="0" w:color="AAAAAA"/>
              <w:right w:val="single" w:sz="1" w:space="0" w:color="AAAAAA"/>
            </w:tcBorders>
            <w:shd w:val="clear" w:color="auto" w:fill="EBF0FA"/>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EBF0FA"/>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EBF0FA"/>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EBF0FA"/>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2E5496"/>
            <w:tcMar>
              <w:top w:w="60" w:type="dxa"/>
              <w:left w:w="60" w:type="dxa"/>
              <w:bottom w:w="60" w:type="dxa"/>
              <w:right w:w="60" w:type="dxa"/>
            </w:tcMar>
          </w:tcPr>
          <w:p w:rsidR="00762B3E" w:rsidRDefault="00283E5C">
            <w:pPr>
              <w:jc w:val="center"/>
            </w:pPr>
            <w:r>
              <w:rPr>
                <w:color w:val="FFFFFF"/>
                <w:sz w:val="18"/>
                <w:szCs w:val="18"/>
              </w:rPr>
              <w:t>▪</w:t>
            </w:r>
          </w:p>
        </w:tc>
        <w:tc>
          <w:tcPr>
            <w:tcW w:w="1060" w:type="dxa"/>
            <w:tcBorders>
              <w:top w:val="single" w:sz="1" w:space="0" w:color="AAAAAA"/>
              <w:left w:val="single" w:sz="1" w:space="0" w:color="AAAAAA"/>
              <w:bottom w:val="single" w:sz="1" w:space="0" w:color="AAAAAA"/>
              <w:right w:val="single" w:sz="1" w:space="0" w:color="AAAAAA"/>
            </w:tcBorders>
            <w:shd w:val="clear" w:color="auto" w:fill="2E5496"/>
            <w:tcMar>
              <w:top w:w="60" w:type="dxa"/>
              <w:left w:w="60" w:type="dxa"/>
              <w:bottom w:w="60" w:type="dxa"/>
              <w:right w:w="60" w:type="dxa"/>
            </w:tcMar>
          </w:tcPr>
          <w:p w:rsidR="00762B3E" w:rsidRDefault="00283E5C">
            <w:pPr>
              <w:jc w:val="center"/>
            </w:pPr>
            <w:r>
              <w:rPr>
                <w:color w:val="FFFFFF"/>
                <w:sz w:val="18"/>
                <w:szCs w:val="18"/>
              </w:rPr>
              <w:t>▪</w:t>
            </w:r>
          </w:p>
        </w:tc>
      </w:tr>
      <w:tr w:rsidR="00762B3E">
        <w:tblPrEx>
          <w:tblCellMar>
            <w:top w:w="0" w:type="dxa"/>
            <w:bottom w:w="0" w:type="dxa"/>
          </w:tblCellMar>
        </w:tblPrEx>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rsidR="00762B3E" w:rsidRDefault="00283E5C">
            <w:r>
              <w:rPr>
                <w:sz w:val="18"/>
                <w:szCs w:val="18"/>
              </w:rPr>
              <w:lastRenderedPageBreak/>
              <w:t>Final Submission</w:t>
            </w:r>
          </w:p>
        </w:tc>
        <w:tc>
          <w:tcPr>
            <w:tcW w:w="10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FFFFFF"/>
            <w:tcMar>
              <w:top w:w="60" w:type="dxa"/>
              <w:left w:w="60" w:type="dxa"/>
              <w:bottom w:w="60" w:type="dxa"/>
              <w:right w:w="60" w:type="dxa"/>
            </w:tcMar>
          </w:tcPr>
          <w:p w:rsidR="00762B3E" w:rsidRDefault="00762B3E">
            <w:pPr>
              <w:jc w:val="center"/>
            </w:pPr>
          </w:p>
        </w:tc>
        <w:tc>
          <w:tcPr>
            <w:tcW w:w="1060" w:type="dxa"/>
            <w:tcBorders>
              <w:top w:val="single" w:sz="1" w:space="0" w:color="AAAAAA"/>
              <w:left w:val="single" w:sz="1" w:space="0" w:color="AAAAAA"/>
              <w:bottom w:val="single" w:sz="1" w:space="0" w:color="AAAAAA"/>
              <w:right w:val="single" w:sz="1" w:space="0" w:color="AAAAAA"/>
            </w:tcBorders>
            <w:shd w:val="clear" w:color="auto" w:fill="2E5496"/>
            <w:tcMar>
              <w:top w:w="60" w:type="dxa"/>
              <w:left w:w="60" w:type="dxa"/>
              <w:bottom w:w="60" w:type="dxa"/>
              <w:right w:w="60" w:type="dxa"/>
            </w:tcMar>
          </w:tcPr>
          <w:p w:rsidR="00762B3E" w:rsidRDefault="00283E5C">
            <w:pPr>
              <w:jc w:val="center"/>
            </w:pPr>
            <w:r>
              <w:rPr>
                <w:color w:val="FFFFFF"/>
                <w:sz w:val="18"/>
                <w:szCs w:val="18"/>
              </w:rPr>
              <w:t>▪</w:t>
            </w:r>
          </w:p>
        </w:tc>
      </w:tr>
    </w:tbl>
    <w:p w:rsidR="00762B3E" w:rsidRDefault="00762B3E">
      <w:pPr>
        <w:spacing w:before="60" w:after="60"/>
      </w:pPr>
    </w:p>
    <w:p w:rsidR="00762B3E" w:rsidRDefault="00283E5C">
      <w:pPr>
        <w:spacing w:before="80" w:after="120" w:line="276" w:lineRule="auto"/>
        <w:jc w:val="both"/>
      </w:pPr>
      <w:r>
        <w:t>Activities are sequenced to allow iterative engagement with the literature. Literature search and screening overlap to allow continuous refinement of search terms. Data extraction and quality appraisal are conducted simultaneously to maintain efficiency. F</w:t>
      </w:r>
      <w:r>
        <w:t>ramework development begins during the analytical phase and continues alongside writing to allow conceptual refinement informed by emerging themes.</w:t>
      </w:r>
    </w:p>
    <w:p w:rsidR="00762B3E" w:rsidRDefault="00762B3E">
      <w:pPr>
        <w:spacing w:before="60" w:after="60"/>
      </w:pPr>
    </w:p>
    <w:p w:rsidR="00762B3E" w:rsidRDefault="00283E5C">
      <w:pPr>
        <w:pStyle w:val="Heading1"/>
      </w:pPr>
      <w:r>
        <w:t>7. Conclusion</w:t>
      </w:r>
    </w:p>
    <w:p w:rsidR="00762B3E" w:rsidRDefault="00283E5C">
      <w:pPr>
        <w:spacing w:before="80" w:after="120" w:line="276" w:lineRule="auto"/>
        <w:jc w:val="both"/>
      </w:pPr>
      <w:r>
        <w:t>The transition towards electric mobility in China represents one of the most significant developments in contemporary transportation systems. While EV adoption has accelerated substantially, the withdrawal of direct government subsidies and the resulting e</w:t>
      </w:r>
      <w:r>
        <w:t>mergence of a market-driven consumer landscape has created new psychological and economic barriers for mainstream buyers. Existing research has identified numerous barriers and drivers, yet the interaction between consumer trust and perceived risk within C</w:t>
      </w:r>
      <w:r>
        <w:t>hina’s distinctive post-subsidy market context remains insufficiently understood.</w:t>
      </w:r>
    </w:p>
    <w:p w:rsidR="00762B3E" w:rsidRDefault="00283E5C">
      <w:pPr>
        <w:spacing w:before="80" w:after="120" w:line="276" w:lineRule="auto"/>
        <w:jc w:val="both"/>
      </w:pPr>
      <w:r>
        <w:t>This proposal argues that trust should be conceptualised not merely as an independent predictor of purchase intention but as a behavioural mechanism through which consumers r</w:t>
      </w:r>
      <w:r>
        <w:t xml:space="preserve">educe uncertainty and tolerate perceived risks. By synthesising contemporary literature focused on the Chinese market, this dissertation seeks to develop an integrated conceptual framework explaining how technological trust, brand trust, and institutional </w:t>
      </w:r>
      <w:r>
        <w:t>trust influence purchase intentions through their impact on financial, functional, infrastructural, and psychological risk perceptions.</w:t>
      </w:r>
    </w:p>
    <w:p w:rsidR="00762B3E" w:rsidRDefault="00283E5C">
      <w:pPr>
        <w:spacing w:before="80" w:after="120" w:line="276" w:lineRule="auto"/>
        <w:jc w:val="both"/>
      </w:pPr>
      <w:r>
        <w:t>The systematic literature review is expected to contribute to academic theory, practical policy development, and methodo</w:t>
      </w:r>
      <w:r>
        <w:t>logical synthesis. Through its focus on the interaction between trust and perceived risk within China’s post-subsidy EV market, this dissertation aims to provide a nuanced and theoretically integrated explanation of electric vehicle adoption behaviour in t</w:t>
      </w:r>
      <w:r>
        <w:t>he world’s largest and most strategically significant EV market.</w:t>
      </w:r>
    </w:p>
    <w:p w:rsidR="00762B3E" w:rsidRDefault="00762B3E">
      <w:pPr>
        <w:spacing w:before="60" w:after="60"/>
      </w:pPr>
    </w:p>
    <w:p w:rsidR="002D15CB" w:rsidRDefault="002D15CB">
      <w:pPr>
        <w:pStyle w:val="Heading1"/>
      </w:pPr>
    </w:p>
    <w:p w:rsidR="002D15CB" w:rsidRDefault="002D15CB">
      <w:pPr>
        <w:pStyle w:val="Heading1"/>
      </w:pPr>
    </w:p>
    <w:p w:rsidR="002D15CB" w:rsidRDefault="002D15CB">
      <w:pPr>
        <w:pStyle w:val="Heading1"/>
      </w:pPr>
    </w:p>
    <w:p w:rsidR="002D15CB" w:rsidRDefault="002D15CB">
      <w:pPr>
        <w:pStyle w:val="Heading1"/>
      </w:pPr>
    </w:p>
    <w:p w:rsidR="002D15CB" w:rsidRDefault="002D15CB">
      <w:pPr>
        <w:pStyle w:val="Heading1"/>
      </w:pPr>
    </w:p>
    <w:p w:rsidR="00762B3E" w:rsidRDefault="00283E5C">
      <w:pPr>
        <w:pStyle w:val="Heading1"/>
      </w:pPr>
      <w:r>
        <w:lastRenderedPageBreak/>
        <w:t>References</w:t>
      </w:r>
    </w:p>
    <w:p w:rsidR="00762B3E" w:rsidRDefault="00283E5C">
      <w:pPr>
        <w:spacing w:before="80" w:after="120" w:line="276" w:lineRule="auto"/>
        <w:jc w:val="both"/>
      </w:pPr>
      <w:proofErr w:type="spellStart"/>
      <w:r>
        <w:t>Ajzen</w:t>
      </w:r>
      <w:proofErr w:type="spellEnd"/>
      <w:r>
        <w:t xml:space="preserve">, I. (1991) ‘The theory of planned </w:t>
      </w:r>
      <w:proofErr w:type="spellStart"/>
      <w:r>
        <w:t>behavior</w:t>
      </w:r>
      <w:proofErr w:type="spellEnd"/>
      <w:r>
        <w:t xml:space="preserve">’, Organizational </w:t>
      </w:r>
      <w:proofErr w:type="spellStart"/>
      <w:r>
        <w:t>Behavior</w:t>
      </w:r>
      <w:proofErr w:type="spellEnd"/>
      <w:r>
        <w:t xml:space="preserve"> and Human Decision Processes, 50(2), pp. 179–211.</w:t>
      </w:r>
    </w:p>
    <w:p w:rsidR="00762B3E" w:rsidRDefault="00283E5C">
      <w:pPr>
        <w:spacing w:before="80" w:after="120" w:line="276" w:lineRule="auto"/>
        <w:jc w:val="both"/>
      </w:pPr>
      <w:r>
        <w:t>Braun, V. and Clarke, V. (2006) ‘Using thematic analysis in psychology’, Qualitative Research in Psychology, 3(2), pp. 77–101.</w:t>
      </w:r>
    </w:p>
    <w:p w:rsidR="00762B3E" w:rsidRDefault="00283E5C">
      <w:pPr>
        <w:spacing w:before="80" w:after="120" w:line="276" w:lineRule="auto"/>
        <w:jc w:val="both"/>
      </w:pPr>
      <w:r>
        <w:t>Davis, F.D. (1989) ‘Perceived usefulness, perceived ease of use, and user acceptance of information technology’, MIS Quarterly, 1</w:t>
      </w:r>
      <w:r>
        <w:t>3(3), pp. 319–340.</w:t>
      </w:r>
    </w:p>
    <w:p w:rsidR="00762B3E" w:rsidRDefault="00283E5C">
      <w:pPr>
        <w:spacing w:before="80" w:after="120" w:line="276" w:lineRule="auto"/>
        <w:jc w:val="both"/>
      </w:pPr>
      <w:r>
        <w:t>International Energy Agency (2025) Global EV Outlook 2025. Paris: International Energy Agency.</w:t>
      </w:r>
    </w:p>
    <w:p w:rsidR="00762B3E" w:rsidRDefault="00283E5C">
      <w:pPr>
        <w:spacing w:before="80" w:after="120" w:line="276" w:lineRule="auto"/>
        <w:jc w:val="both"/>
      </w:pPr>
      <w:proofErr w:type="spellStart"/>
      <w:r>
        <w:t>Ivanova</w:t>
      </w:r>
      <w:proofErr w:type="spellEnd"/>
      <w:r>
        <w:t>, G. and Moreira, A.C. (2023) ‘Antecedents of electric vehicle purchase intention from the consumer’s perspective: A systematic literat</w:t>
      </w:r>
      <w:r>
        <w:t>ure review’, Sustainability, 15(4), pp. 2878–2903.</w:t>
      </w:r>
    </w:p>
    <w:p w:rsidR="00762B3E" w:rsidRDefault="00283E5C">
      <w:pPr>
        <w:spacing w:before="80" w:after="120" w:line="276" w:lineRule="auto"/>
        <w:jc w:val="both"/>
      </w:pPr>
      <w:r>
        <w:t xml:space="preserve">Mayer, R.C., Davis, J.H. and </w:t>
      </w:r>
      <w:proofErr w:type="spellStart"/>
      <w:r>
        <w:t>Schoorman</w:t>
      </w:r>
      <w:proofErr w:type="spellEnd"/>
      <w:r>
        <w:t>, F.D. (1995) ‘An integrative model of organizational trust’, Academy of Management Review, 20(3), pp. 709–734.</w:t>
      </w:r>
    </w:p>
    <w:p w:rsidR="00762B3E" w:rsidRDefault="00283E5C">
      <w:pPr>
        <w:spacing w:before="80" w:after="120" w:line="276" w:lineRule="auto"/>
        <w:jc w:val="both"/>
      </w:pPr>
      <w:r>
        <w:t>Page, M.J. et al. (2021) ‘The PRISMA 2020 statement: An</w:t>
      </w:r>
      <w:r>
        <w:t xml:space="preserve"> updated guideline for reporting systematic reviews’, BMJ, 372, n71.</w:t>
      </w:r>
    </w:p>
    <w:p w:rsidR="00762B3E" w:rsidRDefault="00283E5C">
      <w:pPr>
        <w:spacing w:before="80" w:after="120" w:line="276" w:lineRule="auto"/>
        <w:jc w:val="both"/>
      </w:pPr>
      <w:r>
        <w:t>Zhao, H. et al. (2024) ‘Consumers’ purchase intention toward electric vehicles from the perspective of perceived green value’, World Electric Vehicle Journal, 15(6), pp. 267–284.</w:t>
      </w:r>
    </w:p>
    <w:sectPr w:rsidR="00762B3E">
      <w:footerReference w:type="default" r:id="rId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3E5C" w:rsidRDefault="00283E5C">
      <w:r>
        <w:separator/>
      </w:r>
    </w:p>
  </w:endnote>
  <w:endnote w:type="continuationSeparator" w:id="0">
    <w:p w:rsidR="00283E5C" w:rsidRDefault="00283E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2B3E" w:rsidRDefault="00762B3E" w:rsidP="009A4138">
    <w:pPr>
      <w:rPr>
        <w:color w:val="888888"/>
        <w:sz w:val="18"/>
        <w:szCs w:val="18"/>
      </w:rPr>
    </w:pPr>
  </w:p>
  <w:p w:rsidR="009A4138" w:rsidRDefault="009A4138" w:rsidP="009A413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3E5C" w:rsidRDefault="00283E5C">
      <w:r>
        <w:separator/>
      </w:r>
    </w:p>
  </w:footnote>
  <w:footnote w:type="continuationSeparator" w:id="0">
    <w:p w:rsidR="00283E5C" w:rsidRDefault="00283E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25415"/>
    <w:multiLevelType w:val="hybridMultilevel"/>
    <w:tmpl w:val="DB805A70"/>
    <w:lvl w:ilvl="0" w:tplc="02166310">
      <w:start w:val="1"/>
      <w:numFmt w:val="bullet"/>
      <w:lvlText w:val="•"/>
      <w:lvlJc w:val="left"/>
      <w:pPr>
        <w:ind w:left="720" w:hanging="360"/>
      </w:pPr>
    </w:lvl>
    <w:lvl w:ilvl="1" w:tplc="BB7C31DC">
      <w:numFmt w:val="decimal"/>
      <w:lvlText w:val=""/>
      <w:lvlJc w:val="left"/>
    </w:lvl>
    <w:lvl w:ilvl="2" w:tplc="5108F7B2">
      <w:numFmt w:val="decimal"/>
      <w:lvlText w:val=""/>
      <w:lvlJc w:val="left"/>
    </w:lvl>
    <w:lvl w:ilvl="3" w:tplc="EA4AA72C">
      <w:numFmt w:val="decimal"/>
      <w:lvlText w:val=""/>
      <w:lvlJc w:val="left"/>
    </w:lvl>
    <w:lvl w:ilvl="4" w:tplc="BC942784">
      <w:numFmt w:val="decimal"/>
      <w:lvlText w:val=""/>
      <w:lvlJc w:val="left"/>
    </w:lvl>
    <w:lvl w:ilvl="5" w:tplc="796EE550">
      <w:numFmt w:val="decimal"/>
      <w:lvlText w:val=""/>
      <w:lvlJc w:val="left"/>
    </w:lvl>
    <w:lvl w:ilvl="6" w:tplc="AAF06F06">
      <w:numFmt w:val="decimal"/>
      <w:lvlText w:val=""/>
      <w:lvlJc w:val="left"/>
    </w:lvl>
    <w:lvl w:ilvl="7" w:tplc="91A84EBE">
      <w:numFmt w:val="decimal"/>
      <w:lvlText w:val=""/>
      <w:lvlJc w:val="left"/>
    </w:lvl>
    <w:lvl w:ilvl="8" w:tplc="27A664AC">
      <w:numFmt w:val="decimal"/>
      <w:lvlText w:val=""/>
      <w:lvlJc w:val="left"/>
    </w:lvl>
  </w:abstractNum>
  <w:abstractNum w:abstractNumId="1" w15:restartNumberingAfterBreak="0">
    <w:nsid w:val="26B10CAC"/>
    <w:multiLevelType w:val="hybridMultilevel"/>
    <w:tmpl w:val="89282B1E"/>
    <w:lvl w:ilvl="0" w:tplc="8176EDF0">
      <w:start w:val="1"/>
      <w:numFmt w:val="bullet"/>
      <w:lvlText w:val="●"/>
      <w:lvlJc w:val="left"/>
      <w:pPr>
        <w:ind w:left="720" w:hanging="360"/>
      </w:pPr>
    </w:lvl>
    <w:lvl w:ilvl="1" w:tplc="8DC8BC5E">
      <w:start w:val="1"/>
      <w:numFmt w:val="bullet"/>
      <w:lvlText w:val="○"/>
      <w:lvlJc w:val="left"/>
      <w:pPr>
        <w:ind w:left="1440" w:hanging="360"/>
      </w:pPr>
    </w:lvl>
    <w:lvl w:ilvl="2" w:tplc="D1EE3038">
      <w:start w:val="1"/>
      <w:numFmt w:val="bullet"/>
      <w:lvlText w:val="■"/>
      <w:lvlJc w:val="left"/>
      <w:pPr>
        <w:ind w:left="2160" w:hanging="360"/>
      </w:pPr>
    </w:lvl>
    <w:lvl w:ilvl="3" w:tplc="306C2CC4">
      <w:start w:val="1"/>
      <w:numFmt w:val="bullet"/>
      <w:lvlText w:val="●"/>
      <w:lvlJc w:val="left"/>
      <w:pPr>
        <w:ind w:left="2880" w:hanging="360"/>
      </w:pPr>
    </w:lvl>
    <w:lvl w:ilvl="4" w:tplc="B46C261A">
      <w:start w:val="1"/>
      <w:numFmt w:val="bullet"/>
      <w:lvlText w:val="○"/>
      <w:lvlJc w:val="left"/>
      <w:pPr>
        <w:ind w:left="3600" w:hanging="360"/>
      </w:pPr>
    </w:lvl>
    <w:lvl w:ilvl="5" w:tplc="27148782">
      <w:start w:val="1"/>
      <w:numFmt w:val="bullet"/>
      <w:lvlText w:val="■"/>
      <w:lvlJc w:val="left"/>
      <w:pPr>
        <w:ind w:left="4320" w:hanging="360"/>
      </w:pPr>
    </w:lvl>
    <w:lvl w:ilvl="6" w:tplc="15F25D02">
      <w:start w:val="1"/>
      <w:numFmt w:val="bullet"/>
      <w:lvlText w:val="●"/>
      <w:lvlJc w:val="left"/>
      <w:pPr>
        <w:ind w:left="5040" w:hanging="360"/>
      </w:pPr>
    </w:lvl>
    <w:lvl w:ilvl="7" w:tplc="B43CE70A">
      <w:start w:val="1"/>
      <w:numFmt w:val="bullet"/>
      <w:lvlText w:val="●"/>
      <w:lvlJc w:val="left"/>
      <w:pPr>
        <w:ind w:left="5760" w:hanging="360"/>
      </w:pPr>
    </w:lvl>
    <w:lvl w:ilvl="8" w:tplc="14462BCA">
      <w:start w:val="1"/>
      <w:numFmt w:val="bullet"/>
      <w:lvlText w:val="●"/>
      <w:lvlJc w:val="left"/>
      <w:pPr>
        <w:ind w:left="648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B3E"/>
    <w:rsid w:val="00283E5C"/>
    <w:rsid w:val="002D15CB"/>
    <w:rsid w:val="00762B3E"/>
    <w:rsid w:val="009A413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2395B"/>
  <w15:docId w15:val="{7D07B2E3-8C44-4488-8A26-1066B078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IN" w:eastAsia="en-I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spacing w:before="360" w:after="120"/>
      <w:outlineLvl w:val="0"/>
    </w:pPr>
    <w:rPr>
      <w:b/>
      <w:bCs/>
      <w:color w:val="1F3864"/>
      <w:sz w:val="28"/>
      <w:szCs w:val="28"/>
    </w:rPr>
  </w:style>
  <w:style w:type="paragraph" w:styleId="Heading2">
    <w:name w:val="heading 2"/>
    <w:qFormat/>
    <w:pPr>
      <w:spacing w:before="240" w:after="100"/>
      <w:outlineLvl w:val="1"/>
    </w:pPr>
    <w:rPr>
      <w:b/>
      <w:bCs/>
      <w:color w:val="2E5496"/>
      <w:sz w:val="24"/>
      <w:szCs w:val="24"/>
    </w:rPr>
  </w:style>
  <w:style w:type="paragraph" w:styleId="Heading3">
    <w:name w:val="heading 3"/>
    <w:qFormat/>
    <w:pPr>
      <w:spacing w:before="200" w:after="80"/>
      <w:outlineLvl w:val="2"/>
    </w:pPr>
    <w:rPr>
      <w:b/>
      <w:bCs/>
      <w:color w:val="2E75B6"/>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9A4138"/>
    <w:pPr>
      <w:tabs>
        <w:tab w:val="center" w:pos="4513"/>
        <w:tab w:val="right" w:pos="9026"/>
      </w:tabs>
    </w:pPr>
  </w:style>
  <w:style w:type="character" w:customStyle="1" w:styleId="HeaderChar">
    <w:name w:val="Header Char"/>
    <w:basedOn w:val="DefaultParagraphFont"/>
    <w:link w:val="Header"/>
    <w:uiPriority w:val="99"/>
    <w:rsid w:val="009A4138"/>
  </w:style>
  <w:style w:type="paragraph" w:styleId="Footer">
    <w:name w:val="footer"/>
    <w:basedOn w:val="Normal"/>
    <w:link w:val="FooterChar"/>
    <w:uiPriority w:val="99"/>
    <w:unhideWhenUsed/>
    <w:rsid w:val="009A4138"/>
    <w:pPr>
      <w:tabs>
        <w:tab w:val="center" w:pos="4513"/>
        <w:tab w:val="right" w:pos="9026"/>
      </w:tabs>
    </w:pPr>
  </w:style>
  <w:style w:type="character" w:customStyle="1" w:styleId="FooterChar">
    <w:name w:val="Footer Char"/>
    <w:basedOn w:val="DefaultParagraphFont"/>
    <w:link w:val="Footer"/>
    <w:uiPriority w:val="99"/>
    <w:rsid w:val="009A41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8</Pages>
  <Words>3095</Words>
  <Characters>17648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Mohammed Finas Pazhampillychira-seyed-mohamed (Student)</cp:lastModifiedBy>
  <cp:revision>2</cp:revision>
  <dcterms:created xsi:type="dcterms:W3CDTF">2026-06-08T20:30:00Z</dcterms:created>
  <dcterms:modified xsi:type="dcterms:W3CDTF">2026-06-09T15:21:00Z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374c3811-03c0-45ed-9950-db16efe9d69c</vt:lpwstr>
  </property>
</Properties>
</file>