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4" w14:textId="1B376D99" w:rsidR="00110206" w:rsidRPr="006D193F" w:rsidRDefault="00110206" w:rsidP="006D193F">
      <w:pPr>
        <w:spacing w:line="480" w:lineRule="auto"/>
        <w:jc w:val="center"/>
      </w:pPr>
    </w:p>
    <w:p w14:paraId="00000005" w14:textId="77777777" w:rsidR="00110206" w:rsidRDefault="00110206">
      <w:pPr>
        <w:spacing w:line="480" w:lineRule="auto"/>
        <w:rPr>
          <w:b/>
        </w:rPr>
      </w:pPr>
    </w:p>
    <w:p w14:paraId="0000000A" w14:textId="42FC3107" w:rsidR="00110206" w:rsidRPr="006D193F" w:rsidRDefault="00D42465" w:rsidP="006D193F">
      <w:pPr>
        <w:spacing w:line="480" w:lineRule="auto"/>
        <w:jc w:val="center"/>
        <w:rPr>
          <w:rFonts w:ascii="Arial" w:eastAsia="Arial" w:hAnsi="Arial" w:cs="Arial"/>
          <w:sz w:val="32"/>
          <w:szCs w:val="32"/>
        </w:rPr>
      </w:pPr>
      <w:r w:rsidRPr="006D193F">
        <w:rPr>
          <w:rFonts w:ascii="Arial" w:eastAsia="Arial" w:hAnsi="Arial" w:cs="Arial"/>
          <w:sz w:val="32"/>
          <w:szCs w:val="32"/>
        </w:rPr>
        <w:t xml:space="preserve">Within </w:t>
      </w:r>
      <w:r w:rsidR="006D193F" w:rsidRPr="006D193F">
        <w:rPr>
          <w:rFonts w:ascii="Arial" w:eastAsia="Arial" w:hAnsi="Arial" w:cs="Arial"/>
          <w:sz w:val="32"/>
          <w:szCs w:val="32"/>
        </w:rPr>
        <w:t>a</w:t>
      </w:r>
      <w:r w:rsidRPr="006D193F">
        <w:rPr>
          <w:rFonts w:ascii="Arial" w:eastAsia="Arial" w:hAnsi="Arial" w:cs="Arial"/>
          <w:sz w:val="32"/>
          <w:szCs w:val="32"/>
        </w:rPr>
        <w:t xml:space="preserve"> </w:t>
      </w:r>
      <w:r w:rsidR="006D193F">
        <w:rPr>
          <w:rFonts w:ascii="Arial" w:eastAsia="Arial" w:hAnsi="Arial" w:cs="Arial"/>
          <w:sz w:val="32"/>
          <w:szCs w:val="32"/>
        </w:rPr>
        <w:t>c</w:t>
      </w:r>
      <w:r w:rsidRPr="006D193F">
        <w:rPr>
          <w:rFonts w:ascii="Arial" w:eastAsia="Arial" w:hAnsi="Arial" w:cs="Arial"/>
          <w:sz w:val="32"/>
          <w:szCs w:val="32"/>
        </w:rPr>
        <w:t xml:space="preserve">hosen </w:t>
      </w:r>
      <w:r w:rsidR="006D193F">
        <w:rPr>
          <w:rFonts w:ascii="Arial" w:eastAsia="Arial" w:hAnsi="Arial" w:cs="Arial"/>
          <w:sz w:val="32"/>
          <w:szCs w:val="32"/>
        </w:rPr>
        <w:t>f</w:t>
      </w:r>
      <w:r w:rsidRPr="006D193F">
        <w:rPr>
          <w:rFonts w:ascii="Arial" w:eastAsia="Arial" w:hAnsi="Arial" w:cs="Arial"/>
          <w:sz w:val="32"/>
          <w:szCs w:val="32"/>
        </w:rPr>
        <w:t xml:space="preserve">ocus </w:t>
      </w:r>
      <w:r w:rsidR="006D193F">
        <w:rPr>
          <w:rFonts w:ascii="Arial" w:eastAsia="Arial" w:hAnsi="Arial" w:cs="Arial"/>
          <w:sz w:val="32"/>
          <w:szCs w:val="32"/>
        </w:rPr>
        <w:t>a</w:t>
      </w:r>
      <w:r w:rsidRPr="006D193F">
        <w:rPr>
          <w:rFonts w:ascii="Arial" w:eastAsia="Arial" w:hAnsi="Arial" w:cs="Arial"/>
          <w:sz w:val="32"/>
          <w:szCs w:val="32"/>
        </w:rPr>
        <w:t xml:space="preserve">rea of ALN, </w:t>
      </w:r>
      <w:r w:rsidR="006D193F">
        <w:rPr>
          <w:rFonts w:ascii="Arial" w:eastAsia="Arial" w:hAnsi="Arial" w:cs="Arial"/>
          <w:sz w:val="32"/>
          <w:szCs w:val="32"/>
        </w:rPr>
        <w:t>p</w:t>
      </w:r>
      <w:r w:rsidRPr="006D193F">
        <w:rPr>
          <w:rFonts w:ascii="Arial" w:eastAsia="Arial" w:hAnsi="Arial" w:cs="Arial"/>
          <w:sz w:val="32"/>
          <w:szCs w:val="32"/>
        </w:rPr>
        <w:t xml:space="preserve">resent </w:t>
      </w:r>
      <w:r w:rsidR="006D193F">
        <w:rPr>
          <w:rFonts w:ascii="Arial" w:eastAsia="Arial" w:hAnsi="Arial" w:cs="Arial"/>
          <w:sz w:val="32"/>
          <w:szCs w:val="32"/>
        </w:rPr>
        <w:t>a</w:t>
      </w:r>
      <w:r w:rsidRPr="006D193F">
        <w:rPr>
          <w:rFonts w:ascii="Arial" w:eastAsia="Arial" w:hAnsi="Arial" w:cs="Arial"/>
          <w:sz w:val="32"/>
          <w:szCs w:val="32"/>
        </w:rPr>
        <w:t xml:space="preserve"> </w:t>
      </w:r>
      <w:r w:rsidR="006D193F">
        <w:rPr>
          <w:rFonts w:ascii="Arial" w:eastAsia="Arial" w:hAnsi="Arial" w:cs="Arial"/>
          <w:sz w:val="32"/>
          <w:szCs w:val="32"/>
        </w:rPr>
        <w:t>p</w:t>
      </w:r>
      <w:r w:rsidRPr="006D193F">
        <w:rPr>
          <w:rFonts w:ascii="Arial" w:eastAsia="Arial" w:hAnsi="Arial" w:cs="Arial"/>
          <w:sz w:val="32"/>
          <w:szCs w:val="32"/>
        </w:rPr>
        <w:t xml:space="preserve">ortfolio in </w:t>
      </w:r>
      <w:r w:rsidR="006D193F">
        <w:rPr>
          <w:rFonts w:ascii="Arial" w:eastAsia="Arial" w:hAnsi="Arial" w:cs="Arial"/>
          <w:sz w:val="32"/>
          <w:szCs w:val="32"/>
        </w:rPr>
        <w:t>l</w:t>
      </w:r>
      <w:r w:rsidRPr="006D193F">
        <w:rPr>
          <w:rFonts w:ascii="Arial" w:eastAsia="Arial" w:hAnsi="Arial" w:cs="Arial"/>
          <w:sz w:val="32"/>
          <w:szCs w:val="32"/>
        </w:rPr>
        <w:t xml:space="preserve">ine with </w:t>
      </w:r>
      <w:r w:rsidR="006D193F">
        <w:rPr>
          <w:rFonts w:ascii="Arial" w:eastAsia="Arial" w:hAnsi="Arial" w:cs="Arial"/>
          <w:sz w:val="32"/>
          <w:szCs w:val="32"/>
        </w:rPr>
        <w:t>e</w:t>
      </w:r>
      <w:r w:rsidRPr="006D193F">
        <w:rPr>
          <w:rFonts w:ascii="Arial" w:eastAsia="Arial" w:hAnsi="Arial" w:cs="Arial"/>
          <w:sz w:val="32"/>
          <w:szCs w:val="32"/>
        </w:rPr>
        <w:t xml:space="preserve">thical </w:t>
      </w:r>
      <w:r w:rsidR="006D193F">
        <w:rPr>
          <w:rFonts w:ascii="Arial" w:eastAsia="Arial" w:hAnsi="Arial" w:cs="Arial"/>
          <w:sz w:val="32"/>
          <w:szCs w:val="32"/>
        </w:rPr>
        <w:t>c</w:t>
      </w:r>
      <w:r w:rsidRPr="006D193F">
        <w:rPr>
          <w:rFonts w:ascii="Arial" w:eastAsia="Arial" w:hAnsi="Arial" w:cs="Arial"/>
          <w:sz w:val="32"/>
          <w:szCs w:val="32"/>
        </w:rPr>
        <w:t>onsiderations.</w:t>
      </w:r>
      <w:r w:rsidR="006D193F">
        <w:rPr>
          <w:rFonts w:ascii="Arial" w:eastAsia="Arial" w:hAnsi="Arial" w:cs="Arial"/>
          <w:sz w:val="32"/>
          <w:szCs w:val="32"/>
        </w:rPr>
        <w:t xml:space="preserve"> I</w:t>
      </w:r>
      <w:r w:rsidRPr="006D193F">
        <w:rPr>
          <w:rFonts w:ascii="Arial" w:eastAsia="Arial" w:hAnsi="Arial" w:cs="Arial"/>
          <w:sz w:val="32"/>
          <w:szCs w:val="32"/>
        </w:rPr>
        <w:t xml:space="preserve">dentifying </w:t>
      </w:r>
      <w:r w:rsidR="006D193F">
        <w:rPr>
          <w:rFonts w:ascii="Arial" w:eastAsia="Arial" w:hAnsi="Arial" w:cs="Arial"/>
          <w:sz w:val="32"/>
          <w:szCs w:val="32"/>
        </w:rPr>
        <w:t>g</w:t>
      </w:r>
      <w:r w:rsidRPr="006D193F">
        <w:rPr>
          <w:rFonts w:ascii="Arial" w:eastAsia="Arial" w:hAnsi="Arial" w:cs="Arial"/>
          <w:sz w:val="32"/>
          <w:szCs w:val="32"/>
        </w:rPr>
        <w:t xml:space="preserve">ood </w:t>
      </w:r>
      <w:r w:rsidR="006D193F">
        <w:rPr>
          <w:rFonts w:ascii="Arial" w:eastAsia="Arial" w:hAnsi="Arial" w:cs="Arial"/>
          <w:sz w:val="32"/>
          <w:szCs w:val="32"/>
        </w:rPr>
        <w:t>p</w:t>
      </w:r>
      <w:r w:rsidRPr="006D193F">
        <w:rPr>
          <w:rFonts w:ascii="Arial" w:eastAsia="Arial" w:hAnsi="Arial" w:cs="Arial"/>
          <w:sz w:val="32"/>
          <w:szCs w:val="32"/>
        </w:rPr>
        <w:t xml:space="preserve">ractice and </w:t>
      </w:r>
      <w:r w:rsidR="006D193F">
        <w:rPr>
          <w:rFonts w:ascii="Arial" w:eastAsia="Arial" w:hAnsi="Arial" w:cs="Arial"/>
          <w:sz w:val="32"/>
          <w:szCs w:val="32"/>
        </w:rPr>
        <w:t>a</w:t>
      </w:r>
      <w:r w:rsidRPr="006D193F">
        <w:rPr>
          <w:rFonts w:ascii="Arial" w:eastAsia="Arial" w:hAnsi="Arial" w:cs="Arial"/>
          <w:sz w:val="32"/>
          <w:szCs w:val="32"/>
        </w:rPr>
        <w:t xml:space="preserve">cknowledging </w:t>
      </w:r>
      <w:r w:rsidR="006D193F">
        <w:rPr>
          <w:rFonts w:ascii="Arial" w:eastAsia="Arial" w:hAnsi="Arial" w:cs="Arial"/>
          <w:sz w:val="32"/>
          <w:szCs w:val="32"/>
        </w:rPr>
        <w:t>p</w:t>
      </w:r>
      <w:r w:rsidRPr="006D193F">
        <w:rPr>
          <w:rFonts w:ascii="Arial" w:eastAsia="Arial" w:hAnsi="Arial" w:cs="Arial"/>
          <w:sz w:val="32"/>
          <w:szCs w:val="32"/>
        </w:rPr>
        <w:t xml:space="preserve">otential </w:t>
      </w:r>
      <w:r w:rsidR="006D193F">
        <w:rPr>
          <w:rFonts w:ascii="Arial" w:eastAsia="Arial" w:hAnsi="Arial" w:cs="Arial"/>
          <w:sz w:val="32"/>
          <w:szCs w:val="32"/>
        </w:rPr>
        <w:t>b</w:t>
      </w:r>
      <w:r w:rsidRPr="006D193F">
        <w:rPr>
          <w:rFonts w:ascii="Arial" w:eastAsia="Arial" w:hAnsi="Arial" w:cs="Arial"/>
          <w:sz w:val="32"/>
          <w:szCs w:val="32"/>
        </w:rPr>
        <w:t xml:space="preserve">arriers to </w:t>
      </w:r>
      <w:r w:rsidR="006D193F">
        <w:rPr>
          <w:rFonts w:ascii="Arial" w:eastAsia="Arial" w:hAnsi="Arial" w:cs="Arial"/>
          <w:sz w:val="32"/>
          <w:szCs w:val="32"/>
        </w:rPr>
        <w:t>f</w:t>
      </w:r>
      <w:r w:rsidRPr="006D193F">
        <w:rPr>
          <w:rFonts w:ascii="Arial" w:eastAsia="Arial" w:hAnsi="Arial" w:cs="Arial"/>
          <w:sz w:val="32"/>
          <w:szCs w:val="32"/>
        </w:rPr>
        <w:t xml:space="preserve">acilitating </w:t>
      </w:r>
      <w:r w:rsidR="006D193F">
        <w:rPr>
          <w:rFonts w:ascii="Arial" w:eastAsia="Arial" w:hAnsi="Arial" w:cs="Arial"/>
          <w:sz w:val="32"/>
          <w:szCs w:val="32"/>
        </w:rPr>
        <w:t>i</w:t>
      </w:r>
      <w:r w:rsidRPr="006D193F">
        <w:rPr>
          <w:rFonts w:ascii="Arial" w:eastAsia="Arial" w:hAnsi="Arial" w:cs="Arial"/>
          <w:sz w:val="32"/>
          <w:szCs w:val="32"/>
        </w:rPr>
        <w:t>nclusion.</w:t>
      </w:r>
    </w:p>
    <w:p w14:paraId="0000000B" w14:textId="7CAAA66A" w:rsidR="00110206" w:rsidRDefault="00D42465" w:rsidP="006D193F">
      <w:pPr>
        <w:spacing w:line="480" w:lineRule="auto"/>
        <w:jc w:val="center"/>
        <w:rPr>
          <w:rFonts w:ascii="Arial" w:eastAsia="Arial" w:hAnsi="Arial" w:cs="Arial"/>
          <w:sz w:val="32"/>
          <w:szCs w:val="32"/>
        </w:rPr>
      </w:pPr>
      <w:r w:rsidRPr="006D193F">
        <w:rPr>
          <w:rFonts w:ascii="Arial" w:eastAsia="Arial" w:hAnsi="Arial" w:cs="Arial"/>
          <w:sz w:val="32"/>
          <w:szCs w:val="32"/>
        </w:rPr>
        <w:t xml:space="preserve">Discussing </w:t>
      </w:r>
      <w:r w:rsidR="006D193F">
        <w:rPr>
          <w:rFonts w:ascii="Arial" w:eastAsia="Arial" w:hAnsi="Arial" w:cs="Arial"/>
          <w:sz w:val="32"/>
          <w:szCs w:val="32"/>
        </w:rPr>
        <w:t>m</w:t>
      </w:r>
      <w:r w:rsidRPr="006D193F">
        <w:rPr>
          <w:rFonts w:ascii="Arial" w:eastAsia="Arial" w:hAnsi="Arial" w:cs="Arial"/>
          <w:sz w:val="32"/>
          <w:szCs w:val="32"/>
        </w:rPr>
        <w:t xml:space="preserve">aterials </w:t>
      </w:r>
      <w:r w:rsidR="006D193F">
        <w:rPr>
          <w:rFonts w:ascii="Arial" w:eastAsia="Arial" w:hAnsi="Arial" w:cs="Arial"/>
          <w:sz w:val="32"/>
          <w:szCs w:val="32"/>
        </w:rPr>
        <w:t>t</w:t>
      </w:r>
      <w:r w:rsidRPr="006D193F">
        <w:rPr>
          <w:rFonts w:ascii="Arial" w:eastAsia="Arial" w:hAnsi="Arial" w:cs="Arial"/>
          <w:sz w:val="32"/>
          <w:szCs w:val="32"/>
        </w:rPr>
        <w:t xml:space="preserve">hat </w:t>
      </w:r>
      <w:r w:rsidR="006D193F">
        <w:rPr>
          <w:rFonts w:ascii="Arial" w:eastAsia="Arial" w:hAnsi="Arial" w:cs="Arial"/>
          <w:sz w:val="32"/>
          <w:szCs w:val="32"/>
        </w:rPr>
        <w:t>s</w:t>
      </w:r>
      <w:r w:rsidRPr="006D193F">
        <w:rPr>
          <w:rFonts w:ascii="Arial" w:eastAsia="Arial" w:hAnsi="Arial" w:cs="Arial"/>
          <w:sz w:val="32"/>
          <w:szCs w:val="32"/>
        </w:rPr>
        <w:t xml:space="preserve">upport and </w:t>
      </w:r>
      <w:r w:rsidR="006D193F">
        <w:rPr>
          <w:rFonts w:ascii="Arial" w:eastAsia="Arial" w:hAnsi="Arial" w:cs="Arial"/>
          <w:sz w:val="32"/>
          <w:szCs w:val="32"/>
        </w:rPr>
        <w:t>d</w:t>
      </w:r>
      <w:r w:rsidRPr="006D193F">
        <w:rPr>
          <w:rFonts w:ascii="Arial" w:eastAsia="Arial" w:hAnsi="Arial" w:cs="Arial"/>
          <w:sz w:val="32"/>
          <w:szCs w:val="32"/>
        </w:rPr>
        <w:t xml:space="preserve">emonstrate </w:t>
      </w:r>
      <w:r w:rsidR="006D193F">
        <w:rPr>
          <w:rFonts w:ascii="Arial" w:eastAsia="Arial" w:hAnsi="Arial" w:cs="Arial"/>
          <w:sz w:val="32"/>
          <w:szCs w:val="32"/>
        </w:rPr>
        <w:t>t</w:t>
      </w:r>
      <w:r w:rsidRPr="006D193F">
        <w:rPr>
          <w:rFonts w:ascii="Arial" w:eastAsia="Arial" w:hAnsi="Arial" w:cs="Arial"/>
          <w:sz w:val="32"/>
          <w:szCs w:val="32"/>
        </w:rPr>
        <w:t xml:space="preserve">he </w:t>
      </w:r>
      <w:r w:rsidR="006D193F">
        <w:rPr>
          <w:rFonts w:ascii="Arial" w:eastAsia="Arial" w:hAnsi="Arial" w:cs="Arial"/>
          <w:sz w:val="32"/>
          <w:szCs w:val="32"/>
        </w:rPr>
        <w:t>p</w:t>
      </w:r>
      <w:r w:rsidRPr="006D193F">
        <w:rPr>
          <w:rFonts w:ascii="Arial" w:eastAsia="Arial" w:hAnsi="Arial" w:cs="Arial"/>
          <w:sz w:val="32"/>
          <w:szCs w:val="32"/>
        </w:rPr>
        <w:t xml:space="preserve">ositive </w:t>
      </w:r>
      <w:r w:rsidR="006D193F">
        <w:rPr>
          <w:rFonts w:ascii="Arial" w:eastAsia="Arial" w:hAnsi="Arial" w:cs="Arial"/>
          <w:sz w:val="32"/>
          <w:szCs w:val="32"/>
        </w:rPr>
        <w:t>c</w:t>
      </w:r>
      <w:r w:rsidRPr="006D193F">
        <w:rPr>
          <w:rFonts w:ascii="Arial" w:eastAsia="Arial" w:hAnsi="Arial" w:cs="Arial"/>
          <w:sz w:val="32"/>
          <w:szCs w:val="32"/>
        </w:rPr>
        <w:t xml:space="preserve">ontribution </w:t>
      </w:r>
      <w:r w:rsidR="006D193F">
        <w:rPr>
          <w:rFonts w:ascii="Arial" w:eastAsia="Arial" w:hAnsi="Arial" w:cs="Arial"/>
          <w:sz w:val="32"/>
          <w:szCs w:val="32"/>
        </w:rPr>
        <w:t>t</w:t>
      </w:r>
      <w:r w:rsidRPr="006D193F">
        <w:rPr>
          <w:rFonts w:ascii="Arial" w:eastAsia="Arial" w:hAnsi="Arial" w:cs="Arial"/>
          <w:sz w:val="32"/>
          <w:szCs w:val="32"/>
        </w:rPr>
        <w:t xml:space="preserve">o </w:t>
      </w:r>
      <w:r w:rsidR="006D193F">
        <w:rPr>
          <w:rFonts w:ascii="Arial" w:eastAsia="Arial" w:hAnsi="Arial" w:cs="Arial"/>
          <w:sz w:val="32"/>
          <w:szCs w:val="32"/>
        </w:rPr>
        <w:t>l</w:t>
      </w:r>
      <w:r w:rsidRPr="006D193F">
        <w:rPr>
          <w:rFonts w:ascii="Arial" w:eastAsia="Arial" w:hAnsi="Arial" w:cs="Arial"/>
          <w:sz w:val="32"/>
          <w:szCs w:val="32"/>
        </w:rPr>
        <w:t xml:space="preserve">earning and </w:t>
      </w:r>
      <w:r w:rsidR="006D193F">
        <w:rPr>
          <w:rFonts w:ascii="Arial" w:eastAsia="Arial" w:hAnsi="Arial" w:cs="Arial"/>
          <w:sz w:val="32"/>
          <w:szCs w:val="32"/>
        </w:rPr>
        <w:t>t</w:t>
      </w:r>
      <w:r w:rsidRPr="006D193F">
        <w:rPr>
          <w:rFonts w:ascii="Arial" w:eastAsia="Arial" w:hAnsi="Arial" w:cs="Arial"/>
          <w:sz w:val="32"/>
          <w:szCs w:val="32"/>
        </w:rPr>
        <w:t xml:space="preserve">eaching </w:t>
      </w:r>
      <w:r w:rsidR="006D193F">
        <w:rPr>
          <w:rFonts w:ascii="Arial" w:eastAsia="Arial" w:hAnsi="Arial" w:cs="Arial"/>
          <w:sz w:val="32"/>
          <w:szCs w:val="32"/>
        </w:rPr>
        <w:t>s</w:t>
      </w:r>
      <w:r w:rsidRPr="006D193F">
        <w:rPr>
          <w:rFonts w:ascii="Arial" w:eastAsia="Arial" w:hAnsi="Arial" w:cs="Arial"/>
          <w:sz w:val="32"/>
          <w:szCs w:val="32"/>
        </w:rPr>
        <w:t>trategies.</w:t>
      </w:r>
    </w:p>
    <w:p w14:paraId="39BF19A2" w14:textId="73472FB2" w:rsidR="006D193F" w:rsidRDefault="006D193F" w:rsidP="006D193F">
      <w:pPr>
        <w:spacing w:line="480" w:lineRule="auto"/>
        <w:jc w:val="center"/>
        <w:rPr>
          <w:rFonts w:ascii="Arial" w:eastAsia="Arial" w:hAnsi="Arial" w:cs="Arial"/>
          <w:sz w:val="32"/>
          <w:szCs w:val="32"/>
        </w:rPr>
      </w:pPr>
    </w:p>
    <w:p w14:paraId="796F4ABD" w14:textId="77777777" w:rsidR="006D193F" w:rsidRPr="006D193F" w:rsidRDefault="006D193F" w:rsidP="006D193F">
      <w:pPr>
        <w:spacing w:line="480" w:lineRule="auto"/>
        <w:jc w:val="center"/>
        <w:rPr>
          <w:rFonts w:ascii="Arial" w:hAnsi="Arial" w:cs="Arial"/>
        </w:rPr>
      </w:pPr>
      <w:r w:rsidRPr="006D193F">
        <w:rPr>
          <w:rFonts w:ascii="Arial" w:eastAsia="Arial" w:hAnsi="Arial" w:cs="Arial"/>
        </w:rPr>
        <w:t>SJIE6004</w:t>
      </w:r>
    </w:p>
    <w:p w14:paraId="3D933F94" w14:textId="77777777" w:rsidR="006D193F" w:rsidRPr="006D193F" w:rsidRDefault="006D193F" w:rsidP="006D193F">
      <w:pPr>
        <w:spacing w:line="480" w:lineRule="auto"/>
        <w:jc w:val="center"/>
        <w:rPr>
          <w:rFonts w:ascii="Arial" w:hAnsi="Arial" w:cs="Arial"/>
        </w:rPr>
      </w:pPr>
      <w:r w:rsidRPr="006D193F">
        <w:rPr>
          <w:rFonts w:ascii="Arial" w:hAnsi="Arial" w:cs="Arial"/>
        </w:rPr>
        <w:t>Name: Phoebe James</w:t>
      </w:r>
    </w:p>
    <w:p w14:paraId="54FAE19D" w14:textId="77777777" w:rsidR="006D193F" w:rsidRPr="006D193F" w:rsidRDefault="006D193F" w:rsidP="006D193F">
      <w:pPr>
        <w:jc w:val="center"/>
        <w:rPr>
          <w:rFonts w:ascii="Arial" w:hAnsi="Arial" w:cs="Arial"/>
        </w:rPr>
      </w:pPr>
      <w:r w:rsidRPr="006D193F">
        <w:rPr>
          <w:rFonts w:ascii="Arial" w:hAnsi="Arial" w:cs="Arial"/>
        </w:rPr>
        <w:t>Student Number: 1403115</w:t>
      </w:r>
    </w:p>
    <w:p w14:paraId="0CFDA352" w14:textId="77777777" w:rsidR="006D193F" w:rsidRPr="006D193F" w:rsidRDefault="006D193F" w:rsidP="006D193F">
      <w:pPr>
        <w:spacing w:line="480" w:lineRule="auto"/>
        <w:jc w:val="center"/>
        <w:rPr>
          <w:rFonts w:ascii="Arial" w:eastAsia="Arial" w:hAnsi="Arial" w:cs="Arial"/>
          <w:sz w:val="32"/>
          <w:szCs w:val="32"/>
        </w:rPr>
      </w:pPr>
    </w:p>
    <w:p w14:paraId="0000000C" w14:textId="77777777" w:rsidR="00110206" w:rsidRPr="006D193F" w:rsidRDefault="00D42465" w:rsidP="006D193F">
      <w:pPr>
        <w:spacing w:line="480" w:lineRule="auto"/>
        <w:jc w:val="center"/>
      </w:pPr>
      <w:r w:rsidRPr="006D193F">
        <w:br w:type="page"/>
      </w:r>
    </w:p>
    <w:p w14:paraId="0000000D" w14:textId="7EB64F82" w:rsidR="00110206" w:rsidRDefault="00D42465" w:rsidP="006D193F">
      <w:pPr>
        <w:spacing w:line="480" w:lineRule="auto"/>
        <w:jc w:val="both"/>
      </w:pPr>
      <w:r>
        <w:lastRenderedPageBreak/>
        <w:t xml:space="preserve">The </w:t>
      </w:r>
      <w:r w:rsidR="00EC0B3C">
        <w:t>environment to</w:t>
      </w:r>
      <w:r>
        <w:t xml:space="preserve"> be discussed provides a special educational setting for children who are aged between 3 and 19 years with over 150 learners. The students have a broad scope of complex needs that include Cerebral palsy, Autistic Spectrum Conditions along with multiple learning needs. The setting is placed in </w:t>
      </w:r>
      <w:r w:rsidR="00EC0B3C">
        <w:t>a highly</w:t>
      </w:r>
      <w:r>
        <w:t xml:space="preserve"> populated urban town however it is surrounded by rural countryside. The setting endeavors are to provide child-centered high-quality, bespoke packages of education. The care is carefully customised to address the needs of each individual student. The setting is split by two different buildings one for the primary aged pupils and the other for the secondary aged pupils. The setting is also closely placed near a comprehensive school allowing the structure of two inclusion classes. The setting comprises on site facilities that include a trampoline, sports hall, hydro pool, sensory room along with a food technology room. An adventure play area that has all-weather surfaces enables all </w:t>
      </w:r>
      <w:r w:rsidR="00EC0B3C">
        <w:t>year-round</w:t>
      </w:r>
      <w:r>
        <w:t xml:space="preserve"> use. The setting encourages students to become independent teaching life skills and social skills. The setting ethos is to allow every student to have a right to education no matter what their need may be.</w:t>
      </w:r>
    </w:p>
    <w:p w14:paraId="0000000E" w14:textId="6464C653" w:rsidR="00110206" w:rsidRDefault="00D42465">
      <w:pPr>
        <w:spacing w:line="480" w:lineRule="auto"/>
        <w:jc w:val="both"/>
        <w:rPr>
          <w:highlight w:val="yellow"/>
        </w:rPr>
      </w:pPr>
      <w:r>
        <w:t xml:space="preserve"> The setting recognises its </w:t>
      </w:r>
      <w:r w:rsidR="00EC0B3C">
        <w:t>pupils’</w:t>
      </w:r>
      <w:r>
        <w:t xml:space="preserve"> educational needs as additional learning needs, and therefore, every child at the setting is recognised as an ALN and are provided with a statutory document that is referred to as the Individual Development Plan (IDP). As the Additional Learning Needs and Education Tribunal (Wales) Act 2018 specifies. September 2020 began the transition to the role out of IDPs replacing the previous plans used for SEN. The IDPs intended use is to target and outline additional learning needs for every pupil to support their next stage in education until the age of 25.</w:t>
      </w:r>
    </w:p>
    <w:p w14:paraId="0000000F" w14:textId="29BF0357" w:rsidR="00110206" w:rsidRDefault="00D42465">
      <w:pPr>
        <w:spacing w:line="480" w:lineRule="auto"/>
        <w:jc w:val="both"/>
      </w:pPr>
      <w:r>
        <w:t xml:space="preserve"> Teachers along with support </w:t>
      </w:r>
      <w:r w:rsidR="00EC0B3C">
        <w:t>staff are</w:t>
      </w:r>
      <w:r>
        <w:t xml:space="preserve"> well-trained and have specified roles and responsibilities to provide a personal approach to each individual learner's needs. All staff are given the opportunity to be trained to be responsible to administer medical programs or therapies. </w:t>
      </w:r>
    </w:p>
    <w:p w14:paraId="00000010" w14:textId="52C9CBB5" w:rsidR="00110206" w:rsidRDefault="00D42465">
      <w:pPr>
        <w:spacing w:line="480" w:lineRule="auto"/>
        <w:jc w:val="both"/>
      </w:pPr>
      <w:r>
        <w:lastRenderedPageBreak/>
        <w:t xml:space="preserve"> Closely collaborating with health professionals that are situated within the setting. These include professionals such as nurses, physiotherapists, councilors and occupational health. The setting has developed effective lines of communication between the people who plan, monitor, and deliver the interventions. This is necessary for ensuring that the staff have the capability to monitor the successes of the interventions at any given </w:t>
      </w:r>
      <w:r w:rsidR="00EC0B3C">
        <w:t>point.</w:t>
      </w:r>
    </w:p>
    <w:p w14:paraId="00000011" w14:textId="454871AC" w:rsidR="00110206" w:rsidRDefault="00D42465">
      <w:pPr>
        <w:spacing w:line="480" w:lineRule="auto"/>
        <w:jc w:val="both"/>
      </w:pPr>
      <w:r>
        <w:t xml:space="preserve"> According to Peer and Reid (2020) special education needs (SEN) can be defined based on four key areas: communication and interaction; cognition and learning; behaviour, social and emotional development; and sensory or physical. Generally, the Welsh government has approached the policy to deal with SEN in an evolutionary manner rather than a revolutionary manner. The good elements about the system have been retained, while the weak elements have been improved or replaced.</w:t>
      </w:r>
      <w:r>
        <w:rPr>
          <w:b/>
        </w:rPr>
        <w:t xml:space="preserve"> </w:t>
      </w:r>
      <w:r>
        <w:t xml:space="preserve">According to section 312 (1) of the Education Act, 1996 children with special education needs have a learning difficulty that requires special education provisions to be provided to them. Significant difficulty to learning compared to their peers of the same age will identify a child as having SEN. </w:t>
      </w:r>
      <w:r w:rsidR="00EC0B3C">
        <w:t>Additionally having</w:t>
      </w:r>
      <w:r>
        <w:t xml:space="preserve"> a disability that prevents the child from making use of educational facilities within the setting that their </w:t>
      </w:r>
      <w:r w:rsidR="00EC0B3C">
        <w:t>peers use</w:t>
      </w:r>
      <w:r>
        <w:t xml:space="preserve">. The </w:t>
      </w:r>
      <w:r w:rsidR="001F47E2">
        <w:t>A</w:t>
      </w:r>
      <w:r>
        <w:t xml:space="preserve">ct also defined children with learning difficulties as those who are of compulsory school age satisfying the </w:t>
      </w:r>
      <w:r w:rsidR="00EC0B3C">
        <w:t>above-mentioned</w:t>
      </w:r>
      <w:r>
        <w:t xml:space="preserve"> criteria in need of the provision of a special educational setting (Lindsay, Dockrell, &amp; Wedell, 2020). Whilst the </w:t>
      </w:r>
      <w:r w:rsidR="001F47E2">
        <w:t>A</w:t>
      </w:r>
      <w:r>
        <w:t>ct also recognises the need to support younger children shown in section 312 (4) of the Education Act 1996.  Special Educational provision is targeted for children who are aged from 2 years and above and is additional to or rather different from the educational provision that is generally provided for children of similar age in maintained schools that are not special schools within the locality</w:t>
      </w:r>
      <w:r w:rsidR="00BF32B2">
        <w:t>.</w:t>
      </w:r>
    </w:p>
    <w:p w14:paraId="28960EFE" w14:textId="1D00746A" w:rsidR="00CD00E4" w:rsidRDefault="00D42465" w:rsidP="00AD3425">
      <w:pPr>
        <w:spacing w:line="480" w:lineRule="auto"/>
        <w:jc w:val="both"/>
      </w:pPr>
      <w:r>
        <w:lastRenderedPageBreak/>
        <w:t xml:space="preserve">The quest for improving learning conditions and outcomes for persons with disabilities has been an ongoing concern for the international community in the need to acknowledge the development of equal learning for all. </w:t>
      </w:r>
      <w:r w:rsidR="00762169">
        <w:t>Within a</w:t>
      </w:r>
      <w:r>
        <w:t xml:space="preserve">rticle 23 of the </w:t>
      </w:r>
      <w:r w:rsidR="00762169">
        <w:t xml:space="preserve">statement made at the United nations convention on the rights of the child </w:t>
      </w:r>
      <w:r w:rsidR="00CD00E4">
        <w:t xml:space="preserve">(UNCRC) it </w:t>
      </w:r>
      <w:r w:rsidR="00762169">
        <w:t>was stated that ‘</w:t>
      </w:r>
      <w:r>
        <w:t>children and young people have the right to be happy and safe</w:t>
      </w:r>
      <w:r w:rsidR="00762169">
        <w:t>’</w:t>
      </w:r>
      <w:r>
        <w:t xml:space="preserve">.  This right also applies to children with disabilities, irrespective of the nature of the disability (Liefaard &amp; Sloth-Nielsen, 2016).  Children therefore should be provided with care that ensures their disabilities are taken into consideration, attending a school which uses teaching approaches that help them to understand their disabilities (Gillett-Swan &amp; Coppock, 2016). </w:t>
      </w:r>
      <w:r w:rsidR="0076578C">
        <w:t>Furthermore</w:t>
      </w:r>
      <w:r w:rsidR="00CE64AC">
        <w:t xml:space="preserve"> </w:t>
      </w:r>
      <w:r w:rsidR="00CE64AC">
        <w:t xml:space="preserve">(Liefaard &amp; Sloth-Nielsen, 2016) </w:t>
      </w:r>
      <w:r w:rsidR="00CE64AC">
        <w:t xml:space="preserve">state </w:t>
      </w:r>
      <w:r w:rsidR="00CE64AC">
        <w:t xml:space="preserve">that children and young people with disabilities should be allowed to join in learning or social activities irrespective of their disability; they should be allowed to enroll and feel included at school and be provided with the special care that they need. </w:t>
      </w:r>
      <w:r w:rsidR="00762169">
        <w:t>T</w:t>
      </w:r>
      <w:r w:rsidR="00CE64AC">
        <w:t xml:space="preserve">hey should also be allowed to choose </w:t>
      </w:r>
      <w:r w:rsidR="00AD3425">
        <w:t xml:space="preserve">how and </w:t>
      </w:r>
      <w:r w:rsidR="00CE64AC">
        <w:t>what they want to do</w:t>
      </w:r>
      <w:r w:rsidR="00AD3425">
        <w:t xml:space="preserve">, </w:t>
      </w:r>
      <w:r w:rsidR="00762169">
        <w:t xml:space="preserve">being </w:t>
      </w:r>
      <w:r w:rsidR="00AD3425">
        <w:t xml:space="preserve">included in </w:t>
      </w:r>
      <w:r w:rsidR="00CE64AC">
        <w:t>making decisions about their lives</w:t>
      </w:r>
      <w:r w:rsidR="00CE64AC">
        <w:t>.</w:t>
      </w:r>
      <w:r w:rsidR="00CE64AC">
        <w:t xml:space="preserve"> </w:t>
      </w:r>
    </w:p>
    <w:p w14:paraId="00000013" w14:textId="22C50B15" w:rsidR="00110206" w:rsidRDefault="00D42465" w:rsidP="00AD3425">
      <w:pPr>
        <w:spacing w:line="480" w:lineRule="auto"/>
        <w:jc w:val="both"/>
      </w:pPr>
      <w:r w:rsidRPr="006D193F">
        <w:rPr>
          <w:color w:val="000000" w:themeColor="text1"/>
        </w:rPr>
        <w:t>The U</w:t>
      </w:r>
      <w:r w:rsidR="00CD00E4" w:rsidRPr="006D193F">
        <w:rPr>
          <w:color w:val="000000" w:themeColor="text1"/>
        </w:rPr>
        <w:t>nited nations education</w:t>
      </w:r>
      <w:r w:rsidR="006D193F">
        <w:rPr>
          <w:color w:val="000000" w:themeColor="text1"/>
        </w:rPr>
        <w:t>al,</w:t>
      </w:r>
      <w:r w:rsidR="00CD00E4" w:rsidRPr="006D193F">
        <w:rPr>
          <w:color w:val="000000" w:themeColor="text1"/>
        </w:rPr>
        <w:t xml:space="preserve"> scientific </w:t>
      </w:r>
      <w:r w:rsidR="006D193F" w:rsidRPr="006D193F">
        <w:rPr>
          <w:color w:val="000000" w:themeColor="text1"/>
        </w:rPr>
        <w:t xml:space="preserve">and </w:t>
      </w:r>
      <w:r w:rsidR="00CD00E4" w:rsidRPr="006D193F">
        <w:rPr>
          <w:color w:val="000000" w:themeColor="text1"/>
        </w:rPr>
        <w:t>cultural organiz</w:t>
      </w:r>
      <w:r w:rsidR="006D193F" w:rsidRPr="006D193F">
        <w:rPr>
          <w:color w:val="000000" w:themeColor="text1"/>
        </w:rPr>
        <w:t>ation</w:t>
      </w:r>
      <w:r w:rsidR="00CD00E4" w:rsidRPr="006D193F">
        <w:rPr>
          <w:color w:val="000000" w:themeColor="text1"/>
        </w:rPr>
        <w:t xml:space="preserve"> </w:t>
      </w:r>
      <w:r w:rsidR="00CD00E4">
        <w:t>(U</w:t>
      </w:r>
      <w:r>
        <w:t>NESCO</w:t>
      </w:r>
      <w:r w:rsidR="00CD00E4">
        <w:t>)</w:t>
      </w:r>
      <w:r>
        <w:t xml:space="preserve"> Salamanca Statement was published in 1994 aimed at rallying the international community to endorse and adopt various approaches regarding inclusive schooling through implementing practical and strategic changes. The statement advocates for the international community to adopt an approach that promotes inclusive schooling and supports the development of special needs education to become an integral component of all education programs</w:t>
      </w:r>
      <w:r w:rsidR="00BF32B2">
        <w:t xml:space="preserve">. </w:t>
      </w:r>
      <w:r>
        <w:t xml:space="preserve">The statement called for international bodies such as UNICEF, UNDP, UNESCO, and the World Bank to strengthen their involvement in technical cooperation and enhance their networking to provide support for integrating special needs provision in education systems.  The statement also called for non-governmental organizations to strengthen their collaborative efforts with the official National government </w:t>
      </w:r>
      <w:r>
        <w:lastRenderedPageBreak/>
        <w:t>agencies as a way of becoming more involved in promoting inclusive education (Hughes &amp; Talbott, 2017).</w:t>
      </w:r>
    </w:p>
    <w:p w14:paraId="00000014" w14:textId="08F6BD3E" w:rsidR="00110206" w:rsidRDefault="00D42465">
      <w:pPr>
        <w:spacing w:line="480" w:lineRule="auto"/>
        <w:jc w:val="both"/>
      </w:pPr>
      <w:r>
        <w:t>In particular, the statement required UNESCO to ensure visual aids education becomes a central component of every discussion related to education for all. UNESCO was also tasked with enhancing teacher education in this particular area through collaborating with teachers' unions and associations (Hughes &amp; Talbott, 2017). The statement also required UNESCO to prompt the academic community to conduct more research regarding inclusive education and disseminate the findings which can be used to inform decision-making processes regarding inclusive education. Furthermore, UNESCO was urged to use its funds to produce an expanded program for inclusive schools and community support projects, which will in turn spearhead the launching of pilot projects</w:t>
      </w:r>
      <w:r w:rsidR="00BF32B2">
        <w:t>.</w:t>
      </w:r>
    </w:p>
    <w:p w14:paraId="00000015" w14:textId="77777777" w:rsidR="00110206" w:rsidRDefault="00D42465">
      <w:pPr>
        <w:spacing w:line="480" w:lineRule="auto"/>
        <w:jc w:val="both"/>
      </w:pPr>
      <w:r>
        <w:t xml:space="preserve">In Wales the increased recognition of improving learning for persons with disability has taken the same trajectory as seen in the global front. For one, the Warnock Committee of 1978 was a landmark event for education for children and young people with Special Educational Needs (SEN). Although there were earlier important reports by government agencies, the Warnock report was more specific in the issues addressed (Lindsay, Dockrell, &amp; Wedell, 2020). The report examined a broad score of issues regarding the SEN system at that time, at the backdrop of recent research and the existing aggressive practices, which provided the basis for substantial conception, practical and administrative changes (Tomlinson, 2012). According to the Warnock report children with learning disabilities is a term that should be used to describe children who are educationally subnormal and those who are facing difficulties within education. </w:t>
      </w:r>
    </w:p>
    <w:p w14:paraId="00000016" w14:textId="7E27959E" w:rsidR="00110206" w:rsidRDefault="00D42465">
      <w:pPr>
        <w:spacing w:line="480" w:lineRule="auto"/>
        <w:jc w:val="both"/>
      </w:pPr>
      <w:r>
        <w:t xml:space="preserve">The report indicated that local education authorities need to be empowered to ensure that multi-professional assessment of children is carried out at any age (Tomlinson,2017). The report </w:t>
      </w:r>
      <w:r>
        <w:lastRenderedPageBreak/>
        <w:t xml:space="preserve">recommended that headteachers should be charged with the responsibility of instituting reviews to ascertain the progress of children who have special educational needs at least once each year (Tomlinson, 2012). Local education authorities need to create and maintain records of children who have been identified to require special provisions. The education intervention for children with disabilities needs to be started as early as possible without specifying any minimum age limit (Lindsay, Dockrell, &amp; Wedell, 2020). Furthermore, the report required the headteachers of </w:t>
      </w:r>
      <w:r w:rsidRPr="00CD00E4">
        <w:rPr>
          <w:color w:val="000000" w:themeColor="text1"/>
        </w:rPr>
        <w:t>mainst</w:t>
      </w:r>
      <w:r w:rsidR="00CD00E4" w:rsidRPr="00CD00E4">
        <w:rPr>
          <w:color w:val="000000" w:themeColor="text1"/>
        </w:rPr>
        <w:t>r</w:t>
      </w:r>
      <w:r w:rsidRPr="00CD00E4">
        <w:rPr>
          <w:color w:val="000000" w:themeColor="text1"/>
        </w:rPr>
        <w:t xml:space="preserve">eam </w:t>
      </w:r>
      <w:r>
        <w:t xml:space="preserve">schools to delegate the responsibilities for providing special needs to some designated specialist teachers. The system should establish a robust link between special and </w:t>
      </w:r>
      <w:r w:rsidR="00CD00E4" w:rsidRPr="00CD00E4">
        <w:rPr>
          <w:color w:val="000000" w:themeColor="text1"/>
        </w:rPr>
        <w:t xml:space="preserve">mainstream </w:t>
      </w:r>
      <w:r>
        <w:t>schools within the same locality. Children with special educational needs who are in care should not be placed in an independent school if there is no agreement between the social service department and the local education authority (Lindsay, Dockrell, &amp; Wedell, 2020).</w:t>
      </w:r>
    </w:p>
    <w:p w14:paraId="00000017" w14:textId="77777777" w:rsidR="00110206" w:rsidRDefault="00D42465">
      <w:pPr>
        <w:spacing w:line="480" w:lineRule="auto"/>
        <w:jc w:val="both"/>
      </w:pPr>
      <w:r>
        <w:t>Tomlinson (2017) notes that the report also recommended that the assessment of children with special needs should be based on their future prospects at least two years before they leave school. The special needs children should be empowered to stay at school beyond the stipulated statutory age of leaving school whenever it is in their interest. Any institution of higher education needs to designate a staff member who is responsible for the welfare of the students with special needs. Additionally, the report recommended that a range of recognized qualifications should be stipulated for special education and that people with disabilities should be provided with more opportunities to become teachers.</w:t>
      </w:r>
    </w:p>
    <w:p w14:paraId="00000018" w14:textId="08FFFEB5" w:rsidR="00110206" w:rsidRDefault="00D42465">
      <w:pPr>
        <w:spacing w:line="480" w:lineRule="auto"/>
        <w:jc w:val="both"/>
      </w:pPr>
      <w:r>
        <w:t xml:space="preserve">The Additional Learning </w:t>
      </w:r>
      <w:r w:rsidRPr="00CD00E4">
        <w:rPr>
          <w:color w:val="000000" w:themeColor="text1"/>
        </w:rPr>
        <w:t>Need</w:t>
      </w:r>
      <w:r w:rsidR="00CD00E4" w:rsidRPr="00CD00E4">
        <w:rPr>
          <w:color w:val="000000" w:themeColor="text1"/>
        </w:rPr>
        <w:t>s</w:t>
      </w:r>
      <w:r w:rsidRPr="00CD00E4">
        <w:rPr>
          <w:color w:val="000000" w:themeColor="text1"/>
        </w:rPr>
        <w:t xml:space="preserve"> a</w:t>
      </w:r>
      <w:r>
        <w:t xml:space="preserve">nd Education Tribunal (Wales) Act 2018 replaced the Special Educational Needs (SEN) framework, by introducing a reformed system that was based on the additional learning needs framework. The need for passing the law was premised on the fact that the previous legislative framework for supporting SEN children and young people had become </w:t>
      </w:r>
      <w:r>
        <w:lastRenderedPageBreak/>
        <w:t xml:space="preserve">less effective after being used for more than 30 years. Feedback from relevant authorities such as the National Assemblies </w:t>
      </w:r>
      <w:r w:rsidR="000146FA">
        <w:t>f</w:t>
      </w:r>
      <w:r>
        <w:t xml:space="preserve">or </w:t>
      </w:r>
      <w:r w:rsidRPr="00CD00E4">
        <w:rPr>
          <w:color w:val="000000" w:themeColor="text1"/>
        </w:rPr>
        <w:t>Education,</w:t>
      </w:r>
      <w:r>
        <w:t xml:space="preserve"> the Lifelong Learning and Skills Committee, the Wales Audit Office, pointed out that the previous system was not just adversarial, but was also complex and bewildering.  It had an assessment process that was bureaucratic, inefficient, and costly, and was not user-friendly or children-centered.  In some cases, their framework led to the late identification of needs and oversaw interventions that were not adequately planned or executed in an effective and timely manner. Feedback from families of children with SEN indicated that they had to grapple with each stage of the process to enable their children to access the right support and also did not know where to seek information or advice (Peer &amp; Reid, 2020).</w:t>
      </w:r>
    </w:p>
    <w:p w14:paraId="00000019" w14:textId="255FCFDD" w:rsidR="00110206" w:rsidRDefault="00D42465">
      <w:pPr>
        <w:spacing w:line="480" w:lineRule="auto"/>
        <w:jc w:val="both"/>
      </w:pPr>
      <w:r>
        <w:t>On average one in every five learners in schools in Wales has special education needs</w:t>
      </w:r>
      <w:r w:rsidR="0008634F">
        <w:t>.</w:t>
      </w:r>
      <w:r>
        <w:t xml:space="preserve"> Before the Additional Learning Nee</w:t>
      </w:r>
      <w:r w:rsidR="0008634F" w:rsidRPr="0008634F">
        <w:rPr>
          <w:color w:val="000000" w:themeColor="text1"/>
        </w:rPr>
        <w:t>ds</w:t>
      </w:r>
      <w:r>
        <w:t xml:space="preserve"> and Education Tribunal (Wales) Act 2018, the needs were addressed through a three-pronged approach that involved graduation through stages of intervention.  </w:t>
      </w:r>
      <w:r w:rsidRPr="0008634F">
        <w:rPr>
          <w:color w:val="000000" w:themeColor="text1"/>
        </w:rPr>
        <w:t xml:space="preserve">The first stage involves providing additional support by the schools and was also referred to as School Action. </w:t>
      </w:r>
      <w:r>
        <w:t xml:space="preserve"> The second stage involved providing additional support by the school in collaboration with external agencies; this was also referred to as School Action Plus. The third and final stage was provided where it was considered necessary according to the local authority statement of SEN, which stipulated a legal entitlement to specify packages of support (Hamilton, 2021).</w:t>
      </w:r>
    </w:p>
    <w:p w14:paraId="0000001A" w14:textId="3E219D30" w:rsidR="00110206" w:rsidRDefault="00D42465" w:rsidP="00895A6A">
      <w:pPr>
        <w:spacing w:line="480" w:lineRule="auto"/>
        <w:jc w:val="both"/>
      </w:pPr>
      <w:r w:rsidRPr="0008634F">
        <w:rPr>
          <w:color w:val="000000" w:themeColor="text1"/>
        </w:rPr>
        <w:t>The Additional Learning Need</w:t>
      </w:r>
      <w:r w:rsidR="0008634F" w:rsidRPr="0008634F">
        <w:rPr>
          <w:color w:val="000000" w:themeColor="text1"/>
        </w:rPr>
        <w:t>s</w:t>
      </w:r>
      <w:r w:rsidRPr="0008634F">
        <w:rPr>
          <w:color w:val="000000" w:themeColor="text1"/>
        </w:rPr>
        <w:t xml:space="preserve"> and Education Tribunal (Wales) Act 2018 has therefore</w:t>
      </w:r>
      <w:r w:rsidR="0008634F">
        <w:rPr>
          <w:color w:val="000000" w:themeColor="text1"/>
        </w:rPr>
        <w:t xml:space="preserve"> been put in</w:t>
      </w:r>
      <w:r w:rsidRPr="0008634F">
        <w:rPr>
          <w:color w:val="000000" w:themeColor="text1"/>
        </w:rPr>
        <w:t xml:space="preserve"> place to take care of these challenges and limitations that were </w:t>
      </w:r>
      <w:r w:rsidR="0008634F">
        <w:rPr>
          <w:color w:val="000000" w:themeColor="text1"/>
        </w:rPr>
        <w:t>highlighted</w:t>
      </w:r>
      <w:r w:rsidRPr="0008634F">
        <w:rPr>
          <w:color w:val="000000" w:themeColor="text1"/>
        </w:rPr>
        <w:t xml:space="preserve"> in the previous framework. </w:t>
      </w:r>
      <w:r>
        <w:t>The Act was introduced in September 2020 and has since been adopted in schools across Wales. The Act made provisions for the adoption of statutory, universal Individual Development Plans (IDP</w:t>
      </w:r>
      <w:r w:rsidR="00895A6A">
        <w:t>s</w:t>
      </w:r>
      <w:r>
        <w:t>) for children and young people who have ALN (Peer &amp; Reid, 2020).</w:t>
      </w:r>
    </w:p>
    <w:p w14:paraId="0000001B" w14:textId="459F92F8" w:rsidR="00110206" w:rsidRPr="00C46CF4" w:rsidRDefault="00D42465" w:rsidP="00895A6A">
      <w:pPr>
        <w:spacing w:line="480" w:lineRule="auto"/>
        <w:jc w:val="both"/>
        <w:rPr>
          <w:color w:val="FF0000"/>
        </w:rPr>
      </w:pPr>
      <w:r>
        <w:lastRenderedPageBreak/>
        <w:t>The Act effectively ended the previous distinction that was made between local authority-issued statements and school-led interventions.</w:t>
      </w:r>
      <w:r w:rsidR="00895A6A">
        <w:t xml:space="preserve"> </w:t>
      </w:r>
      <w:r>
        <w:t xml:space="preserve">Instead, the </w:t>
      </w:r>
      <w:r w:rsidR="000146FA">
        <w:t>A</w:t>
      </w:r>
      <w:r>
        <w:t xml:space="preserve">ct integrated the distinct legislative arrangements that existed for children in schools and those who were above 16 years </w:t>
      </w:r>
      <w:r w:rsidR="00895A6A">
        <w:t>attending</w:t>
      </w:r>
      <w:r>
        <w:t xml:space="preserve"> colleges</w:t>
      </w:r>
      <w:r w:rsidR="008F2FC0">
        <w:t>.</w:t>
      </w:r>
      <w:r>
        <w:t xml:space="preserve"> Furthermore, the </w:t>
      </w:r>
      <w:r w:rsidR="000146FA">
        <w:t>A</w:t>
      </w:r>
      <w:r>
        <w:t xml:space="preserve">ct aimed </w:t>
      </w:r>
      <w:r w:rsidR="00C46CF4">
        <w:t xml:space="preserve">to </w:t>
      </w:r>
      <w:r>
        <w:t>improv</w:t>
      </w:r>
      <w:r w:rsidR="00C46CF4">
        <w:t xml:space="preserve">e </w:t>
      </w:r>
      <w:r>
        <w:t>collaborative efforts between the health board and local authorities</w:t>
      </w:r>
      <w:r w:rsidR="00C46CF4">
        <w:t>. T</w:t>
      </w:r>
      <w:r>
        <w:t>herefore, established a fair more transparent system that is focused on avoiding disagreements and resolving disputes (Hamilton, 2021).</w:t>
      </w:r>
      <w:r w:rsidR="0008634F">
        <w:t xml:space="preserve"> </w:t>
      </w:r>
      <w:r>
        <w:t xml:space="preserve">The </w:t>
      </w:r>
      <w:r w:rsidR="000146FA">
        <w:t>A</w:t>
      </w:r>
      <w:r>
        <w:t xml:space="preserve">ct however continued the existence of the Special Education Needs Tribunal for Wales, which is charged with the responsibility of providing children, and their parents with an opportunity for appealing against any decisions that are made by the local authority </w:t>
      </w:r>
      <w:r w:rsidR="0008634F">
        <w:t xml:space="preserve">in </w:t>
      </w:r>
      <w:r>
        <w:t xml:space="preserve">relation to the </w:t>
      </w:r>
      <w:r w:rsidR="0008634F">
        <w:t>child’s</w:t>
      </w:r>
      <w:r>
        <w:t xml:space="preserve"> </w:t>
      </w:r>
      <w:r w:rsidRPr="000837B8">
        <w:rPr>
          <w:color w:val="000000" w:themeColor="text1"/>
        </w:rPr>
        <w:t>ALN</w:t>
      </w:r>
      <w:r>
        <w:t xml:space="preserve">. </w:t>
      </w:r>
    </w:p>
    <w:p w14:paraId="0000001C" w14:textId="5226015F" w:rsidR="00110206" w:rsidRDefault="00D42465" w:rsidP="000837B8">
      <w:pPr>
        <w:spacing w:line="480" w:lineRule="auto"/>
        <w:jc w:val="both"/>
      </w:pPr>
      <w:r>
        <w:t xml:space="preserve">Furthermore, the Act has established a uniform legislative framework for supporting all children who fall within the compulsory school age and have ALN, including young people with ALN who are in school and those who are furthering their education. It has also established a collaborative and integrated process for assessing, planning, and monitoring, which invariably facilitates timely, early, and effective intervention for the children (Peer &amp; Reid, 2020).  Additionally, the </w:t>
      </w:r>
      <w:r w:rsidR="000146FA">
        <w:t>A</w:t>
      </w:r>
      <w:r>
        <w:t>ct guarantees a fair and transparent system through which information and guidance will be provided to parents or family and other stakeholders; and also helps in resolving appeal and concerns (Hamilton, 2021).</w:t>
      </w:r>
    </w:p>
    <w:p w14:paraId="0000001D" w14:textId="4872823A" w:rsidR="00110206" w:rsidRDefault="00D42465" w:rsidP="000837B8">
      <w:pPr>
        <w:spacing w:line="480" w:lineRule="auto"/>
        <w:jc w:val="both"/>
      </w:pPr>
      <w:r>
        <w:t>Peer and Reid (2020) argue that there are 11 major aims that the provisions of the Act seek to achieve.</w:t>
      </w:r>
      <w:r w:rsidR="00B56B4B">
        <w:t xml:space="preserve"> T</w:t>
      </w:r>
      <w:r>
        <w:t xml:space="preserve">he </w:t>
      </w:r>
      <w:r w:rsidR="000146FA">
        <w:t>A</w:t>
      </w:r>
      <w:r>
        <w:t xml:space="preserve">ct aimed </w:t>
      </w:r>
      <w:r w:rsidR="00C46CF4">
        <w:t>to</w:t>
      </w:r>
      <w:r>
        <w:t xml:space="preserve"> introduc</w:t>
      </w:r>
      <w:r w:rsidR="00C46CF4">
        <w:t>e</w:t>
      </w:r>
      <w:r>
        <w:t xml:space="preserve"> the adoption of the term Additional Learning Needs (ALN), thereby effectively replacing the use of the SEN term and the Learning Difficulties or Disabilities (LDD).  This was considered necessary for minimizing some of the stigmas that </w:t>
      </w:r>
      <w:r w:rsidR="00C46CF4">
        <w:t xml:space="preserve">are </w:t>
      </w:r>
      <w:r>
        <w:t xml:space="preserve">related to the use of the previous terms, thereby providing a shift that would delineate the present for the past system.  The </w:t>
      </w:r>
      <w:r w:rsidRPr="00B56B4B">
        <w:rPr>
          <w:color w:val="000000" w:themeColor="text1"/>
        </w:rPr>
        <w:t>use of</w:t>
      </w:r>
      <w:r w:rsidR="00B56B4B" w:rsidRPr="00B56B4B">
        <w:rPr>
          <w:color w:val="000000" w:themeColor="text1"/>
        </w:rPr>
        <w:t xml:space="preserve"> the term</w:t>
      </w:r>
      <w:r w:rsidRPr="00B56B4B">
        <w:rPr>
          <w:color w:val="000000" w:themeColor="text1"/>
        </w:rPr>
        <w:t xml:space="preserve"> ALN </w:t>
      </w:r>
      <w:r>
        <w:t xml:space="preserve">considers children and young people who are between 0 to 25 </w:t>
      </w:r>
      <w:r>
        <w:lastRenderedPageBreak/>
        <w:t xml:space="preserve">years, indicating </w:t>
      </w:r>
      <w:r w:rsidR="00B56B4B" w:rsidRPr="00B56B4B">
        <w:rPr>
          <w:color w:val="000000" w:themeColor="text1"/>
        </w:rPr>
        <w:t>them to be able</w:t>
      </w:r>
      <w:r w:rsidRPr="00B56B4B">
        <w:rPr>
          <w:color w:val="000000" w:themeColor="text1"/>
        </w:rPr>
        <w:t xml:space="preserve"> move </w:t>
      </w:r>
      <w:r>
        <w:t>to a system that is more equitable when it comes to supporting learners with ALN.</w:t>
      </w:r>
    </w:p>
    <w:p w14:paraId="0000001F" w14:textId="64AA5BB6" w:rsidR="00110206" w:rsidRDefault="00D42465" w:rsidP="00B56B4B">
      <w:pPr>
        <w:spacing w:line="480" w:lineRule="auto"/>
        <w:jc w:val="both"/>
      </w:pPr>
      <w:r>
        <w:t xml:space="preserve"> </w:t>
      </w:r>
      <w:r w:rsidR="00B56B4B">
        <w:t>T</w:t>
      </w:r>
      <w:r>
        <w:t xml:space="preserve">he Act brought together the existing and various legislative systems to enhance support for children and young people of compulsory age with SEN. </w:t>
      </w:r>
      <w:r w:rsidR="00B56B4B">
        <w:t>T</w:t>
      </w:r>
      <w:r>
        <w:t xml:space="preserve">he Act also advocated for the use of a unified statutory plan referred to as the Individual Development Plan that replaced the non-statutory and statutory LDD and SEN for learners in schools. The IDP is aimed at ensuring that there is greater continuity and consistency in helping supporting children with ALN and unlike the past system, ensure that the rights of the children are protected irrespective of the complexity or severity of their needs. The Act requires that IDP be included into the Personal Education Plans (PEP) that were previously developed for the learner for their care and support plans.  This will effectively eliminate the duplication of effort and ascertain that the educational needs of the children are addressed in a holistic manner (Hamilton, 2021). The views of the children and their parents are to be considered always in the planning process. The children will be required to participate in the planning process so that they can consider </w:t>
      </w:r>
      <w:r w:rsidR="00AA172E" w:rsidRPr="00AA172E">
        <w:rPr>
          <w:color w:val="000000" w:themeColor="text1"/>
        </w:rPr>
        <w:t xml:space="preserve">it as </w:t>
      </w:r>
      <w:r>
        <w:t>something that is done by them instead of being done for them or to them.  The children and their families will be enabled to participate by providing them with a passion and clear advice and advocacy. Based on the Act the children have the right to receive information related to ALN and the decisions that are being made about them; they can also make their own decisions in some particular cases.   These rights can be actualized by parents or a case friend who is appointed by the Education Tribunal, in cases where the child has the insufficient understanding to make decisions (Hamilton, 2021).</w:t>
      </w:r>
    </w:p>
    <w:p w14:paraId="00000020" w14:textId="0EE52A5F" w:rsidR="00110206" w:rsidRPr="00AA172E" w:rsidRDefault="00D42465" w:rsidP="00AA172E">
      <w:pPr>
        <w:spacing w:line="480" w:lineRule="auto"/>
        <w:jc w:val="both"/>
        <w:rPr>
          <w:color w:val="FF0000"/>
        </w:rPr>
      </w:pPr>
      <w:r>
        <w:t xml:space="preserve">The </w:t>
      </w:r>
      <w:r w:rsidR="000146FA">
        <w:t>A</w:t>
      </w:r>
      <w:r>
        <w:t xml:space="preserve">ct seeks to enhance high aspirations and the attainment of improved outcomes for ALN children.  The focus of the IDPs is making provisions for delivering tangible outcomes, which contributes to the attainment of the full potential of the children in a meaningful way (Peer &amp; Reid, </w:t>
      </w:r>
      <w:r>
        <w:lastRenderedPageBreak/>
        <w:t xml:space="preserve">2020). The </w:t>
      </w:r>
      <w:r w:rsidR="00B56B4B">
        <w:t>Act</w:t>
      </w:r>
      <w:r>
        <w:t xml:space="preserve"> also aims at making the system simple and less adversarial. Therefore, the process of producing and revising the IDPs is simplified and also avoids the bureaucracy and adversarial nature of the previous statements of SEN (Hamilton, 2021).</w:t>
      </w:r>
      <w:r w:rsidR="00AA172E">
        <w:t xml:space="preserve"> </w:t>
      </w:r>
    </w:p>
    <w:p w14:paraId="00000021" w14:textId="77777777" w:rsidR="00110206" w:rsidRDefault="00D42465" w:rsidP="00AA172E">
      <w:pPr>
        <w:spacing w:line="480" w:lineRule="auto"/>
        <w:jc w:val="both"/>
      </w:pPr>
      <w:bookmarkStart w:id="0" w:name="_heading=h.gjdgxs" w:colFirst="0" w:colLast="0"/>
      <w:bookmarkEnd w:id="0"/>
      <w:r>
        <w:t xml:space="preserve">Furthermore, the Act </w:t>
      </w:r>
      <w:r w:rsidRPr="00B56B4B">
        <w:rPr>
          <w:color w:val="000000" w:themeColor="text1"/>
        </w:rPr>
        <w:t xml:space="preserve">aims </w:t>
      </w:r>
      <w:r>
        <w:t>at increasing collaboration whereby all services that are involved in supporting the children, which include education, social services and health will play an integral role in the delivery of effective, efficient and child-centered support for the ALN learners (Hamilton, 2021). Notably, most children will not require any particular health involvement considering that their ALN is not associated with health issues; however, they will be provided with assistance and advice by health professionals where it will be appropriate and relevant. The local health boards are charged with considering whether there is a service or treatment that is likely to address the needs of ALN learners, and in that case provide the service or treatment where it is needed (Peer &amp; Reid, 2020).  In this case, the treatment will be included in the learners IDP. These reforms therefore, encourage improved collaboration and information-sharing between the relevant agencies, a process that is critical in ensuring that the names of the ALN learners are identified early enough and the appropriate support is provided to help them obtain the best possible outcomes (Hamilton, 2021).</w:t>
      </w:r>
    </w:p>
    <w:p w14:paraId="00000022" w14:textId="5B1DEBB5" w:rsidR="00110206" w:rsidRDefault="00D42465" w:rsidP="00AA172E">
      <w:pPr>
        <w:spacing w:line="480" w:lineRule="auto"/>
        <w:jc w:val="both"/>
      </w:pPr>
      <w:r>
        <w:t xml:space="preserve">The provisions of the Act also ensure that disagreements are avoided and that there are mechanisms for establishing earlier disagreement resolutions.  Therefore, the agreements that arise regarding an IDP or its content are considered and immediately resolved at the local level </w:t>
      </w:r>
      <w:r w:rsidR="006A3627">
        <w:t xml:space="preserve">where </w:t>
      </w:r>
      <w:r>
        <w:t>possible (Peer &amp; Reid, 2020).  The Act also provides consistent and clear rights of appeal in case</w:t>
      </w:r>
      <w:r w:rsidR="006A3627">
        <w:t>s</w:t>
      </w:r>
      <w:r>
        <w:t xml:space="preserve"> where </w:t>
      </w:r>
      <w:r w:rsidR="006A3627">
        <w:t>i</w:t>
      </w:r>
      <w:r>
        <w:t>t proves difficult to resolve conflict regarding the content or provisions of the IDP at the local level. The appeal is channeled to the Education Tribunal for Wales, which is currently referred to as the Special Educational Needs Tribunal for Wales as indicated in the Act.</w:t>
      </w:r>
    </w:p>
    <w:p w14:paraId="00000023" w14:textId="36F05A09" w:rsidR="00110206" w:rsidRDefault="00D42465" w:rsidP="00AA172E">
      <w:pPr>
        <w:spacing w:line="480" w:lineRule="auto"/>
        <w:jc w:val="both"/>
      </w:pPr>
      <w:r>
        <w:lastRenderedPageBreak/>
        <w:t>Peer &amp; Reid, (2020) notes that the Act responds to the need for having a stronger Code, and therefore established a new statutory ALN Code that facilitates national consistency through ensuring that the ALN system is based on clear parameters that are legally enforceable at the local authority level; it ensures that organizations charged with the responsibility for delivering services to the children operate within the provisions of the Act. The Code outlines practical guidance on how the statutory duties should be executed, with support from best practices in ALN</w:t>
      </w:r>
      <w:r w:rsidR="00B56B4B" w:rsidRPr="00B56B4B">
        <w:rPr>
          <w:color w:val="000000" w:themeColor="text1"/>
        </w:rPr>
        <w:t>.</w:t>
      </w:r>
      <w:r w:rsidR="00B56B4B">
        <w:rPr>
          <w:color w:val="FF0000"/>
        </w:rPr>
        <w:t xml:space="preserve"> </w:t>
      </w:r>
      <w:r w:rsidR="00B56B4B">
        <w:t>T</w:t>
      </w:r>
      <w:r>
        <w:t>he Act provides a bilingual system whereby the ALN services are required to consider whether children in</w:t>
      </w:r>
      <w:r w:rsidR="00B56B4B">
        <w:rPr>
          <w:color w:val="FF0000"/>
        </w:rPr>
        <w:t xml:space="preserve"> </w:t>
      </w:r>
      <w:r w:rsidR="00B56B4B" w:rsidRPr="00B56B4B">
        <w:rPr>
          <w:color w:val="000000" w:themeColor="text1"/>
        </w:rPr>
        <w:t>Wales</w:t>
      </w:r>
      <w:r w:rsidRPr="00B56B4B">
        <w:rPr>
          <w:color w:val="000000" w:themeColor="text1"/>
        </w:rPr>
        <w:t xml:space="preserve"> </w:t>
      </w:r>
      <w:r>
        <w:t>need AL</w:t>
      </w:r>
      <w:r w:rsidR="00451591">
        <w:t>N</w:t>
      </w:r>
      <w:r>
        <w:t xml:space="preserve"> on an ongoing basis rather than it being a one-off decision. Identified cases should be documented in the IDP and all steps undertaken to secure provision in Welsh.</w:t>
      </w:r>
    </w:p>
    <w:p w14:paraId="00000024" w14:textId="13B62689" w:rsidR="00110206" w:rsidRDefault="00D42465" w:rsidP="00406085">
      <w:pPr>
        <w:spacing w:line="480" w:lineRule="auto"/>
        <w:jc w:val="both"/>
      </w:pPr>
      <w:r>
        <w:t xml:space="preserve">Two theories are used in this study to understand the constructs of </w:t>
      </w:r>
      <w:r w:rsidR="00451591" w:rsidRPr="00451591">
        <w:rPr>
          <w:color w:val="000000" w:themeColor="text1"/>
        </w:rPr>
        <w:t>ALN</w:t>
      </w:r>
      <w:r w:rsidRPr="006A3627">
        <w:rPr>
          <w:color w:val="FF0000"/>
        </w:rPr>
        <w:t xml:space="preserve"> </w:t>
      </w:r>
      <w:r>
        <w:t>and some of the most opportune ways of providing support to children and young people with AL</w:t>
      </w:r>
      <w:r w:rsidR="00451591">
        <w:t>N</w:t>
      </w:r>
      <w:r>
        <w:t>. These theories include the social model of disability and the medical model of disability.</w:t>
      </w:r>
    </w:p>
    <w:p w14:paraId="00000025" w14:textId="6E66866E" w:rsidR="00110206" w:rsidRDefault="00D42465" w:rsidP="00406085">
      <w:pPr>
        <w:spacing w:line="480" w:lineRule="auto"/>
        <w:jc w:val="both"/>
      </w:pPr>
      <w:r>
        <w:t xml:space="preserve">Johnston (2009) notes that disability has been regarded differently by various cultures and in different historical periods. In the 20th century, disability has largely been defined based on the medical model which considers ability to be a physical condition that one has.  </w:t>
      </w:r>
      <w:r w:rsidR="00451591" w:rsidRPr="00451591">
        <w:rPr>
          <w:color w:val="000000" w:themeColor="text1"/>
        </w:rPr>
        <w:t>In</w:t>
      </w:r>
      <w:r w:rsidR="00451591">
        <w:rPr>
          <w:color w:val="FF0000"/>
        </w:rPr>
        <w:t xml:space="preserve"> </w:t>
      </w:r>
      <w:r>
        <w:t xml:space="preserve">2001 the World Health Organisation (WHO) came up with a new definition of disability which was based on the social model or the human rights. According to Levitt, (2017) the medical model of disability is defined as a disability or an illness resulting from a physical condition that is intrinsic to a particular individual and can reduce their quality of life or cause them to experience disadvantages.  </w:t>
      </w:r>
      <w:r w:rsidRPr="00A60B3F">
        <w:rPr>
          <w:color w:val="000000" w:themeColor="text1"/>
        </w:rPr>
        <w:t xml:space="preserve">The </w:t>
      </w:r>
      <w:r w:rsidR="00E52F49" w:rsidRPr="00A60B3F">
        <w:rPr>
          <w:color w:val="000000" w:themeColor="text1"/>
        </w:rPr>
        <w:t xml:space="preserve">medical </w:t>
      </w:r>
      <w:r w:rsidRPr="00A60B3F">
        <w:rPr>
          <w:color w:val="000000" w:themeColor="text1"/>
        </w:rPr>
        <w:t xml:space="preserve">model </w:t>
      </w:r>
      <w:r w:rsidR="00E52F49" w:rsidRPr="00A60B3F">
        <w:rPr>
          <w:color w:val="000000" w:themeColor="text1"/>
        </w:rPr>
        <w:t>of</w:t>
      </w:r>
      <w:r w:rsidRPr="00A60B3F">
        <w:rPr>
          <w:color w:val="000000" w:themeColor="text1"/>
        </w:rPr>
        <w:t xml:space="preserve"> disability </w:t>
      </w:r>
      <w:r>
        <w:t>or illness involves the identification of the disability from a comprehensive clinical perspective, understanding the disability, and learning how to change or control it.</w:t>
      </w:r>
    </w:p>
    <w:p w14:paraId="00000026" w14:textId="0A64B818" w:rsidR="00110206" w:rsidRPr="006625FA" w:rsidRDefault="00D42465" w:rsidP="00406085">
      <w:pPr>
        <w:spacing w:line="480" w:lineRule="auto"/>
        <w:jc w:val="both"/>
        <w:rPr>
          <w:color w:val="000000" w:themeColor="text1"/>
        </w:rPr>
      </w:pPr>
      <w:r w:rsidRPr="006625FA">
        <w:rPr>
          <w:color w:val="000000" w:themeColor="text1"/>
        </w:rPr>
        <w:lastRenderedPageBreak/>
        <w:t xml:space="preserve">Amponsah-Bediako, (2013) </w:t>
      </w:r>
      <w:r w:rsidR="00E52F49" w:rsidRPr="006625FA">
        <w:rPr>
          <w:color w:val="000000" w:themeColor="text1"/>
        </w:rPr>
        <w:t xml:space="preserve">suggests </w:t>
      </w:r>
      <w:r w:rsidRPr="006625FA">
        <w:rPr>
          <w:color w:val="000000" w:themeColor="text1"/>
        </w:rPr>
        <w:t xml:space="preserve">that by extension this medical model </w:t>
      </w:r>
      <w:r w:rsidR="00E52F49" w:rsidRPr="006625FA">
        <w:rPr>
          <w:color w:val="000000" w:themeColor="text1"/>
        </w:rPr>
        <w:t xml:space="preserve">used in a </w:t>
      </w:r>
      <w:r w:rsidRPr="006625FA">
        <w:rPr>
          <w:color w:val="000000" w:themeColor="text1"/>
        </w:rPr>
        <w:t>just or compassionate society put aside resources in the healthcare systems and other related services with the aim of providing medical</w:t>
      </w:r>
      <w:r w:rsidR="006625FA" w:rsidRPr="006625FA">
        <w:rPr>
          <w:color w:val="000000" w:themeColor="text1"/>
        </w:rPr>
        <w:t xml:space="preserve"> care</w:t>
      </w:r>
      <w:r w:rsidRPr="006625FA">
        <w:rPr>
          <w:color w:val="000000" w:themeColor="text1"/>
        </w:rPr>
        <w:t xml:space="preserve"> to the disabilities</w:t>
      </w:r>
      <w:r w:rsidR="006625FA" w:rsidRPr="006625FA">
        <w:rPr>
          <w:color w:val="000000" w:themeColor="text1"/>
        </w:rPr>
        <w:t>.</w:t>
      </w:r>
      <w:r w:rsidRPr="006625FA">
        <w:rPr>
          <w:color w:val="000000" w:themeColor="text1"/>
        </w:rPr>
        <w:t xml:space="preserve"> </w:t>
      </w:r>
      <w:r w:rsidR="006625FA" w:rsidRPr="006625FA">
        <w:rPr>
          <w:color w:val="000000" w:themeColor="text1"/>
        </w:rPr>
        <w:t>E</w:t>
      </w:r>
      <w:r w:rsidRPr="006625FA">
        <w:rPr>
          <w:color w:val="000000" w:themeColor="text1"/>
        </w:rPr>
        <w:t>xpand</w:t>
      </w:r>
      <w:r w:rsidR="006625FA" w:rsidRPr="006625FA">
        <w:rPr>
          <w:color w:val="000000" w:themeColor="text1"/>
        </w:rPr>
        <w:t>ing</w:t>
      </w:r>
      <w:r w:rsidRPr="006625FA">
        <w:rPr>
          <w:color w:val="000000" w:themeColor="text1"/>
        </w:rPr>
        <w:t xml:space="preserve"> functionality and improve functioning to enable the persons with disability to lead a normal life.  In this case, the potential and responsibility of the medical professionals are critical in helping persons with disabilities to enhance their outcomes in life.</w:t>
      </w:r>
    </w:p>
    <w:p w14:paraId="00000027" w14:textId="285E1596" w:rsidR="00110206" w:rsidRDefault="00D42465" w:rsidP="00406085">
      <w:pPr>
        <w:spacing w:line="480" w:lineRule="auto"/>
        <w:jc w:val="both"/>
      </w:pPr>
      <w:r>
        <w:t>According to Bunbury (2019), The medical model of disability essentially perceived disability as being the problem that persons with disabilities should grapple with and should not concern anyone else other than those who are affected.  The application of this model in the education contact world for example implies that when students who are using wheelchairs fail to access the classroom because of slippery steps; it is the wheelchair rather than the steps that are to blame.  The application of this model also allows the teacher to refuse to produce a handbook that is printed in larger fonts to help the visually impaired students to read it easily. Therefore, disabled children should be provided with a specialist provision in their special school and be considered for alternative qualifications.</w:t>
      </w:r>
    </w:p>
    <w:p w14:paraId="00000028" w14:textId="2EDD00FB" w:rsidR="00110206" w:rsidRDefault="00D42465" w:rsidP="00406085">
      <w:pPr>
        <w:spacing w:line="480" w:lineRule="auto"/>
        <w:jc w:val="both"/>
      </w:pPr>
      <w:r>
        <w:t xml:space="preserve">Therefore, the difficulties that persons with disabilities experience are, according to this model, supposed to be </w:t>
      </w:r>
      <w:r w:rsidR="008D31F4">
        <w:t>borne</w:t>
      </w:r>
      <w:r>
        <w:t xml:space="preserve"> by the disabled persons themselves.  They should make extra efforts of ensuring that they do not become an inconvenience to others around them (Bunbury 2019). Levitt, (2017) observes that the medical model has </w:t>
      </w:r>
      <w:r w:rsidR="00E52F49" w:rsidRPr="00E52F49">
        <w:rPr>
          <w:color w:val="000000" w:themeColor="text1"/>
        </w:rPr>
        <w:t>f</w:t>
      </w:r>
      <w:r w:rsidRPr="00E52F49">
        <w:rPr>
          <w:color w:val="000000" w:themeColor="text1"/>
        </w:rPr>
        <w:t>or</w:t>
      </w:r>
      <w:r w:rsidRPr="006A3627">
        <w:rPr>
          <w:color w:val="FF0000"/>
        </w:rPr>
        <w:t xml:space="preserve"> </w:t>
      </w:r>
      <w:r>
        <w:t xml:space="preserve">a long time informed the structuring and development of </w:t>
      </w:r>
      <w:r w:rsidR="008D31F4">
        <w:t>legislation and</w:t>
      </w:r>
      <w:r>
        <w:t xml:space="preserve"> is also widely reflected in people's attitudes;</w:t>
      </w:r>
      <w:r w:rsidR="00E52F49">
        <w:t xml:space="preserve"> </w:t>
      </w:r>
      <w:r>
        <w:t>the model is also associated with negative outcomes for persons with disabilities.</w:t>
      </w:r>
    </w:p>
    <w:p w14:paraId="00000029" w14:textId="77777777" w:rsidR="00110206" w:rsidRPr="00E52F49" w:rsidRDefault="00D42465" w:rsidP="00406085">
      <w:pPr>
        <w:spacing w:line="480" w:lineRule="auto"/>
        <w:jc w:val="both"/>
        <w:rPr>
          <w:color w:val="000000" w:themeColor="text1"/>
        </w:rPr>
      </w:pPr>
      <w:r w:rsidRPr="00E52F49">
        <w:rPr>
          <w:color w:val="000000" w:themeColor="text1"/>
        </w:rPr>
        <w:t xml:space="preserve">The inclusion of this model in the theoretical framework in this study was instructive in outlining the development of a societal appreciation of persons with disabilities. The study of the theory was </w:t>
      </w:r>
      <w:r w:rsidRPr="00E52F49">
        <w:rPr>
          <w:color w:val="000000" w:themeColor="text1"/>
        </w:rPr>
        <w:lastRenderedPageBreak/>
        <w:t>also critical in establishing how the perspectives have changed over time to acknowledge the need for empowering persons with disabilities by providing them with more choice and control in terms of influencing their life outcomes.</w:t>
      </w:r>
    </w:p>
    <w:p w14:paraId="0000002A" w14:textId="7B23DC46" w:rsidR="00110206" w:rsidRDefault="00D42465" w:rsidP="00406085">
      <w:pPr>
        <w:spacing w:line="480" w:lineRule="auto"/>
        <w:jc w:val="both"/>
      </w:pPr>
      <w:r>
        <w:t>The social model of disability was developed in the 70s and the 80s by people with disabilities in response to the medical model of disability. The social model of disability argues that what makes a person disabled is not their medical condition but rather the structures and attitudes of society (Anastasiou &amp; Kauffman, 2013).</w:t>
      </w:r>
    </w:p>
    <w:p w14:paraId="0000002B" w14:textId="3D1D818E" w:rsidR="00110206" w:rsidRDefault="00D42465" w:rsidP="00406085">
      <w:pPr>
        <w:spacing w:line="480" w:lineRule="auto"/>
        <w:jc w:val="both"/>
      </w:pPr>
      <w:r>
        <w:t>Levitt (2017) argues that the social model of disability is largely a civil rights approach to disability. If society was set up in such a manner that people with disability were readily acceptable they would not be restricted or excluded in most important social-economic development activities as it is the case in most instances. People with learning disabilities are subjected to various negative attitudes that are based on stereotypes and prejudice which deny them equal opportunity in society. Some of th</w:t>
      </w:r>
      <w:r w:rsidR="008D31F4">
        <w:t>e</w:t>
      </w:r>
      <w:r>
        <w:t xml:space="preserve"> </w:t>
      </w:r>
      <w:r w:rsidR="008D31F4">
        <w:t>attitudes</w:t>
      </w:r>
      <w:r>
        <w:t xml:space="preserve"> includes the assumption that persons with disabilities cannot work and live independently.</w:t>
      </w:r>
    </w:p>
    <w:p w14:paraId="0000002C" w14:textId="77777777" w:rsidR="00110206" w:rsidRDefault="00D42465" w:rsidP="00406085">
      <w:pPr>
        <w:spacing w:line="480" w:lineRule="auto"/>
        <w:jc w:val="both"/>
      </w:pPr>
      <w:r>
        <w:t>Owens (2015) argues there is a need for distinguishing between impairments and disability. Impairments are the individual problems that can hinder people from getting something done, while disability is an additional disadvantage that is bestowed upon one by society, thereby treating their impairment as abnormal and effectively excluding them from fully participating in society. Anastasiou &amp; Kauffman (2013) points out that some of the major ways in which individuals are disabled by society include labeling, prejudice, ignorance, financial dependence, family overprotectiveness, and lacking information in easily accessible formats.</w:t>
      </w:r>
    </w:p>
    <w:p w14:paraId="0000002D" w14:textId="77777777" w:rsidR="00110206" w:rsidRDefault="00D42465" w:rsidP="00406085">
      <w:pPr>
        <w:spacing w:line="480" w:lineRule="auto"/>
        <w:jc w:val="both"/>
      </w:pPr>
      <w:r>
        <w:t xml:space="preserve">Levitt, (2017) argued that the use of the social model of disability instead of the medical model of disability is instructive in helping people to change their perception of what others can achieve and </w:t>
      </w:r>
      <w:r>
        <w:lastRenderedPageBreak/>
        <w:t>how our environment and organizations can be structured to accommodate persons with disability. The model is effective in helping people to see beyond their outdated policies and procedures that have indirectly elected significant barriers for people with learning disabilities, thereby denying them the chance of leading active and full lives.</w:t>
      </w:r>
    </w:p>
    <w:p w14:paraId="0000002E" w14:textId="2FB14B06" w:rsidR="00110206" w:rsidRDefault="00B7466F" w:rsidP="00406085">
      <w:pPr>
        <w:spacing w:line="480" w:lineRule="auto"/>
        <w:jc w:val="both"/>
      </w:pPr>
      <w:r>
        <w:t>T</w:t>
      </w:r>
      <w:r w:rsidR="00D42465">
        <w:t>here has been some progress made in terms of public perceptions about people with learning disabilities. However, there is still a stigma directed towards people with learning disabilities with regard to what they can do and what they cannot do. The social model of disability argues that limitations should not be set on what the persons with disabilities can achieve. The major issue, in this case, should be establishing ways to support persons with learning disabilities so that they can achieve those things that seem beyond their reach.</w:t>
      </w:r>
    </w:p>
    <w:p w14:paraId="0000002F" w14:textId="62EE2755" w:rsidR="00110206" w:rsidRDefault="00B7466F" w:rsidP="00406085">
      <w:pPr>
        <w:spacing w:line="480" w:lineRule="auto"/>
        <w:jc w:val="both"/>
        <w:rPr>
          <w:b/>
        </w:rPr>
      </w:pPr>
      <w:r>
        <w:t>T</w:t>
      </w:r>
      <w:r w:rsidR="00D42465">
        <w:t>he social model is quite helpful in helping people to recognize the barriers that make life difficult for disabled people. It highlights how the removal of this barrier is critical in creating a quality and providing persons with learning disabilities with more choice, control, and independence. Therefore, the social model was quite relevant for this study in terms of understanding the modalities that should be embraced in the quest to ensure that children and young persons with learning difficulties are helped to reach their fullest potential.</w:t>
      </w:r>
    </w:p>
    <w:p w14:paraId="5D067334" w14:textId="2A9BB2EE" w:rsidR="00A603B7" w:rsidRDefault="00A603B7" w:rsidP="00406085">
      <w:pPr>
        <w:spacing w:line="480" w:lineRule="auto"/>
        <w:jc w:val="both"/>
      </w:pPr>
      <w:r>
        <w:t xml:space="preserve">The following will discuss a student with a </w:t>
      </w:r>
      <w:r w:rsidR="00E90DB6">
        <w:t>pseudonym</w:t>
      </w:r>
      <w:r>
        <w:t xml:space="preserve"> used to keep </w:t>
      </w:r>
      <w:r w:rsidR="00F046C6">
        <w:t>anonymity</w:t>
      </w:r>
      <w:r>
        <w:t xml:space="preserve"> abiding by the </w:t>
      </w:r>
      <w:r w:rsidR="00F046C6">
        <w:t>ethical</w:t>
      </w:r>
      <w:r>
        <w:t xml:space="preserve"> code. </w:t>
      </w:r>
    </w:p>
    <w:p w14:paraId="00000032" w14:textId="2AD7E572" w:rsidR="00110206" w:rsidRDefault="00D42465" w:rsidP="00406085">
      <w:pPr>
        <w:spacing w:line="480" w:lineRule="auto"/>
        <w:jc w:val="both"/>
      </w:pPr>
      <w:r>
        <w:t>The 15-year-old, Matthew is an example of a student at the setting with Autism Spectrum Disorder. This student is non-verbal and uses sign language and Pecs</w:t>
      </w:r>
      <w:r w:rsidR="00272210">
        <w:t xml:space="preserve"> </w:t>
      </w:r>
      <w:r>
        <w:t>(picture exchange communication system)</w:t>
      </w:r>
      <w:r w:rsidR="00F046C6">
        <w:t xml:space="preserve"> to </w:t>
      </w:r>
      <w:r w:rsidR="006625FA">
        <w:t>communicate</w:t>
      </w:r>
      <w:r w:rsidR="00F046C6">
        <w:t xml:space="preserve"> to his teachers or peers</w:t>
      </w:r>
      <w:r>
        <w:t>.</w:t>
      </w:r>
    </w:p>
    <w:p w14:paraId="00000033" w14:textId="679BFDAB" w:rsidR="00110206" w:rsidRDefault="00D42465" w:rsidP="00406085">
      <w:pPr>
        <w:spacing w:line="480" w:lineRule="auto"/>
        <w:jc w:val="both"/>
      </w:pPr>
      <w:r>
        <w:t xml:space="preserve">At times he does not even respond to his own name and he is very reluctant to socialise with others or even be in the same surroundings.  He evidently faces difficulty when it comes to recognizing </w:t>
      </w:r>
      <w:r>
        <w:lastRenderedPageBreak/>
        <w:t>other people's emotions, understanding social relationships, or responding appropriately in various social situations. For example, when it comes to taking part in classroom activities that include others Matthew can become very stressed and show behavioural outburst to staff</w:t>
      </w:r>
      <w:r w:rsidR="00F046C6">
        <w:t xml:space="preserve"> and sometimes pupils around him at that time.</w:t>
      </w:r>
      <w:r>
        <w:t xml:space="preserve"> Matthew works best when everything in the setting is on his terms and something he enjoys rather than something a member of staff is encouraging him to do.</w:t>
      </w:r>
    </w:p>
    <w:p w14:paraId="00000034" w14:textId="70FB6808" w:rsidR="00110206" w:rsidRDefault="00D42465" w:rsidP="00406085">
      <w:pPr>
        <w:spacing w:line="480" w:lineRule="auto"/>
        <w:jc w:val="both"/>
      </w:pPr>
      <w:r>
        <w:t>Matthew can be easily upset with a slight change in the routine of things and refuses to participate, especially if the changes are affecting the lesson that he is used to</w:t>
      </w:r>
      <w:r w:rsidR="00272210">
        <w:t>.</w:t>
      </w:r>
      <w:r>
        <w:t xml:space="preserve"> </w:t>
      </w:r>
      <w:r w:rsidR="00272210">
        <w:t>T</w:t>
      </w:r>
      <w:r>
        <w:t>his may be a music lesson with a different teacher</w:t>
      </w:r>
      <w:r w:rsidR="00F046C6">
        <w:t xml:space="preserve"> or a change of time to go swimming</w:t>
      </w:r>
      <w:r>
        <w:t>. He would often rather be left on his iPad or demanding some sort of technology</w:t>
      </w:r>
      <w:r w:rsidR="00F046C6">
        <w:t xml:space="preserve"> rather than learning</w:t>
      </w:r>
      <w:r>
        <w:t>. This restricts staff to be able to allow him to learn new skills and interact with other children around him.</w:t>
      </w:r>
      <w:r w:rsidR="00F046C6">
        <w:t xml:space="preserve"> Matthew is given time slots where he is allowed his iPad or his own free time if he completes the first activity a member of staff has given him.</w:t>
      </w:r>
    </w:p>
    <w:p w14:paraId="00000035" w14:textId="0A1790E1" w:rsidR="00110206" w:rsidRDefault="00D42465" w:rsidP="00406085">
      <w:pPr>
        <w:spacing w:line="480" w:lineRule="auto"/>
        <w:jc w:val="both"/>
      </w:pPr>
      <w:r>
        <w:t xml:space="preserve">The setting advocates for teachers to adopt various strategies to help children with </w:t>
      </w:r>
      <w:r w:rsidR="00EB52E1">
        <w:rPr>
          <w:color w:val="000000" w:themeColor="text1"/>
        </w:rPr>
        <w:t>ALN</w:t>
      </w:r>
      <w:r>
        <w:t xml:space="preserve"> to learn and attain their full potential. Some of the commonly used shortages include establishing a routine for the ASD learners such as Matthew. As aforementioned, a change in routine disrupts the learning of students with ASD. They, therefore, find a lot of comfort learning in a stable and predictable environment. The structured nature of learning at the setting is perfect for students with ASD, even though teachers are still required to ensure that they find ways to make the daily routine very clear to these students. Visual time tables have been created where images and simple words are placed on the timetable in chronological order, describing the activities and transitions during the day. The visual images provide the students with a sense of security and also serve as a reminder for those who are providing support to them. ASD students are largely visual learners; </w:t>
      </w:r>
      <w:r>
        <w:lastRenderedPageBreak/>
        <w:t>therefore, providing them with pictures particularly when they are transitioning between learning activities is quite helpful in terms of, empowering them to respond more independently.</w:t>
      </w:r>
    </w:p>
    <w:p w14:paraId="00000036" w14:textId="77777777" w:rsidR="00110206" w:rsidRDefault="00D42465" w:rsidP="00406085">
      <w:pPr>
        <w:spacing w:line="480" w:lineRule="auto"/>
        <w:jc w:val="both"/>
      </w:pPr>
      <w:r>
        <w:t>At the setting the teachers acknowledge that the learning environment for ASD students should be considered carefully to lessen their learning difficulties. Evidently, ASD students are recognised for their sensory sensitivity, which causes them to have intense negative or positive reactions to sensory stimulation. To counter this, the teachers have ensured that the classroom environments at the setting are less overwhelming for the students. Since every ASD student is different, teachers are tasked to point out their individual sensitivities; observe how they react to touching certain surfaces and hearing certain sounds. The teachers then are given the prerogative of reducing or removing any stimulus in the learning environment that may cause anxiety in particular ASD students.</w:t>
      </w:r>
    </w:p>
    <w:p w14:paraId="00000037" w14:textId="77777777" w:rsidR="00110206" w:rsidRDefault="00D42465" w:rsidP="00406085">
      <w:pPr>
        <w:spacing w:line="480" w:lineRule="auto"/>
        <w:jc w:val="both"/>
      </w:pPr>
      <w:r>
        <w:t>Changes in routine have been established as significant barriers that affect learning for ASD children by making them disinterested in whatever is being taught. At the setting, learning for ASD students is maximised by integrating their interests in lessons, which calls for the commitment and creativity of teachers in the lesson planning. This is considered important because one of the key characteristics of ASD children is how they can be highly focused on their interests. Using that as a focal point of the lesson draws them in and interests them to learn whatever the lesson is covering.</w:t>
      </w:r>
    </w:p>
    <w:p w14:paraId="00000038" w14:textId="77777777" w:rsidR="00110206" w:rsidRDefault="00D42465" w:rsidP="00406085">
      <w:pPr>
        <w:spacing w:line="480" w:lineRule="auto"/>
        <w:jc w:val="both"/>
        <w:rPr>
          <w:b/>
        </w:rPr>
      </w:pPr>
      <w:r>
        <w:t>Furthermore, the setting also considers the support of ASD children inside and outside the school as imperative for enhancing their wholesome and consistent growth and development. Teachers are therefore obligated to coordinate and share knowledge with parents and carers of the ASD children; in collaboration they also suggest interventions that have worked outside school and inside the school for particular children, and work towards integrating them into their routine.</w:t>
      </w:r>
    </w:p>
    <w:p w14:paraId="00000039" w14:textId="70C3A01F" w:rsidR="00110206" w:rsidRDefault="00D42465" w:rsidP="00406085">
      <w:pPr>
        <w:spacing w:line="480" w:lineRule="auto"/>
        <w:jc w:val="both"/>
      </w:pPr>
      <w:r>
        <w:lastRenderedPageBreak/>
        <w:t xml:space="preserve">This study has looked at the </w:t>
      </w:r>
      <w:r w:rsidR="00F046C6">
        <w:t xml:space="preserve">educational </w:t>
      </w:r>
      <w:r w:rsidR="00741670">
        <w:t xml:space="preserve">setting of the </w:t>
      </w:r>
      <w:r w:rsidR="00741670" w:rsidRPr="00741670">
        <w:rPr>
          <w:color w:val="000000" w:themeColor="text1"/>
        </w:rPr>
        <w:t>contributor</w:t>
      </w:r>
      <w:r>
        <w:t xml:space="preserve">, which is an educational setting for learners with additional learning needs. The study has outlined the development of learning for persons with learning difficulties, which has over time aimed at improving their involvement in the learning process and decision making to ensure that their learning needs are adequately catered for and that they have opportunities for maximising their potential. The study has revealed that both globally and locally in Wales, the attitudes towards providing education to students with learning difficulties have shifted significantly, considering the landmark, transformational provisions of the recently passed Additional Learning Need and Education Tribunal (Wales) Act 2018. The adoption of the provisions of the Act is also in place </w:t>
      </w:r>
      <w:r w:rsidR="00272210">
        <w:t>within</w:t>
      </w:r>
      <w:r>
        <w:t xml:space="preserve"> learning institutions such as the setting </w:t>
      </w:r>
      <w:r w:rsidR="00272210">
        <w:t>featured</w:t>
      </w:r>
      <w:r>
        <w:t>. The full implementation of this legal structure will invariably guarantee progress in the educational prospects of children with learning disabilities in Wales, providing them with opportunities to live a fuller and more meaningful life.</w:t>
      </w:r>
    </w:p>
    <w:p w14:paraId="0000003A" w14:textId="77777777" w:rsidR="00110206" w:rsidRDefault="00110206">
      <w:pPr>
        <w:spacing w:line="480" w:lineRule="auto"/>
        <w:ind w:firstLine="720"/>
        <w:jc w:val="both"/>
        <w:sectPr w:rsidR="00110206">
          <w:headerReference w:type="default" r:id="rId7"/>
          <w:pgSz w:w="12240" w:h="15840"/>
          <w:pgMar w:top="1440" w:right="1440" w:bottom="1440" w:left="1440" w:header="720" w:footer="720" w:gutter="0"/>
          <w:pgNumType w:start="1"/>
          <w:cols w:space="720"/>
        </w:sectPr>
      </w:pPr>
    </w:p>
    <w:p w14:paraId="0000003B" w14:textId="77777777" w:rsidR="00110206" w:rsidRDefault="00110206">
      <w:pPr>
        <w:spacing w:line="480" w:lineRule="auto"/>
      </w:pPr>
    </w:p>
    <w:p w14:paraId="0000003C" w14:textId="4015D233" w:rsidR="00110206" w:rsidRPr="00E8228A" w:rsidRDefault="00D849B1" w:rsidP="00E8228A">
      <w:pPr>
        <w:spacing w:line="480" w:lineRule="auto"/>
        <w:ind w:firstLine="720"/>
        <w:jc w:val="both"/>
        <w:rPr>
          <w:sz w:val="40"/>
          <w:szCs w:val="40"/>
          <w:u w:val="single"/>
        </w:rPr>
      </w:pPr>
      <w:bookmarkStart w:id="1" w:name="_GoBack"/>
      <w:bookmarkEnd w:id="1"/>
      <w:r w:rsidRPr="00E8228A">
        <w:rPr>
          <w:sz w:val="40"/>
          <w:szCs w:val="40"/>
          <w:u w:val="single"/>
        </w:rPr>
        <w:t>Reference List</w:t>
      </w:r>
    </w:p>
    <w:p w14:paraId="0D35EB6C" w14:textId="77777777" w:rsidR="00D849B1" w:rsidRPr="006625FA" w:rsidRDefault="00D849B1" w:rsidP="00E8228A">
      <w:pPr>
        <w:spacing w:line="480" w:lineRule="auto"/>
        <w:jc w:val="both"/>
        <w:rPr>
          <w:rFonts w:ascii="Arial" w:hAnsi="Arial" w:cs="Arial"/>
          <w:color w:val="000000" w:themeColor="text1"/>
        </w:rPr>
      </w:pPr>
      <w:r w:rsidRPr="006625FA">
        <w:rPr>
          <w:rFonts w:ascii="Arial" w:hAnsi="Arial" w:cs="Arial"/>
          <w:color w:val="000000" w:themeColor="text1"/>
        </w:rPr>
        <w:t xml:space="preserve">No Author. (2020) </w:t>
      </w:r>
      <w:r w:rsidRPr="006625FA">
        <w:rPr>
          <w:rFonts w:ascii="Arial" w:hAnsi="Arial" w:cs="Arial"/>
          <w:i/>
          <w:iCs/>
          <w:color w:val="000000" w:themeColor="text1"/>
        </w:rPr>
        <w:t xml:space="preserve">Our Position On Education And Inclusion. </w:t>
      </w:r>
      <w:r w:rsidRPr="006625FA">
        <w:rPr>
          <w:rFonts w:ascii="Arial" w:hAnsi="Arial" w:cs="Arial"/>
          <w:color w:val="000000" w:themeColor="text1"/>
        </w:rPr>
        <w:t xml:space="preserve">[Accessed: March 2020]. </w:t>
      </w:r>
      <w:hyperlink r:id="rId8" w:history="1">
        <w:r w:rsidRPr="006625FA">
          <w:rPr>
            <w:rStyle w:val="Hyperlink"/>
            <w:rFonts w:ascii="Arial" w:hAnsi="Arial" w:cs="Arial"/>
            <w:color w:val="000000" w:themeColor="text1"/>
          </w:rPr>
          <w:t>Http://www.autism.org.uk</w:t>
        </w:r>
      </w:hyperlink>
    </w:p>
    <w:p w14:paraId="689535CB" w14:textId="77777777" w:rsidR="00D849B1" w:rsidRPr="006625FA" w:rsidRDefault="00D849B1" w:rsidP="00E8228A">
      <w:pPr>
        <w:spacing w:line="480" w:lineRule="auto"/>
        <w:jc w:val="both"/>
        <w:rPr>
          <w:rFonts w:ascii="Arial" w:hAnsi="Arial" w:cs="Arial"/>
          <w:color w:val="000000" w:themeColor="text1"/>
        </w:rPr>
      </w:pPr>
      <w:r w:rsidRPr="006625FA">
        <w:rPr>
          <w:rFonts w:ascii="Arial" w:hAnsi="Arial" w:cs="Arial"/>
          <w:color w:val="000000" w:themeColor="text1"/>
        </w:rPr>
        <w:t xml:space="preserve">No Author. (2019) </w:t>
      </w:r>
      <w:r w:rsidRPr="006625FA">
        <w:rPr>
          <w:rFonts w:ascii="Arial" w:hAnsi="Arial" w:cs="Arial"/>
          <w:i/>
          <w:iCs/>
          <w:color w:val="000000" w:themeColor="text1"/>
        </w:rPr>
        <w:t xml:space="preserve">UN Convention On The Rights Of The Child. </w:t>
      </w:r>
      <w:r w:rsidRPr="006625FA">
        <w:rPr>
          <w:rFonts w:ascii="Arial" w:hAnsi="Arial" w:cs="Arial"/>
          <w:color w:val="000000" w:themeColor="text1"/>
        </w:rPr>
        <w:t>[Accessed: November 2019] Http://www.savethechildren.org.uk</w:t>
      </w:r>
    </w:p>
    <w:p w14:paraId="3F3DA95A" w14:textId="202DC84B" w:rsidR="00D849B1" w:rsidRPr="006625FA" w:rsidRDefault="00D849B1" w:rsidP="00E8228A">
      <w:pPr>
        <w:pStyle w:val="Bibliography"/>
        <w:spacing w:line="480" w:lineRule="auto"/>
        <w:ind w:left="720" w:hanging="720"/>
        <w:jc w:val="both"/>
        <w:rPr>
          <w:rFonts w:ascii="Arial" w:hAnsi="Arial" w:cs="Arial"/>
          <w:noProof/>
          <w:color w:val="000000" w:themeColor="text1"/>
          <w:sz w:val="24"/>
          <w:szCs w:val="24"/>
        </w:rPr>
      </w:pPr>
      <w:r w:rsidRPr="006625FA">
        <w:rPr>
          <w:rFonts w:ascii="Arial" w:hAnsi="Arial" w:cs="Arial"/>
          <w:noProof/>
          <w:color w:val="000000" w:themeColor="text1"/>
          <w:sz w:val="24"/>
          <w:szCs w:val="24"/>
        </w:rPr>
        <w:t xml:space="preserve">Peer, L., &amp; Reid, G. (2020). </w:t>
      </w:r>
      <w:r w:rsidRPr="006625FA">
        <w:rPr>
          <w:rFonts w:ascii="Arial" w:hAnsi="Arial" w:cs="Arial"/>
          <w:i/>
          <w:iCs/>
          <w:noProof/>
          <w:color w:val="000000" w:themeColor="text1"/>
          <w:sz w:val="24"/>
          <w:szCs w:val="24"/>
        </w:rPr>
        <w:t xml:space="preserve">Special Educational Needs: A Guide for Inclusive Practice: </w:t>
      </w:r>
      <w:r w:rsidRPr="006625FA">
        <w:rPr>
          <w:rFonts w:ascii="Arial" w:hAnsi="Arial" w:cs="Arial"/>
          <w:noProof/>
          <w:color w:val="000000" w:themeColor="text1"/>
          <w:sz w:val="24"/>
          <w:szCs w:val="24"/>
        </w:rPr>
        <w:t>SAGE.</w:t>
      </w:r>
    </w:p>
    <w:p w14:paraId="3B96BE28" w14:textId="77777777" w:rsidR="00D849B1" w:rsidRPr="006625FA" w:rsidRDefault="00D849B1" w:rsidP="00E8228A">
      <w:pPr>
        <w:jc w:val="both"/>
        <w:rPr>
          <w:rFonts w:ascii="Arial" w:hAnsi="Arial" w:cs="Arial"/>
          <w:color w:val="000000" w:themeColor="text1"/>
          <w:lang w:val="en-US"/>
        </w:rPr>
      </w:pPr>
      <w:r w:rsidRPr="006625FA">
        <w:rPr>
          <w:rFonts w:ascii="Arial" w:hAnsi="Arial" w:cs="Arial"/>
          <w:color w:val="000000" w:themeColor="text1"/>
          <w:lang w:val="en-US"/>
        </w:rPr>
        <w:fldChar w:fldCharType="begin"/>
      </w:r>
      <w:r w:rsidRPr="006625FA">
        <w:rPr>
          <w:rFonts w:ascii="Arial" w:hAnsi="Arial" w:cs="Arial"/>
          <w:color w:val="000000" w:themeColor="text1"/>
          <w:lang w:val="en-US"/>
        </w:rPr>
        <w:instrText xml:space="preserve"> HYPERLINK "Https://www.scope.org.uk" </w:instrText>
      </w:r>
      <w:r w:rsidRPr="006625FA">
        <w:rPr>
          <w:rFonts w:ascii="Arial" w:hAnsi="Arial" w:cs="Arial"/>
          <w:color w:val="000000" w:themeColor="text1"/>
          <w:lang w:val="en-US"/>
        </w:rPr>
        <w:fldChar w:fldCharType="separate"/>
      </w:r>
      <w:r w:rsidRPr="006625FA">
        <w:rPr>
          <w:rStyle w:val="Hyperlink"/>
          <w:rFonts w:ascii="Arial" w:hAnsi="Arial" w:cs="Arial"/>
          <w:color w:val="000000" w:themeColor="text1"/>
          <w:lang w:val="en-US"/>
        </w:rPr>
        <w:t>Https://www.scope.org.uk</w:t>
      </w:r>
      <w:r w:rsidRPr="006625FA">
        <w:rPr>
          <w:rFonts w:ascii="Arial" w:hAnsi="Arial" w:cs="Arial"/>
          <w:color w:val="000000" w:themeColor="text1"/>
          <w:lang w:val="en-US"/>
        </w:rPr>
        <w:fldChar w:fldCharType="end"/>
      </w:r>
      <w:r w:rsidRPr="006625FA">
        <w:rPr>
          <w:rFonts w:ascii="Arial" w:hAnsi="Arial" w:cs="Arial"/>
          <w:color w:val="000000" w:themeColor="text1"/>
          <w:lang w:val="en-US"/>
        </w:rPr>
        <w:t xml:space="preserve"> - social-model-of-disability</w:t>
      </w:r>
    </w:p>
    <w:p w14:paraId="2109E3EB" w14:textId="77777777" w:rsidR="00D849B1" w:rsidRPr="006625FA" w:rsidRDefault="00D849B1" w:rsidP="00E8228A">
      <w:pPr>
        <w:jc w:val="both"/>
        <w:rPr>
          <w:rFonts w:ascii="Arial" w:hAnsi="Arial" w:cs="Arial"/>
          <w:color w:val="000000" w:themeColor="text1"/>
          <w:lang w:val="en-US"/>
        </w:rPr>
      </w:pPr>
    </w:p>
    <w:p w14:paraId="13796A9E" w14:textId="77777777" w:rsidR="00D849B1" w:rsidRPr="006625FA" w:rsidRDefault="00D849B1" w:rsidP="00E8228A">
      <w:pPr>
        <w:spacing w:line="480" w:lineRule="auto"/>
        <w:jc w:val="both"/>
        <w:rPr>
          <w:rFonts w:ascii="Arial" w:hAnsi="Arial" w:cs="Arial"/>
          <w:color w:val="000000" w:themeColor="text1"/>
        </w:rPr>
      </w:pPr>
      <w:r w:rsidRPr="006625FA">
        <w:rPr>
          <w:rFonts w:ascii="Arial" w:hAnsi="Arial" w:cs="Arial"/>
          <w:color w:val="000000" w:themeColor="text1"/>
        </w:rPr>
        <w:t xml:space="preserve">No Author. (2019) </w:t>
      </w:r>
      <w:r w:rsidRPr="006625FA">
        <w:rPr>
          <w:rFonts w:ascii="Arial" w:hAnsi="Arial" w:cs="Arial"/>
          <w:i/>
          <w:iCs/>
          <w:color w:val="000000" w:themeColor="text1"/>
        </w:rPr>
        <w:t xml:space="preserve">The Right To Inclusive Education. </w:t>
      </w:r>
      <w:r w:rsidRPr="006625FA">
        <w:rPr>
          <w:rFonts w:ascii="Arial" w:hAnsi="Arial" w:cs="Arial"/>
          <w:color w:val="000000" w:themeColor="text1"/>
        </w:rPr>
        <w:t>[Accessed: April 2020] Http://www.right-to-education.org</w:t>
      </w:r>
    </w:p>
    <w:p w14:paraId="78DD2617" w14:textId="77777777" w:rsidR="00D849B1" w:rsidRPr="006625FA" w:rsidRDefault="00D849B1" w:rsidP="00E8228A">
      <w:pPr>
        <w:jc w:val="both"/>
        <w:rPr>
          <w:rFonts w:ascii="Arial" w:hAnsi="Arial" w:cs="Arial"/>
          <w:color w:val="000000" w:themeColor="text1"/>
          <w:shd w:val="clear" w:color="auto" w:fill="FFFFFF"/>
        </w:rPr>
      </w:pPr>
    </w:p>
    <w:p w14:paraId="01FB4CAC" w14:textId="60F3825D" w:rsidR="00D849B1" w:rsidRPr="006625FA" w:rsidRDefault="00D849B1" w:rsidP="00E8228A">
      <w:pPr>
        <w:jc w:val="both"/>
        <w:rPr>
          <w:color w:val="000000" w:themeColor="text1"/>
        </w:rPr>
      </w:pPr>
      <w:r w:rsidRPr="006625FA">
        <w:rPr>
          <w:rFonts w:ascii="Arial" w:hAnsi="Arial" w:cs="Arial"/>
          <w:color w:val="000000" w:themeColor="text1"/>
          <w:shd w:val="clear" w:color="auto" w:fill="FFFFFF"/>
        </w:rPr>
        <w:t>Bolton, G. Reflective practice writing for professional development (</w:t>
      </w:r>
      <w:r w:rsidRPr="006625FA">
        <w:rPr>
          <w:rStyle w:val="nlmedition"/>
          <w:rFonts w:ascii="Arial" w:hAnsi="Arial" w:cs="Arial"/>
          <w:color w:val="000000" w:themeColor="text1"/>
          <w:shd w:val="clear" w:color="auto" w:fill="FFFFFF"/>
        </w:rPr>
        <w:t>3rd edition</w:t>
      </w:r>
      <w:r w:rsidRPr="006625FA">
        <w:rPr>
          <w:rFonts w:ascii="Arial" w:hAnsi="Arial" w:cs="Arial"/>
          <w:color w:val="000000" w:themeColor="text1"/>
          <w:shd w:val="clear" w:color="auto" w:fill="FFFFFF"/>
        </w:rPr>
        <w:t> </w:t>
      </w:r>
      <w:r w:rsidRPr="006625FA">
        <w:rPr>
          <w:rStyle w:val="nlmyear"/>
          <w:rFonts w:ascii="Arial" w:hAnsi="Arial" w:cs="Arial"/>
          <w:color w:val="000000" w:themeColor="text1"/>
          <w:shd w:val="clear" w:color="auto" w:fill="FFFFFF"/>
        </w:rPr>
        <w:t>2010</w:t>
      </w:r>
      <w:r w:rsidRPr="006625FA">
        <w:rPr>
          <w:rFonts w:ascii="Arial" w:hAnsi="Arial" w:cs="Arial"/>
          <w:color w:val="000000" w:themeColor="text1"/>
          <w:shd w:val="clear" w:color="auto" w:fill="FFFFFF"/>
        </w:rPr>
        <w:t>) </w:t>
      </w:r>
      <w:r w:rsidRPr="006625FA">
        <w:rPr>
          <w:rStyle w:val="nlmpublisher-loc"/>
          <w:rFonts w:ascii="Arial" w:hAnsi="Arial" w:cs="Arial"/>
          <w:color w:val="000000" w:themeColor="text1"/>
          <w:shd w:val="clear" w:color="auto" w:fill="FFFFFF"/>
        </w:rPr>
        <w:t>London</w:t>
      </w:r>
      <w:r w:rsidRPr="006625FA">
        <w:rPr>
          <w:rFonts w:ascii="Arial" w:hAnsi="Arial" w:cs="Arial"/>
          <w:color w:val="000000" w:themeColor="text1"/>
          <w:shd w:val="clear" w:color="auto" w:fill="FFFFFF"/>
        </w:rPr>
        <w:t>: </w:t>
      </w:r>
      <w:r w:rsidRPr="006625FA">
        <w:rPr>
          <w:rStyle w:val="nlmpublisher-name"/>
          <w:rFonts w:ascii="Arial" w:hAnsi="Arial" w:cs="Arial"/>
          <w:color w:val="000000" w:themeColor="text1"/>
          <w:shd w:val="clear" w:color="auto" w:fill="FFFFFF"/>
        </w:rPr>
        <w:t>Sage</w:t>
      </w:r>
    </w:p>
    <w:p w14:paraId="33FBE460" w14:textId="20B9119E" w:rsidR="00D849B1" w:rsidRPr="006625FA" w:rsidRDefault="00D849B1" w:rsidP="00E8228A">
      <w:pPr>
        <w:jc w:val="both"/>
        <w:rPr>
          <w:rFonts w:ascii="Arial" w:hAnsi="Arial" w:cs="Arial"/>
          <w:color w:val="000000" w:themeColor="text1"/>
          <w:lang w:val="en-US"/>
        </w:rPr>
      </w:pPr>
    </w:p>
    <w:p w14:paraId="76E5978A" w14:textId="77777777" w:rsidR="00D849B1" w:rsidRPr="006625FA" w:rsidRDefault="00D849B1" w:rsidP="00E8228A">
      <w:pPr>
        <w:jc w:val="both"/>
        <w:rPr>
          <w:rFonts w:ascii="Arial" w:hAnsi="Arial" w:cs="Arial"/>
          <w:color w:val="000000" w:themeColor="text1"/>
          <w:lang w:val="en-US"/>
        </w:rPr>
      </w:pPr>
    </w:p>
    <w:p w14:paraId="6174FA75" w14:textId="77777777" w:rsidR="00D849B1" w:rsidRPr="006625FA" w:rsidRDefault="00D849B1" w:rsidP="00E8228A">
      <w:pPr>
        <w:pStyle w:val="Bibliography"/>
        <w:spacing w:line="480" w:lineRule="auto"/>
        <w:jc w:val="both"/>
        <w:rPr>
          <w:rFonts w:ascii="Arial" w:hAnsi="Arial" w:cs="Arial"/>
          <w:noProof/>
          <w:color w:val="000000" w:themeColor="text1"/>
          <w:sz w:val="24"/>
          <w:szCs w:val="24"/>
        </w:rPr>
      </w:pPr>
      <w:r w:rsidRPr="006625FA">
        <w:rPr>
          <w:rFonts w:ascii="Arial" w:hAnsi="Arial" w:cs="Arial"/>
          <w:noProof/>
          <w:color w:val="000000" w:themeColor="text1"/>
          <w:sz w:val="24"/>
          <w:szCs w:val="24"/>
        </w:rPr>
        <w:t xml:space="preserve">Amponsah-Bediako, K. (2013). Relevance of disability models from the perspective of a developing country: An analysis. </w:t>
      </w:r>
      <w:r w:rsidRPr="006625FA">
        <w:rPr>
          <w:rFonts w:ascii="Arial" w:hAnsi="Arial" w:cs="Arial"/>
          <w:i/>
          <w:iCs/>
          <w:noProof/>
          <w:color w:val="000000" w:themeColor="text1"/>
          <w:sz w:val="24"/>
          <w:szCs w:val="24"/>
        </w:rPr>
        <w:t>Developing Country Studies, 3</w:t>
      </w:r>
      <w:r w:rsidRPr="006625FA">
        <w:rPr>
          <w:rFonts w:ascii="Arial" w:hAnsi="Arial" w:cs="Arial"/>
          <w:noProof/>
          <w:color w:val="000000" w:themeColor="text1"/>
          <w:sz w:val="24"/>
          <w:szCs w:val="24"/>
        </w:rPr>
        <w:t>(11).</w:t>
      </w:r>
    </w:p>
    <w:p w14:paraId="5FB9548F" w14:textId="77777777" w:rsidR="00D849B1" w:rsidRPr="006625FA" w:rsidRDefault="00D849B1" w:rsidP="00E8228A">
      <w:pPr>
        <w:pStyle w:val="Bibliography"/>
        <w:spacing w:line="480" w:lineRule="auto"/>
        <w:ind w:left="720" w:hanging="720"/>
        <w:jc w:val="both"/>
        <w:rPr>
          <w:rFonts w:ascii="Arial" w:hAnsi="Arial" w:cs="Arial"/>
          <w:noProof/>
          <w:color w:val="000000" w:themeColor="text1"/>
          <w:sz w:val="24"/>
          <w:szCs w:val="24"/>
        </w:rPr>
      </w:pPr>
      <w:r w:rsidRPr="006625FA">
        <w:rPr>
          <w:rFonts w:ascii="Arial" w:hAnsi="Arial" w:cs="Arial"/>
          <w:noProof/>
          <w:color w:val="000000" w:themeColor="text1"/>
          <w:sz w:val="24"/>
          <w:szCs w:val="24"/>
        </w:rPr>
        <w:t xml:space="preserve">Anastasiou, D., &amp; Kauffman, J. M. (2013). The Social Model of Disability: Dichotomy between Impairment and Disability. </w:t>
      </w:r>
      <w:r w:rsidRPr="006625FA">
        <w:rPr>
          <w:rFonts w:ascii="Arial" w:hAnsi="Arial" w:cs="Arial"/>
          <w:i/>
          <w:iCs/>
          <w:noProof/>
          <w:color w:val="000000" w:themeColor="text1"/>
          <w:sz w:val="24"/>
          <w:szCs w:val="24"/>
        </w:rPr>
        <w:t>Journal of Medicine and Philosophy, 38</w:t>
      </w:r>
      <w:r w:rsidRPr="006625FA">
        <w:rPr>
          <w:rFonts w:ascii="Arial" w:hAnsi="Arial" w:cs="Arial"/>
          <w:noProof/>
          <w:color w:val="000000" w:themeColor="text1"/>
          <w:sz w:val="24"/>
          <w:szCs w:val="24"/>
        </w:rPr>
        <w:t>(4), 441-59.</w:t>
      </w:r>
    </w:p>
    <w:p w14:paraId="63EDEE07" w14:textId="77777777" w:rsidR="00D849B1" w:rsidRPr="006625FA" w:rsidRDefault="00D849B1" w:rsidP="00E8228A">
      <w:pPr>
        <w:pStyle w:val="Bibliography"/>
        <w:spacing w:line="480" w:lineRule="auto"/>
        <w:jc w:val="both"/>
        <w:rPr>
          <w:rFonts w:ascii="Arial" w:hAnsi="Arial" w:cs="Arial"/>
          <w:noProof/>
          <w:color w:val="000000" w:themeColor="text1"/>
          <w:sz w:val="24"/>
          <w:szCs w:val="24"/>
        </w:rPr>
      </w:pPr>
      <w:r w:rsidRPr="006625FA">
        <w:rPr>
          <w:rFonts w:ascii="Arial" w:hAnsi="Arial" w:cs="Arial"/>
          <w:noProof/>
          <w:color w:val="000000" w:themeColor="text1"/>
          <w:sz w:val="24"/>
          <w:szCs w:val="24"/>
        </w:rPr>
        <w:t xml:space="preserve">Bunbury, S. (2019). Unconscious bias and the medical model: How the social model may hold the key to transformative thinking about disability discrimination. </w:t>
      </w:r>
      <w:r w:rsidRPr="006625FA">
        <w:rPr>
          <w:rFonts w:ascii="Arial" w:hAnsi="Arial" w:cs="Arial"/>
          <w:i/>
          <w:iCs/>
          <w:noProof/>
          <w:color w:val="000000" w:themeColor="text1"/>
          <w:sz w:val="24"/>
          <w:szCs w:val="24"/>
        </w:rPr>
        <w:t>International Journal of Discrimination and the Law, 19</w:t>
      </w:r>
      <w:r w:rsidRPr="006625FA">
        <w:rPr>
          <w:rFonts w:ascii="Arial" w:hAnsi="Arial" w:cs="Arial"/>
          <w:noProof/>
          <w:color w:val="000000" w:themeColor="text1"/>
          <w:sz w:val="24"/>
          <w:szCs w:val="24"/>
        </w:rPr>
        <w:t>(1).</w:t>
      </w:r>
    </w:p>
    <w:p w14:paraId="39D17AF4" w14:textId="77777777"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lastRenderedPageBreak/>
        <w:t xml:space="preserve">Gillett-Swan, J., &amp; Coppock, V. (2016). </w:t>
      </w:r>
      <w:r w:rsidRPr="00E422DD">
        <w:rPr>
          <w:rFonts w:ascii="Arial" w:hAnsi="Arial" w:cs="Arial"/>
          <w:i/>
          <w:iCs/>
          <w:noProof/>
          <w:sz w:val="24"/>
          <w:szCs w:val="24"/>
        </w:rPr>
        <w:t>Children’s Rights, Educational Research and the UNCRC.</w:t>
      </w:r>
      <w:r w:rsidRPr="00E422DD">
        <w:rPr>
          <w:rFonts w:ascii="Arial" w:hAnsi="Arial" w:cs="Arial"/>
          <w:noProof/>
          <w:sz w:val="24"/>
          <w:szCs w:val="24"/>
        </w:rPr>
        <w:t xml:space="preserve"> Didcot : Symposium Books.</w:t>
      </w:r>
    </w:p>
    <w:p w14:paraId="3466B882" w14:textId="77777777"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Hamilton, P. (2021). </w:t>
      </w:r>
      <w:r w:rsidRPr="00E422DD">
        <w:rPr>
          <w:rFonts w:ascii="Arial" w:hAnsi="Arial" w:cs="Arial"/>
          <w:i/>
          <w:iCs/>
          <w:noProof/>
          <w:sz w:val="24"/>
          <w:szCs w:val="24"/>
        </w:rPr>
        <w:t>Diversity and Marginalisation in Childhood: A Guide for Inclusive Thinking 0-11.</w:t>
      </w:r>
      <w:r w:rsidRPr="00E422DD">
        <w:rPr>
          <w:rFonts w:ascii="Arial" w:hAnsi="Arial" w:cs="Arial"/>
          <w:noProof/>
          <w:sz w:val="24"/>
          <w:szCs w:val="24"/>
        </w:rPr>
        <w:t xml:space="preserve"> SAGE.</w:t>
      </w:r>
    </w:p>
    <w:p w14:paraId="63C13335" w14:textId="77777777"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Hughes, M. T., &amp; Talbott, E. (2017). </w:t>
      </w:r>
      <w:r w:rsidRPr="00E422DD">
        <w:rPr>
          <w:rFonts w:ascii="Arial" w:hAnsi="Arial" w:cs="Arial"/>
          <w:i/>
          <w:iCs/>
          <w:noProof/>
          <w:sz w:val="24"/>
          <w:szCs w:val="24"/>
        </w:rPr>
        <w:t>The Wiley Handbook of Diversity in Special Education.</w:t>
      </w:r>
      <w:r w:rsidRPr="00E422DD">
        <w:rPr>
          <w:rFonts w:ascii="Arial" w:hAnsi="Arial" w:cs="Arial"/>
          <w:noProof/>
          <w:sz w:val="24"/>
          <w:szCs w:val="24"/>
        </w:rPr>
        <w:t xml:space="preserve"> Chichester, West Sussex, U.K: Wiley Blackwell .</w:t>
      </w:r>
    </w:p>
    <w:p w14:paraId="05D66C3F" w14:textId="77777777"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Johnathan, M. (2009). Models of Disability. </w:t>
      </w:r>
      <w:r w:rsidRPr="00E422DD">
        <w:rPr>
          <w:rFonts w:ascii="Arial" w:hAnsi="Arial" w:cs="Arial"/>
          <w:i/>
          <w:iCs/>
          <w:noProof/>
          <w:sz w:val="24"/>
          <w:szCs w:val="24"/>
        </w:rPr>
        <w:t>Physiotherapy Theory and Practice , 12</w:t>
      </w:r>
      <w:r w:rsidRPr="00E422DD">
        <w:rPr>
          <w:rFonts w:ascii="Arial" w:hAnsi="Arial" w:cs="Arial"/>
          <w:noProof/>
          <w:sz w:val="24"/>
          <w:szCs w:val="24"/>
        </w:rPr>
        <w:t>(3).</w:t>
      </w:r>
    </w:p>
    <w:p w14:paraId="0E036742" w14:textId="77777777"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Levitt, Jonathan. M. (2017). Exploring how the social model of disability can be re-invigorated: in response to Mike Oliver. </w:t>
      </w:r>
      <w:r w:rsidRPr="00E422DD">
        <w:rPr>
          <w:rFonts w:ascii="Arial" w:hAnsi="Arial" w:cs="Arial"/>
          <w:i/>
          <w:iCs/>
          <w:noProof/>
          <w:sz w:val="24"/>
          <w:szCs w:val="24"/>
        </w:rPr>
        <w:t>Disability &amp; Society, 32</w:t>
      </w:r>
      <w:r w:rsidRPr="00E422DD">
        <w:rPr>
          <w:rFonts w:ascii="Arial" w:hAnsi="Arial" w:cs="Arial"/>
          <w:noProof/>
          <w:sz w:val="24"/>
          <w:szCs w:val="24"/>
        </w:rPr>
        <w:t>(4), 589-594.</w:t>
      </w:r>
    </w:p>
    <w:p w14:paraId="339D158F" w14:textId="1769AFF4"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Liefaard, T., &amp; Sloth-Nielsen, J. (2016). </w:t>
      </w:r>
      <w:r w:rsidRPr="00E422DD">
        <w:rPr>
          <w:rFonts w:ascii="Arial" w:hAnsi="Arial" w:cs="Arial"/>
          <w:i/>
          <w:iCs/>
          <w:noProof/>
          <w:sz w:val="24"/>
          <w:szCs w:val="24"/>
        </w:rPr>
        <w:t>The United Nations Convention on the Rights of the Child : taking stock after 25 years and looking ahead.</w:t>
      </w:r>
    </w:p>
    <w:p w14:paraId="2C50ECD6" w14:textId="4C8FDACA"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Lindsay, G., Dockrell, J., &amp; Wedell, K. (2020). </w:t>
      </w:r>
      <w:r w:rsidRPr="00E422DD">
        <w:rPr>
          <w:rFonts w:ascii="Arial" w:hAnsi="Arial" w:cs="Arial"/>
          <w:i/>
          <w:iCs/>
          <w:noProof/>
          <w:sz w:val="24"/>
          <w:szCs w:val="24"/>
        </w:rPr>
        <w:t>Warnock 40 Years On: The Development of Special Educational Needs Since the Warnock Report and Implications for the Future</w:t>
      </w:r>
    </w:p>
    <w:p w14:paraId="379A9812" w14:textId="77777777"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Owens, J. (2015). Exploring the critiques of the social model of disability: the transformative possibility of Arendt’s notion of Power. </w:t>
      </w:r>
      <w:r w:rsidRPr="00E422DD">
        <w:rPr>
          <w:rFonts w:ascii="Arial" w:hAnsi="Arial" w:cs="Arial"/>
          <w:i/>
          <w:iCs/>
          <w:noProof/>
          <w:sz w:val="24"/>
          <w:szCs w:val="24"/>
        </w:rPr>
        <w:t>Sociology of Health &amp; Illness, 37</w:t>
      </w:r>
      <w:r w:rsidRPr="00E422DD">
        <w:rPr>
          <w:rFonts w:ascii="Arial" w:hAnsi="Arial" w:cs="Arial"/>
          <w:noProof/>
          <w:sz w:val="24"/>
          <w:szCs w:val="24"/>
        </w:rPr>
        <w:t>(3).</w:t>
      </w:r>
    </w:p>
    <w:p w14:paraId="40C8CB92" w14:textId="77777777"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Tomlinson, S. (2012). </w:t>
      </w:r>
      <w:r w:rsidRPr="00E422DD">
        <w:rPr>
          <w:rFonts w:ascii="Arial" w:hAnsi="Arial" w:cs="Arial"/>
          <w:i/>
          <w:iCs/>
          <w:noProof/>
          <w:sz w:val="24"/>
          <w:szCs w:val="24"/>
        </w:rPr>
        <w:t>A Sociology of Special Education.</w:t>
      </w:r>
      <w:r w:rsidRPr="00E422DD">
        <w:rPr>
          <w:rFonts w:ascii="Arial" w:hAnsi="Arial" w:cs="Arial"/>
          <w:noProof/>
          <w:sz w:val="24"/>
          <w:szCs w:val="24"/>
        </w:rPr>
        <w:t xml:space="preserve"> Routledge .</w:t>
      </w:r>
    </w:p>
    <w:p w14:paraId="7236827E" w14:textId="45C9453C" w:rsidR="00D849B1" w:rsidRPr="00E422DD" w:rsidRDefault="00D849B1" w:rsidP="00E8228A">
      <w:pPr>
        <w:pStyle w:val="Bibliography"/>
        <w:spacing w:line="480" w:lineRule="auto"/>
        <w:ind w:left="720" w:hanging="720"/>
        <w:jc w:val="both"/>
        <w:rPr>
          <w:rFonts w:ascii="Arial" w:hAnsi="Arial" w:cs="Arial"/>
          <w:noProof/>
          <w:sz w:val="24"/>
          <w:szCs w:val="24"/>
        </w:rPr>
      </w:pPr>
      <w:r w:rsidRPr="00E422DD">
        <w:rPr>
          <w:rFonts w:ascii="Arial" w:hAnsi="Arial" w:cs="Arial"/>
          <w:noProof/>
          <w:sz w:val="24"/>
          <w:szCs w:val="24"/>
        </w:rPr>
        <w:t xml:space="preserve">Tomlinson, S. (2017 ). </w:t>
      </w:r>
      <w:r w:rsidRPr="00E422DD">
        <w:rPr>
          <w:rFonts w:ascii="Arial" w:hAnsi="Arial" w:cs="Arial"/>
          <w:i/>
          <w:iCs/>
          <w:noProof/>
          <w:sz w:val="24"/>
          <w:szCs w:val="24"/>
        </w:rPr>
        <w:t>A Sociology of Special and Inclusive Education: Exploring the manufacture of inability .</w:t>
      </w:r>
    </w:p>
    <w:p w14:paraId="465D87F7" w14:textId="77777777" w:rsidR="00D849B1" w:rsidRDefault="00D849B1">
      <w:pPr>
        <w:spacing w:line="480" w:lineRule="auto"/>
        <w:ind w:firstLine="720"/>
      </w:pPr>
    </w:p>
    <w:sectPr w:rsidR="00D849B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CE2F0" w14:textId="77777777" w:rsidR="009E1932" w:rsidRDefault="009E1932">
      <w:r>
        <w:separator/>
      </w:r>
    </w:p>
  </w:endnote>
  <w:endnote w:type="continuationSeparator" w:id="0">
    <w:p w14:paraId="63746198" w14:textId="77777777" w:rsidR="009E1932" w:rsidRDefault="009E1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9DC1E" w14:textId="77777777" w:rsidR="009E1932" w:rsidRDefault="009E1932">
      <w:r>
        <w:separator/>
      </w:r>
    </w:p>
  </w:footnote>
  <w:footnote w:type="continuationSeparator" w:id="0">
    <w:p w14:paraId="51A3D211" w14:textId="77777777" w:rsidR="009E1932" w:rsidRDefault="009E1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3D" w14:textId="211F188A" w:rsidR="00110206" w:rsidRDefault="00D42465">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895A6A">
      <w:rPr>
        <w:noProof/>
        <w:color w:val="000000"/>
      </w:rPr>
      <w:t>1</w:t>
    </w:r>
    <w:r>
      <w:rPr>
        <w:color w:val="000000"/>
      </w:rPr>
      <w:fldChar w:fldCharType="end"/>
    </w:r>
  </w:p>
  <w:p w14:paraId="0000003E" w14:textId="77777777" w:rsidR="00110206" w:rsidRDefault="00110206">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206"/>
    <w:rsid w:val="000146FA"/>
    <w:rsid w:val="000837B8"/>
    <w:rsid w:val="0008634F"/>
    <w:rsid w:val="00110206"/>
    <w:rsid w:val="001F47E2"/>
    <w:rsid w:val="00272210"/>
    <w:rsid w:val="00406085"/>
    <w:rsid w:val="0041686B"/>
    <w:rsid w:val="00451591"/>
    <w:rsid w:val="006625FA"/>
    <w:rsid w:val="00686288"/>
    <w:rsid w:val="006A3627"/>
    <w:rsid w:val="006D193F"/>
    <w:rsid w:val="007301D5"/>
    <w:rsid w:val="00741670"/>
    <w:rsid w:val="00762169"/>
    <w:rsid w:val="0076578C"/>
    <w:rsid w:val="00895A6A"/>
    <w:rsid w:val="008D31F4"/>
    <w:rsid w:val="008F2FC0"/>
    <w:rsid w:val="0093153D"/>
    <w:rsid w:val="009E1932"/>
    <w:rsid w:val="00A603B7"/>
    <w:rsid w:val="00A60B3F"/>
    <w:rsid w:val="00AA172E"/>
    <w:rsid w:val="00AD3425"/>
    <w:rsid w:val="00B56B4B"/>
    <w:rsid w:val="00B7466F"/>
    <w:rsid w:val="00BF32B2"/>
    <w:rsid w:val="00C46CF4"/>
    <w:rsid w:val="00CD00E4"/>
    <w:rsid w:val="00CE64AC"/>
    <w:rsid w:val="00D06D89"/>
    <w:rsid w:val="00D42465"/>
    <w:rsid w:val="00D849B1"/>
    <w:rsid w:val="00E52F49"/>
    <w:rsid w:val="00E76C3E"/>
    <w:rsid w:val="00E8228A"/>
    <w:rsid w:val="00E90DB6"/>
    <w:rsid w:val="00EB52E1"/>
    <w:rsid w:val="00EC0B3C"/>
    <w:rsid w:val="00F046C6"/>
    <w:rsid w:val="00F13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FD2DFD"/>
  <w15:docId w15:val="{C860E758-AB2C-8B47-B070-85F0068E4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49B1"/>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F520C6"/>
    <w:pPr>
      <w:keepNext/>
      <w:keepLines/>
      <w:spacing w:before="240" w:line="259" w:lineRule="auto"/>
      <w:outlineLvl w:val="0"/>
    </w:pPr>
    <w:rPr>
      <w:rFonts w:ascii="Calibri Light" w:hAnsi="Calibri Light" w:cs="Calibri"/>
      <w:color w:val="2E74B5"/>
      <w:sz w:val="32"/>
      <w:szCs w:val="32"/>
      <w:lang w:val="en-US"/>
    </w:rPr>
  </w:style>
  <w:style w:type="paragraph" w:styleId="Heading2">
    <w:name w:val="heading 2"/>
    <w:basedOn w:val="Normal"/>
    <w:next w:val="Normal"/>
    <w:uiPriority w:val="9"/>
    <w:semiHidden/>
    <w:unhideWhenUsed/>
    <w:qFormat/>
    <w:pPr>
      <w:keepNext/>
      <w:keepLines/>
      <w:spacing w:before="360" w:after="80" w:line="259" w:lineRule="auto"/>
      <w:outlineLvl w:val="1"/>
    </w:pPr>
    <w:rPr>
      <w:rFonts w:ascii="Calibri" w:eastAsia="Calibri" w:hAnsi="Calibri" w:cs="Calibri"/>
      <w:b/>
      <w:sz w:val="36"/>
      <w:szCs w:val="36"/>
      <w:lang w:val="en-U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59" w:lineRule="auto"/>
    </w:pPr>
    <w:rPr>
      <w:rFonts w:ascii="Calibri" w:eastAsia="Calibri" w:hAnsi="Calibri" w:cs="Calibri"/>
      <w:b/>
      <w:sz w:val="72"/>
      <w:szCs w:val="72"/>
      <w:lang w:val="en-US"/>
    </w:rPr>
  </w:style>
  <w:style w:type="character" w:customStyle="1" w:styleId="Heading1Char">
    <w:name w:val="Heading 1 Char"/>
    <w:basedOn w:val="DefaultParagraphFont"/>
    <w:link w:val="Heading1"/>
    <w:uiPriority w:val="9"/>
    <w:rsid w:val="00F520C6"/>
    <w:rPr>
      <w:rFonts w:ascii="Calibri Light" w:eastAsia="Times New Roman" w:hAnsi="Calibri Light" w:cs="Times New Roman"/>
      <w:color w:val="2E74B5"/>
      <w:sz w:val="32"/>
      <w:szCs w:val="32"/>
    </w:rPr>
  </w:style>
  <w:style w:type="paragraph" w:styleId="Bibliography">
    <w:name w:val="Bibliography"/>
    <w:basedOn w:val="Normal"/>
    <w:next w:val="Normal"/>
    <w:uiPriority w:val="37"/>
    <w:unhideWhenUsed/>
    <w:rsid w:val="00F520C6"/>
    <w:pPr>
      <w:spacing w:after="160" w:line="259" w:lineRule="auto"/>
    </w:pPr>
    <w:rPr>
      <w:rFonts w:ascii="Calibri" w:eastAsia="Calibri" w:hAnsi="Calibri" w:cs="Calibri"/>
      <w:sz w:val="22"/>
      <w:szCs w:val="22"/>
      <w:lang w:val="en-US"/>
    </w:rPr>
  </w:style>
  <w:style w:type="paragraph" w:styleId="Header">
    <w:name w:val="header"/>
    <w:basedOn w:val="Normal"/>
    <w:link w:val="HeaderChar"/>
    <w:uiPriority w:val="99"/>
    <w:unhideWhenUsed/>
    <w:rsid w:val="00F520C6"/>
    <w:pPr>
      <w:tabs>
        <w:tab w:val="center" w:pos="4680"/>
        <w:tab w:val="right" w:pos="9360"/>
      </w:tabs>
    </w:pPr>
    <w:rPr>
      <w:rFonts w:ascii="Calibri" w:eastAsia="Calibri" w:hAnsi="Calibri" w:cs="Calibri"/>
      <w:sz w:val="22"/>
      <w:szCs w:val="22"/>
      <w:lang w:val="en-US"/>
    </w:rPr>
  </w:style>
  <w:style w:type="character" w:customStyle="1" w:styleId="HeaderChar">
    <w:name w:val="Header Char"/>
    <w:basedOn w:val="DefaultParagraphFont"/>
    <w:link w:val="Header"/>
    <w:uiPriority w:val="99"/>
    <w:rsid w:val="00F520C6"/>
  </w:style>
  <w:style w:type="paragraph" w:styleId="Footer">
    <w:name w:val="footer"/>
    <w:basedOn w:val="Normal"/>
    <w:link w:val="FooterChar"/>
    <w:uiPriority w:val="99"/>
    <w:unhideWhenUsed/>
    <w:rsid w:val="00F520C6"/>
    <w:pPr>
      <w:tabs>
        <w:tab w:val="center" w:pos="4680"/>
        <w:tab w:val="right" w:pos="9360"/>
      </w:tabs>
    </w:pPr>
    <w:rPr>
      <w:rFonts w:ascii="Calibri" w:eastAsia="Calibri" w:hAnsi="Calibri" w:cs="Calibri"/>
      <w:sz w:val="22"/>
      <w:szCs w:val="22"/>
      <w:lang w:val="en-US"/>
    </w:rPr>
  </w:style>
  <w:style w:type="character" w:customStyle="1" w:styleId="FooterChar">
    <w:name w:val="Footer Char"/>
    <w:basedOn w:val="DefaultParagraphFont"/>
    <w:link w:val="Footer"/>
    <w:uiPriority w:val="99"/>
    <w:rsid w:val="00F520C6"/>
  </w:style>
  <w:style w:type="paragraph" w:styleId="BalloonText">
    <w:name w:val="Balloon Text"/>
    <w:basedOn w:val="Normal"/>
    <w:link w:val="BalloonTextChar"/>
    <w:uiPriority w:val="99"/>
    <w:semiHidden/>
    <w:unhideWhenUsed/>
    <w:rsid w:val="00DF685B"/>
    <w:rPr>
      <w:rFonts w:ascii="Tahoma" w:hAnsi="Tahoma" w:cs="Tahoma"/>
      <w:sz w:val="16"/>
      <w:szCs w:val="16"/>
    </w:rPr>
  </w:style>
  <w:style w:type="character" w:customStyle="1" w:styleId="BalloonTextChar">
    <w:name w:val="Balloon Text Char"/>
    <w:basedOn w:val="DefaultParagraphFont"/>
    <w:link w:val="BalloonText"/>
    <w:uiPriority w:val="99"/>
    <w:semiHidden/>
    <w:rsid w:val="00DF685B"/>
    <w:rPr>
      <w:rFonts w:ascii="Tahoma" w:hAnsi="Tahoma" w:cs="Tahoma"/>
      <w:sz w:val="16"/>
      <w:szCs w:val="16"/>
    </w:rPr>
  </w:style>
  <w:style w:type="character" w:styleId="Hyperlink">
    <w:name w:val="Hyperlink"/>
    <w:basedOn w:val="DefaultParagraphFont"/>
    <w:uiPriority w:val="99"/>
    <w:semiHidden/>
    <w:unhideWhenUsed/>
    <w:rsid w:val="00724AB1"/>
    <w:rPr>
      <w:color w:val="0000FF"/>
      <w:u w:val="single"/>
    </w:rPr>
  </w:style>
  <w:style w:type="paragraph" w:styleId="Subtitle">
    <w:name w:val="Subtitle"/>
    <w:basedOn w:val="Normal"/>
    <w:next w:val="Normal"/>
    <w:uiPriority w:val="11"/>
    <w:qFormat/>
    <w:pPr>
      <w:keepNext/>
      <w:keepLines/>
      <w:spacing w:before="360" w:after="80" w:line="259" w:lineRule="auto"/>
    </w:pPr>
    <w:rPr>
      <w:rFonts w:ascii="Georgia" w:eastAsia="Georgia" w:hAnsi="Georgia" w:cs="Georgia"/>
      <w:i/>
      <w:color w:val="666666"/>
      <w:sz w:val="48"/>
      <w:szCs w:val="48"/>
      <w:lang w:val="en-US"/>
    </w:rPr>
  </w:style>
  <w:style w:type="character" w:styleId="FollowedHyperlink">
    <w:name w:val="FollowedHyperlink"/>
    <w:basedOn w:val="DefaultParagraphFont"/>
    <w:uiPriority w:val="99"/>
    <w:semiHidden/>
    <w:unhideWhenUsed/>
    <w:rsid w:val="00D849B1"/>
    <w:rPr>
      <w:color w:val="954F72" w:themeColor="followedHyperlink"/>
      <w:u w:val="single"/>
    </w:rPr>
  </w:style>
  <w:style w:type="character" w:customStyle="1" w:styleId="nlmedition">
    <w:name w:val="nlm_edition"/>
    <w:basedOn w:val="DefaultParagraphFont"/>
    <w:rsid w:val="00D849B1"/>
  </w:style>
  <w:style w:type="character" w:customStyle="1" w:styleId="nlmyear">
    <w:name w:val="nlm_year"/>
    <w:basedOn w:val="DefaultParagraphFont"/>
    <w:rsid w:val="00D849B1"/>
  </w:style>
  <w:style w:type="character" w:customStyle="1" w:styleId="nlmpublisher-loc">
    <w:name w:val="nlm_publisher-loc"/>
    <w:basedOn w:val="DefaultParagraphFont"/>
    <w:rsid w:val="00D849B1"/>
  </w:style>
  <w:style w:type="character" w:customStyle="1" w:styleId="nlmpublisher-name">
    <w:name w:val="nlm_publisher-name"/>
    <w:basedOn w:val="DefaultParagraphFont"/>
    <w:rsid w:val="00D84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6299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utism.org.uk"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29AiWkSUFE3tWeV5FLPTZmVWkqg==">AMUW2mWIVc0hCVK4FFf/g18BsNgbsxvpPWfrq/CfT63uzRwgZdyFicEizubtFm+SiB065cRW4pax5Ln2Wj1ThkxIosNa9wvhf08vi6om/Z9Q7mE8u0YvqA0J4TjkAwH6b7imFb+Irvum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5216</Words>
  <Characters>29736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Phoebe James (1403115)</dc:creator>
  <cp:lastModifiedBy>Phoebe Olivia James (1403115)</cp:lastModifiedBy>
  <cp:revision>2</cp:revision>
  <dcterms:created xsi:type="dcterms:W3CDTF">2021-04-25T19:41:00Z</dcterms:created>
  <dcterms:modified xsi:type="dcterms:W3CDTF">2021-04-25T19:41:00Z</dcterms:modified>
</cp:coreProperties>
</file>