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4F752" w14:textId="738FCABE" w:rsidR="004C499E" w:rsidRDefault="004C499E" w:rsidP="00176096">
      <w:pPr>
        <w:rPr>
          <w:b/>
          <w:bCs/>
          <w:lang w:val="en-GB"/>
        </w:rPr>
      </w:pPr>
      <w:r w:rsidRPr="004C499E">
        <w:rPr>
          <w:b/>
          <w:bCs/>
          <w:lang w:val="en-GB"/>
        </w:rPr>
        <w:t>Examining the physiological emotional effects of trauma on young people</w:t>
      </w:r>
    </w:p>
    <w:p w14:paraId="0774294B" w14:textId="77777777" w:rsidR="004C499E" w:rsidRDefault="004C499E" w:rsidP="00176096">
      <w:pPr>
        <w:rPr>
          <w:b/>
          <w:bCs/>
          <w:lang w:val="en-GB"/>
        </w:rPr>
      </w:pPr>
    </w:p>
    <w:p w14:paraId="22BA1DD2" w14:textId="0E60C7B7" w:rsidR="00176096" w:rsidRPr="00176096" w:rsidRDefault="00176096" w:rsidP="00176096">
      <w:pPr>
        <w:rPr>
          <w:lang w:val="en-GB"/>
        </w:rPr>
      </w:pPr>
      <w:r w:rsidRPr="00176096">
        <w:rPr>
          <w:b/>
          <w:bCs/>
          <w:lang w:val="en-GB"/>
        </w:rPr>
        <w:t>Introduction</w:t>
      </w:r>
      <w:r w:rsidRPr="00176096">
        <w:rPr>
          <w:lang w:val="en-GB"/>
        </w:rPr>
        <w:br/>
        <w:t>According to Van der Kolk (2015), trauma is characterised as an extremely upsetting or unpleasant event that exceeds a person's capacity for coping and frequently has long-lasting psychological, emotional, and physical impacts. A variety of events, such as abuse, neglect, loss, or exposure to domestic violence, can cause trauma in young people</w:t>
      </w:r>
      <w:r w:rsidR="000056A0" w:rsidRPr="000056A0">
        <w:rPr>
          <w:lang w:val="en-GB"/>
        </w:rPr>
        <w:t xml:space="preserve"> “Children and teenagers’ bodies and minds are still developing, making them more susceptible to the long-term effects of negative experiences. Therefore, understanding trauma in these populations is especially crucial (Perry, 2020).</w:t>
      </w:r>
      <w:r w:rsidRPr="00176096">
        <w:rPr>
          <w:lang w:val="en-GB"/>
        </w:rPr>
        <w:t>Early detection of trauma can improve the efficacy of interventions aimed at mitigating its effects.</w:t>
      </w:r>
    </w:p>
    <w:p w14:paraId="5916B55D" w14:textId="77777777" w:rsidR="00176096" w:rsidRPr="00176096" w:rsidRDefault="00176096" w:rsidP="00176096">
      <w:pPr>
        <w:rPr>
          <w:lang w:val="en-GB"/>
        </w:rPr>
      </w:pPr>
      <w:r w:rsidRPr="00176096">
        <w:rPr>
          <w:lang w:val="en-GB"/>
        </w:rPr>
        <w:t>Studies conducted in the UK have shown that a considerable percentage of youngsters are impacted by traumatic experiences. For example, research indicates that approximately one in six children in the UK is abused or neglected before the age of sixteen (Radford et al., 2013). Similar concerns have been reported in Wales, where local health boards have identified trauma-related mental health needs as a growing issue among young populations (Welsh Government, 2019). These figures highlight the critical need for evidence-based support plans adapted to the particular requirements of children in different geographical areas, emphasising the importance of strong support networks in educational and social care settings.</w:t>
      </w:r>
    </w:p>
    <w:p w14:paraId="573893D7" w14:textId="77777777" w:rsidR="00176096" w:rsidRPr="00176096" w:rsidRDefault="00176096" w:rsidP="00176096">
      <w:pPr>
        <w:rPr>
          <w:lang w:val="en-GB"/>
        </w:rPr>
      </w:pPr>
      <w:r w:rsidRPr="00176096">
        <w:rPr>
          <w:lang w:val="en-GB"/>
        </w:rPr>
        <w:t>The purpose of this essay is to critically analyse the psychological and physiological impacts of trauma on youth, emphasising the links between these effects and how they influence conduct and development. Additionally, it will examine trauma-informed practices, evaluate their effectiveness in mitigating trauma, and consider pertinent UK and Welsh legislative frameworks. In doing so, this essay aims to provide a comprehensive understanding of trauma in youth and practical implications for health and social care professionals by integrating theory with empirical evidence.</w:t>
      </w:r>
    </w:p>
    <w:p w14:paraId="308C7DE4" w14:textId="4E0743B8" w:rsidR="00176096" w:rsidRDefault="000056A0" w:rsidP="00176096">
      <w:pPr>
        <w:rPr>
          <w:lang w:val="en-GB"/>
        </w:rPr>
      </w:pPr>
      <w:r w:rsidRPr="000056A0">
        <w:rPr>
          <w:lang w:val="en-GB"/>
        </w:rPr>
        <w:t>To understand the widespread effects of early trauma, it is essential to examine its impact on young people’s developing bodies and brains, including long-lasting modifications to physiological stress responses (Tang et al., 2020)</w:t>
      </w:r>
      <w:r w:rsidR="00176096" w:rsidRPr="00176096">
        <w:rPr>
          <w:lang w:val="en-GB"/>
        </w:rPr>
        <w:t>. Childhood adversities are linked to long-lasting modifications to physiological stress responses, such as changes in the Hypothalamic–Pituitary–Adrenal (HPA) axis, a crucial mechanism in controlling biological stress (Tang et al., 2020). Structural alterations in the brain are also evident, demonstrating that trauma impacts extend beyond emotional disruption to observable neurodevelopmental pathways (Merritt et al., 2023). Understanding these neurodevelopmental and physiological effects is essential for designing interventions that target both emotional and cognitive healing.</w:t>
      </w:r>
    </w:p>
    <w:p w14:paraId="5F36A985" w14:textId="77777777" w:rsidR="00176096" w:rsidRPr="00176096" w:rsidRDefault="00176096" w:rsidP="00176096">
      <w:pPr>
        <w:rPr>
          <w:lang w:val="en-GB"/>
        </w:rPr>
      </w:pPr>
      <w:r w:rsidRPr="00176096">
        <w:rPr>
          <w:lang w:val="en-GB"/>
        </w:rPr>
        <w:lastRenderedPageBreak/>
        <w:t>Early-life trauma exposes children to both immediate emotional repercussions and long-term health and social ramifications, such as challenges integrating into school and a higher chance of developing chronic illnesses as adults (Bellis et al., 2018). Including a socioeconomic viewpoint shows that trauma is not just a personal problem but also a major public and financial issue in the UK's healthcare and education systems.</w:t>
      </w:r>
    </w:p>
    <w:p w14:paraId="0E1F79AB" w14:textId="77777777" w:rsidR="00176096" w:rsidRPr="00176096" w:rsidRDefault="00176096" w:rsidP="00176096">
      <w:pPr>
        <w:rPr>
          <w:lang w:val="en-GB"/>
        </w:rPr>
      </w:pPr>
      <w:r w:rsidRPr="00176096">
        <w:rPr>
          <w:b/>
          <w:bCs/>
          <w:lang w:val="en-GB"/>
        </w:rPr>
        <w:t>Physiological Effects of Trauma</w:t>
      </w:r>
      <w:r w:rsidRPr="00176096">
        <w:rPr>
          <w:lang w:val="en-GB"/>
        </w:rPr>
        <w:br/>
        <w:t>In young people, trauma triggers a cascade of physiological responses, primarily through activation of the body’s stress systems. The HPA axis regulates the release of cortisol, a key stress hormone (Tang et al., 2020). Chronic or repeated trauma can dysregulate the HPA axis, resulting in either elevated or blunted cortisol responses, which are associated with impairments in memory, attention, and emotional regulation (Merritt et al., 2023).</w:t>
      </w:r>
    </w:p>
    <w:p w14:paraId="688B55B5" w14:textId="77777777" w:rsidR="00176096" w:rsidRPr="00176096" w:rsidRDefault="00176096" w:rsidP="00176096">
      <w:pPr>
        <w:rPr>
          <w:lang w:val="en-GB"/>
        </w:rPr>
      </w:pPr>
      <w:r w:rsidRPr="00176096">
        <w:rPr>
          <w:lang w:val="en-GB"/>
        </w:rPr>
        <w:t>Neuroimaging studies indicate that early adversity can lead to structural brain changes, particularly in the hippocampus, prefrontal cortex, and amygdala (Tottenham &amp; Gabard-Durnam, 2017). Heightened amygdala activity may explain hypervigilance and exaggerated startle responses, while reduced hippocampal volume can hinder learning and memory, affecting academic performance and daily functioning (Kelly et al., 2021).</w:t>
      </w:r>
    </w:p>
    <w:p w14:paraId="4463F09F" w14:textId="77777777" w:rsidR="00176096" w:rsidRPr="00176096" w:rsidRDefault="00176096" w:rsidP="00176096">
      <w:pPr>
        <w:rPr>
          <w:lang w:val="en-GB"/>
        </w:rPr>
      </w:pPr>
      <w:r w:rsidRPr="00176096">
        <w:rPr>
          <w:lang w:val="en-GB"/>
        </w:rPr>
        <w:t>Trauma also affects the body beyond the central nervous system. Persistent activation of the sympathetic nervous system may result in long-term cardiovascular issues, including elevated blood pressure and heart rate (Danese &amp; McEwen, 2012). UK public health research shows that children exposed to adverse childhood experiences exhibit increased markers of inflammation and stress-related disorders, emphasising the importance of early, targeted intervention (Bellis et al., 2017).</w:t>
      </w:r>
    </w:p>
    <w:p w14:paraId="4912E4DE" w14:textId="77777777" w:rsidR="00176096" w:rsidRDefault="00176096" w:rsidP="00176096">
      <w:pPr>
        <w:rPr>
          <w:lang w:val="en-GB"/>
        </w:rPr>
      </w:pPr>
      <w:r w:rsidRPr="00176096">
        <w:rPr>
          <w:lang w:val="en-GB"/>
        </w:rPr>
        <w:t>Younger children are particularly vulnerable as their neurological and endocrine systems are still maturing (Perry, 2020). Early trauma can establish patterns of physiological stress that persist into later life, influencing both mental and physical health outcomes. These findings underline the critical need for trauma-informed approaches in educational and healthcare settings, considering the full range of physiological, cognitive, and emotional consequences of trauma.</w:t>
      </w:r>
    </w:p>
    <w:p w14:paraId="488CE6E7" w14:textId="77777777" w:rsidR="004A5831" w:rsidRDefault="000056A0" w:rsidP="00176096">
      <w:pPr>
        <w:rPr>
          <w:lang w:val="en-GB"/>
        </w:rPr>
      </w:pPr>
      <w:r w:rsidRPr="000056A0">
        <w:rPr>
          <w:lang w:val="en-GB"/>
        </w:rPr>
        <w:t>Younger children are particularly vulnerable as their neurological and endocrine systems are still maturing (Perry, 2020). Early trauma can establish patterns of physiological stress that persist into later life, influencing both mental and physical health outcomes.</w:t>
      </w:r>
    </w:p>
    <w:p w14:paraId="1BDA2829" w14:textId="77777777" w:rsidR="004A5831" w:rsidRDefault="004A5831" w:rsidP="00176096">
      <w:pPr>
        <w:rPr>
          <w:b/>
          <w:bCs/>
          <w:lang w:val="en-GB"/>
        </w:rPr>
      </w:pPr>
    </w:p>
    <w:p w14:paraId="43D35C2F" w14:textId="6082FABE" w:rsidR="00176096" w:rsidRPr="00176096" w:rsidRDefault="00176096" w:rsidP="00176096">
      <w:pPr>
        <w:rPr>
          <w:lang w:val="en-GB"/>
        </w:rPr>
      </w:pPr>
      <w:r w:rsidRPr="00176096">
        <w:rPr>
          <w:b/>
          <w:bCs/>
          <w:lang w:val="en-GB"/>
        </w:rPr>
        <w:t>Emotional and Behavioural Effects of Trauma</w:t>
      </w:r>
      <w:r w:rsidRPr="00176096">
        <w:rPr>
          <w:lang w:val="en-GB"/>
        </w:rPr>
        <w:br/>
        <w:t xml:space="preserve">Trauma-induced physiological changes significantly impact behaviour and emotional control. Dysregulation of the HPA axis and heightened amygdala activity contribute to anxiety, anger, and difficulties in managing emotional reactions (Merritt et al., 2023). </w:t>
      </w:r>
      <w:r w:rsidRPr="00176096">
        <w:rPr>
          <w:lang w:val="en-GB"/>
        </w:rPr>
        <w:lastRenderedPageBreak/>
        <w:t>Children who have experienced trauma may exhibit behaviours such as aggression, withdrawal, or emotional outbursts, often misinterpreted as intentional misbehaviour (Shah et al., 2021).</w:t>
      </w:r>
    </w:p>
    <w:p w14:paraId="1E84436E" w14:textId="77777777" w:rsidR="00176096" w:rsidRPr="00176096" w:rsidRDefault="00176096" w:rsidP="00176096">
      <w:pPr>
        <w:rPr>
          <w:lang w:val="en-GB"/>
        </w:rPr>
      </w:pPr>
      <w:r w:rsidRPr="00176096">
        <w:rPr>
          <w:lang w:val="en-GB"/>
        </w:rPr>
        <w:t>Attachment processes may also be disrupted, particularly in younger children, leading to insecure or disorganised attachment patterns (Fonagy &amp; Allison, 2018). This can result in difficulties with peer relationships, trust, and increased vulnerability to mental health conditions, including depression and PTSD (Barlow &amp; Scott, 2020).</w:t>
      </w:r>
    </w:p>
    <w:p w14:paraId="531B89F5" w14:textId="58DB2C8E" w:rsidR="00176096" w:rsidRPr="00176096" w:rsidRDefault="000056A0" w:rsidP="00176096">
      <w:pPr>
        <w:rPr>
          <w:lang w:val="en-GB"/>
        </w:rPr>
      </w:pPr>
      <w:r w:rsidRPr="000056A0">
        <w:rPr>
          <w:lang w:val="en-GB"/>
        </w:rPr>
        <w:t>Moreover, behavioural responses vary according to developmental stage. Younger children may display regressive behaviours, sleep disturbances, or separation anxiety, whereas adolescents may engage in substance misuse or risk-taking behaviours as coping strategies (Perry, 2020)</w:t>
      </w:r>
      <w:r w:rsidR="00176096" w:rsidRPr="00176096">
        <w:rPr>
          <w:lang w:val="en-GB"/>
        </w:rPr>
        <w:t>. Emotional dysregulation can reinforce physiological stress responses, creating a feedback loop that perpetuates negative outcomes.</w:t>
      </w:r>
    </w:p>
    <w:p w14:paraId="62886247" w14:textId="77777777" w:rsidR="00176096" w:rsidRPr="00176096" w:rsidRDefault="00176096" w:rsidP="00176096">
      <w:pPr>
        <w:rPr>
          <w:lang w:val="en-GB"/>
        </w:rPr>
      </w:pPr>
      <w:r w:rsidRPr="00176096">
        <w:rPr>
          <w:lang w:val="en-GB"/>
        </w:rPr>
        <w:t>UK educational settings have highlighted the importance of addressing these interconnected effects. Interventions such as controlled learning environments and emotional literacy programs improve attendance, engagement, and well-being by addressing both emotional and behavioural needs (Sweeney et al., 2018). Understanding these relationships is crucial for effective trauma-informed practice in both educational and healthcare contexts.</w:t>
      </w:r>
    </w:p>
    <w:p w14:paraId="074FDA96" w14:textId="77777777" w:rsidR="004A5831" w:rsidRDefault="004A5831" w:rsidP="00176096">
      <w:pPr>
        <w:rPr>
          <w:b/>
          <w:bCs/>
          <w:lang w:val="en-GB"/>
        </w:rPr>
      </w:pPr>
    </w:p>
    <w:p w14:paraId="20111552" w14:textId="1B437E45" w:rsidR="00176096" w:rsidRPr="00176096" w:rsidRDefault="00176096" w:rsidP="00176096">
      <w:pPr>
        <w:rPr>
          <w:lang w:val="en-GB"/>
        </w:rPr>
      </w:pPr>
      <w:r w:rsidRPr="00176096">
        <w:rPr>
          <w:b/>
          <w:bCs/>
          <w:lang w:val="en-GB"/>
        </w:rPr>
        <w:t>Trauma-Informed Approaches and Recommendations</w:t>
      </w:r>
      <w:r w:rsidRPr="00176096">
        <w:rPr>
          <w:lang w:val="en-GB"/>
        </w:rPr>
        <w:br/>
        <w:t>Trauma-informed approaches (TIC) recognise the psychological and physiological impacts of trauma and emphasise the creation of safe, predictable, and empowering environments (Bath, 2020). The UK’s “Attachment Aware Schools” framework encourages educators to integrate trauma-sensitive practices, including structured routines, emotional check-ins, and tailored support for children with behavioural difficulties (Cook et al., 2017).</w:t>
      </w:r>
    </w:p>
    <w:p w14:paraId="1F77F34C" w14:textId="08DBD972" w:rsidR="00176096" w:rsidRPr="00176096" w:rsidRDefault="00176096" w:rsidP="00176096">
      <w:pPr>
        <w:rPr>
          <w:lang w:val="en-GB"/>
        </w:rPr>
      </w:pPr>
      <w:r w:rsidRPr="00176096">
        <w:rPr>
          <w:lang w:val="en-GB"/>
        </w:rPr>
        <w:t xml:space="preserve">In health and social care, TIC strategies include consistent carer support, therapeutic interventions such as Cognitive Behavioural Therapy (CBT), and specialised early intervention programs (NHS England, 2022). Early intervention improves emotional regulation, attachment security, and physiological stress responses, particularly in younger children (D’Andrea et al., 2019). </w:t>
      </w:r>
      <w:r w:rsidR="000056A0" w:rsidRPr="000056A0">
        <w:rPr>
          <w:lang w:val="en-GB"/>
        </w:rPr>
        <w:t>Additionally, multi-agency collaboration in Wales ensures children’s educational, social, and mental health needs are addressed holistically</w:t>
      </w:r>
      <w:r w:rsidR="000056A0">
        <w:rPr>
          <w:lang w:val="en-GB"/>
        </w:rPr>
        <w:t xml:space="preserve">. </w:t>
      </w:r>
      <w:r w:rsidRPr="00176096">
        <w:rPr>
          <w:lang w:val="en-GB"/>
        </w:rPr>
        <w:t xml:space="preserve">Policy frameworks, including the Children Act 1989 and the Well-being of Future Generations (Wales) Act 2015, provide a legal foundation for prioritising child welfare and supporting trauma-informed interventions (Welsh Government, 2015). However, challenges remain due to inconsistent staff training and uneven implementation across schools and care settings (Sweeney et al., 2018). Professional </w:t>
      </w:r>
      <w:r w:rsidRPr="00176096">
        <w:rPr>
          <w:lang w:val="en-GB"/>
        </w:rPr>
        <w:lastRenderedPageBreak/>
        <w:t>development should emphasise the physiological and emotional impacts of trauma, with robust monitoring and evaluation systems to improve outcomes.</w:t>
      </w:r>
    </w:p>
    <w:p w14:paraId="29FA522A" w14:textId="023AF7A3" w:rsidR="00176096" w:rsidRPr="00176096" w:rsidRDefault="00176096" w:rsidP="00176096">
      <w:pPr>
        <w:rPr>
          <w:lang w:val="en-GB"/>
        </w:rPr>
      </w:pPr>
      <w:r w:rsidRPr="00176096">
        <w:rPr>
          <w:lang w:val="en-GB"/>
        </w:rPr>
        <w:t>Incorporating TIC policies across education, health, and social care promotes seamless support and reduces the risk of children “falling through the gaps.” Early identification and preventative strategies further enhance the efficacy of interventions, ensuring that services address the interconnected physiological and emotional consequences of trauma (Perry, 2020).</w:t>
      </w:r>
      <w:r>
        <w:rPr>
          <w:lang w:val="en-GB"/>
        </w:rPr>
        <w:t xml:space="preserve"> </w:t>
      </w:r>
      <w:r w:rsidR="000056A0" w:rsidRPr="000056A0">
        <w:rPr>
          <w:lang w:val="en-GB"/>
        </w:rPr>
        <w:t>As every child reacts differently to trauma, positive interactions with instructors or family support can serve as protective factors, improving psychological resilience and reducing behavioural difficulties (Masten, 2019)</w:t>
      </w:r>
      <w:r w:rsidRPr="00176096">
        <w:rPr>
          <w:lang w:val="en-GB"/>
        </w:rPr>
        <w:t>. Children with traumatic experiences have shown reduced anxiety and aggressiveness in UK schools when social-emotional learning programs and mindfulness therapies are used (Weare &amp; Nind, 2018).</w:t>
      </w:r>
    </w:p>
    <w:p w14:paraId="0806565D" w14:textId="77777777" w:rsidR="004A5831" w:rsidRDefault="004A5831" w:rsidP="00176096">
      <w:pPr>
        <w:rPr>
          <w:b/>
          <w:bCs/>
          <w:lang w:val="en-GB"/>
        </w:rPr>
      </w:pPr>
    </w:p>
    <w:p w14:paraId="31C7015C" w14:textId="1D8164D7" w:rsidR="00176096" w:rsidRPr="00176096" w:rsidRDefault="00176096" w:rsidP="00176096">
      <w:pPr>
        <w:rPr>
          <w:lang w:val="en-GB"/>
        </w:rPr>
      </w:pPr>
      <w:r w:rsidRPr="00176096">
        <w:rPr>
          <w:b/>
          <w:bCs/>
          <w:lang w:val="en-GB"/>
        </w:rPr>
        <w:t>Conclusion</w:t>
      </w:r>
      <w:r w:rsidRPr="00176096">
        <w:rPr>
          <w:lang w:val="en-GB"/>
        </w:rPr>
        <w:br/>
        <w:t>Trauma has profound physiological and emotional effects on youth, influencing behaviour, emotional regulation, and overall development. Dysregulation of the HPA axis, amygdala hyperactivity, and other neurodevelopmental changes contribute to anxiety, emotional outbursts, attachment difficulties, and risk-taking behaviours. These effects often reinforce one another, increasing the risk of long-term mental health problems.</w:t>
      </w:r>
    </w:p>
    <w:p w14:paraId="3A8C03B5" w14:textId="77777777" w:rsidR="00176096" w:rsidRPr="00176096" w:rsidRDefault="00176096" w:rsidP="00176096">
      <w:pPr>
        <w:rPr>
          <w:lang w:val="en-GB"/>
        </w:rPr>
      </w:pPr>
      <w:r w:rsidRPr="00176096">
        <w:rPr>
          <w:lang w:val="en-GB"/>
        </w:rPr>
        <w:t>Trauma-informed approaches in educational, health, and social care contexts are essential for mitigating these impacts. Creating safe, predictable environments, implementing early interventions, and ensuring multi-agency collaboration can enhance resilience and improve outcomes. Policy frameworks such as the Children Act 1989 and the Well-being of Future Generations (Wales) Act 2015 provide foundational support, but improvements in staff training, consistent implementation, and early detection strategies are required.</w:t>
      </w:r>
    </w:p>
    <w:p w14:paraId="28771611" w14:textId="77777777" w:rsidR="00176096" w:rsidRDefault="00176096" w:rsidP="00176096">
      <w:pPr>
        <w:rPr>
          <w:lang w:val="en-GB"/>
        </w:rPr>
      </w:pPr>
      <w:r w:rsidRPr="00176096">
        <w:rPr>
          <w:lang w:val="en-GB"/>
        </w:rPr>
        <w:t>Ultimately, optimising outcomes for traumatised children depends on understanding and addressing the complex interplay between physiological and emotional responses. Integrating evidence-based therapies with developmental considerations and policy guidance allows professionals to provide the holistic support needed for children to thrive academically, socially, and emotionally.</w:t>
      </w:r>
    </w:p>
    <w:p w14:paraId="744C3D90" w14:textId="7DE392F6" w:rsidR="0063389C" w:rsidRDefault="00BE152D" w:rsidP="00BE152D">
      <w:pPr>
        <w:rPr>
          <w:lang w:val="en-GB"/>
        </w:rPr>
      </w:pPr>
      <w:r w:rsidRPr="00BE152D">
        <w:rPr>
          <w:lang w:val="en-GB"/>
        </w:rPr>
        <w:t>In UK schools and care facilities, trauma-informed methods (TIC) aim to identify trauma symptoms and modify procedures to avoid re-traumatization, such as through staff training on emotional regulation and safe learning environments, exemplified by the ‘Attachment and Trauma-Informed Schools’ initiative in England.</w:t>
      </w:r>
    </w:p>
    <w:p w14:paraId="0C7638A1" w14:textId="77777777" w:rsidR="004A5831" w:rsidRDefault="004A5831" w:rsidP="00BE152D">
      <w:pPr>
        <w:rPr>
          <w:lang w:val="en-GB"/>
        </w:rPr>
      </w:pPr>
    </w:p>
    <w:p w14:paraId="409FC19C" w14:textId="2E671F3A" w:rsidR="004C499E" w:rsidRDefault="004C499E" w:rsidP="00BE152D">
      <w:pPr>
        <w:rPr>
          <w:lang w:val="en-GB"/>
        </w:rPr>
      </w:pPr>
      <w:r>
        <w:rPr>
          <w:lang w:val="en-GB"/>
        </w:rPr>
        <w:lastRenderedPageBreak/>
        <w:t>Reference</w:t>
      </w:r>
      <w:r w:rsidR="004A5831">
        <w:rPr>
          <w:lang w:val="en-GB"/>
        </w:rPr>
        <w:t>s</w:t>
      </w:r>
      <w:r>
        <w:rPr>
          <w:lang w:val="en-GB"/>
        </w:rPr>
        <w:t xml:space="preserve"> :</w:t>
      </w:r>
    </w:p>
    <w:p w14:paraId="6D2F343B" w14:textId="312694E1" w:rsidR="004C499E" w:rsidRPr="004C499E" w:rsidRDefault="004C499E" w:rsidP="004C499E">
      <w:pPr>
        <w:rPr>
          <w:lang w:val="en-GB"/>
        </w:rPr>
      </w:pPr>
      <w:r w:rsidRPr="004C499E">
        <w:rPr>
          <w:lang w:val="en-GB"/>
        </w:rPr>
        <w:t xml:space="preserve">Barlow, J. &amp; Scott, J. (2020) </w:t>
      </w:r>
      <w:r w:rsidRPr="004C499E">
        <w:rPr>
          <w:i/>
          <w:iCs/>
          <w:lang w:val="en-GB"/>
        </w:rPr>
        <w:t>Safeguarding Children from Emotional Maltreatment: What Works.</w:t>
      </w:r>
      <w:r w:rsidRPr="004C499E">
        <w:rPr>
          <w:lang w:val="en-GB"/>
        </w:rPr>
        <w:t>: Jessica Kingsley Publishers.</w:t>
      </w:r>
    </w:p>
    <w:p w14:paraId="46F3B798" w14:textId="77777777" w:rsidR="004C499E" w:rsidRPr="004C499E" w:rsidRDefault="004C499E" w:rsidP="004C499E">
      <w:pPr>
        <w:rPr>
          <w:lang w:val="en-GB"/>
        </w:rPr>
      </w:pPr>
      <w:r w:rsidRPr="004C499E">
        <w:rPr>
          <w:lang w:val="en-GB"/>
        </w:rPr>
        <w:t xml:space="preserve">Bath, H. (2020) ‘The three pillars of trauma-informed care’, </w:t>
      </w:r>
      <w:r w:rsidRPr="004C499E">
        <w:rPr>
          <w:i/>
          <w:iCs/>
          <w:lang w:val="en-GB"/>
        </w:rPr>
        <w:t>Reclaiming Children and Youth,</w:t>
      </w:r>
      <w:r w:rsidRPr="004C499E">
        <w:rPr>
          <w:lang w:val="en-GB"/>
        </w:rPr>
        <w:t xml:space="preserve"> 29(2), pp. 32–36.</w:t>
      </w:r>
    </w:p>
    <w:p w14:paraId="0ED70BE0" w14:textId="77777777" w:rsidR="004C499E" w:rsidRPr="004C499E" w:rsidRDefault="004C499E" w:rsidP="004C499E">
      <w:pPr>
        <w:rPr>
          <w:lang w:val="en-GB"/>
        </w:rPr>
      </w:pPr>
      <w:r w:rsidRPr="004C499E">
        <w:rPr>
          <w:lang w:val="fr-FR"/>
        </w:rPr>
        <w:t xml:space="preserve">Bellis, M. A., et al. </w:t>
      </w:r>
      <w:r w:rsidRPr="004C499E">
        <w:rPr>
          <w:lang w:val="en-GB"/>
        </w:rPr>
        <w:t xml:space="preserve">(2017) ‘The impact of adverse childhood experiences on health service use across the life course using a retrospective cohort study’, </w:t>
      </w:r>
      <w:r w:rsidRPr="004C499E">
        <w:rPr>
          <w:i/>
          <w:iCs/>
          <w:lang w:val="en-GB"/>
        </w:rPr>
        <w:t>Journal of Health Services Research &amp; Policy,</w:t>
      </w:r>
      <w:r w:rsidRPr="004C499E">
        <w:rPr>
          <w:lang w:val="en-GB"/>
        </w:rPr>
        <w:t xml:space="preserve"> 22(3), pp. 168–177.</w:t>
      </w:r>
    </w:p>
    <w:p w14:paraId="6AEF590E" w14:textId="77777777" w:rsidR="004C499E" w:rsidRPr="004C499E" w:rsidRDefault="004C499E" w:rsidP="004C499E">
      <w:pPr>
        <w:rPr>
          <w:lang w:val="en-GB"/>
        </w:rPr>
      </w:pPr>
      <w:r w:rsidRPr="004C499E">
        <w:rPr>
          <w:lang w:val="fr-FR"/>
        </w:rPr>
        <w:t xml:space="preserve">Bellis, M. A., et al. </w:t>
      </w:r>
      <w:r w:rsidRPr="004C499E">
        <w:rPr>
          <w:lang w:val="en-GB"/>
        </w:rPr>
        <w:t xml:space="preserve">(2018) ‘Adverse childhood experiences and sources of childhood resilience: A retrospective study of their combined relationships with child health and educational attendance’, </w:t>
      </w:r>
      <w:r w:rsidRPr="004C499E">
        <w:rPr>
          <w:i/>
          <w:iCs/>
          <w:lang w:val="en-GB"/>
        </w:rPr>
        <w:t>BMC Public Health,</w:t>
      </w:r>
      <w:r w:rsidRPr="004C499E">
        <w:rPr>
          <w:lang w:val="en-GB"/>
        </w:rPr>
        <w:t xml:space="preserve"> 18(1), 792.</w:t>
      </w:r>
    </w:p>
    <w:p w14:paraId="7B384F44" w14:textId="77777777" w:rsidR="004C499E" w:rsidRPr="004C499E" w:rsidRDefault="004C499E" w:rsidP="004C499E">
      <w:pPr>
        <w:rPr>
          <w:lang w:val="en-GB"/>
        </w:rPr>
      </w:pPr>
      <w:r w:rsidRPr="004C499E">
        <w:rPr>
          <w:lang w:val="en-GB"/>
        </w:rPr>
        <w:t xml:space="preserve">Cook, A., Spinazzola, J., Ford, J., Lanktree, C., Blaustein, M., Cloitre, M., DeRosa, R., Hubbard, R., Kagan, R., Liautaud, J. &amp; Mallah, K. (2017) ‘Complex trauma in children and adolescents’, </w:t>
      </w:r>
      <w:r w:rsidRPr="004C499E">
        <w:rPr>
          <w:i/>
          <w:iCs/>
          <w:lang w:val="en-GB"/>
        </w:rPr>
        <w:t>Psychiatric Annals,</w:t>
      </w:r>
      <w:r w:rsidRPr="004C499E">
        <w:rPr>
          <w:lang w:val="en-GB"/>
        </w:rPr>
        <w:t xml:space="preserve"> 47(4), pp. 185–191.</w:t>
      </w:r>
    </w:p>
    <w:p w14:paraId="3A45D42C" w14:textId="77777777" w:rsidR="004C499E" w:rsidRPr="004C499E" w:rsidRDefault="004C499E" w:rsidP="004C499E">
      <w:pPr>
        <w:rPr>
          <w:lang w:val="en-GB"/>
        </w:rPr>
      </w:pPr>
      <w:r w:rsidRPr="004C499E">
        <w:rPr>
          <w:lang w:val="en-GB"/>
        </w:rPr>
        <w:t xml:space="preserve">Danese, A. &amp; McEwen, B. S. (2012) ‘Adverse childhood experiences, allostasis, allostatic load, and age-related disease’, </w:t>
      </w:r>
      <w:r w:rsidRPr="004C499E">
        <w:rPr>
          <w:i/>
          <w:iCs/>
          <w:lang w:val="en-GB"/>
        </w:rPr>
        <w:t>Physiology &amp; Behavior,</w:t>
      </w:r>
      <w:r w:rsidRPr="004C499E">
        <w:rPr>
          <w:lang w:val="en-GB"/>
        </w:rPr>
        <w:t xml:space="preserve"> 106(1), pp. 29–39.</w:t>
      </w:r>
    </w:p>
    <w:p w14:paraId="23E96830" w14:textId="77777777" w:rsidR="004C499E" w:rsidRPr="004C499E" w:rsidRDefault="004C499E" w:rsidP="004C499E">
      <w:pPr>
        <w:rPr>
          <w:lang w:val="en-GB"/>
        </w:rPr>
      </w:pPr>
      <w:r w:rsidRPr="004C499E">
        <w:rPr>
          <w:lang w:val="en-GB"/>
        </w:rPr>
        <w:t xml:space="preserve">D’Andrea, W., et al. (2019) ‘Trauma and the developing child: Implications for intervention’, </w:t>
      </w:r>
      <w:r w:rsidRPr="004C499E">
        <w:rPr>
          <w:i/>
          <w:iCs/>
          <w:lang w:val="en-GB"/>
        </w:rPr>
        <w:t>Clinical Child Psychology and Psychiatry,</w:t>
      </w:r>
      <w:r w:rsidRPr="004C499E">
        <w:rPr>
          <w:lang w:val="en-GB"/>
        </w:rPr>
        <w:t xml:space="preserve"> 24(4), pp. 845–861.</w:t>
      </w:r>
    </w:p>
    <w:p w14:paraId="4C4EC8DC" w14:textId="7534CF61" w:rsidR="004C499E" w:rsidRPr="004C499E" w:rsidRDefault="004C499E" w:rsidP="004C499E">
      <w:pPr>
        <w:rPr>
          <w:lang w:val="en-GB"/>
        </w:rPr>
      </w:pPr>
      <w:r w:rsidRPr="004C499E">
        <w:rPr>
          <w:lang w:val="en-GB"/>
        </w:rPr>
        <w:t xml:space="preserve">Fonagy, P. &amp; Allison, E. (2018) </w:t>
      </w:r>
      <w:r w:rsidRPr="004C499E">
        <w:rPr>
          <w:i/>
          <w:iCs/>
          <w:lang w:val="en-GB"/>
        </w:rPr>
        <w:t>The Role of Mentalizing and Epistemic Trust in the Therapeutic Relationship</w:t>
      </w:r>
      <w:r w:rsidRPr="004C499E">
        <w:rPr>
          <w:lang w:val="en-GB"/>
        </w:rPr>
        <w:t>: Routledge.</w:t>
      </w:r>
    </w:p>
    <w:p w14:paraId="057C8E72" w14:textId="77777777" w:rsidR="004C499E" w:rsidRPr="004C499E" w:rsidRDefault="004C499E" w:rsidP="004C499E">
      <w:pPr>
        <w:rPr>
          <w:lang w:val="en-GB"/>
        </w:rPr>
      </w:pPr>
      <w:r w:rsidRPr="00035112">
        <w:rPr>
          <w:lang w:val="nl-NL"/>
        </w:rPr>
        <w:t xml:space="preserve">Kelly, P. A., et al. </w:t>
      </w:r>
      <w:r w:rsidRPr="004C499E">
        <w:rPr>
          <w:lang w:val="en-GB"/>
        </w:rPr>
        <w:t xml:space="preserve">(2021) ‘Childhood maltreatment and cognitive functioning: A systematic review and meta-analysis’, </w:t>
      </w:r>
      <w:r w:rsidRPr="004C499E">
        <w:rPr>
          <w:i/>
          <w:iCs/>
          <w:lang w:val="en-GB"/>
        </w:rPr>
        <w:t>Neuroscience &amp; Biobehavioral Reviews,</w:t>
      </w:r>
      <w:r w:rsidRPr="004C499E">
        <w:rPr>
          <w:lang w:val="en-GB"/>
        </w:rPr>
        <w:t xml:space="preserve"> 126, pp. 272–284.</w:t>
      </w:r>
    </w:p>
    <w:p w14:paraId="16715BD2" w14:textId="77777777" w:rsidR="004C499E" w:rsidRPr="004C499E" w:rsidRDefault="004C499E" w:rsidP="004C499E">
      <w:pPr>
        <w:rPr>
          <w:lang w:val="en-GB"/>
        </w:rPr>
      </w:pPr>
      <w:r w:rsidRPr="004C499E">
        <w:rPr>
          <w:lang w:val="en-GB"/>
        </w:rPr>
        <w:t xml:space="preserve">Masten, A. S. (2019) ‘Resilience from a developmental systems perspective’, </w:t>
      </w:r>
      <w:r w:rsidRPr="004C499E">
        <w:rPr>
          <w:i/>
          <w:iCs/>
          <w:lang w:val="en-GB"/>
        </w:rPr>
        <w:t>World Psychiatry,</w:t>
      </w:r>
      <w:r w:rsidRPr="004C499E">
        <w:rPr>
          <w:lang w:val="en-GB"/>
        </w:rPr>
        <w:t xml:space="preserve"> 18(1), pp. 101–102.</w:t>
      </w:r>
    </w:p>
    <w:p w14:paraId="15DC47CE" w14:textId="77777777" w:rsidR="004C499E" w:rsidRPr="004C499E" w:rsidRDefault="004C499E" w:rsidP="004C499E">
      <w:pPr>
        <w:rPr>
          <w:lang w:val="en-GB"/>
        </w:rPr>
      </w:pPr>
      <w:r w:rsidRPr="004C499E">
        <w:rPr>
          <w:lang w:val="fr-FR"/>
        </w:rPr>
        <w:t xml:space="preserve">Merritt, D. H., et al. </w:t>
      </w:r>
      <w:r w:rsidRPr="004C499E">
        <w:rPr>
          <w:lang w:val="en-GB"/>
        </w:rPr>
        <w:t xml:space="preserve">(2023) ‘Neurodevelopmental impacts of early adversity: A systematic review of brain structure and function’, </w:t>
      </w:r>
      <w:r w:rsidRPr="004C499E">
        <w:rPr>
          <w:i/>
          <w:iCs/>
          <w:lang w:val="en-GB"/>
        </w:rPr>
        <w:t>Development and Psychopathology,</w:t>
      </w:r>
      <w:r w:rsidRPr="004C499E">
        <w:rPr>
          <w:lang w:val="en-GB"/>
        </w:rPr>
        <w:t xml:space="preserve"> 35(2), pp. 356–372.</w:t>
      </w:r>
    </w:p>
    <w:p w14:paraId="3EBB6C5F" w14:textId="0209CCA4" w:rsidR="004C499E" w:rsidRPr="004C499E" w:rsidRDefault="004C499E" w:rsidP="004C499E">
      <w:pPr>
        <w:rPr>
          <w:lang w:val="en-GB"/>
        </w:rPr>
      </w:pPr>
      <w:r w:rsidRPr="004C499E">
        <w:rPr>
          <w:lang w:val="en-GB"/>
        </w:rPr>
        <w:t xml:space="preserve">NHS England (2022) </w:t>
      </w:r>
      <w:r w:rsidRPr="004C499E">
        <w:rPr>
          <w:i/>
          <w:iCs/>
          <w:lang w:val="en-GB"/>
        </w:rPr>
        <w:t>Trauma-Informed Care: Principles and Practice for Mental Health Services</w:t>
      </w:r>
      <w:r w:rsidRPr="004C499E">
        <w:rPr>
          <w:lang w:val="en-GB"/>
        </w:rPr>
        <w:t>: NHS England.</w:t>
      </w:r>
    </w:p>
    <w:p w14:paraId="37395DBE" w14:textId="39149CAB" w:rsidR="004C499E" w:rsidRPr="004C499E" w:rsidRDefault="004C499E" w:rsidP="004C499E">
      <w:pPr>
        <w:rPr>
          <w:lang w:val="en-GB"/>
        </w:rPr>
      </w:pPr>
      <w:r w:rsidRPr="004C499E">
        <w:rPr>
          <w:lang w:val="en-GB"/>
        </w:rPr>
        <w:t xml:space="preserve">Perry, B. D. (2020) </w:t>
      </w:r>
      <w:r w:rsidRPr="004C499E">
        <w:rPr>
          <w:i/>
          <w:iCs/>
          <w:lang w:val="en-GB"/>
        </w:rPr>
        <w:t>What Happened to You? Conversations on Trauma, Resilience, and Healing</w:t>
      </w:r>
      <w:r w:rsidRPr="004C499E">
        <w:rPr>
          <w:lang w:val="en-GB"/>
        </w:rPr>
        <w:t>: Bluebird.</w:t>
      </w:r>
    </w:p>
    <w:p w14:paraId="2ECE04B6" w14:textId="77777777" w:rsidR="004C499E" w:rsidRPr="004C499E" w:rsidRDefault="004C499E" w:rsidP="004C499E">
      <w:pPr>
        <w:rPr>
          <w:lang w:val="en-GB"/>
        </w:rPr>
      </w:pPr>
      <w:r w:rsidRPr="004C499E">
        <w:rPr>
          <w:lang w:val="en-GB"/>
        </w:rPr>
        <w:t xml:space="preserve">Radford, L., Corral, S., Bradley, C. &amp; Fisher, H. (2013) ‘The prevalence and impact of child maltreatment and other types of victimization in the UK: Findings from a population </w:t>
      </w:r>
      <w:r w:rsidRPr="004C499E">
        <w:rPr>
          <w:lang w:val="en-GB"/>
        </w:rPr>
        <w:lastRenderedPageBreak/>
        <w:t xml:space="preserve">survey of caregivers, children and young people and young adults’, </w:t>
      </w:r>
      <w:r w:rsidRPr="004C499E">
        <w:rPr>
          <w:i/>
          <w:iCs/>
          <w:lang w:val="en-GB"/>
        </w:rPr>
        <w:t>Child Abuse &amp; Neglect,</w:t>
      </w:r>
      <w:r w:rsidRPr="004C499E">
        <w:rPr>
          <w:lang w:val="en-GB"/>
        </w:rPr>
        <w:t xml:space="preserve"> 37(10), pp. 801–813.</w:t>
      </w:r>
    </w:p>
    <w:p w14:paraId="309786EC" w14:textId="77777777" w:rsidR="004C499E" w:rsidRPr="004C499E" w:rsidRDefault="004C499E" w:rsidP="004C499E">
      <w:pPr>
        <w:rPr>
          <w:lang w:val="en-GB"/>
        </w:rPr>
      </w:pPr>
      <w:r w:rsidRPr="004C499E">
        <w:rPr>
          <w:lang w:val="en-GB"/>
        </w:rPr>
        <w:t xml:space="preserve">Shah, P., et al. (2021) ‘Understanding behavioural manifestations of trauma in children: Implications for school practice’, </w:t>
      </w:r>
      <w:r w:rsidRPr="004C499E">
        <w:rPr>
          <w:i/>
          <w:iCs/>
          <w:lang w:val="en-GB"/>
        </w:rPr>
        <w:t>Educational Psychology in Practice,</w:t>
      </w:r>
      <w:r w:rsidRPr="004C499E">
        <w:rPr>
          <w:lang w:val="en-GB"/>
        </w:rPr>
        <w:t xml:space="preserve"> 37(4), pp. 410–426.</w:t>
      </w:r>
    </w:p>
    <w:p w14:paraId="401FC62E" w14:textId="77777777" w:rsidR="004C499E" w:rsidRPr="004C499E" w:rsidRDefault="004C499E" w:rsidP="004C499E">
      <w:pPr>
        <w:rPr>
          <w:lang w:val="en-GB"/>
        </w:rPr>
      </w:pPr>
      <w:r w:rsidRPr="004C499E">
        <w:rPr>
          <w:lang w:val="en-GB"/>
        </w:rPr>
        <w:t xml:space="preserve">Sweeney, A., Filson, B., Kennedy, A., Collinson, L. &amp; Gillard, S. (2018) ‘A paradigm shift: Relationships in trauma-informed mental health services’, </w:t>
      </w:r>
      <w:r w:rsidRPr="004C499E">
        <w:rPr>
          <w:i/>
          <w:iCs/>
          <w:lang w:val="en-GB"/>
        </w:rPr>
        <w:t>BJPsych Advances,</w:t>
      </w:r>
      <w:r w:rsidRPr="004C499E">
        <w:rPr>
          <w:lang w:val="en-GB"/>
        </w:rPr>
        <w:t xml:space="preserve"> 24(5), pp. 319–333.</w:t>
      </w:r>
    </w:p>
    <w:p w14:paraId="1E02A044" w14:textId="77777777" w:rsidR="004C499E" w:rsidRPr="004C499E" w:rsidRDefault="004C499E" w:rsidP="004C499E">
      <w:pPr>
        <w:rPr>
          <w:lang w:val="en-GB"/>
        </w:rPr>
      </w:pPr>
      <w:r w:rsidRPr="004C499E">
        <w:rPr>
          <w:lang w:val="en-GB"/>
        </w:rPr>
        <w:t xml:space="preserve">Tang, S., et al. (2020) ‘Early life stress and HPA axis regulation: Neurobiological mechanisms and clinical implications’, </w:t>
      </w:r>
      <w:r w:rsidRPr="004C499E">
        <w:rPr>
          <w:i/>
          <w:iCs/>
          <w:lang w:val="en-GB"/>
        </w:rPr>
        <w:t>Neuroscience &amp; Biobehavioral Reviews,</w:t>
      </w:r>
      <w:r w:rsidRPr="004C499E">
        <w:rPr>
          <w:lang w:val="en-GB"/>
        </w:rPr>
        <w:t xml:space="preserve"> 113, pp. 441–452.</w:t>
      </w:r>
    </w:p>
    <w:p w14:paraId="65CB041A" w14:textId="77777777" w:rsidR="004C499E" w:rsidRPr="004C499E" w:rsidRDefault="004C499E" w:rsidP="004C499E">
      <w:pPr>
        <w:rPr>
          <w:lang w:val="en-GB"/>
        </w:rPr>
      </w:pPr>
      <w:r w:rsidRPr="004C499E">
        <w:rPr>
          <w:lang w:val="en-GB"/>
        </w:rPr>
        <w:t xml:space="preserve">Tottenham, N. &amp; Gabard-Durnam, L. J. (2017) ‘The developing amygdala: A student of the world and a teacher of the cortex’, </w:t>
      </w:r>
      <w:r w:rsidRPr="004C499E">
        <w:rPr>
          <w:i/>
          <w:iCs/>
          <w:lang w:val="en-GB"/>
        </w:rPr>
        <w:t>Current Opinion in Psychology,</w:t>
      </w:r>
      <w:r w:rsidRPr="004C499E">
        <w:rPr>
          <w:lang w:val="en-GB"/>
        </w:rPr>
        <w:t xml:space="preserve"> 17, pp. 55–60.</w:t>
      </w:r>
    </w:p>
    <w:p w14:paraId="38694A83" w14:textId="7AA219C1" w:rsidR="004C499E" w:rsidRPr="004C499E" w:rsidRDefault="004C499E" w:rsidP="004C499E">
      <w:pPr>
        <w:rPr>
          <w:lang w:val="en-GB"/>
        </w:rPr>
      </w:pPr>
      <w:r w:rsidRPr="004C499E">
        <w:rPr>
          <w:lang w:val="en-GB"/>
        </w:rPr>
        <w:t xml:space="preserve">Van der Kolk, B. (2015) </w:t>
      </w:r>
      <w:r w:rsidRPr="004C499E">
        <w:rPr>
          <w:i/>
          <w:iCs/>
          <w:lang w:val="en-GB"/>
        </w:rPr>
        <w:t>The Body Keeps the Score: Brain, Mind, and Body in the Healing of Trauma.</w:t>
      </w:r>
      <w:r w:rsidRPr="004C499E">
        <w:rPr>
          <w:lang w:val="en-GB"/>
        </w:rPr>
        <w:t xml:space="preserve">  Penguin Books.</w:t>
      </w:r>
    </w:p>
    <w:p w14:paraId="3A5C611A" w14:textId="271A19F4" w:rsidR="004C499E" w:rsidRPr="004C499E" w:rsidRDefault="004C499E" w:rsidP="004C499E">
      <w:pPr>
        <w:rPr>
          <w:lang w:val="en-GB"/>
        </w:rPr>
      </w:pPr>
      <w:r w:rsidRPr="004C499E">
        <w:rPr>
          <w:lang w:val="en-GB"/>
        </w:rPr>
        <w:t xml:space="preserve">Weare, K. &amp; Nind, M. (2018) </w:t>
      </w:r>
      <w:r w:rsidRPr="004C499E">
        <w:rPr>
          <w:i/>
          <w:iCs/>
          <w:lang w:val="en-GB"/>
        </w:rPr>
        <w:t>Mental Health Promotion and Problem Prevention in Schools: What Does the Evidence Say?</w:t>
      </w:r>
      <w:r w:rsidRPr="004C499E">
        <w:rPr>
          <w:lang w:val="en-GB"/>
        </w:rPr>
        <w:t xml:space="preserve">  Routledge.</w:t>
      </w:r>
    </w:p>
    <w:p w14:paraId="0505F04D" w14:textId="2F0C454A" w:rsidR="004C499E" w:rsidRPr="004C499E" w:rsidRDefault="004C499E" w:rsidP="004C499E">
      <w:pPr>
        <w:rPr>
          <w:lang w:val="en-GB"/>
        </w:rPr>
      </w:pPr>
      <w:r w:rsidRPr="004C499E">
        <w:rPr>
          <w:lang w:val="en-GB"/>
        </w:rPr>
        <w:t xml:space="preserve">Welsh Government (2015) </w:t>
      </w:r>
      <w:r w:rsidRPr="004C499E">
        <w:rPr>
          <w:i/>
          <w:iCs/>
          <w:lang w:val="en-GB"/>
        </w:rPr>
        <w:t>Well-being of Future Generations (Wales) Act 2015.</w:t>
      </w:r>
      <w:r w:rsidRPr="004C499E">
        <w:rPr>
          <w:lang w:val="en-GB"/>
        </w:rPr>
        <w:t xml:space="preserve"> Welsh Government.</w:t>
      </w:r>
    </w:p>
    <w:p w14:paraId="4FE062E2" w14:textId="2013B4D0" w:rsidR="004C499E" w:rsidRPr="004C499E" w:rsidRDefault="004C499E" w:rsidP="004C499E">
      <w:r w:rsidRPr="004C499E">
        <w:rPr>
          <w:lang w:val="en-GB"/>
        </w:rPr>
        <w:t xml:space="preserve">Welsh Government (2019) </w:t>
      </w:r>
      <w:r w:rsidRPr="004C499E">
        <w:rPr>
          <w:i/>
          <w:iCs/>
          <w:lang w:val="en-GB"/>
        </w:rPr>
        <w:t>Together for Mental Health: Delivery Plan 2019–2022.</w:t>
      </w:r>
      <w:r w:rsidRPr="004C499E">
        <w:rPr>
          <w:lang w:val="en-GB"/>
        </w:rPr>
        <w:t xml:space="preserve"> </w:t>
      </w:r>
      <w:r w:rsidRPr="00035112">
        <w:rPr>
          <w:lang w:val="en-GB"/>
        </w:rPr>
        <w:t xml:space="preserve"> </w:t>
      </w:r>
      <w:r w:rsidRPr="004C499E">
        <w:t>Welsh Government.</w:t>
      </w:r>
    </w:p>
    <w:p w14:paraId="022B6DF5" w14:textId="77777777" w:rsidR="004C499E" w:rsidRPr="00BE152D" w:rsidRDefault="004C499E" w:rsidP="00BE152D">
      <w:pPr>
        <w:rPr>
          <w:lang w:val="en-GB"/>
        </w:rPr>
      </w:pPr>
    </w:p>
    <w:sectPr w:rsidR="004C499E" w:rsidRPr="00BE152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93E"/>
    <w:rsid w:val="000056A0"/>
    <w:rsid w:val="00035112"/>
    <w:rsid w:val="000F6F57"/>
    <w:rsid w:val="00176096"/>
    <w:rsid w:val="002D7163"/>
    <w:rsid w:val="003D3030"/>
    <w:rsid w:val="004A5831"/>
    <w:rsid w:val="004C499E"/>
    <w:rsid w:val="0058089B"/>
    <w:rsid w:val="00614439"/>
    <w:rsid w:val="0063389C"/>
    <w:rsid w:val="00A8093E"/>
    <w:rsid w:val="00BE152D"/>
    <w:rsid w:val="00CE6B2D"/>
    <w:rsid w:val="00E97C3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6CD52"/>
  <w15:chartTrackingRefBased/>
  <w15:docId w15:val="{A3950959-1EA2-4C66-BB95-C6C8BF86C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A809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A809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A8093E"/>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A8093E"/>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A8093E"/>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A8093E"/>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A8093E"/>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A8093E"/>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A8093E"/>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A8093E"/>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A8093E"/>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A8093E"/>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A8093E"/>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A8093E"/>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A8093E"/>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A8093E"/>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A8093E"/>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A8093E"/>
    <w:rPr>
      <w:rFonts w:eastAsiaTheme="majorEastAsia" w:cstheme="majorBidi"/>
      <w:color w:val="272727" w:themeColor="text1" w:themeTint="D8"/>
    </w:rPr>
  </w:style>
  <w:style w:type="paragraph" w:styleId="Tytu">
    <w:name w:val="Title"/>
    <w:basedOn w:val="Normalny"/>
    <w:next w:val="Normalny"/>
    <w:link w:val="TytuZnak"/>
    <w:uiPriority w:val="10"/>
    <w:qFormat/>
    <w:rsid w:val="00A809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A8093E"/>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A8093E"/>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A8093E"/>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A8093E"/>
    <w:pPr>
      <w:spacing w:before="160"/>
      <w:jc w:val="center"/>
    </w:pPr>
    <w:rPr>
      <w:i/>
      <w:iCs/>
      <w:color w:val="404040" w:themeColor="text1" w:themeTint="BF"/>
    </w:rPr>
  </w:style>
  <w:style w:type="character" w:customStyle="1" w:styleId="CytatZnak">
    <w:name w:val="Cytat Znak"/>
    <w:basedOn w:val="Domylnaczcionkaakapitu"/>
    <w:link w:val="Cytat"/>
    <w:uiPriority w:val="29"/>
    <w:rsid w:val="00A8093E"/>
    <w:rPr>
      <w:i/>
      <w:iCs/>
      <w:color w:val="404040" w:themeColor="text1" w:themeTint="BF"/>
    </w:rPr>
  </w:style>
  <w:style w:type="paragraph" w:styleId="Akapitzlist">
    <w:name w:val="List Paragraph"/>
    <w:basedOn w:val="Normalny"/>
    <w:uiPriority w:val="34"/>
    <w:qFormat/>
    <w:rsid w:val="00A8093E"/>
    <w:pPr>
      <w:ind w:left="720"/>
      <w:contextualSpacing/>
    </w:pPr>
  </w:style>
  <w:style w:type="character" w:styleId="Wyrnienieintensywne">
    <w:name w:val="Intense Emphasis"/>
    <w:basedOn w:val="Domylnaczcionkaakapitu"/>
    <w:uiPriority w:val="21"/>
    <w:qFormat/>
    <w:rsid w:val="00A8093E"/>
    <w:rPr>
      <w:i/>
      <w:iCs/>
      <w:color w:val="0F4761" w:themeColor="accent1" w:themeShade="BF"/>
    </w:rPr>
  </w:style>
  <w:style w:type="paragraph" w:styleId="Cytatintensywny">
    <w:name w:val="Intense Quote"/>
    <w:basedOn w:val="Normalny"/>
    <w:next w:val="Normalny"/>
    <w:link w:val="CytatintensywnyZnak"/>
    <w:uiPriority w:val="30"/>
    <w:qFormat/>
    <w:rsid w:val="00A809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A8093E"/>
    <w:rPr>
      <w:i/>
      <w:iCs/>
      <w:color w:val="0F4761" w:themeColor="accent1" w:themeShade="BF"/>
    </w:rPr>
  </w:style>
  <w:style w:type="character" w:styleId="Odwoanieintensywne">
    <w:name w:val="Intense Reference"/>
    <w:basedOn w:val="Domylnaczcionkaakapitu"/>
    <w:uiPriority w:val="32"/>
    <w:qFormat/>
    <w:rsid w:val="00A809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2082</Words>
  <Characters>12495</Characters>
  <Application>Microsoft Office Word</Application>
  <DocSecurity>0</DocSecurity>
  <Lines>104</Lines>
  <Paragraphs>29</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Bozena Mlynarczyk (2217365)</dc:creator>
  <cp:keywords/>
  <dc:description/>
  <cp:lastModifiedBy>Bozena Mlynarczyk (2217365)</cp:lastModifiedBy>
  <cp:revision>5</cp:revision>
  <dcterms:created xsi:type="dcterms:W3CDTF">2025-11-07T12:35:00Z</dcterms:created>
  <dcterms:modified xsi:type="dcterms:W3CDTF">2025-12-04T11:45:00Z</dcterms:modified>
</cp:coreProperties>
</file>