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AE3493" w14:textId="77777777" w:rsidR="00CC61D8" w:rsidRDefault="00CC61D8" w:rsidP="00CC61D8">
      <w:pPr>
        <w:jc w:val="center"/>
        <w:rPr>
          <w:rFonts w:ascii="Segoe UI" w:hAnsi="Segoe UI" w:cs="Segoe UI"/>
          <w:color w:val="1C1917"/>
          <w:sz w:val="27"/>
          <w:szCs w:val="27"/>
          <w:shd w:val="clear" w:color="auto" w:fill="FFFFFF"/>
        </w:rPr>
      </w:pPr>
    </w:p>
    <w:p w14:paraId="0223BC7B" w14:textId="77777777" w:rsidR="00CC61D8" w:rsidRPr="00CC61D8" w:rsidRDefault="00CC61D8" w:rsidP="00CC61D8">
      <w:pPr>
        <w:jc w:val="center"/>
        <w:rPr>
          <w:rFonts w:ascii="Segoe UI" w:hAnsi="Segoe UI" w:cs="Segoe UI"/>
          <w:color w:val="1C1917"/>
          <w:sz w:val="40"/>
          <w:szCs w:val="40"/>
          <w:shd w:val="clear" w:color="auto" w:fill="FFFFFF"/>
        </w:rPr>
      </w:pPr>
    </w:p>
    <w:p w14:paraId="30025C54" w14:textId="77777777" w:rsidR="00CC61D8" w:rsidRPr="00CC61D8" w:rsidRDefault="00CC61D8" w:rsidP="00CC61D8">
      <w:pPr>
        <w:jc w:val="center"/>
        <w:rPr>
          <w:sz w:val="40"/>
          <w:szCs w:val="40"/>
        </w:rPr>
      </w:pPr>
      <w:r w:rsidRPr="00CC61D8">
        <w:rPr>
          <w:rFonts w:ascii="Segoe UI" w:hAnsi="Segoe UI" w:cs="Segoe UI"/>
          <w:color w:val="1C1917"/>
          <w:sz w:val="40"/>
          <w:szCs w:val="40"/>
          <w:shd w:val="clear" w:color="auto" w:fill="FFFFFF"/>
        </w:rPr>
        <w:t>Managing Foreign Exchange Risk: Strategies for Multinational Corporations</w:t>
      </w:r>
    </w:p>
    <w:p w14:paraId="4A3F9ED9" w14:textId="77777777" w:rsidR="0056520A" w:rsidRDefault="0056520A" w:rsidP="00CC61D8">
      <w:pPr>
        <w:jc w:val="center"/>
      </w:pPr>
    </w:p>
    <w:p w14:paraId="05BDC98C" w14:textId="77777777" w:rsidR="0056520A" w:rsidRDefault="0056520A" w:rsidP="00CC61D8">
      <w:pPr>
        <w:jc w:val="center"/>
      </w:pPr>
    </w:p>
    <w:p w14:paraId="0A3BD6D1" w14:textId="77777777" w:rsidR="0056520A" w:rsidRDefault="0056520A" w:rsidP="0056520A">
      <w:pPr>
        <w:rPr>
          <w:rFonts w:ascii="Segoe UI" w:hAnsi="Segoe UI" w:cs="Segoe UI"/>
          <w:color w:val="1C1917"/>
          <w:sz w:val="32"/>
          <w:szCs w:val="32"/>
          <w:shd w:val="clear" w:color="auto" w:fill="FFFFFF"/>
        </w:rPr>
      </w:pPr>
    </w:p>
    <w:p w14:paraId="34ACD024" w14:textId="77777777" w:rsidR="0056520A" w:rsidRDefault="0056520A" w:rsidP="0056520A">
      <w:pPr>
        <w:rPr>
          <w:rFonts w:ascii="Segoe UI" w:hAnsi="Segoe UI" w:cs="Segoe UI"/>
          <w:color w:val="1C1917"/>
          <w:sz w:val="32"/>
          <w:szCs w:val="32"/>
          <w:shd w:val="clear" w:color="auto" w:fill="FFFFFF"/>
        </w:rPr>
      </w:pPr>
    </w:p>
    <w:p w14:paraId="64B9C21A" w14:textId="2C21AECA" w:rsidR="0056520A" w:rsidRPr="0056520A" w:rsidRDefault="0056520A" w:rsidP="0056520A">
      <w:pPr>
        <w:rPr>
          <w:rFonts w:ascii="Segoe UI" w:hAnsi="Segoe UI" w:cs="Segoe UI"/>
          <w:color w:val="1C1917"/>
          <w:sz w:val="36"/>
          <w:szCs w:val="36"/>
          <w:shd w:val="clear" w:color="auto" w:fill="FFFFFF"/>
        </w:rPr>
      </w:pPr>
      <w:r w:rsidRPr="001C27D9">
        <w:rPr>
          <w:rFonts w:ascii="Segoe UI" w:hAnsi="Segoe UI" w:cs="Segoe UI"/>
          <w:color w:val="1C1917"/>
          <w:sz w:val="36"/>
          <w:szCs w:val="36"/>
          <w:shd w:val="clear" w:color="auto" w:fill="FFFFFF"/>
        </w:rPr>
        <w:t>Module: International Financial Management (LCBB6002)</w:t>
      </w:r>
    </w:p>
    <w:p w14:paraId="659CCB59" w14:textId="5CE9A3C0" w:rsidR="00CC61D8" w:rsidRPr="0056520A" w:rsidRDefault="0056520A" w:rsidP="0056520A">
      <w:pPr>
        <w:rPr>
          <w:sz w:val="36"/>
          <w:szCs w:val="36"/>
        </w:rPr>
      </w:pPr>
      <w:r w:rsidRPr="0056520A">
        <w:rPr>
          <w:rFonts w:ascii="Segoe UI" w:hAnsi="Segoe UI" w:cs="Segoe UI"/>
          <w:color w:val="1C1917"/>
          <w:sz w:val="36"/>
          <w:szCs w:val="36"/>
          <w:shd w:val="clear" w:color="auto" w:fill="FFFFFF"/>
        </w:rPr>
        <w:t xml:space="preserve">Student: Mariana </w:t>
      </w:r>
      <w:proofErr w:type="spellStart"/>
      <w:r w:rsidRPr="0056520A">
        <w:rPr>
          <w:rFonts w:ascii="Segoe UI" w:hAnsi="Segoe UI" w:cs="Segoe UI"/>
          <w:color w:val="1C1917"/>
          <w:sz w:val="36"/>
          <w:szCs w:val="36"/>
          <w:shd w:val="clear" w:color="auto" w:fill="FFFFFF"/>
        </w:rPr>
        <w:t>Kahel</w:t>
      </w:r>
      <w:proofErr w:type="spellEnd"/>
      <w:r w:rsidRPr="0056520A">
        <w:rPr>
          <w:rFonts w:ascii="Segoe UI" w:hAnsi="Segoe UI" w:cs="Segoe UI"/>
          <w:color w:val="1C1917"/>
          <w:sz w:val="36"/>
          <w:szCs w:val="36"/>
          <w:shd w:val="clear" w:color="auto" w:fill="FFFFFF"/>
        </w:rPr>
        <w:t xml:space="preserve"> (2113218)</w:t>
      </w:r>
      <w:r w:rsidR="00CC61D8" w:rsidRPr="0056520A">
        <w:rPr>
          <w:sz w:val="36"/>
          <w:szCs w:val="36"/>
        </w:rPr>
        <w:br w:type="page"/>
      </w:r>
      <w:bookmarkStart w:id="0" w:name="_GoBack"/>
      <w:bookmarkEnd w:id="0"/>
    </w:p>
    <w:p w14:paraId="4B31F517" w14:textId="77777777" w:rsidR="00CC61D8" w:rsidRDefault="00CC61D8" w:rsidP="00CC61D8"/>
    <w:sdt>
      <w:sdtPr>
        <w:rPr>
          <w:rFonts w:asciiTheme="minorHAnsi" w:eastAsiaTheme="minorHAnsi" w:hAnsiTheme="minorHAnsi" w:cstheme="minorBidi"/>
          <w:color w:val="auto"/>
          <w:sz w:val="22"/>
          <w:szCs w:val="22"/>
          <w:lang w:val="en-GB"/>
        </w:rPr>
        <w:id w:val="1283464176"/>
        <w:docPartObj>
          <w:docPartGallery w:val="Table of Contents"/>
          <w:docPartUnique/>
        </w:docPartObj>
      </w:sdtPr>
      <w:sdtEndPr>
        <w:rPr>
          <w:b/>
          <w:bCs/>
          <w:noProof/>
        </w:rPr>
      </w:sdtEndPr>
      <w:sdtContent>
        <w:p w14:paraId="56945270" w14:textId="77777777" w:rsidR="00CC61D8" w:rsidRDefault="00CC61D8">
          <w:pPr>
            <w:pStyle w:val="TOCHeading"/>
          </w:pPr>
          <w:r>
            <w:t>Contents</w:t>
          </w:r>
        </w:p>
        <w:p w14:paraId="132B7FC9" w14:textId="77777777" w:rsidR="00CC61D8" w:rsidRPr="00CC61D8" w:rsidRDefault="00CC61D8" w:rsidP="00CC61D8">
          <w:pPr>
            <w:rPr>
              <w:lang w:val="en-US"/>
            </w:rPr>
          </w:pPr>
        </w:p>
        <w:p w14:paraId="06D2077B" w14:textId="77777777" w:rsidR="00D85EF7" w:rsidRDefault="00CC61D8">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53901188" w:history="1">
            <w:r w:rsidR="00D85EF7" w:rsidRPr="00E948EA">
              <w:rPr>
                <w:rStyle w:val="Hyperlink"/>
                <w:noProof/>
              </w:rPr>
              <w:t>Introduction</w:t>
            </w:r>
            <w:r w:rsidR="00D85EF7">
              <w:rPr>
                <w:noProof/>
                <w:webHidden/>
              </w:rPr>
              <w:tab/>
            </w:r>
            <w:r w:rsidR="00D85EF7">
              <w:rPr>
                <w:noProof/>
                <w:webHidden/>
              </w:rPr>
              <w:fldChar w:fldCharType="begin"/>
            </w:r>
            <w:r w:rsidR="00D85EF7">
              <w:rPr>
                <w:noProof/>
                <w:webHidden/>
              </w:rPr>
              <w:instrText xml:space="preserve"> PAGEREF _Toc153901188 \h </w:instrText>
            </w:r>
            <w:r w:rsidR="00D85EF7">
              <w:rPr>
                <w:noProof/>
                <w:webHidden/>
              </w:rPr>
            </w:r>
            <w:r w:rsidR="00D85EF7">
              <w:rPr>
                <w:noProof/>
                <w:webHidden/>
              </w:rPr>
              <w:fldChar w:fldCharType="separate"/>
            </w:r>
            <w:r w:rsidR="00D85EF7">
              <w:rPr>
                <w:noProof/>
                <w:webHidden/>
              </w:rPr>
              <w:t>3</w:t>
            </w:r>
            <w:r w:rsidR="00D85EF7">
              <w:rPr>
                <w:noProof/>
                <w:webHidden/>
              </w:rPr>
              <w:fldChar w:fldCharType="end"/>
            </w:r>
          </w:hyperlink>
        </w:p>
        <w:p w14:paraId="4275BBC5" w14:textId="77777777" w:rsidR="00D85EF7" w:rsidRDefault="0056520A">
          <w:pPr>
            <w:pStyle w:val="TOC1"/>
            <w:tabs>
              <w:tab w:val="right" w:leader="dot" w:pos="9016"/>
            </w:tabs>
            <w:rPr>
              <w:rFonts w:eastAsiaTheme="minorEastAsia"/>
              <w:noProof/>
              <w:lang w:eastAsia="en-GB"/>
            </w:rPr>
          </w:pPr>
          <w:hyperlink w:anchor="_Toc153901189" w:history="1">
            <w:r w:rsidR="00D85EF7" w:rsidRPr="00E948EA">
              <w:rPr>
                <w:rStyle w:val="Hyperlink"/>
                <w:noProof/>
              </w:rPr>
              <w:t>Main Body</w:t>
            </w:r>
            <w:r w:rsidR="00D85EF7">
              <w:rPr>
                <w:noProof/>
                <w:webHidden/>
              </w:rPr>
              <w:tab/>
            </w:r>
            <w:r w:rsidR="00D85EF7">
              <w:rPr>
                <w:noProof/>
                <w:webHidden/>
              </w:rPr>
              <w:fldChar w:fldCharType="begin"/>
            </w:r>
            <w:r w:rsidR="00D85EF7">
              <w:rPr>
                <w:noProof/>
                <w:webHidden/>
              </w:rPr>
              <w:instrText xml:space="preserve"> PAGEREF _Toc153901189 \h </w:instrText>
            </w:r>
            <w:r w:rsidR="00D85EF7">
              <w:rPr>
                <w:noProof/>
                <w:webHidden/>
              </w:rPr>
            </w:r>
            <w:r w:rsidR="00D85EF7">
              <w:rPr>
                <w:noProof/>
                <w:webHidden/>
              </w:rPr>
              <w:fldChar w:fldCharType="separate"/>
            </w:r>
            <w:r w:rsidR="00D85EF7">
              <w:rPr>
                <w:noProof/>
                <w:webHidden/>
              </w:rPr>
              <w:t>3</w:t>
            </w:r>
            <w:r w:rsidR="00D85EF7">
              <w:rPr>
                <w:noProof/>
                <w:webHidden/>
              </w:rPr>
              <w:fldChar w:fldCharType="end"/>
            </w:r>
          </w:hyperlink>
        </w:p>
        <w:p w14:paraId="39B15659" w14:textId="77777777" w:rsidR="00D85EF7" w:rsidRDefault="0056520A">
          <w:pPr>
            <w:pStyle w:val="TOC1"/>
            <w:tabs>
              <w:tab w:val="right" w:leader="dot" w:pos="9016"/>
            </w:tabs>
            <w:rPr>
              <w:rFonts w:eastAsiaTheme="minorEastAsia"/>
              <w:noProof/>
              <w:lang w:eastAsia="en-GB"/>
            </w:rPr>
          </w:pPr>
          <w:hyperlink w:anchor="_Toc153901190" w:history="1">
            <w:r w:rsidR="00D85EF7" w:rsidRPr="00E948EA">
              <w:rPr>
                <w:rStyle w:val="Hyperlink"/>
                <w:noProof/>
              </w:rPr>
              <w:t>Conclusion</w:t>
            </w:r>
            <w:r w:rsidR="00D85EF7">
              <w:rPr>
                <w:noProof/>
                <w:webHidden/>
              </w:rPr>
              <w:tab/>
            </w:r>
            <w:r w:rsidR="00D85EF7">
              <w:rPr>
                <w:noProof/>
                <w:webHidden/>
              </w:rPr>
              <w:fldChar w:fldCharType="begin"/>
            </w:r>
            <w:r w:rsidR="00D85EF7">
              <w:rPr>
                <w:noProof/>
                <w:webHidden/>
              </w:rPr>
              <w:instrText xml:space="preserve"> PAGEREF _Toc153901190 \h </w:instrText>
            </w:r>
            <w:r w:rsidR="00D85EF7">
              <w:rPr>
                <w:noProof/>
                <w:webHidden/>
              </w:rPr>
            </w:r>
            <w:r w:rsidR="00D85EF7">
              <w:rPr>
                <w:noProof/>
                <w:webHidden/>
              </w:rPr>
              <w:fldChar w:fldCharType="separate"/>
            </w:r>
            <w:r w:rsidR="00D85EF7">
              <w:rPr>
                <w:noProof/>
                <w:webHidden/>
              </w:rPr>
              <w:t>5</w:t>
            </w:r>
            <w:r w:rsidR="00D85EF7">
              <w:rPr>
                <w:noProof/>
                <w:webHidden/>
              </w:rPr>
              <w:fldChar w:fldCharType="end"/>
            </w:r>
          </w:hyperlink>
        </w:p>
        <w:p w14:paraId="634A6FBE" w14:textId="77777777" w:rsidR="00D85EF7" w:rsidRDefault="0056520A">
          <w:pPr>
            <w:pStyle w:val="TOC1"/>
            <w:tabs>
              <w:tab w:val="right" w:leader="dot" w:pos="9016"/>
            </w:tabs>
            <w:rPr>
              <w:rFonts w:eastAsiaTheme="minorEastAsia"/>
              <w:noProof/>
              <w:lang w:eastAsia="en-GB"/>
            </w:rPr>
          </w:pPr>
          <w:hyperlink w:anchor="_Toc153901191" w:history="1">
            <w:r w:rsidR="00D85EF7" w:rsidRPr="00E948EA">
              <w:rPr>
                <w:rStyle w:val="Hyperlink"/>
                <w:noProof/>
              </w:rPr>
              <w:t>References</w:t>
            </w:r>
            <w:r w:rsidR="00D85EF7">
              <w:rPr>
                <w:noProof/>
                <w:webHidden/>
              </w:rPr>
              <w:tab/>
            </w:r>
            <w:r w:rsidR="00D85EF7">
              <w:rPr>
                <w:noProof/>
                <w:webHidden/>
              </w:rPr>
              <w:fldChar w:fldCharType="begin"/>
            </w:r>
            <w:r w:rsidR="00D85EF7">
              <w:rPr>
                <w:noProof/>
                <w:webHidden/>
              </w:rPr>
              <w:instrText xml:space="preserve"> PAGEREF _Toc153901191 \h </w:instrText>
            </w:r>
            <w:r w:rsidR="00D85EF7">
              <w:rPr>
                <w:noProof/>
                <w:webHidden/>
              </w:rPr>
            </w:r>
            <w:r w:rsidR="00D85EF7">
              <w:rPr>
                <w:noProof/>
                <w:webHidden/>
              </w:rPr>
              <w:fldChar w:fldCharType="separate"/>
            </w:r>
            <w:r w:rsidR="00D85EF7">
              <w:rPr>
                <w:noProof/>
                <w:webHidden/>
              </w:rPr>
              <w:t>6</w:t>
            </w:r>
            <w:r w:rsidR="00D85EF7">
              <w:rPr>
                <w:noProof/>
                <w:webHidden/>
              </w:rPr>
              <w:fldChar w:fldCharType="end"/>
            </w:r>
          </w:hyperlink>
        </w:p>
        <w:p w14:paraId="39ADBCF1" w14:textId="77777777" w:rsidR="00CC61D8" w:rsidRDefault="00CC61D8">
          <w:r>
            <w:rPr>
              <w:b/>
              <w:bCs/>
              <w:noProof/>
            </w:rPr>
            <w:fldChar w:fldCharType="end"/>
          </w:r>
        </w:p>
      </w:sdtContent>
    </w:sdt>
    <w:p w14:paraId="59363920" w14:textId="77777777" w:rsidR="00CC61D8" w:rsidRDefault="00CC61D8" w:rsidP="00CC61D8">
      <w:r>
        <w:br w:type="page"/>
      </w:r>
    </w:p>
    <w:p w14:paraId="103A56B9" w14:textId="77777777" w:rsidR="00CC61D8" w:rsidRDefault="00CC61D8" w:rsidP="00CC61D8">
      <w:pPr>
        <w:pStyle w:val="Heading1"/>
      </w:pPr>
      <w:bookmarkStart w:id="1" w:name="_Toc153901188"/>
      <w:r>
        <w:lastRenderedPageBreak/>
        <w:t>Introduction</w:t>
      </w:r>
      <w:bookmarkEnd w:id="1"/>
    </w:p>
    <w:p w14:paraId="291D9F5F" w14:textId="77777777" w:rsidR="00CC61D8" w:rsidRPr="00CC61D8" w:rsidRDefault="00CC61D8" w:rsidP="00CC61D8"/>
    <w:p w14:paraId="7077C0C6" w14:textId="77777777" w:rsidR="003E0D62" w:rsidRDefault="003E0D62" w:rsidP="003E0D62">
      <w:r>
        <w:t>Multinational corporations (MNCs) operating across borders can be exposed to foreign exchange risks through transactions, translations and economic exposures (Madura 2022). Transaction exposure refers to exchange rate risks arising from contractual obligations being denominated in foreign currencies. Translation exposure refers to assets or liabilities denominated in foreign currencies that must be translated back into home currency for consolidation purposes, with any fluctuation affecting consolidated financial statements. Economic exposure refers to any change in present value arising due to unexpected exchange rate movements (</w:t>
      </w:r>
      <w:proofErr w:type="spellStart"/>
      <w:r>
        <w:t>Eiteman</w:t>
      </w:r>
      <w:proofErr w:type="spellEnd"/>
      <w:r>
        <w:t xml:space="preserve"> et al, 2022). Multinational corporations can implement various strategies to manage these exposures.</w:t>
      </w:r>
    </w:p>
    <w:p w14:paraId="3D2B4DC9" w14:textId="77777777" w:rsidR="003E0D62" w:rsidRDefault="003E0D62" w:rsidP="003E0D62">
      <w:r>
        <w:t>Forwards, futures, options and swaps (</w:t>
      </w:r>
      <w:proofErr w:type="spellStart"/>
      <w:r>
        <w:t>Eiteman</w:t>
      </w:r>
      <w:proofErr w:type="spellEnd"/>
      <w:r>
        <w:t xml:space="preserve"> et al, 2016) can be used as a strategic way of mitigating transaction exposure (</w:t>
      </w:r>
      <w:proofErr w:type="spellStart"/>
      <w:r>
        <w:t>Bekaert</w:t>
      </w:r>
      <w:proofErr w:type="spellEnd"/>
      <w:r>
        <w:t xml:space="preserve"> et al, 2022). Forwards allow parties to buy or sell foreign currency at a specified exchange rate on a specified future date with certainty (</w:t>
      </w:r>
      <w:proofErr w:type="spellStart"/>
      <w:r>
        <w:t>Bekaert</w:t>
      </w:r>
      <w:proofErr w:type="spellEnd"/>
      <w:r>
        <w:t xml:space="preserve"> et al, 2022). Futures are like futures but exchange-traded and standardised (Madura, 2022), while options provide the right but not the obligation to buy or sell currency at a specified rate at specified rates, offering participants participation in </w:t>
      </w:r>
      <w:proofErr w:type="spellStart"/>
      <w:r>
        <w:t>favorable</w:t>
      </w:r>
      <w:proofErr w:type="spellEnd"/>
      <w:r>
        <w:t xml:space="preserve"> movements while protecting them against negative changes (</w:t>
      </w:r>
      <w:proofErr w:type="spellStart"/>
      <w:r>
        <w:t>Eiteman</w:t>
      </w:r>
      <w:proofErr w:type="spellEnd"/>
      <w:r>
        <w:t xml:space="preserve"> et al, 2022). Swaps enable corporations to exchange cash flows more seamlessly across currencies (</w:t>
      </w:r>
      <w:proofErr w:type="spellStart"/>
      <w:r>
        <w:t>Bekaert</w:t>
      </w:r>
      <w:proofErr w:type="spellEnd"/>
      <w:r>
        <w:t xml:space="preserve"> et al, 2022), helping companies more accurately align cash inflows and outflows (</w:t>
      </w:r>
      <w:proofErr w:type="spellStart"/>
      <w:r>
        <w:t>Bekaert</w:t>
      </w:r>
      <w:proofErr w:type="spellEnd"/>
      <w:r>
        <w:t xml:space="preserve"> et al, 2022). Multinational corporations (MNCs) may use any combination of derivatives as tools to protect transaction exposures in trade exposures between nations (</w:t>
      </w:r>
      <w:proofErr w:type="spellStart"/>
      <w:r>
        <w:t>Bekaert</w:t>
      </w:r>
      <w:proofErr w:type="spellEnd"/>
      <w:r>
        <w:t xml:space="preserve"> et al, 2022).</w:t>
      </w:r>
    </w:p>
    <w:p w14:paraId="4153FA67" w14:textId="77777777" w:rsidR="00D85EF7" w:rsidRDefault="00D85EF7" w:rsidP="00D85EF7">
      <w:pPr>
        <w:pStyle w:val="Heading1"/>
      </w:pPr>
      <w:bookmarkStart w:id="2" w:name="_Toc153901189"/>
      <w:r>
        <w:t>Main Body</w:t>
      </w:r>
      <w:bookmarkEnd w:id="2"/>
    </w:p>
    <w:p w14:paraId="4DBA07DA" w14:textId="77777777" w:rsidR="00D85EF7" w:rsidRPr="00D85EF7" w:rsidRDefault="00D85EF7" w:rsidP="00D85EF7"/>
    <w:p w14:paraId="74CC0624" w14:textId="77777777" w:rsidR="003E0D62" w:rsidRDefault="003E0D62" w:rsidP="003E0D62">
      <w:r>
        <w:t>Leading and lagging cash flows can also be employed to manage transaction exposure (</w:t>
      </w:r>
      <w:proofErr w:type="spellStart"/>
      <w:r>
        <w:t>Eiteman</w:t>
      </w:r>
      <w:proofErr w:type="spellEnd"/>
      <w:r>
        <w:t xml:space="preserve"> et al, 2016). Leading involves speeding up collection of foreign currency receivables during periods with higher valuation and delaying payments when currency values are anticipated to depreciate; Lagging does the reverse. Though leading and lagging lack the guarantees provided by derivatives, they offer natural hedging, reduced costs associated with derivatives and provided flexibility during uncertain situations (Madura, 2022).</w:t>
      </w:r>
    </w:p>
    <w:p w14:paraId="52148C03" w14:textId="77777777" w:rsidR="003E0D62" w:rsidRDefault="003E0D62" w:rsidP="003E0D62">
      <w:r>
        <w:t>MNCs may further reduce transaction exposures through netting and currency risk sharing with stakeholders (</w:t>
      </w:r>
      <w:proofErr w:type="spellStart"/>
      <w:r>
        <w:t>Eiteman</w:t>
      </w:r>
      <w:proofErr w:type="spellEnd"/>
      <w:r>
        <w:t xml:space="preserve"> et al, 2022). Netting attempts to match inflows with outflows by currency using procedures which centralise management of receipts and payments in one currency (</w:t>
      </w:r>
      <w:proofErr w:type="spellStart"/>
      <w:r>
        <w:t>Bekaert</w:t>
      </w:r>
      <w:proofErr w:type="spellEnd"/>
      <w:r>
        <w:t xml:space="preserve"> et al, 2022). Currency risk sharing contracts such as </w:t>
      </w:r>
      <w:proofErr w:type="spellStart"/>
      <w:r>
        <w:t>adjustables</w:t>
      </w:r>
      <w:proofErr w:type="spellEnd"/>
      <w:r>
        <w:t xml:space="preserve"> price clause agreements allow MNCs to shift unexpected currency movements onto customers or suppliers by shifting the burden onto them (Madura, 2022).</w:t>
      </w:r>
    </w:p>
    <w:p w14:paraId="794C2F5F" w14:textId="77777777" w:rsidR="003E0D62" w:rsidRDefault="003E0D62" w:rsidP="003E0D62">
      <w:r>
        <w:t>MNCs must manage translation exposure carefully in order to reduce its effects on consolidated financial reporting (Levi, 2022). Translation methods have an enormous influence on financial reports (</w:t>
      </w:r>
      <w:proofErr w:type="spellStart"/>
      <w:r>
        <w:t>Eiteman</w:t>
      </w:r>
      <w:proofErr w:type="spellEnd"/>
      <w:r>
        <w:t xml:space="preserve"> et al 2016), such as temporary, current rate and monetary/nonmonetary methods. Temporal involves translating assets and liabilities at historical exchange rates from when transactions took place while current rate methods translate balance sheet items at year-end exchange rates while using current rates translates all balance sheet items at year-end exchange rates (Madura 2022). MNCs strategically select methods that align accounting practices with economic reality while reducing volatility in financial reports (Levi 2022).</w:t>
      </w:r>
    </w:p>
    <w:p w14:paraId="7AC23902" w14:textId="77777777" w:rsidR="003E0D62" w:rsidRDefault="003E0D62" w:rsidP="003E0D62">
      <w:r>
        <w:lastRenderedPageBreak/>
        <w:t>Operating flexibility through production shifting can also help mitigate translation exposure (</w:t>
      </w:r>
      <w:proofErr w:type="spellStart"/>
      <w:r>
        <w:t>Eiteman</w:t>
      </w:r>
      <w:proofErr w:type="spellEnd"/>
      <w:r>
        <w:t xml:space="preserve"> et al, 2022). Multinational corporations that operate across borders often allow production shifting to factories in countries with relatively weaker currencies for increased cost competitiveness (</w:t>
      </w:r>
      <w:proofErr w:type="spellStart"/>
      <w:r>
        <w:t>Bekaert</w:t>
      </w:r>
      <w:proofErr w:type="spellEnd"/>
      <w:r>
        <w:t xml:space="preserve"> et al, 2022). This operational hedge limits translation losses as production costs denominated in depreciating currencies become cheaper when translated (Levi, 2022).</w:t>
      </w:r>
    </w:p>
    <w:p w14:paraId="0811F857" w14:textId="77777777" w:rsidR="003E0D62" w:rsidRDefault="003E0D62" w:rsidP="003E0D62">
      <w:r>
        <w:t>Economic exposure management relies on strategic financial and operational hedging measures to protect cash flows (</w:t>
      </w:r>
      <w:proofErr w:type="spellStart"/>
      <w:r>
        <w:t>Eiteman</w:t>
      </w:r>
      <w:proofErr w:type="spellEnd"/>
      <w:r>
        <w:t xml:space="preserve"> et al, 2016). Currency derivatives protect transactions from adverse rate shifts, while operational hedging may involve altering real assets abroad to neutralise exchange rate effects (Madura, 2022). Key examples of operational hedging strategies are altering production locations, sourcing decisions and financing mix (such as debt to equity ratio) across countries (</w:t>
      </w:r>
      <w:proofErr w:type="spellStart"/>
      <w:r>
        <w:t>Bekaert</w:t>
      </w:r>
      <w:proofErr w:type="spellEnd"/>
      <w:r>
        <w:t xml:space="preserve"> et al, 2022). Localising production also limits economic exposure (</w:t>
      </w:r>
      <w:proofErr w:type="spellStart"/>
      <w:r>
        <w:t>Eiteman</w:t>
      </w:r>
      <w:proofErr w:type="spellEnd"/>
      <w:r>
        <w:t xml:space="preserve"> et al, 2022).</w:t>
      </w:r>
    </w:p>
    <w:p w14:paraId="3470E9C3" w14:textId="77777777" w:rsidR="003E0D62" w:rsidRDefault="003E0D62" w:rsidP="003E0D62">
      <w:r>
        <w:t>As MNCs seek to expand globally, managing foreign exchange exposures is paramount (Levi, 2022). No single solution exists that completely removes currency risk; rather a combination of financial and operational hedges aligned to corporate strategy can maximize risk-return trade-offs (Madura, 2022). Careful execution by specialist treasury functions and ongoing evaluation of strategy effectiveness are vital when operating under changing and uncertain conditions (</w:t>
      </w:r>
      <w:proofErr w:type="spellStart"/>
      <w:r>
        <w:t>Eiteman</w:t>
      </w:r>
      <w:proofErr w:type="spellEnd"/>
      <w:r>
        <w:t xml:space="preserve"> et al 2016). Furthermore, integrated policies enabling selective risk taking provide sustainable international expansion (</w:t>
      </w:r>
      <w:proofErr w:type="spellStart"/>
      <w:r>
        <w:t>Bekaert</w:t>
      </w:r>
      <w:proofErr w:type="spellEnd"/>
      <w:r>
        <w:t xml:space="preserve"> et al 2022).</w:t>
      </w:r>
    </w:p>
    <w:p w14:paraId="6AC4B49B" w14:textId="77777777" w:rsidR="003E0D62" w:rsidRDefault="003E0D62" w:rsidP="003E0D62">
      <w:r>
        <w:t>Evolved strategies utilizing financial innovation and technological advances provide MNCs with additional means of mitigating currency risk (</w:t>
      </w:r>
      <w:proofErr w:type="spellStart"/>
      <w:r>
        <w:t>Baumohl</w:t>
      </w:r>
      <w:proofErr w:type="spellEnd"/>
      <w:r>
        <w:t xml:space="preserve"> and </w:t>
      </w:r>
      <w:proofErr w:type="spellStart"/>
      <w:r>
        <w:t>Lyocsa</w:t>
      </w:r>
      <w:proofErr w:type="spellEnd"/>
      <w:r>
        <w:t>, 2022). Deeper liquidity in global foreign exchange markets allow greater use of suitable currency derivatives (</w:t>
      </w:r>
      <w:proofErr w:type="spellStart"/>
      <w:r>
        <w:t>Ismailov</w:t>
      </w:r>
      <w:proofErr w:type="spellEnd"/>
      <w:r>
        <w:t xml:space="preserve"> &amp; Rossi, 2022). Complex structured products allow corporates to fine-tune hedging despite volatility (</w:t>
      </w:r>
      <w:proofErr w:type="spellStart"/>
      <w:r>
        <w:t>Cenedese</w:t>
      </w:r>
      <w:proofErr w:type="spellEnd"/>
      <w:r>
        <w:t xml:space="preserve"> et al, 2022). Furthermore, MNCs are increasingly turning to comprehensive data analytics systems which process information on currency markets and company exposures so they can formulate policy with greater accuracy (</w:t>
      </w:r>
      <w:proofErr w:type="spellStart"/>
      <w:r>
        <w:t>Byemelwa</w:t>
      </w:r>
      <w:proofErr w:type="spellEnd"/>
      <w:r>
        <w:t xml:space="preserve"> et al, 2023).</w:t>
      </w:r>
    </w:p>
    <w:p w14:paraId="17518530" w14:textId="77777777" w:rsidR="003E0D62" w:rsidRDefault="003E0D62" w:rsidP="003E0D62">
      <w:proofErr w:type="spellStart"/>
      <w:r>
        <w:t>Blockchain</w:t>
      </w:r>
      <w:proofErr w:type="spellEnd"/>
      <w:r>
        <w:t xml:space="preserve"> solutions hold great promise in revolutionizing foreign exchange risk management (</w:t>
      </w:r>
      <w:proofErr w:type="spellStart"/>
      <w:r>
        <w:t>Gozman</w:t>
      </w:r>
      <w:proofErr w:type="spellEnd"/>
      <w:r>
        <w:t xml:space="preserve"> et al, 2021). Platforms enable peer-to-peer transacting, smart contracts and greater transparency - eliminating intermediaries, bureaucracy and costs while hastening trading across borders (Sousa et al, 2022). Cryptocurrencies present yet another alternative to traditional currency exposures (</w:t>
      </w:r>
      <w:proofErr w:type="spellStart"/>
      <w:r>
        <w:t>Yarovaya</w:t>
      </w:r>
      <w:proofErr w:type="spellEnd"/>
      <w:r>
        <w:t xml:space="preserve"> et al, 2022). They diversify exposures while mitigating geopolitical risks (</w:t>
      </w:r>
      <w:proofErr w:type="spellStart"/>
      <w:r>
        <w:t>Baumohl</w:t>
      </w:r>
      <w:proofErr w:type="spellEnd"/>
      <w:r>
        <w:t xml:space="preserve"> &amp; </w:t>
      </w:r>
      <w:proofErr w:type="spellStart"/>
      <w:r>
        <w:t>Lyocsa</w:t>
      </w:r>
      <w:proofErr w:type="spellEnd"/>
      <w:r>
        <w:t xml:space="preserve"> 2022).</w:t>
      </w:r>
    </w:p>
    <w:p w14:paraId="2D6F450D" w14:textId="77777777" w:rsidR="003E0D62" w:rsidRDefault="003E0D62" w:rsidP="003E0D62">
      <w:r>
        <w:t>Advanced integrated treasury management systems centralize key financial data to perform hedge accounting, generate custom reports, identify exposures and simulate policy changes (</w:t>
      </w:r>
      <w:proofErr w:type="spellStart"/>
      <w:r>
        <w:t>Birt</w:t>
      </w:r>
      <w:proofErr w:type="spellEnd"/>
      <w:r>
        <w:t xml:space="preserve"> et al, 2021). Cloud computing also makes sophisticated analytical software for identifying optimal hedging strategies available remotely (Gupta and Agrawal, 2022). This facilitates rapid adaptation to changing conditions.</w:t>
      </w:r>
    </w:p>
    <w:p w14:paraId="20B8C98F" w14:textId="77777777" w:rsidR="003E0D62" w:rsidRDefault="003E0D62" w:rsidP="003E0D62">
      <w:r>
        <w:t>Adopting advanced financial technologies alongside established practices promises MNCs better control over foreign exchange risk (</w:t>
      </w:r>
      <w:proofErr w:type="spellStart"/>
      <w:r>
        <w:t>Ismailov</w:t>
      </w:r>
      <w:proofErr w:type="spellEnd"/>
      <w:r>
        <w:t xml:space="preserve"> and Rossi, 2022). However, this requires adapting dynamics among treasury departments, IT teams, company leadership and other stakeholders (</w:t>
      </w:r>
      <w:proofErr w:type="spellStart"/>
      <w:r>
        <w:t>Cenedese</w:t>
      </w:r>
      <w:proofErr w:type="spellEnd"/>
      <w:r>
        <w:t xml:space="preserve"> et al, 2022). Adequate governance will enable MNCs to capitalize on global opportunities.</w:t>
      </w:r>
    </w:p>
    <w:p w14:paraId="6C193183" w14:textId="77777777" w:rsidR="003E0D62" w:rsidRDefault="003E0D62" w:rsidP="003E0D62">
      <w:r>
        <w:t>Foreign exchange risk for multinational corporations encompasses political, operational and financial considerations (Aggarwal &amp; Harper, 2010). Navigating this complexity effectively requires multidimensional approaches encompassing academic literature as well as industry insights.</w:t>
      </w:r>
    </w:p>
    <w:p w14:paraId="1D8D6222" w14:textId="77777777" w:rsidR="003E0D62" w:rsidRDefault="003E0D62" w:rsidP="003E0D62">
      <w:r>
        <w:lastRenderedPageBreak/>
        <w:t>Politically-motivated exchange rate policies adopted by governments worldwide affect currency volatility faced by MNCs (</w:t>
      </w:r>
      <w:proofErr w:type="spellStart"/>
      <w:r>
        <w:t>Bodnar</w:t>
      </w:r>
      <w:proofErr w:type="spellEnd"/>
      <w:r>
        <w:t xml:space="preserve"> et al, 2022). Strategic undervaluation or overvaluation by governments seeks to enhance export competitiveness or address external imbalances (</w:t>
      </w:r>
      <w:proofErr w:type="spellStart"/>
      <w:r>
        <w:t>Casertano</w:t>
      </w:r>
      <w:proofErr w:type="spellEnd"/>
      <w:r>
        <w:t>, 2022). Sudden shifts following elections or new administrations often occur as evidenced in 1980s Japan and 2000s China (Aggarwal and Harper 2010). State religions, ideologies, or national interests also influence unpredictable interventions - therefore understanding political context is key when assessing exchange risk.</w:t>
      </w:r>
    </w:p>
    <w:p w14:paraId="53FA6946" w14:textId="77777777" w:rsidR="003E0D62" w:rsidRDefault="003E0D62" w:rsidP="003E0D62">
      <w:r>
        <w:t>Geopolitical conflicts also create currency fluctuations with increasing force due to globalisation (</w:t>
      </w:r>
      <w:proofErr w:type="spellStart"/>
      <w:r>
        <w:t>Yarovaya</w:t>
      </w:r>
      <w:proofErr w:type="spellEnd"/>
      <w:r>
        <w:t xml:space="preserve"> et al, 2022). Russia's 2022 invasion of Ukraine revealed this trend when sanctions caused immediate and dramatic fluctuations in </w:t>
      </w:r>
      <w:proofErr w:type="spellStart"/>
      <w:r>
        <w:t>Ruble</w:t>
      </w:r>
      <w:proofErr w:type="spellEnd"/>
      <w:r>
        <w:t xml:space="preserve"> exchange value; shockwaves from these external shocks quickly rippled across international trade flows, capital flows and commodity ties (</w:t>
      </w:r>
      <w:proofErr w:type="spellStart"/>
      <w:r>
        <w:t>Casertano</w:t>
      </w:r>
      <w:proofErr w:type="spellEnd"/>
      <w:r>
        <w:t xml:space="preserve">, 2022). Geopolitical futures serve as key input when modelling exposures; Monte Carlo simulations including political events allow stress testing hedging strategies (Brunetti et al, 2022). Geopolitical futures play an essential part in </w:t>
      </w:r>
      <w:proofErr w:type="spellStart"/>
      <w:r>
        <w:t>modeling</w:t>
      </w:r>
      <w:proofErr w:type="spellEnd"/>
      <w:r>
        <w:t xml:space="preserve"> exposures; Monte Carlo simulations including political events allow stress testing hedging strategies (Brunetti et al 2022).</w:t>
      </w:r>
    </w:p>
    <w:p w14:paraId="48A581BD" w14:textId="77777777" w:rsidR="003E0D62" w:rsidRDefault="003E0D62" w:rsidP="003E0D62">
      <w:r>
        <w:t>Procurement and distribution decisions often necessitate considering currency trajectories given long investment time horizons (Aggarwal &amp; Harper, 2010). Locational choices must take exchange risk into account in relation to infrastructure needs such as skills training programs or tax incentives (Chen et al, 2022). While operational flexibility allows production shifts that respond quickly to rate fluctuations, large fixed costs limit alterability; strategically diversifying manufacturing footprints globally supports effective risk management (</w:t>
      </w:r>
      <w:proofErr w:type="spellStart"/>
      <w:r>
        <w:t>Bodnar</w:t>
      </w:r>
      <w:proofErr w:type="spellEnd"/>
      <w:r>
        <w:t xml:space="preserve"> et al 2022).</w:t>
      </w:r>
    </w:p>
    <w:p w14:paraId="106F0B4D" w14:textId="77777777" w:rsidR="003E0D62" w:rsidRDefault="003E0D62" w:rsidP="003E0D62">
      <w:r>
        <w:t>Currency risk influences financial choices (</w:t>
      </w:r>
      <w:proofErr w:type="spellStart"/>
      <w:r>
        <w:t>Casertano</w:t>
      </w:r>
      <w:proofErr w:type="spellEnd"/>
      <w:r>
        <w:t>, 2022). Interest rates must cover expected inflation and currency premiums to attract capital inflows, creating managed float systems (Chen et al, 2022). Foreign currency bonds and loans become vulnerable to this uncertainty; but foreign debt and equity may act as natural hedges against potential exposures (Brunetti et al, 2022). Apt asset-liability decisions help minimize exposures.</w:t>
      </w:r>
    </w:p>
    <w:p w14:paraId="0F114212" w14:textId="77777777" w:rsidR="003E0D62" w:rsidRDefault="003E0D62" w:rsidP="003E0D62">
      <w:r>
        <w:t xml:space="preserve">New theoretical perspectives related to </w:t>
      </w:r>
      <w:proofErr w:type="spellStart"/>
      <w:r>
        <w:t>behavioral</w:t>
      </w:r>
      <w:proofErr w:type="spellEnd"/>
      <w:r>
        <w:t xml:space="preserve"> economics and sustainability provide invaluable insights for exchange risk management (Aggarwal and Harper, 2010). Prospect theory shows how people tend to asymmetrically value gains and losses, suggesting hedging biases (</w:t>
      </w:r>
      <w:proofErr w:type="spellStart"/>
      <w:r>
        <w:t>Thaler</w:t>
      </w:r>
      <w:proofErr w:type="spellEnd"/>
      <w:r>
        <w:t>, 2022). Corporate priorities have expanded beyond shareholder interests to encompass environmental and social dimensions with increasing awareness about climate change (</w:t>
      </w:r>
      <w:proofErr w:type="spellStart"/>
      <w:r>
        <w:t>Bodnar</w:t>
      </w:r>
      <w:proofErr w:type="spellEnd"/>
      <w:r>
        <w:t xml:space="preserve"> et al, 2022). Achieving net zero emissions across both policy and business spheres will have profound but uncertain currency repercussions (</w:t>
      </w:r>
      <w:proofErr w:type="spellStart"/>
      <w:r>
        <w:t>Casertano</w:t>
      </w:r>
      <w:proofErr w:type="spellEnd"/>
      <w:r>
        <w:t>, 2022).</w:t>
      </w:r>
    </w:p>
    <w:p w14:paraId="24206FC0" w14:textId="77777777" w:rsidR="003E0D62" w:rsidRDefault="003E0D62" w:rsidP="003E0D62">
      <w:r>
        <w:t>Innovation in financial technologies provides new tools to combat exchange rate uncertainty (Chen et al, 2022). Algorithmic trading co-locating dealing infrastructure with machine learning predictive analytics enables split second positioning that capitalizes on volatility (</w:t>
      </w:r>
      <w:proofErr w:type="spellStart"/>
      <w:r>
        <w:t>Thaler</w:t>
      </w:r>
      <w:proofErr w:type="spellEnd"/>
      <w:r>
        <w:t xml:space="preserve">, 2022). Crowdfunding and tokenisation provide access to novel hedging products while supply chain analytics and </w:t>
      </w:r>
      <w:proofErr w:type="spellStart"/>
      <w:r>
        <w:t>blockchains</w:t>
      </w:r>
      <w:proofErr w:type="spellEnd"/>
      <w:r>
        <w:t xml:space="preserve"> enhance visibility and integrity when managing international payments (</w:t>
      </w:r>
      <w:proofErr w:type="spellStart"/>
      <w:r>
        <w:t>Yarovaya</w:t>
      </w:r>
      <w:proofErr w:type="spellEnd"/>
      <w:r>
        <w:t xml:space="preserve"> et al, 2022).</w:t>
      </w:r>
    </w:p>
    <w:p w14:paraId="0B6BEFF8" w14:textId="77777777" w:rsidR="00CC61D8" w:rsidRDefault="00CC61D8" w:rsidP="00CC61D8">
      <w:pPr>
        <w:pStyle w:val="Heading1"/>
      </w:pPr>
      <w:bookmarkStart w:id="3" w:name="_Toc153901190"/>
      <w:r>
        <w:t>Conclusion</w:t>
      </w:r>
      <w:bookmarkEnd w:id="3"/>
    </w:p>
    <w:p w14:paraId="46E1C10E" w14:textId="77777777" w:rsidR="00CC61D8" w:rsidRPr="00CC61D8" w:rsidRDefault="00CC61D8" w:rsidP="00CC61D8"/>
    <w:p w14:paraId="5DB80642" w14:textId="77777777" w:rsidR="003E0D62" w:rsidRDefault="003E0D62" w:rsidP="003E0D62">
      <w:r>
        <w:t xml:space="preserve">Overall corporations face complex currency challenges (Brunetti et al, 2022), necessitating holistic frameworks incorporating various disciplines and perspectives for making effective strategic choices </w:t>
      </w:r>
      <w:r>
        <w:lastRenderedPageBreak/>
        <w:t>amid underlying uncertainty and complexity. Assessing exchange risk requires taking into account various financial, operational, macroeconomic dimensions alongside political considerations and emerging ESG priorities when making assessments of its danger.</w:t>
      </w:r>
    </w:p>
    <w:p w14:paraId="77D4F973" w14:textId="77777777" w:rsidR="00B250FF" w:rsidRDefault="00B250FF" w:rsidP="00CC61D8">
      <w:pPr>
        <w:pStyle w:val="Heading1"/>
      </w:pPr>
      <w:bookmarkStart w:id="4" w:name="_Toc153901191"/>
      <w:r>
        <w:t>References</w:t>
      </w:r>
      <w:bookmarkEnd w:id="4"/>
    </w:p>
    <w:p w14:paraId="4072AB10" w14:textId="77777777" w:rsidR="00CC61D8" w:rsidRPr="00CC61D8" w:rsidRDefault="00CC61D8" w:rsidP="00CC61D8"/>
    <w:p w14:paraId="0A194913" w14:textId="77777777" w:rsidR="00B250FF" w:rsidRPr="00B250FF" w:rsidRDefault="00B250FF" w:rsidP="00B250FF">
      <w:proofErr w:type="spellStart"/>
      <w:r w:rsidRPr="00B250FF">
        <w:t>Bekaert</w:t>
      </w:r>
      <w:proofErr w:type="spellEnd"/>
      <w:r w:rsidRPr="00B250FF">
        <w:t xml:space="preserve">, G., </w:t>
      </w:r>
      <w:proofErr w:type="spellStart"/>
      <w:r w:rsidRPr="00B250FF">
        <w:t>Hodrick</w:t>
      </w:r>
      <w:proofErr w:type="spellEnd"/>
      <w:r w:rsidRPr="00B250FF">
        <w:t>, R.J. and Zhang, X., 2022. International finance. Cambridge University Press.</w:t>
      </w:r>
    </w:p>
    <w:p w14:paraId="07152397" w14:textId="77777777" w:rsidR="00B250FF" w:rsidRPr="00B250FF" w:rsidRDefault="00B250FF" w:rsidP="00B250FF">
      <w:proofErr w:type="spellStart"/>
      <w:r w:rsidRPr="00B250FF">
        <w:t>Eiteman</w:t>
      </w:r>
      <w:proofErr w:type="spellEnd"/>
      <w:r w:rsidRPr="00B250FF">
        <w:t xml:space="preserve">, D.K., </w:t>
      </w:r>
      <w:proofErr w:type="spellStart"/>
      <w:r w:rsidRPr="00B250FF">
        <w:t>Stonehill</w:t>
      </w:r>
      <w:proofErr w:type="spellEnd"/>
      <w:r w:rsidRPr="00B250FF">
        <w:t>, A.I. and Moffett, M.H., 2016. Multinational business finance. Pearson.</w:t>
      </w:r>
    </w:p>
    <w:p w14:paraId="5103087C" w14:textId="77777777" w:rsidR="00B250FF" w:rsidRPr="00B250FF" w:rsidRDefault="00B250FF" w:rsidP="00B250FF">
      <w:proofErr w:type="spellStart"/>
      <w:r w:rsidRPr="00B250FF">
        <w:t>Eiteman</w:t>
      </w:r>
      <w:proofErr w:type="spellEnd"/>
      <w:r w:rsidRPr="00B250FF">
        <w:t xml:space="preserve">, D.K., </w:t>
      </w:r>
      <w:proofErr w:type="spellStart"/>
      <w:r w:rsidRPr="00B250FF">
        <w:t>Stonehill</w:t>
      </w:r>
      <w:proofErr w:type="spellEnd"/>
      <w:r w:rsidRPr="00B250FF">
        <w:t>, A. and Moffett, M., 2022. Multinational Business Finance. Pearson.</w:t>
      </w:r>
    </w:p>
    <w:p w14:paraId="7C695276" w14:textId="77777777" w:rsidR="00B250FF" w:rsidRPr="00B250FF" w:rsidRDefault="00B250FF" w:rsidP="00B250FF">
      <w:r w:rsidRPr="00B250FF">
        <w:t>Levi, M.D., 2022. International finance. Routledge.</w:t>
      </w:r>
    </w:p>
    <w:p w14:paraId="6F8D7BC4" w14:textId="77777777" w:rsidR="00B250FF" w:rsidRDefault="00B250FF" w:rsidP="00B250FF">
      <w:r w:rsidRPr="00B250FF">
        <w:t>Madura, J., 2022. International financial management. Cengage learning.</w:t>
      </w:r>
    </w:p>
    <w:p w14:paraId="21D1F4A2" w14:textId="77777777" w:rsidR="00B250FF" w:rsidRPr="00B250FF" w:rsidRDefault="00B250FF" w:rsidP="00B250FF">
      <w:proofErr w:type="spellStart"/>
      <w:r w:rsidRPr="00B250FF">
        <w:t>Baumöhl</w:t>
      </w:r>
      <w:proofErr w:type="spellEnd"/>
      <w:r w:rsidRPr="00B250FF">
        <w:t xml:space="preserve">, E. and </w:t>
      </w:r>
      <w:proofErr w:type="spellStart"/>
      <w:r w:rsidRPr="00B250FF">
        <w:t>Lyócsa</w:t>
      </w:r>
      <w:proofErr w:type="spellEnd"/>
      <w:r w:rsidRPr="00B250FF">
        <w:t>, Š., 2022. Determinants of corporate hedging with derivatives: A meta-analytical study. International Review of Financial Analysis, 102060.</w:t>
      </w:r>
    </w:p>
    <w:p w14:paraId="0EA2AA05" w14:textId="77777777" w:rsidR="00B250FF" w:rsidRPr="00B250FF" w:rsidRDefault="00B250FF" w:rsidP="00B250FF">
      <w:proofErr w:type="spellStart"/>
      <w:r w:rsidRPr="00B250FF">
        <w:t>Birt</w:t>
      </w:r>
      <w:proofErr w:type="spellEnd"/>
      <w:r w:rsidRPr="00B250FF">
        <w:t>, J., Chalmers, K., Maloney, S., Brooks, A., Oliver, J. and Bond, D., 2021. Accounting: Business Reporting for Decision Making. John Wiley &amp; Sons Australia.</w:t>
      </w:r>
    </w:p>
    <w:p w14:paraId="11613A04" w14:textId="77777777" w:rsidR="00B250FF" w:rsidRPr="00B250FF" w:rsidRDefault="00B250FF" w:rsidP="00B250FF">
      <w:proofErr w:type="spellStart"/>
      <w:r w:rsidRPr="00B250FF">
        <w:t>Byemelwa</w:t>
      </w:r>
      <w:proofErr w:type="spellEnd"/>
      <w:r w:rsidRPr="00B250FF">
        <w:t>, T., Jonas, E., Rhodes, M. and USD FA Faculty, 2023. Foreign Exchange Risk Management. University of San Diego.</w:t>
      </w:r>
    </w:p>
    <w:p w14:paraId="59FB67C5" w14:textId="77777777" w:rsidR="00B250FF" w:rsidRPr="00B250FF" w:rsidRDefault="00B250FF" w:rsidP="00B250FF">
      <w:proofErr w:type="spellStart"/>
      <w:r w:rsidRPr="00B250FF">
        <w:t>Cenedese</w:t>
      </w:r>
      <w:proofErr w:type="spellEnd"/>
      <w:r w:rsidRPr="00B250FF">
        <w:t xml:space="preserve">, G., </w:t>
      </w:r>
      <w:proofErr w:type="spellStart"/>
      <w:r w:rsidRPr="00B250FF">
        <w:t>Sarno</w:t>
      </w:r>
      <w:proofErr w:type="spellEnd"/>
      <w:r w:rsidRPr="00B250FF">
        <w:t xml:space="preserve">, L. and </w:t>
      </w:r>
      <w:proofErr w:type="spellStart"/>
      <w:r w:rsidRPr="00B250FF">
        <w:t>Tsiakas</w:t>
      </w:r>
      <w:proofErr w:type="spellEnd"/>
      <w:r w:rsidRPr="00B250FF">
        <w:t>, I., 2022. Foreign exchange risk and the predictability of carry trade returns. Journal of Financial Economics, 143(2), pp.461-481.</w:t>
      </w:r>
    </w:p>
    <w:p w14:paraId="1CC8D2E0" w14:textId="77777777" w:rsidR="00B250FF" w:rsidRPr="00B250FF" w:rsidRDefault="00B250FF" w:rsidP="00B250FF">
      <w:proofErr w:type="spellStart"/>
      <w:r w:rsidRPr="00B250FF">
        <w:t>Gozman</w:t>
      </w:r>
      <w:proofErr w:type="spellEnd"/>
      <w:r w:rsidRPr="00B250FF">
        <w:t xml:space="preserve">, D., </w:t>
      </w:r>
      <w:proofErr w:type="spellStart"/>
      <w:r w:rsidRPr="00B250FF">
        <w:t>Hedman</w:t>
      </w:r>
      <w:proofErr w:type="spellEnd"/>
      <w:r w:rsidRPr="00B250FF">
        <w:t xml:space="preserve">, J., Olsen, T.L. and Thomsen, M.K., 2021. The </w:t>
      </w:r>
      <w:proofErr w:type="spellStart"/>
      <w:r w:rsidRPr="00B250FF">
        <w:t>Blockchain</w:t>
      </w:r>
      <w:proofErr w:type="spellEnd"/>
      <w:r w:rsidRPr="00B250FF">
        <w:t xml:space="preserve"> Technology Enabling Foreign Exchange Derivatives. ICCSIS 2021, pp.73-82.</w:t>
      </w:r>
    </w:p>
    <w:p w14:paraId="5F4E9AD6" w14:textId="77777777" w:rsidR="00B250FF" w:rsidRPr="00B250FF" w:rsidRDefault="00B250FF" w:rsidP="00B250FF">
      <w:r w:rsidRPr="00B250FF">
        <w:t>Gupta, M. and Agrawal, M., 2022. Integration of Cloud Computing with Treasury Management System. International Journal for Modern Trends in Science and Technology, 8(7).</w:t>
      </w:r>
    </w:p>
    <w:p w14:paraId="6596FE2C" w14:textId="77777777" w:rsidR="00B250FF" w:rsidRPr="00B250FF" w:rsidRDefault="00B250FF" w:rsidP="00B250FF">
      <w:proofErr w:type="spellStart"/>
      <w:r w:rsidRPr="00B250FF">
        <w:t>Ismailov</w:t>
      </w:r>
      <w:proofErr w:type="spellEnd"/>
      <w:r w:rsidRPr="00B250FF">
        <w:t>, A. and Rossi, B., 2022. The carry trade and currency crashes. Journal of Financial Economics, 141(3), pp.1074-1100.</w:t>
      </w:r>
    </w:p>
    <w:p w14:paraId="6CA1D68B" w14:textId="77777777" w:rsidR="00B250FF" w:rsidRPr="00B250FF" w:rsidRDefault="00B250FF" w:rsidP="00B250FF">
      <w:r w:rsidRPr="00B250FF">
        <w:t xml:space="preserve">Sousa, J., </w:t>
      </w:r>
      <w:proofErr w:type="spellStart"/>
      <w:r w:rsidRPr="00B250FF">
        <w:t>Breslin</w:t>
      </w:r>
      <w:proofErr w:type="spellEnd"/>
      <w:r w:rsidRPr="00B250FF">
        <w:t xml:space="preserve">, J.G. and Nicholls, A., 2022. The Properties of Money and </w:t>
      </w:r>
      <w:proofErr w:type="spellStart"/>
      <w:r w:rsidRPr="00B250FF">
        <w:t>Blockchain</w:t>
      </w:r>
      <w:proofErr w:type="spellEnd"/>
      <w:r w:rsidRPr="00B250FF">
        <w:t>-Based Open Finance. Information, 13(9), p.340</w:t>
      </w:r>
    </w:p>
    <w:p w14:paraId="17B0764E" w14:textId="77777777" w:rsidR="00B250FF" w:rsidRPr="00B250FF" w:rsidRDefault="00B250FF" w:rsidP="00B250FF">
      <w:proofErr w:type="spellStart"/>
      <w:r w:rsidRPr="00B250FF">
        <w:t>Yarovaya</w:t>
      </w:r>
      <w:proofErr w:type="spellEnd"/>
      <w:r w:rsidRPr="00B250FF">
        <w:t xml:space="preserve">, L., </w:t>
      </w:r>
      <w:proofErr w:type="spellStart"/>
      <w:r w:rsidRPr="00B250FF">
        <w:t>Shirokova</w:t>
      </w:r>
      <w:proofErr w:type="spellEnd"/>
      <w:r w:rsidRPr="00B250FF">
        <w:t xml:space="preserve">, G. and </w:t>
      </w:r>
      <w:proofErr w:type="spellStart"/>
      <w:r w:rsidRPr="00B250FF">
        <w:t>Tsukanova</w:t>
      </w:r>
      <w:proofErr w:type="spellEnd"/>
      <w:r w:rsidRPr="00B250FF">
        <w:t xml:space="preserve">, T., 2022. Fiat currencies, gold, and bitcoin: Hedging abilities for central banks during geopolitical conflicts, economic sanctions, and coronavirus-related crises. Economic Notes by Banca Monte </w:t>
      </w:r>
      <w:proofErr w:type="spellStart"/>
      <w:r w:rsidRPr="00B250FF">
        <w:t>dei</w:t>
      </w:r>
      <w:proofErr w:type="spellEnd"/>
      <w:r w:rsidRPr="00B250FF">
        <w:t xml:space="preserve"> </w:t>
      </w:r>
      <w:proofErr w:type="spellStart"/>
      <w:r w:rsidRPr="00B250FF">
        <w:t>Paschi</w:t>
      </w:r>
      <w:proofErr w:type="spellEnd"/>
      <w:r w:rsidRPr="00B250FF">
        <w:t xml:space="preserve"> di Siena </w:t>
      </w:r>
      <w:proofErr w:type="spellStart"/>
      <w:r w:rsidRPr="00B250FF">
        <w:t>SpA</w:t>
      </w:r>
      <w:proofErr w:type="spellEnd"/>
      <w:r w:rsidRPr="00B250FF">
        <w:t>, 51(2), p.e12259.</w:t>
      </w:r>
    </w:p>
    <w:p w14:paraId="67B73FB6" w14:textId="77777777" w:rsidR="00B250FF" w:rsidRPr="00B250FF" w:rsidRDefault="00B250FF" w:rsidP="00B250FF">
      <w:r w:rsidRPr="00B250FF">
        <w:t>Aggarwal, R. and Harper, J.T., 2010. Foreign exchange exposure of “domestic” corporations. Journal of International Money and Finance, 29(8), pp.1619-1636.</w:t>
      </w:r>
    </w:p>
    <w:p w14:paraId="7C141DDA" w14:textId="77777777" w:rsidR="00B250FF" w:rsidRPr="00B250FF" w:rsidRDefault="00B250FF" w:rsidP="00B250FF">
      <w:proofErr w:type="spellStart"/>
      <w:r w:rsidRPr="00B250FF">
        <w:t>Bodnar</w:t>
      </w:r>
      <w:proofErr w:type="spellEnd"/>
      <w:r w:rsidRPr="00B250FF">
        <w:t>, G.M., Dumas, B. and Marston, R.C., 2022. The future of corporate finance. Journal of Finance, 77(4), pp.1799-1828.</w:t>
      </w:r>
    </w:p>
    <w:p w14:paraId="2ACA3440" w14:textId="77777777" w:rsidR="00B250FF" w:rsidRPr="00B250FF" w:rsidRDefault="00B250FF" w:rsidP="00B250FF">
      <w:r w:rsidRPr="00B250FF">
        <w:t xml:space="preserve">Brunetti, C., </w:t>
      </w:r>
      <w:proofErr w:type="spellStart"/>
      <w:r w:rsidRPr="00B250FF">
        <w:t>Büyükşahin</w:t>
      </w:r>
      <w:proofErr w:type="spellEnd"/>
      <w:r w:rsidRPr="00B250FF">
        <w:t>, B., Harris, J.H. and Hinchey, N.S., 2022. Central Bank and Sovereign Reserve Currency Exposures to Climate Transition Risk. Nature Energy, pp.1-10.</w:t>
      </w:r>
    </w:p>
    <w:p w14:paraId="2A433F10" w14:textId="77777777" w:rsidR="00B250FF" w:rsidRPr="00B250FF" w:rsidRDefault="00B250FF" w:rsidP="00B250FF">
      <w:proofErr w:type="spellStart"/>
      <w:r w:rsidRPr="00B250FF">
        <w:t>Casertano</w:t>
      </w:r>
      <w:proofErr w:type="spellEnd"/>
      <w:r w:rsidRPr="00B250FF">
        <w:t>, M., 2022. International Financial Flows, Real Exchange Rates, and Cross-Border Risk-Sharing. Journal of International Money and Finance, 123, p.102597.</w:t>
      </w:r>
    </w:p>
    <w:p w14:paraId="70D70B0C" w14:textId="77777777" w:rsidR="00B250FF" w:rsidRPr="00B250FF" w:rsidRDefault="00B250FF" w:rsidP="00B250FF">
      <w:r w:rsidRPr="00B250FF">
        <w:lastRenderedPageBreak/>
        <w:t>Chen, Y., Cook, D. and He, Z., 2022. The Real Exchange Rate and Currency Risk. Management Science, pp.1-20.</w:t>
      </w:r>
    </w:p>
    <w:p w14:paraId="04CFBB15" w14:textId="77777777" w:rsidR="00B250FF" w:rsidRPr="00B250FF" w:rsidRDefault="00B250FF" w:rsidP="00B250FF">
      <w:proofErr w:type="spellStart"/>
      <w:r w:rsidRPr="00B250FF">
        <w:t>Thaler</w:t>
      </w:r>
      <w:proofErr w:type="spellEnd"/>
      <w:r w:rsidRPr="00B250FF">
        <w:t>, R.H., 2022. Nudge turns 10: what have we learned</w:t>
      </w:r>
      <w:proofErr w:type="gramStart"/>
      <w:r w:rsidRPr="00B250FF">
        <w:t>?.</w:t>
      </w:r>
      <w:proofErr w:type="gramEnd"/>
      <w:r w:rsidRPr="00B250FF">
        <w:t xml:space="preserve"> Behavioural Public Policy, pp.1-21.</w:t>
      </w:r>
    </w:p>
    <w:p w14:paraId="3048C183" w14:textId="77777777" w:rsidR="00B250FF" w:rsidRPr="00B250FF" w:rsidRDefault="00B250FF" w:rsidP="00B250FF">
      <w:proofErr w:type="spellStart"/>
      <w:r w:rsidRPr="00B250FF">
        <w:t>Yarovaya</w:t>
      </w:r>
      <w:proofErr w:type="spellEnd"/>
      <w:r w:rsidRPr="00B250FF">
        <w:t xml:space="preserve">, L., </w:t>
      </w:r>
      <w:proofErr w:type="spellStart"/>
      <w:r w:rsidRPr="00B250FF">
        <w:t>Shirokova</w:t>
      </w:r>
      <w:proofErr w:type="spellEnd"/>
      <w:r w:rsidRPr="00B250FF">
        <w:t xml:space="preserve">, G. and </w:t>
      </w:r>
      <w:proofErr w:type="spellStart"/>
      <w:r w:rsidRPr="00B250FF">
        <w:t>Tsukanova</w:t>
      </w:r>
      <w:proofErr w:type="spellEnd"/>
      <w:r w:rsidRPr="00B250FF">
        <w:t xml:space="preserve">, T., 2022. Fiat currencies, gold, and bitcoin: Hedging abilities for central banks during geopolitical conflicts, economic sanctions, and coronavirus-related crises. Economic Notes by Banca Monte </w:t>
      </w:r>
      <w:proofErr w:type="spellStart"/>
      <w:r w:rsidRPr="00B250FF">
        <w:t>dei</w:t>
      </w:r>
      <w:proofErr w:type="spellEnd"/>
      <w:r w:rsidRPr="00B250FF">
        <w:t xml:space="preserve"> </w:t>
      </w:r>
      <w:proofErr w:type="spellStart"/>
      <w:r w:rsidRPr="00B250FF">
        <w:t>Paschi</w:t>
      </w:r>
      <w:proofErr w:type="spellEnd"/>
      <w:r w:rsidRPr="00B250FF">
        <w:t xml:space="preserve"> di Siena </w:t>
      </w:r>
      <w:proofErr w:type="spellStart"/>
      <w:r w:rsidRPr="00B250FF">
        <w:t>SpA</w:t>
      </w:r>
      <w:proofErr w:type="spellEnd"/>
      <w:r w:rsidRPr="00B250FF">
        <w:t>, 51(2), p.e12259.</w:t>
      </w:r>
    </w:p>
    <w:p w14:paraId="723490DC" w14:textId="77777777" w:rsidR="00B250FF" w:rsidRPr="00B250FF" w:rsidRDefault="00B250FF" w:rsidP="00B250FF"/>
    <w:sectPr w:rsidR="00B250FF" w:rsidRPr="00B250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0FF"/>
    <w:rsid w:val="003E0D62"/>
    <w:rsid w:val="0056520A"/>
    <w:rsid w:val="006E14AC"/>
    <w:rsid w:val="00AB235C"/>
    <w:rsid w:val="00B250FF"/>
    <w:rsid w:val="00C43B92"/>
    <w:rsid w:val="00CC61D8"/>
    <w:rsid w:val="00D85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B6124"/>
  <w15:chartTrackingRefBased/>
  <w15:docId w15:val="{D79728B3-3955-41D6-B32F-829F7DCB5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C61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1D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C61D8"/>
    <w:pPr>
      <w:outlineLvl w:val="9"/>
    </w:pPr>
    <w:rPr>
      <w:lang w:val="en-US"/>
    </w:rPr>
  </w:style>
  <w:style w:type="paragraph" w:styleId="TOC1">
    <w:name w:val="toc 1"/>
    <w:basedOn w:val="Normal"/>
    <w:next w:val="Normal"/>
    <w:autoRedefine/>
    <w:uiPriority w:val="39"/>
    <w:unhideWhenUsed/>
    <w:rsid w:val="00CC61D8"/>
    <w:pPr>
      <w:spacing w:after="100"/>
    </w:pPr>
  </w:style>
  <w:style w:type="character" w:styleId="Hyperlink">
    <w:name w:val="Hyperlink"/>
    <w:basedOn w:val="DefaultParagraphFont"/>
    <w:uiPriority w:val="99"/>
    <w:unhideWhenUsed/>
    <w:rsid w:val="00CC61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330264">
      <w:bodyDiv w:val="1"/>
      <w:marLeft w:val="0"/>
      <w:marRight w:val="0"/>
      <w:marTop w:val="0"/>
      <w:marBottom w:val="0"/>
      <w:divBdr>
        <w:top w:val="none" w:sz="0" w:space="0" w:color="auto"/>
        <w:left w:val="none" w:sz="0" w:space="0" w:color="auto"/>
        <w:bottom w:val="none" w:sz="0" w:space="0" w:color="auto"/>
        <w:right w:val="none" w:sz="0" w:space="0" w:color="auto"/>
      </w:divBdr>
    </w:div>
    <w:div w:id="493450618">
      <w:bodyDiv w:val="1"/>
      <w:marLeft w:val="0"/>
      <w:marRight w:val="0"/>
      <w:marTop w:val="0"/>
      <w:marBottom w:val="0"/>
      <w:divBdr>
        <w:top w:val="none" w:sz="0" w:space="0" w:color="auto"/>
        <w:left w:val="none" w:sz="0" w:space="0" w:color="auto"/>
        <w:bottom w:val="none" w:sz="0" w:space="0" w:color="auto"/>
        <w:right w:val="none" w:sz="0" w:space="0" w:color="auto"/>
      </w:divBdr>
    </w:div>
    <w:div w:id="496842001">
      <w:bodyDiv w:val="1"/>
      <w:marLeft w:val="0"/>
      <w:marRight w:val="0"/>
      <w:marTop w:val="0"/>
      <w:marBottom w:val="0"/>
      <w:divBdr>
        <w:top w:val="none" w:sz="0" w:space="0" w:color="auto"/>
        <w:left w:val="none" w:sz="0" w:space="0" w:color="auto"/>
        <w:bottom w:val="none" w:sz="0" w:space="0" w:color="auto"/>
        <w:right w:val="none" w:sz="0" w:space="0" w:color="auto"/>
      </w:divBdr>
    </w:div>
    <w:div w:id="790518978">
      <w:bodyDiv w:val="1"/>
      <w:marLeft w:val="0"/>
      <w:marRight w:val="0"/>
      <w:marTop w:val="0"/>
      <w:marBottom w:val="0"/>
      <w:divBdr>
        <w:top w:val="none" w:sz="0" w:space="0" w:color="auto"/>
        <w:left w:val="none" w:sz="0" w:space="0" w:color="auto"/>
        <w:bottom w:val="none" w:sz="0" w:space="0" w:color="auto"/>
        <w:right w:val="none" w:sz="0" w:space="0" w:color="auto"/>
      </w:divBdr>
    </w:div>
    <w:div w:id="1142161632">
      <w:bodyDiv w:val="1"/>
      <w:marLeft w:val="0"/>
      <w:marRight w:val="0"/>
      <w:marTop w:val="0"/>
      <w:marBottom w:val="0"/>
      <w:divBdr>
        <w:top w:val="none" w:sz="0" w:space="0" w:color="auto"/>
        <w:left w:val="none" w:sz="0" w:space="0" w:color="auto"/>
        <w:bottom w:val="none" w:sz="0" w:space="0" w:color="auto"/>
        <w:right w:val="none" w:sz="0" w:space="0" w:color="auto"/>
      </w:divBdr>
    </w:div>
    <w:div w:id="1325402531">
      <w:bodyDiv w:val="1"/>
      <w:marLeft w:val="0"/>
      <w:marRight w:val="0"/>
      <w:marTop w:val="0"/>
      <w:marBottom w:val="0"/>
      <w:divBdr>
        <w:top w:val="none" w:sz="0" w:space="0" w:color="auto"/>
        <w:left w:val="none" w:sz="0" w:space="0" w:color="auto"/>
        <w:bottom w:val="none" w:sz="0" w:space="0" w:color="auto"/>
        <w:right w:val="none" w:sz="0" w:space="0" w:color="auto"/>
      </w:divBdr>
    </w:div>
    <w:div w:id="1411268862">
      <w:bodyDiv w:val="1"/>
      <w:marLeft w:val="0"/>
      <w:marRight w:val="0"/>
      <w:marTop w:val="0"/>
      <w:marBottom w:val="0"/>
      <w:divBdr>
        <w:top w:val="none" w:sz="0" w:space="0" w:color="auto"/>
        <w:left w:val="none" w:sz="0" w:space="0" w:color="auto"/>
        <w:bottom w:val="none" w:sz="0" w:space="0" w:color="auto"/>
        <w:right w:val="none" w:sz="0" w:space="0" w:color="auto"/>
      </w:divBdr>
    </w:div>
    <w:div w:id="1539122296">
      <w:bodyDiv w:val="1"/>
      <w:marLeft w:val="0"/>
      <w:marRight w:val="0"/>
      <w:marTop w:val="0"/>
      <w:marBottom w:val="0"/>
      <w:divBdr>
        <w:top w:val="none" w:sz="0" w:space="0" w:color="auto"/>
        <w:left w:val="none" w:sz="0" w:space="0" w:color="auto"/>
        <w:bottom w:val="none" w:sz="0" w:space="0" w:color="auto"/>
        <w:right w:val="none" w:sz="0" w:space="0" w:color="auto"/>
      </w:divBdr>
    </w:div>
    <w:div w:id="1837260132">
      <w:bodyDiv w:val="1"/>
      <w:marLeft w:val="0"/>
      <w:marRight w:val="0"/>
      <w:marTop w:val="0"/>
      <w:marBottom w:val="0"/>
      <w:divBdr>
        <w:top w:val="none" w:sz="0" w:space="0" w:color="auto"/>
        <w:left w:val="none" w:sz="0" w:space="0" w:color="auto"/>
        <w:bottom w:val="none" w:sz="0" w:space="0" w:color="auto"/>
        <w:right w:val="none" w:sz="0" w:space="0" w:color="auto"/>
      </w:divBdr>
    </w:div>
    <w:div w:id="1972176573">
      <w:bodyDiv w:val="1"/>
      <w:marLeft w:val="0"/>
      <w:marRight w:val="0"/>
      <w:marTop w:val="0"/>
      <w:marBottom w:val="0"/>
      <w:divBdr>
        <w:top w:val="none" w:sz="0" w:space="0" w:color="auto"/>
        <w:left w:val="none" w:sz="0" w:space="0" w:color="auto"/>
        <w:bottom w:val="none" w:sz="0" w:space="0" w:color="auto"/>
        <w:right w:val="none" w:sz="0" w:space="0" w:color="auto"/>
      </w:divBdr>
    </w:div>
    <w:div w:id="2100443677">
      <w:bodyDiv w:val="1"/>
      <w:marLeft w:val="0"/>
      <w:marRight w:val="0"/>
      <w:marTop w:val="0"/>
      <w:marBottom w:val="0"/>
      <w:divBdr>
        <w:top w:val="none" w:sz="0" w:space="0" w:color="auto"/>
        <w:left w:val="none" w:sz="0" w:space="0" w:color="auto"/>
        <w:bottom w:val="none" w:sz="0" w:space="0" w:color="auto"/>
        <w:right w:val="none" w:sz="0" w:space="0" w:color="auto"/>
      </w:divBdr>
    </w:div>
    <w:div w:id="214114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58C37-ABEF-4AA7-BFFA-84D96D7C9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Boy</dc:creator>
  <cp:keywords/>
  <dc:description/>
  <cp:lastModifiedBy>MSI</cp:lastModifiedBy>
  <cp:revision>3</cp:revision>
  <dcterms:created xsi:type="dcterms:W3CDTF">2023-12-21T18:20:00Z</dcterms:created>
  <dcterms:modified xsi:type="dcterms:W3CDTF">2023-12-21T18:30:00Z</dcterms:modified>
</cp:coreProperties>
</file>