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17DCF62">
      <w:pPr>
        <w:pStyle w:val="10"/>
        <w:spacing w:line="360" w:lineRule="auto"/>
        <w:jc w:val="center"/>
        <w:rPr>
          <w:rFonts w:ascii="Arial" w:hAnsi="Arial" w:eastAsia="Calibri" w:cs="Arial"/>
          <w:b/>
        </w:rPr>
      </w:pPr>
      <w:bookmarkStart w:id="0" w:name="_d5vq1lwqexoo" w:colFirst="0" w:colLast="0"/>
      <w:bookmarkEnd w:id="0"/>
    </w:p>
    <w:p w14:paraId="3CE9B2E2">
      <w:pPr>
        <w:pStyle w:val="10"/>
        <w:spacing w:line="360" w:lineRule="auto"/>
        <w:jc w:val="center"/>
        <w:rPr>
          <w:rFonts w:ascii="Arial" w:hAnsi="Arial" w:eastAsia="Calibri" w:cs="Arial"/>
          <w:b/>
        </w:rPr>
      </w:pPr>
      <w:bookmarkStart w:id="1" w:name="_2ykoxgc9c6l6" w:colFirst="0" w:colLast="0"/>
      <w:bookmarkEnd w:id="1"/>
    </w:p>
    <w:p w14:paraId="09D188E4">
      <w:pPr>
        <w:pStyle w:val="10"/>
        <w:spacing w:line="360" w:lineRule="auto"/>
        <w:jc w:val="center"/>
        <w:rPr>
          <w:rFonts w:ascii="Arial" w:hAnsi="Arial" w:eastAsia="Calibri" w:cs="Arial"/>
          <w:b/>
        </w:rPr>
      </w:pPr>
      <w:bookmarkStart w:id="2" w:name="_440ad51mr96k" w:colFirst="0" w:colLast="0"/>
      <w:bookmarkEnd w:id="2"/>
    </w:p>
    <w:p w14:paraId="03B9AF33">
      <w:pPr>
        <w:pStyle w:val="10"/>
        <w:spacing w:line="360" w:lineRule="auto"/>
        <w:jc w:val="center"/>
        <w:rPr>
          <w:rFonts w:ascii="Arial" w:hAnsi="Arial" w:eastAsia="Calibri" w:cs="Arial"/>
          <w:b/>
        </w:rPr>
      </w:pPr>
      <w:bookmarkStart w:id="3" w:name="_lnb2st5n1kgy" w:colFirst="0" w:colLast="0"/>
      <w:bookmarkEnd w:id="3"/>
      <w:r>
        <w:rPr>
          <w:rFonts w:ascii="Arial" w:hAnsi="Arial" w:eastAsia="Calibri" w:cs="Arial"/>
          <w:b/>
        </w:rPr>
        <w:t>Marketing Environmental Analysis for Pioneers and Followers</w:t>
      </w:r>
    </w:p>
    <w:p w14:paraId="5422E45F">
      <w:pPr>
        <w:spacing w:line="360" w:lineRule="auto"/>
        <w:rPr>
          <w:rFonts w:ascii="Arial" w:hAnsi="Arial" w:eastAsia="Calibri" w:cs="Arial"/>
          <w:sz w:val="26"/>
          <w:szCs w:val="26"/>
        </w:rPr>
      </w:pPr>
    </w:p>
    <w:p w14:paraId="61339140">
      <w:pPr>
        <w:spacing w:line="360" w:lineRule="auto"/>
        <w:rPr>
          <w:rFonts w:ascii="Arial" w:hAnsi="Arial" w:eastAsia="Calibri" w:cs="Arial"/>
          <w:sz w:val="26"/>
          <w:szCs w:val="26"/>
        </w:rPr>
      </w:pPr>
    </w:p>
    <w:p w14:paraId="65A963BB">
      <w:pPr>
        <w:spacing w:line="360" w:lineRule="auto"/>
        <w:rPr>
          <w:rFonts w:ascii="Arial" w:hAnsi="Arial" w:eastAsia="Calibri" w:cs="Arial"/>
          <w:sz w:val="26"/>
          <w:szCs w:val="26"/>
        </w:rPr>
      </w:pPr>
    </w:p>
    <w:p w14:paraId="7472875E">
      <w:pPr>
        <w:spacing w:line="360" w:lineRule="auto"/>
        <w:rPr>
          <w:rFonts w:ascii="Arial" w:hAnsi="Arial" w:eastAsia="Calibri" w:cs="Arial"/>
          <w:sz w:val="26"/>
          <w:szCs w:val="26"/>
        </w:rPr>
      </w:pPr>
    </w:p>
    <w:p w14:paraId="6A00FE0A">
      <w:pPr>
        <w:spacing w:line="360" w:lineRule="auto"/>
        <w:rPr>
          <w:rFonts w:ascii="Arial" w:hAnsi="Arial" w:eastAsia="Calibri" w:cs="Arial"/>
          <w:sz w:val="26"/>
          <w:szCs w:val="26"/>
        </w:rPr>
      </w:pPr>
    </w:p>
    <w:p w14:paraId="35B53BE2">
      <w:pPr>
        <w:spacing w:line="360" w:lineRule="auto"/>
        <w:rPr>
          <w:rFonts w:ascii="Arial" w:hAnsi="Arial" w:eastAsia="Calibri" w:cs="Arial"/>
          <w:sz w:val="26"/>
          <w:szCs w:val="26"/>
        </w:rPr>
      </w:pPr>
      <w:r>
        <w:rPr>
          <w:rFonts w:ascii="Arial" w:hAnsi="Arial" w:eastAsia="Calibri" w:cs="Arial"/>
          <w:sz w:val="26"/>
          <w:szCs w:val="26"/>
        </w:rPr>
        <w:t xml:space="preserve">Module Name: Marketing Management  </w:t>
      </w:r>
    </w:p>
    <w:p w14:paraId="072D18BC">
      <w:pPr>
        <w:spacing w:line="360" w:lineRule="auto"/>
        <w:rPr>
          <w:rFonts w:ascii="Arial" w:hAnsi="Arial" w:eastAsia="Calibri" w:cs="Arial"/>
          <w:sz w:val="26"/>
          <w:szCs w:val="26"/>
        </w:rPr>
      </w:pPr>
      <w:r>
        <w:rPr>
          <w:rFonts w:ascii="Arial" w:hAnsi="Arial" w:eastAsia="Calibri" w:cs="Arial"/>
          <w:sz w:val="26"/>
          <w:szCs w:val="26"/>
        </w:rPr>
        <w:t>Assignment: Component 1</w:t>
      </w:r>
      <w:bookmarkStart w:id="26" w:name="_GoBack"/>
      <w:bookmarkEnd w:id="26"/>
    </w:p>
    <w:p w14:paraId="1E16C38D">
      <w:pPr>
        <w:spacing w:line="360" w:lineRule="auto"/>
        <w:rPr>
          <w:rFonts w:ascii="Arial" w:hAnsi="Arial" w:eastAsia="Calibri" w:cs="Arial"/>
          <w:sz w:val="26"/>
          <w:szCs w:val="26"/>
        </w:rPr>
      </w:pPr>
      <w:r>
        <w:rPr>
          <w:rFonts w:ascii="Arial" w:hAnsi="Arial" w:eastAsia="Calibri" w:cs="Arial"/>
          <w:sz w:val="26"/>
          <w:szCs w:val="26"/>
        </w:rPr>
        <w:t>Student ID: 2434582</w:t>
      </w:r>
    </w:p>
    <w:p w14:paraId="6C06B27B">
      <w:pPr>
        <w:spacing w:line="360" w:lineRule="auto"/>
        <w:rPr>
          <w:rFonts w:ascii="Arial" w:hAnsi="Arial" w:eastAsia="Calibri" w:cs="Arial"/>
        </w:rPr>
      </w:pPr>
      <w:r>
        <w:rPr>
          <w:rFonts w:ascii="Arial" w:hAnsi="Arial" w:cs="Arial"/>
        </w:rPr>
        <w:br w:type="page"/>
      </w:r>
    </w:p>
    <w:p w14:paraId="7D1002E1">
      <w:pPr>
        <w:spacing w:line="360" w:lineRule="auto"/>
        <w:jc w:val="left"/>
        <w:rPr>
          <w:rFonts w:ascii="Arial" w:hAnsi="Arial" w:eastAsia="Calibri" w:cs="Arial"/>
          <w:b/>
          <w:sz w:val="24"/>
          <w:szCs w:val="24"/>
        </w:rPr>
      </w:pPr>
      <w:r>
        <w:rPr>
          <w:rFonts w:ascii="Arial" w:hAnsi="Arial" w:eastAsia="Calibri" w:cs="Arial"/>
          <w:b/>
          <w:sz w:val="24"/>
          <w:szCs w:val="24"/>
        </w:rPr>
        <w:t>Table of Contents</w:t>
      </w:r>
    </w:p>
    <w:p w14:paraId="19B1E15C">
      <w:pPr>
        <w:widowControl w:val="0"/>
        <w:tabs>
          <w:tab w:val="right" w:pos="12000"/>
        </w:tabs>
        <w:spacing w:before="60" w:line="360" w:lineRule="auto"/>
        <w:rPr>
          <w:rFonts w:ascii="Arial" w:hAnsi="Arial" w:eastAsia="Calibri" w:cs="Arial"/>
          <w:b/>
          <w:color w:val="000000"/>
        </w:rPr>
      </w:pPr>
      <w:r>
        <w:rPr>
          <w:rFonts w:ascii="Arial" w:hAnsi="Arial" w:cs="Arial"/>
        </w:rPr>
        <w:fldChar w:fldCharType="begin"/>
      </w:r>
      <w:r>
        <w:rPr>
          <w:rFonts w:ascii="Arial" w:hAnsi="Arial" w:cs="Arial"/>
        </w:rPr>
        <w:instrText xml:space="preserve"> TOC \h \u \z \t "Heading 1,1,Heading 2,2,Heading 3,3,Heading 4,4,Heading 5,5,Heading 6,6,"</w:instrText>
      </w:r>
      <w:r>
        <w:rPr>
          <w:rFonts w:ascii="Arial" w:hAnsi="Arial" w:cs="Arial"/>
        </w:rPr>
        <w:fldChar w:fldCharType="separate"/>
      </w:r>
      <w:r>
        <w:fldChar w:fldCharType="begin"/>
      </w:r>
      <w:r>
        <w:instrText xml:space="preserve"> HYPERLINK \l "_5hqdosjxlkh1" </w:instrText>
      </w:r>
      <w:r>
        <w:fldChar w:fldCharType="separate"/>
      </w:r>
      <w:r>
        <w:rPr>
          <w:rFonts w:ascii="Arial" w:hAnsi="Arial" w:eastAsia="Calibri" w:cs="Arial"/>
          <w:b/>
          <w:color w:val="000000"/>
          <w:sz w:val="24"/>
          <w:szCs w:val="24"/>
        </w:rPr>
        <w:t>Introduction</w:t>
      </w:r>
      <w:r>
        <w:rPr>
          <w:rFonts w:ascii="Arial" w:hAnsi="Arial" w:eastAsia="Calibri" w:cs="Arial"/>
          <w:b/>
          <w:color w:val="000000"/>
          <w:sz w:val="24"/>
          <w:szCs w:val="24"/>
        </w:rPr>
        <w:tab/>
      </w:r>
      <w:r>
        <w:rPr>
          <w:rFonts w:ascii="Arial" w:hAnsi="Arial" w:eastAsia="Calibri" w:cs="Arial"/>
          <w:b/>
          <w:color w:val="000000"/>
          <w:sz w:val="24"/>
          <w:szCs w:val="24"/>
        </w:rPr>
        <w:t>3</w:t>
      </w:r>
      <w:r>
        <w:fldChar w:fldCharType="end"/>
      </w:r>
    </w:p>
    <w:p w14:paraId="3E0E3053">
      <w:pPr>
        <w:widowControl w:val="0"/>
        <w:tabs>
          <w:tab w:val="right" w:pos="12000"/>
        </w:tabs>
        <w:spacing w:before="60" w:line="360" w:lineRule="auto"/>
        <w:rPr>
          <w:rFonts w:ascii="Arial" w:hAnsi="Arial" w:eastAsia="Calibri" w:cs="Arial"/>
          <w:b/>
          <w:color w:val="000000"/>
        </w:rPr>
      </w:pPr>
      <w:r>
        <w:fldChar w:fldCharType="begin"/>
      </w:r>
      <w:r>
        <w:instrText xml:space="preserve"> HYPERLINK \l "_cq3qm8pmzb4i" </w:instrText>
      </w:r>
      <w:r>
        <w:fldChar w:fldCharType="separate"/>
      </w:r>
      <w:r>
        <w:rPr>
          <w:rFonts w:ascii="Arial" w:hAnsi="Arial" w:eastAsia="Calibri" w:cs="Arial"/>
          <w:b/>
          <w:color w:val="000000"/>
          <w:sz w:val="24"/>
          <w:szCs w:val="24"/>
        </w:rPr>
        <w:t>Task 1: Critical Analysis of the Macro Marketing Environment</w:t>
      </w:r>
      <w:r>
        <w:rPr>
          <w:rFonts w:ascii="Arial" w:hAnsi="Arial" w:eastAsia="Calibri" w:cs="Arial"/>
          <w:b/>
          <w:color w:val="000000"/>
          <w:sz w:val="24"/>
          <w:szCs w:val="24"/>
        </w:rPr>
        <w:tab/>
      </w:r>
      <w:r>
        <w:rPr>
          <w:rFonts w:ascii="Arial" w:hAnsi="Arial" w:eastAsia="Calibri" w:cs="Arial"/>
          <w:b/>
          <w:color w:val="000000"/>
          <w:sz w:val="24"/>
          <w:szCs w:val="24"/>
        </w:rPr>
        <w:t>3</w:t>
      </w:r>
      <w:r>
        <w:fldChar w:fldCharType="end"/>
      </w:r>
    </w:p>
    <w:p w14:paraId="214F905C">
      <w:pPr>
        <w:widowControl w:val="0"/>
        <w:tabs>
          <w:tab w:val="right" w:pos="12000"/>
        </w:tabs>
        <w:spacing w:before="60" w:line="360" w:lineRule="auto"/>
        <w:ind w:left="360"/>
        <w:rPr>
          <w:rFonts w:ascii="Arial" w:hAnsi="Arial" w:eastAsia="Calibri" w:cs="Arial"/>
          <w:color w:val="000000"/>
        </w:rPr>
      </w:pPr>
      <w:r>
        <w:fldChar w:fldCharType="begin"/>
      </w:r>
      <w:r>
        <w:instrText xml:space="preserve"> HYPERLINK \l "_sq9fwctd7spi" </w:instrText>
      </w:r>
      <w:r>
        <w:fldChar w:fldCharType="separate"/>
      </w:r>
      <w:r>
        <w:rPr>
          <w:rFonts w:ascii="Arial" w:hAnsi="Arial" w:eastAsia="Calibri" w:cs="Arial"/>
          <w:color w:val="000000"/>
          <w:sz w:val="24"/>
          <w:szCs w:val="24"/>
        </w:rPr>
        <w:t>1.1 Macro Factor 1: Technological Environment</w:t>
      </w:r>
      <w:r>
        <w:rPr>
          <w:rFonts w:ascii="Arial" w:hAnsi="Arial" w:eastAsia="Calibri" w:cs="Arial"/>
          <w:color w:val="000000"/>
          <w:sz w:val="24"/>
          <w:szCs w:val="24"/>
        </w:rPr>
        <w:tab/>
      </w:r>
      <w:r>
        <w:rPr>
          <w:rFonts w:ascii="Arial" w:hAnsi="Arial" w:eastAsia="Calibri" w:cs="Arial"/>
          <w:color w:val="000000"/>
          <w:sz w:val="24"/>
          <w:szCs w:val="24"/>
        </w:rPr>
        <w:t>3</w:t>
      </w:r>
      <w:r>
        <w:fldChar w:fldCharType="end"/>
      </w:r>
    </w:p>
    <w:p w14:paraId="0F38E02E">
      <w:pPr>
        <w:widowControl w:val="0"/>
        <w:tabs>
          <w:tab w:val="right" w:pos="12000"/>
        </w:tabs>
        <w:spacing w:before="60" w:line="360" w:lineRule="auto"/>
        <w:ind w:left="360"/>
        <w:rPr>
          <w:rFonts w:ascii="Arial" w:hAnsi="Arial" w:eastAsia="Calibri" w:cs="Arial"/>
          <w:color w:val="000000"/>
        </w:rPr>
      </w:pPr>
      <w:r>
        <w:fldChar w:fldCharType="begin"/>
      </w:r>
      <w:r>
        <w:instrText xml:space="preserve"> HYPERLINK \l "_tgrqobopcwo" </w:instrText>
      </w:r>
      <w:r>
        <w:fldChar w:fldCharType="separate"/>
      </w:r>
      <w:r>
        <w:rPr>
          <w:rFonts w:ascii="Arial" w:hAnsi="Arial" w:eastAsia="Calibri" w:cs="Arial"/>
          <w:color w:val="000000"/>
          <w:sz w:val="24"/>
          <w:szCs w:val="24"/>
        </w:rPr>
        <w:t>1.2 Macro Factor 2: Regulatory / Environmental Forces</w:t>
      </w:r>
      <w:r>
        <w:rPr>
          <w:rFonts w:ascii="Arial" w:hAnsi="Arial" w:eastAsia="Calibri" w:cs="Arial"/>
          <w:color w:val="000000"/>
          <w:sz w:val="24"/>
          <w:szCs w:val="24"/>
        </w:rPr>
        <w:tab/>
      </w:r>
      <w:r>
        <w:rPr>
          <w:rFonts w:ascii="Arial" w:hAnsi="Arial" w:eastAsia="Calibri" w:cs="Arial"/>
          <w:color w:val="000000"/>
          <w:sz w:val="24"/>
          <w:szCs w:val="24"/>
        </w:rPr>
        <w:t>7</w:t>
      </w:r>
      <w:r>
        <w:fldChar w:fldCharType="end"/>
      </w:r>
    </w:p>
    <w:p w14:paraId="19F8015B">
      <w:pPr>
        <w:widowControl w:val="0"/>
        <w:tabs>
          <w:tab w:val="right" w:pos="12000"/>
        </w:tabs>
        <w:spacing w:before="60" w:line="360" w:lineRule="auto"/>
        <w:rPr>
          <w:rFonts w:ascii="Arial" w:hAnsi="Arial" w:eastAsia="Calibri" w:cs="Arial"/>
          <w:b/>
          <w:color w:val="000000"/>
        </w:rPr>
      </w:pPr>
      <w:r>
        <w:fldChar w:fldCharType="begin"/>
      </w:r>
      <w:r>
        <w:instrText xml:space="preserve"> HYPERLINK \l "_ui2rnkb01i64" </w:instrText>
      </w:r>
      <w:r>
        <w:fldChar w:fldCharType="separate"/>
      </w:r>
      <w:r>
        <w:rPr>
          <w:rFonts w:ascii="Arial" w:hAnsi="Arial" w:eastAsia="Calibri" w:cs="Arial"/>
          <w:b/>
          <w:color w:val="000000"/>
          <w:sz w:val="24"/>
          <w:szCs w:val="24"/>
        </w:rPr>
        <w:t>Task 2: Strategic Evaluation of Responses</w:t>
      </w:r>
      <w:r>
        <w:rPr>
          <w:rFonts w:ascii="Arial" w:hAnsi="Arial" w:eastAsia="Calibri" w:cs="Arial"/>
          <w:b/>
          <w:color w:val="000000"/>
          <w:sz w:val="24"/>
          <w:szCs w:val="24"/>
        </w:rPr>
        <w:tab/>
      </w:r>
      <w:r>
        <w:rPr>
          <w:rFonts w:ascii="Arial" w:hAnsi="Arial" w:eastAsia="Calibri" w:cs="Arial"/>
          <w:b/>
          <w:color w:val="000000"/>
          <w:sz w:val="24"/>
          <w:szCs w:val="24"/>
        </w:rPr>
        <w:t>9</w:t>
      </w:r>
      <w:r>
        <w:fldChar w:fldCharType="end"/>
      </w:r>
    </w:p>
    <w:p w14:paraId="4C1A6261">
      <w:pPr>
        <w:widowControl w:val="0"/>
        <w:tabs>
          <w:tab w:val="right" w:pos="12000"/>
        </w:tabs>
        <w:spacing w:before="60" w:line="360" w:lineRule="auto"/>
        <w:ind w:left="360"/>
        <w:rPr>
          <w:rFonts w:ascii="Arial" w:hAnsi="Arial" w:eastAsia="Calibri" w:cs="Arial"/>
          <w:color w:val="000000"/>
        </w:rPr>
      </w:pPr>
      <w:r>
        <w:rPr>
          <w:rFonts w:ascii="Arial" w:hAnsi="Arial" w:eastAsia="Calibri" w:cs="Arial"/>
          <w:color w:val="000000"/>
          <w:sz w:val="24"/>
          <w:szCs w:val="24"/>
        </w:rPr>
        <w:t>2</w:t>
      </w:r>
      <w:r>
        <w:fldChar w:fldCharType="begin"/>
      </w:r>
      <w:r>
        <w:instrText xml:space="preserve"> HYPERLINK \l "_h31jb0dd2opp" </w:instrText>
      </w:r>
      <w:r>
        <w:fldChar w:fldCharType="separate"/>
      </w:r>
      <w:r>
        <w:rPr>
          <w:rFonts w:ascii="Arial" w:hAnsi="Arial" w:eastAsia="Calibri" w:cs="Arial"/>
          <w:color w:val="000000"/>
          <w:sz w:val="24"/>
          <w:szCs w:val="24"/>
        </w:rPr>
        <w:t>.1 Pioneering Organisations’ Strategic Responses</w:t>
      </w:r>
      <w:r>
        <w:rPr>
          <w:rFonts w:ascii="Arial" w:hAnsi="Arial" w:eastAsia="Calibri" w:cs="Arial"/>
          <w:color w:val="000000"/>
          <w:sz w:val="24"/>
          <w:szCs w:val="24"/>
        </w:rPr>
        <w:tab/>
      </w:r>
      <w:r>
        <w:rPr>
          <w:rFonts w:ascii="Arial" w:hAnsi="Arial" w:eastAsia="Calibri" w:cs="Arial"/>
          <w:color w:val="000000"/>
          <w:sz w:val="24"/>
          <w:szCs w:val="24"/>
        </w:rPr>
        <w:t>9</w:t>
      </w:r>
      <w:r>
        <w:fldChar w:fldCharType="end"/>
      </w:r>
    </w:p>
    <w:p w14:paraId="33AB2FED">
      <w:pPr>
        <w:widowControl w:val="0"/>
        <w:tabs>
          <w:tab w:val="right" w:pos="12000"/>
        </w:tabs>
        <w:spacing w:before="60" w:line="360" w:lineRule="auto"/>
        <w:ind w:left="360"/>
        <w:rPr>
          <w:rFonts w:ascii="Arial" w:hAnsi="Arial" w:eastAsia="Calibri" w:cs="Arial"/>
          <w:color w:val="000000"/>
        </w:rPr>
      </w:pPr>
      <w:r>
        <w:rPr>
          <w:rFonts w:ascii="Arial" w:hAnsi="Arial" w:eastAsia="Calibri" w:cs="Arial"/>
          <w:color w:val="000000"/>
          <w:sz w:val="24"/>
          <w:szCs w:val="24"/>
        </w:rPr>
        <w:t>2</w:t>
      </w:r>
      <w:r>
        <w:fldChar w:fldCharType="begin"/>
      </w:r>
      <w:r>
        <w:instrText xml:space="preserve"> HYPERLINK \l "_89jc38extu13" </w:instrText>
      </w:r>
      <w:r>
        <w:fldChar w:fldCharType="separate"/>
      </w:r>
      <w:r>
        <w:rPr>
          <w:rFonts w:ascii="Arial" w:hAnsi="Arial" w:eastAsia="Calibri" w:cs="Arial"/>
          <w:color w:val="000000"/>
          <w:sz w:val="24"/>
          <w:szCs w:val="24"/>
        </w:rPr>
        <w:t>.</w:t>
      </w:r>
      <w:r>
        <w:fldChar w:fldCharType="end"/>
      </w:r>
      <w:r>
        <w:fldChar w:fldCharType="begin"/>
      </w:r>
      <w:r>
        <w:instrText xml:space="preserve"> HYPERLINK \l "_89jc38extu13" </w:instrText>
      </w:r>
      <w:r>
        <w:fldChar w:fldCharType="separate"/>
      </w:r>
      <w:r>
        <w:rPr>
          <w:rFonts w:ascii="Arial" w:hAnsi="Arial" w:eastAsia="Calibri" w:cs="Arial"/>
          <w:sz w:val="24"/>
          <w:szCs w:val="24"/>
        </w:rPr>
        <w:t>2</w:t>
      </w:r>
      <w:r>
        <w:fldChar w:fldCharType="end"/>
      </w:r>
      <w:r>
        <w:fldChar w:fldCharType="begin"/>
      </w:r>
      <w:r>
        <w:instrText xml:space="preserve"> HYPERLINK \l "_89jc38extu13" </w:instrText>
      </w:r>
      <w:r>
        <w:fldChar w:fldCharType="separate"/>
      </w:r>
      <w:r>
        <w:rPr>
          <w:rFonts w:ascii="Arial" w:hAnsi="Arial" w:eastAsia="Calibri" w:cs="Arial"/>
          <w:color w:val="000000"/>
          <w:sz w:val="24"/>
          <w:szCs w:val="24"/>
        </w:rPr>
        <w:t xml:space="preserve"> Follower Organisations’ Strategic Responses</w:t>
      </w:r>
      <w:r>
        <w:rPr>
          <w:rFonts w:ascii="Arial" w:hAnsi="Arial" w:eastAsia="Calibri" w:cs="Arial"/>
          <w:color w:val="000000"/>
          <w:sz w:val="24"/>
          <w:szCs w:val="24"/>
        </w:rPr>
        <w:tab/>
      </w:r>
      <w:r>
        <w:rPr>
          <w:rFonts w:ascii="Arial" w:hAnsi="Arial" w:eastAsia="Calibri" w:cs="Arial"/>
          <w:color w:val="000000"/>
          <w:sz w:val="24"/>
          <w:szCs w:val="24"/>
        </w:rPr>
        <w:t>11</w:t>
      </w:r>
      <w:r>
        <w:fldChar w:fldCharType="end"/>
      </w:r>
    </w:p>
    <w:p w14:paraId="2E089A48">
      <w:pPr>
        <w:widowControl w:val="0"/>
        <w:tabs>
          <w:tab w:val="right" w:pos="12000"/>
        </w:tabs>
        <w:spacing w:before="60" w:line="360" w:lineRule="auto"/>
        <w:rPr>
          <w:rFonts w:ascii="Arial" w:hAnsi="Arial" w:eastAsia="Calibri" w:cs="Arial"/>
          <w:b/>
          <w:color w:val="000000"/>
        </w:rPr>
      </w:pPr>
      <w:r>
        <w:fldChar w:fldCharType="begin"/>
      </w:r>
      <w:r>
        <w:instrText xml:space="preserve"> HYPERLINK \l "_xox4klya1mi8" </w:instrText>
      </w:r>
      <w:r>
        <w:fldChar w:fldCharType="separate"/>
      </w:r>
      <w:r>
        <w:rPr>
          <w:rFonts w:ascii="Arial" w:hAnsi="Arial" w:eastAsia="Calibri" w:cs="Arial"/>
          <w:b/>
          <w:color w:val="000000"/>
          <w:sz w:val="22"/>
        </w:rPr>
        <w:t>Reference list</w:t>
      </w:r>
      <w:r>
        <w:rPr>
          <w:rFonts w:ascii="Arial" w:hAnsi="Arial" w:eastAsia="Calibri" w:cs="Arial"/>
          <w:b/>
          <w:color w:val="000000"/>
          <w:sz w:val="22"/>
        </w:rPr>
        <w:tab/>
      </w:r>
      <w:r>
        <w:rPr>
          <w:rFonts w:ascii="Arial" w:hAnsi="Arial" w:eastAsia="Calibri" w:cs="Arial"/>
          <w:b/>
          <w:color w:val="000000"/>
          <w:sz w:val="22"/>
        </w:rPr>
        <w:t>14</w:t>
      </w:r>
      <w:r>
        <w:fldChar w:fldCharType="end"/>
      </w:r>
      <w:r>
        <w:rPr>
          <w:rFonts w:ascii="Arial" w:hAnsi="Arial" w:cs="Arial"/>
        </w:rPr>
        <w:fldChar w:fldCharType="end"/>
      </w:r>
    </w:p>
    <w:p w14:paraId="4EFB6D11">
      <w:pPr>
        <w:spacing w:line="360" w:lineRule="auto"/>
        <w:jc w:val="left"/>
        <w:rPr>
          <w:rFonts w:ascii="Arial" w:hAnsi="Arial" w:eastAsia="Calibri" w:cs="Arial"/>
        </w:rPr>
      </w:pPr>
      <w:r>
        <w:rPr>
          <w:rFonts w:ascii="Arial" w:hAnsi="Arial" w:cs="Arial"/>
        </w:rPr>
        <w:br w:type="page"/>
      </w:r>
    </w:p>
    <w:p w14:paraId="0D24D61F">
      <w:pPr>
        <w:pStyle w:val="2"/>
        <w:spacing w:line="360" w:lineRule="auto"/>
        <w:rPr>
          <w:rFonts w:ascii="Arial" w:hAnsi="Arial" w:eastAsia="Calibri" w:cs="Arial"/>
          <w:b/>
          <w:sz w:val="32"/>
          <w:szCs w:val="32"/>
        </w:rPr>
      </w:pPr>
      <w:bookmarkStart w:id="4" w:name="_5hqdosjxlkh1" w:colFirst="0" w:colLast="0"/>
      <w:bookmarkEnd w:id="4"/>
      <w:r>
        <w:rPr>
          <w:rFonts w:ascii="Arial" w:hAnsi="Arial" w:eastAsia="Calibri" w:cs="Arial"/>
          <w:b/>
          <w:sz w:val="32"/>
          <w:szCs w:val="32"/>
        </w:rPr>
        <w:t>Introduction</w:t>
      </w:r>
    </w:p>
    <w:p w14:paraId="11AA1AE4">
      <w:pPr>
        <w:spacing w:line="360" w:lineRule="auto"/>
        <w:rPr>
          <w:rFonts w:ascii="Arial" w:hAnsi="Arial" w:eastAsia="Calibri" w:cs="Arial"/>
          <w:sz w:val="24"/>
          <w:szCs w:val="24"/>
        </w:rPr>
      </w:pPr>
      <w:r>
        <w:rPr>
          <w:rFonts w:ascii="Arial" w:hAnsi="Arial" w:eastAsia="Calibri" w:cs="Arial"/>
          <w:sz w:val="24"/>
          <w:szCs w:val="24"/>
        </w:rPr>
        <w:t>This report critically analyses how technological innovation and regulatory pressures shape opportunities and threats for pioneering and follower firms in the electric vehicle industry, followed by an evaluation of strategic responses to maintain competitiveness.</w:t>
      </w:r>
    </w:p>
    <w:p w14:paraId="5703BD58">
      <w:pPr>
        <w:pStyle w:val="2"/>
        <w:spacing w:line="360" w:lineRule="auto"/>
        <w:rPr>
          <w:rFonts w:ascii="Arial" w:hAnsi="Arial" w:eastAsia="Calibri" w:cs="Arial"/>
          <w:b/>
          <w:sz w:val="32"/>
          <w:szCs w:val="32"/>
        </w:rPr>
      </w:pPr>
      <w:bookmarkStart w:id="5" w:name="_cq3qm8pmzb4i" w:colFirst="0" w:colLast="0"/>
      <w:bookmarkEnd w:id="5"/>
      <w:r>
        <w:rPr>
          <w:rFonts w:ascii="Arial" w:hAnsi="Arial" w:eastAsia="Calibri" w:cs="Arial"/>
          <w:b/>
          <w:sz w:val="32"/>
          <w:szCs w:val="32"/>
        </w:rPr>
        <w:t xml:space="preserve">Task 1: Critical Analysis of the Macro Marketing Environment  </w:t>
      </w:r>
    </w:p>
    <w:p w14:paraId="3530144E">
      <w:pPr>
        <w:spacing w:before="240" w:after="240" w:line="360" w:lineRule="auto"/>
        <w:rPr>
          <w:rFonts w:ascii="Arial" w:hAnsi="Arial" w:eastAsia="Calibri" w:cs="Arial"/>
          <w:sz w:val="24"/>
          <w:szCs w:val="24"/>
        </w:rPr>
      </w:pPr>
      <w:r>
        <w:rPr>
          <w:rFonts w:ascii="Arial" w:hAnsi="Arial" w:eastAsia="Calibri" w:cs="Arial"/>
          <w:sz w:val="24"/>
          <w:szCs w:val="24"/>
        </w:rPr>
        <w:t>The macro marketing environment is a broad area encompassing external forces that affect every firm in a given industry and is largely beyond the control of any single firm (Kakran et al., 2024). One of the most frequently used analytical lenses for analysing such an environment is the PESTEL framework, which categorises influences into Political, Economic, Social, Technological, Environmental, and Legal categories systematically.</w:t>
      </w:r>
    </w:p>
    <w:p w14:paraId="7E6C61F7">
      <w:pPr>
        <w:spacing w:before="240" w:after="240" w:line="360" w:lineRule="auto"/>
        <w:rPr>
          <w:rFonts w:ascii="Arial" w:hAnsi="Arial" w:eastAsia="Calibri" w:cs="Arial"/>
          <w:sz w:val="24"/>
          <w:szCs w:val="24"/>
        </w:rPr>
      </w:pPr>
      <w:r>
        <w:rPr>
          <w:rFonts w:ascii="Arial" w:hAnsi="Arial" w:eastAsia="Calibri" w:cs="Arial"/>
          <w:sz w:val="24"/>
          <w:szCs w:val="24"/>
        </w:rPr>
        <w:t>Through a PESTEL analysis, companies can identify new trends, unrealised risks, and new opportunities in the environment in which they operate (Singh and Kumar, 2024). The report will focus on two out of these six macro forces, which have been chosen based on in-depth analysis. Namely, Technology and Regulation/Environmental forces have been chosen based on their strategic perspective for the industry.</w:t>
      </w:r>
    </w:p>
    <w:p w14:paraId="379E60B7">
      <w:pPr>
        <w:pStyle w:val="4"/>
        <w:keepNext w:val="0"/>
        <w:keepLines w:val="0"/>
        <w:spacing w:after="80" w:line="360" w:lineRule="auto"/>
        <w:jc w:val="both"/>
        <w:rPr>
          <w:rFonts w:ascii="Arial" w:hAnsi="Arial" w:eastAsia="Calibri" w:cs="Arial"/>
          <w:b/>
          <w:sz w:val="26"/>
          <w:szCs w:val="26"/>
        </w:rPr>
      </w:pPr>
      <w:bookmarkStart w:id="6" w:name="_sq9fwctd7spi" w:colFirst="0" w:colLast="0"/>
      <w:bookmarkEnd w:id="6"/>
      <w:r>
        <w:rPr>
          <w:rFonts w:ascii="Arial" w:hAnsi="Arial" w:eastAsia="Calibri" w:cs="Arial"/>
          <w:b/>
          <w:sz w:val="26"/>
          <w:szCs w:val="26"/>
        </w:rPr>
        <w:t>1.1 Macro Factor 1: Technological Environment</w:t>
      </w:r>
    </w:p>
    <w:p w14:paraId="5FC11E4B">
      <w:pPr>
        <w:spacing w:before="240" w:after="240" w:line="360" w:lineRule="auto"/>
        <w:rPr>
          <w:rFonts w:ascii="Arial" w:hAnsi="Arial" w:eastAsia="Calibri" w:cs="Arial"/>
          <w:sz w:val="24"/>
          <w:szCs w:val="24"/>
        </w:rPr>
      </w:pPr>
      <w:r>
        <w:rPr>
          <w:rFonts w:ascii="Arial" w:hAnsi="Arial" w:eastAsia="Calibri" w:cs="Arial"/>
          <w:sz w:val="24"/>
          <w:szCs w:val="24"/>
        </w:rPr>
        <w:t>The swift advancement in technology in modern-day industrial settings is a major driver of competitiveness. In the clean-energy mobility sector, especially electric vehicles (EVs), significant technological trends include battery improvements, software innovations, digitalisation, and advanced manufacturing (Lester and Rama, 2024). Additionally, artificial intelligence, enhanced data analytics, vehicle-to-grid solutions, and Internet of Things integrations are all contributing to rapid industry disruption (Belz et al., 2025). According to Deloitte’s Global Technology Leadership Study (2023), over 80% of executives view emerging technologies such as AI, data analytics, and cloud computing as the primary sources of future competitive advantage (Phillips et al., 2020).</w:t>
      </w:r>
    </w:p>
    <w:p w14:paraId="1CC98C2A">
      <w:pPr>
        <w:pStyle w:val="5"/>
        <w:keepNext w:val="0"/>
        <w:keepLines w:val="0"/>
        <w:spacing w:before="280" w:line="360" w:lineRule="auto"/>
        <w:jc w:val="both"/>
        <w:rPr>
          <w:rFonts w:ascii="Arial" w:hAnsi="Arial" w:eastAsia="Calibri" w:cs="Arial"/>
          <w:b/>
          <w:color w:val="000000"/>
          <w:sz w:val="26"/>
          <w:szCs w:val="26"/>
        </w:rPr>
      </w:pPr>
      <w:bookmarkStart w:id="7" w:name="_2xcgrkl400g0" w:colFirst="0" w:colLast="0"/>
      <w:bookmarkEnd w:id="7"/>
      <w:r>
        <w:rPr>
          <w:rFonts w:ascii="Arial" w:hAnsi="Arial" w:eastAsia="Calibri" w:cs="Arial"/>
          <w:b/>
          <w:color w:val="000000"/>
          <w:sz w:val="26"/>
          <w:szCs w:val="26"/>
        </w:rPr>
        <w:t>Opportunities for Pioneers</w:t>
      </w:r>
    </w:p>
    <w:p w14:paraId="7348A3D7">
      <w:pPr>
        <w:spacing w:before="240" w:after="240" w:line="360" w:lineRule="auto"/>
        <w:rPr>
          <w:rFonts w:ascii="Arial" w:hAnsi="Arial" w:eastAsia="Calibri" w:cs="Arial"/>
          <w:sz w:val="24"/>
          <w:szCs w:val="24"/>
        </w:rPr>
      </w:pPr>
      <w:r>
        <w:rPr>
          <w:rFonts w:ascii="Arial" w:hAnsi="Arial" w:eastAsia="Calibri" w:cs="Arial"/>
          <w:sz w:val="24"/>
          <w:szCs w:val="24"/>
        </w:rPr>
        <w:t xml:space="preserve">Early-entering firms are often in a position to influence industry standards, monopolise mindshare among early adopters, and differentiate their brands by being technologically ahead (George and Baskar, 2024). Lieberman and Montgomery (1988) argue that technological leadership, prior appropriation of resources and learning-curve effects might enable the first movers to gain advantages. If significant resources are deployed in research and development, as well as in acquiring intellectual property, such as patents in battery technologies or autonomous-driving software. Then, Pioneers can also build barriers to entry for competitors. Illustrated by the concept of the learning curve, they will be able to leverage cumulative experience, improve products across multiple generations, and create switching costs for customers due to their early market presence. A notable example of this phenomenon is Tesla's substantial investment in battery cells and a software platform, along with the development of over-the-air updates and a charging station network (Liu, Boothman, and Graham, 2025). </w:t>
      </w:r>
    </w:p>
    <w:p w14:paraId="2F06FFA4">
      <w:pPr>
        <w:spacing w:before="240" w:after="240" w:line="360" w:lineRule="auto"/>
        <w:jc w:val="center"/>
        <w:rPr>
          <w:rFonts w:ascii="Arial" w:hAnsi="Arial" w:eastAsia="Calibri" w:cs="Arial"/>
          <w:sz w:val="24"/>
          <w:szCs w:val="24"/>
        </w:rPr>
      </w:pPr>
      <w:r>
        <w:rPr>
          <w:rFonts w:ascii="Arial" w:hAnsi="Arial" w:eastAsia="Calibri" w:cs="Arial"/>
          <w:sz w:val="24"/>
          <w:szCs w:val="24"/>
        </w:rPr>
        <w:drawing>
          <wp:inline distT="0" distB="0" distL="0" distR="0">
            <wp:extent cx="5943600" cy="4457700"/>
            <wp:effectExtent l="0" t="0" r="0" b="0"/>
            <wp:docPr id="1026" name="image1.png"/>
            <wp:cNvGraphicFramePr/>
            <a:graphic xmlns:a="http://schemas.openxmlformats.org/drawingml/2006/main">
              <a:graphicData uri="http://schemas.openxmlformats.org/drawingml/2006/picture">
                <pic:pic xmlns:pic="http://schemas.openxmlformats.org/drawingml/2006/picture">
                  <pic:nvPicPr>
                    <pic:cNvPr id="1026" name="image1.png"/>
                    <pic:cNvPicPr/>
                  </pic:nvPicPr>
                  <pic:blipFill>
                    <a:blip r:embed="rId5" cstate="print"/>
                    <a:srcRect/>
                    <a:stretch>
                      <a:fillRect/>
                    </a:stretch>
                  </pic:blipFill>
                  <pic:spPr>
                    <a:xfrm>
                      <a:off x="0" y="0"/>
                      <a:ext cx="5943600" cy="4457700"/>
                    </a:xfrm>
                    <a:prstGeom prst="rect">
                      <a:avLst/>
                    </a:prstGeom>
                    <a:ln w="9525" cap="flat" cmpd="sng">
                      <a:solidFill>
                        <a:srgbClr val="000000"/>
                      </a:solidFill>
                      <a:prstDash val="solid"/>
                      <a:round/>
                      <a:headEnd type="none" w="med" len="med"/>
                      <a:tailEnd type="none" w="med" len="med"/>
                    </a:ln>
                  </pic:spPr>
                </pic:pic>
              </a:graphicData>
            </a:graphic>
          </wp:inline>
        </w:drawing>
      </w:r>
    </w:p>
    <w:p w14:paraId="34FCDCD0">
      <w:pPr>
        <w:spacing w:before="240" w:after="240" w:line="360" w:lineRule="auto"/>
        <w:jc w:val="center"/>
        <w:rPr>
          <w:rFonts w:ascii="Arial" w:hAnsi="Arial" w:eastAsia="Calibri" w:cs="Arial"/>
          <w:sz w:val="24"/>
          <w:szCs w:val="24"/>
        </w:rPr>
      </w:pPr>
      <w:r>
        <w:rPr>
          <w:rFonts w:ascii="Arial" w:hAnsi="Arial" w:eastAsia="Calibri" w:cs="Arial"/>
          <w:i/>
          <w:sz w:val="24"/>
          <w:szCs w:val="24"/>
        </w:rPr>
        <w:t>Figure 1. Learning Curve; Source: (Pusic and Boutis, 2022)</w:t>
      </w:r>
    </w:p>
    <w:p w14:paraId="6AAAC71A">
      <w:pPr>
        <w:pStyle w:val="5"/>
        <w:keepNext w:val="0"/>
        <w:keepLines w:val="0"/>
        <w:spacing w:before="280" w:line="360" w:lineRule="auto"/>
        <w:jc w:val="both"/>
        <w:rPr>
          <w:rFonts w:ascii="Arial" w:hAnsi="Arial" w:eastAsia="Calibri" w:cs="Arial"/>
          <w:b/>
          <w:color w:val="000000"/>
          <w:sz w:val="26"/>
          <w:szCs w:val="26"/>
        </w:rPr>
      </w:pPr>
      <w:bookmarkStart w:id="8" w:name="_12u48dkkn6q0" w:colFirst="0" w:colLast="0"/>
      <w:bookmarkEnd w:id="8"/>
      <w:r>
        <w:rPr>
          <w:rFonts w:ascii="Arial" w:hAnsi="Arial" w:eastAsia="Calibri" w:cs="Arial"/>
          <w:b/>
          <w:color w:val="000000"/>
          <w:sz w:val="26"/>
          <w:szCs w:val="26"/>
        </w:rPr>
        <w:t>Threats for Pioneers</w:t>
      </w:r>
    </w:p>
    <w:p w14:paraId="55F4F1C1">
      <w:pPr>
        <w:spacing w:before="240" w:after="240" w:line="360" w:lineRule="auto"/>
        <w:rPr>
          <w:rFonts w:ascii="Arial" w:hAnsi="Arial" w:eastAsia="Calibri" w:cs="Arial"/>
          <w:sz w:val="24"/>
          <w:szCs w:val="24"/>
        </w:rPr>
      </w:pPr>
      <w:r>
        <w:rPr>
          <w:rFonts w:ascii="Arial" w:hAnsi="Arial" w:eastAsia="Calibri" w:cs="Arial"/>
          <w:sz w:val="24"/>
          <w:szCs w:val="24"/>
        </w:rPr>
        <w:t>Nevertheless, first-mover companies must bear the full costs of research and development, as well as the uncertainties associated with them. If the technology evolves rapidly, early solutions may become obsolete or suboptimal (path dependence) . As a result, innovators can be hindered by outdated decisions, which can impede strategic shifts (Sun, Gu, and Tang, 2025). This relationship is sometimes summarised as the “law of the handicap of a head start.” According to this, early movers are restricted by the choices already made by earlier movers (Luppicini, 2013). In contrast, late movers are using later methods to jump-start their efforts. The empirical data concerning Tesla help demonstrate this principle, as reported manufacturing yield issues related to scaling the 4680 battery format and problems with developing battery cell technology are just two examples of such vulnerabilities (Ank et al., 2023).</w:t>
      </w:r>
    </w:p>
    <w:p w14:paraId="059603BE">
      <w:pPr>
        <w:pStyle w:val="5"/>
        <w:keepNext w:val="0"/>
        <w:keepLines w:val="0"/>
        <w:spacing w:before="280" w:line="360" w:lineRule="auto"/>
        <w:jc w:val="both"/>
        <w:rPr>
          <w:rFonts w:ascii="Arial" w:hAnsi="Arial" w:eastAsia="Calibri" w:cs="Arial"/>
          <w:b/>
          <w:color w:val="000000"/>
          <w:sz w:val="26"/>
          <w:szCs w:val="26"/>
        </w:rPr>
      </w:pPr>
      <w:bookmarkStart w:id="9" w:name="_qvhebbx43tj2" w:colFirst="0" w:colLast="0"/>
      <w:bookmarkEnd w:id="9"/>
      <w:r>
        <w:rPr>
          <w:rFonts w:ascii="Arial" w:hAnsi="Arial" w:eastAsia="Calibri" w:cs="Arial"/>
          <w:b/>
          <w:color w:val="000000"/>
          <w:sz w:val="26"/>
          <w:szCs w:val="26"/>
        </w:rPr>
        <w:t>Opportunities for Followers</w:t>
      </w:r>
    </w:p>
    <w:p w14:paraId="0C215A88">
      <w:pPr>
        <w:spacing w:before="240" w:after="240" w:line="360" w:lineRule="auto"/>
        <w:rPr>
          <w:rFonts w:ascii="Arial" w:hAnsi="Arial" w:eastAsia="Calibri" w:cs="Arial"/>
          <w:i/>
          <w:sz w:val="24"/>
          <w:szCs w:val="24"/>
        </w:rPr>
      </w:pPr>
      <w:r>
        <w:rPr>
          <w:rFonts w:ascii="Arial" w:hAnsi="Arial" w:eastAsia="Calibri" w:cs="Arial"/>
          <w:sz w:val="24"/>
          <w:szCs w:val="24"/>
        </w:rPr>
        <w:t>Late entrants (follower firms) have the right to choose to rely upon the errors made and the proven technologies that pioneers used, and engage in a process of making minor adjustments (Gómez, Pérez-Aradros and Salazar, 2022). They can leverage imitation or fast-follower strategies, building upon established standards while optimising cost efficiencies. They can rely on imitation or fast follower strategies and utilise existing standards, albeit at the expense of not achieving cost efficiencies. To use the example of Toyota or Volkswagen, the incumbent can acquire battery and software technology after it has already been de-risked (Bawden and Zamborsky, 2024), rather than having to undertake radical experiments in the initial stages.</w:t>
      </w:r>
    </w:p>
    <w:p w14:paraId="7A233F76">
      <w:pPr>
        <w:spacing w:before="240" w:after="240" w:line="360" w:lineRule="auto"/>
        <w:jc w:val="center"/>
        <w:rPr>
          <w:rFonts w:ascii="Arial" w:hAnsi="Arial" w:eastAsia="Calibri" w:cs="Arial"/>
          <w:sz w:val="24"/>
          <w:szCs w:val="24"/>
        </w:rPr>
      </w:pPr>
      <w:r>
        <w:rPr>
          <w:rFonts w:ascii="Arial" w:hAnsi="Arial" w:eastAsia="Calibri" w:cs="Arial"/>
          <w:i/>
          <w:sz w:val="24"/>
          <w:szCs w:val="24"/>
        </w:rPr>
        <w:drawing>
          <wp:inline distT="0" distB="0" distL="0" distR="0">
            <wp:extent cx="5943600" cy="3086100"/>
            <wp:effectExtent l="0" t="0" r="0" b="0"/>
            <wp:docPr id="1027" name="image3.png"/>
            <wp:cNvGraphicFramePr/>
            <a:graphic xmlns:a="http://schemas.openxmlformats.org/drawingml/2006/main">
              <a:graphicData uri="http://schemas.openxmlformats.org/drawingml/2006/picture">
                <pic:pic xmlns:pic="http://schemas.openxmlformats.org/drawingml/2006/picture">
                  <pic:nvPicPr>
                    <pic:cNvPr id="1027" name="image3.png"/>
                    <pic:cNvPicPr/>
                  </pic:nvPicPr>
                  <pic:blipFill>
                    <a:blip r:embed="rId6" cstate="print"/>
                    <a:srcRect/>
                    <a:stretch>
                      <a:fillRect/>
                    </a:stretch>
                  </pic:blipFill>
                  <pic:spPr>
                    <a:xfrm>
                      <a:off x="0" y="0"/>
                      <a:ext cx="5943600" cy="3086100"/>
                    </a:xfrm>
                    <a:prstGeom prst="rect">
                      <a:avLst/>
                    </a:prstGeom>
                    <a:ln w="9525" cap="flat" cmpd="sng">
                      <a:solidFill>
                        <a:srgbClr val="000000"/>
                      </a:solidFill>
                      <a:prstDash val="solid"/>
                      <a:round/>
                      <a:headEnd type="none" w="med" len="med"/>
                      <a:tailEnd type="none" w="med" len="med"/>
                    </a:ln>
                  </pic:spPr>
                </pic:pic>
              </a:graphicData>
            </a:graphic>
          </wp:inline>
        </w:drawing>
      </w:r>
      <w:r>
        <w:rPr>
          <w:rFonts w:ascii="Arial" w:hAnsi="Arial" w:eastAsia="Calibri" w:cs="Arial"/>
          <w:i/>
          <w:sz w:val="24"/>
          <w:szCs w:val="24"/>
        </w:rPr>
        <w:t>Figure 2. Revenue-growth impact of fast-follower and execution strategies (Source: McKinsey &amp; Company, 2023)</w:t>
      </w:r>
    </w:p>
    <w:p w14:paraId="47546B9F">
      <w:pPr>
        <w:pStyle w:val="5"/>
        <w:keepNext w:val="0"/>
        <w:keepLines w:val="0"/>
        <w:spacing w:before="280" w:line="360" w:lineRule="auto"/>
        <w:jc w:val="both"/>
        <w:rPr>
          <w:rFonts w:ascii="Arial" w:hAnsi="Arial" w:eastAsia="Calibri" w:cs="Arial"/>
          <w:b/>
          <w:color w:val="000000"/>
          <w:sz w:val="26"/>
          <w:szCs w:val="26"/>
        </w:rPr>
      </w:pPr>
      <w:bookmarkStart w:id="10" w:name="_c6kv885keo9m" w:colFirst="0" w:colLast="0"/>
      <w:bookmarkEnd w:id="10"/>
      <w:r>
        <w:rPr>
          <w:rFonts w:ascii="Arial" w:hAnsi="Arial" w:eastAsia="Calibri" w:cs="Arial"/>
          <w:b/>
          <w:color w:val="000000"/>
          <w:sz w:val="26"/>
          <w:szCs w:val="26"/>
        </w:rPr>
        <w:t>Threats for Followers</w:t>
      </w:r>
    </w:p>
    <w:p w14:paraId="3684CCF1">
      <w:pPr>
        <w:spacing w:before="240" w:after="240" w:line="360" w:lineRule="auto"/>
        <w:rPr>
          <w:rFonts w:ascii="Arial" w:hAnsi="Arial" w:eastAsia="Calibri" w:cs="Arial"/>
          <w:sz w:val="24"/>
          <w:szCs w:val="24"/>
        </w:rPr>
      </w:pPr>
      <w:r>
        <w:rPr>
          <w:rFonts w:ascii="Arial" w:hAnsi="Arial" w:eastAsia="Calibri" w:cs="Arial"/>
          <w:sz w:val="24"/>
          <w:szCs w:val="24"/>
        </w:rPr>
        <w:t>However, there is another struggle for followers. The disadvantage of late-movers is that they will be viewed as inferior or derivative. They may struggle to capture market share if brand loyalty, switching costs or network effects (e.g. charging stations, software ecosystems) are already “locked in” by pioneers. The followers may also discover that patents or proprietary grounds do not allow them to utilise particular technologies or compel them to license on unfavourable conditions. Followers can also be confronted with dying windows of opportunity in industries that have high diffusion momentum (customers adopting early). .</w:t>
      </w:r>
    </w:p>
    <w:p w14:paraId="59B8BA29">
      <w:pPr>
        <w:pStyle w:val="4"/>
        <w:keepNext w:val="0"/>
        <w:keepLines w:val="0"/>
        <w:spacing w:after="80" w:line="360" w:lineRule="auto"/>
        <w:jc w:val="both"/>
        <w:rPr>
          <w:rFonts w:ascii="Arial" w:hAnsi="Arial" w:eastAsia="Calibri" w:cs="Arial"/>
          <w:b/>
          <w:sz w:val="24"/>
          <w:szCs w:val="24"/>
        </w:rPr>
      </w:pPr>
      <w:bookmarkStart w:id="11" w:name="_tgrqobopcwo" w:colFirst="0" w:colLast="0"/>
      <w:bookmarkEnd w:id="11"/>
      <w:r>
        <w:rPr>
          <w:rFonts w:ascii="Arial" w:hAnsi="Arial" w:eastAsia="Calibri" w:cs="Arial"/>
          <w:b/>
          <w:sz w:val="24"/>
          <w:szCs w:val="24"/>
        </w:rPr>
        <w:t>1.2 Macro Factor 2: Regulatory / Environmental Forces</w:t>
      </w:r>
    </w:p>
    <w:p w14:paraId="1288A2DC">
      <w:pPr>
        <w:spacing w:before="240" w:after="240" w:line="360" w:lineRule="auto"/>
        <w:rPr>
          <w:rFonts w:ascii="Arial" w:hAnsi="Arial" w:eastAsia="Calibri" w:cs="Arial"/>
          <w:color w:val="1155CC"/>
          <w:sz w:val="24"/>
          <w:szCs w:val="24"/>
          <w:u w:val="single"/>
        </w:rPr>
      </w:pPr>
      <w:r>
        <w:rPr>
          <w:rFonts w:ascii="Arial" w:hAnsi="Arial" w:eastAsia="Calibri" w:cs="Arial"/>
          <w:sz w:val="24"/>
          <w:szCs w:val="24"/>
        </w:rPr>
        <w:t xml:space="preserve">Regulatory and environmental forces encompass laws, policies, standards, and societal expectations related to environmental protection, sustainability, and public welfare. </w:t>
      </w:r>
    </w:p>
    <w:p w14:paraId="61B35A47">
      <w:pPr>
        <w:pStyle w:val="5"/>
        <w:keepNext w:val="0"/>
        <w:keepLines w:val="0"/>
        <w:spacing w:before="280" w:line="360" w:lineRule="auto"/>
        <w:jc w:val="both"/>
        <w:rPr>
          <w:rFonts w:ascii="Arial" w:hAnsi="Arial" w:eastAsia="Calibri" w:cs="Arial"/>
          <w:b/>
          <w:color w:val="000000"/>
          <w:sz w:val="26"/>
          <w:szCs w:val="26"/>
        </w:rPr>
      </w:pPr>
      <w:bookmarkStart w:id="12" w:name="_coajhv5pm3n4" w:colFirst="0" w:colLast="0"/>
      <w:bookmarkEnd w:id="12"/>
      <w:r>
        <w:rPr>
          <w:rFonts w:ascii="Arial" w:hAnsi="Arial" w:eastAsia="Calibri" w:cs="Arial"/>
          <w:b/>
          <w:color w:val="000000"/>
          <w:sz w:val="26"/>
          <w:szCs w:val="26"/>
        </w:rPr>
        <w:t>Opportunities for Pioneer</w:t>
      </w:r>
      <w:r>
        <w:rPr>
          <w:rFonts w:ascii="Arial" w:hAnsi="Arial" w:eastAsia="Calibri" w:cs="Arial"/>
          <w:b/>
          <w:color w:val="000000"/>
          <w:sz w:val="26"/>
          <w:szCs w:val="26"/>
        </w:rPr>
        <w:t>s</w:t>
      </w:r>
    </w:p>
    <w:p w14:paraId="5DA45ABA">
      <w:pPr>
        <w:spacing w:before="240" w:after="240" w:line="360" w:lineRule="auto"/>
        <w:rPr>
          <w:rFonts w:ascii="Arial" w:hAnsi="Arial" w:eastAsia="Calibri" w:cs="Arial"/>
          <w:sz w:val="24"/>
          <w:szCs w:val="24"/>
        </w:rPr>
      </w:pPr>
      <w:r>
        <w:rPr>
          <w:rFonts w:ascii="Arial" w:hAnsi="Arial" w:eastAsia="Calibri" w:cs="Arial"/>
          <w:sz w:val="24"/>
          <w:szCs w:val="24"/>
        </w:rPr>
        <w:t>First-mover companies can use regulatory and environmental forces as strategic resources. Through the strategic positioning of its operations, going beyond regulatory requirements, pioneers can become leaders in sustainability, enjoying reputational benefits from regulators, investors, and consumers. They can also enjoy the incentives of policies, like subsidies, tax credits, or R&amp;D grants on green technologies. In the long run, they can influence the industry standards, and their practices become the new standard and therefore create barriers to entry to less prepared competitors. Consequently, people adopting these practices put obstacles in the way of new entrants who are unprepared. Furthermore, according to the Hypothesis of Porter, the proper environmental regulation can trigger innovation (Porter and Linde, 1995).</w:t>
      </w:r>
    </w:p>
    <w:p w14:paraId="4CFB3634">
      <w:pPr>
        <w:pStyle w:val="5"/>
        <w:keepNext w:val="0"/>
        <w:keepLines w:val="0"/>
        <w:spacing w:before="280" w:line="360" w:lineRule="auto"/>
        <w:jc w:val="both"/>
        <w:rPr>
          <w:rFonts w:ascii="Arial" w:hAnsi="Arial" w:eastAsia="Calibri" w:cs="Arial"/>
          <w:b/>
          <w:color w:val="000000"/>
          <w:sz w:val="26"/>
          <w:szCs w:val="26"/>
        </w:rPr>
      </w:pPr>
      <w:bookmarkStart w:id="13" w:name="_n10aa7jfnkop" w:colFirst="0" w:colLast="0"/>
      <w:bookmarkEnd w:id="13"/>
      <w:r>
        <w:rPr>
          <w:rFonts w:ascii="Arial" w:hAnsi="Arial" w:eastAsia="Calibri" w:cs="Arial"/>
          <w:b/>
          <w:color w:val="000000"/>
          <w:sz w:val="26"/>
          <w:szCs w:val="26"/>
        </w:rPr>
        <w:t>Threats for Pioneers</w:t>
      </w:r>
    </w:p>
    <w:p w14:paraId="6A5C68D1">
      <w:pPr>
        <w:spacing w:before="240" w:after="240" w:line="360" w:lineRule="auto"/>
        <w:rPr>
          <w:rFonts w:ascii="Arial" w:hAnsi="Arial" w:eastAsia="Calibri" w:cs="Arial"/>
          <w:sz w:val="24"/>
          <w:szCs w:val="24"/>
        </w:rPr>
      </w:pPr>
      <w:r>
        <w:rPr>
          <w:rFonts w:ascii="Arial" w:hAnsi="Arial" w:eastAsia="Calibri" w:cs="Arial"/>
          <w:sz w:val="24"/>
          <w:szCs w:val="24"/>
        </w:rPr>
        <w:t>However, the cost of compliance is high, particularly in cases like stringent laws or changing laws frequently. The sustainability infrastructure or low-carbon technology early investments can end up being stuck assets in case of a change of direction in legislation. Secondly, the uncertainty created by regulation or the change in political regimes may subject pioneers to policy risk today, as what is subsidised one day may be scrapped tomorrow (Li et al., 2023). To a first mover, regulation can be misinterpreted or over-invested in prior to the market being ready (Dearing and Cox, 2018). In regulated businesses, the compliance itself (across jurisdictions) can consume management time and resources.</w:t>
      </w:r>
    </w:p>
    <w:p w14:paraId="138B8FE0">
      <w:pPr>
        <w:pStyle w:val="5"/>
        <w:keepNext w:val="0"/>
        <w:keepLines w:val="0"/>
        <w:spacing w:before="280" w:line="360" w:lineRule="auto"/>
        <w:jc w:val="both"/>
        <w:rPr>
          <w:rFonts w:ascii="Arial" w:hAnsi="Arial" w:eastAsia="Calibri" w:cs="Arial"/>
          <w:b/>
          <w:color w:val="000000"/>
          <w:sz w:val="26"/>
          <w:szCs w:val="26"/>
        </w:rPr>
      </w:pPr>
      <w:bookmarkStart w:id="14" w:name="_vtyqh9ucp3vu" w:colFirst="0" w:colLast="0"/>
      <w:bookmarkEnd w:id="14"/>
      <w:r>
        <w:rPr>
          <w:rFonts w:ascii="Arial" w:hAnsi="Arial" w:eastAsia="Calibri" w:cs="Arial"/>
          <w:b/>
          <w:color w:val="000000"/>
          <w:sz w:val="26"/>
          <w:szCs w:val="26"/>
        </w:rPr>
        <w:t>Opportunities for Followers</w:t>
      </w:r>
    </w:p>
    <w:p w14:paraId="060095AA">
      <w:pPr>
        <w:spacing w:before="240" w:after="240" w:line="360" w:lineRule="auto"/>
        <w:rPr>
          <w:rFonts w:ascii="Arial" w:hAnsi="Arial" w:eastAsia="Calibri" w:cs="Arial"/>
          <w:sz w:val="24"/>
          <w:szCs w:val="24"/>
        </w:rPr>
      </w:pPr>
      <w:r>
        <w:rPr>
          <w:rFonts w:ascii="Arial" w:hAnsi="Arial" w:eastAsia="Calibri" w:cs="Arial"/>
          <w:sz w:val="24"/>
          <w:szCs w:val="24"/>
        </w:rPr>
        <w:t>Follower firms can adopt a less risky, adaptive approach: waiting until regulation paths crystallise and then aligning with accepted frameworks. They avoid the experimentation costs and policy uncertainties that pioneers absorb. Followers can optimise within the established regulatory paradigm by adopting tested compliance strategies, licensing technologies, or retrofitting practices at a lower marginal cost (Dearing and Cox, 2018). Since leaders might have already addressed much of the regulatory frontier, followers can spare themselves much regulatory experimentation and learn best practices.</w:t>
      </w:r>
    </w:p>
    <w:p w14:paraId="1205D12B">
      <w:pPr>
        <w:pStyle w:val="5"/>
        <w:keepNext w:val="0"/>
        <w:keepLines w:val="0"/>
        <w:spacing w:before="280" w:line="360" w:lineRule="auto"/>
        <w:jc w:val="both"/>
        <w:rPr>
          <w:rFonts w:ascii="Arial" w:hAnsi="Arial" w:eastAsia="Calibri" w:cs="Arial"/>
          <w:b/>
          <w:color w:val="000000"/>
          <w:sz w:val="26"/>
          <w:szCs w:val="26"/>
        </w:rPr>
      </w:pPr>
      <w:bookmarkStart w:id="15" w:name="_78b57grc3g9v" w:colFirst="0" w:colLast="0"/>
      <w:bookmarkEnd w:id="15"/>
      <w:r>
        <w:rPr>
          <w:rFonts w:ascii="Arial" w:hAnsi="Arial" w:eastAsia="Calibri" w:cs="Arial"/>
          <w:b/>
          <w:color w:val="000000"/>
          <w:sz w:val="26"/>
          <w:szCs w:val="26"/>
        </w:rPr>
        <w:t>Threats for Followers</w:t>
      </w:r>
    </w:p>
    <w:p w14:paraId="2432D1EB">
      <w:pPr>
        <w:spacing w:before="240" w:after="240" w:line="360" w:lineRule="auto"/>
        <w:rPr>
          <w:rFonts w:ascii="Arial" w:hAnsi="Arial" w:eastAsia="Calibri" w:cs="Arial"/>
          <w:sz w:val="24"/>
          <w:szCs w:val="24"/>
        </w:rPr>
      </w:pPr>
      <w:r>
        <w:rPr>
          <w:rFonts w:ascii="Arial" w:hAnsi="Arial" w:eastAsia="Calibri" w:cs="Arial"/>
          <w:sz w:val="24"/>
          <w:szCs w:val="24"/>
        </w:rPr>
        <w:t>However, followers go through different problems. In the highly regulated markets, the governments or regulators can give early movers an advantage by providing them with an advantage in accessing subsidies or contracts, which leaves the followers without such an advantage. It can also have a competitive disadvantage to the followers who are not allowed to achieve the reputational benefits or regulatory qualification of pioneers. In other situations, new regulations can undergo swift improvements in environmental performance (Dearing and Cox, 2018). Failure to comply by the followers is fined or banned or falls out of license. The late entrants in industries where there are high green brand expectations may not be seen as very responsible in environmental terms.</w:t>
      </w:r>
    </w:p>
    <w:p w14:paraId="6CCB6552">
      <w:pPr>
        <w:pStyle w:val="2"/>
        <w:spacing w:line="360" w:lineRule="auto"/>
        <w:jc w:val="center"/>
        <w:rPr>
          <w:rFonts w:ascii="Arial" w:hAnsi="Arial" w:eastAsia="Calibri" w:cs="Arial"/>
          <w:b/>
          <w:sz w:val="32"/>
          <w:szCs w:val="32"/>
        </w:rPr>
      </w:pPr>
      <w:bookmarkStart w:id="16" w:name="_ui2rnkb01i64" w:colFirst="0" w:colLast="0"/>
      <w:bookmarkEnd w:id="16"/>
      <w:r>
        <w:rPr>
          <w:rFonts w:ascii="Arial" w:hAnsi="Arial" w:eastAsia="Calibri" w:cs="Arial"/>
          <w:b/>
          <w:sz w:val="32"/>
          <w:szCs w:val="32"/>
        </w:rPr>
        <w:t>Task 2: Strategic Evaluation of Responses</w:t>
      </w:r>
    </w:p>
    <w:p w14:paraId="19097CC9">
      <w:pPr>
        <w:spacing w:before="240" w:after="240" w:line="360" w:lineRule="auto"/>
        <w:rPr>
          <w:rFonts w:ascii="Arial" w:hAnsi="Arial" w:eastAsia="Calibri" w:cs="Arial"/>
          <w:sz w:val="24"/>
          <w:szCs w:val="24"/>
        </w:rPr>
      </w:pPr>
      <w:r>
        <w:rPr>
          <w:rFonts w:ascii="Arial" w:hAnsi="Arial" w:eastAsia="Calibri" w:cs="Arial"/>
          <w:sz w:val="24"/>
          <w:szCs w:val="24"/>
        </w:rPr>
        <w:t>Position as a pioneer or follower is a key factor as firms respond strategically to macro-environmental pressures. Pioneers frequently need to be chart clearers, with greater risks and greater benefits of first-mover, and followers have the advantage of being more adaptive and imitative. In order to perform a rigorous analysis of these responses, various strategic frameworks are useful.</w:t>
      </w:r>
    </w:p>
    <w:p w14:paraId="46137E1D">
      <w:pPr>
        <w:spacing w:before="240" w:after="240" w:line="360" w:lineRule="auto"/>
        <w:rPr>
          <w:rFonts w:ascii="Arial" w:hAnsi="Arial" w:eastAsia="Calibri" w:cs="Arial"/>
          <w:sz w:val="24"/>
          <w:szCs w:val="24"/>
        </w:rPr>
      </w:pPr>
      <w:r>
        <w:rPr>
          <w:rFonts w:ascii="Arial" w:hAnsi="Arial" w:eastAsia="Calibri" w:cs="Arial"/>
          <w:sz w:val="24"/>
          <w:szCs w:val="24"/>
        </w:rPr>
        <w:t xml:space="preserve">Firstly, the Ansoff Matrix facilitates the strategies of growth by mapping opportunities, including market penetration, product development, market development, and diversification, to react to external change (Zugay and Zakaria, 2023). Secondly, the Generic Strategies of Porter (cost leadership, differentiation, focus) are prisms within which companies can organise themselves in reference to competitors in the face of external forces. Thirdly, the Resource-Based View (RBV) focuses on the internal resources and capabilities (e.g. patents, R&amp;D capabilities, knowledge) that facilitate sustainable advantage. Lastly, the Diffusion of Innovation Theory assists in understanding the process of innovations spreading through markets to influence how both innovators and adopters schedule their own adoption and diffusion programmes (Sahin, 2006). </w:t>
      </w:r>
    </w:p>
    <w:p w14:paraId="1B02D2CA">
      <w:pPr>
        <w:pStyle w:val="4"/>
        <w:keepNext w:val="0"/>
        <w:keepLines w:val="0"/>
        <w:spacing w:after="80" w:line="360" w:lineRule="auto"/>
        <w:jc w:val="both"/>
        <w:rPr>
          <w:rFonts w:ascii="Arial" w:hAnsi="Arial" w:eastAsia="Calibri" w:cs="Arial"/>
          <w:b/>
          <w:sz w:val="24"/>
          <w:szCs w:val="24"/>
        </w:rPr>
      </w:pPr>
      <w:bookmarkStart w:id="17" w:name="_h31jb0dd2opp" w:colFirst="0" w:colLast="0"/>
      <w:bookmarkEnd w:id="17"/>
      <w:r>
        <w:rPr>
          <w:rFonts w:ascii="Arial" w:hAnsi="Arial" w:eastAsia="Calibri" w:cs="Arial"/>
          <w:b/>
          <w:sz w:val="24"/>
          <w:szCs w:val="24"/>
        </w:rPr>
        <w:t>2.1 Pioneering Organisations’ Strategic Responses</w:t>
      </w:r>
    </w:p>
    <w:p w14:paraId="59AD3D28">
      <w:pPr>
        <w:spacing w:before="240" w:after="240" w:line="360" w:lineRule="auto"/>
        <w:rPr>
          <w:rFonts w:ascii="Arial" w:hAnsi="Arial" w:eastAsia="Calibri" w:cs="Arial"/>
          <w:sz w:val="24"/>
          <w:szCs w:val="24"/>
        </w:rPr>
      </w:pPr>
      <w:r>
        <w:rPr>
          <w:rFonts w:ascii="Arial" w:hAnsi="Arial" w:eastAsia="Calibri" w:cs="Arial"/>
          <w:sz w:val="24"/>
          <w:szCs w:val="24"/>
        </w:rPr>
        <w:t>Innovative companies face the opportunity and threat of technological and regulatory change. Their reactions should not only develop initial benefits but also maintain them over competitors and changing policy situations.</w:t>
      </w:r>
    </w:p>
    <w:p w14:paraId="22D7A6A5">
      <w:pPr>
        <w:pStyle w:val="5"/>
        <w:keepNext w:val="0"/>
        <w:keepLines w:val="0"/>
        <w:spacing w:before="280" w:line="360" w:lineRule="auto"/>
        <w:jc w:val="both"/>
        <w:rPr>
          <w:rFonts w:ascii="Arial" w:hAnsi="Arial" w:eastAsia="Calibri" w:cs="Arial"/>
          <w:b/>
          <w:color w:val="000000"/>
          <w:sz w:val="24"/>
          <w:szCs w:val="24"/>
        </w:rPr>
      </w:pPr>
      <w:bookmarkStart w:id="18" w:name="_f7l8dj4bukh1" w:colFirst="0" w:colLast="0"/>
      <w:bookmarkEnd w:id="18"/>
      <w:r>
        <w:rPr>
          <w:rFonts w:ascii="Arial" w:hAnsi="Arial" w:eastAsia="Calibri" w:cs="Arial"/>
          <w:b/>
          <w:color w:val="000000"/>
          <w:sz w:val="24"/>
          <w:szCs w:val="24"/>
        </w:rPr>
        <w:t>Technological Responses</w:t>
      </w:r>
    </w:p>
    <w:p w14:paraId="448356E3">
      <w:pPr>
        <w:spacing w:before="240" w:after="240" w:line="360" w:lineRule="auto"/>
        <w:rPr>
          <w:rFonts w:ascii="Arial" w:hAnsi="Arial" w:eastAsia="Calibri" w:cs="Arial"/>
          <w:sz w:val="24"/>
          <w:szCs w:val="24"/>
        </w:rPr>
      </w:pPr>
      <w:r>
        <w:rPr>
          <w:rFonts w:ascii="Arial" w:hAnsi="Arial" w:eastAsia="Calibri" w:cs="Arial"/>
          <w:sz w:val="24"/>
          <w:szCs w:val="24"/>
        </w:rPr>
        <w:t>In an effort to lead in technology, innovators usually embrace creative leadership, research and development, and the development of the market. They drive the technology edge by investing continuously in research and seizing upgrades and new features before their rivals can. According to the first-mover advantage theory of Lieberman and Montgomery (1988), first-movers have the advantage of being able to claim better resources, attain learning-curve advantages, and create switching costs. First movers that implement intellectual property (patents) or own key assets increase barriers to entry.</w:t>
      </w:r>
    </w:p>
    <w:p w14:paraId="081D0724">
      <w:pPr>
        <w:spacing w:before="240" w:after="240" w:line="360" w:lineRule="auto"/>
        <w:rPr>
          <w:rFonts w:ascii="Arial" w:hAnsi="Arial" w:eastAsia="Calibri" w:cs="Arial"/>
          <w:sz w:val="24"/>
          <w:szCs w:val="24"/>
        </w:rPr>
      </w:pPr>
      <w:r>
        <w:rPr>
          <w:rFonts w:ascii="Arial" w:hAnsi="Arial" w:eastAsia="Calibri" w:cs="Arial"/>
          <w:sz w:val="24"/>
          <w:szCs w:val="24"/>
        </w:rPr>
        <w:t>Tesla is an example of such an approach. It is vertically integrated, as it creates its own batteries, motors, and control systems, which allows less reliance on suppliers and greater control over the quality and timing. This integration reduces cost and shortens cycles of innovation. Its vertical strategy is said to have resulted in a decrease in production costs (Eightception, 2024). Furthermore, the fact that Tesla implements over-the-air (OTA) software updates to continually upgrade features, performance optimisations, and bugs after sales strengthens the customer lock-in and product differentiation (Liu, Boothman and Graham, 2025). Nevertheless, they are very expensive. Maintaining them can burden capital, and any error (e.g. bets on technology that fail) can put pioneers at risk (Porter and Linde, 1995).</w:t>
      </w:r>
    </w:p>
    <w:p w14:paraId="1A4B7CC7">
      <w:pPr>
        <w:pStyle w:val="5"/>
        <w:keepNext w:val="0"/>
        <w:keepLines w:val="0"/>
        <w:spacing w:before="280" w:line="360" w:lineRule="auto"/>
        <w:jc w:val="both"/>
        <w:rPr>
          <w:rFonts w:ascii="Arial" w:hAnsi="Arial" w:eastAsia="Calibri" w:cs="Arial"/>
          <w:b/>
          <w:color w:val="000000"/>
          <w:sz w:val="24"/>
          <w:szCs w:val="24"/>
        </w:rPr>
      </w:pPr>
      <w:bookmarkStart w:id="19" w:name="_xukj9ivvefwn" w:colFirst="0" w:colLast="0"/>
      <w:bookmarkEnd w:id="19"/>
      <w:r>
        <w:rPr>
          <w:rFonts w:ascii="Arial" w:hAnsi="Arial" w:eastAsia="Calibri" w:cs="Arial"/>
          <w:b/>
          <w:color w:val="000000"/>
          <w:sz w:val="24"/>
          <w:szCs w:val="24"/>
        </w:rPr>
        <w:t>Regul</w:t>
      </w:r>
      <w:r>
        <w:rPr>
          <w:rFonts w:ascii="Arial" w:hAnsi="Arial" w:eastAsia="Calibri" w:cs="Arial"/>
          <w:b/>
          <w:color w:val="000000"/>
          <w:sz w:val="24"/>
          <w:szCs w:val="24"/>
        </w:rPr>
        <w:t>atory / Environmental Responses</w:t>
      </w:r>
    </w:p>
    <w:p w14:paraId="2FA825BB">
      <w:pPr>
        <w:spacing w:before="240" w:after="240" w:line="360" w:lineRule="auto"/>
        <w:rPr>
          <w:rFonts w:ascii="Arial" w:hAnsi="Arial" w:eastAsia="Calibri" w:cs="Arial"/>
          <w:sz w:val="24"/>
          <w:szCs w:val="24"/>
        </w:rPr>
      </w:pPr>
      <w:r>
        <w:rPr>
          <w:rFonts w:ascii="Arial" w:hAnsi="Arial" w:eastAsia="Calibri" w:cs="Arial"/>
          <w:sz w:val="24"/>
          <w:szCs w:val="24"/>
        </w:rPr>
        <w:t xml:space="preserve">In response to regulatory pressure, first movers tend to use proactive compliance, lobbying, and sustainable branding as a strategic response. Instead of reacting passively, they enlist regulators, influence the development of standards, and incorporate sustainability into their value-making (Schillmann, 2020). </w:t>
      </w:r>
    </w:p>
    <w:p w14:paraId="1A76A6E8">
      <w:pPr>
        <w:spacing w:before="240" w:after="240" w:line="360" w:lineRule="auto"/>
        <w:rPr>
          <w:rFonts w:ascii="Arial" w:hAnsi="Arial" w:eastAsia="Calibri" w:cs="Arial"/>
          <w:sz w:val="24"/>
          <w:szCs w:val="24"/>
        </w:rPr>
      </w:pPr>
      <w:r>
        <w:rPr>
          <w:rFonts w:ascii="Arial" w:hAnsi="Arial" w:eastAsia="Calibri" w:cs="Arial"/>
          <w:sz w:val="24"/>
          <w:szCs w:val="24"/>
        </w:rPr>
        <w:t>A visionary such as Tesla can be well aligned with carbon regulation regimes, receive subsidies, emission credits, or tax breaks, in an EV or energy scenario (Porter and Linde, 1995). Furthermore, its positioning as a sustainable leader also earns it reputational capital with regulators, consumers, and investors, which in turn may affect the establishment of policy frameworks to advantage its technological directions.</w:t>
      </w:r>
    </w:p>
    <w:p w14:paraId="7ADC7D2C">
      <w:pPr>
        <w:pStyle w:val="5"/>
        <w:keepNext w:val="0"/>
        <w:keepLines w:val="0"/>
        <w:spacing w:before="280" w:line="360" w:lineRule="auto"/>
        <w:jc w:val="both"/>
        <w:rPr>
          <w:rFonts w:ascii="Arial" w:hAnsi="Arial" w:eastAsia="Calibri" w:cs="Arial"/>
          <w:b/>
          <w:color w:val="000000"/>
          <w:sz w:val="24"/>
          <w:szCs w:val="24"/>
        </w:rPr>
      </w:pPr>
      <w:bookmarkStart w:id="20" w:name="_oa25ozfemkjc" w:colFirst="0" w:colLast="0"/>
      <w:bookmarkEnd w:id="20"/>
      <w:r>
        <w:rPr>
          <w:rFonts w:ascii="Arial" w:hAnsi="Arial" w:eastAsia="Calibri" w:cs="Arial"/>
          <w:b/>
          <w:color w:val="000000"/>
          <w:sz w:val="24"/>
          <w:szCs w:val="24"/>
        </w:rPr>
        <w:t>Critical Evaluation: Successes and Limitations</w:t>
      </w:r>
    </w:p>
    <w:p w14:paraId="3A90E259">
      <w:pPr>
        <w:spacing w:before="240" w:after="240" w:line="360" w:lineRule="auto"/>
        <w:rPr>
          <w:rFonts w:ascii="Arial" w:hAnsi="Arial" w:eastAsia="Calibri" w:cs="Arial"/>
          <w:sz w:val="24"/>
          <w:szCs w:val="24"/>
        </w:rPr>
      </w:pPr>
      <w:r>
        <w:rPr>
          <w:rFonts w:ascii="Arial" w:hAnsi="Arial" w:eastAsia="Calibri" w:cs="Arial"/>
          <w:sz w:val="24"/>
          <w:szCs w:val="24"/>
        </w:rPr>
        <w:t>Although innovative strategies may create market leadership, they have a risk attached to them. The cost of long-term R&amp;D, infrastructure and compliance can be very high and eliminates margins. Particularly, when competitors catch up or regulatory regimes change to their disadvantage. Pioneers can be path dependent: initial technology decisions can be incompatible with new paradigms or become stranded by the appearance of better alternatives. As well, aggressive sustainability branding or lobbying can also be subject to questioning, backlash or regulatory overreach (Sahin, 2006).</w:t>
      </w:r>
    </w:p>
    <w:p w14:paraId="400C56CE">
      <w:pPr>
        <w:spacing w:before="240" w:after="240" w:line="360" w:lineRule="auto"/>
        <w:rPr>
          <w:rFonts w:ascii="Arial" w:hAnsi="Arial" w:eastAsia="Calibri" w:cs="Arial"/>
          <w:i/>
          <w:iCs/>
          <w:sz w:val="22"/>
        </w:rPr>
      </w:pPr>
      <w:r>
        <w:rPr>
          <w:rFonts w:ascii="Arial" w:hAnsi="Arial" w:eastAsia="Calibri" w:cs="Arial"/>
          <w:i/>
          <w:iCs/>
          <w:sz w:val="22"/>
        </w:rPr>
        <w:t>Table 1: Pioneering Responses through the STP Framework</w:t>
      </w:r>
    </w:p>
    <w:tbl>
      <w:tblPr>
        <w:tblStyle w:val="15"/>
        <w:tblW w:w="0" w:type="auto"/>
        <w:tblInd w:w="0" w:type="dxa"/>
        <w:tblBorders>
          <w:top w:val="single" w:color="95B3D7" w:sz="4" w:space="0"/>
          <w:left w:val="single" w:color="95B3D7" w:sz="4" w:space="0"/>
          <w:bottom w:val="single" w:color="95B3D7" w:sz="4" w:space="0"/>
          <w:right w:val="single" w:color="95B3D7" w:sz="4" w:space="0"/>
          <w:insideH w:val="single" w:color="95B3D7" w:sz="4" w:space="0"/>
          <w:insideV w:val="single" w:color="95B3D7" w:sz="4" w:space="0"/>
        </w:tblBorders>
        <w:tblLayout w:type="fixed"/>
        <w:tblCellMar>
          <w:top w:w="0" w:type="dxa"/>
          <w:left w:w="108" w:type="dxa"/>
          <w:bottom w:w="0" w:type="dxa"/>
          <w:right w:w="108" w:type="dxa"/>
        </w:tblCellMar>
      </w:tblPr>
      <w:tblGrid>
        <w:gridCol w:w="1704"/>
        <w:gridCol w:w="2288"/>
        <w:gridCol w:w="5367"/>
      </w:tblGrid>
      <w:tr w14:paraId="3B2865E0">
        <w:tblPrEx>
          <w:tblLayout w:type="fixed"/>
        </w:tblPrEx>
        <w:tc>
          <w:tcPr>
            <w:tcW w:w="1704" w:type="dxa"/>
          </w:tcPr>
          <w:p w14:paraId="662D9DFA">
            <w:pPr>
              <w:spacing w:line="360" w:lineRule="auto"/>
              <w:jc w:val="center"/>
              <w:rPr>
                <w:rFonts w:ascii="Arial" w:hAnsi="Arial" w:eastAsia="Times New Roman" w:cs="Arial"/>
                <w:sz w:val="24"/>
                <w:szCs w:val="24"/>
              </w:rPr>
            </w:pPr>
            <w:r>
              <w:rPr>
                <w:rFonts w:ascii="Arial" w:hAnsi="Arial" w:eastAsia="Times New Roman" w:cs="Arial"/>
                <w:sz w:val="24"/>
                <w:szCs w:val="24"/>
              </w:rPr>
              <w:t>STP Element</w:t>
            </w:r>
          </w:p>
        </w:tc>
        <w:tc>
          <w:tcPr>
            <w:tcW w:w="2288" w:type="dxa"/>
          </w:tcPr>
          <w:p w14:paraId="53D50A08">
            <w:pPr>
              <w:spacing w:line="360" w:lineRule="auto"/>
              <w:jc w:val="center"/>
              <w:rPr>
                <w:rFonts w:ascii="Arial" w:hAnsi="Arial" w:eastAsia="Times New Roman" w:cs="Arial"/>
                <w:sz w:val="24"/>
                <w:szCs w:val="24"/>
              </w:rPr>
            </w:pPr>
            <w:r>
              <w:rPr>
                <w:rFonts w:ascii="Arial" w:hAnsi="Arial" w:eastAsia="Times New Roman" w:cs="Arial"/>
                <w:sz w:val="24"/>
                <w:szCs w:val="24"/>
              </w:rPr>
              <w:t>Pioneering Strategy</w:t>
            </w:r>
          </w:p>
        </w:tc>
        <w:tc>
          <w:tcPr>
            <w:tcW w:w="5367" w:type="dxa"/>
          </w:tcPr>
          <w:p w14:paraId="445168C7">
            <w:pPr>
              <w:spacing w:line="360" w:lineRule="auto"/>
              <w:jc w:val="center"/>
              <w:rPr>
                <w:rFonts w:ascii="Arial" w:hAnsi="Arial" w:eastAsia="Times New Roman" w:cs="Arial"/>
                <w:sz w:val="24"/>
                <w:szCs w:val="24"/>
              </w:rPr>
            </w:pPr>
            <w:r>
              <w:rPr>
                <w:rFonts w:ascii="Arial" w:hAnsi="Arial" w:eastAsia="Times New Roman" w:cs="Arial"/>
                <w:sz w:val="24"/>
                <w:szCs w:val="24"/>
              </w:rPr>
              <w:t>Explanation / Example</w:t>
            </w:r>
          </w:p>
        </w:tc>
      </w:tr>
      <w:tr w14:paraId="20A9204A">
        <w:tblPrEx>
          <w:tblLayout w:type="fixed"/>
        </w:tblPrEx>
        <w:tc>
          <w:tcPr>
            <w:tcW w:w="1704" w:type="dxa"/>
          </w:tcPr>
          <w:p w14:paraId="380C84E3">
            <w:pPr>
              <w:spacing w:line="360" w:lineRule="auto"/>
              <w:jc w:val="center"/>
              <w:rPr>
                <w:rFonts w:ascii="Arial" w:hAnsi="Arial" w:eastAsia="Times New Roman" w:cs="Arial"/>
                <w:sz w:val="24"/>
                <w:szCs w:val="24"/>
              </w:rPr>
            </w:pPr>
            <w:r>
              <w:rPr>
                <w:rFonts w:ascii="Arial" w:hAnsi="Arial" w:eastAsia="Times New Roman" w:cs="Arial"/>
                <w:sz w:val="24"/>
                <w:szCs w:val="24"/>
              </w:rPr>
              <w:t>Segmentation</w:t>
            </w:r>
          </w:p>
        </w:tc>
        <w:tc>
          <w:tcPr>
            <w:tcW w:w="2288" w:type="dxa"/>
          </w:tcPr>
          <w:p w14:paraId="25AEC7A1">
            <w:pPr>
              <w:spacing w:line="360" w:lineRule="auto"/>
              <w:jc w:val="center"/>
              <w:rPr>
                <w:rFonts w:ascii="Arial" w:hAnsi="Arial" w:eastAsia="Times New Roman" w:cs="Arial"/>
                <w:sz w:val="24"/>
                <w:szCs w:val="24"/>
              </w:rPr>
            </w:pPr>
            <w:r>
              <w:rPr>
                <w:rFonts w:ascii="Arial" w:hAnsi="Arial" w:eastAsia="Times New Roman" w:cs="Arial"/>
                <w:sz w:val="24"/>
                <w:szCs w:val="24"/>
              </w:rPr>
              <w:t>Psychographic and behavioural segmentation</w:t>
            </w:r>
          </w:p>
        </w:tc>
        <w:tc>
          <w:tcPr>
            <w:tcW w:w="5367" w:type="dxa"/>
          </w:tcPr>
          <w:p w14:paraId="4134C3F7">
            <w:pPr>
              <w:spacing w:line="360" w:lineRule="auto"/>
              <w:jc w:val="left"/>
              <w:rPr>
                <w:rFonts w:ascii="Arial" w:hAnsi="Arial" w:eastAsia="Times New Roman" w:cs="Arial"/>
                <w:sz w:val="24"/>
                <w:szCs w:val="24"/>
              </w:rPr>
            </w:pPr>
            <w:r>
              <w:rPr>
                <w:rFonts w:ascii="Arial" w:hAnsi="Arial" w:eastAsia="Times New Roman" w:cs="Arial"/>
                <w:sz w:val="24"/>
                <w:szCs w:val="24"/>
              </w:rPr>
              <w:t>Pioneers identify early adopters and environmentally conscious consumers who value innovation, technology, and sustainability. These consumers are typically less price-sensitive and motivated by novelty and environmental impact.</w:t>
            </w:r>
          </w:p>
        </w:tc>
      </w:tr>
      <w:tr w14:paraId="3157CA4B">
        <w:tblPrEx>
          <w:tblLayout w:type="fixed"/>
        </w:tblPrEx>
        <w:tc>
          <w:tcPr>
            <w:tcW w:w="1704" w:type="dxa"/>
          </w:tcPr>
          <w:p w14:paraId="19DACED6">
            <w:pPr>
              <w:spacing w:line="360" w:lineRule="auto"/>
              <w:jc w:val="center"/>
              <w:rPr>
                <w:rFonts w:ascii="Arial" w:hAnsi="Arial" w:eastAsia="Times New Roman" w:cs="Arial"/>
                <w:sz w:val="24"/>
                <w:szCs w:val="24"/>
              </w:rPr>
            </w:pPr>
            <w:r>
              <w:rPr>
                <w:rFonts w:ascii="Arial" w:hAnsi="Arial" w:eastAsia="Times New Roman" w:cs="Arial"/>
                <w:sz w:val="24"/>
                <w:szCs w:val="24"/>
              </w:rPr>
              <w:t>Targeting</w:t>
            </w:r>
          </w:p>
        </w:tc>
        <w:tc>
          <w:tcPr>
            <w:tcW w:w="2288" w:type="dxa"/>
          </w:tcPr>
          <w:p w14:paraId="7369DD2C">
            <w:pPr>
              <w:spacing w:line="360" w:lineRule="auto"/>
              <w:jc w:val="center"/>
              <w:rPr>
                <w:rFonts w:ascii="Arial" w:hAnsi="Arial" w:eastAsia="Times New Roman" w:cs="Arial"/>
                <w:sz w:val="24"/>
                <w:szCs w:val="24"/>
              </w:rPr>
            </w:pPr>
            <w:r>
              <w:rPr>
                <w:rFonts w:ascii="Arial" w:hAnsi="Arial" w:eastAsia="Times New Roman" w:cs="Arial"/>
                <w:sz w:val="24"/>
                <w:szCs w:val="24"/>
              </w:rPr>
              <w:t>Niche or premium targeting</w:t>
            </w:r>
          </w:p>
        </w:tc>
        <w:tc>
          <w:tcPr>
            <w:tcW w:w="5367" w:type="dxa"/>
          </w:tcPr>
          <w:p w14:paraId="2662987B">
            <w:pPr>
              <w:spacing w:line="360" w:lineRule="auto"/>
              <w:jc w:val="left"/>
              <w:rPr>
                <w:rFonts w:ascii="Arial" w:hAnsi="Arial" w:eastAsia="Times New Roman" w:cs="Arial"/>
                <w:sz w:val="24"/>
                <w:szCs w:val="24"/>
              </w:rPr>
            </w:pPr>
            <w:r>
              <w:rPr>
                <w:rFonts w:ascii="Arial" w:hAnsi="Arial" w:eastAsia="Times New Roman" w:cs="Arial"/>
                <w:sz w:val="24"/>
                <w:szCs w:val="24"/>
              </w:rPr>
              <w:t>Pioneers initially focus on high-end market segments willing to pay premium prices for cutting-edge technology and sustainable performance. Example: Tesla targeted luxury EV buyers before expanding to mass-market models.</w:t>
            </w:r>
          </w:p>
        </w:tc>
      </w:tr>
      <w:tr w14:paraId="41921E61">
        <w:tblPrEx>
          <w:tblLayout w:type="fixed"/>
        </w:tblPrEx>
        <w:tc>
          <w:tcPr>
            <w:tcW w:w="1704" w:type="dxa"/>
          </w:tcPr>
          <w:p w14:paraId="40E153EE">
            <w:pPr>
              <w:spacing w:line="360" w:lineRule="auto"/>
              <w:jc w:val="center"/>
              <w:rPr>
                <w:rFonts w:ascii="Arial" w:hAnsi="Arial" w:eastAsia="Times New Roman" w:cs="Arial"/>
                <w:sz w:val="24"/>
                <w:szCs w:val="24"/>
              </w:rPr>
            </w:pPr>
            <w:r>
              <w:rPr>
                <w:rFonts w:ascii="Arial" w:hAnsi="Arial" w:eastAsia="Times New Roman" w:cs="Arial"/>
                <w:sz w:val="24"/>
                <w:szCs w:val="24"/>
              </w:rPr>
              <w:t>Positioning</w:t>
            </w:r>
          </w:p>
        </w:tc>
        <w:tc>
          <w:tcPr>
            <w:tcW w:w="2288" w:type="dxa"/>
          </w:tcPr>
          <w:p w14:paraId="2F392353">
            <w:pPr>
              <w:spacing w:line="360" w:lineRule="auto"/>
              <w:jc w:val="center"/>
              <w:rPr>
                <w:rFonts w:ascii="Arial" w:hAnsi="Arial" w:eastAsia="Times New Roman" w:cs="Arial"/>
                <w:sz w:val="24"/>
                <w:szCs w:val="24"/>
              </w:rPr>
            </w:pPr>
            <w:r>
              <w:rPr>
                <w:rFonts w:ascii="Arial" w:hAnsi="Arial" w:eastAsia="Times New Roman" w:cs="Arial"/>
                <w:sz w:val="24"/>
                <w:szCs w:val="24"/>
              </w:rPr>
              <w:t>Innovation and sustainability leadership</w:t>
            </w:r>
          </w:p>
        </w:tc>
        <w:tc>
          <w:tcPr>
            <w:tcW w:w="5367" w:type="dxa"/>
          </w:tcPr>
          <w:p w14:paraId="5B0B59C7">
            <w:pPr>
              <w:spacing w:line="360" w:lineRule="auto"/>
              <w:jc w:val="left"/>
              <w:rPr>
                <w:rFonts w:ascii="Arial" w:hAnsi="Arial" w:eastAsia="Times New Roman" w:cs="Arial"/>
                <w:sz w:val="24"/>
                <w:szCs w:val="24"/>
              </w:rPr>
            </w:pPr>
            <w:r>
              <w:rPr>
                <w:rFonts w:ascii="Arial" w:hAnsi="Arial" w:eastAsia="Times New Roman" w:cs="Arial"/>
                <w:sz w:val="24"/>
                <w:szCs w:val="24"/>
              </w:rPr>
              <w:t>Pioneers position themselves as industry innovators and eco-leaders, emphasising technological superiority, zero emissions, and performance excellence to reinforce differentiation and brand value.</w:t>
            </w:r>
          </w:p>
        </w:tc>
      </w:tr>
    </w:tbl>
    <w:p w14:paraId="32DEC761">
      <w:pPr>
        <w:pStyle w:val="4"/>
        <w:keepNext w:val="0"/>
        <w:keepLines w:val="0"/>
        <w:spacing w:after="80" w:line="360" w:lineRule="auto"/>
        <w:jc w:val="both"/>
        <w:rPr>
          <w:rFonts w:ascii="Arial" w:hAnsi="Arial" w:eastAsia="Calibri" w:cs="Arial"/>
          <w:b/>
          <w:sz w:val="24"/>
          <w:szCs w:val="24"/>
        </w:rPr>
      </w:pPr>
      <w:bookmarkStart w:id="21" w:name="_89jc38extu13" w:colFirst="0" w:colLast="0"/>
      <w:bookmarkEnd w:id="21"/>
      <w:r>
        <w:rPr>
          <w:rFonts w:ascii="Arial" w:hAnsi="Arial" w:eastAsia="Calibri" w:cs="Arial"/>
          <w:b/>
          <w:sz w:val="24"/>
          <w:szCs w:val="24"/>
        </w:rPr>
        <w:t>2.2 Follower Organisations’ Strategic Responses</w:t>
      </w:r>
    </w:p>
    <w:p w14:paraId="34482545">
      <w:pPr>
        <w:spacing w:before="240" w:after="240" w:line="360" w:lineRule="auto"/>
        <w:rPr>
          <w:rFonts w:ascii="Arial" w:hAnsi="Arial" w:eastAsia="Calibri" w:cs="Arial"/>
          <w:sz w:val="24"/>
          <w:szCs w:val="24"/>
        </w:rPr>
      </w:pPr>
      <w:r>
        <w:rPr>
          <w:rFonts w:ascii="Arial" w:hAnsi="Arial" w:eastAsia="Calibri" w:cs="Arial"/>
          <w:sz w:val="24"/>
          <w:szCs w:val="24"/>
        </w:rPr>
        <w:t>Follower (late-entrant) companies have to walk on strategic tiptoes: they do not have an option of influencing the new markets but can utilise borrowed wisdom, finesse execution and responsive positioning to threaten leaders. Their reaction to technological and regulatory strains commonly focuses on the imitative innovation, efficiency in costs, adaptive compliance and teamwork.</w:t>
      </w:r>
    </w:p>
    <w:p w14:paraId="5686A1AF">
      <w:pPr>
        <w:pStyle w:val="5"/>
        <w:keepNext w:val="0"/>
        <w:keepLines w:val="0"/>
        <w:spacing w:before="280" w:line="360" w:lineRule="auto"/>
        <w:jc w:val="both"/>
        <w:rPr>
          <w:rFonts w:ascii="Arial" w:hAnsi="Arial" w:eastAsia="Calibri" w:cs="Arial"/>
          <w:b/>
          <w:color w:val="000000"/>
          <w:sz w:val="24"/>
          <w:szCs w:val="24"/>
        </w:rPr>
      </w:pPr>
      <w:bookmarkStart w:id="22" w:name="_cefyazf6wf9g" w:colFirst="0" w:colLast="0"/>
      <w:bookmarkEnd w:id="22"/>
      <w:r>
        <w:rPr>
          <w:rFonts w:ascii="Arial" w:hAnsi="Arial" w:eastAsia="Calibri" w:cs="Arial"/>
          <w:b/>
          <w:color w:val="000000"/>
          <w:sz w:val="24"/>
          <w:szCs w:val="24"/>
        </w:rPr>
        <w:t>Technological Responses</w:t>
      </w:r>
    </w:p>
    <w:p w14:paraId="273849AA">
      <w:pPr>
        <w:spacing w:before="240" w:after="240" w:line="360" w:lineRule="auto"/>
        <w:rPr>
          <w:rFonts w:ascii="Arial" w:hAnsi="Arial" w:eastAsia="Calibri" w:cs="Arial"/>
          <w:sz w:val="24"/>
          <w:szCs w:val="24"/>
        </w:rPr>
      </w:pPr>
      <w:r>
        <w:rPr>
          <w:rFonts w:ascii="Arial" w:hAnsi="Arial" w:eastAsia="Calibri" w:cs="Arial"/>
          <w:sz w:val="24"/>
          <w:szCs w:val="24"/>
        </w:rPr>
        <w:t>Imitative innovation is one of the main strategic tools that the followers have. Incremental improvement, benchmarking innovative products, and utilising technologies that have been tested and not innovative (Wadhwa et al., 2020). Through the achievements and mistakes of pioneers, followers minimise risk, do not rediscover the wheel, and optimise performance or design. According to the late-mover advantage theory (Shankar, Carpenter and Krishnamurthi, 1998), a late-mover can achieve more than a pioneer because it can learn through its mistakes and seek better resources.</w:t>
      </w:r>
    </w:p>
    <w:p w14:paraId="70826C20">
      <w:pPr>
        <w:spacing w:before="240" w:after="240" w:line="360" w:lineRule="auto"/>
        <w:rPr>
          <w:rFonts w:ascii="Arial" w:hAnsi="Arial" w:eastAsia="Calibri" w:cs="Arial"/>
          <w:sz w:val="24"/>
          <w:szCs w:val="24"/>
        </w:rPr>
      </w:pPr>
      <w:r>
        <w:rPr>
          <w:rFonts w:ascii="Arial" w:hAnsi="Arial" w:eastAsia="Calibri" w:cs="Arial"/>
          <w:sz w:val="24"/>
          <w:szCs w:val="24"/>
        </w:rPr>
        <w:t>Cost efficiency and scale are also stressed by the followers. Since the first movers have taken the burden of investing in early R&amp;D, the second movers can avoid sunk costs and maximise production with advanced technologies and developed processes (Sun, Gu and Tang, 2025).</w:t>
      </w:r>
    </w:p>
    <w:p w14:paraId="5D4F851D">
      <w:pPr>
        <w:spacing w:before="240" w:after="240" w:line="360" w:lineRule="auto"/>
        <w:rPr>
          <w:rFonts w:ascii="Arial" w:hAnsi="Arial" w:eastAsia="Calibri" w:cs="Arial"/>
          <w:sz w:val="24"/>
          <w:szCs w:val="24"/>
        </w:rPr>
      </w:pPr>
      <w:r>
        <w:rPr>
          <w:rFonts w:ascii="Arial" w:hAnsi="Arial" w:eastAsia="Calibri" w:cs="Arial"/>
          <w:sz w:val="24"/>
          <w:szCs w:val="24"/>
        </w:rPr>
        <w:t xml:space="preserve">As an example, Hyundai is pursuing its EV strategy actively with modular architectures and using its old production strengths. The grand strategy of Hyundai is its Electrification project, which will provide 2 million EVs by 2030 with the help of its Integrated Modular Architecture (IMA), which will simplify the company and make it more flexible. This will enable Hyundai to scale at a lower cost, implementing battery and software solutions that have already been de-risked by pioneers (Hyundai, 2025). Nevertheless, the risk of brand perception is on the side of the followers; they will be viewed as derivative instead of innovative, hence they are not able to charge high prices or build customer loyalty. </w:t>
      </w:r>
    </w:p>
    <w:p w14:paraId="3DC07D02">
      <w:pPr>
        <w:pStyle w:val="5"/>
        <w:keepNext w:val="0"/>
        <w:keepLines w:val="0"/>
        <w:spacing w:before="280" w:line="360" w:lineRule="auto"/>
        <w:jc w:val="both"/>
        <w:rPr>
          <w:rFonts w:ascii="Arial" w:hAnsi="Arial" w:eastAsia="Calibri" w:cs="Arial"/>
          <w:b/>
          <w:color w:val="000000"/>
          <w:sz w:val="24"/>
          <w:szCs w:val="24"/>
        </w:rPr>
      </w:pPr>
      <w:bookmarkStart w:id="23" w:name="_sw1vyp7mp8z0" w:colFirst="0" w:colLast="0"/>
      <w:bookmarkEnd w:id="23"/>
      <w:r>
        <w:rPr>
          <w:rFonts w:ascii="Arial" w:hAnsi="Arial" w:eastAsia="Calibri" w:cs="Arial"/>
          <w:b/>
          <w:color w:val="000000"/>
          <w:sz w:val="24"/>
          <w:szCs w:val="24"/>
        </w:rPr>
        <w:t>Regulatory / Environmental Responses</w:t>
      </w:r>
    </w:p>
    <w:p w14:paraId="07E7B33D">
      <w:pPr>
        <w:spacing w:before="240" w:after="240" w:line="360" w:lineRule="auto"/>
        <w:rPr>
          <w:rFonts w:ascii="Arial" w:hAnsi="Arial" w:eastAsia="Calibri" w:cs="Arial"/>
          <w:sz w:val="24"/>
          <w:szCs w:val="24"/>
        </w:rPr>
      </w:pPr>
      <w:r>
        <w:rPr>
          <w:rFonts w:ascii="Arial" w:hAnsi="Arial" w:eastAsia="Calibri" w:cs="Arial"/>
          <w:sz w:val="24"/>
          <w:szCs w:val="24"/>
        </w:rPr>
        <w:t>On the regulatory front, followers tend to seek adaptive compliance, strategic alliances, and collaborations with regulators, NGOs or industry consortia. They do not make their own rules, but rather conform to new regulatory standards, best practices and diversify their bets in many compliance directions.</w:t>
      </w:r>
    </w:p>
    <w:p w14:paraId="30ED7B36">
      <w:pPr>
        <w:spacing w:before="240" w:after="240" w:line="360" w:lineRule="auto"/>
        <w:rPr>
          <w:rFonts w:ascii="Arial" w:hAnsi="Arial" w:eastAsia="Calibri" w:cs="Arial"/>
          <w:sz w:val="24"/>
          <w:szCs w:val="24"/>
        </w:rPr>
      </w:pPr>
      <w:r>
        <w:rPr>
          <w:rFonts w:ascii="Arial" w:hAnsi="Arial" w:eastAsia="Calibri" w:cs="Arial"/>
          <w:sz w:val="24"/>
          <w:szCs w:val="24"/>
        </w:rPr>
        <w:t>A follower can also associate with technology providers, colleges or even spin-offs by a pioneer to gain access to green technologies or compliance knowledge. It can also sign regulatory credit or joint ventures, whereby it can share risk and reward.</w:t>
      </w:r>
    </w:p>
    <w:p w14:paraId="3E12DC4B">
      <w:pPr>
        <w:spacing w:before="240" w:after="240" w:line="360" w:lineRule="auto"/>
        <w:rPr>
          <w:rFonts w:ascii="Arial" w:hAnsi="Arial" w:eastAsia="Calibri" w:cs="Arial"/>
          <w:sz w:val="24"/>
          <w:szCs w:val="24"/>
        </w:rPr>
      </w:pPr>
      <w:r>
        <w:rPr>
          <w:rFonts w:ascii="Arial" w:hAnsi="Arial" w:eastAsia="Calibri" w:cs="Arial"/>
          <w:sz w:val="24"/>
          <w:szCs w:val="24"/>
        </w:rPr>
        <w:t>As an example, Toyota has always aligned its product strategy to global emissions standards by utilising hybrid technologies. The hybrid and plug-in hybrid vehicle systems enable Toyota to comply with highly strict emission rules in different markets without overinvesting in battery electric vehicles too soon. In this way, Toyota will keep its options open: by increasing the EV presence step by step, it ensures both compliance with the regulations and the absence of regulatory fines.</w:t>
      </w:r>
    </w:p>
    <w:p w14:paraId="629BEFED">
      <w:pPr>
        <w:spacing w:before="240" w:after="240" w:line="360" w:lineRule="auto"/>
        <w:rPr>
          <w:rFonts w:ascii="Arial" w:hAnsi="Arial" w:eastAsia="Calibri" w:cs="Arial"/>
          <w:sz w:val="24"/>
          <w:szCs w:val="24"/>
        </w:rPr>
      </w:pPr>
      <w:r>
        <w:rPr>
          <w:rFonts w:ascii="Arial" w:hAnsi="Arial" w:eastAsia="Calibri" w:cs="Arial"/>
          <w:sz w:val="24"/>
          <w:szCs w:val="24"/>
        </w:rPr>
        <w:t>Additionally, the followers can capitalise on the dynamic capabilities’ theory (Teece, 2007): they can be able to adjust quickly than inflexible pioneers by constantly feeling regulatory changes, reorganising internal assets and incorporating learning. By default, followers take advantage of organisational agility, reduced overhead and strategic nimbleness to adapt more easily to fluctuating regulations or environmental requirements.</w:t>
      </w:r>
    </w:p>
    <w:p w14:paraId="3B68E1B2">
      <w:pPr>
        <w:jc w:val="left"/>
        <w:rPr>
          <w:rFonts w:ascii="Arial" w:hAnsi="Arial" w:eastAsia="Calibri" w:cs="Arial"/>
          <w:i/>
          <w:iCs/>
          <w:sz w:val="22"/>
        </w:rPr>
      </w:pPr>
      <w:r>
        <w:rPr>
          <w:rFonts w:ascii="Arial" w:hAnsi="Arial" w:eastAsia="Calibri" w:cs="Arial"/>
          <w:i/>
          <w:iCs/>
          <w:sz w:val="22"/>
        </w:rPr>
        <w:br w:type="page"/>
      </w:r>
    </w:p>
    <w:p w14:paraId="33D55141">
      <w:pPr>
        <w:spacing w:before="240" w:after="240" w:line="360" w:lineRule="auto"/>
        <w:rPr>
          <w:rFonts w:ascii="Arial" w:hAnsi="Arial" w:eastAsia="Calibri" w:cs="Arial"/>
          <w:i/>
          <w:iCs/>
          <w:sz w:val="22"/>
        </w:rPr>
      </w:pPr>
      <w:r>
        <w:rPr>
          <w:rFonts w:ascii="Arial" w:hAnsi="Arial" w:eastAsia="Calibri" w:cs="Arial"/>
          <w:i/>
          <w:iCs/>
          <w:sz w:val="22"/>
        </w:rPr>
        <w:t>Table 2: Follower Responses through the STP Framework</w:t>
      </w:r>
    </w:p>
    <w:tbl>
      <w:tblPr>
        <w:tblStyle w:val="16"/>
        <w:tblW w:w="0" w:type="auto"/>
        <w:tblInd w:w="0" w:type="dxa"/>
        <w:tblBorders>
          <w:top w:val="single" w:color="D99594" w:sz="4" w:space="0"/>
          <w:left w:val="single" w:color="D99594" w:sz="4" w:space="0"/>
          <w:bottom w:val="single" w:color="D99594" w:sz="4" w:space="0"/>
          <w:right w:val="single" w:color="D99594" w:sz="4" w:space="0"/>
          <w:insideH w:val="single" w:color="D99594" w:sz="4" w:space="0"/>
          <w:insideV w:val="single" w:color="D99594" w:sz="4" w:space="0"/>
        </w:tblBorders>
        <w:tblLayout w:type="fixed"/>
        <w:tblCellMar>
          <w:top w:w="0" w:type="dxa"/>
          <w:left w:w="108" w:type="dxa"/>
          <w:bottom w:w="0" w:type="dxa"/>
          <w:right w:w="108" w:type="dxa"/>
        </w:tblCellMar>
      </w:tblPr>
      <w:tblGrid>
        <w:gridCol w:w="1704"/>
        <w:gridCol w:w="2343"/>
        <w:gridCol w:w="5312"/>
      </w:tblGrid>
      <w:tr w14:paraId="0A7EAE91">
        <w:tblPrEx>
          <w:tblLayout w:type="fixed"/>
        </w:tblPrEx>
        <w:tc>
          <w:tcPr>
            <w:tcW w:w="1704" w:type="dxa"/>
          </w:tcPr>
          <w:p w14:paraId="40BDBFD5">
            <w:pPr>
              <w:spacing w:line="360" w:lineRule="auto"/>
              <w:jc w:val="center"/>
              <w:rPr>
                <w:rFonts w:ascii="Arial" w:hAnsi="Arial" w:eastAsia="Times New Roman" w:cs="Arial"/>
                <w:sz w:val="24"/>
                <w:szCs w:val="24"/>
              </w:rPr>
            </w:pPr>
            <w:r>
              <w:rPr>
                <w:rFonts w:ascii="Arial" w:hAnsi="Arial" w:eastAsia="Times New Roman" w:cs="Arial"/>
                <w:sz w:val="24"/>
                <w:szCs w:val="24"/>
              </w:rPr>
              <w:t>STP Element</w:t>
            </w:r>
          </w:p>
        </w:tc>
        <w:tc>
          <w:tcPr>
            <w:tcW w:w="2343" w:type="dxa"/>
          </w:tcPr>
          <w:p w14:paraId="61AAF561">
            <w:pPr>
              <w:spacing w:line="360" w:lineRule="auto"/>
              <w:jc w:val="center"/>
              <w:rPr>
                <w:rFonts w:ascii="Arial" w:hAnsi="Arial" w:eastAsia="Times New Roman" w:cs="Arial"/>
                <w:sz w:val="24"/>
                <w:szCs w:val="24"/>
              </w:rPr>
            </w:pPr>
            <w:r>
              <w:rPr>
                <w:rFonts w:ascii="Arial" w:hAnsi="Arial" w:eastAsia="Times New Roman" w:cs="Arial"/>
                <w:sz w:val="24"/>
                <w:szCs w:val="24"/>
              </w:rPr>
              <w:t>Follower Strategy</w:t>
            </w:r>
          </w:p>
        </w:tc>
        <w:tc>
          <w:tcPr>
            <w:tcW w:w="5312" w:type="dxa"/>
          </w:tcPr>
          <w:p w14:paraId="64428C85">
            <w:pPr>
              <w:spacing w:line="360" w:lineRule="auto"/>
              <w:jc w:val="center"/>
              <w:rPr>
                <w:rFonts w:ascii="Arial" w:hAnsi="Arial" w:eastAsia="Times New Roman" w:cs="Arial"/>
                <w:sz w:val="24"/>
                <w:szCs w:val="24"/>
              </w:rPr>
            </w:pPr>
            <w:r>
              <w:rPr>
                <w:rFonts w:ascii="Arial" w:hAnsi="Arial" w:eastAsia="Times New Roman" w:cs="Arial"/>
                <w:sz w:val="24"/>
                <w:szCs w:val="24"/>
              </w:rPr>
              <w:t>Explanation / Example</w:t>
            </w:r>
          </w:p>
        </w:tc>
      </w:tr>
      <w:tr w14:paraId="1DCEE438">
        <w:tblPrEx>
          <w:tblLayout w:type="fixed"/>
        </w:tblPrEx>
        <w:tc>
          <w:tcPr>
            <w:tcW w:w="1704" w:type="dxa"/>
          </w:tcPr>
          <w:p w14:paraId="2E93471B">
            <w:pPr>
              <w:spacing w:line="360" w:lineRule="auto"/>
              <w:jc w:val="center"/>
              <w:rPr>
                <w:rFonts w:ascii="Arial" w:hAnsi="Arial" w:eastAsia="Times New Roman" w:cs="Arial"/>
                <w:sz w:val="24"/>
                <w:szCs w:val="24"/>
              </w:rPr>
            </w:pPr>
            <w:r>
              <w:rPr>
                <w:rFonts w:ascii="Arial" w:hAnsi="Arial" w:eastAsia="Times New Roman" w:cs="Arial"/>
                <w:sz w:val="24"/>
                <w:szCs w:val="24"/>
              </w:rPr>
              <w:t>Segmentation</w:t>
            </w:r>
          </w:p>
        </w:tc>
        <w:tc>
          <w:tcPr>
            <w:tcW w:w="2343" w:type="dxa"/>
          </w:tcPr>
          <w:p w14:paraId="02A2BF03">
            <w:pPr>
              <w:spacing w:line="360" w:lineRule="auto"/>
              <w:jc w:val="center"/>
              <w:rPr>
                <w:rFonts w:ascii="Arial" w:hAnsi="Arial" w:eastAsia="Times New Roman" w:cs="Arial"/>
                <w:sz w:val="24"/>
                <w:szCs w:val="24"/>
              </w:rPr>
            </w:pPr>
            <w:r>
              <w:rPr>
                <w:rFonts w:ascii="Arial" w:hAnsi="Arial" w:eastAsia="Times New Roman" w:cs="Arial"/>
                <w:sz w:val="24"/>
                <w:szCs w:val="24"/>
              </w:rPr>
              <w:t>Mass-market and pragmatic consumer segmentation</w:t>
            </w:r>
          </w:p>
        </w:tc>
        <w:tc>
          <w:tcPr>
            <w:tcW w:w="5312" w:type="dxa"/>
          </w:tcPr>
          <w:p w14:paraId="09135F46">
            <w:pPr>
              <w:spacing w:line="360" w:lineRule="auto"/>
              <w:jc w:val="center"/>
              <w:rPr>
                <w:rFonts w:ascii="Arial" w:hAnsi="Arial" w:eastAsia="Times New Roman" w:cs="Arial"/>
                <w:sz w:val="24"/>
                <w:szCs w:val="24"/>
              </w:rPr>
            </w:pPr>
            <w:r>
              <w:rPr>
                <w:rFonts w:ascii="Arial" w:hAnsi="Arial" w:eastAsia="Times New Roman" w:cs="Arial"/>
                <w:sz w:val="24"/>
                <w:szCs w:val="24"/>
              </w:rPr>
              <w:t>Followers focus on later adopters, consumers who value reliability, affordability, and proven technology. They target mainstream segments once the market becomes stable and less risky.</w:t>
            </w:r>
          </w:p>
        </w:tc>
      </w:tr>
      <w:tr w14:paraId="5F0198D3">
        <w:tblPrEx>
          <w:tblLayout w:type="fixed"/>
        </w:tblPrEx>
        <w:tc>
          <w:tcPr>
            <w:tcW w:w="1704" w:type="dxa"/>
          </w:tcPr>
          <w:p w14:paraId="58FB327D">
            <w:pPr>
              <w:spacing w:line="360" w:lineRule="auto"/>
              <w:jc w:val="center"/>
              <w:rPr>
                <w:rFonts w:ascii="Arial" w:hAnsi="Arial" w:eastAsia="Times New Roman" w:cs="Arial"/>
                <w:sz w:val="24"/>
                <w:szCs w:val="24"/>
              </w:rPr>
            </w:pPr>
            <w:r>
              <w:rPr>
                <w:rFonts w:ascii="Arial" w:hAnsi="Arial" w:eastAsia="Times New Roman" w:cs="Arial"/>
                <w:sz w:val="24"/>
                <w:szCs w:val="24"/>
              </w:rPr>
              <w:t>Targeting</w:t>
            </w:r>
          </w:p>
        </w:tc>
        <w:tc>
          <w:tcPr>
            <w:tcW w:w="2343" w:type="dxa"/>
          </w:tcPr>
          <w:p w14:paraId="3CCD3613">
            <w:pPr>
              <w:spacing w:line="360" w:lineRule="auto"/>
              <w:jc w:val="center"/>
              <w:rPr>
                <w:rFonts w:ascii="Arial" w:hAnsi="Arial" w:eastAsia="Times New Roman" w:cs="Arial"/>
                <w:sz w:val="24"/>
                <w:szCs w:val="24"/>
              </w:rPr>
            </w:pPr>
            <w:r>
              <w:rPr>
                <w:rFonts w:ascii="Arial" w:hAnsi="Arial" w:eastAsia="Times New Roman" w:cs="Arial"/>
                <w:sz w:val="24"/>
                <w:szCs w:val="24"/>
              </w:rPr>
              <w:t>Broad or value-driven targeting</w:t>
            </w:r>
          </w:p>
        </w:tc>
        <w:tc>
          <w:tcPr>
            <w:tcW w:w="5312" w:type="dxa"/>
          </w:tcPr>
          <w:p w14:paraId="0C5A579B">
            <w:pPr>
              <w:spacing w:line="360" w:lineRule="auto"/>
              <w:jc w:val="center"/>
              <w:rPr>
                <w:rFonts w:ascii="Arial" w:hAnsi="Arial" w:eastAsia="Times New Roman" w:cs="Arial"/>
                <w:sz w:val="24"/>
                <w:szCs w:val="24"/>
              </w:rPr>
            </w:pPr>
            <w:r>
              <w:rPr>
                <w:rFonts w:ascii="Arial" w:hAnsi="Arial" w:eastAsia="Times New Roman" w:cs="Arial"/>
                <w:sz w:val="24"/>
                <w:szCs w:val="24"/>
              </w:rPr>
              <w:t>Instead of niche segments, followers adopt broader targeting, offering accessible and cost-efficient alternatives. Example: Toyota focuses on mainstream hybrid buyers rather than premium early adopters.</w:t>
            </w:r>
          </w:p>
        </w:tc>
      </w:tr>
      <w:tr w14:paraId="1CCA33B7">
        <w:tblPrEx>
          <w:tblLayout w:type="fixed"/>
        </w:tblPrEx>
        <w:tc>
          <w:tcPr>
            <w:tcW w:w="1704" w:type="dxa"/>
          </w:tcPr>
          <w:p w14:paraId="5E3B0E1B">
            <w:pPr>
              <w:spacing w:line="360" w:lineRule="auto"/>
              <w:jc w:val="center"/>
              <w:rPr>
                <w:rFonts w:ascii="Arial" w:hAnsi="Arial" w:eastAsia="Times New Roman" w:cs="Arial"/>
                <w:sz w:val="24"/>
                <w:szCs w:val="24"/>
              </w:rPr>
            </w:pPr>
            <w:r>
              <w:rPr>
                <w:rFonts w:ascii="Arial" w:hAnsi="Arial" w:eastAsia="Times New Roman" w:cs="Arial"/>
                <w:sz w:val="24"/>
                <w:szCs w:val="24"/>
              </w:rPr>
              <w:t>Positioning</w:t>
            </w:r>
          </w:p>
        </w:tc>
        <w:tc>
          <w:tcPr>
            <w:tcW w:w="2343" w:type="dxa"/>
          </w:tcPr>
          <w:p w14:paraId="7637B883">
            <w:pPr>
              <w:spacing w:line="360" w:lineRule="auto"/>
              <w:jc w:val="center"/>
              <w:rPr>
                <w:rFonts w:ascii="Arial" w:hAnsi="Arial" w:eastAsia="Times New Roman" w:cs="Arial"/>
                <w:sz w:val="24"/>
                <w:szCs w:val="24"/>
              </w:rPr>
            </w:pPr>
            <w:r>
              <w:rPr>
                <w:rFonts w:ascii="Arial" w:hAnsi="Arial" w:eastAsia="Times New Roman" w:cs="Arial"/>
                <w:sz w:val="24"/>
                <w:szCs w:val="24"/>
              </w:rPr>
              <w:t>Reliability, efficiency, and adaptive innovation</w:t>
            </w:r>
          </w:p>
        </w:tc>
        <w:tc>
          <w:tcPr>
            <w:tcW w:w="5312" w:type="dxa"/>
          </w:tcPr>
          <w:p w14:paraId="00F32F02">
            <w:pPr>
              <w:spacing w:line="360" w:lineRule="auto"/>
              <w:jc w:val="center"/>
              <w:rPr>
                <w:rFonts w:ascii="Arial" w:hAnsi="Arial" w:eastAsia="Times New Roman" w:cs="Arial"/>
                <w:sz w:val="24"/>
                <w:szCs w:val="24"/>
              </w:rPr>
            </w:pPr>
            <w:r>
              <w:rPr>
                <w:rFonts w:ascii="Arial" w:hAnsi="Arial" w:eastAsia="Times New Roman" w:cs="Arial"/>
                <w:sz w:val="24"/>
                <w:szCs w:val="24"/>
              </w:rPr>
              <w:t>Followers position themselves as trustworthy, efficient, and affordable innovators who refine and perfect existing technologies. Their communication highlights practicality and value for money rather than radical innovation.</w:t>
            </w:r>
          </w:p>
        </w:tc>
      </w:tr>
    </w:tbl>
    <w:p w14:paraId="7EF19B2E">
      <w:pPr>
        <w:spacing w:before="240" w:after="240" w:line="360" w:lineRule="auto"/>
        <w:rPr>
          <w:rFonts w:ascii="Arial" w:hAnsi="Arial" w:eastAsia="Calibri" w:cs="Arial"/>
          <w:sz w:val="24"/>
          <w:szCs w:val="24"/>
        </w:rPr>
      </w:pPr>
      <w:r>
        <w:rPr>
          <w:rFonts w:ascii="Arial" w:hAnsi="Arial" w:eastAsia="Calibri" w:cs="Arial"/>
          <w:sz w:val="24"/>
          <w:szCs w:val="24"/>
        </w:rPr>
        <w:t>The Ansoff Matrix can be a useful tool to compare the strategic directions of innovators and imitators. Whereas pioneers may be venturing into high-risk product development or diversification, followers are more likely to be using lower-risk market penetration or market development to consolidate and gain market share.</w:t>
      </w:r>
    </w:p>
    <w:p w14:paraId="7E720994">
      <w:pPr>
        <w:spacing w:before="240" w:after="240" w:line="360" w:lineRule="auto"/>
        <w:jc w:val="center"/>
        <w:rPr>
          <w:rFonts w:ascii="Arial" w:hAnsi="Arial" w:eastAsia="Calibri" w:cs="Arial"/>
          <w:sz w:val="24"/>
          <w:szCs w:val="24"/>
        </w:rPr>
      </w:pPr>
      <w:r>
        <w:rPr>
          <w:rFonts w:ascii="Arial" w:hAnsi="Arial" w:eastAsia="Calibri" w:cs="Arial"/>
          <w:sz w:val="24"/>
          <w:szCs w:val="24"/>
        </w:rPr>
        <w:drawing>
          <wp:inline distT="0" distB="0" distL="0" distR="0">
            <wp:extent cx="3890645" cy="3890645"/>
            <wp:effectExtent l="0" t="0" r="0" b="0"/>
            <wp:docPr id="1028" name="image2.png"/>
            <wp:cNvGraphicFramePr/>
            <a:graphic xmlns:a="http://schemas.openxmlformats.org/drawingml/2006/main">
              <a:graphicData uri="http://schemas.openxmlformats.org/drawingml/2006/picture">
                <pic:pic xmlns:pic="http://schemas.openxmlformats.org/drawingml/2006/picture">
                  <pic:nvPicPr>
                    <pic:cNvPr id="1028" name="image2.png"/>
                    <pic:cNvPicPr/>
                  </pic:nvPicPr>
                  <pic:blipFill>
                    <a:blip r:embed="rId7" cstate="print"/>
                    <a:srcRect/>
                    <a:stretch>
                      <a:fillRect/>
                    </a:stretch>
                  </pic:blipFill>
                  <pic:spPr>
                    <a:xfrm>
                      <a:off x="0" y="0"/>
                      <a:ext cx="3890963" cy="3890963"/>
                    </a:xfrm>
                    <a:prstGeom prst="rect">
                      <a:avLst/>
                    </a:prstGeom>
                    <a:ln w="9525" cap="flat" cmpd="sng">
                      <a:solidFill>
                        <a:srgbClr val="000000"/>
                      </a:solidFill>
                      <a:prstDash val="solid"/>
                      <a:round/>
                      <a:headEnd type="none" w="med" len="med"/>
                      <a:tailEnd type="none" w="med" len="med"/>
                    </a:ln>
                  </pic:spPr>
                </pic:pic>
              </a:graphicData>
            </a:graphic>
          </wp:inline>
        </w:drawing>
      </w:r>
    </w:p>
    <w:p w14:paraId="149DA501">
      <w:pPr>
        <w:spacing w:before="240" w:after="240" w:line="360" w:lineRule="auto"/>
        <w:jc w:val="center"/>
        <w:rPr>
          <w:rFonts w:ascii="Arial" w:hAnsi="Arial" w:eastAsia="Calibri" w:cs="Arial"/>
          <w:sz w:val="24"/>
          <w:szCs w:val="24"/>
        </w:rPr>
      </w:pPr>
      <w:r>
        <w:rPr>
          <w:rFonts w:ascii="Arial" w:hAnsi="Arial" w:eastAsia="Calibri" w:cs="Arial"/>
          <w:i/>
          <w:sz w:val="24"/>
          <w:szCs w:val="24"/>
        </w:rPr>
        <w:t>Figure 3. Ansoff Matrix (Ansoff, 1957); Source: User-Created</w:t>
      </w:r>
    </w:p>
    <w:p w14:paraId="7379BA21">
      <w:pPr>
        <w:pStyle w:val="5"/>
        <w:keepNext w:val="0"/>
        <w:keepLines w:val="0"/>
        <w:spacing w:before="280" w:line="360" w:lineRule="auto"/>
        <w:jc w:val="both"/>
        <w:rPr>
          <w:rFonts w:ascii="Arial" w:hAnsi="Arial" w:eastAsia="Calibri" w:cs="Arial"/>
          <w:b/>
          <w:color w:val="000000"/>
          <w:sz w:val="26"/>
          <w:szCs w:val="26"/>
        </w:rPr>
      </w:pPr>
      <w:bookmarkStart w:id="24" w:name="_wcvqoua9u6e2" w:colFirst="0" w:colLast="0"/>
      <w:bookmarkEnd w:id="24"/>
      <w:r>
        <w:rPr>
          <w:rFonts w:ascii="Arial" w:hAnsi="Arial" w:eastAsia="Calibri" w:cs="Arial"/>
          <w:b/>
          <w:color w:val="000000"/>
          <w:sz w:val="26"/>
          <w:szCs w:val="26"/>
        </w:rPr>
        <w:t>Critical Evaluation: Can Followers Outperform Pioneers?</w:t>
      </w:r>
    </w:p>
    <w:p w14:paraId="28A7AC2E">
      <w:pPr>
        <w:spacing w:before="240" w:after="240" w:line="360" w:lineRule="auto"/>
        <w:rPr>
          <w:rFonts w:ascii="Arial" w:hAnsi="Arial" w:eastAsia="Calibri" w:cs="Arial"/>
          <w:sz w:val="24"/>
          <w:szCs w:val="24"/>
        </w:rPr>
      </w:pPr>
      <w:r>
        <w:rPr>
          <w:rFonts w:ascii="Arial" w:hAnsi="Arial" w:eastAsia="Calibri" w:cs="Arial"/>
          <w:sz w:val="24"/>
          <w:szCs w:val="24"/>
        </w:rPr>
        <w:t>Theoretically, yes, in the right conditions. When technological change is gradual and predictable, when regulatory regimes become aligned, and when imitators can combine efficient imitation with strong execution and adaptive compliance, followers may perform in the same manner as pioneers who excessively followed in the early stages or were unable to adjust. The followers can receive superior margins by preventing the expenses of early-stage failures or wrongly placed bets.</w:t>
      </w:r>
    </w:p>
    <w:p w14:paraId="62C0FD0A">
      <w:pPr>
        <w:spacing w:before="240" w:after="240" w:line="360" w:lineRule="auto"/>
        <w:rPr>
          <w:rFonts w:ascii="Arial" w:hAnsi="Arial" w:eastAsia="Calibri" w:cs="Arial"/>
          <w:sz w:val="24"/>
          <w:szCs w:val="24"/>
        </w:rPr>
      </w:pPr>
      <w:r>
        <w:rPr>
          <w:rFonts w:ascii="Arial" w:hAnsi="Arial" w:eastAsia="Calibri" w:cs="Arial"/>
          <w:sz w:val="24"/>
          <w:szCs w:val="24"/>
        </w:rPr>
        <w:t>Nonetheless, when the innovation environment is very discontinuous or regulation varies unpredictably, innovators can persist in their lead. Timing, resource capabilities, brand positioning, and the ability to escape the trap of being just a me-too player are all important success factors of a follower. Finally, the ability to be strategically agile, fast in learning, and just enough differentiated without stepping on the groundwork of the pioneers makes a follower successful.</w:t>
      </w:r>
      <w:r>
        <w:rPr>
          <w:rFonts w:ascii="Arial" w:hAnsi="Arial" w:cs="Arial"/>
        </w:rPr>
        <w:br w:type="page"/>
      </w:r>
    </w:p>
    <w:p w14:paraId="1092F265">
      <w:pPr>
        <w:pStyle w:val="2"/>
        <w:keepNext w:val="0"/>
        <w:keepLines w:val="0"/>
        <w:spacing w:before="0" w:after="360" w:line="360" w:lineRule="auto"/>
        <w:jc w:val="both"/>
        <w:rPr>
          <w:rFonts w:ascii="Arial" w:hAnsi="Arial" w:eastAsia="Calibri" w:cs="Arial"/>
          <w:b/>
          <w:sz w:val="28"/>
          <w:szCs w:val="28"/>
        </w:rPr>
      </w:pPr>
      <w:bookmarkStart w:id="25" w:name="_xox4klya1mi8" w:colFirst="0" w:colLast="0"/>
      <w:bookmarkEnd w:id="25"/>
      <w:r>
        <w:rPr>
          <w:rFonts w:ascii="Arial" w:hAnsi="Arial" w:eastAsia="Calibri" w:cs="Arial"/>
          <w:b/>
          <w:sz w:val="28"/>
          <w:szCs w:val="28"/>
        </w:rPr>
        <w:t>Reference list</w:t>
      </w:r>
    </w:p>
    <w:p w14:paraId="2EEC9522">
      <w:pPr>
        <w:spacing w:after="240" w:line="360" w:lineRule="auto"/>
        <w:rPr>
          <w:rFonts w:ascii="Arial" w:hAnsi="Arial" w:eastAsia="Calibri" w:cs="Arial"/>
          <w:sz w:val="24"/>
          <w:szCs w:val="24"/>
        </w:rPr>
      </w:pPr>
      <w:r>
        <w:rPr>
          <w:rFonts w:ascii="Arial" w:hAnsi="Arial" w:eastAsia="Calibri" w:cs="Arial"/>
          <w:sz w:val="24"/>
          <w:szCs w:val="24"/>
        </w:rPr>
        <w:t xml:space="preserve">Ank, M., Sommer, A., Gamra, K.A., Schöberl, J., Leeb, M., Schächtl, J., Streidel, N., Stock, S., Schreiber, M., Bilfinger, P., Allgäuer, C., Rosner, P., Hagemeister, J., Rössle, M., Daub, R. and Lienkamp, M. (2023). Lithium-Ion Cells in Automotive Applications: Tesla 4680 Cylindrical Cell Teardown and Characterization. </w:t>
      </w:r>
      <w:r>
        <w:rPr>
          <w:rFonts w:ascii="Arial" w:hAnsi="Arial" w:eastAsia="Calibri" w:cs="Arial"/>
          <w:i/>
          <w:sz w:val="24"/>
          <w:szCs w:val="24"/>
        </w:rPr>
        <w:t>Journal of The Electrochemical Society</w:t>
      </w:r>
      <w:r>
        <w:rPr>
          <w:rFonts w:ascii="Arial" w:hAnsi="Arial" w:eastAsia="Calibri" w:cs="Arial"/>
          <w:sz w:val="24"/>
          <w:szCs w:val="24"/>
        </w:rPr>
        <w:t>. doi:</w:t>
      </w:r>
      <w:r>
        <w:fldChar w:fldCharType="begin"/>
      </w:r>
      <w:r>
        <w:instrText xml:space="preserve"> HYPERLINK "https://doi.org/10.1149/1945-7111/ad14d0" </w:instrText>
      </w:r>
      <w:r>
        <w:fldChar w:fldCharType="separate"/>
      </w:r>
      <w:r>
        <w:rPr>
          <w:rFonts w:ascii="Arial" w:hAnsi="Arial" w:eastAsia="Calibri" w:cs="Arial"/>
          <w:color w:val="1155CC"/>
          <w:sz w:val="24"/>
          <w:szCs w:val="24"/>
          <w:u w:val="single"/>
        </w:rPr>
        <w:t>https</w:t>
      </w:r>
      <w:r>
        <w:rPr>
          <w:rFonts w:ascii="Arial" w:hAnsi="Arial" w:eastAsia="Calibri" w:cs="Arial"/>
          <w:color w:val="1155CC"/>
          <w:sz w:val="24"/>
          <w:szCs w:val="24"/>
          <w:u w:val="single"/>
        </w:rPr>
        <w:t>://doi.org/10.1149/1945-7</w:t>
      </w:r>
      <w:r>
        <w:rPr>
          <w:rFonts w:ascii="Arial" w:hAnsi="Arial" w:eastAsia="Calibri" w:cs="Arial"/>
          <w:color w:val="1155CC"/>
          <w:sz w:val="24"/>
          <w:szCs w:val="24"/>
          <w:u w:val="single"/>
        </w:rPr>
        <w:t>111/ad14d0</w:t>
      </w:r>
      <w:r>
        <w:fldChar w:fldCharType="end"/>
      </w:r>
      <w:r>
        <w:rPr>
          <w:rFonts w:ascii="Arial" w:hAnsi="Arial" w:eastAsia="Calibri" w:cs="Arial"/>
          <w:sz w:val="24"/>
          <w:szCs w:val="24"/>
        </w:rPr>
        <w:t xml:space="preserve">. </w:t>
      </w:r>
    </w:p>
    <w:p w14:paraId="6F522680">
      <w:pPr>
        <w:spacing w:after="240" w:line="360" w:lineRule="auto"/>
        <w:rPr>
          <w:rFonts w:ascii="Arial" w:hAnsi="Arial" w:eastAsia="Calibri" w:cs="Arial"/>
          <w:sz w:val="24"/>
          <w:szCs w:val="24"/>
        </w:rPr>
      </w:pPr>
      <w:r>
        <w:rPr>
          <w:rFonts w:ascii="Arial" w:hAnsi="Arial" w:eastAsia="Calibri" w:cs="Arial"/>
          <w:sz w:val="24"/>
          <w:szCs w:val="24"/>
        </w:rPr>
        <w:t xml:space="preserve">Bawden, F.O. and Zamborsky, P. (2024). Strategic failures of car companies in electric vehicle transition: A strategy tripod perspective. </w:t>
      </w:r>
      <w:r>
        <w:rPr>
          <w:rFonts w:ascii="Arial" w:hAnsi="Arial" w:eastAsia="Calibri" w:cs="Arial"/>
          <w:i/>
          <w:sz w:val="24"/>
          <w:szCs w:val="24"/>
        </w:rPr>
        <w:t>Social Science Research Network</w:t>
      </w:r>
      <w:r>
        <w:rPr>
          <w:rFonts w:ascii="Arial" w:hAnsi="Arial" w:eastAsia="Calibri" w:cs="Arial"/>
          <w:sz w:val="24"/>
          <w:szCs w:val="24"/>
        </w:rPr>
        <w:t>. [online] doi:</w:t>
      </w:r>
      <w:r>
        <w:fldChar w:fldCharType="begin"/>
      </w:r>
      <w:r>
        <w:instrText xml:space="preserve"> HYPERLINK "https://doi.org/10.2139/ssrn.4762846" </w:instrText>
      </w:r>
      <w:r>
        <w:fldChar w:fldCharType="separate"/>
      </w:r>
      <w:r>
        <w:rPr>
          <w:rFonts w:ascii="Arial" w:hAnsi="Arial" w:eastAsia="Calibri" w:cs="Arial"/>
          <w:color w:val="1155CC"/>
          <w:sz w:val="24"/>
          <w:szCs w:val="24"/>
          <w:u w:val="single"/>
        </w:rPr>
        <w:t>https</w:t>
      </w:r>
      <w:r>
        <w:rPr>
          <w:rFonts w:ascii="Arial" w:hAnsi="Arial" w:eastAsia="Calibri" w:cs="Arial"/>
          <w:color w:val="1155CC"/>
          <w:sz w:val="24"/>
          <w:szCs w:val="24"/>
          <w:u w:val="single"/>
        </w:rPr>
        <w:t>:</w:t>
      </w:r>
      <w:r>
        <w:rPr>
          <w:rFonts w:ascii="Arial" w:hAnsi="Arial" w:eastAsia="Calibri" w:cs="Arial"/>
          <w:color w:val="1155CC"/>
          <w:sz w:val="24"/>
          <w:szCs w:val="24"/>
          <w:u w:val="single"/>
        </w:rPr>
        <w:t>//doi.org/10.2139/ssrn.4762846</w:t>
      </w:r>
      <w:r>
        <w:fldChar w:fldCharType="end"/>
      </w:r>
      <w:r>
        <w:rPr>
          <w:rFonts w:ascii="Arial" w:hAnsi="Arial" w:eastAsia="Calibri" w:cs="Arial"/>
          <w:sz w:val="24"/>
          <w:szCs w:val="24"/>
        </w:rPr>
        <w:t xml:space="preserve">. </w:t>
      </w:r>
    </w:p>
    <w:p w14:paraId="6F632A12">
      <w:pPr>
        <w:spacing w:after="240" w:line="360" w:lineRule="auto"/>
        <w:rPr>
          <w:rFonts w:ascii="Arial" w:hAnsi="Arial" w:eastAsia="Calibri" w:cs="Arial"/>
          <w:sz w:val="24"/>
          <w:szCs w:val="24"/>
        </w:rPr>
      </w:pPr>
      <w:r>
        <w:rPr>
          <w:rFonts w:ascii="Arial" w:hAnsi="Arial" w:eastAsia="Calibri" w:cs="Arial"/>
          <w:sz w:val="24"/>
          <w:szCs w:val="24"/>
        </w:rPr>
        <w:t xml:space="preserve">Belz, F.M., Peattie, K. and Onel, N., (2025). </w:t>
      </w:r>
      <w:r>
        <w:rPr>
          <w:rFonts w:ascii="Arial" w:hAnsi="Arial" w:eastAsia="Calibri" w:cs="Arial"/>
          <w:i/>
          <w:sz w:val="24"/>
          <w:szCs w:val="24"/>
        </w:rPr>
        <w:t>Sustainability marketing: A global perspective</w:t>
      </w:r>
      <w:r>
        <w:rPr>
          <w:rFonts w:ascii="Arial" w:hAnsi="Arial" w:eastAsia="Calibri" w:cs="Arial"/>
          <w:sz w:val="24"/>
          <w:szCs w:val="24"/>
        </w:rPr>
        <w:t xml:space="preserve">. John Wiley &amp; Sons. </w:t>
      </w:r>
    </w:p>
    <w:p w14:paraId="1A4A6A28">
      <w:pPr>
        <w:spacing w:after="240" w:line="360" w:lineRule="auto"/>
        <w:rPr>
          <w:rFonts w:ascii="Arial" w:hAnsi="Arial" w:eastAsia="Calibri" w:cs="Arial"/>
          <w:sz w:val="24"/>
          <w:szCs w:val="24"/>
        </w:rPr>
      </w:pPr>
      <w:r>
        <w:rPr>
          <w:rFonts w:ascii="Arial" w:hAnsi="Arial" w:eastAsia="Calibri" w:cs="Arial"/>
          <w:sz w:val="24"/>
          <w:szCs w:val="24"/>
        </w:rPr>
        <w:t xml:space="preserve">Dearing, J.W. and Cox, J.G. (2018). Diffusion of innovations theory, principles, and practice. </w:t>
      </w:r>
      <w:r>
        <w:rPr>
          <w:rFonts w:ascii="Arial" w:hAnsi="Arial" w:eastAsia="Calibri" w:cs="Arial"/>
          <w:i/>
          <w:sz w:val="24"/>
          <w:szCs w:val="24"/>
        </w:rPr>
        <w:t>Health Affairs</w:t>
      </w:r>
      <w:r>
        <w:rPr>
          <w:rFonts w:ascii="Arial" w:hAnsi="Arial" w:eastAsia="Calibri" w:cs="Arial"/>
          <w:sz w:val="24"/>
          <w:szCs w:val="24"/>
        </w:rPr>
        <w:t>, [online] 37(2), pp.183–190. doi:</w:t>
      </w:r>
      <w:r>
        <w:fldChar w:fldCharType="begin"/>
      </w:r>
      <w:r>
        <w:instrText xml:space="preserve"> HYPERLINK "https://doi.org/10.1377/hlthaff.2017.1104" </w:instrText>
      </w:r>
      <w:r>
        <w:fldChar w:fldCharType="separate"/>
      </w:r>
      <w:r>
        <w:rPr>
          <w:rFonts w:ascii="Arial" w:hAnsi="Arial" w:eastAsia="Calibri" w:cs="Arial"/>
          <w:color w:val="1155CC"/>
          <w:sz w:val="24"/>
          <w:szCs w:val="24"/>
          <w:u w:val="single"/>
        </w:rPr>
        <w:t>https</w:t>
      </w:r>
      <w:r>
        <w:rPr>
          <w:rFonts w:ascii="Arial" w:hAnsi="Arial" w:eastAsia="Calibri" w:cs="Arial"/>
          <w:color w:val="1155CC"/>
          <w:sz w:val="24"/>
          <w:szCs w:val="24"/>
          <w:u w:val="single"/>
        </w:rPr>
        <w:t>://doi.org/10.1377/hlthaff.2017.1104</w:t>
      </w:r>
      <w:r>
        <w:fldChar w:fldCharType="end"/>
      </w:r>
      <w:r>
        <w:rPr>
          <w:rFonts w:ascii="Arial" w:hAnsi="Arial" w:eastAsia="Calibri" w:cs="Arial"/>
          <w:sz w:val="24"/>
          <w:szCs w:val="24"/>
        </w:rPr>
        <w:t xml:space="preserve">. </w:t>
      </w:r>
    </w:p>
    <w:p w14:paraId="6DF86DF1">
      <w:pPr>
        <w:spacing w:after="240" w:line="360" w:lineRule="auto"/>
        <w:rPr>
          <w:rFonts w:ascii="Arial" w:hAnsi="Arial" w:eastAsia="Calibri" w:cs="Arial"/>
          <w:sz w:val="24"/>
          <w:szCs w:val="24"/>
        </w:rPr>
      </w:pPr>
      <w:r>
        <w:rPr>
          <w:rFonts w:ascii="Arial" w:hAnsi="Arial" w:eastAsia="Calibri" w:cs="Arial"/>
          <w:sz w:val="24"/>
          <w:szCs w:val="24"/>
        </w:rPr>
        <w:t xml:space="preserve">Eightception (2024). </w:t>
      </w:r>
      <w:r>
        <w:rPr>
          <w:rFonts w:ascii="Arial" w:hAnsi="Arial" w:eastAsia="Calibri" w:cs="Arial"/>
          <w:i/>
          <w:sz w:val="24"/>
          <w:szCs w:val="24"/>
        </w:rPr>
        <w:t>Why Vertical Integration Worked for Tesla (And Why It Might Not Work for You)</w:t>
      </w:r>
      <w:r>
        <w:rPr>
          <w:rFonts w:ascii="Arial" w:hAnsi="Arial" w:eastAsia="Calibri" w:cs="Arial"/>
          <w:sz w:val="24"/>
          <w:szCs w:val="24"/>
        </w:rPr>
        <w:t xml:space="preserve">. [online] Eightception. Available at: </w:t>
      </w:r>
      <w:r>
        <w:fldChar w:fldCharType="begin"/>
      </w:r>
      <w:r>
        <w:instrText xml:space="preserve"> HYPERLINK "https://eightception.com/tesla-vertical-integration-strategy" </w:instrText>
      </w:r>
      <w:r>
        <w:fldChar w:fldCharType="separate"/>
      </w:r>
      <w:r>
        <w:rPr>
          <w:rFonts w:ascii="Arial" w:hAnsi="Arial" w:eastAsia="Calibri" w:cs="Arial"/>
          <w:color w:val="1155CC"/>
          <w:sz w:val="24"/>
          <w:szCs w:val="24"/>
          <w:u w:val="single"/>
        </w:rPr>
        <w:t>https://eightception.com/tesla-vertical-integration-strategy</w:t>
      </w:r>
      <w:r>
        <w:fldChar w:fldCharType="end"/>
      </w:r>
      <w:r>
        <w:rPr>
          <w:rFonts w:ascii="Arial" w:hAnsi="Arial" w:eastAsia="Calibri" w:cs="Arial"/>
          <w:sz w:val="24"/>
          <w:szCs w:val="24"/>
        </w:rPr>
        <w:t xml:space="preserve">. </w:t>
      </w:r>
    </w:p>
    <w:p w14:paraId="0D11B7D8">
      <w:pPr>
        <w:spacing w:after="240" w:line="360" w:lineRule="auto"/>
        <w:rPr>
          <w:rFonts w:ascii="Arial" w:hAnsi="Arial" w:eastAsia="Calibri" w:cs="Arial"/>
          <w:sz w:val="24"/>
          <w:szCs w:val="24"/>
        </w:rPr>
      </w:pPr>
      <w:r>
        <w:rPr>
          <w:rFonts w:ascii="Arial" w:hAnsi="Arial" w:eastAsia="Calibri" w:cs="Arial"/>
          <w:sz w:val="24"/>
          <w:szCs w:val="24"/>
        </w:rPr>
        <w:t xml:space="preserve">George, D.A.S. and Baskar, D.T. (2024). Riding the Wave: How Incumbents Can Surf Disruption Caused by Emerging Technologies. </w:t>
      </w:r>
      <w:r>
        <w:rPr>
          <w:rFonts w:ascii="Arial" w:hAnsi="Arial" w:eastAsia="Calibri" w:cs="Arial"/>
          <w:i/>
          <w:sz w:val="24"/>
          <w:szCs w:val="24"/>
        </w:rPr>
        <w:t>Partners Universal International Research Journal</w:t>
      </w:r>
      <w:r>
        <w:rPr>
          <w:rFonts w:ascii="Arial" w:hAnsi="Arial" w:eastAsia="Calibri" w:cs="Arial"/>
          <w:sz w:val="24"/>
          <w:szCs w:val="24"/>
        </w:rPr>
        <w:t xml:space="preserve">, 3(2), pp.30–52.  </w:t>
      </w:r>
    </w:p>
    <w:p w14:paraId="6E5528B6">
      <w:pPr>
        <w:spacing w:after="240" w:line="360" w:lineRule="auto"/>
        <w:rPr>
          <w:rFonts w:ascii="Arial" w:hAnsi="Arial" w:eastAsia="Calibri" w:cs="Arial"/>
          <w:sz w:val="24"/>
          <w:szCs w:val="24"/>
        </w:rPr>
      </w:pPr>
      <w:r>
        <w:rPr>
          <w:rFonts w:ascii="Arial" w:hAnsi="Arial" w:eastAsia="Calibri" w:cs="Arial"/>
          <w:sz w:val="24"/>
          <w:szCs w:val="24"/>
        </w:rPr>
        <w:t xml:space="preserve">Gómez, J., Pérez-Aradros, B. and Salazar, I. (2022). How to beat early movers: The role of competitive strategy and industry dynamism on followers’ performance in the telecommunications industry. </w:t>
      </w:r>
      <w:r>
        <w:rPr>
          <w:rFonts w:ascii="Arial" w:hAnsi="Arial" w:eastAsia="Calibri" w:cs="Arial"/>
          <w:i/>
          <w:sz w:val="24"/>
          <w:szCs w:val="24"/>
        </w:rPr>
        <w:t>Long Range Planning</w:t>
      </w:r>
      <w:r>
        <w:rPr>
          <w:rFonts w:ascii="Arial" w:hAnsi="Arial" w:eastAsia="Calibri" w:cs="Arial"/>
          <w:sz w:val="24"/>
          <w:szCs w:val="24"/>
        </w:rPr>
        <w:t>, 55(5), p.102244. doi:</w:t>
      </w:r>
      <w:r>
        <w:fldChar w:fldCharType="begin"/>
      </w:r>
      <w:r>
        <w:instrText xml:space="preserve"> HYPERLINK "https://doi.org/10.1016/j.lrp.2022.102244" </w:instrText>
      </w:r>
      <w:r>
        <w:fldChar w:fldCharType="separate"/>
      </w:r>
      <w:r>
        <w:rPr>
          <w:rFonts w:ascii="Arial" w:hAnsi="Arial" w:eastAsia="Calibri" w:cs="Arial"/>
          <w:color w:val="1155CC"/>
          <w:sz w:val="24"/>
          <w:szCs w:val="24"/>
          <w:u w:val="single"/>
        </w:rPr>
        <w:t>https</w:t>
      </w:r>
      <w:r>
        <w:rPr>
          <w:rFonts w:ascii="Arial" w:hAnsi="Arial" w:eastAsia="Calibri" w:cs="Arial"/>
          <w:color w:val="1155CC"/>
          <w:sz w:val="24"/>
          <w:szCs w:val="24"/>
          <w:u w:val="single"/>
        </w:rPr>
        <w:t>://doi.org/10.1016/j.lrp.2022.102244</w:t>
      </w:r>
      <w:r>
        <w:fldChar w:fldCharType="end"/>
      </w:r>
      <w:r>
        <w:rPr>
          <w:rFonts w:ascii="Arial" w:hAnsi="Arial" w:eastAsia="Calibri" w:cs="Arial"/>
          <w:sz w:val="24"/>
          <w:szCs w:val="24"/>
        </w:rPr>
        <w:t xml:space="preserve">. </w:t>
      </w:r>
    </w:p>
    <w:p w14:paraId="42476868">
      <w:pPr>
        <w:spacing w:after="240" w:line="360" w:lineRule="auto"/>
        <w:rPr>
          <w:rFonts w:ascii="Arial" w:hAnsi="Arial" w:eastAsia="Calibri" w:cs="Arial"/>
          <w:sz w:val="24"/>
          <w:szCs w:val="24"/>
        </w:rPr>
      </w:pPr>
      <w:r>
        <w:rPr>
          <w:rFonts w:ascii="Arial" w:hAnsi="Arial" w:eastAsia="Calibri" w:cs="Arial"/>
          <w:sz w:val="24"/>
          <w:szCs w:val="24"/>
        </w:rPr>
        <w:t xml:space="preserve">Hyundai (2025). </w:t>
      </w:r>
      <w:r>
        <w:rPr>
          <w:rFonts w:ascii="Arial" w:hAnsi="Arial" w:eastAsia="Calibri" w:cs="Arial"/>
          <w:i/>
          <w:sz w:val="24"/>
          <w:szCs w:val="24"/>
        </w:rPr>
        <w:t>Road to Sustainability 2025 Sustainability Report</w:t>
      </w:r>
      <w:r>
        <w:rPr>
          <w:rFonts w:ascii="Arial" w:hAnsi="Arial" w:eastAsia="Calibri" w:cs="Arial"/>
          <w:sz w:val="24"/>
          <w:szCs w:val="24"/>
        </w:rPr>
        <w:t xml:space="preserve">. [online] Available at: </w:t>
      </w:r>
      <w:r>
        <w:fldChar w:fldCharType="begin"/>
      </w:r>
      <w:r>
        <w:instrText xml:space="preserve"> HYPERLINK "https://www.hyundai.news/newsroom/dam/eu/brand/20250704_2025_sustainability_report/hmc-2025-sustainability-report-en.pdf" </w:instrText>
      </w:r>
      <w:r>
        <w:fldChar w:fldCharType="separate"/>
      </w:r>
      <w:r>
        <w:rPr>
          <w:rFonts w:ascii="Arial" w:hAnsi="Arial" w:eastAsia="Calibri" w:cs="Arial"/>
          <w:color w:val="1155CC"/>
          <w:sz w:val="24"/>
          <w:szCs w:val="24"/>
          <w:u w:val="single"/>
        </w:rPr>
        <w:t>https://www.hyundai.news/newsroom/dam/eu/brand/20250704_2025_sustainability_report/hmc-2025-sustainabi</w:t>
      </w:r>
      <w:r>
        <w:rPr>
          <w:rFonts w:ascii="Arial" w:hAnsi="Arial" w:eastAsia="Calibri" w:cs="Arial"/>
          <w:color w:val="1155CC"/>
          <w:sz w:val="24"/>
          <w:szCs w:val="24"/>
          <w:u w:val="single"/>
        </w:rPr>
        <w:t>lity-report-en.pdf</w:t>
      </w:r>
      <w:r>
        <w:fldChar w:fldCharType="end"/>
      </w:r>
      <w:r>
        <w:rPr>
          <w:rFonts w:ascii="Arial" w:hAnsi="Arial" w:eastAsia="Calibri" w:cs="Arial"/>
          <w:sz w:val="24"/>
          <w:szCs w:val="24"/>
        </w:rPr>
        <w:t xml:space="preserve">  [Accessed 17 Oct. 2025].</w:t>
      </w:r>
    </w:p>
    <w:p w14:paraId="30836D91">
      <w:pPr>
        <w:spacing w:after="240" w:line="360" w:lineRule="auto"/>
        <w:rPr>
          <w:rFonts w:ascii="Arial" w:hAnsi="Arial" w:eastAsia="Calibri" w:cs="Arial"/>
          <w:sz w:val="24"/>
          <w:szCs w:val="24"/>
        </w:rPr>
      </w:pPr>
      <w:r>
        <w:rPr>
          <w:rFonts w:ascii="Arial" w:hAnsi="Arial" w:eastAsia="Calibri" w:cs="Arial"/>
          <w:sz w:val="24"/>
          <w:szCs w:val="24"/>
        </w:rPr>
        <w:t xml:space="preserve">Kakran, S., Sidhu, A., Abhimanyu, N. and Kumar, A. (2024). The Environment of Marketing Management in Transitory Businesses. </w:t>
      </w:r>
      <w:r>
        <w:rPr>
          <w:rFonts w:ascii="Arial" w:hAnsi="Arial" w:eastAsia="Calibri" w:cs="Arial"/>
          <w:i/>
          <w:sz w:val="24"/>
          <w:szCs w:val="24"/>
        </w:rPr>
        <w:t>Apple Academic Press eBooks</w:t>
      </w:r>
      <w:r>
        <w:rPr>
          <w:rFonts w:ascii="Arial" w:hAnsi="Arial" w:eastAsia="Calibri" w:cs="Arial"/>
          <w:sz w:val="24"/>
          <w:szCs w:val="24"/>
        </w:rPr>
        <w:t>, pp.175–214. doi:</w:t>
      </w:r>
      <w:r>
        <w:fldChar w:fldCharType="begin"/>
      </w:r>
      <w:r>
        <w:instrText xml:space="preserve"> HYPERLINK "https://doi.org/10.1201/9781003506362-9" </w:instrText>
      </w:r>
      <w:r>
        <w:fldChar w:fldCharType="separate"/>
      </w:r>
      <w:r>
        <w:rPr>
          <w:rFonts w:ascii="Arial" w:hAnsi="Arial" w:eastAsia="Calibri" w:cs="Arial"/>
          <w:color w:val="1155CC"/>
          <w:sz w:val="24"/>
          <w:szCs w:val="24"/>
          <w:u w:val="single"/>
        </w:rPr>
        <w:t>https</w:t>
      </w:r>
      <w:r>
        <w:rPr>
          <w:rFonts w:ascii="Arial" w:hAnsi="Arial" w:eastAsia="Calibri" w:cs="Arial"/>
          <w:color w:val="1155CC"/>
          <w:sz w:val="24"/>
          <w:szCs w:val="24"/>
          <w:u w:val="single"/>
        </w:rPr>
        <w:t>://doi.org/10.1201/9781003506362-9</w:t>
      </w:r>
      <w:r>
        <w:fldChar w:fldCharType="end"/>
      </w:r>
      <w:r>
        <w:rPr>
          <w:rFonts w:ascii="Arial" w:hAnsi="Arial" w:eastAsia="Calibri" w:cs="Arial"/>
          <w:sz w:val="24"/>
          <w:szCs w:val="24"/>
        </w:rPr>
        <w:t xml:space="preserve">. </w:t>
      </w:r>
    </w:p>
    <w:p w14:paraId="301ACB79">
      <w:pPr>
        <w:spacing w:after="240" w:line="360" w:lineRule="auto"/>
        <w:rPr>
          <w:rFonts w:ascii="Arial" w:hAnsi="Arial" w:eastAsia="Calibri" w:cs="Arial"/>
          <w:sz w:val="24"/>
          <w:szCs w:val="24"/>
        </w:rPr>
      </w:pPr>
      <w:r>
        <w:rPr>
          <w:rFonts w:ascii="Arial" w:hAnsi="Arial" w:eastAsia="Calibri" w:cs="Arial"/>
          <w:sz w:val="24"/>
          <w:szCs w:val="24"/>
        </w:rPr>
        <w:t xml:space="preserve">Lester, M. and Rama, M. dela (2024). </w:t>
      </w:r>
      <w:r>
        <w:rPr>
          <w:rFonts w:ascii="Arial" w:hAnsi="Arial" w:eastAsia="Calibri" w:cs="Arial"/>
          <w:i/>
          <w:sz w:val="24"/>
          <w:szCs w:val="24"/>
        </w:rPr>
        <w:t>Innovation Pathways to Sustainability</w:t>
      </w:r>
      <w:r>
        <w:rPr>
          <w:rFonts w:ascii="Arial" w:hAnsi="Arial" w:eastAsia="Calibri" w:cs="Arial"/>
          <w:sz w:val="24"/>
          <w:szCs w:val="24"/>
        </w:rPr>
        <w:t xml:space="preserve">. [online] </w:t>
      </w:r>
      <w:r>
        <w:rPr>
          <w:rFonts w:ascii="Arial" w:hAnsi="Arial" w:eastAsia="Calibri" w:cs="Arial"/>
          <w:i/>
          <w:sz w:val="24"/>
          <w:szCs w:val="24"/>
        </w:rPr>
        <w:t>Routledge eBooks</w:t>
      </w:r>
      <w:r>
        <w:rPr>
          <w:rFonts w:ascii="Arial" w:hAnsi="Arial" w:eastAsia="Calibri" w:cs="Arial"/>
          <w:sz w:val="24"/>
          <w:szCs w:val="24"/>
        </w:rPr>
        <w:t>. Informa. doi:</w:t>
      </w:r>
      <w:r>
        <w:fldChar w:fldCharType="begin"/>
      </w:r>
      <w:r>
        <w:instrText xml:space="preserve"> HYPERLINK "https://doi.org/10.4324/9781003280316" </w:instrText>
      </w:r>
      <w:r>
        <w:fldChar w:fldCharType="separate"/>
      </w:r>
      <w:r>
        <w:rPr>
          <w:rFonts w:ascii="Arial" w:hAnsi="Arial" w:eastAsia="Calibri" w:cs="Arial"/>
          <w:color w:val="1155CC"/>
          <w:sz w:val="24"/>
          <w:szCs w:val="24"/>
          <w:u w:val="single"/>
        </w:rPr>
        <w:t>https</w:t>
      </w:r>
      <w:r>
        <w:rPr>
          <w:rFonts w:ascii="Arial" w:hAnsi="Arial" w:eastAsia="Calibri" w:cs="Arial"/>
          <w:color w:val="1155CC"/>
          <w:sz w:val="24"/>
          <w:szCs w:val="24"/>
          <w:u w:val="single"/>
        </w:rPr>
        <w:t>://doi.org/10.4324/9781003280316</w:t>
      </w:r>
      <w:r>
        <w:fldChar w:fldCharType="end"/>
      </w:r>
      <w:r>
        <w:rPr>
          <w:rFonts w:ascii="Arial" w:hAnsi="Arial" w:eastAsia="Calibri" w:cs="Arial"/>
          <w:sz w:val="24"/>
          <w:szCs w:val="24"/>
        </w:rPr>
        <w:t xml:space="preserve">. </w:t>
      </w:r>
    </w:p>
    <w:p w14:paraId="3D5CCA05">
      <w:pPr>
        <w:spacing w:after="240" w:line="360" w:lineRule="auto"/>
        <w:rPr>
          <w:rFonts w:ascii="Arial" w:hAnsi="Arial" w:eastAsia="Calibri" w:cs="Arial"/>
          <w:sz w:val="24"/>
          <w:szCs w:val="24"/>
        </w:rPr>
      </w:pPr>
      <w:r>
        <w:rPr>
          <w:rFonts w:ascii="Arial" w:hAnsi="Arial" w:eastAsia="Calibri" w:cs="Arial"/>
          <w:sz w:val="24"/>
          <w:szCs w:val="24"/>
        </w:rPr>
        <w:t xml:space="preserve">Li, X., Zhao, C., Chen, B. and Liu, Z. (2023). Political uncertainty and high-quality economic development: Evidence from China. </w:t>
      </w:r>
      <w:r>
        <w:rPr>
          <w:rFonts w:ascii="Arial" w:hAnsi="Arial" w:eastAsia="Calibri" w:cs="Arial"/>
          <w:i/>
          <w:sz w:val="24"/>
          <w:szCs w:val="24"/>
        </w:rPr>
        <w:t>Science Progress</w:t>
      </w:r>
      <w:r>
        <w:rPr>
          <w:rFonts w:ascii="Arial" w:hAnsi="Arial" w:eastAsia="Calibri" w:cs="Arial"/>
          <w:sz w:val="24"/>
          <w:szCs w:val="24"/>
        </w:rPr>
        <w:t>, 106(2). doi:</w:t>
      </w:r>
      <w:r>
        <w:fldChar w:fldCharType="begin"/>
      </w:r>
      <w:r>
        <w:instrText xml:space="preserve"> HYPERLINK "https://doi.org/10.1177/00368504231183583" </w:instrText>
      </w:r>
      <w:r>
        <w:fldChar w:fldCharType="separate"/>
      </w:r>
      <w:r>
        <w:rPr>
          <w:rFonts w:ascii="Arial" w:hAnsi="Arial" w:eastAsia="Calibri" w:cs="Arial"/>
          <w:color w:val="1155CC"/>
          <w:sz w:val="24"/>
          <w:szCs w:val="24"/>
          <w:u w:val="single"/>
        </w:rPr>
        <w:t>https</w:t>
      </w:r>
      <w:r>
        <w:rPr>
          <w:rFonts w:ascii="Arial" w:hAnsi="Arial" w:eastAsia="Calibri" w:cs="Arial"/>
          <w:color w:val="1155CC"/>
          <w:sz w:val="24"/>
          <w:szCs w:val="24"/>
          <w:u w:val="single"/>
        </w:rPr>
        <w:t>://doi.org/10.1177/00368504231183583</w:t>
      </w:r>
      <w:r>
        <w:fldChar w:fldCharType="end"/>
      </w:r>
      <w:r>
        <w:rPr>
          <w:rFonts w:ascii="Arial" w:hAnsi="Arial" w:eastAsia="Calibri" w:cs="Arial"/>
          <w:sz w:val="24"/>
          <w:szCs w:val="24"/>
        </w:rPr>
        <w:t xml:space="preserve">. </w:t>
      </w:r>
    </w:p>
    <w:p w14:paraId="44DD9EC7">
      <w:pPr>
        <w:spacing w:after="240" w:line="360" w:lineRule="auto"/>
        <w:rPr>
          <w:rFonts w:ascii="Arial" w:hAnsi="Arial" w:eastAsia="Calibri" w:cs="Arial"/>
          <w:sz w:val="24"/>
          <w:szCs w:val="24"/>
        </w:rPr>
      </w:pPr>
      <w:r>
        <w:rPr>
          <w:rFonts w:ascii="Arial" w:hAnsi="Arial" w:eastAsia="Calibri" w:cs="Arial"/>
          <w:sz w:val="24"/>
          <w:szCs w:val="24"/>
        </w:rPr>
        <w:t xml:space="preserve">Lieberman, M.B. and Montgomery, D.B. (1988). First-Mover Advantages. </w:t>
      </w:r>
      <w:r>
        <w:rPr>
          <w:rFonts w:ascii="Arial" w:hAnsi="Arial" w:eastAsia="Calibri" w:cs="Arial"/>
          <w:i/>
          <w:sz w:val="24"/>
          <w:szCs w:val="24"/>
        </w:rPr>
        <w:t>Strategic Management Journal</w:t>
      </w:r>
      <w:r>
        <w:rPr>
          <w:rFonts w:ascii="Arial" w:hAnsi="Arial" w:eastAsia="Calibri" w:cs="Arial"/>
          <w:sz w:val="24"/>
          <w:szCs w:val="24"/>
        </w:rPr>
        <w:t>, 9(S1), pp.41–58. doi:</w:t>
      </w:r>
      <w:r>
        <w:fldChar w:fldCharType="begin"/>
      </w:r>
      <w:r>
        <w:instrText xml:space="preserve"> HYPERLINK "https://doi.org/10.1002/smj.4250090706" </w:instrText>
      </w:r>
      <w:r>
        <w:fldChar w:fldCharType="separate"/>
      </w:r>
      <w:r>
        <w:rPr>
          <w:rFonts w:ascii="Arial" w:hAnsi="Arial" w:eastAsia="Calibri" w:cs="Arial"/>
          <w:color w:val="1155CC"/>
          <w:sz w:val="24"/>
          <w:szCs w:val="24"/>
          <w:u w:val="single"/>
        </w:rPr>
        <w:t>https</w:t>
      </w:r>
      <w:r>
        <w:rPr>
          <w:rFonts w:ascii="Arial" w:hAnsi="Arial" w:eastAsia="Calibri" w:cs="Arial"/>
          <w:color w:val="1155CC"/>
          <w:sz w:val="24"/>
          <w:szCs w:val="24"/>
          <w:u w:val="single"/>
        </w:rPr>
        <w:t>://doi.org/10.1002/smj</w:t>
      </w:r>
      <w:r>
        <w:rPr>
          <w:rFonts w:ascii="Arial" w:hAnsi="Arial" w:eastAsia="Calibri" w:cs="Arial"/>
          <w:color w:val="1155CC"/>
          <w:sz w:val="24"/>
          <w:szCs w:val="24"/>
          <w:u w:val="single"/>
        </w:rPr>
        <w:t>.4250090706</w:t>
      </w:r>
      <w:r>
        <w:fldChar w:fldCharType="end"/>
      </w:r>
      <w:r>
        <w:rPr>
          <w:rFonts w:ascii="Arial" w:hAnsi="Arial" w:eastAsia="Calibri" w:cs="Arial"/>
          <w:sz w:val="24"/>
          <w:szCs w:val="24"/>
        </w:rPr>
        <w:t xml:space="preserve">. </w:t>
      </w:r>
    </w:p>
    <w:p w14:paraId="0DD8D064">
      <w:pPr>
        <w:spacing w:after="240" w:line="360" w:lineRule="auto"/>
        <w:rPr>
          <w:rFonts w:ascii="Arial" w:hAnsi="Arial" w:eastAsia="Calibri" w:cs="Arial"/>
          <w:sz w:val="24"/>
          <w:szCs w:val="24"/>
        </w:rPr>
      </w:pPr>
      <w:r>
        <w:rPr>
          <w:rFonts w:ascii="Arial" w:hAnsi="Arial" w:eastAsia="Calibri" w:cs="Arial"/>
          <w:sz w:val="24"/>
          <w:szCs w:val="24"/>
        </w:rPr>
        <w:t xml:space="preserve">Liu, C.C., Boothman, S.G. and Graham, J.D. (2025). The Rise and Recent Decline of Tesla’s Share of the U.S. Electric Vehicle Market. </w:t>
      </w:r>
      <w:r>
        <w:rPr>
          <w:rFonts w:ascii="Arial" w:hAnsi="Arial" w:eastAsia="Calibri" w:cs="Arial"/>
          <w:i/>
          <w:sz w:val="24"/>
          <w:szCs w:val="24"/>
        </w:rPr>
        <w:t>World Electric Vehicle Journal</w:t>
      </w:r>
      <w:r>
        <w:rPr>
          <w:rFonts w:ascii="Arial" w:hAnsi="Arial" w:eastAsia="Calibri" w:cs="Arial"/>
          <w:sz w:val="24"/>
          <w:szCs w:val="24"/>
        </w:rPr>
        <w:t>, [online] 16(2), pp.90–90. doi:</w:t>
      </w:r>
      <w:r>
        <w:fldChar w:fldCharType="begin"/>
      </w:r>
      <w:r>
        <w:instrText xml:space="preserve"> HYPERLINK "https://doi.org/10.3390/wevj16020090" </w:instrText>
      </w:r>
      <w:r>
        <w:fldChar w:fldCharType="separate"/>
      </w:r>
      <w:r>
        <w:rPr>
          <w:rFonts w:ascii="Arial" w:hAnsi="Arial" w:eastAsia="Calibri" w:cs="Arial"/>
          <w:color w:val="1155CC"/>
          <w:sz w:val="24"/>
          <w:szCs w:val="24"/>
          <w:u w:val="single"/>
        </w:rPr>
        <w:t>https</w:t>
      </w:r>
      <w:r>
        <w:rPr>
          <w:rFonts w:ascii="Arial" w:hAnsi="Arial" w:eastAsia="Calibri" w:cs="Arial"/>
          <w:color w:val="1155CC"/>
          <w:sz w:val="24"/>
          <w:szCs w:val="24"/>
          <w:u w:val="single"/>
        </w:rPr>
        <w:t>://doi.org/10.3390/wevj16020090</w:t>
      </w:r>
      <w:r>
        <w:fldChar w:fldCharType="end"/>
      </w:r>
      <w:r>
        <w:rPr>
          <w:rFonts w:ascii="Arial" w:hAnsi="Arial" w:eastAsia="Calibri" w:cs="Arial"/>
          <w:sz w:val="24"/>
          <w:szCs w:val="24"/>
        </w:rPr>
        <w:t xml:space="preserve">. </w:t>
      </w:r>
    </w:p>
    <w:p w14:paraId="53347994">
      <w:pPr>
        <w:spacing w:after="240" w:line="360" w:lineRule="auto"/>
        <w:rPr>
          <w:rFonts w:ascii="Arial" w:hAnsi="Arial" w:eastAsia="Calibri" w:cs="Arial"/>
          <w:sz w:val="24"/>
          <w:szCs w:val="24"/>
        </w:rPr>
      </w:pPr>
      <w:r>
        <w:rPr>
          <w:rFonts w:ascii="Arial" w:hAnsi="Arial" w:eastAsia="Calibri" w:cs="Arial"/>
          <w:sz w:val="24"/>
          <w:szCs w:val="24"/>
        </w:rPr>
        <w:t>Luppicini, R., (2013). Handbook of Research on Technoself: Identity in.</w:t>
      </w:r>
    </w:p>
    <w:p w14:paraId="54835705">
      <w:pPr>
        <w:spacing w:after="240" w:line="360" w:lineRule="auto"/>
        <w:rPr>
          <w:rFonts w:ascii="Arial" w:hAnsi="Arial" w:eastAsia="Calibri" w:cs="Arial"/>
          <w:sz w:val="24"/>
          <w:szCs w:val="24"/>
        </w:rPr>
      </w:pPr>
      <w:r>
        <w:rPr>
          <w:rFonts w:ascii="Arial" w:hAnsi="Arial" w:eastAsia="Calibri" w:cs="Arial"/>
          <w:sz w:val="24"/>
          <w:szCs w:val="24"/>
        </w:rPr>
        <w:t xml:space="preserve">Mckinsey &amp; Company (2023). </w:t>
      </w:r>
      <w:r>
        <w:rPr>
          <w:rFonts w:ascii="Arial" w:hAnsi="Arial" w:eastAsia="Calibri" w:cs="Arial"/>
          <w:i/>
          <w:sz w:val="24"/>
          <w:szCs w:val="24"/>
        </w:rPr>
        <w:t>How to win the digital race by coming in second, and other (often surprising) ways to reinvent for the digital world | McKinsey &amp; Company</w:t>
      </w:r>
      <w:r>
        <w:rPr>
          <w:rFonts w:ascii="Arial" w:hAnsi="Arial" w:eastAsia="Calibri" w:cs="Arial"/>
          <w:sz w:val="24"/>
          <w:szCs w:val="24"/>
        </w:rPr>
        <w:t xml:space="preserve">. [online] www.mckinsey.com. Available at: </w:t>
      </w:r>
      <w:r>
        <w:fldChar w:fldCharType="begin"/>
      </w:r>
      <w:r>
        <w:instrText xml:space="preserve"> HYPERLINK "https://www.mckinsey.com/capabilities/strategy-and-corporate-finance/our-insights/the-strategy-and-corporate-finance-blog/how-to-win-the-digital-race-by-coming-in-second" </w:instrText>
      </w:r>
      <w:r>
        <w:fldChar w:fldCharType="separate"/>
      </w:r>
      <w:r>
        <w:rPr>
          <w:rFonts w:ascii="Arial" w:hAnsi="Arial" w:eastAsia="Calibri" w:cs="Arial"/>
          <w:color w:val="1155CC"/>
          <w:sz w:val="24"/>
          <w:szCs w:val="24"/>
          <w:u w:val="single"/>
        </w:rPr>
        <w:t>https://www.mckinsey.com/capabilities/strategy-and-corporate-finance/our-insights/the-strategy-and-corporate-finance-blog/how-to-win-the-digital-race-by-coming-in-second</w:t>
      </w:r>
      <w:r>
        <w:fldChar w:fldCharType="end"/>
      </w:r>
      <w:r>
        <w:rPr>
          <w:rFonts w:ascii="Arial" w:hAnsi="Arial" w:eastAsia="Calibri" w:cs="Arial"/>
          <w:sz w:val="24"/>
          <w:szCs w:val="24"/>
        </w:rPr>
        <w:t xml:space="preserve">. </w:t>
      </w:r>
    </w:p>
    <w:p w14:paraId="7A5A4C76">
      <w:pPr>
        <w:spacing w:after="240" w:line="360" w:lineRule="auto"/>
        <w:rPr>
          <w:rFonts w:ascii="Arial" w:hAnsi="Arial" w:eastAsia="Calibri" w:cs="Arial"/>
          <w:sz w:val="24"/>
          <w:szCs w:val="24"/>
        </w:rPr>
      </w:pPr>
      <w:r>
        <w:rPr>
          <w:rFonts w:ascii="Arial" w:hAnsi="Arial" w:eastAsia="Calibri" w:cs="Arial"/>
          <w:sz w:val="24"/>
          <w:szCs w:val="24"/>
        </w:rPr>
        <w:t xml:space="preserve">Phillips, A.N., Briggs, B., Lillie, M., Tweardy, J. and Buchholz, S. (2020). </w:t>
      </w:r>
      <w:r>
        <w:rPr>
          <w:rFonts w:ascii="Arial" w:hAnsi="Arial" w:eastAsia="Calibri" w:cs="Arial"/>
          <w:i/>
          <w:sz w:val="24"/>
          <w:szCs w:val="24"/>
        </w:rPr>
        <w:t>The kinetic leader: Boldly reinventing the enterprise</w:t>
      </w:r>
      <w:r>
        <w:rPr>
          <w:rFonts w:ascii="Arial" w:hAnsi="Arial" w:eastAsia="Calibri" w:cs="Arial"/>
          <w:sz w:val="24"/>
          <w:szCs w:val="24"/>
        </w:rPr>
        <w:t xml:space="preserve">. [online] Deloitte Insights. Available at: </w:t>
      </w:r>
      <w:r>
        <w:fldChar w:fldCharType="begin"/>
      </w:r>
      <w:r>
        <w:instrText xml:space="preserve"> HYPERLINK "https://www.deloitte.com/us/en/insights/topics/leadership/global-technology-leadership-study.html" </w:instrText>
      </w:r>
      <w:r>
        <w:fldChar w:fldCharType="separate"/>
      </w:r>
      <w:r>
        <w:rPr>
          <w:rFonts w:ascii="Arial" w:hAnsi="Arial" w:eastAsia="Calibri" w:cs="Arial"/>
          <w:color w:val="1155CC"/>
          <w:sz w:val="24"/>
          <w:szCs w:val="24"/>
          <w:u w:val="single"/>
        </w:rPr>
        <w:t>https://ww</w:t>
      </w:r>
      <w:r>
        <w:rPr>
          <w:rFonts w:ascii="Arial" w:hAnsi="Arial" w:eastAsia="Calibri" w:cs="Arial"/>
          <w:color w:val="1155CC"/>
          <w:sz w:val="24"/>
          <w:szCs w:val="24"/>
          <w:u w:val="single"/>
        </w:rPr>
        <w:t>w.deloitte.com/us/en/insights/topics/leadership/global-technology-leadership-study.html</w:t>
      </w:r>
      <w:r>
        <w:fldChar w:fldCharType="end"/>
      </w:r>
      <w:r>
        <w:rPr>
          <w:rFonts w:ascii="Arial" w:hAnsi="Arial" w:eastAsia="Calibri" w:cs="Arial"/>
          <w:sz w:val="24"/>
          <w:szCs w:val="24"/>
        </w:rPr>
        <w:t xml:space="preserve">. </w:t>
      </w:r>
    </w:p>
    <w:p w14:paraId="34A3E157">
      <w:pPr>
        <w:spacing w:after="240" w:line="360" w:lineRule="auto"/>
        <w:rPr>
          <w:rFonts w:ascii="Arial" w:hAnsi="Arial" w:eastAsia="Calibri" w:cs="Arial"/>
          <w:sz w:val="24"/>
          <w:szCs w:val="24"/>
        </w:rPr>
      </w:pPr>
      <w:r>
        <w:rPr>
          <w:rFonts w:ascii="Arial" w:hAnsi="Arial" w:eastAsia="Calibri" w:cs="Arial"/>
          <w:sz w:val="24"/>
          <w:szCs w:val="24"/>
        </w:rPr>
        <w:t xml:space="preserve">Porter, M.E. and Linde, C. van der (1995). Toward a New Conception of the Environment-Competitiveness Relationship. </w:t>
      </w:r>
      <w:r>
        <w:rPr>
          <w:rFonts w:ascii="Arial" w:hAnsi="Arial" w:eastAsia="Calibri" w:cs="Arial"/>
          <w:i/>
          <w:sz w:val="24"/>
          <w:szCs w:val="24"/>
        </w:rPr>
        <w:t>Journal of Economic Perspectives</w:t>
      </w:r>
      <w:r>
        <w:rPr>
          <w:rFonts w:ascii="Arial" w:hAnsi="Arial" w:eastAsia="Calibri" w:cs="Arial"/>
          <w:sz w:val="24"/>
          <w:szCs w:val="24"/>
        </w:rPr>
        <w:t>, 9(4), pp.97–118. doi:</w:t>
      </w:r>
      <w:r>
        <w:fldChar w:fldCharType="begin"/>
      </w:r>
      <w:r>
        <w:instrText xml:space="preserve"> HYPERLINK "https://doi.org/10.1257/jep.9.4.97" </w:instrText>
      </w:r>
      <w:r>
        <w:fldChar w:fldCharType="separate"/>
      </w:r>
      <w:r>
        <w:rPr>
          <w:rFonts w:ascii="Arial" w:hAnsi="Arial" w:eastAsia="Calibri" w:cs="Arial"/>
          <w:color w:val="1155CC"/>
          <w:sz w:val="24"/>
          <w:szCs w:val="24"/>
          <w:u w:val="single"/>
        </w:rPr>
        <w:t>https</w:t>
      </w:r>
      <w:r>
        <w:rPr>
          <w:rFonts w:ascii="Arial" w:hAnsi="Arial" w:eastAsia="Calibri" w:cs="Arial"/>
          <w:color w:val="1155CC"/>
          <w:sz w:val="24"/>
          <w:szCs w:val="24"/>
          <w:u w:val="single"/>
        </w:rPr>
        <w:t>://doi.org/10.1257/jep.9.4.97</w:t>
      </w:r>
      <w:r>
        <w:fldChar w:fldCharType="end"/>
      </w:r>
      <w:r>
        <w:rPr>
          <w:rFonts w:ascii="Arial" w:hAnsi="Arial" w:eastAsia="Calibri" w:cs="Arial"/>
          <w:sz w:val="24"/>
          <w:szCs w:val="24"/>
        </w:rPr>
        <w:t xml:space="preserve">. </w:t>
      </w:r>
    </w:p>
    <w:p w14:paraId="7DF6717E">
      <w:pPr>
        <w:spacing w:after="240" w:line="360" w:lineRule="auto"/>
        <w:rPr>
          <w:rFonts w:ascii="Arial" w:hAnsi="Arial" w:eastAsia="Calibri" w:cs="Arial"/>
          <w:sz w:val="24"/>
          <w:szCs w:val="24"/>
        </w:rPr>
      </w:pPr>
      <w:r>
        <w:rPr>
          <w:rFonts w:ascii="Arial" w:hAnsi="Arial" w:eastAsia="Calibri" w:cs="Arial"/>
          <w:sz w:val="24"/>
          <w:szCs w:val="24"/>
        </w:rPr>
        <w:t xml:space="preserve">Pusic , M. and Boutis, K. (2022). </w:t>
      </w:r>
      <w:r>
        <w:rPr>
          <w:rFonts w:ascii="Arial" w:hAnsi="Arial" w:eastAsia="Calibri" w:cs="Arial"/>
          <w:i/>
          <w:sz w:val="24"/>
          <w:szCs w:val="24"/>
        </w:rPr>
        <w:t>The Learning Curve &amp; CBME:  Summing Up</w:t>
      </w:r>
      <w:r>
        <w:rPr>
          <w:rFonts w:ascii="Arial" w:hAnsi="Arial" w:eastAsia="Calibri" w:cs="Arial"/>
          <w:sz w:val="24"/>
          <w:szCs w:val="24"/>
        </w:rPr>
        <w:t>. [online] ICE Blog. Available at: https://icenet.blog/2022/12/22/learning-curve-basis-of-cbme-standard-setting-and-the-learning-curve-2 /  [Accessed 17 Oct. 2025].</w:t>
      </w:r>
    </w:p>
    <w:p w14:paraId="2A3359C9">
      <w:pPr>
        <w:spacing w:after="240" w:line="360" w:lineRule="auto"/>
        <w:rPr>
          <w:rFonts w:ascii="Arial" w:hAnsi="Arial" w:eastAsia="Calibri" w:cs="Arial"/>
          <w:sz w:val="24"/>
          <w:szCs w:val="24"/>
        </w:rPr>
      </w:pPr>
      <w:r>
        <w:rPr>
          <w:rFonts w:ascii="Arial" w:hAnsi="Arial" w:eastAsia="Calibri" w:cs="Arial"/>
          <w:sz w:val="24"/>
          <w:szCs w:val="24"/>
        </w:rPr>
        <w:t xml:space="preserve">Sahin, I. (2006). Detailed Review of Rogers’ Diffusion of Innovation Theory and Educational Technology-Related Studies Based on Rogers’ Theory. </w:t>
      </w:r>
      <w:r>
        <w:rPr>
          <w:rFonts w:ascii="Arial" w:hAnsi="Arial" w:eastAsia="Calibri" w:cs="Arial"/>
          <w:i/>
          <w:sz w:val="24"/>
          <w:szCs w:val="24"/>
        </w:rPr>
        <w:t>The Turkish Online Journal of Educational Technology</w:t>
      </w:r>
      <w:r>
        <w:rPr>
          <w:rFonts w:ascii="Arial" w:hAnsi="Arial" w:eastAsia="Calibri" w:cs="Arial"/>
          <w:sz w:val="24"/>
          <w:szCs w:val="24"/>
        </w:rPr>
        <w:t xml:space="preserve">, [online] 5(2), pp.1303–6521. Available at: </w:t>
      </w:r>
      <w:r>
        <w:fldChar w:fldCharType="begin"/>
      </w:r>
      <w:r>
        <w:instrText xml:space="preserve"> HYPERLINK "https://files.eric.ed.gov/fulltext/ED501453.pdf" </w:instrText>
      </w:r>
      <w:r>
        <w:fldChar w:fldCharType="separate"/>
      </w:r>
      <w:r>
        <w:rPr>
          <w:rFonts w:ascii="Arial" w:hAnsi="Arial" w:eastAsia="Calibri" w:cs="Arial"/>
          <w:color w:val="1155CC"/>
          <w:sz w:val="24"/>
          <w:szCs w:val="24"/>
          <w:u w:val="single"/>
        </w:rPr>
        <w:t>https://files.eric.ed.gov/fulltext/ED501453.pdf</w:t>
      </w:r>
      <w:r>
        <w:fldChar w:fldCharType="end"/>
      </w:r>
      <w:r>
        <w:rPr>
          <w:rFonts w:ascii="Arial" w:hAnsi="Arial" w:eastAsia="Calibri" w:cs="Arial"/>
          <w:sz w:val="24"/>
          <w:szCs w:val="24"/>
        </w:rPr>
        <w:t xml:space="preserve">. </w:t>
      </w:r>
    </w:p>
    <w:p w14:paraId="5B29D519">
      <w:pPr>
        <w:spacing w:after="240" w:line="360" w:lineRule="auto"/>
        <w:rPr>
          <w:rFonts w:ascii="Arial" w:hAnsi="Arial" w:eastAsia="Calibri" w:cs="Arial"/>
          <w:sz w:val="24"/>
          <w:szCs w:val="24"/>
        </w:rPr>
      </w:pPr>
      <w:r>
        <w:rPr>
          <w:rFonts w:ascii="Arial" w:hAnsi="Arial" w:eastAsia="Calibri" w:cs="Arial"/>
          <w:sz w:val="24"/>
          <w:szCs w:val="24"/>
        </w:rPr>
        <w:t xml:space="preserve">Schillmann, C. (2020). </w:t>
      </w:r>
      <w:r>
        <w:rPr>
          <w:rFonts w:ascii="Arial" w:hAnsi="Arial" w:eastAsia="Calibri" w:cs="Arial"/>
          <w:i/>
          <w:sz w:val="24"/>
          <w:szCs w:val="24"/>
        </w:rPr>
        <w:t>Patagonia Inc. under a sustainability perspective</w:t>
      </w:r>
      <w:r>
        <w:rPr>
          <w:rFonts w:ascii="Arial" w:hAnsi="Arial" w:eastAsia="Calibri" w:cs="Arial"/>
          <w:sz w:val="24"/>
          <w:szCs w:val="24"/>
        </w:rPr>
        <w:t xml:space="preserve">. [online] ResearchGate. Available at: </w:t>
      </w:r>
      <w:r>
        <w:fldChar w:fldCharType="begin"/>
      </w:r>
      <w:r>
        <w:instrText xml:space="preserve"> HYPERLINK "https://www.researchgate.net/publication/345369716_Patagonia_Inc_under_a_sustainability_perspective" </w:instrText>
      </w:r>
      <w:r>
        <w:fldChar w:fldCharType="separate"/>
      </w:r>
      <w:r>
        <w:rPr>
          <w:rFonts w:ascii="Arial" w:hAnsi="Arial" w:eastAsia="Calibri" w:cs="Arial"/>
          <w:color w:val="1155CC"/>
          <w:sz w:val="24"/>
          <w:szCs w:val="24"/>
          <w:u w:val="single"/>
        </w:rPr>
        <w:t>https://www.researchgate.net/publication/345369716_Patagonia_Inc_under_a_sustainability_perspective</w:t>
      </w:r>
      <w:r>
        <w:fldChar w:fldCharType="end"/>
      </w:r>
      <w:r>
        <w:rPr>
          <w:rFonts w:ascii="Arial" w:hAnsi="Arial" w:eastAsia="Calibri" w:cs="Arial"/>
          <w:sz w:val="24"/>
          <w:szCs w:val="24"/>
        </w:rPr>
        <w:t xml:space="preserve">. </w:t>
      </w:r>
    </w:p>
    <w:p w14:paraId="372C67B8">
      <w:pPr>
        <w:spacing w:after="240" w:line="360" w:lineRule="auto"/>
        <w:rPr>
          <w:rFonts w:ascii="Arial" w:hAnsi="Arial" w:eastAsia="Calibri" w:cs="Arial"/>
          <w:sz w:val="24"/>
          <w:szCs w:val="24"/>
        </w:rPr>
      </w:pPr>
      <w:r>
        <w:rPr>
          <w:rFonts w:ascii="Arial" w:hAnsi="Arial" w:eastAsia="Calibri" w:cs="Arial"/>
          <w:sz w:val="24"/>
          <w:szCs w:val="24"/>
        </w:rPr>
        <w:t xml:space="preserve">Shankar, V., Carpenter, G.S. and Krishnamurthi, L. (1998). Late Mover Advantage: How Innovative Late Entrants Outsell Pioneers. </w:t>
      </w:r>
      <w:r>
        <w:rPr>
          <w:rFonts w:ascii="Arial" w:hAnsi="Arial" w:eastAsia="Calibri" w:cs="Arial"/>
          <w:i/>
          <w:sz w:val="24"/>
          <w:szCs w:val="24"/>
        </w:rPr>
        <w:t>Journal of Marketing Research</w:t>
      </w:r>
      <w:r>
        <w:rPr>
          <w:rFonts w:ascii="Arial" w:hAnsi="Arial" w:eastAsia="Calibri" w:cs="Arial"/>
          <w:sz w:val="24"/>
          <w:szCs w:val="24"/>
        </w:rPr>
        <w:t>, 35(1), pp.54–70. doi:</w:t>
      </w:r>
      <w:r>
        <w:fldChar w:fldCharType="begin"/>
      </w:r>
      <w:r>
        <w:instrText xml:space="preserve"> HYPERLINK "https://doi.org/10.1177/002224379803500107" </w:instrText>
      </w:r>
      <w:r>
        <w:fldChar w:fldCharType="separate"/>
      </w:r>
      <w:r>
        <w:rPr>
          <w:rFonts w:ascii="Arial" w:hAnsi="Arial" w:eastAsia="Calibri" w:cs="Arial"/>
          <w:color w:val="1155CC"/>
          <w:sz w:val="24"/>
          <w:szCs w:val="24"/>
          <w:u w:val="single"/>
        </w:rPr>
        <w:t>https</w:t>
      </w:r>
      <w:r>
        <w:rPr>
          <w:rFonts w:ascii="Arial" w:hAnsi="Arial" w:eastAsia="Calibri" w:cs="Arial"/>
          <w:color w:val="1155CC"/>
          <w:sz w:val="24"/>
          <w:szCs w:val="24"/>
          <w:u w:val="single"/>
        </w:rPr>
        <w:t>://doi.org/10.1177/002</w:t>
      </w:r>
      <w:r>
        <w:rPr>
          <w:rFonts w:ascii="Arial" w:hAnsi="Arial" w:eastAsia="Calibri" w:cs="Arial"/>
          <w:color w:val="1155CC"/>
          <w:sz w:val="24"/>
          <w:szCs w:val="24"/>
          <w:u w:val="single"/>
        </w:rPr>
        <w:t>224379803500107</w:t>
      </w:r>
      <w:r>
        <w:fldChar w:fldCharType="end"/>
      </w:r>
      <w:r>
        <w:rPr>
          <w:rFonts w:ascii="Arial" w:hAnsi="Arial" w:eastAsia="Calibri" w:cs="Arial"/>
          <w:sz w:val="24"/>
          <w:szCs w:val="24"/>
        </w:rPr>
        <w:t xml:space="preserve">. </w:t>
      </w:r>
    </w:p>
    <w:p w14:paraId="59AE601B">
      <w:pPr>
        <w:spacing w:after="240" w:line="360" w:lineRule="auto"/>
        <w:rPr>
          <w:rFonts w:ascii="Arial" w:hAnsi="Arial" w:eastAsia="Calibri" w:cs="Arial"/>
          <w:sz w:val="24"/>
          <w:szCs w:val="24"/>
        </w:rPr>
      </w:pPr>
      <w:r>
        <w:rPr>
          <w:rFonts w:ascii="Arial" w:hAnsi="Arial" w:eastAsia="Calibri" w:cs="Arial"/>
          <w:sz w:val="24"/>
          <w:szCs w:val="24"/>
        </w:rPr>
        <w:t xml:space="preserve">Singh, Atul.Kumar. and Kumar, V.R.Prasath. (2024). Integrating blockchain technology success factors in the supply chain of circular economy-driven construction materials: An environmentally sustainable paradigm. </w:t>
      </w:r>
      <w:r>
        <w:rPr>
          <w:rFonts w:ascii="Arial" w:hAnsi="Arial" w:eastAsia="Calibri" w:cs="Arial"/>
          <w:i/>
          <w:sz w:val="24"/>
          <w:szCs w:val="24"/>
        </w:rPr>
        <w:t>Journal of cleaner production</w:t>
      </w:r>
      <w:r>
        <w:rPr>
          <w:rFonts w:ascii="Arial" w:hAnsi="Arial" w:eastAsia="Calibri" w:cs="Arial"/>
          <w:sz w:val="24"/>
          <w:szCs w:val="24"/>
        </w:rPr>
        <w:t>, pp.142577–142577. doi:</w:t>
      </w:r>
      <w:r>
        <w:fldChar w:fldCharType="begin"/>
      </w:r>
      <w:r>
        <w:instrText xml:space="preserve"> HYPERLINK "https://doi.org/10.1016/j.jclepro.2024.142577" </w:instrText>
      </w:r>
      <w:r>
        <w:fldChar w:fldCharType="separate"/>
      </w:r>
      <w:r>
        <w:rPr>
          <w:rFonts w:ascii="Arial" w:hAnsi="Arial" w:eastAsia="Calibri" w:cs="Arial"/>
          <w:color w:val="1155CC"/>
          <w:sz w:val="24"/>
          <w:szCs w:val="24"/>
          <w:u w:val="single"/>
        </w:rPr>
        <w:t>https</w:t>
      </w:r>
      <w:r>
        <w:rPr>
          <w:rFonts w:ascii="Arial" w:hAnsi="Arial" w:eastAsia="Calibri" w:cs="Arial"/>
          <w:color w:val="1155CC"/>
          <w:sz w:val="24"/>
          <w:szCs w:val="24"/>
          <w:u w:val="single"/>
        </w:rPr>
        <w:t>://doi.org/10.1016/j.jclepro.2024.142577</w:t>
      </w:r>
      <w:r>
        <w:fldChar w:fldCharType="end"/>
      </w:r>
      <w:r>
        <w:rPr>
          <w:rFonts w:ascii="Arial" w:hAnsi="Arial" w:eastAsia="Calibri" w:cs="Arial"/>
          <w:sz w:val="24"/>
          <w:szCs w:val="24"/>
        </w:rPr>
        <w:t xml:space="preserve">. </w:t>
      </w:r>
    </w:p>
    <w:p w14:paraId="56A43C8F">
      <w:pPr>
        <w:spacing w:after="240" w:line="360" w:lineRule="auto"/>
        <w:rPr>
          <w:rFonts w:ascii="Arial" w:hAnsi="Arial" w:eastAsia="Calibri" w:cs="Arial"/>
          <w:sz w:val="24"/>
          <w:szCs w:val="24"/>
        </w:rPr>
      </w:pPr>
      <w:r>
        <w:rPr>
          <w:rFonts w:ascii="Arial" w:hAnsi="Arial" w:eastAsia="Calibri" w:cs="Arial"/>
          <w:sz w:val="24"/>
          <w:szCs w:val="24"/>
        </w:rPr>
        <w:t xml:space="preserve">Sun, S., Gu, B. and Tang, F. (2025). Cross-Category Innovation Strategy and Evolution of Digital Platform Ecosystems: A Technology-Driven Perspective. </w:t>
      </w:r>
      <w:r>
        <w:rPr>
          <w:rFonts w:ascii="Arial" w:hAnsi="Arial" w:eastAsia="Calibri" w:cs="Arial"/>
          <w:i/>
          <w:sz w:val="24"/>
          <w:szCs w:val="24"/>
        </w:rPr>
        <w:t>Sustainability</w:t>
      </w:r>
      <w:r>
        <w:rPr>
          <w:rFonts w:ascii="Arial" w:hAnsi="Arial" w:eastAsia="Calibri" w:cs="Arial"/>
          <w:sz w:val="24"/>
          <w:szCs w:val="24"/>
        </w:rPr>
        <w:t>, [online] 17(11), pp.5113–5113. doi:</w:t>
      </w:r>
      <w:r>
        <w:fldChar w:fldCharType="begin"/>
      </w:r>
      <w:r>
        <w:instrText xml:space="preserve"> HYPERLINK "https://doi.org/10.3390/su17115113" </w:instrText>
      </w:r>
      <w:r>
        <w:fldChar w:fldCharType="separate"/>
      </w:r>
      <w:r>
        <w:rPr>
          <w:rFonts w:ascii="Arial" w:hAnsi="Arial" w:eastAsia="Calibri" w:cs="Arial"/>
          <w:color w:val="1155CC"/>
          <w:sz w:val="24"/>
          <w:szCs w:val="24"/>
          <w:u w:val="single"/>
        </w:rPr>
        <w:t>https</w:t>
      </w:r>
      <w:r>
        <w:rPr>
          <w:rFonts w:ascii="Arial" w:hAnsi="Arial" w:eastAsia="Calibri" w:cs="Arial"/>
          <w:color w:val="1155CC"/>
          <w:sz w:val="24"/>
          <w:szCs w:val="24"/>
          <w:u w:val="single"/>
        </w:rPr>
        <w:t>://doi.org/10.3390/su17115113</w:t>
      </w:r>
      <w:r>
        <w:fldChar w:fldCharType="end"/>
      </w:r>
      <w:r>
        <w:rPr>
          <w:rFonts w:ascii="Arial" w:hAnsi="Arial" w:eastAsia="Calibri" w:cs="Arial"/>
          <w:sz w:val="24"/>
          <w:szCs w:val="24"/>
        </w:rPr>
        <w:t xml:space="preserve">. </w:t>
      </w:r>
    </w:p>
    <w:p w14:paraId="5EC2AF4B">
      <w:pPr>
        <w:spacing w:after="240" w:line="360" w:lineRule="auto"/>
        <w:rPr>
          <w:rFonts w:ascii="Arial" w:hAnsi="Arial" w:eastAsia="Calibri" w:cs="Arial"/>
          <w:sz w:val="24"/>
          <w:szCs w:val="24"/>
        </w:rPr>
      </w:pPr>
      <w:r>
        <w:rPr>
          <w:rFonts w:ascii="Arial" w:hAnsi="Arial" w:eastAsia="Calibri" w:cs="Arial"/>
          <w:sz w:val="24"/>
          <w:szCs w:val="24"/>
        </w:rPr>
        <w:t xml:space="preserve">Teece, D.J. (2007). Explicating Dynamic Capabilities: the Nature and Microfoundations of (Sustainable) Enterprise Performance. </w:t>
      </w:r>
      <w:r>
        <w:rPr>
          <w:rFonts w:ascii="Arial" w:hAnsi="Arial" w:eastAsia="Calibri" w:cs="Arial"/>
          <w:i/>
          <w:sz w:val="24"/>
          <w:szCs w:val="24"/>
        </w:rPr>
        <w:t>Strategic Management Journal</w:t>
      </w:r>
      <w:r>
        <w:rPr>
          <w:rFonts w:ascii="Arial" w:hAnsi="Arial" w:eastAsia="Calibri" w:cs="Arial"/>
          <w:sz w:val="24"/>
          <w:szCs w:val="24"/>
        </w:rPr>
        <w:t>, 28(13), pp.1319–1350. doi:</w:t>
      </w:r>
      <w:r>
        <w:fldChar w:fldCharType="begin"/>
      </w:r>
      <w:r>
        <w:instrText xml:space="preserve"> HYPERLINK "https://doi.org/10.1002/smj.640" </w:instrText>
      </w:r>
      <w:r>
        <w:fldChar w:fldCharType="separate"/>
      </w:r>
      <w:r>
        <w:rPr>
          <w:rFonts w:ascii="Arial" w:hAnsi="Arial" w:eastAsia="Calibri" w:cs="Arial"/>
          <w:color w:val="1155CC"/>
          <w:sz w:val="24"/>
          <w:szCs w:val="24"/>
          <w:u w:val="single"/>
        </w:rPr>
        <w:t>https</w:t>
      </w:r>
      <w:r>
        <w:rPr>
          <w:rFonts w:ascii="Arial" w:hAnsi="Arial" w:eastAsia="Calibri" w:cs="Arial"/>
          <w:color w:val="1155CC"/>
          <w:sz w:val="24"/>
          <w:szCs w:val="24"/>
          <w:u w:val="single"/>
        </w:rPr>
        <w:t>://doi.org/10.1002/smj.</w:t>
      </w:r>
      <w:r>
        <w:rPr>
          <w:rFonts w:ascii="Arial" w:hAnsi="Arial" w:eastAsia="Calibri" w:cs="Arial"/>
          <w:color w:val="1155CC"/>
          <w:sz w:val="24"/>
          <w:szCs w:val="24"/>
          <w:u w:val="single"/>
        </w:rPr>
        <w:t>640</w:t>
      </w:r>
      <w:r>
        <w:fldChar w:fldCharType="end"/>
      </w:r>
      <w:r>
        <w:rPr>
          <w:rFonts w:ascii="Arial" w:hAnsi="Arial" w:eastAsia="Calibri" w:cs="Arial"/>
          <w:sz w:val="24"/>
          <w:szCs w:val="24"/>
        </w:rPr>
        <w:t xml:space="preserve">. </w:t>
      </w:r>
    </w:p>
    <w:p w14:paraId="5F9DD138">
      <w:pPr>
        <w:spacing w:after="240" w:line="360" w:lineRule="auto"/>
        <w:rPr>
          <w:rFonts w:ascii="Arial" w:hAnsi="Arial" w:eastAsia="Calibri" w:cs="Arial"/>
          <w:sz w:val="24"/>
          <w:szCs w:val="24"/>
        </w:rPr>
      </w:pPr>
      <w:r>
        <w:rPr>
          <w:rFonts w:ascii="Arial" w:hAnsi="Arial" w:eastAsia="Calibri" w:cs="Arial"/>
          <w:sz w:val="24"/>
          <w:szCs w:val="24"/>
        </w:rPr>
        <w:t xml:space="preserve">Wadhwa, V., Amla, I. and Salkever, A., (2020). </w:t>
      </w:r>
      <w:r>
        <w:rPr>
          <w:rFonts w:ascii="Arial" w:hAnsi="Arial" w:eastAsia="Calibri" w:cs="Arial"/>
          <w:i/>
          <w:sz w:val="24"/>
          <w:szCs w:val="24"/>
        </w:rPr>
        <w:t>From Incremental to Exponential: How Large Companies Can See the Future and Rethink Innovation</w:t>
      </w:r>
      <w:r>
        <w:rPr>
          <w:rFonts w:ascii="Arial" w:hAnsi="Arial" w:eastAsia="Calibri" w:cs="Arial"/>
          <w:sz w:val="24"/>
          <w:szCs w:val="24"/>
        </w:rPr>
        <w:t xml:space="preserve">. Berrett-Koehler Publishers. </w:t>
      </w:r>
    </w:p>
    <w:p w14:paraId="05DE1164">
      <w:pPr>
        <w:spacing w:after="240" w:line="360" w:lineRule="auto"/>
        <w:rPr>
          <w:rFonts w:ascii="Arial" w:hAnsi="Arial" w:eastAsia="Calibri" w:cs="Arial"/>
          <w:sz w:val="24"/>
          <w:szCs w:val="24"/>
        </w:rPr>
      </w:pPr>
      <w:r>
        <w:rPr>
          <w:rFonts w:ascii="Arial" w:hAnsi="Arial" w:eastAsia="Calibri" w:cs="Arial"/>
          <w:sz w:val="24"/>
          <w:szCs w:val="24"/>
        </w:rPr>
        <w:t xml:space="preserve">Zugay, B. and Zakaria, R. (2023). </w:t>
      </w:r>
      <w:r>
        <w:rPr>
          <w:rFonts w:ascii="Arial" w:hAnsi="Arial" w:eastAsia="Calibri" w:cs="Arial"/>
          <w:i/>
          <w:sz w:val="24"/>
          <w:szCs w:val="24"/>
        </w:rPr>
        <w:t>Ansoff Matrix</w:t>
      </w:r>
      <w:r>
        <w:rPr>
          <w:rFonts w:ascii="Arial" w:hAnsi="Arial" w:eastAsia="Calibri" w:cs="Arial"/>
          <w:sz w:val="24"/>
          <w:szCs w:val="24"/>
        </w:rPr>
        <w:t xml:space="preserve">. [online] </w:t>
      </w:r>
      <w:r>
        <w:rPr>
          <w:rFonts w:ascii="Arial" w:hAnsi="Arial" w:eastAsia="Calibri" w:cs="Arial"/>
          <w:i/>
          <w:sz w:val="24"/>
          <w:szCs w:val="24"/>
        </w:rPr>
        <w:t>SAGE Knowledge</w:t>
      </w:r>
      <w:r>
        <w:rPr>
          <w:rFonts w:ascii="Arial" w:hAnsi="Arial" w:eastAsia="Calibri" w:cs="Arial"/>
          <w:sz w:val="24"/>
          <w:szCs w:val="24"/>
        </w:rPr>
        <w:t xml:space="preserve">. Thousand Oaks, California: SAGE Publications, Inc. Available at: </w:t>
      </w:r>
      <w:r>
        <w:fldChar w:fldCharType="begin"/>
      </w:r>
      <w:r>
        <w:instrText xml:space="preserve"> HYPERLINK "https://sk.sagepub.com/foundations/ansoff-matrix?tab=Theory+In+Practice" </w:instrText>
      </w:r>
      <w:r>
        <w:fldChar w:fldCharType="separate"/>
      </w:r>
      <w:r>
        <w:rPr>
          <w:rFonts w:ascii="Arial" w:hAnsi="Arial" w:eastAsia="Calibri" w:cs="Arial"/>
          <w:color w:val="1155CC"/>
          <w:sz w:val="24"/>
          <w:szCs w:val="24"/>
          <w:u w:val="single"/>
        </w:rPr>
        <w:t>https://sk.sagepub.com/foundations/ansoff-matrix?tab=Theory+In+Practice</w:t>
      </w:r>
      <w:r>
        <w:fldChar w:fldCharType="end"/>
      </w:r>
      <w:r>
        <w:rPr>
          <w:rFonts w:ascii="Arial" w:hAnsi="Arial" w:eastAsia="Calibri" w:cs="Arial"/>
          <w:sz w:val="24"/>
          <w:szCs w:val="24"/>
        </w:rPr>
        <w:t xml:space="preserve">. </w:t>
      </w:r>
    </w:p>
    <w:p w14:paraId="341457A2">
      <w:pPr>
        <w:spacing w:before="240" w:after="240" w:line="360" w:lineRule="auto"/>
        <w:rPr>
          <w:rFonts w:ascii="Arial" w:hAnsi="Arial" w:eastAsia="Calibri" w:cs="Arial"/>
          <w:sz w:val="24"/>
          <w:szCs w:val="24"/>
        </w:rPr>
      </w:pPr>
    </w:p>
    <w:sectPr>
      <w:footerReference r:id="rId3" w:type="default"/>
      <w:pgSz w:w="12240" w:h="15840"/>
      <w:pgMar w:top="1440" w:right="1440" w:bottom="1440" w:left="1440" w:header="720" w:footer="720" w:gutter="0"/>
      <w:pgNumType w:start="1"/>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86"/>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5125961">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Arial" w:cs="Arial"/>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nhideWhenUsed="0" w:uiPriority="9" w:semiHidden="0" w:name="heading 3"/>
    <w:lsdException w:qFormat="1" w:unhideWhenUsed="0" w:uiPriority="9" w:semiHidden="0" w:name="heading 4"/>
    <w:lsdException w:qFormat="1" w:unhideWhenUsed="0" w:uiPriority="9" w:semiHidden="0" w:name="heading 5"/>
    <w:lsdException w:qFormat="1" w:unhideWhenUsed="0" w:uiPriority="9"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unhideWhenUsed="0"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11"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22"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99" w:semiHidden="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jc w:val="both"/>
    </w:pPr>
    <w:rPr>
      <w:rFonts w:ascii="Arial" w:hAnsi="Arial" w:eastAsia="Arial" w:cs="Arial"/>
      <w:sz w:val="21"/>
      <w:szCs w:val="22"/>
      <w:lang w:val="en-US" w:eastAsia="en-US" w:bidi="ar-SA"/>
    </w:rPr>
  </w:style>
  <w:style w:type="paragraph" w:styleId="2">
    <w:name w:val="heading 1"/>
    <w:basedOn w:val="3"/>
    <w:next w:val="3"/>
    <w:qFormat/>
    <w:uiPriority w:val="9"/>
    <w:pPr>
      <w:keepNext/>
      <w:keepLines/>
      <w:spacing w:before="400" w:after="120"/>
      <w:outlineLvl w:val="0"/>
    </w:pPr>
    <w:rPr>
      <w:sz w:val="40"/>
      <w:szCs w:val="40"/>
    </w:rPr>
  </w:style>
  <w:style w:type="paragraph" w:styleId="4">
    <w:name w:val="heading 2"/>
    <w:basedOn w:val="3"/>
    <w:next w:val="3"/>
    <w:qFormat/>
    <w:uiPriority w:val="9"/>
    <w:pPr>
      <w:keepNext/>
      <w:keepLines/>
      <w:spacing w:before="360" w:after="120"/>
      <w:outlineLvl w:val="1"/>
    </w:pPr>
    <w:rPr>
      <w:sz w:val="32"/>
      <w:szCs w:val="32"/>
    </w:rPr>
  </w:style>
  <w:style w:type="paragraph" w:styleId="5">
    <w:name w:val="heading 3"/>
    <w:basedOn w:val="3"/>
    <w:next w:val="3"/>
    <w:qFormat/>
    <w:uiPriority w:val="9"/>
    <w:pPr>
      <w:keepNext/>
      <w:keepLines/>
      <w:spacing w:before="320" w:after="80"/>
      <w:outlineLvl w:val="2"/>
    </w:pPr>
    <w:rPr>
      <w:color w:val="434343"/>
      <w:sz w:val="28"/>
      <w:szCs w:val="28"/>
    </w:rPr>
  </w:style>
  <w:style w:type="paragraph" w:styleId="6">
    <w:name w:val="heading 4"/>
    <w:basedOn w:val="3"/>
    <w:next w:val="3"/>
    <w:qFormat/>
    <w:uiPriority w:val="9"/>
    <w:pPr>
      <w:keepNext/>
      <w:keepLines/>
      <w:spacing w:before="280" w:after="80"/>
      <w:outlineLvl w:val="3"/>
    </w:pPr>
    <w:rPr>
      <w:color w:val="666666"/>
      <w:sz w:val="24"/>
      <w:szCs w:val="24"/>
    </w:rPr>
  </w:style>
  <w:style w:type="paragraph" w:styleId="7">
    <w:name w:val="heading 5"/>
    <w:basedOn w:val="3"/>
    <w:next w:val="3"/>
    <w:qFormat/>
    <w:uiPriority w:val="9"/>
    <w:pPr>
      <w:keepNext/>
      <w:keepLines/>
      <w:spacing w:before="240" w:after="80"/>
      <w:outlineLvl w:val="4"/>
    </w:pPr>
    <w:rPr>
      <w:color w:val="666666"/>
    </w:rPr>
  </w:style>
  <w:style w:type="paragraph" w:styleId="8">
    <w:name w:val="heading 6"/>
    <w:basedOn w:val="3"/>
    <w:next w:val="3"/>
    <w:qFormat/>
    <w:uiPriority w:val="9"/>
    <w:pPr>
      <w:keepNext/>
      <w:keepLines/>
      <w:spacing w:before="240" w:after="80"/>
      <w:outlineLvl w:val="5"/>
    </w:pPr>
    <w:rPr>
      <w:i/>
      <w:color w:val="666666"/>
    </w:rPr>
  </w:style>
  <w:style w:type="character" w:default="1" w:styleId="11">
    <w:name w:val="Default Paragraph Font"/>
    <w:uiPriority w:val="1"/>
  </w:style>
  <w:style w:type="table" w:default="1" w:styleId="13">
    <w:name w:val="Normal Table"/>
    <w:uiPriority w:val="99"/>
    <w:tblPr>
      <w:tblLayout w:type="fixed"/>
      <w:tblCellMar>
        <w:top w:w="0" w:type="dxa"/>
        <w:left w:w="108" w:type="dxa"/>
        <w:bottom w:w="0" w:type="dxa"/>
        <w:right w:w="108" w:type="dxa"/>
      </w:tblCellMar>
    </w:tblPr>
  </w:style>
  <w:style w:type="paragraph" w:customStyle="1" w:styleId="3">
    <w:name w:val="Normal1"/>
    <w:uiPriority w:val="0"/>
    <w:pPr>
      <w:spacing w:line="276" w:lineRule="auto"/>
    </w:pPr>
    <w:rPr>
      <w:rFonts w:ascii="Arial" w:hAnsi="Arial" w:eastAsia="Arial" w:cs="Arial"/>
      <w:sz w:val="22"/>
      <w:szCs w:val="22"/>
      <w:lang w:val="en-US" w:eastAsia="en-US" w:bidi="ar-SA"/>
    </w:rPr>
  </w:style>
  <w:style w:type="paragraph" w:styleId="9">
    <w:name w:val="Subtitle"/>
    <w:basedOn w:val="3"/>
    <w:next w:val="3"/>
    <w:qFormat/>
    <w:uiPriority w:val="11"/>
    <w:pPr>
      <w:keepNext/>
      <w:keepLines/>
      <w:spacing w:after="320"/>
    </w:pPr>
    <w:rPr>
      <w:color w:val="666666"/>
      <w:sz w:val="30"/>
      <w:szCs w:val="30"/>
    </w:rPr>
  </w:style>
  <w:style w:type="paragraph" w:styleId="10">
    <w:name w:val="Title"/>
    <w:basedOn w:val="3"/>
    <w:next w:val="3"/>
    <w:qFormat/>
    <w:uiPriority w:val="10"/>
    <w:pPr>
      <w:keepNext/>
      <w:keepLines/>
      <w:spacing w:after="60"/>
    </w:pPr>
    <w:rPr>
      <w:sz w:val="52"/>
      <w:szCs w:val="52"/>
    </w:rPr>
  </w:style>
  <w:style w:type="character" w:styleId="12">
    <w:name w:val="Strong"/>
    <w:basedOn w:val="11"/>
    <w:qFormat/>
    <w:uiPriority w:val="22"/>
    <w:rPr>
      <w:b/>
      <w:bCs/>
    </w:rPr>
  </w:style>
  <w:style w:type="table" w:customStyle="1" w:styleId="14">
    <w:name w:val="TableNormal"/>
    <w:uiPriority w:val="0"/>
    <w:tblPr>
      <w:tblLayout w:type="fixed"/>
      <w:tblCellMar>
        <w:top w:w="100" w:type="dxa"/>
        <w:left w:w="100" w:type="dxa"/>
        <w:bottom w:w="100" w:type="dxa"/>
        <w:right w:w="100" w:type="dxa"/>
      </w:tblCellMar>
    </w:tblPr>
  </w:style>
  <w:style w:type="table" w:customStyle="1" w:styleId="15">
    <w:name w:val="Grid Table 4 Accent 1"/>
    <w:basedOn w:val="13"/>
    <w:uiPriority w:val="49"/>
    <w:pPr>
      <w:spacing w:line="240" w:lineRule="auto"/>
    </w:pPr>
    <w:tblPr>
      <w:tblBorders>
        <w:top w:val="single" w:color="95B3D7" w:sz="4" w:space="0"/>
        <w:left w:val="single" w:color="95B3D7" w:sz="4" w:space="0"/>
        <w:bottom w:val="single" w:color="95B3D7" w:sz="4" w:space="0"/>
        <w:right w:val="single" w:color="95B3D7" w:sz="4" w:space="0"/>
        <w:insideH w:val="single" w:color="95B3D7" w:sz="4" w:space="0"/>
        <w:insideV w:val="single" w:color="95B3D7" w:sz="4" w:space="0"/>
      </w:tblBorders>
      <w:tblLayout w:type="fixed"/>
    </w:tblPr>
    <w:tblStylePr w:type="firstRow">
      <w:rPr>
        <w:b/>
        <w:bCs/>
        <w:color w:val="FFFFFF"/>
      </w:rPr>
      <w:tblPr>
        <w:tblLayout w:type="fixed"/>
      </w:tblPr>
      <w:tcPr>
        <w:tcBorders>
          <w:top w:val="single" w:color="4F81BD" w:sz="4" w:space="0"/>
          <w:left w:val="single" w:color="4F81BD" w:sz="4" w:space="0"/>
          <w:bottom w:val="single" w:color="4F81BD" w:sz="4" w:space="0"/>
          <w:right w:val="single" w:color="4F81BD" w:sz="4" w:space="0"/>
          <w:insideH w:val="nil"/>
          <w:insideV w:val="nil"/>
        </w:tcBorders>
        <w:shd w:val="clear" w:color="auto" w:fill="4F81BD"/>
      </w:tcPr>
    </w:tblStylePr>
    <w:tblStylePr w:type="lastRow">
      <w:rPr>
        <w:b/>
        <w:bCs/>
      </w:rPr>
      <w:tblPr>
        <w:tblLayout w:type="fixed"/>
      </w:tblPr>
      <w:tcPr>
        <w:tcBorders>
          <w:top w:val="double" w:color="4F81BD" w:sz="4" w:space="0"/>
        </w:tcBorders>
      </w:tcPr>
    </w:tblStylePr>
    <w:tblStylePr w:type="firstCol">
      <w:rPr>
        <w:b/>
        <w:bCs/>
      </w:rPr>
    </w:tblStylePr>
    <w:tblStylePr w:type="lastCol">
      <w:rPr>
        <w:b/>
        <w:bCs/>
      </w:rPr>
    </w:tblStylePr>
    <w:tblStylePr w:type="band1Vert">
      <w:tblPr>
        <w:tblLayout w:type="fixed"/>
      </w:tblPr>
      <w:tcPr>
        <w:shd w:val="clear" w:color="auto" w:fill="DBE5F1"/>
      </w:tcPr>
    </w:tblStylePr>
    <w:tblStylePr w:type="band1Horz">
      <w:tblPr>
        <w:tblLayout w:type="fixed"/>
      </w:tblPr>
      <w:tcPr>
        <w:shd w:val="clear" w:color="auto" w:fill="DBE5F1"/>
      </w:tcPr>
    </w:tblStylePr>
  </w:style>
  <w:style w:type="table" w:customStyle="1" w:styleId="16">
    <w:name w:val="Grid Table 4 Accent 2"/>
    <w:basedOn w:val="13"/>
    <w:uiPriority w:val="49"/>
    <w:pPr>
      <w:spacing w:line="240" w:lineRule="auto"/>
    </w:pPr>
    <w:tblPr>
      <w:tblBorders>
        <w:top w:val="single" w:color="D99594" w:sz="4" w:space="0"/>
        <w:left w:val="single" w:color="D99594" w:sz="4" w:space="0"/>
        <w:bottom w:val="single" w:color="D99594" w:sz="4" w:space="0"/>
        <w:right w:val="single" w:color="D99594" w:sz="4" w:space="0"/>
        <w:insideH w:val="single" w:color="D99594" w:sz="4" w:space="0"/>
        <w:insideV w:val="single" w:color="D99594" w:sz="4" w:space="0"/>
      </w:tblBorders>
      <w:tblLayout w:type="fixed"/>
    </w:tblPr>
    <w:tblStylePr w:type="firstRow">
      <w:rPr>
        <w:b/>
        <w:bCs/>
        <w:color w:val="FFFFFF"/>
      </w:rPr>
      <w:tblPr>
        <w:tblLayout w:type="fixed"/>
      </w:tblPr>
      <w:tcPr>
        <w:tcBorders>
          <w:top w:val="single" w:color="C0504D" w:sz="4" w:space="0"/>
          <w:left w:val="single" w:color="C0504D" w:sz="4" w:space="0"/>
          <w:bottom w:val="single" w:color="C0504D" w:sz="4" w:space="0"/>
          <w:right w:val="single" w:color="C0504D" w:sz="4" w:space="0"/>
          <w:insideH w:val="nil"/>
          <w:insideV w:val="nil"/>
        </w:tcBorders>
        <w:shd w:val="clear" w:color="auto" w:fill="C0504D"/>
      </w:tcPr>
    </w:tblStylePr>
    <w:tblStylePr w:type="lastRow">
      <w:rPr>
        <w:b/>
        <w:bCs/>
      </w:rPr>
      <w:tblPr>
        <w:tblLayout w:type="fixed"/>
      </w:tblPr>
      <w:tcPr>
        <w:tcBorders>
          <w:top w:val="double" w:color="C0504D" w:sz="4" w:space="0"/>
        </w:tcBorders>
      </w:tcPr>
    </w:tblStylePr>
    <w:tblStylePr w:type="firstCol">
      <w:rPr>
        <w:b/>
        <w:bCs/>
      </w:rPr>
    </w:tblStylePr>
    <w:tblStylePr w:type="lastCol">
      <w:rPr>
        <w:b/>
        <w:bCs/>
      </w:rPr>
    </w:tblStylePr>
    <w:tblStylePr w:type="band1Vert">
      <w:tblPr>
        <w:tblLayout w:type="fixed"/>
      </w:tblPr>
      <w:tcPr>
        <w:shd w:val="clear" w:color="auto" w:fill="F2DBDB"/>
      </w:tcPr>
    </w:tblStylePr>
    <w:tblStylePr w:type="band1Horz">
      <w:tblPr>
        <w:tblLayout w:type="fixed"/>
      </w:tblPr>
      <w:tcPr>
        <w:shd w:val="clear" w:color="auto" w:fill="F2DBDB"/>
      </w:tcPr>
    </w:tblStyle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18</Pages>
  <Words>3519</Words>
  <Characters>22906</Characters>
  <Lines>0</Lines>
  <Paragraphs>147</Paragraphs>
  <ScaleCrop>false</ScaleCrop>
  <LinksUpToDate>false</LinksUpToDate>
  <CharactersWithSpaces>26328</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1900-01-00T00:00:00Z</dcterms:created>
  <dc:creator>WPS Office</dc:creator>
  <cp:lastModifiedBy>iPhone</cp:lastModifiedBy>
  <dcterms:modified xsi:type="dcterms:W3CDTF">2025-10-21T22:06:42Z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8fe04cf4060a4728a1bede7043829d52</vt:lpwstr>
  </property>
  <property fmtid="{D5CDD505-2E9C-101B-9397-08002B2CF9AE}" pid="3" name="KSOProductBuildVer">
    <vt:lpwstr>3081-11.37.00</vt:lpwstr>
  </property>
</Properties>
</file>