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F3A1A" w14:textId="397A52AA" w:rsidR="005A260E" w:rsidRDefault="005A260E" w:rsidP="005A260E">
      <w:pPr>
        <w:pStyle w:val="NormalWeb"/>
        <w:spacing w:before="0" w:beforeAutospacing="0" w:after="0" w:afterAutospacing="0"/>
        <w:ind w:left="-180" w:right="-334"/>
      </w:pPr>
      <w:r w:rsidRPr="00923C45">
        <w:rPr>
          <w:noProof/>
          <w:lang w:eastAsia="en-GB"/>
        </w:rPr>
        <w:drawing>
          <wp:inline distT="0" distB="0" distL="0" distR="0" wp14:anchorId="183DA1E5" wp14:editId="6FDAD716">
            <wp:extent cx="2057400" cy="853440"/>
            <wp:effectExtent l="0" t="0" r="0" b="3810"/>
            <wp:docPr id="2" name="Picture 2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lettm\AppData\Local\Microsoft\Windows\Temporary Internet Files\Content.Outlook\R41HOZLM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4C9A4" w14:textId="77777777" w:rsidR="005A260E" w:rsidRDefault="005A260E" w:rsidP="005A260E">
      <w:pPr>
        <w:pStyle w:val="NormalWeb"/>
        <w:spacing w:before="0" w:beforeAutospacing="0" w:after="0" w:afterAutospacing="0"/>
        <w:ind w:left="-180" w:right="-334"/>
      </w:pPr>
    </w:p>
    <w:p w14:paraId="3C787C62" w14:textId="77777777" w:rsidR="005A260E" w:rsidRDefault="005A260E" w:rsidP="005A260E">
      <w:pPr>
        <w:pStyle w:val="NormalWeb"/>
        <w:spacing w:before="0" w:beforeAutospacing="0" w:after="0" w:afterAutospacing="0"/>
        <w:ind w:left="-180" w:right="-334"/>
      </w:pPr>
    </w:p>
    <w:p w14:paraId="75489357" w14:textId="77777777" w:rsidR="005A260E" w:rsidRDefault="005A260E" w:rsidP="005A260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7C496557" w14:textId="77777777" w:rsidR="005A260E" w:rsidRPr="00230F35" w:rsidRDefault="005A260E" w:rsidP="005A260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26C1BACF" w14:textId="77777777" w:rsidR="005A260E" w:rsidRPr="00230F35" w:rsidRDefault="005A260E" w:rsidP="005A260E">
      <w:pPr>
        <w:rPr>
          <w:rFonts w:ascii="Arial" w:hAnsi="Arial" w:cs="Arial"/>
          <w:sz w:val="28"/>
          <w:szCs w:val="28"/>
          <w:lang w:val="cy-GB"/>
        </w:rPr>
      </w:pPr>
    </w:p>
    <w:p w14:paraId="712868F1" w14:textId="77777777" w:rsidR="005A260E" w:rsidRDefault="005A260E" w:rsidP="005A260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364EEC46" w14:textId="77777777" w:rsidR="005A260E" w:rsidRDefault="005A260E" w:rsidP="005A260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5A260E" w:rsidRPr="00230F35" w14:paraId="63592AA3" w14:textId="77777777" w:rsidTr="00F377B3">
        <w:trPr>
          <w:trHeight w:val="614"/>
        </w:trPr>
        <w:tc>
          <w:tcPr>
            <w:tcW w:w="8856" w:type="dxa"/>
            <w:gridSpan w:val="5"/>
          </w:tcPr>
          <w:p w14:paraId="0CCB03B0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</w:tc>
      </w:tr>
      <w:tr w:rsidR="005A260E" w:rsidRPr="00230F35" w14:paraId="6750D047" w14:textId="77777777" w:rsidTr="00F377B3">
        <w:trPr>
          <w:trHeight w:val="718"/>
        </w:trPr>
        <w:tc>
          <w:tcPr>
            <w:tcW w:w="8856" w:type="dxa"/>
            <w:gridSpan w:val="5"/>
          </w:tcPr>
          <w:p w14:paraId="6EC595CA" w14:textId="77777777" w:rsidR="005A260E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Daniel Annenberg</w:t>
            </w:r>
          </w:p>
          <w:p w14:paraId="2D1059C6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60E" w:rsidRPr="00230F35" w14:paraId="60F3C49B" w14:textId="77777777" w:rsidTr="00F377B3">
        <w:trPr>
          <w:trHeight w:val="849"/>
        </w:trPr>
        <w:tc>
          <w:tcPr>
            <w:tcW w:w="4788" w:type="dxa"/>
          </w:tcPr>
          <w:p w14:paraId="22531B59" w14:textId="484AEC79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t xml:space="preserve"> </w:t>
            </w:r>
            <w:r w:rsidRPr="005A260E">
              <w:rPr>
                <w:rFonts w:ascii="Arial" w:hAnsi="Arial" w:cs="Arial"/>
                <w:sz w:val="22"/>
                <w:szCs w:val="22"/>
              </w:rPr>
              <w:t>TRDL7080</w:t>
            </w:r>
          </w:p>
          <w:p w14:paraId="694CD9DB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44E8D10" w14:textId="34C989C6" w:rsidR="005A260E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260E">
              <w:rPr>
                <w:rFonts w:ascii="Arial" w:hAnsi="Arial" w:cs="Arial"/>
                <w:sz w:val="22"/>
                <w:szCs w:val="22"/>
              </w:rPr>
              <w:t xml:space="preserve">Perspectives on Islamic Sources </w:t>
            </w:r>
          </w:p>
          <w:p w14:paraId="148664E0" w14:textId="77777777" w:rsidR="005A260E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2D8927C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49785FDC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t>1704048</w:t>
            </w:r>
          </w:p>
        </w:tc>
        <w:tc>
          <w:tcPr>
            <w:tcW w:w="1802" w:type="dxa"/>
          </w:tcPr>
          <w:p w14:paraId="2A025956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3729FDA0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</w:t>
            </w:r>
            <w:r w:rsidRPr="00312C1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</w:tr>
      <w:tr w:rsidR="005A260E" w:rsidRPr="00230F35" w14:paraId="20DA6A6E" w14:textId="77777777" w:rsidTr="00F377B3">
        <w:trPr>
          <w:trHeight w:val="1139"/>
        </w:trPr>
        <w:tc>
          <w:tcPr>
            <w:tcW w:w="8856" w:type="dxa"/>
            <w:gridSpan w:val="5"/>
          </w:tcPr>
          <w:p w14:paraId="02CA5437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Module tutor: </w:t>
            </w:r>
            <w:r w:rsidRPr="003B5977">
              <w:rPr>
                <w:rFonts w:ascii="Arial" w:hAnsi="Arial" w:cs="Arial"/>
                <w:sz w:val="22"/>
                <w:szCs w:val="22"/>
              </w:rPr>
              <w:t>Shadaab Rahemtulla</w:t>
            </w:r>
          </w:p>
          <w:p w14:paraId="270D76A8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A8DD91C" w14:textId="77777777" w:rsidR="005A260E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ECEDBFE" w14:textId="52629D23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>
              <w:rPr>
                <w:rFonts w:ascii="Arial" w:hAnsi="Arial" w:cs="Arial"/>
                <w:sz w:val="22"/>
                <w:szCs w:val="22"/>
              </w:rPr>
              <w:t>/0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/2018</w:t>
            </w:r>
          </w:p>
        </w:tc>
      </w:tr>
      <w:tr w:rsidR="005A260E" w:rsidRPr="00230F35" w14:paraId="3069D5FF" w14:textId="77777777" w:rsidTr="00F377B3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7631B88D" w14:textId="77777777" w:rsidR="005A260E" w:rsidRDefault="005A260E" w:rsidP="00F37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your module has multiple </w:t>
            </w:r>
            <w:proofErr w:type="gramStart"/>
            <w:r>
              <w:rPr>
                <w:rFonts w:ascii="Arial" w:hAnsi="Arial" w:cs="Arial"/>
              </w:rPr>
              <w:t>submissions</w:t>
            </w:r>
            <w:proofErr w:type="gramEnd"/>
            <w:r>
              <w:rPr>
                <w:rFonts w:ascii="Arial" w:hAnsi="Arial" w:cs="Arial"/>
              </w:rPr>
              <w:t xml:space="preserve"> please indicate which piece of work this is.</w:t>
            </w:r>
          </w:p>
          <w:p w14:paraId="6C81FB12" w14:textId="77777777" w:rsidR="005A260E" w:rsidRDefault="005A260E" w:rsidP="00F377B3">
            <w:pPr>
              <w:rPr>
                <w:rFonts w:ascii="Arial" w:hAnsi="Arial" w:cs="Arial"/>
              </w:rPr>
            </w:pPr>
          </w:p>
          <w:p w14:paraId="5189D980" w14:textId="727C227E" w:rsidR="005A260E" w:rsidRPr="00230F35" w:rsidRDefault="005A260E" w:rsidP="00F377B3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3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bookmarkStart w:id="1" w:name="_GoBack"/>
            <w:r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bookmarkEnd w:id="2"/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5A260E" w:rsidRPr="00230F35" w14:paraId="3EE625B8" w14:textId="77777777" w:rsidTr="00F377B3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74370F3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215107E6" w14:textId="0E66AB88" w:rsidR="005A260E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F788DA9" wp14:editId="6B07341A">
                  <wp:extent cx="2164080" cy="304800"/>
                  <wp:effectExtent l="0" t="0" r="7620" b="0"/>
                  <wp:docPr id="1" name="Picture 1" descr="signature0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nature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A8D26E" w14:textId="77777777" w:rsidR="005A260E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339D9191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A260E" w:rsidRPr="00230F35" w14:paraId="4CD246D5" w14:textId="77777777" w:rsidTr="00F377B3">
        <w:trPr>
          <w:trHeight w:val="3972"/>
        </w:trPr>
        <w:tc>
          <w:tcPr>
            <w:tcW w:w="8856" w:type="dxa"/>
            <w:gridSpan w:val="5"/>
          </w:tcPr>
          <w:p w14:paraId="1E41C69B" w14:textId="77777777" w:rsidR="005A260E" w:rsidRDefault="005A260E" w:rsidP="00F377B3">
            <w:pPr>
              <w:rPr>
                <w:rFonts w:ascii="Arial" w:hAnsi="Arial"/>
                <w:b/>
              </w:rPr>
            </w:pPr>
          </w:p>
          <w:p w14:paraId="5C6CFC14" w14:textId="77777777" w:rsidR="005A260E" w:rsidRPr="00116CE6" w:rsidRDefault="005A260E" w:rsidP="00F377B3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5A260E" w:rsidRPr="00116CE6" w14:paraId="400C34D5" w14:textId="77777777" w:rsidTr="00F377B3">
              <w:tc>
                <w:tcPr>
                  <w:tcW w:w="6970" w:type="dxa"/>
                </w:tcPr>
                <w:p w14:paraId="5C0F67F3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613C991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02895EB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A260E" w:rsidRPr="00116CE6" w14:paraId="2C3A78B3" w14:textId="77777777" w:rsidTr="00F377B3">
              <w:tc>
                <w:tcPr>
                  <w:tcW w:w="6970" w:type="dxa"/>
                </w:tcPr>
                <w:p w14:paraId="2F53AEC4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8645172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7B955DC0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A260E" w:rsidRPr="00116CE6" w14:paraId="5A25F3B7" w14:textId="77777777" w:rsidTr="00F377B3">
              <w:tc>
                <w:tcPr>
                  <w:tcW w:w="6970" w:type="dxa"/>
                </w:tcPr>
                <w:p w14:paraId="5A353EDF" w14:textId="77777777" w:rsidR="005A260E" w:rsidRPr="00AA70BC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AA70BC">
                    <w:rPr>
                      <w:rFonts w:ascii="Arial" w:hAnsi="Arial"/>
                      <w:sz w:val="20"/>
                      <w:szCs w:val="20"/>
                    </w:rPr>
                    <w:t xml:space="preserve">Agreed Internal Mark: </w:t>
                  </w:r>
                </w:p>
                <w:p w14:paraId="47B9D4AB" w14:textId="77777777" w:rsidR="005A260E" w:rsidRPr="00E14D2E" w:rsidRDefault="005A260E" w:rsidP="00F377B3"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 w14:paraId="3F206DED" w14:textId="77777777" w:rsidR="005A260E" w:rsidRPr="00E14D2E" w:rsidRDefault="005A260E" w:rsidP="00F377B3"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5A260E" w:rsidRPr="00116CE6" w14:paraId="38AF0B83" w14:textId="77777777" w:rsidTr="00F377B3">
              <w:tc>
                <w:tcPr>
                  <w:tcW w:w="6970" w:type="dxa"/>
                </w:tcPr>
                <w:p w14:paraId="7D038C6B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C2ED604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7BD515B7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A260E" w:rsidRPr="00116CE6" w14:paraId="7B163E77" w14:textId="77777777" w:rsidTr="00F377B3">
              <w:tc>
                <w:tcPr>
                  <w:tcW w:w="6970" w:type="dxa"/>
                </w:tcPr>
                <w:p w14:paraId="2E596826" w14:textId="77777777" w:rsidR="005A260E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6FD3F30" w14:textId="77777777" w:rsidR="005A260E" w:rsidRPr="00022345" w:rsidRDefault="005A260E" w:rsidP="00F377B3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C6DF5EC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11801E47" w14:textId="77777777" w:rsidR="005A260E" w:rsidRPr="00116CE6" w:rsidRDefault="005A260E" w:rsidP="00F377B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F674FAC" w14:textId="77777777" w:rsidR="005A260E" w:rsidRDefault="005A260E" w:rsidP="00F377B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683773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0E2418F0" w14:textId="77777777" w:rsidR="005A260E" w:rsidRDefault="005A260E" w:rsidP="00F377B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DD60B8" w14:textId="77777777" w:rsidR="005A260E" w:rsidRDefault="005A260E" w:rsidP="00F377B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D428CA" w14:textId="77777777" w:rsidR="005A260E" w:rsidRDefault="005A260E" w:rsidP="00F377B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2DC531" w14:textId="77777777" w:rsidR="005A260E" w:rsidRDefault="005A260E" w:rsidP="00F377B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F2D3A6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3EAE61E5" w14:textId="77777777" w:rsidR="005A260E" w:rsidRDefault="005A260E" w:rsidP="00F377B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2EE58D2" w14:textId="77777777" w:rsidR="005A260E" w:rsidRPr="00001C3B" w:rsidRDefault="005A260E" w:rsidP="00F377B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60E" w:rsidRPr="00230F35" w14:paraId="3447AD53" w14:textId="77777777" w:rsidTr="00F377B3">
        <w:trPr>
          <w:trHeight w:val="492"/>
        </w:trPr>
        <w:tc>
          <w:tcPr>
            <w:tcW w:w="6768" w:type="dxa"/>
            <w:gridSpan w:val="3"/>
          </w:tcPr>
          <w:p w14:paraId="39F42B5A" w14:textId="77777777" w:rsidR="005A260E" w:rsidRPr="00230F35" w:rsidRDefault="005A260E" w:rsidP="00F377B3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672FEA98" w14:textId="77777777" w:rsidR="005A260E" w:rsidRPr="00230F35" w:rsidRDefault="005A260E" w:rsidP="00F377B3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5A260E" w:rsidRPr="002F467C" w14:paraId="39E15D0D" w14:textId="77777777" w:rsidTr="00F377B3">
        <w:tc>
          <w:tcPr>
            <w:tcW w:w="8856" w:type="dxa"/>
            <w:gridSpan w:val="5"/>
          </w:tcPr>
          <w:p w14:paraId="3CD11667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3C5551AC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302B0EAC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EDEB87E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4158BC13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33F9F3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0898F9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A260E" w:rsidRPr="002F467C" w14:paraId="3A2598E4" w14:textId="77777777" w:rsidTr="00F377B3">
        <w:trPr>
          <w:trHeight w:val="720"/>
        </w:trPr>
        <w:tc>
          <w:tcPr>
            <w:tcW w:w="5211" w:type="dxa"/>
            <w:gridSpan w:val="2"/>
          </w:tcPr>
          <w:p w14:paraId="15BB9856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58CFE233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5A260E" w:rsidRPr="002F467C" w14:paraId="53B84A52" w14:textId="77777777" w:rsidTr="00F377B3">
        <w:trPr>
          <w:trHeight w:val="720"/>
        </w:trPr>
        <w:tc>
          <w:tcPr>
            <w:tcW w:w="8856" w:type="dxa"/>
            <w:gridSpan w:val="5"/>
          </w:tcPr>
          <w:p w14:paraId="4F673EEA" w14:textId="77777777" w:rsidR="005A260E" w:rsidRPr="00AA70BC" w:rsidRDefault="005A260E" w:rsidP="00F377B3">
            <w:pPr>
              <w:rPr>
                <w:rFonts w:ascii="Arial" w:hAnsi="Arial" w:cs="Arial"/>
                <w:b/>
              </w:rPr>
            </w:pPr>
            <w:r w:rsidRPr="00AA70BC">
              <w:rPr>
                <w:rFonts w:ascii="Arial" w:hAnsi="Arial" w:cs="Arial"/>
                <w:b/>
              </w:rPr>
              <w:t>AGREED INTERNAL MARK (where necessary):</w:t>
            </w:r>
          </w:p>
          <w:p w14:paraId="46E579EA" w14:textId="77777777" w:rsidR="005A260E" w:rsidRPr="00AA70BC" w:rsidRDefault="005A260E" w:rsidP="00F377B3">
            <w:pPr>
              <w:rPr>
                <w:rFonts w:ascii="Arial" w:hAnsi="Arial" w:cs="Arial"/>
                <w:b/>
              </w:rPr>
            </w:pPr>
          </w:p>
          <w:p w14:paraId="6C82D6DA" w14:textId="77777777" w:rsidR="005A260E" w:rsidRDefault="005A260E" w:rsidP="00F377B3">
            <w:pPr>
              <w:rPr>
                <w:rFonts w:ascii="Arial" w:hAnsi="Arial" w:cs="Arial"/>
                <w:b/>
              </w:rPr>
            </w:pPr>
            <w:r w:rsidRPr="00AA70BC">
              <w:rPr>
                <w:rFonts w:ascii="Arial" w:hAnsi="Arial" w:cs="Arial"/>
                <w:b/>
              </w:rPr>
              <w:t>Comment on process on arriving at agreed mark:</w:t>
            </w:r>
          </w:p>
          <w:p w14:paraId="72796905" w14:textId="77777777" w:rsidR="005A260E" w:rsidRDefault="005A260E" w:rsidP="00F377B3">
            <w:pPr>
              <w:rPr>
                <w:rFonts w:ascii="Arial" w:hAnsi="Arial" w:cs="Arial"/>
                <w:b/>
              </w:rPr>
            </w:pPr>
          </w:p>
          <w:p w14:paraId="36BEE086" w14:textId="77777777" w:rsidR="005A260E" w:rsidRPr="00B34964" w:rsidRDefault="005A260E" w:rsidP="00F377B3">
            <w:pPr>
              <w:rPr>
                <w:rFonts w:ascii="Arial" w:hAnsi="Arial" w:cs="Arial"/>
                <w:b/>
              </w:rPr>
            </w:pPr>
          </w:p>
        </w:tc>
      </w:tr>
      <w:tr w:rsidR="005A260E" w:rsidRPr="002F467C" w14:paraId="05ADAF60" w14:textId="77777777" w:rsidTr="00F377B3">
        <w:trPr>
          <w:trHeight w:val="720"/>
        </w:trPr>
        <w:tc>
          <w:tcPr>
            <w:tcW w:w="8856" w:type="dxa"/>
            <w:gridSpan w:val="5"/>
          </w:tcPr>
          <w:p w14:paraId="60081D3B" w14:textId="77777777" w:rsidR="005A260E" w:rsidRPr="00B34964" w:rsidRDefault="005A260E" w:rsidP="00F377B3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lastRenderedPageBreak/>
              <w:t>External Examiner’s comments (if relevant)</w:t>
            </w:r>
          </w:p>
          <w:p w14:paraId="32563A6C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0C20D8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54CF9E" w14:textId="77777777" w:rsidR="005A260E" w:rsidRPr="00230F35" w:rsidRDefault="005A260E" w:rsidP="00F377B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A260E" w:rsidRPr="002F467C" w14:paraId="2A1F1964" w14:textId="77777777" w:rsidTr="00F377B3">
        <w:trPr>
          <w:trHeight w:val="720"/>
        </w:trPr>
        <w:tc>
          <w:tcPr>
            <w:tcW w:w="5211" w:type="dxa"/>
            <w:gridSpan w:val="2"/>
          </w:tcPr>
          <w:p w14:paraId="732DBA95" w14:textId="77777777" w:rsidR="005A260E" w:rsidRPr="00230F35" w:rsidRDefault="005A260E" w:rsidP="00F377B3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C5BD59F" w14:textId="77777777" w:rsidR="005A260E" w:rsidRPr="00230F35" w:rsidRDefault="005A260E" w:rsidP="00F377B3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061DE900" w14:textId="77777777" w:rsidR="005A260E" w:rsidRPr="00D67BF8" w:rsidRDefault="005A260E" w:rsidP="005A260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9994232" w14:textId="24C21E59" w:rsidR="005A260E" w:rsidRDefault="005A260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14:paraId="04908101" w14:textId="1C6F0180" w:rsidR="005D07CD" w:rsidRPr="00BB59C9" w:rsidRDefault="0044262A" w:rsidP="0088488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BB59C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The authority of the Prophet is only limited to doctrinal affairs and the matters of worship, as far as the worldly affairs are concerned; they are not governed by the prophetic authority. Critically discuss. </w:t>
      </w:r>
    </w:p>
    <w:p w14:paraId="3B7E3207" w14:textId="1BF27811" w:rsidR="00765708" w:rsidRPr="00A87246" w:rsidRDefault="008A432E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246">
        <w:rPr>
          <w:rFonts w:ascii="Times New Roman" w:hAnsi="Times New Roman" w:cs="Times New Roman"/>
          <w:sz w:val="24"/>
          <w:szCs w:val="24"/>
        </w:rPr>
        <w:t xml:space="preserve">The term </w:t>
      </w:r>
      <w:r w:rsidR="00374FBD" w:rsidRPr="00A87246">
        <w:rPr>
          <w:rFonts w:ascii="Times New Roman" w:hAnsi="Times New Roman" w:cs="Times New Roman"/>
          <w:sz w:val="24"/>
          <w:szCs w:val="24"/>
        </w:rPr>
        <w:t>s</w:t>
      </w:r>
      <w:r w:rsidR="00765708" w:rsidRPr="00A87246">
        <w:rPr>
          <w:rFonts w:ascii="Times New Roman" w:hAnsi="Times New Roman" w:cs="Times New Roman"/>
          <w:sz w:val="24"/>
          <w:szCs w:val="24"/>
        </w:rPr>
        <w:t>unna refers to the act</w:t>
      </w:r>
      <w:r w:rsidR="005335F8" w:rsidRPr="00A87246">
        <w:rPr>
          <w:rFonts w:ascii="Times New Roman" w:hAnsi="Times New Roman" w:cs="Times New Roman"/>
          <w:sz w:val="24"/>
          <w:szCs w:val="24"/>
        </w:rPr>
        <w:t>ions</w:t>
      </w:r>
      <w:r w:rsidR="00765708" w:rsidRPr="00A87246">
        <w:rPr>
          <w:rFonts w:ascii="Times New Roman" w:hAnsi="Times New Roman" w:cs="Times New Roman"/>
          <w:sz w:val="24"/>
          <w:szCs w:val="24"/>
        </w:rPr>
        <w:t xml:space="preserve"> and spoken life of Prophet M</w:t>
      </w:r>
      <w:r w:rsidR="00A87246">
        <w:rPr>
          <w:rFonts w:ascii="Times New Roman" w:hAnsi="Times New Roman" w:cs="Times New Roman"/>
          <w:sz w:val="24"/>
          <w:szCs w:val="24"/>
        </w:rPr>
        <w:t>u</w:t>
      </w:r>
      <w:r w:rsidR="00765708" w:rsidRPr="00A87246">
        <w:rPr>
          <w:rFonts w:ascii="Times New Roman" w:hAnsi="Times New Roman" w:cs="Times New Roman"/>
          <w:sz w:val="24"/>
          <w:szCs w:val="24"/>
        </w:rPr>
        <w:t xml:space="preserve">hammed. </w:t>
      </w:r>
      <w:r w:rsidR="005335F8" w:rsidRPr="00A87246">
        <w:rPr>
          <w:rFonts w:ascii="Times New Roman" w:hAnsi="Times New Roman" w:cs="Times New Roman"/>
          <w:sz w:val="24"/>
          <w:szCs w:val="24"/>
        </w:rPr>
        <w:t>T</w:t>
      </w:r>
      <w:r w:rsidR="00765708" w:rsidRPr="00A87246">
        <w:rPr>
          <w:rFonts w:ascii="Times New Roman" w:hAnsi="Times New Roman" w:cs="Times New Roman"/>
          <w:sz w:val="24"/>
          <w:szCs w:val="24"/>
        </w:rPr>
        <w:t xml:space="preserve">here is consensus that the </w:t>
      </w:r>
      <w:r w:rsidR="00374FBD" w:rsidRPr="00A87246">
        <w:rPr>
          <w:rFonts w:ascii="Times New Roman" w:hAnsi="Times New Roman" w:cs="Times New Roman"/>
          <w:sz w:val="24"/>
          <w:szCs w:val="24"/>
        </w:rPr>
        <w:t>s</w:t>
      </w:r>
      <w:r w:rsidR="00765708" w:rsidRPr="00A87246">
        <w:rPr>
          <w:rFonts w:ascii="Times New Roman" w:hAnsi="Times New Roman" w:cs="Times New Roman"/>
          <w:sz w:val="24"/>
          <w:szCs w:val="24"/>
        </w:rPr>
        <w:t xml:space="preserve">unna acts as a ‘crucial’ and necessary ‘complement’ to the </w:t>
      </w:r>
      <w:bookmarkStart w:id="7" w:name="_Hlk504429031"/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bookmarkEnd w:id="7"/>
      <w:r w:rsidR="00765708" w:rsidRPr="00A87246">
        <w:rPr>
          <w:rFonts w:ascii="Times New Roman" w:hAnsi="Times New Roman" w:cs="Times New Roman"/>
          <w:sz w:val="24"/>
          <w:szCs w:val="24"/>
        </w:rPr>
        <w:t>.</w:t>
      </w:r>
      <w:r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765708" w:rsidRPr="00A87246">
        <w:rPr>
          <w:rFonts w:ascii="Times New Roman" w:hAnsi="Times New Roman" w:cs="Times New Roman"/>
          <w:sz w:val="24"/>
          <w:szCs w:val="24"/>
        </w:rPr>
        <w:t xml:space="preserve"> This paper will seek to analyse </w:t>
      </w:r>
      <w:r w:rsidRPr="00A87246">
        <w:rPr>
          <w:rFonts w:ascii="Times New Roman" w:hAnsi="Times New Roman" w:cs="Times New Roman"/>
          <w:sz w:val="24"/>
          <w:szCs w:val="24"/>
        </w:rPr>
        <w:t>the nature and scope of</w:t>
      </w:r>
      <w:r w:rsidR="00765708"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8C05CD" w:rsidRPr="00A87246">
        <w:rPr>
          <w:rFonts w:ascii="Times New Roman" w:hAnsi="Times New Roman" w:cs="Times New Roman"/>
          <w:sz w:val="24"/>
          <w:szCs w:val="24"/>
        </w:rPr>
        <w:t>P</w:t>
      </w:r>
      <w:r w:rsidR="00765708" w:rsidRPr="00A87246">
        <w:rPr>
          <w:rFonts w:ascii="Times New Roman" w:hAnsi="Times New Roman" w:cs="Times New Roman"/>
          <w:sz w:val="24"/>
          <w:szCs w:val="24"/>
        </w:rPr>
        <w:t>rophetic authority permitted within this complimentary idea</w:t>
      </w:r>
      <w:r w:rsidR="003A21AA" w:rsidRPr="00A87246">
        <w:rPr>
          <w:rFonts w:ascii="Times New Roman" w:hAnsi="Times New Roman" w:cs="Times New Roman"/>
          <w:sz w:val="24"/>
          <w:szCs w:val="24"/>
        </w:rPr>
        <w:t>l</w:t>
      </w:r>
      <w:r w:rsidR="00765708" w:rsidRPr="00A87246">
        <w:rPr>
          <w:rFonts w:ascii="Times New Roman" w:hAnsi="Times New Roman" w:cs="Times New Roman"/>
          <w:sz w:val="24"/>
          <w:szCs w:val="24"/>
        </w:rPr>
        <w:t>.</w:t>
      </w:r>
      <w:r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464BF5" w:rsidRPr="00A87246">
        <w:rPr>
          <w:rFonts w:ascii="Times New Roman" w:hAnsi="Times New Roman" w:cs="Times New Roman"/>
          <w:sz w:val="24"/>
          <w:szCs w:val="24"/>
        </w:rPr>
        <w:t xml:space="preserve">It </w:t>
      </w:r>
      <w:r w:rsidRPr="00A87246">
        <w:rPr>
          <w:rFonts w:ascii="Times New Roman" w:hAnsi="Times New Roman" w:cs="Times New Roman"/>
          <w:sz w:val="24"/>
          <w:szCs w:val="24"/>
        </w:rPr>
        <w:t>will argue</w:t>
      </w:r>
      <w:r w:rsidR="00630E8B"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Pr="00A87246">
        <w:rPr>
          <w:rFonts w:ascii="Times New Roman" w:hAnsi="Times New Roman" w:cs="Times New Roman"/>
          <w:sz w:val="24"/>
          <w:szCs w:val="24"/>
        </w:rPr>
        <w:t xml:space="preserve">that </w:t>
      </w:r>
      <w:r w:rsidR="008C05CD" w:rsidRPr="00A87246">
        <w:rPr>
          <w:rFonts w:ascii="Times New Roman" w:hAnsi="Times New Roman" w:cs="Times New Roman"/>
          <w:sz w:val="24"/>
          <w:szCs w:val="24"/>
        </w:rPr>
        <w:t>P</w:t>
      </w:r>
      <w:r w:rsidRPr="00A87246">
        <w:rPr>
          <w:rFonts w:ascii="Times New Roman" w:hAnsi="Times New Roman" w:cs="Times New Roman"/>
          <w:sz w:val="24"/>
          <w:szCs w:val="24"/>
        </w:rPr>
        <w:t xml:space="preserve">rophetic authority should be limited to matters of doctrine and worship and that to extend </w:t>
      </w:r>
      <w:r w:rsidR="00A87246">
        <w:rPr>
          <w:rFonts w:ascii="Times New Roman" w:hAnsi="Times New Roman" w:cs="Times New Roman"/>
          <w:sz w:val="24"/>
          <w:szCs w:val="24"/>
        </w:rPr>
        <w:t xml:space="preserve">its </w:t>
      </w:r>
      <w:r w:rsidRPr="00A87246">
        <w:rPr>
          <w:rFonts w:ascii="Times New Roman" w:hAnsi="Times New Roman" w:cs="Times New Roman"/>
          <w:sz w:val="24"/>
          <w:szCs w:val="24"/>
        </w:rPr>
        <w:t xml:space="preserve">authority </w:t>
      </w:r>
      <w:r w:rsidR="0042113C" w:rsidRPr="00A87246">
        <w:rPr>
          <w:rFonts w:ascii="Times New Roman" w:hAnsi="Times New Roman" w:cs="Times New Roman"/>
          <w:sz w:val="24"/>
          <w:szCs w:val="24"/>
        </w:rPr>
        <w:t xml:space="preserve">is problematic for three reasons: the fallibility of the </w:t>
      </w:r>
      <w:r w:rsidR="00D443F4" w:rsidRPr="00A87246">
        <w:rPr>
          <w:rFonts w:ascii="Times New Roman" w:hAnsi="Times New Roman" w:cs="Times New Roman"/>
          <w:sz w:val="24"/>
          <w:szCs w:val="24"/>
        </w:rPr>
        <w:t>P</w:t>
      </w:r>
      <w:r w:rsidR="0042113C" w:rsidRPr="00A87246">
        <w:rPr>
          <w:rFonts w:ascii="Times New Roman" w:hAnsi="Times New Roman" w:cs="Times New Roman"/>
          <w:sz w:val="24"/>
          <w:szCs w:val="24"/>
        </w:rPr>
        <w:t>rophet,</w:t>
      </w:r>
      <w:r w:rsidR="00DF2531" w:rsidRPr="00A87246">
        <w:rPr>
          <w:rFonts w:ascii="Times New Roman" w:hAnsi="Times New Roman" w:cs="Times New Roman"/>
          <w:sz w:val="24"/>
          <w:szCs w:val="24"/>
        </w:rPr>
        <w:t xml:space="preserve"> the temporal nature of his witness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DF2531" w:rsidRPr="00A87246">
        <w:rPr>
          <w:rFonts w:ascii="Times New Roman" w:hAnsi="Times New Roman" w:cs="Times New Roman"/>
          <w:sz w:val="24"/>
          <w:szCs w:val="24"/>
        </w:rPr>
        <w:t xml:space="preserve">and the </w:t>
      </w:r>
      <w:r w:rsidR="00043996" w:rsidRPr="00A87246">
        <w:rPr>
          <w:rFonts w:ascii="Times New Roman" w:hAnsi="Times New Roman" w:cs="Times New Roman"/>
          <w:sz w:val="24"/>
          <w:szCs w:val="24"/>
        </w:rPr>
        <w:t>fragmentary nature of the hadith literature.</w:t>
      </w:r>
    </w:p>
    <w:p w14:paraId="683D8954" w14:textId="6931F7FB" w:rsidR="00BC34BC" w:rsidRPr="00A87246" w:rsidRDefault="00BC34BC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246">
        <w:rPr>
          <w:rFonts w:ascii="Times New Roman" w:hAnsi="Times New Roman" w:cs="Times New Roman"/>
          <w:sz w:val="24"/>
          <w:szCs w:val="24"/>
        </w:rPr>
        <w:t xml:space="preserve">Justice </w:t>
      </w:r>
      <w:r w:rsidR="006B6D9F" w:rsidRPr="00A87246">
        <w:rPr>
          <w:rFonts w:ascii="Times New Roman" w:hAnsi="Times New Roman" w:cs="Times New Roman"/>
          <w:sz w:val="24"/>
          <w:szCs w:val="24"/>
        </w:rPr>
        <w:t>Muhammad Taqī Usmānī</w:t>
      </w:r>
      <w:r w:rsidR="00F76E46" w:rsidRPr="00A87246">
        <w:rPr>
          <w:rFonts w:ascii="Times New Roman" w:hAnsi="Times New Roman" w:cs="Times New Roman"/>
          <w:sz w:val="24"/>
          <w:szCs w:val="24"/>
        </w:rPr>
        <w:t>, the source of the quote used for the basis of this paper,</w:t>
      </w:r>
      <w:r w:rsidRPr="00A87246">
        <w:rPr>
          <w:rFonts w:ascii="Times New Roman" w:hAnsi="Times New Roman" w:cs="Times New Roman"/>
          <w:sz w:val="24"/>
          <w:szCs w:val="24"/>
        </w:rPr>
        <w:t xml:space="preserve"> has been at the forefront </w:t>
      </w:r>
      <w:r w:rsidR="000C7483" w:rsidRPr="00A87246">
        <w:rPr>
          <w:rFonts w:ascii="Times New Roman" w:hAnsi="Times New Roman" w:cs="Times New Roman"/>
          <w:sz w:val="24"/>
          <w:szCs w:val="24"/>
        </w:rPr>
        <w:t>of</w:t>
      </w:r>
      <w:r w:rsidRPr="00A87246">
        <w:rPr>
          <w:rFonts w:ascii="Times New Roman" w:hAnsi="Times New Roman" w:cs="Times New Roman"/>
          <w:sz w:val="24"/>
          <w:szCs w:val="24"/>
        </w:rPr>
        <w:t xml:space="preserve"> advocating </w:t>
      </w:r>
      <w:r w:rsidR="00664936" w:rsidRPr="00A87246">
        <w:rPr>
          <w:rFonts w:ascii="Times New Roman" w:hAnsi="Times New Roman" w:cs="Times New Roman"/>
          <w:sz w:val="24"/>
          <w:szCs w:val="24"/>
        </w:rPr>
        <w:t xml:space="preserve">for </w:t>
      </w:r>
      <w:r w:rsidRPr="00A87246">
        <w:rPr>
          <w:rFonts w:ascii="Times New Roman" w:hAnsi="Times New Roman" w:cs="Times New Roman"/>
          <w:sz w:val="24"/>
          <w:szCs w:val="24"/>
        </w:rPr>
        <w:t xml:space="preserve">complete Prophetic authority in his work </w:t>
      </w:r>
      <w:r w:rsidRPr="00A87246">
        <w:rPr>
          <w:rFonts w:ascii="Times New Roman" w:hAnsi="Times New Roman" w:cs="Times New Roman"/>
          <w:i/>
          <w:sz w:val="24"/>
          <w:szCs w:val="24"/>
        </w:rPr>
        <w:t>The Authority of the Sunnah</w:t>
      </w:r>
      <w:r w:rsidRPr="00A87246">
        <w:rPr>
          <w:rFonts w:ascii="Times New Roman" w:hAnsi="Times New Roman" w:cs="Times New Roman"/>
          <w:sz w:val="24"/>
          <w:szCs w:val="24"/>
        </w:rPr>
        <w:t xml:space="preserve">. </w:t>
      </w:r>
      <w:r w:rsidR="00043996" w:rsidRPr="00A87246">
        <w:rPr>
          <w:rFonts w:ascii="Times New Roman" w:hAnsi="Times New Roman" w:cs="Times New Roman"/>
          <w:sz w:val="24"/>
          <w:szCs w:val="24"/>
        </w:rPr>
        <w:t>He</w:t>
      </w:r>
      <w:r w:rsidR="00664936"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FF2C4E" w:rsidRPr="00A87246">
        <w:rPr>
          <w:rFonts w:ascii="Times New Roman" w:hAnsi="Times New Roman" w:cs="Times New Roman"/>
          <w:sz w:val="24"/>
          <w:szCs w:val="24"/>
        </w:rPr>
        <w:t>writes</w:t>
      </w:r>
      <w:r w:rsidR="00664936" w:rsidRPr="00A87246">
        <w:rPr>
          <w:rFonts w:ascii="Times New Roman" w:hAnsi="Times New Roman" w:cs="Times New Roman"/>
          <w:sz w:val="24"/>
          <w:szCs w:val="24"/>
        </w:rPr>
        <w:t>:</w:t>
      </w:r>
    </w:p>
    <w:p w14:paraId="6832252C" w14:textId="6E6B2C0B" w:rsidR="00664936" w:rsidRPr="00664936" w:rsidRDefault="00664936" w:rsidP="0088488A">
      <w:pPr>
        <w:spacing w:after="240"/>
        <w:ind w:left="720"/>
        <w:rPr>
          <w:rFonts w:ascii="Arial" w:hAnsi="Arial" w:cs="Arial"/>
          <w:sz w:val="20"/>
          <w:szCs w:val="20"/>
        </w:rPr>
      </w:pPr>
      <w:r w:rsidRPr="00664936">
        <w:rPr>
          <w:rFonts w:ascii="Arial" w:hAnsi="Arial" w:cs="Arial"/>
          <w:sz w:val="20"/>
          <w:szCs w:val="20"/>
        </w:rPr>
        <w:t xml:space="preserve">the authority of the Prophet is clearly established by the Holy </w:t>
      </w:r>
      <w:r w:rsidR="003B18A9" w:rsidRPr="003B18A9">
        <w:rPr>
          <w:rFonts w:ascii="Arial" w:hAnsi="Arial" w:cs="Arial"/>
          <w:sz w:val="20"/>
          <w:szCs w:val="20"/>
        </w:rPr>
        <w:t>Qurʿān</w:t>
      </w:r>
      <w:r w:rsidRPr="00664936">
        <w:rPr>
          <w:rFonts w:ascii="Arial" w:hAnsi="Arial" w:cs="Arial"/>
          <w:sz w:val="20"/>
          <w:szCs w:val="20"/>
        </w:rPr>
        <w:t xml:space="preserve"> for all people and all times. Islam…</w:t>
      </w:r>
      <w:r w:rsidRPr="00664936">
        <w:rPr>
          <w:rFonts w:ascii="Arial" w:hAnsi="Arial" w:cs="Arial"/>
          <w:sz w:val="20"/>
          <w:szCs w:val="20"/>
          <w:shd w:val="clear" w:color="auto" w:fill="FFFFFF"/>
        </w:rPr>
        <w:t xml:space="preserve"> is not merely a set of doctrines and rituals. Islam is a complete way of life.</w:t>
      </w:r>
      <w:r>
        <w:rPr>
          <w:rStyle w:val="FootnoteReference"/>
          <w:rFonts w:ascii="Arial" w:hAnsi="Arial" w:cs="Arial"/>
          <w:sz w:val="20"/>
          <w:szCs w:val="20"/>
          <w:shd w:val="clear" w:color="auto" w:fill="FFFFFF"/>
        </w:rPr>
        <w:footnoteReference w:id="2"/>
      </w:r>
    </w:p>
    <w:p w14:paraId="4E9A753A" w14:textId="0B7A37B9" w:rsidR="002560DA" w:rsidRPr="00A87246" w:rsidRDefault="002560DA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246">
        <w:rPr>
          <w:rFonts w:ascii="Times New Roman" w:hAnsi="Times New Roman" w:cs="Times New Roman"/>
          <w:sz w:val="24"/>
          <w:szCs w:val="24"/>
        </w:rPr>
        <w:t xml:space="preserve">For </w:t>
      </w:r>
      <w:r w:rsidR="006B6D9F" w:rsidRPr="00A87246">
        <w:rPr>
          <w:rFonts w:ascii="Times New Roman" w:hAnsi="Times New Roman" w:cs="Times New Roman"/>
          <w:sz w:val="24"/>
          <w:szCs w:val="24"/>
        </w:rPr>
        <w:t>Usmānī</w:t>
      </w:r>
      <w:r w:rsidRPr="00A87246">
        <w:rPr>
          <w:rFonts w:ascii="Times New Roman" w:hAnsi="Times New Roman" w:cs="Times New Roman"/>
          <w:sz w:val="24"/>
          <w:szCs w:val="24"/>
        </w:rPr>
        <w:t xml:space="preserve"> the scope of Prophetic authority includes political, societal and economic affairs. No ser</w:t>
      </w:r>
      <w:r w:rsidR="00526A27" w:rsidRPr="00A87246">
        <w:rPr>
          <w:rFonts w:ascii="Times New Roman" w:hAnsi="Times New Roman" w:cs="Times New Roman"/>
          <w:sz w:val="24"/>
          <w:szCs w:val="24"/>
        </w:rPr>
        <w:t>i</w:t>
      </w:r>
      <w:r w:rsidRPr="00A87246">
        <w:rPr>
          <w:rFonts w:ascii="Times New Roman" w:hAnsi="Times New Roman" w:cs="Times New Roman"/>
          <w:sz w:val="24"/>
          <w:szCs w:val="24"/>
        </w:rPr>
        <w:t>ous</w:t>
      </w:r>
      <w:r w:rsidR="00464BF5" w:rsidRPr="00A87246">
        <w:rPr>
          <w:rFonts w:ascii="Times New Roman" w:hAnsi="Times New Roman" w:cs="Times New Roman"/>
          <w:sz w:val="24"/>
          <w:szCs w:val="24"/>
        </w:rPr>
        <w:t xml:space="preserve"> scholar</w:t>
      </w:r>
      <w:r w:rsidRPr="00A87246">
        <w:rPr>
          <w:rFonts w:ascii="Times New Roman" w:hAnsi="Times New Roman" w:cs="Times New Roman"/>
          <w:sz w:val="24"/>
          <w:szCs w:val="24"/>
        </w:rPr>
        <w:t xml:space="preserve">, who has sought to study the full </w:t>
      </w:r>
      <w:r w:rsidR="00526A27" w:rsidRPr="00A87246">
        <w:rPr>
          <w:rFonts w:ascii="Times New Roman" w:hAnsi="Times New Roman" w:cs="Times New Roman"/>
          <w:sz w:val="24"/>
          <w:szCs w:val="24"/>
        </w:rPr>
        <w:t>depth</w:t>
      </w:r>
      <w:r w:rsidRPr="00A87246">
        <w:rPr>
          <w:rFonts w:ascii="Times New Roman" w:hAnsi="Times New Roman" w:cs="Times New Roman"/>
          <w:sz w:val="24"/>
          <w:szCs w:val="24"/>
        </w:rPr>
        <w:t xml:space="preserve"> of</w:t>
      </w:r>
      <w:r w:rsidR="00526A27"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Pr="00A87246">
        <w:rPr>
          <w:rFonts w:ascii="Times New Roman" w:hAnsi="Times New Roman" w:cs="Times New Roman"/>
          <w:sz w:val="24"/>
          <w:szCs w:val="24"/>
        </w:rPr>
        <w:t xml:space="preserve">the </w:t>
      </w:r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="00526A27" w:rsidRPr="00A87246">
        <w:rPr>
          <w:rFonts w:ascii="Times New Roman" w:hAnsi="Times New Roman" w:cs="Times New Roman"/>
          <w:sz w:val="24"/>
          <w:szCs w:val="24"/>
        </w:rPr>
        <w:t>,</w:t>
      </w:r>
      <w:r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he argues, </w:t>
      </w:r>
      <w:r w:rsidRPr="00A87246">
        <w:rPr>
          <w:rFonts w:ascii="Times New Roman" w:hAnsi="Times New Roman" w:cs="Times New Roman"/>
          <w:sz w:val="24"/>
          <w:szCs w:val="24"/>
        </w:rPr>
        <w:t xml:space="preserve">could deny </w:t>
      </w:r>
      <w:r w:rsidR="00526A27" w:rsidRPr="00A87246">
        <w:rPr>
          <w:rFonts w:ascii="Times New Roman" w:hAnsi="Times New Roman" w:cs="Times New Roman"/>
          <w:sz w:val="24"/>
          <w:szCs w:val="24"/>
        </w:rPr>
        <w:t xml:space="preserve">the </w:t>
      </w:r>
      <w:r w:rsidRPr="00A87246">
        <w:rPr>
          <w:rFonts w:ascii="Times New Roman" w:hAnsi="Times New Roman" w:cs="Times New Roman"/>
          <w:sz w:val="24"/>
          <w:szCs w:val="24"/>
        </w:rPr>
        <w:t>breadth of worldly injunctions contained therein. These include</w:t>
      </w:r>
      <w:r w:rsidR="000C7483" w:rsidRPr="00A87246">
        <w:rPr>
          <w:rFonts w:ascii="Times New Roman" w:hAnsi="Times New Roman" w:cs="Times New Roman"/>
          <w:sz w:val="24"/>
          <w:szCs w:val="24"/>
        </w:rPr>
        <w:t>,</w:t>
      </w:r>
      <w:r w:rsidRPr="00A87246">
        <w:rPr>
          <w:rFonts w:ascii="Times New Roman" w:hAnsi="Times New Roman" w:cs="Times New Roman"/>
          <w:sz w:val="24"/>
          <w:szCs w:val="24"/>
        </w:rPr>
        <w:t xml:space="preserve"> yet are not limited to: </w:t>
      </w:r>
    </w:p>
    <w:p w14:paraId="7C028356" w14:textId="4424CB58" w:rsidR="002560DA" w:rsidRPr="002560DA" w:rsidRDefault="002560DA" w:rsidP="0088488A">
      <w:pPr>
        <w:spacing w:after="240"/>
        <w:ind w:left="720"/>
        <w:rPr>
          <w:rFonts w:ascii="Arial" w:hAnsi="Arial" w:cs="Arial"/>
        </w:rPr>
      </w:pPr>
      <w:r w:rsidRPr="002560DA">
        <w:rPr>
          <w:rFonts w:ascii="Arial" w:hAnsi="Arial" w:cs="Arial"/>
          <w:sz w:val="20"/>
          <w:szCs w:val="20"/>
          <w:shd w:val="clear" w:color="auto" w:fill="FFFFFF"/>
        </w:rPr>
        <w:t>sales, purchase loans, mortgages, partnership, penal laws, inheritance, matrimonial relations, political, social and family affairs, problems of war and peace.</w:t>
      </w:r>
      <w:r>
        <w:rPr>
          <w:rStyle w:val="FootnoteReference"/>
          <w:rFonts w:ascii="Arial" w:hAnsi="Arial" w:cs="Arial"/>
          <w:sz w:val="20"/>
          <w:szCs w:val="20"/>
          <w:shd w:val="clear" w:color="auto" w:fill="FFFFFF"/>
        </w:rPr>
        <w:footnoteReference w:id="3"/>
      </w:r>
      <w:r w:rsidRPr="002560DA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2560DA">
        <w:rPr>
          <w:rFonts w:ascii="Arial" w:hAnsi="Arial" w:cs="Arial"/>
        </w:rPr>
        <w:t xml:space="preserve"> </w:t>
      </w:r>
    </w:p>
    <w:p w14:paraId="3DEA9B90" w14:textId="4EA4344A" w:rsidR="002560DA" w:rsidRPr="00A87246" w:rsidRDefault="00F76E46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246">
        <w:rPr>
          <w:rFonts w:ascii="Times New Roman" w:hAnsi="Times New Roman" w:cs="Times New Roman"/>
          <w:sz w:val="24"/>
          <w:szCs w:val="24"/>
        </w:rPr>
        <w:t xml:space="preserve">The first thing to </w:t>
      </w:r>
      <w:r w:rsidR="00630E8B" w:rsidRPr="00A87246">
        <w:rPr>
          <w:rFonts w:ascii="Times New Roman" w:hAnsi="Times New Roman" w:cs="Times New Roman"/>
          <w:sz w:val="24"/>
          <w:szCs w:val="24"/>
        </w:rPr>
        <w:t xml:space="preserve">note </w:t>
      </w:r>
      <w:r w:rsidRPr="00A87246">
        <w:rPr>
          <w:rFonts w:ascii="Times New Roman" w:hAnsi="Times New Roman" w:cs="Times New Roman"/>
          <w:sz w:val="24"/>
          <w:szCs w:val="24"/>
        </w:rPr>
        <w:t xml:space="preserve">is that 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a complete </w:t>
      </w:r>
      <w:r w:rsidRPr="00A87246">
        <w:rPr>
          <w:rFonts w:ascii="Times New Roman" w:hAnsi="Times New Roman" w:cs="Times New Roman"/>
          <w:sz w:val="24"/>
          <w:szCs w:val="24"/>
        </w:rPr>
        <w:t>reading of Usmani</w:t>
      </w:r>
      <w:r w:rsidR="00630E8B" w:rsidRPr="00A87246">
        <w:rPr>
          <w:rFonts w:ascii="Times New Roman" w:hAnsi="Times New Roman" w:cs="Times New Roman"/>
          <w:sz w:val="24"/>
          <w:szCs w:val="24"/>
        </w:rPr>
        <w:t>’s book</w:t>
      </w:r>
      <w:r w:rsidRPr="00A87246">
        <w:rPr>
          <w:rFonts w:ascii="Times New Roman" w:hAnsi="Times New Roman" w:cs="Times New Roman"/>
          <w:sz w:val="24"/>
          <w:szCs w:val="24"/>
        </w:rPr>
        <w:t xml:space="preserve"> sees him explicitly state th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at the </w:t>
      </w:r>
      <w:r w:rsidRPr="00A87246">
        <w:rPr>
          <w:rFonts w:ascii="Times New Roman" w:hAnsi="Times New Roman" w:cs="Times New Roman"/>
          <w:sz w:val="24"/>
          <w:szCs w:val="24"/>
        </w:rPr>
        <w:t xml:space="preserve">division of </w:t>
      </w:r>
      <w:r w:rsidR="008C05CD" w:rsidRPr="00A87246">
        <w:rPr>
          <w:rFonts w:ascii="Times New Roman" w:hAnsi="Times New Roman" w:cs="Times New Roman"/>
          <w:sz w:val="24"/>
          <w:szCs w:val="24"/>
        </w:rPr>
        <w:t>P</w:t>
      </w:r>
      <w:r w:rsidRPr="00A87246">
        <w:rPr>
          <w:rFonts w:ascii="Times New Roman" w:hAnsi="Times New Roman" w:cs="Times New Roman"/>
          <w:sz w:val="24"/>
          <w:szCs w:val="24"/>
        </w:rPr>
        <w:t xml:space="preserve">rophetic authority </w:t>
      </w:r>
      <w:r w:rsidR="00043996" w:rsidRPr="00A87246">
        <w:rPr>
          <w:rFonts w:ascii="Times New Roman" w:hAnsi="Times New Roman" w:cs="Times New Roman"/>
          <w:sz w:val="24"/>
          <w:szCs w:val="24"/>
        </w:rPr>
        <w:t>i</w:t>
      </w:r>
      <w:r w:rsidR="00630E8B" w:rsidRPr="00A87246">
        <w:rPr>
          <w:rFonts w:ascii="Times New Roman" w:hAnsi="Times New Roman" w:cs="Times New Roman"/>
          <w:sz w:val="24"/>
          <w:szCs w:val="24"/>
        </w:rPr>
        <w:t>s</w:t>
      </w:r>
      <w:r w:rsidRPr="00A87246">
        <w:rPr>
          <w:rFonts w:ascii="Times New Roman" w:hAnsi="Times New Roman" w:cs="Times New Roman"/>
          <w:sz w:val="24"/>
          <w:szCs w:val="24"/>
        </w:rPr>
        <w:t xml:space="preserve"> a ‘Western’ idea.</w:t>
      </w:r>
      <w:r w:rsidR="00630E8B"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Pr="00A87246">
        <w:rPr>
          <w:rFonts w:ascii="Times New Roman" w:hAnsi="Times New Roman" w:cs="Times New Roman"/>
          <w:sz w:val="24"/>
          <w:szCs w:val="24"/>
        </w:rPr>
        <w:t xml:space="preserve"> This is without justification. </w:t>
      </w:r>
      <w:r w:rsidR="000C7483" w:rsidRPr="00A87246">
        <w:rPr>
          <w:rFonts w:ascii="Times New Roman" w:hAnsi="Times New Roman" w:cs="Times New Roman"/>
          <w:sz w:val="24"/>
          <w:szCs w:val="24"/>
        </w:rPr>
        <w:t>Even basic</w:t>
      </w:r>
      <w:r w:rsidRPr="00A87246">
        <w:rPr>
          <w:rFonts w:ascii="Times New Roman" w:hAnsi="Times New Roman" w:cs="Times New Roman"/>
          <w:sz w:val="24"/>
          <w:szCs w:val="24"/>
        </w:rPr>
        <w:t xml:space="preserve"> reading around the subject shows that numerous non-Western </w:t>
      </w:r>
      <w:r w:rsidR="00630E8B" w:rsidRPr="00A87246">
        <w:rPr>
          <w:rFonts w:ascii="Times New Roman" w:hAnsi="Times New Roman" w:cs="Times New Roman"/>
          <w:sz w:val="24"/>
          <w:szCs w:val="24"/>
        </w:rPr>
        <w:t xml:space="preserve">Muslim </w:t>
      </w:r>
      <w:r w:rsidRPr="00A87246">
        <w:rPr>
          <w:rFonts w:ascii="Times New Roman" w:hAnsi="Times New Roman" w:cs="Times New Roman"/>
          <w:sz w:val="24"/>
          <w:szCs w:val="24"/>
        </w:rPr>
        <w:t>academics</w:t>
      </w:r>
      <w:r w:rsidR="00DF2531" w:rsidRPr="00A87246">
        <w:rPr>
          <w:rFonts w:ascii="Times New Roman" w:hAnsi="Times New Roman" w:cs="Times New Roman"/>
          <w:sz w:val="24"/>
          <w:szCs w:val="24"/>
        </w:rPr>
        <w:t xml:space="preserve"> and groups (the Ahl-i-</w:t>
      </w:r>
      <w:r w:rsidR="003B18A9" w:rsidRPr="00A87246">
        <w:rPr>
          <w:rFonts w:ascii="Times New Roman" w:hAnsi="Times New Roman" w:cs="Times New Roman"/>
          <w:sz w:val="24"/>
          <w:szCs w:val="24"/>
        </w:rPr>
        <w:t xml:space="preserve"> Qurʿān</w:t>
      </w:r>
      <w:r w:rsidR="00DF2531" w:rsidRPr="00A87246">
        <w:rPr>
          <w:rFonts w:ascii="Times New Roman" w:hAnsi="Times New Roman" w:cs="Times New Roman"/>
          <w:sz w:val="24"/>
          <w:szCs w:val="24"/>
        </w:rPr>
        <w:t>, Muhammad Tawfiq Sidiqi, Shah Walli Allah)</w:t>
      </w:r>
      <w:r w:rsidRPr="00A87246">
        <w:rPr>
          <w:rFonts w:ascii="Times New Roman" w:hAnsi="Times New Roman" w:cs="Times New Roman"/>
          <w:sz w:val="24"/>
          <w:szCs w:val="24"/>
        </w:rPr>
        <w:t xml:space="preserve"> have sought to question the nature and scope of </w:t>
      </w:r>
      <w:r w:rsidR="008C05CD" w:rsidRPr="00A87246">
        <w:rPr>
          <w:rFonts w:ascii="Times New Roman" w:hAnsi="Times New Roman" w:cs="Times New Roman"/>
          <w:sz w:val="24"/>
          <w:szCs w:val="24"/>
        </w:rPr>
        <w:t>P</w:t>
      </w:r>
      <w:r w:rsidRPr="00A87246">
        <w:rPr>
          <w:rFonts w:ascii="Times New Roman" w:hAnsi="Times New Roman" w:cs="Times New Roman"/>
          <w:sz w:val="24"/>
          <w:szCs w:val="24"/>
        </w:rPr>
        <w:t>rophetic authority.</w:t>
      </w:r>
      <w:r w:rsidR="00DF2531"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Pr="00A87246">
        <w:rPr>
          <w:rFonts w:ascii="Times New Roman" w:hAnsi="Times New Roman" w:cs="Times New Roman"/>
          <w:sz w:val="24"/>
          <w:szCs w:val="24"/>
        </w:rPr>
        <w:t xml:space="preserve"> Brown outlines the</w:t>
      </w:r>
      <w:r w:rsidR="000C7483" w:rsidRPr="00A87246">
        <w:rPr>
          <w:rFonts w:ascii="Times New Roman" w:hAnsi="Times New Roman" w:cs="Times New Roman"/>
          <w:sz w:val="24"/>
          <w:szCs w:val="24"/>
        </w:rPr>
        <w:t>se</w:t>
      </w:r>
      <w:r w:rsidRPr="00A87246">
        <w:rPr>
          <w:rFonts w:ascii="Times New Roman" w:hAnsi="Times New Roman" w:cs="Times New Roman"/>
          <w:sz w:val="24"/>
          <w:szCs w:val="24"/>
        </w:rPr>
        <w:t xml:space="preserve"> in his important work </w:t>
      </w:r>
      <w:r w:rsidRPr="00A87246">
        <w:rPr>
          <w:rFonts w:ascii="Times New Roman" w:hAnsi="Times New Roman" w:cs="Times New Roman"/>
          <w:i/>
          <w:sz w:val="24"/>
          <w:szCs w:val="24"/>
        </w:rPr>
        <w:t>Rethinking Tradition in Modern Islamic Thought</w:t>
      </w:r>
      <w:r w:rsidR="00043996" w:rsidRPr="00A87246">
        <w:rPr>
          <w:rFonts w:ascii="Times New Roman" w:hAnsi="Times New Roman" w:cs="Times New Roman"/>
          <w:i/>
          <w:sz w:val="24"/>
          <w:szCs w:val="24"/>
        </w:rPr>
        <w:t>,</w:t>
      </w:r>
      <w:r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425AE4" w:rsidRPr="00A87246">
        <w:rPr>
          <w:rFonts w:ascii="Times New Roman" w:hAnsi="Times New Roman" w:cs="Times New Roman"/>
          <w:sz w:val="24"/>
          <w:szCs w:val="24"/>
        </w:rPr>
        <w:t>to which we now turn.</w:t>
      </w:r>
    </w:p>
    <w:p w14:paraId="040F7D07" w14:textId="469A8591" w:rsidR="00242494" w:rsidRPr="00A87246" w:rsidRDefault="00425AE4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246">
        <w:rPr>
          <w:rFonts w:ascii="Times New Roman" w:hAnsi="Times New Roman" w:cs="Times New Roman"/>
          <w:sz w:val="24"/>
          <w:szCs w:val="24"/>
        </w:rPr>
        <w:t xml:space="preserve">Brown begins by examining a key building block for complete Prophetic authority – infallibility. Within Shia Islam the concept developed that divinely appointed imams were protected from error. </w:t>
      </w:r>
      <w:r w:rsidRPr="00A87246">
        <w:rPr>
          <w:rFonts w:ascii="Times New Roman" w:hAnsi="Times New Roman" w:cs="Times New Roman"/>
          <w:sz w:val="24"/>
          <w:szCs w:val="24"/>
        </w:rPr>
        <w:lastRenderedPageBreak/>
        <w:t>The natural out working of this idea meant Muhammed was pr</w:t>
      </w:r>
      <w:r w:rsidR="000C7483" w:rsidRPr="00A87246">
        <w:rPr>
          <w:rFonts w:ascii="Times New Roman" w:hAnsi="Times New Roman" w:cs="Times New Roman"/>
          <w:sz w:val="24"/>
          <w:szCs w:val="24"/>
        </w:rPr>
        <w:t>e</w:t>
      </w:r>
      <w:r w:rsidRPr="00A87246">
        <w:rPr>
          <w:rFonts w:ascii="Times New Roman" w:hAnsi="Times New Roman" w:cs="Times New Roman"/>
          <w:sz w:val="24"/>
          <w:szCs w:val="24"/>
        </w:rPr>
        <w:t>scribed infallible status; an idea that crossed over into Sunni Islam and provided foundational justification for the authority of the sunna.</w:t>
      </w:r>
      <w:r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Pr="00A87246">
        <w:rPr>
          <w:rFonts w:ascii="Times New Roman" w:hAnsi="Times New Roman" w:cs="Times New Roman"/>
          <w:sz w:val="24"/>
          <w:szCs w:val="24"/>
        </w:rPr>
        <w:t xml:space="preserve"> However, examination of the </w:t>
      </w:r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Pr="00A87246">
        <w:rPr>
          <w:rFonts w:ascii="Times New Roman" w:hAnsi="Times New Roman" w:cs="Times New Roman"/>
          <w:sz w:val="24"/>
          <w:szCs w:val="24"/>
        </w:rPr>
        <w:t xml:space="preserve"> and hadith literature makes this difficult to justify. </w:t>
      </w:r>
      <w:r w:rsidR="008F279D" w:rsidRPr="00A87246">
        <w:rPr>
          <w:rFonts w:ascii="Times New Roman" w:hAnsi="Times New Roman" w:cs="Times New Roman"/>
          <w:sz w:val="24"/>
          <w:szCs w:val="24"/>
        </w:rPr>
        <w:t>In the latter</w:t>
      </w:r>
      <w:r w:rsidR="00242494" w:rsidRPr="00A87246">
        <w:rPr>
          <w:rFonts w:ascii="Times New Roman" w:hAnsi="Times New Roman" w:cs="Times New Roman"/>
          <w:sz w:val="24"/>
          <w:szCs w:val="24"/>
        </w:rPr>
        <w:t>,</w:t>
      </w:r>
      <w:r w:rsidR="008F279D" w:rsidRPr="00A87246">
        <w:rPr>
          <w:rFonts w:ascii="Times New Roman" w:hAnsi="Times New Roman" w:cs="Times New Roman"/>
          <w:sz w:val="24"/>
          <w:szCs w:val="24"/>
        </w:rPr>
        <w:t xml:space="preserve"> Buk</w:t>
      </w:r>
      <w:r w:rsidR="00DF2531" w:rsidRPr="00A87246">
        <w:rPr>
          <w:rFonts w:ascii="Times New Roman" w:hAnsi="Times New Roman" w:cs="Times New Roman"/>
          <w:sz w:val="24"/>
          <w:szCs w:val="24"/>
        </w:rPr>
        <w:t>h</w:t>
      </w:r>
      <w:r w:rsidR="008F279D" w:rsidRPr="00A87246">
        <w:rPr>
          <w:rFonts w:ascii="Times New Roman" w:hAnsi="Times New Roman" w:cs="Times New Roman"/>
          <w:sz w:val="24"/>
          <w:szCs w:val="24"/>
        </w:rPr>
        <w:t>ari states:</w:t>
      </w:r>
    </w:p>
    <w:p w14:paraId="6B5F6B4E" w14:textId="5C335216" w:rsidR="008F279D" w:rsidRDefault="008F279D" w:rsidP="0088488A">
      <w:pPr>
        <w:spacing w:after="240"/>
        <w:ind w:left="720"/>
        <w:rPr>
          <w:rFonts w:ascii="Arial" w:hAnsi="Arial" w:cs="Arial"/>
          <w:color w:val="121212"/>
          <w:spacing w:val="8"/>
          <w:sz w:val="20"/>
          <w:szCs w:val="20"/>
          <w:shd w:val="clear" w:color="auto" w:fill="FFFFFF"/>
        </w:rPr>
      </w:pPr>
      <w:r w:rsidRPr="00242494">
        <w:rPr>
          <w:rFonts w:ascii="Arial" w:hAnsi="Arial" w:cs="Arial"/>
          <w:color w:val="121212"/>
          <w:spacing w:val="8"/>
          <w:sz w:val="20"/>
          <w:szCs w:val="20"/>
          <w:shd w:val="clear" w:color="auto" w:fill="FFFFFF"/>
        </w:rPr>
        <w:t>I heard Allah's Apostle saying." By Allah! I ask for forgiveness from Allah and turn to Him in repentance more than seventy times a day"</w:t>
      </w:r>
      <w:r w:rsidRPr="00242494">
        <w:rPr>
          <w:rStyle w:val="FootnoteReference"/>
          <w:rFonts w:ascii="Arial" w:hAnsi="Arial" w:cs="Arial"/>
          <w:color w:val="121212"/>
          <w:spacing w:val="8"/>
          <w:sz w:val="20"/>
          <w:szCs w:val="20"/>
          <w:shd w:val="clear" w:color="auto" w:fill="FFFFFF"/>
        </w:rPr>
        <w:footnoteReference w:id="7"/>
      </w:r>
    </w:p>
    <w:p w14:paraId="2FF405FA" w14:textId="16919FAF" w:rsidR="00316408" w:rsidRPr="00A87246" w:rsidRDefault="0042113C" w:rsidP="0088488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Moreover, the </w:t>
      </w:r>
      <w:r w:rsidR="003B18A9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>Qurʿān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contains clear examples of Muhammed’s public behaviour and actions being corrected. He was overruled from granting people military exemptions (9:43) and for declaring a certain food impermissible (66:1).</w:t>
      </w:r>
      <w:r w:rsidRPr="00A87246">
        <w:rPr>
          <w:rStyle w:val="FootnoteReference"/>
          <w:rFonts w:ascii="Times New Roman" w:hAnsi="Times New Roman" w:cs="Times New Roman"/>
          <w:color w:val="121212"/>
          <w:spacing w:val="8"/>
          <w:sz w:val="24"/>
          <w:szCs w:val="24"/>
          <w:shd w:val="clear" w:color="auto" w:fill="FFFFFF"/>
        </w:rPr>
        <w:footnoteReference w:id="8"/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7483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>Those corrections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affirm</w:t>
      </w:r>
      <w:r w:rsidR="000C7483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underlying principle </w:t>
      </w:r>
      <w:r w:rsidR="00DF2531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7483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>Muhammed’s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own limitation</w:t>
      </w:r>
      <w:r w:rsidR="00DF2531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7483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</w:t>
      </w:r>
      <w:r w:rsidR="00DF2531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outlined 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DF2531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3B18A9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>Qurʿān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“I am </w:t>
      </w:r>
      <w:r w:rsidR="00DF2531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>only</w:t>
      </w:r>
      <w:r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warner, and a bringer of glad tidings to those who have faith." (7:188).</w:t>
      </w:r>
      <w:r w:rsidR="00DF2531" w:rsidRPr="00A872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E753EC1" w14:textId="7020A026" w:rsidR="00425AE4" w:rsidRPr="00A87246" w:rsidRDefault="00425AE4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246">
        <w:rPr>
          <w:rFonts w:ascii="Times New Roman" w:hAnsi="Times New Roman" w:cs="Times New Roman"/>
          <w:sz w:val="24"/>
          <w:szCs w:val="24"/>
        </w:rPr>
        <w:t xml:space="preserve">Indeed, as the </w:t>
      </w:r>
      <w:r w:rsidR="000C7483" w:rsidRPr="00A87246">
        <w:rPr>
          <w:rFonts w:ascii="Times New Roman" w:hAnsi="Times New Roman" w:cs="Times New Roman"/>
          <w:sz w:val="24"/>
          <w:szCs w:val="24"/>
        </w:rPr>
        <w:t>S</w:t>
      </w:r>
      <w:r w:rsidRPr="00A87246">
        <w:rPr>
          <w:rFonts w:ascii="Times New Roman" w:hAnsi="Times New Roman" w:cs="Times New Roman"/>
          <w:sz w:val="24"/>
          <w:szCs w:val="24"/>
        </w:rPr>
        <w:t>chools of Law developed a near universally recognised division between ‘binding’ and ‘non-binding’ rules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0C7483" w:rsidRPr="00A87246">
        <w:rPr>
          <w:rFonts w:ascii="Times New Roman" w:hAnsi="Times New Roman" w:cs="Times New Roman"/>
          <w:sz w:val="24"/>
          <w:szCs w:val="24"/>
        </w:rPr>
        <w:t>emerged</w:t>
      </w:r>
      <w:r w:rsidRPr="00A87246">
        <w:rPr>
          <w:rFonts w:ascii="Times New Roman" w:hAnsi="Times New Roman" w:cs="Times New Roman"/>
          <w:sz w:val="24"/>
          <w:szCs w:val="24"/>
        </w:rPr>
        <w:t>;</w:t>
      </w:r>
      <w:r w:rsidR="00EC639B"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Pr="00A87246">
        <w:rPr>
          <w:rFonts w:ascii="Times New Roman" w:hAnsi="Times New Roman" w:cs="Times New Roman"/>
          <w:sz w:val="24"/>
          <w:szCs w:val="24"/>
        </w:rPr>
        <w:t>recogni</w:t>
      </w:r>
      <w:r w:rsidR="00EC639B" w:rsidRPr="00A87246">
        <w:rPr>
          <w:rFonts w:ascii="Times New Roman" w:hAnsi="Times New Roman" w:cs="Times New Roman"/>
          <w:sz w:val="24"/>
          <w:szCs w:val="24"/>
        </w:rPr>
        <w:t>sing</w:t>
      </w:r>
      <w:r w:rsidRPr="00A87246">
        <w:rPr>
          <w:rFonts w:ascii="Times New Roman" w:hAnsi="Times New Roman" w:cs="Times New Roman"/>
          <w:sz w:val="24"/>
          <w:szCs w:val="24"/>
        </w:rPr>
        <w:t xml:space="preserve"> the problem of considering all aspects of the Prophetic sunna as authoritative.</w:t>
      </w:r>
      <w:r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Pr="00A872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677824" w14:textId="05907ED1" w:rsidR="00DF2531" w:rsidRPr="00A87246" w:rsidRDefault="00DF2531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246">
        <w:rPr>
          <w:rFonts w:ascii="Times New Roman" w:hAnsi="Times New Roman" w:cs="Times New Roman"/>
          <w:sz w:val="24"/>
          <w:szCs w:val="24"/>
        </w:rPr>
        <w:t xml:space="preserve">Influenced by </w:t>
      </w:r>
      <w:proofErr w:type="spellStart"/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Pr="00A87246">
        <w:rPr>
          <w:rFonts w:ascii="Times New Roman" w:hAnsi="Times New Roman" w:cs="Times New Roman"/>
          <w:sz w:val="24"/>
          <w:szCs w:val="24"/>
        </w:rPr>
        <w:t>ic</w:t>
      </w:r>
      <w:proofErr w:type="spellEnd"/>
      <w:r w:rsidRPr="00A87246">
        <w:rPr>
          <w:rFonts w:ascii="Times New Roman" w:hAnsi="Times New Roman" w:cs="Times New Roman"/>
          <w:sz w:val="24"/>
          <w:szCs w:val="24"/>
        </w:rPr>
        <w:t xml:space="preserve"> texts such as the one above, the </w:t>
      </w:r>
      <w:proofErr w:type="spellStart"/>
      <w:r w:rsidRPr="00A87246">
        <w:rPr>
          <w:rFonts w:ascii="Times New Roman" w:hAnsi="Times New Roman" w:cs="Times New Roman"/>
          <w:sz w:val="24"/>
          <w:szCs w:val="24"/>
        </w:rPr>
        <w:t>Ahl</w:t>
      </w:r>
      <w:proofErr w:type="spellEnd"/>
      <w:r w:rsidRPr="00A8724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8724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87246">
        <w:rPr>
          <w:rFonts w:ascii="Times New Roman" w:hAnsi="Times New Roman" w:cs="Times New Roman"/>
          <w:sz w:val="24"/>
          <w:szCs w:val="24"/>
        </w:rPr>
        <w:t>-</w:t>
      </w:r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Pr="00A87246">
        <w:rPr>
          <w:rFonts w:ascii="Times New Roman" w:hAnsi="Times New Roman" w:cs="Times New Roman"/>
          <w:sz w:val="24"/>
          <w:szCs w:val="24"/>
        </w:rPr>
        <w:t xml:space="preserve"> argued for a distinction between the eternal and the temporal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aspects of Prophetic witness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– our second argument in this paper</w:t>
      </w:r>
      <w:r w:rsidRPr="00A87246">
        <w:rPr>
          <w:rFonts w:ascii="Times New Roman" w:hAnsi="Times New Roman" w:cs="Times New Roman"/>
          <w:sz w:val="24"/>
          <w:szCs w:val="24"/>
        </w:rPr>
        <w:t xml:space="preserve">. The sunna was </w:t>
      </w:r>
      <w:proofErr w:type="gramStart"/>
      <w:r w:rsidRPr="00A87246">
        <w:rPr>
          <w:rFonts w:ascii="Times New Roman" w:hAnsi="Times New Roman" w:cs="Times New Roman"/>
          <w:sz w:val="24"/>
          <w:szCs w:val="24"/>
        </w:rPr>
        <w:t>particular to</w:t>
      </w:r>
      <w:proofErr w:type="gramEnd"/>
      <w:r w:rsidRPr="00A87246">
        <w:rPr>
          <w:rFonts w:ascii="Times New Roman" w:hAnsi="Times New Roman" w:cs="Times New Roman"/>
          <w:sz w:val="24"/>
          <w:szCs w:val="24"/>
        </w:rPr>
        <w:t xml:space="preserve"> the circumstances the Prophet found himself in. They argued in line with Muhammad Sid</w:t>
      </w:r>
      <w:r w:rsidR="000C7483" w:rsidRPr="00A87246">
        <w:rPr>
          <w:rFonts w:ascii="Times New Roman" w:hAnsi="Times New Roman" w:cs="Times New Roman"/>
          <w:sz w:val="24"/>
          <w:szCs w:val="24"/>
        </w:rPr>
        <w:t>i</w:t>
      </w:r>
      <w:r w:rsidRPr="00A87246">
        <w:rPr>
          <w:rFonts w:ascii="Times New Roman" w:hAnsi="Times New Roman" w:cs="Times New Roman"/>
          <w:sz w:val="24"/>
          <w:szCs w:val="24"/>
        </w:rPr>
        <w:t xml:space="preserve">qi, that the sunna, in contrast to an ‘eternal </w:t>
      </w:r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Pr="00A87246">
        <w:rPr>
          <w:rFonts w:ascii="Times New Roman" w:hAnsi="Times New Roman" w:cs="Times New Roman"/>
          <w:sz w:val="24"/>
          <w:szCs w:val="24"/>
        </w:rPr>
        <w:t xml:space="preserve">’ was only binding </w:t>
      </w:r>
      <w:r w:rsidR="00043996" w:rsidRPr="00A87246">
        <w:rPr>
          <w:rFonts w:ascii="Times New Roman" w:hAnsi="Times New Roman" w:cs="Times New Roman"/>
          <w:sz w:val="24"/>
          <w:szCs w:val="24"/>
        </w:rPr>
        <w:t>for</w:t>
      </w:r>
      <w:r w:rsidRPr="00A87246">
        <w:rPr>
          <w:rFonts w:ascii="Times New Roman" w:hAnsi="Times New Roman" w:cs="Times New Roman"/>
          <w:sz w:val="24"/>
          <w:szCs w:val="24"/>
        </w:rPr>
        <w:t xml:space="preserve"> the first generation of believers.</w:t>
      </w:r>
      <w:r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A50A1E" w:rsidRPr="00A87246">
        <w:rPr>
          <w:rFonts w:ascii="Times New Roman" w:hAnsi="Times New Roman" w:cs="Times New Roman"/>
          <w:sz w:val="24"/>
          <w:szCs w:val="24"/>
        </w:rPr>
        <w:t>Justification for their stance came from the contrasting revelatory model</w:t>
      </w:r>
      <w:r w:rsidR="000C7483" w:rsidRPr="00A87246">
        <w:rPr>
          <w:rFonts w:ascii="Times New Roman" w:hAnsi="Times New Roman" w:cs="Times New Roman"/>
          <w:sz w:val="24"/>
          <w:szCs w:val="24"/>
        </w:rPr>
        <w:t>s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of the </w:t>
      </w:r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and hadith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– which takes us to our third key argument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. For the </w:t>
      </w:r>
      <w:r w:rsidR="000C7483" w:rsidRPr="00A87246">
        <w:rPr>
          <w:rFonts w:ascii="Times New Roman" w:hAnsi="Times New Roman" w:cs="Times New Roman"/>
          <w:sz w:val="24"/>
          <w:szCs w:val="24"/>
        </w:rPr>
        <w:t>hadith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no model for its transmission or preservation had been prescribed.</w:t>
      </w:r>
      <w:r w:rsidR="00A50A1E"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A basic research problem therefore existed. Whilst acknowledging the Prophet as the ‘walking </w:t>
      </w:r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="00A50A1E" w:rsidRPr="00A87246">
        <w:rPr>
          <w:rFonts w:ascii="Times New Roman" w:hAnsi="Times New Roman" w:cs="Times New Roman"/>
          <w:sz w:val="24"/>
          <w:szCs w:val="24"/>
        </w:rPr>
        <w:t>’</w:t>
      </w:r>
      <w:r w:rsidR="004A66B4" w:rsidRPr="00A87246">
        <w:rPr>
          <w:rFonts w:ascii="Times New Roman" w:hAnsi="Times New Roman" w:cs="Times New Roman"/>
          <w:sz w:val="24"/>
          <w:szCs w:val="24"/>
        </w:rPr>
        <w:t xml:space="preserve"> whos</w:t>
      </w:r>
      <w:r w:rsidR="000C7483" w:rsidRPr="00A87246">
        <w:rPr>
          <w:rFonts w:ascii="Times New Roman" w:hAnsi="Times New Roman" w:cs="Times New Roman"/>
          <w:sz w:val="24"/>
          <w:szCs w:val="24"/>
        </w:rPr>
        <w:t>e</w:t>
      </w:r>
      <w:r w:rsidR="004A66B4" w:rsidRPr="00A87246">
        <w:rPr>
          <w:rFonts w:ascii="Times New Roman" w:hAnsi="Times New Roman" w:cs="Times New Roman"/>
          <w:sz w:val="24"/>
          <w:szCs w:val="24"/>
        </w:rPr>
        <w:t xml:space="preserve"> authoritative ‘words and behaviour are </w:t>
      </w:r>
      <w:r w:rsidR="000C7483" w:rsidRPr="00A87246">
        <w:rPr>
          <w:rFonts w:ascii="Times New Roman" w:hAnsi="Times New Roman" w:cs="Times New Roman"/>
          <w:sz w:val="24"/>
          <w:szCs w:val="24"/>
        </w:rPr>
        <w:t>its</w:t>
      </w:r>
      <w:r w:rsidR="004A66B4" w:rsidRPr="00A87246">
        <w:rPr>
          <w:rFonts w:ascii="Times New Roman" w:hAnsi="Times New Roman" w:cs="Times New Roman"/>
          <w:sz w:val="24"/>
          <w:szCs w:val="24"/>
        </w:rPr>
        <w:t xml:space="preserve"> best commentary’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, the </w:t>
      </w:r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itself </w:t>
      </w:r>
      <w:r w:rsidR="00A50A1E" w:rsidRPr="00A87246">
        <w:rPr>
          <w:rFonts w:ascii="Times New Roman" w:hAnsi="Times New Roman" w:cs="Times New Roman"/>
          <w:sz w:val="24"/>
          <w:szCs w:val="24"/>
        </w:rPr>
        <w:t>said little about the Prophet's life.</w:t>
      </w:r>
      <w:r w:rsidR="004A66B4"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The way Muslim researchers tried to deal with the problem was by re</w:t>
      </w:r>
      <w:r w:rsidR="007B6A4F" w:rsidRPr="00A87246">
        <w:rPr>
          <w:rFonts w:ascii="Times New Roman" w:hAnsi="Times New Roman" w:cs="Times New Roman"/>
          <w:sz w:val="24"/>
          <w:szCs w:val="24"/>
        </w:rPr>
        <w:t>cording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everything the Prophet said and did</w:t>
      </w:r>
      <w:r w:rsidR="00347AED" w:rsidRPr="00A87246">
        <w:rPr>
          <w:rFonts w:ascii="Times New Roman" w:hAnsi="Times New Roman" w:cs="Times New Roman"/>
          <w:sz w:val="24"/>
          <w:szCs w:val="24"/>
        </w:rPr>
        <w:t>. This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led, over a period of 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some 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200 years, to the hadith literature. </w:t>
      </w:r>
      <w:r w:rsidR="007B6A4F" w:rsidRPr="00A87246">
        <w:rPr>
          <w:rFonts w:ascii="Times New Roman" w:hAnsi="Times New Roman" w:cs="Times New Roman"/>
          <w:sz w:val="24"/>
          <w:szCs w:val="24"/>
        </w:rPr>
        <w:t>Considering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this, how then should the sunna be regarded? The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sunna is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best thought of as something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intangible and sought after. I</w:t>
      </w:r>
      <w:r w:rsidR="00347AED" w:rsidRPr="00A87246">
        <w:rPr>
          <w:rFonts w:ascii="Times New Roman" w:hAnsi="Times New Roman" w:cs="Times New Roman"/>
          <w:sz w:val="24"/>
          <w:szCs w:val="24"/>
        </w:rPr>
        <w:t>n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other </w:t>
      </w:r>
      <w:r w:rsidR="0080303B" w:rsidRPr="00A87246">
        <w:rPr>
          <w:rFonts w:ascii="Times New Roman" w:hAnsi="Times New Roman" w:cs="Times New Roman"/>
          <w:sz w:val="24"/>
          <w:szCs w:val="24"/>
        </w:rPr>
        <w:t>words,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it is an objective</w:t>
      </w:r>
      <w:r w:rsidR="00347AED" w:rsidRPr="00A87246">
        <w:rPr>
          <w:rFonts w:ascii="Times New Roman" w:hAnsi="Times New Roman" w:cs="Times New Roman"/>
          <w:sz w:val="24"/>
          <w:szCs w:val="24"/>
        </w:rPr>
        <w:t xml:space="preserve">, </w:t>
      </w:r>
      <w:r w:rsidR="00043996" w:rsidRPr="00A87246">
        <w:rPr>
          <w:rFonts w:ascii="Times New Roman" w:hAnsi="Times New Roman" w:cs="Times New Roman"/>
          <w:sz w:val="24"/>
          <w:szCs w:val="24"/>
        </w:rPr>
        <w:t>and</w:t>
      </w:r>
      <w:r w:rsidR="00A50A1E" w:rsidRPr="00A87246">
        <w:rPr>
          <w:rFonts w:ascii="Times New Roman" w:hAnsi="Times New Roman" w:cs="Times New Roman"/>
          <w:sz w:val="24"/>
          <w:szCs w:val="24"/>
        </w:rPr>
        <w:t xml:space="preserve"> the hadith is a tangible means to try and arrive at that intangible objective.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Overall then the hadith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literature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is a problematic set of documents that are profoundly </w:t>
      </w:r>
      <w:r w:rsidR="00043996" w:rsidRPr="00A87246">
        <w:rPr>
          <w:rFonts w:ascii="Times New Roman" w:hAnsi="Times New Roman" w:cs="Times New Roman"/>
          <w:sz w:val="24"/>
          <w:szCs w:val="24"/>
        </w:rPr>
        <w:lastRenderedPageBreak/>
        <w:t>fragmentary in nature.</w:t>
      </w:r>
      <w:r w:rsidR="00043996"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That being the </w:t>
      </w:r>
      <w:r w:rsidR="007B6A4F" w:rsidRPr="00A87246">
        <w:rPr>
          <w:rFonts w:ascii="Times New Roman" w:hAnsi="Times New Roman" w:cs="Times New Roman"/>
          <w:sz w:val="24"/>
          <w:szCs w:val="24"/>
        </w:rPr>
        <w:t>case and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given the profound interconnectedness of the </w:t>
      </w:r>
      <w:r w:rsidR="000C7483" w:rsidRPr="00A87246">
        <w:rPr>
          <w:rFonts w:ascii="Times New Roman" w:hAnsi="Times New Roman" w:cs="Times New Roman"/>
          <w:sz w:val="24"/>
          <w:szCs w:val="24"/>
        </w:rPr>
        <w:t>sunna and hadith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, it would be difficult hold to any stance that </w:t>
      </w:r>
      <w:r w:rsidR="007B6A4F" w:rsidRPr="00A87246">
        <w:rPr>
          <w:rFonts w:ascii="Times New Roman" w:hAnsi="Times New Roman" w:cs="Times New Roman"/>
          <w:sz w:val="24"/>
          <w:szCs w:val="24"/>
        </w:rPr>
        <w:t>argued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for the complete authority of the sunna.</w:t>
      </w:r>
    </w:p>
    <w:p w14:paraId="3DCE7EB4" w14:textId="77777777" w:rsidR="0088488A" w:rsidRPr="00A87246" w:rsidRDefault="00DF2531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246">
        <w:rPr>
          <w:rFonts w:ascii="Times New Roman" w:hAnsi="Times New Roman" w:cs="Times New Roman"/>
          <w:sz w:val="24"/>
          <w:szCs w:val="24"/>
        </w:rPr>
        <w:t xml:space="preserve">The ideas of the sufficiency of the </w:t>
      </w:r>
      <w:r w:rsidR="003B18A9" w:rsidRPr="00A87246">
        <w:rPr>
          <w:rFonts w:ascii="Times New Roman" w:hAnsi="Times New Roman" w:cs="Times New Roman"/>
          <w:sz w:val="24"/>
          <w:szCs w:val="24"/>
        </w:rPr>
        <w:t xml:space="preserve">Qurʿān </w:t>
      </w:r>
      <w:r w:rsidRPr="00A87246">
        <w:rPr>
          <w:rFonts w:ascii="Times New Roman" w:hAnsi="Times New Roman" w:cs="Times New Roman"/>
          <w:sz w:val="24"/>
          <w:szCs w:val="24"/>
        </w:rPr>
        <w:t xml:space="preserve">took hold with later thinkers like Aslam Jaryajpuri and Ghulam Ahmad Parwez.  They developed the idea </w:t>
      </w:r>
      <w:r w:rsidR="000C7483" w:rsidRPr="00A87246">
        <w:rPr>
          <w:rFonts w:ascii="Times New Roman" w:hAnsi="Times New Roman" w:cs="Times New Roman"/>
          <w:sz w:val="24"/>
          <w:szCs w:val="24"/>
        </w:rPr>
        <w:t>of</w:t>
      </w:r>
      <w:r w:rsidRPr="00A87246">
        <w:rPr>
          <w:rFonts w:ascii="Times New Roman" w:hAnsi="Times New Roman" w:cs="Times New Roman"/>
          <w:sz w:val="24"/>
          <w:szCs w:val="24"/>
        </w:rPr>
        <w:t xml:space="preserve"> distinguishing between whether Muhammed was acting in the ‘transmission of revelation’</w:t>
      </w:r>
      <w:r w:rsidR="00A50A1E" w:rsidRPr="00A87246">
        <w:rPr>
          <w:rFonts w:ascii="Times New Roman" w:hAnsi="Times New Roman" w:cs="Times New Roman"/>
          <w:sz w:val="24"/>
          <w:szCs w:val="24"/>
        </w:rPr>
        <w:t>,</w:t>
      </w:r>
      <w:r w:rsidRPr="00A87246">
        <w:rPr>
          <w:rFonts w:ascii="Times New Roman" w:hAnsi="Times New Roman" w:cs="Times New Roman"/>
          <w:sz w:val="24"/>
          <w:szCs w:val="24"/>
        </w:rPr>
        <w:t xml:space="preserve"> </w:t>
      </w:r>
      <w:r w:rsidR="00D72CBD" w:rsidRPr="00A87246">
        <w:rPr>
          <w:rFonts w:ascii="Times New Roman" w:hAnsi="Times New Roman" w:cs="Times New Roman"/>
          <w:sz w:val="24"/>
          <w:szCs w:val="24"/>
        </w:rPr>
        <w:t>in which he was protected from error, or in his human capacity.</w:t>
      </w:r>
      <w:r w:rsidR="00043996"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D72CBD" w:rsidRPr="00A87246">
        <w:rPr>
          <w:rFonts w:ascii="Times New Roman" w:hAnsi="Times New Roman" w:cs="Times New Roman"/>
          <w:sz w:val="24"/>
          <w:szCs w:val="24"/>
        </w:rPr>
        <w:t xml:space="preserve"> This </w:t>
      </w:r>
      <w:r w:rsidRPr="00A87246">
        <w:rPr>
          <w:rFonts w:ascii="Times New Roman" w:hAnsi="Times New Roman" w:cs="Times New Roman"/>
          <w:sz w:val="24"/>
          <w:szCs w:val="24"/>
        </w:rPr>
        <w:t xml:space="preserve">helped delineate which aspects of his </w:t>
      </w:r>
      <w:r w:rsidR="008C05CD" w:rsidRPr="00A87246">
        <w:rPr>
          <w:rFonts w:ascii="Times New Roman" w:hAnsi="Times New Roman" w:cs="Times New Roman"/>
          <w:sz w:val="24"/>
          <w:szCs w:val="24"/>
        </w:rPr>
        <w:t>P</w:t>
      </w:r>
      <w:r w:rsidRPr="00A87246">
        <w:rPr>
          <w:rFonts w:ascii="Times New Roman" w:hAnsi="Times New Roman" w:cs="Times New Roman"/>
          <w:sz w:val="24"/>
          <w:szCs w:val="24"/>
        </w:rPr>
        <w:t xml:space="preserve">rophetic legacy were authoritative. This is </w:t>
      </w:r>
      <w:r w:rsidR="00347AED" w:rsidRPr="00A87246">
        <w:rPr>
          <w:rFonts w:ascii="Times New Roman" w:hAnsi="Times New Roman" w:cs="Times New Roman"/>
          <w:sz w:val="24"/>
          <w:szCs w:val="24"/>
        </w:rPr>
        <w:t>resonant with</w:t>
      </w:r>
      <w:r w:rsidRPr="00A87246">
        <w:rPr>
          <w:rFonts w:ascii="Times New Roman" w:hAnsi="Times New Roman" w:cs="Times New Roman"/>
          <w:sz w:val="24"/>
          <w:szCs w:val="24"/>
        </w:rPr>
        <w:t xml:space="preserve"> Christian arguments in the centuries after </w:t>
      </w:r>
      <w:r w:rsidR="00347AED" w:rsidRPr="00A87246">
        <w:rPr>
          <w:rFonts w:ascii="Times New Roman" w:hAnsi="Times New Roman" w:cs="Times New Roman"/>
          <w:sz w:val="24"/>
          <w:szCs w:val="24"/>
        </w:rPr>
        <w:t xml:space="preserve">Jesus’ </w:t>
      </w:r>
      <w:r w:rsidRPr="00A87246">
        <w:rPr>
          <w:rFonts w:ascii="Times New Roman" w:hAnsi="Times New Roman" w:cs="Times New Roman"/>
          <w:sz w:val="24"/>
          <w:szCs w:val="24"/>
        </w:rPr>
        <w:t>death, that sought to determine how Jesus could be both fully God and fully man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– a </w:t>
      </w:r>
      <w:r w:rsidRPr="00A87246">
        <w:rPr>
          <w:rFonts w:ascii="Times New Roman" w:hAnsi="Times New Roman" w:cs="Times New Roman"/>
          <w:sz w:val="24"/>
          <w:szCs w:val="24"/>
        </w:rPr>
        <w:t>debate that was</w:t>
      </w:r>
      <w:r w:rsidR="00347AED" w:rsidRPr="00A87246">
        <w:rPr>
          <w:rFonts w:ascii="Times New Roman" w:hAnsi="Times New Roman" w:cs="Times New Roman"/>
          <w:sz w:val="24"/>
          <w:szCs w:val="24"/>
        </w:rPr>
        <w:t xml:space="preserve"> ultimately</w:t>
      </w:r>
      <w:r w:rsidRPr="00A87246">
        <w:rPr>
          <w:rFonts w:ascii="Times New Roman" w:hAnsi="Times New Roman" w:cs="Times New Roman"/>
          <w:sz w:val="24"/>
          <w:szCs w:val="24"/>
        </w:rPr>
        <w:t xml:space="preserve"> resolved </w:t>
      </w:r>
      <w:r w:rsidR="00347AED" w:rsidRPr="00A87246">
        <w:rPr>
          <w:rFonts w:ascii="Times New Roman" w:hAnsi="Times New Roman" w:cs="Times New Roman"/>
          <w:sz w:val="24"/>
          <w:szCs w:val="24"/>
        </w:rPr>
        <w:t>at</w:t>
      </w:r>
      <w:r w:rsidRPr="00A87246">
        <w:rPr>
          <w:rFonts w:ascii="Times New Roman" w:hAnsi="Times New Roman" w:cs="Times New Roman"/>
          <w:sz w:val="24"/>
          <w:szCs w:val="24"/>
        </w:rPr>
        <w:t xml:space="preserve"> the Council of </w:t>
      </w:r>
      <w:r w:rsidR="006B6D9F" w:rsidRPr="00A87246">
        <w:rPr>
          <w:rFonts w:ascii="Times New Roman" w:hAnsi="Times New Roman" w:cs="Times New Roman"/>
          <w:sz w:val="24"/>
          <w:szCs w:val="24"/>
        </w:rPr>
        <w:t>Nicaea</w:t>
      </w:r>
      <w:r w:rsidR="00347AED" w:rsidRPr="00A87246">
        <w:rPr>
          <w:rFonts w:ascii="Times New Roman" w:hAnsi="Times New Roman" w:cs="Times New Roman"/>
          <w:sz w:val="24"/>
          <w:szCs w:val="24"/>
        </w:rPr>
        <w:t>.</w:t>
      </w:r>
      <w:r w:rsidR="00347AED" w:rsidRPr="00A87246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</w:p>
    <w:p w14:paraId="0C4C747A" w14:textId="3FF4ED75" w:rsidR="00DF2531" w:rsidRDefault="006B6D9F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87246">
        <w:rPr>
          <w:rFonts w:ascii="Times New Roman" w:hAnsi="Times New Roman" w:cs="Times New Roman"/>
          <w:sz w:val="24"/>
          <w:szCs w:val="24"/>
        </w:rPr>
        <w:t>Usmānī</w:t>
      </w:r>
      <w:r w:rsidR="00043996" w:rsidRPr="00A87246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043996" w:rsidRPr="00A87246">
        <w:rPr>
          <w:rFonts w:ascii="Times New Roman" w:hAnsi="Times New Roman" w:cs="Times New Roman"/>
          <w:sz w:val="24"/>
          <w:szCs w:val="24"/>
        </w:rPr>
        <w:t xml:space="preserve"> argument, that </w:t>
      </w:r>
      <w:r w:rsidR="004A66B4" w:rsidRPr="00A87246">
        <w:rPr>
          <w:rFonts w:ascii="Times New Roman" w:hAnsi="Times New Roman" w:cs="Times New Roman"/>
          <w:sz w:val="24"/>
          <w:szCs w:val="24"/>
        </w:rPr>
        <w:t>challenges to complete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Prophetic authority are a ‘Western’ idea, is without foundation. Muslims</w:t>
      </w:r>
      <w:r w:rsidR="004A66B4" w:rsidRPr="00A87246">
        <w:rPr>
          <w:rFonts w:ascii="Times New Roman" w:hAnsi="Times New Roman" w:cs="Times New Roman"/>
          <w:sz w:val="24"/>
          <w:szCs w:val="24"/>
        </w:rPr>
        <w:t xml:space="preserve"> in modern settings and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operating outside of </w:t>
      </w:r>
      <w:r w:rsidR="000B5EE1" w:rsidRPr="00A87246">
        <w:rPr>
          <w:rFonts w:ascii="Times New Roman" w:hAnsi="Times New Roman" w:cs="Times New Roman"/>
          <w:sz w:val="24"/>
          <w:szCs w:val="24"/>
        </w:rPr>
        <w:t>a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Western context</w:t>
      </w:r>
      <w:r w:rsidR="004A66B4" w:rsidRPr="00A87246">
        <w:rPr>
          <w:rFonts w:ascii="Times New Roman" w:hAnsi="Times New Roman" w:cs="Times New Roman"/>
          <w:sz w:val="24"/>
          <w:szCs w:val="24"/>
        </w:rPr>
        <w:t>,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have 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also 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sought such a distinction on grounds of theology and pragmatism. </w:t>
      </w:r>
      <w:r w:rsidR="000C7483" w:rsidRPr="00A87246">
        <w:rPr>
          <w:rFonts w:ascii="Times New Roman" w:hAnsi="Times New Roman" w:cs="Times New Roman"/>
          <w:sz w:val="24"/>
          <w:szCs w:val="24"/>
        </w:rPr>
        <w:t>On t</w:t>
      </w:r>
      <w:r w:rsidR="004A66B4" w:rsidRPr="00A87246">
        <w:rPr>
          <w:rFonts w:ascii="Times New Roman" w:hAnsi="Times New Roman" w:cs="Times New Roman"/>
          <w:sz w:val="24"/>
          <w:szCs w:val="24"/>
        </w:rPr>
        <w:t>heology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, </w:t>
      </w:r>
      <w:r w:rsidR="004A66B4" w:rsidRPr="00A87246">
        <w:rPr>
          <w:rFonts w:ascii="Times New Roman" w:hAnsi="Times New Roman" w:cs="Times New Roman"/>
          <w:sz w:val="24"/>
          <w:szCs w:val="24"/>
        </w:rPr>
        <w:t xml:space="preserve">since 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careful attention to the classical sources make arguments for infallibility difficult to hold.  Pragmatically, 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because </w:t>
      </w:r>
      <w:r w:rsidR="004A66B4" w:rsidRPr="00A87246">
        <w:rPr>
          <w:rFonts w:ascii="Times New Roman" w:hAnsi="Times New Roman" w:cs="Times New Roman"/>
          <w:sz w:val="24"/>
          <w:szCs w:val="24"/>
        </w:rPr>
        <w:t>t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="00043996" w:rsidRPr="00A87246">
        <w:rPr>
          <w:rFonts w:ascii="Times New Roman" w:hAnsi="Times New Roman" w:cs="Times New Roman"/>
          <w:sz w:val="24"/>
          <w:szCs w:val="24"/>
        </w:rPr>
        <w:t>Ahl-i</w:t>
      </w:r>
      <w:proofErr w:type="spellEnd"/>
      <w:r w:rsidR="00043996" w:rsidRPr="00A87246">
        <w:rPr>
          <w:rFonts w:ascii="Times New Roman" w:hAnsi="Times New Roman" w:cs="Times New Roman"/>
          <w:sz w:val="24"/>
          <w:szCs w:val="24"/>
        </w:rPr>
        <w:t>-</w:t>
      </w:r>
      <w:r w:rsidR="003B18A9" w:rsidRPr="00A87246">
        <w:rPr>
          <w:rFonts w:ascii="Times New Roman" w:hAnsi="Times New Roman" w:cs="Times New Roman"/>
          <w:sz w:val="24"/>
          <w:szCs w:val="24"/>
        </w:rPr>
        <w:t xml:space="preserve"> Qurʿān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demonstrated that the lack of attention given to how Prophetic precedents should be recorded and preserved, make any authority they</w:t>
      </w:r>
      <w:r w:rsidR="000C7483" w:rsidRPr="00A87246">
        <w:rPr>
          <w:rFonts w:ascii="Times New Roman" w:hAnsi="Times New Roman" w:cs="Times New Roman"/>
          <w:sz w:val="24"/>
          <w:szCs w:val="24"/>
        </w:rPr>
        <w:t xml:space="preserve"> may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hold</w:t>
      </w:r>
      <w:r w:rsidR="00EF3740" w:rsidRPr="00A87246">
        <w:rPr>
          <w:rFonts w:ascii="Times New Roman" w:hAnsi="Times New Roman" w:cs="Times New Roman"/>
          <w:sz w:val="24"/>
          <w:szCs w:val="24"/>
        </w:rPr>
        <w:t>,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binding </w:t>
      </w:r>
      <w:r w:rsidR="00EF3740" w:rsidRPr="00A87246">
        <w:rPr>
          <w:rFonts w:ascii="Times New Roman" w:hAnsi="Times New Roman" w:cs="Times New Roman"/>
          <w:sz w:val="24"/>
          <w:szCs w:val="24"/>
        </w:rPr>
        <w:t xml:space="preserve">only </w:t>
      </w:r>
      <w:r w:rsidR="00043996" w:rsidRPr="00A87246">
        <w:rPr>
          <w:rFonts w:ascii="Times New Roman" w:hAnsi="Times New Roman" w:cs="Times New Roman"/>
          <w:sz w:val="24"/>
          <w:szCs w:val="24"/>
        </w:rPr>
        <w:t>on the first generation of Muslims.  Later scholar</w:t>
      </w:r>
      <w:r w:rsidR="00EF3740" w:rsidRPr="00A87246">
        <w:rPr>
          <w:rFonts w:ascii="Times New Roman" w:hAnsi="Times New Roman" w:cs="Times New Roman"/>
          <w:sz w:val="24"/>
          <w:szCs w:val="24"/>
        </w:rPr>
        <w:t>s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 held that the Prophetic </w:t>
      </w:r>
      <w:r w:rsidR="000B5EE1" w:rsidRPr="00A87246">
        <w:rPr>
          <w:rFonts w:ascii="Times New Roman" w:hAnsi="Times New Roman" w:cs="Times New Roman"/>
          <w:sz w:val="24"/>
          <w:szCs w:val="24"/>
        </w:rPr>
        <w:t xml:space="preserve">authority and </w:t>
      </w:r>
      <w:r w:rsidR="00043996" w:rsidRPr="00A87246">
        <w:rPr>
          <w:rFonts w:ascii="Times New Roman" w:hAnsi="Times New Roman" w:cs="Times New Roman"/>
          <w:sz w:val="24"/>
          <w:szCs w:val="24"/>
        </w:rPr>
        <w:t xml:space="preserve">witness was only free from error when it concerned </w:t>
      </w:r>
      <w:proofErr w:type="spellStart"/>
      <w:r w:rsidR="003B18A9" w:rsidRPr="00A87246">
        <w:rPr>
          <w:rFonts w:ascii="Times New Roman" w:hAnsi="Times New Roman" w:cs="Times New Roman"/>
          <w:sz w:val="24"/>
          <w:szCs w:val="24"/>
        </w:rPr>
        <w:t>Qurʿān</w:t>
      </w:r>
      <w:r w:rsidR="00043996" w:rsidRPr="00A87246">
        <w:rPr>
          <w:rFonts w:ascii="Times New Roman" w:hAnsi="Times New Roman" w:cs="Times New Roman"/>
          <w:sz w:val="24"/>
          <w:szCs w:val="24"/>
        </w:rPr>
        <w:t>ic</w:t>
      </w:r>
      <w:proofErr w:type="spellEnd"/>
      <w:r w:rsidR="00043996" w:rsidRPr="00A87246">
        <w:rPr>
          <w:rFonts w:ascii="Times New Roman" w:hAnsi="Times New Roman" w:cs="Times New Roman"/>
          <w:sz w:val="24"/>
          <w:szCs w:val="24"/>
        </w:rPr>
        <w:t xml:space="preserve"> revelation</w:t>
      </w:r>
      <w:r w:rsidR="004A66B4" w:rsidRPr="00A87246">
        <w:rPr>
          <w:rFonts w:ascii="Times New Roman" w:hAnsi="Times New Roman" w:cs="Times New Roman"/>
          <w:sz w:val="24"/>
          <w:szCs w:val="24"/>
        </w:rPr>
        <w:t xml:space="preserve">. </w:t>
      </w:r>
      <w:r w:rsidR="00EF3740" w:rsidRPr="00A87246">
        <w:rPr>
          <w:rFonts w:ascii="Times New Roman" w:hAnsi="Times New Roman" w:cs="Times New Roman"/>
          <w:sz w:val="24"/>
          <w:szCs w:val="24"/>
        </w:rPr>
        <w:t xml:space="preserve">Finally, it has been demonstrated the sunna </w:t>
      </w:r>
      <w:r w:rsidR="00713A92" w:rsidRPr="00A87246">
        <w:rPr>
          <w:rFonts w:ascii="Times New Roman" w:hAnsi="Times New Roman" w:cs="Times New Roman"/>
          <w:sz w:val="24"/>
          <w:szCs w:val="24"/>
        </w:rPr>
        <w:t xml:space="preserve">cannot be said to a complete authority since it </w:t>
      </w:r>
      <w:r w:rsidR="00EF3740" w:rsidRPr="00A87246">
        <w:rPr>
          <w:rFonts w:ascii="Times New Roman" w:hAnsi="Times New Roman" w:cs="Times New Roman"/>
          <w:sz w:val="24"/>
          <w:szCs w:val="24"/>
        </w:rPr>
        <w:t>is an intangible objective depend</w:t>
      </w:r>
      <w:r w:rsidR="000C7483" w:rsidRPr="00A87246">
        <w:rPr>
          <w:rFonts w:ascii="Times New Roman" w:hAnsi="Times New Roman" w:cs="Times New Roman"/>
          <w:sz w:val="24"/>
          <w:szCs w:val="24"/>
        </w:rPr>
        <w:t>e</w:t>
      </w:r>
      <w:r w:rsidR="00EF3740" w:rsidRPr="00A87246">
        <w:rPr>
          <w:rFonts w:ascii="Times New Roman" w:hAnsi="Times New Roman" w:cs="Times New Roman"/>
          <w:sz w:val="24"/>
          <w:szCs w:val="24"/>
        </w:rPr>
        <w:t xml:space="preserve">nt on the hadith literature, which is itself fragmentary. </w:t>
      </w:r>
    </w:p>
    <w:p w14:paraId="32466DB5" w14:textId="52EB882D" w:rsidR="00A87246" w:rsidRDefault="00A872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79D98C6" w14:textId="320747DF" w:rsidR="00BB59C9" w:rsidRPr="00BB59C9" w:rsidRDefault="00BB59C9" w:rsidP="00BB59C9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lastRenderedPageBreak/>
        <w:t>Bibliography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br/>
      </w:r>
    </w:p>
    <w:p w14:paraId="79DF883C" w14:textId="63A556D2" w:rsidR="00BB59C9" w:rsidRP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Brown, Daniel W. </w:t>
      </w:r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A New Introduction To Islam</w:t>
      </w: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3rd ed. Oxford: Wiley Blackwell, 2017.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</w:r>
    </w:p>
    <w:p w14:paraId="637E355E" w14:textId="59009872" w:rsidR="00BB59C9" w:rsidRP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Brown, Daniel. </w:t>
      </w:r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Rethinking Tradition In Modern Islamic Thought</w:t>
      </w: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New York: Cambridge, 1998.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</w:r>
    </w:p>
    <w:p w14:paraId="7BD23674" w14:textId="06E5254F" w:rsidR="00BB59C9" w:rsidRP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Brown, Jonathan A. C. </w:t>
      </w:r>
      <w:proofErr w:type="gramStart"/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Hadith :</w:t>
      </w:r>
      <w:proofErr w:type="gramEnd"/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 Muhammad's Legacy In The Medieval And Modern World</w:t>
      </w: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Oxford: Oneworld Publications, 2018.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</w:r>
    </w:p>
    <w:p w14:paraId="24DA9737" w14:textId="1FD4FDA6" w:rsidR="00BB59C9" w:rsidRP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Glasse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́, Cyril. </w:t>
      </w:r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The Concise Encyclopaedia Of Islam</w:t>
      </w: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London: Stacey International, 2008.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</w:r>
    </w:p>
    <w:p w14:paraId="0C587F9B" w14:textId="49139AC0" w:rsidR="00BB59C9" w:rsidRP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McGrath, Alister E. </w:t>
      </w:r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Christian Theology</w:t>
      </w: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Chichester: Wiley-Blackwell, 2011.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</w:r>
    </w:p>
    <w:p w14:paraId="12AAD775" w14:textId="1024A29A" w:rsidR="00BB59C9" w:rsidRP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Qaraḍāwi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̄, </w:t>
      </w: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Yūsuf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 </w:t>
      </w:r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The Lawful And The Prohibited In Islam</w:t>
      </w: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. Kuala Lumpur: Dar Al </w:t>
      </w: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Taqwa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 Ltd., 2011.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</w:r>
    </w:p>
    <w:p w14:paraId="3F1852EF" w14:textId="687EA22B" w:rsidR="00BB59C9" w:rsidRP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Riz̤vi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̄, </w:t>
      </w: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Sayyid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 </w:t>
      </w: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Saʻīd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 </w:t>
      </w: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Ak̲h̲tar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 </w:t>
      </w:r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The Qur'an &amp; Hadith</w:t>
      </w: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Beirut: Imam Hussain Foundation, 1996.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</w:r>
    </w:p>
    <w:p w14:paraId="67D26F3B" w14:textId="5D203C9D" w:rsid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BB59C9">
        <w:rPr>
          <w:rFonts w:ascii="Times New Roman" w:hAnsi="Times New Roman" w:cs="Times New Roman"/>
          <w:sz w:val="27"/>
          <w:szCs w:val="27"/>
        </w:rPr>
        <w:t xml:space="preserve">Usmani, </w:t>
      </w:r>
      <w:r>
        <w:rPr>
          <w:rFonts w:ascii="Times New Roman" w:hAnsi="Times New Roman" w:cs="Times New Roman"/>
          <w:sz w:val="27"/>
          <w:szCs w:val="27"/>
        </w:rPr>
        <w:t xml:space="preserve">Muhammad, </w:t>
      </w:r>
      <w:r w:rsidRPr="00BB59C9">
        <w:rPr>
          <w:rFonts w:ascii="Times New Roman" w:hAnsi="Times New Roman" w:cs="Times New Roman"/>
          <w:i/>
          <w:sz w:val="27"/>
          <w:szCs w:val="27"/>
        </w:rPr>
        <w:t>“The Authority of the Prophet”,</w:t>
      </w:r>
      <w:r w:rsidRPr="00BB59C9">
        <w:rPr>
          <w:rFonts w:ascii="Times New Roman" w:hAnsi="Times New Roman" w:cs="Times New Roman"/>
          <w:sz w:val="27"/>
          <w:szCs w:val="27"/>
        </w:rPr>
        <w:t xml:space="preserve"> The Gulf Times, December 5, 2014.</w:t>
      </w:r>
      <w:r>
        <w:rPr>
          <w:rFonts w:ascii="Times New Roman" w:hAnsi="Times New Roman" w:cs="Times New Roman"/>
          <w:sz w:val="27"/>
          <w:szCs w:val="27"/>
        </w:rPr>
        <w:br/>
      </w:r>
    </w:p>
    <w:p w14:paraId="6192D0DA" w14:textId="434FCF59" w:rsidR="00BB59C9" w:rsidRPr="00BB59C9" w:rsidRDefault="00BB59C9" w:rsidP="00BB59C9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Usmānī, Muhammad Taqī. </w:t>
      </w:r>
      <w:r w:rsidRPr="00BB59C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The Authority Of Sunnah</w:t>
      </w:r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. New Delhi: Kitab </w:t>
      </w:r>
      <w:proofErr w:type="spellStart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Bhavan</w:t>
      </w:r>
      <w:proofErr w:type="spellEnd"/>
      <w:r w:rsidRPr="00BB59C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, 2009.</w:t>
      </w:r>
    </w:p>
    <w:p w14:paraId="30D414DE" w14:textId="77777777" w:rsidR="00A87246" w:rsidRPr="00A87246" w:rsidRDefault="00A87246" w:rsidP="008848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87246" w:rsidRPr="00A87246" w:rsidSect="00630E8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D16E2" w14:textId="77777777" w:rsidR="000C1113" w:rsidRDefault="000C1113" w:rsidP="008A432E">
      <w:pPr>
        <w:spacing w:after="0" w:line="240" w:lineRule="auto"/>
      </w:pPr>
      <w:r>
        <w:separator/>
      </w:r>
    </w:p>
  </w:endnote>
  <w:endnote w:type="continuationSeparator" w:id="0">
    <w:p w14:paraId="48924BC1" w14:textId="77777777" w:rsidR="000C1113" w:rsidRDefault="000C1113" w:rsidP="008A4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F79BA1" w14:textId="77777777" w:rsidR="000C1113" w:rsidRDefault="000C1113" w:rsidP="008A432E">
      <w:pPr>
        <w:spacing w:after="0" w:line="240" w:lineRule="auto"/>
      </w:pPr>
      <w:r>
        <w:separator/>
      </w:r>
    </w:p>
  </w:footnote>
  <w:footnote w:type="continuationSeparator" w:id="0">
    <w:p w14:paraId="20A78DC8" w14:textId="77777777" w:rsidR="000C1113" w:rsidRDefault="000C1113" w:rsidP="008A432E">
      <w:pPr>
        <w:spacing w:after="0" w:line="240" w:lineRule="auto"/>
      </w:pPr>
      <w:r>
        <w:continuationSeparator/>
      </w:r>
    </w:p>
  </w:footnote>
  <w:footnote w:id="1">
    <w:p w14:paraId="0F4F4308" w14:textId="0FEE7F5A" w:rsidR="008A432E" w:rsidRDefault="008A43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A432E">
        <w:t xml:space="preserve">Cyril Glassé, </w:t>
      </w:r>
      <w:r w:rsidRPr="008A432E">
        <w:rPr>
          <w:i/>
        </w:rPr>
        <w:t>The Concise Encyclopaedia Of Islam</w:t>
      </w:r>
      <w:r w:rsidRPr="008A432E">
        <w:t xml:space="preserve"> (London: Stacey International, 2008)</w:t>
      </w:r>
      <w:r>
        <w:t>, 504.</w:t>
      </w:r>
    </w:p>
  </w:footnote>
  <w:footnote w:id="2">
    <w:p w14:paraId="561F8E2E" w14:textId="396597F2" w:rsidR="00664936" w:rsidRDefault="00664936">
      <w:pPr>
        <w:pStyle w:val="FootnoteText"/>
      </w:pPr>
      <w:r>
        <w:rPr>
          <w:rStyle w:val="FootnoteReference"/>
        </w:rPr>
        <w:footnoteRef/>
      </w:r>
      <w:r>
        <w:t xml:space="preserve"> Muhmmad Usmani, “The Authority of the Prophet”, The Gulf Times, December 5, 2014.</w:t>
      </w:r>
    </w:p>
  </w:footnote>
  <w:footnote w:id="3">
    <w:p w14:paraId="3F26182C" w14:textId="65F5A197" w:rsidR="002560DA" w:rsidRDefault="002560D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26A27" w:rsidRPr="00526A27">
        <w:t xml:space="preserve">Muhammad Taqī Usmānī, </w:t>
      </w:r>
      <w:r w:rsidR="00526A27" w:rsidRPr="00526A27">
        <w:rPr>
          <w:i/>
        </w:rPr>
        <w:t>The Authority Of Sunnah</w:t>
      </w:r>
      <w:r w:rsidR="00526A27" w:rsidRPr="00526A27">
        <w:t xml:space="preserve"> (New Delhi: Kitab Bhavan, 2009)</w:t>
      </w:r>
      <w:r w:rsidR="00526A27">
        <w:t>, 27.</w:t>
      </w:r>
    </w:p>
  </w:footnote>
  <w:footnote w:id="4">
    <w:p w14:paraId="3ADF9DC6" w14:textId="2DF170CE" w:rsidR="00630E8B" w:rsidRDefault="00630E8B">
      <w:pPr>
        <w:pStyle w:val="FootnoteText"/>
      </w:pPr>
      <w:r>
        <w:rPr>
          <w:rStyle w:val="FootnoteReference"/>
        </w:rPr>
        <w:footnoteRef/>
      </w:r>
      <w:r>
        <w:t xml:space="preserve"> Ibid, 26. </w:t>
      </w:r>
    </w:p>
  </w:footnote>
  <w:footnote w:id="5">
    <w:p w14:paraId="7FB2F47A" w14:textId="072E6047" w:rsidR="00DF2531" w:rsidRDefault="00DF25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25AE4">
        <w:t xml:space="preserve">Daniel Brown, </w:t>
      </w:r>
      <w:r w:rsidRPr="00425AE4">
        <w:rPr>
          <w:i/>
        </w:rPr>
        <w:t>Rethinking Tradition In Modern Islamic Thought</w:t>
      </w:r>
      <w:r w:rsidRPr="00425AE4">
        <w:t xml:space="preserve"> (New York: Cambridge, 1998)</w:t>
      </w:r>
      <w:r>
        <w:t>,38.</w:t>
      </w:r>
    </w:p>
  </w:footnote>
  <w:footnote w:id="6">
    <w:p w14:paraId="486CB66B" w14:textId="2076FFBC" w:rsidR="00425AE4" w:rsidRDefault="00425A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25AE4">
        <w:t xml:space="preserve">Brown, </w:t>
      </w:r>
      <w:r w:rsidRPr="00425AE4">
        <w:rPr>
          <w:i/>
        </w:rPr>
        <w:t>Rethinking Tradition</w:t>
      </w:r>
      <w:r w:rsidR="00DF2531">
        <w:rPr>
          <w:i/>
        </w:rPr>
        <w:t xml:space="preserve">, </w:t>
      </w:r>
      <w:r>
        <w:t>61.</w:t>
      </w:r>
    </w:p>
  </w:footnote>
  <w:footnote w:id="7">
    <w:p w14:paraId="12F2210F" w14:textId="58756F16" w:rsidR="008F279D" w:rsidRDefault="008F27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42494">
        <w:t xml:space="preserve">Sahih Bukhari, </w:t>
      </w:r>
      <w:r w:rsidR="00242494" w:rsidRPr="00242494">
        <w:t>Volume 8, Book 75, Number 319</w:t>
      </w:r>
      <w:r w:rsidR="00242494">
        <w:t xml:space="preserve">. </w:t>
      </w:r>
      <w:r w:rsidR="00242494" w:rsidRPr="00242494">
        <w:t>http://cmje.usc.edu/religious-texts/hadith/bukhari/075-sbt.php</w:t>
      </w:r>
    </w:p>
  </w:footnote>
  <w:footnote w:id="8">
    <w:p w14:paraId="75429C1B" w14:textId="28BBB474" w:rsidR="0042113C" w:rsidRDefault="004211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25AE4">
        <w:t xml:space="preserve">Brown, </w:t>
      </w:r>
      <w:r w:rsidRPr="00425AE4">
        <w:rPr>
          <w:i/>
        </w:rPr>
        <w:t>Rethinking Tradition</w:t>
      </w:r>
      <w:r>
        <w:rPr>
          <w:i/>
        </w:rPr>
        <w:t xml:space="preserve">, </w:t>
      </w:r>
      <w:r w:rsidRPr="0042113C">
        <w:t>70.</w:t>
      </w:r>
    </w:p>
  </w:footnote>
  <w:footnote w:id="9">
    <w:p w14:paraId="7C10EFA9" w14:textId="0D305388" w:rsidR="00425AE4" w:rsidRDefault="00425AE4">
      <w:pPr>
        <w:pStyle w:val="FootnoteText"/>
      </w:pPr>
      <w:r>
        <w:rPr>
          <w:rStyle w:val="FootnoteReference"/>
        </w:rPr>
        <w:footnoteRef/>
      </w:r>
      <w:r>
        <w:t xml:space="preserve"> Ibid, 63 </w:t>
      </w:r>
    </w:p>
  </w:footnote>
  <w:footnote w:id="10">
    <w:p w14:paraId="6B61E7F9" w14:textId="578A81F3" w:rsidR="00DF2531" w:rsidRDefault="00DF2531">
      <w:pPr>
        <w:pStyle w:val="FootnoteText"/>
      </w:pPr>
      <w:r>
        <w:rPr>
          <w:rStyle w:val="FootnoteReference"/>
        </w:rPr>
        <w:footnoteRef/>
      </w:r>
      <w:r>
        <w:t xml:space="preserve"> Ibid, 67. </w:t>
      </w:r>
    </w:p>
  </w:footnote>
  <w:footnote w:id="11">
    <w:p w14:paraId="36B5B156" w14:textId="48DB2679" w:rsidR="00A50A1E" w:rsidRDefault="00A50A1E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12">
    <w:p w14:paraId="113DFEF3" w14:textId="2C94267C" w:rsidR="004A66B4" w:rsidRDefault="004A66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A66B4">
        <w:t xml:space="preserve">Daniel W Brown, </w:t>
      </w:r>
      <w:r w:rsidRPr="004A66B4">
        <w:rPr>
          <w:i/>
        </w:rPr>
        <w:t>A New Introduction To Islam,</w:t>
      </w:r>
      <w:r w:rsidRPr="004A66B4">
        <w:t xml:space="preserve"> 3rd ed. (Oxford: Wiley Blackwell, 2017)</w:t>
      </w:r>
      <w:r>
        <w:t>, 117-118.</w:t>
      </w:r>
    </w:p>
  </w:footnote>
  <w:footnote w:id="13">
    <w:p w14:paraId="759E904C" w14:textId="39604E0C" w:rsidR="00043996" w:rsidRDefault="000439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F3740" w:rsidRPr="00EF3740">
        <w:t>Sayyid Saʻīd Ak̲h̲tar Riz̤vī, </w:t>
      </w:r>
      <w:r w:rsidR="00EF3740" w:rsidRPr="00EF3740">
        <w:rPr>
          <w:i/>
          <w:iCs/>
        </w:rPr>
        <w:t>The Qur'an &amp; Hadith</w:t>
      </w:r>
      <w:r w:rsidR="00EF3740" w:rsidRPr="00EF3740">
        <w:t> (Beirut: Imam Hussain Foundation, 1996)</w:t>
      </w:r>
      <w:r w:rsidR="00EF3740">
        <w:t>, 62.</w:t>
      </w:r>
    </w:p>
  </w:footnote>
  <w:footnote w:id="14">
    <w:p w14:paraId="0BC3CBDD" w14:textId="66AC756C" w:rsidR="00043996" w:rsidRDefault="00043996">
      <w:pPr>
        <w:pStyle w:val="FootnoteText"/>
      </w:pPr>
      <w:r>
        <w:rPr>
          <w:rStyle w:val="FootnoteReference"/>
        </w:rPr>
        <w:footnoteRef/>
      </w:r>
      <w:r>
        <w:t xml:space="preserve"> Brown, </w:t>
      </w:r>
      <w:r w:rsidRPr="00043996">
        <w:rPr>
          <w:i/>
        </w:rPr>
        <w:t>Rethinking Tradition</w:t>
      </w:r>
      <w:r>
        <w:t>, 72.</w:t>
      </w:r>
    </w:p>
  </w:footnote>
  <w:footnote w:id="15">
    <w:p w14:paraId="1234B476" w14:textId="44E36E77" w:rsidR="00347AED" w:rsidRDefault="00347A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47AED">
        <w:t xml:space="preserve">Alister E McGrath, </w:t>
      </w:r>
      <w:r w:rsidRPr="00347AED">
        <w:rPr>
          <w:i/>
        </w:rPr>
        <w:t>Christian Theology</w:t>
      </w:r>
      <w:r w:rsidRPr="00347AED">
        <w:t xml:space="preserve"> (Chichester: Wiley-Blackwell, 2011)</w:t>
      </w:r>
      <w:r>
        <w:t>, 47-49.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E2MbAwMzc1NrG0NDBS0lEKTi0uzszPAykwNK4FAGt3GaktAAAA"/>
  </w:docVars>
  <w:rsids>
    <w:rsidRoot w:val="0044262A"/>
    <w:rsid w:val="00013F2C"/>
    <w:rsid w:val="00043996"/>
    <w:rsid w:val="000B5EE1"/>
    <w:rsid w:val="000C1113"/>
    <w:rsid w:val="000C7483"/>
    <w:rsid w:val="000D2F55"/>
    <w:rsid w:val="000E570A"/>
    <w:rsid w:val="00242494"/>
    <w:rsid w:val="002560DA"/>
    <w:rsid w:val="002A32F1"/>
    <w:rsid w:val="002A709D"/>
    <w:rsid w:val="00316408"/>
    <w:rsid w:val="00347AED"/>
    <w:rsid w:val="00373546"/>
    <w:rsid w:val="00374FBD"/>
    <w:rsid w:val="003A21AA"/>
    <w:rsid w:val="003B18A9"/>
    <w:rsid w:val="0042113C"/>
    <w:rsid w:val="00425AE4"/>
    <w:rsid w:val="00430E15"/>
    <w:rsid w:val="0044262A"/>
    <w:rsid w:val="00464BF5"/>
    <w:rsid w:val="0049021D"/>
    <w:rsid w:val="004A66B4"/>
    <w:rsid w:val="00526A27"/>
    <w:rsid w:val="005335F8"/>
    <w:rsid w:val="005A260E"/>
    <w:rsid w:val="005C51EA"/>
    <w:rsid w:val="005D04BF"/>
    <w:rsid w:val="005D07CD"/>
    <w:rsid w:val="005F6E60"/>
    <w:rsid w:val="00630E8B"/>
    <w:rsid w:val="00664936"/>
    <w:rsid w:val="006B6D9F"/>
    <w:rsid w:val="006E6D3E"/>
    <w:rsid w:val="00713A92"/>
    <w:rsid w:val="00721A82"/>
    <w:rsid w:val="00765708"/>
    <w:rsid w:val="007B6A4F"/>
    <w:rsid w:val="007C2016"/>
    <w:rsid w:val="0080303B"/>
    <w:rsid w:val="0088488A"/>
    <w:rsid w:val="00896172"/>
    <w:rsid w:val="008A432E"/>
    <w:rsid w:val="008C05CD"/>
    <w:rsid w:val="008F279D"/>
    <w:rsid w:val="009C13CE"/>
    <w:rsid w:val="00A50A1E"/>
    <w:rsid w:val="00A87246"/>
    <w:rsid w:val="00AD36B9"/>
    <w:rsid w:val="00BB59C9"/>
    <w:rsid w:val="00BC34BC"/>
    <w:rsid w:val="00C31EBA"/>
    <w:rsid w:val="00D35A07"/>
    <w:rsid w:val="00D443F4"/>
    <w:rsid w:val="00D63363"/>
    <w:rsid w:val="00D72CBD"/>
    <w:rsid w:val="00DA0798"/>
    <w:rsid w:val="00DF2531"/>
    <w:rsid w:val="00DF710C"/>
    <w:rsid w:val="00E9505A"/>
    <w:rsid w:val="00EC639B"/>
    <w:rsid w:val="00EF3740"/>
    <w:rsid w:val="00F76E46"/>
    <w:rsid w:val="00FB0DDB"/>
    <w:rsid w:val="00FF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C23A3"/>
  <w15:chartTrackingRefBased/>
  <w15:docId w15:val="{A7083194-BD39-4875-8D01-D05ECAC6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5A260E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0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05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D35A07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A43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43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A432E"/>
    <w:rPr>
      <w:vertAlign w:val="superscript"/>
    </w:rPr>
  </w:style>
  <w:style w:type="character" w:customStyle="1" w:styleId="Heading3Char">
    <w:name w:val="Heading 3 Char"/>
    <w:basedOn w:val="DefaultParagraphFont"/>
    <w:link w:val="Heading3"/>
    <w:rsid w:val="005A260E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5A260E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E13EB-4110-4D51-B2B7-E2FCF2EF8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Johnson</dc:creator>
  <cp:keywords/>
  <dc:description/>
  <cp:lastModifiedBy>Daniel Johnson</cp:lastModifiedBy>
  <cp:revision>11</cp:revision>
  <dcterms:created xsi:type="dcterms:W3CDTF">2018-03-26T00:22:00Z</dcterms:created>
  <dcterms:modified xsi:type="dcterms:W3CDTF">2018-03-27T00:30:00Z</dcterms:modified>
</cp:coreProperties>
</file>