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2" w14:textId="77777777" w:rsidR="00F849A6" w:rsidRPr="004B37B8" w:rsidRDefault="00F849A6">
      <w:pPr>
        <w:pStyle w:val="Title"/>
        <w:rPr>
          <w:rFonts w:ascii="Times New Roman" w:hAnsi="Times New Roman" w:cs="Times New Roman"/>
          <w:lang w:val="en-GB"/>
        </w:rPr>
      </w:pPr>
      <w:bookmarkStart w:id="0" w:name="_6p13ws3pzn2o" w:colFirst="0" w:colLast="0"/>
      <w:bookmarkEnd w:id="0"/>
    </w:p>
    <w:p w14:paraId="00000003" w14:textId="77777777" w:rsidR="00F849A6" w:rsidRPr="0071106C" w:rsidRDefault="00F849A6">
      <w:pPr>
        <w:pStyle w:val="Title"/>
        <w:rPr>
          <w:rFonts w:ascii="Times New Roman" w:hAnsi="Times New Roman" w:cs="Times New Roman"/>
        </w:rPr>
      </w:pPr>
      <w:bookmarkStart w:id="1" w:name="_tmgzt99yqbtv" w:colFirst="0" w:colLast="0"/>
      <w:bookmarkEnd w:id="1"/>
    </w:p>
    <w:p w14:paraId="00000004" w14:textId="77777777" w:rsidR="00F849A6" w:rsidRPr="0071106C" w:rsidRDefault="00F849A6">
      <w:pPr>
        <w:pStyle w:val="Title"/>
        <w:rPr>
          <w:rFonts w:ascii="Times New Roman" w:hAnsi="Times New Roman" w:cs="Times New Roman"/>
        </w:rPr>
      </w:pPr>
      <w:bookmarkStart w:id="2" w:name="_hy7wzjy9jozg" w:colFirst="0" w:colLast="0"/>
      <w:bookmarkEnd w:id="2"/>
    </w:p>
    <w:p w14:paraId="00000005" w14:textId="005C2CCE" w:rsidR="00F849A6" w:rsidRPr="00F94BF8" w:rsidRDefault="00F94BF8">
      <w:pPr>
        <w:pStyle w:val="Title"/>
        <w:rPr>
          <w:rFonts w:ascii="Arial" w:hAnsi="Arial" w:cs="Arial"/>
        </w:rPr>
      </w:pPr>
      <w:bookmarkStart w:id="3" w:name="_491lc8l5w7uu" w:colFirst="0" w:colLast="0"/>
      <w:bookmarkEnd w:id="3"/>
      <w:r w:rsidRPr="00F94BF8">
        <w:rPr>
          <w:rFonts w:ascii="Arial" w:hAnsi="Arial" w:cs="Arial"/>
        </w:rPr>
        <w:t>BA Business Management</w:t>
      </w:r>
    </w:p>
    <w:p w14:paraId="5C91A81B" w14:textId="1ABBCA3C" w:rsidR="00F94BF8" w:rsidRPr="00F94BF8" w:rsidRDefault="00F94BF8" w:rsidP="006E3AA7">
      <w:pPr>
        <w:pStyle w:val="Title"/>
        <w:rPr>
          <w:rFonts w:ascii="Arial" w:hAnsi="Arial" w:cs="Arial"/>
        </w:rPr>
      </w:pPr>
      <w:bookmarkStart w:id="4" w:name="_tlzrysnd34ct" w:colFirst="0" w:colLast="0"/>
      <w:bookmarkEnd w:id="4"/>
      <w:r w:rsidRPr="00F94BF8">
        <w:rPr>
          <w:rFonts w:ascii="Arial" w:hAnsi="Arial" w:cs="Arial"/>
        </w:rPr>
        <w:t>LCBB5004</w:t>
      </w:r>
      <w:bookmarkStart w:id="5" w:name="_4h28a9wa6qu3" w:colFirst="0" w:colLast="0"/>
      <w:bookmarkEnd w:id="5"/>
    </w:p>
    <w:p w14:paraId="0B897921" w14:textId="77777777" w:rsidR="00F94BF8" w:rsidRDefault="00000000">
      <w:pPr>
        <w:pStyle w:val="Title"/>
        <w:rPr>
          <w:rFonts w:ascii="Arial" w:hAnsi="Arial" w:cs="Arial"/>
        </w:rPr>
      </w:pPr>
      <w:r w:rsidRPr="00F94BF8">
        <w:rPr>
          <w:rFonts w:ascii="Arial" w:hAnsi="Arial" w:cs="Arial"/>
        </w:rPr>
        <w:t>Managing People</w:t>
      </w:r>
    </w:p>
    <w:p w14:paraId="23B2BAFA" w14:textId="77777777" w:rsidR="006E3AA7" w:rsidRPr="006E3AA7" w:rsidRDefault="006E3AA7" w:rsidP="006E3AA7"/>
    <w:p w14:paraId="591FB967" w14:textId="77777777" w:rsidR="00F94BF8" w:rsidRPr="00F94BF8" w:rsidRDefault="00F94BF8">
      <w:pPr>
        <w:pStyle w:val="Title"/>
        <w:rPr>
          <w:rFonts w:ascii="Arial" w:hAnsi="Arial" w:cs="Arial"/>
        </w:rPr>
      </w:pPr>
      <w:r w:rsidRPr="00F94BF8">
        <w:rPr>
          <w:rFonts w:ascii="Arial" w:hAnsi="Arial" w:cs="Arial"/>
        </w:rPr>
        <w:t>Individual Report</w:t>
      </w:r>
    </w:p>
    <w:p w14:paraId="16345EAF" w14:textId="77777777" w:rsidR="00F94BF8" w:rsidRPr="00F94BF8" w:rsidRDefault="00F94BF8">
      <w:pPr>
        <w:pStyle w:val="Title"/>
        <w:rPr>
          <w:rFonts w:ascii="Arial" w:hAnsi="Arial" w:cs="Arial"/>
        </w:rPr>
      </w:pPr>
    </w:p>
    <w:p w14:paraId="7977704E" w14:textId="77777777" w:rsidR="00F94BF8" w:rsidRDefault="00F94BF8">
      <w:pPr>
        <w:pStyle w:val="Title"/>
        <w:rPr>
          <w:rFonts w:ascii="Times New Roman" w:hAnsi="Times New Roman" w:cs="Times New Roman"/>
        </w:rPr>
      </w:pPr>
    </w:p>
    <w:p w14:paraId="3A17DB39" w14:textId="77777777" w:rsidR="00F94BF8" w:rsidRDefault="00F94BF8">
      <w:pPr>
        <w:pStyle w:val="Title"/>
        <w:rPr>
          <w:rFonts w:ascii="Times New Roman" w:hAnsi="Times New Roman" w:cs="Times New Roman"/>
        </w:rPr>
      </w:pPr>
    </w:p>
    <w:p w14:paraId="3EE97F5B" w14:textId="77777777" w:rsidR="00F94BF8" w:rsidRDefault="00F94BF8">
      <w:pPr>
        <w:pStyle w:val="Title"/>
        <w:rPr>
          <w:rFonts w:ascii="Times New Roman" w:hAnsi="Times New Roman" w:cs="Times New Roman"/>
        </w:rPr>
      </w:pPr>
    </w:p>
    <w:p w14:paraId="7335680C" w14:textId="77777777" w:rsidR="00F94BF8" w:rsidRPr="00F94BF8" w:rsidRDefault="00F94BF8" w:rsidP="006E3AA7">
      <w:pPr>
        <w:pStyle w:val="Title"/>
        <w:jc w:val="left"/>
        <w:rPr>
          <w:rFonts w:ascii="Arial" w:hAnsi="Arial" w:cs="Arial"/>
          <w:sz w:val="32"/>
          <w:szCs w:val="32"/>
        </w:rPr>
      </w:pPr>
      <w:r w:rsidRPr="00F94BF8">
        <w:rPr>
          <w:rFonts w:ascii="Arial" w:hAnsi="Arial" w:cs="Arial"/>
          <w:sz w:val="32"/>
          <w:szCs w:val="32"/>
        </w:rPr>
        <w:t>Student name: Ana-Maria Popescu</w:t>
      </w:r>
    </w:p>
    <w:p w14:paraId="5114D2EA" w14:textId="77777777" w:rsidR="00F94BF8" w:rsidRPr="00F94BF8" w:rsidRDefault="00F94BF8" w:rsidP="006E3AA7">
      <w:pPr>
        <w:pStyle w:val="Title"/>
        <w:jc w:val="left"/>
        <w:rPr>
          <w:rFonts w:ascii="Arial" w:hAnsi="Arial" w:cs="Arial"/>
          <w:sz w:val="32"/>
          <w:szCs w:val="32"/>
        </w:rPr>
      </w:pPr>
      <w:r w:rsidRPr="00F94BF8">
        <w:rPr>
          <w:rFonts w:ascii="Arial" w:hAnsi="Arial" w:cs="Arial"/>
          <w:sz w:val="32"/>
          <w:szCs w:val="32"/>
        </w:rPr>
        <w:t>Student ID: 2128062</w:t>
      </w:r>
    </w:p>
    <w:p w14:paraId="00000007" w14:textId="3046C1F3" w:rsidR="00F849A6" w:rsidRPr="0071106C" w:rsidRDefault="00F94BF8" w:rsidP="006E3AA7">
      <w:pPr>
        <w:pStyle w:val="Title"/>
        <w:jc w:val="left"/>
        <w:rPr>
          <w:rFonts w:ascii="Times New Roman" w:hAnsi="Times New Roman" w:cs="Times New Roman"/>
        </w:rPr>
      </w:pPr>
      <w:r w:rsidRPr="00F94BF8">
        <w:rPr>
          <w:rFonts w:ascii="Arial" w:hAnsi="Arial" w:cs="Arial"/>
          <w:sz w:val="32"/>
          <w:szCs w:val="32"/>
        </w:rPr>
        <w:t>Lecturer name: Samuel Ofori</w:t>
      </w:r>
      <w:r w:rsidRPr="0071106C">
        <w:rPr>
          <w:rFonts w:ascii="Times New Roman" w:hAnsi="Times New Roman" w:cs="Times New Roman"/>
        </w:rPr>
        <w:br w:type="page"/>
      </w:r>
    </w:p>
    <w:p w14:paraId="00000008" w14:textId="77777777" w:rsidR="00F849A6" w:rsidRPr="005F5134" w:rsidRDefault="00F849A6">
      <w:pPr>
        <w:pStyle w:val="Heading1"/>
        <w:jc w:val="left"/>
        <w:rPr>
          <w:rFonts w:ascii="Arial" w:hAnsi="Arial" w:cs="Arial"/>
          <w:sz w:val="22"/>
          <w:szCs w:val="22"/>
        </w:rPr>
      </w:pPr>
      <w:bookmarkStart w:id="6" w:name="_46b9zdswl45p" w:colFirst="0" w:colLast="0"/>
      <w:bookmarkEnd w:id="6"/>
    </w:p>
    <w:bookmarkStart w:id="7" w:name="_329ujobr5lkf" w:colFirst="0" w:colLast="0" w:displacedByCustomXml="next"/>
    <w:bookmarkEnd w:id="7" w:displacedByCustomXml="next"/>
    <w:sdt>
      <w:sdtPr>
        <w:rPr>
          <w:rFonts w:ascii="Arial" w:eastAsia="EB Garamond Medium" w:hAnsi="Arial" w:cs="Arial"/>
          <w:color w:val="auto"/>
          <w:sz w:val="22"/>
          <w:szCs w:val="22"/>
          <w:lang w:val="en" w:eastAsia="en-IN"/>
        </w:rPr>
        <w:id w:val="1095205458"/>
        <w:docPartObj>
          <w:docPartGallery w:val="Table of Contents"/>
          <w:docPartUnique/>
        </w:docPartObj>
      </w:sdtPr>
      <w:sdtEndPr>
        <w:rPr>
          <w:rFonts w:ascii="Times New Roman" w:hAnsi="Times New Roman" w:cs="Times New Roman"/>
          <w:b/>
          <w:bCs/>
          <w:noProof/>
          <w:sz w:val="24"/>
          <w:szCs w:val="24"/>
        </w:rPr>
      </w:sdtEndPr>
      <w:sdtContent>
        <w:p w14:paraId="29A8378A" w14:textId="60B526F0" w:rsidR="0071106C" w:rsidRDefault="0071106C" w:rsidP="0071106C">
          <w:pPr>
            <w:pStyle w:val="TOCHeading"/>
            <w:jc w:val="center"/>
            <w:rPr>
              <w:rFonts w:ascii="Arial" w:hAnsi="Arial" w:cs="Arial"/>
              <w:b/>
              <w:bCs/>
              <w:color w:val="000000" w:themeColor="text1"/>
              <w:sz w:val="22"/>
              <w:szCs w:val="22"/>
            </w:rPr>
          </w:pPr>
          <w:r w:rsidRPr="005F5134">
            <w:rPr>
              <w:rFonts w:ascii="Arial" w:hAnsi="Arial" w:cs="Arial"/>
              <w:b/>
              <w:bCs/>
              <w:color w:val="000000" w:themeColor="text1"/>
              <w:sz w:val="22"/>
              <w:szCs w:val="22"/>
            </w:rPr>
            <w:t>Table of Contents</w:t>
          </w:r>
        </w:p>
        <w:p w14:paraId="6A8F3FE4" w14:textId="77777777" w:rsidR="005F5134" w:rsidRPr="005F5134" w:rsidRDefault="005F5134" w:rsidP="005F5134">
          <w:pPr>
            <w:rPr>
              <w:lang w:val="en-US" w:eastAsia="en-US"/>
            </w:rPr>
          </w:pPr>
        </w:p>
        <w:p w14:paraId="32B6B441" w14:textId="19B3367D" w:rsidR="0071106C" w:rsidRPr="005F5134" w:rsidRDefault="0071106C">
          <w:pPr>
            <w:pStyle w:val="TOC1"/>
            <w:tabs>
              <w:tab w:val="right" w:leader="dot" w:pos="9350"/>
            </w:tabs>
            <w:rPr>
              <w:rFonts w:ascii="Arial" w:hAnsi="Arial" w:cs="Arial"/>
              <w:noProof/>
              <w:sz w:val="22"/>
              <w:szCs w:val="22"/>
            </w:rPr>
          </w:pPr>
          <w:r w:rsidRPr="005F5134">
            <w:rPr>
              <w:rFonts w:ascii="Arial" w:hAnsi="Arial" w:cs="Arial"/>
              <w:sz w:val="22"/>
              <w:szCs w:val="22"/>
            </w:rPr>
            <w:fldChar w:fldCharType="begin"/>
          </w:r>
          <w:r w:rsidRPr="005F5134">
            <w:rPr>
              <w:rFonts w:ascii="Arial" w:hAnsi="Arial" w:cs="Arial"/>
              <w:sz w:val="22"/>
              <w:szCs w:val="22"/>
            </w:rPr>
            <w:instrText xml:space="preserve"> TOC \o "1-3" \h \z \u </w:instrText>
          </w:r>
          <w:r w:rsidRPr="005F5134">
            <w:rPr>
              <w:rFonts w:ascii="Arial" w:hAnsi="Arial" w:cs="Arial"/>
              <w:sz w:val="22"/>
              <w:szCs w:val="22"/>
            </w:rPr>
            <w:fldChar w:fldCharType="separate"/>
          </w:r>
          <w:hyperlink w:anchor="_Toc140778990" w:history="1">
            <w:r w:rsidRPr="005F5134">
              <w:rPr>
                <w:rStyle w:val="Hyperlink"/>
                <w:rFonts w:ascii="Arial" w:hAnsi="Arial" w:cs="Arial"/>
                <w:noProof/>
                <w:sz w:val="22"/>
                <w:szCs w:val="22"/>
              </w:rPr>
              <w:t>Introduction</w:t>
            </w:r>
            <w:r w:rsidRPr="005F5134">
              <w:rPr>
                <w:rFonts w:ascii="Arial" w:hAnsi="Arial" w:cs="Arial"/>
                <w:noProof/>
                <w:webHidden/>
                <w:sz w:val="22"/>
                <w:szCs w:val="22"/>
              </w:rPr>
              <w:tab/>
            </w:r>
            <w:r w:rsidRPr="005F5134">
              <w:rPr>
                <w:rFonts w:ascii="Arial" w:hAnsi="Arial" w:cs="Arial"/>
                <w:noProof/>
                <w:webHidden/>
                <w:sz w:val="22"/>
                <w:szCs w:val="22"/>
              </w:rPr>
              <w:fldChar w:fldCharType="begin"/>
            </w:r>
            <w:r w:rsidRPr="005F5134">
              <w:rPr>
                <w:rFonts w:ascii="Arial" w:hAnsi="Arial" w:cs="Arial"/>
                <w:noProof/>
                <w:webHidden/>
                <w:sz w:val="22"/>
                <w:szCs w:val="22"/>
              </w:rPr>
              <w:instrText xml:space="preserve"> PAGEREF _Toc140778990 \h </w:instrText>
            </w:r>
            <w:r w:rsidRPr="005F5134">
              <w:rPr>
                <w:rFonts w:ascii="Arial" w:hAnsi="Arial" w:cs="Arial"/>
                <w:noProof/>
                <w:webHidden/>
                <w:sz w:val="22"/>
                <w:szCs w:val="22"/>
              </w:rPr>
            </w:r>
            <w:r w:rsidRPr="005F5134">
              <w:rPr>
                <w:rFonts w:ascii="Arial" w:hAnsi="Arial" w:cs="Arial"/>
                <w:noProof/>
                <w:webHidden/>
                <w:sz w:val="22"/>
                <w:szCs w:val="22"/>
              </w:rPr>
              <w:fldChar w:fldCharType="separate"/>
            </w:r>
            <w:r w:rsidRPr="005F5134">
              <w:rPr>
                <w:rFonts w:ascii="Arial" w:hAnsi="Arial" w:cs="Arial"/>
                <w:noProof/>
                <w:webHidden/>
                <w:sz w:val="22"/>
                <w:szCs w:val="22"/>
              </w:rPr>
              <w:t>3</w:t>
            </w:r>
            <w:r w:rsidRPr="005F5134">
              <w:rPr>
                <w:rFonts w:ascii="Arial" w:hAnsi="Arial" w:cs="Arial"/>
                <w:noProof/>
                <w:webHidden/>
                <w:sz w:val="22"/>
                <w:szCs w:val="22"/>
              </w:rPr>
              <w:fldChar w:fldCharType="end"/>
            </w:r>
          </w:hyperlink>
        </w:p>
        <w:p w14:paraId="262DE700" w14:textId="039EE178" w:rsidR="0071106C" w:rsidRPr="005F5134" w:rsidRDefault="00000000">
          <w:pPr>
            <w:pStyle w:val="TOC1"/>
            <w:tabs>
              <w:tab w:val="right" w:leader="dot" w:pos="9350"/>
            </w:tabs>
            <w:rPr>
              <w:rFonts w:ascii="Arial" w:hAnsi="Arial" w:cs="Arial"/>
              <w:noProof/>
              <w:sz w:val="22"/>
              <w:szCs w:val="22"/>
            </w:rPr>
          </w:pPr>
          <w:hyperlink w:anchor="_Toc140778991" w:history="1">
            <w:r w:rsidR="0071106C" w:rsidRPr="005F5134">
              <w:rPr>
                <w:rStyle w:val="Hyperlink"/>
                <w:rFonts w:ascii="Arial" w:hAnsi="Arial" w:cs="Arial"/>
                <w:noProof/>
                <w:sz w:val="22"/>
                <w:szCs w:val="22"/>
              </w:rPr>
              <w:t>Benefits of Implementing Flexible Working Strategies</w:t>
            </w:r>
            <w:r w:rsidR="0071106C" w:rsidRPr="005F5134">
              <w:rPr>
                <w:rFonts w:ascii="Arial" w:hAnsi="Arial" w:cs="Arial"/>
                <w:noProof/>
                <w:webHidden/>
                <w:sz w:val="22"/>
                <w:szCs w:val="22"/>
              </w:rPr>
              <w:tab/>
            </w:r>
            <w:r w:rsidR="00B4497D">
              <w:rPr>
                <w:rFonts w:ascii="Arial" w:hAnsi="Arial" w:cs="Arial"/>
                <w:noProof/>
                <w:webHidden/>
                <w:sz w:val="22"/>
                <w:szCs w:val="22"/>
              </w:rPr>
              <w:t>4</w:t>
            </w:r>
          </w:hyperlink>
        </w:p>
        <w:p w14:paraId="4A03A61E" w14:textId="6417B106" w:rsidR="0071106C" w:rsidRPr="005F5134" w:rsidRDefault="00000000">
          <w:pPr>
            <w:pStyle w:val="TOC1"/>
            <w:tabs>
              <w:tab w:val="right" w:leader="dot" w:pos="9350"/>
            </w:tabs>
            <w:rPr>
              <w:rFonts w:ascii="Arial" w:hAnsi="Arial" w:cs="Arial"/>
              <w:noProof/>
              <w:sz w:val="22"/>
              <w:szCs w:val="22"/>
            </w:rPr>
          </w:pPr>
          <w:hyperlink w:anchor="_Toc140778992" w:history="1">
            <w:r w:rsidR="0071106C" w:rsidRPr="005F5134">
              <w:rPr>
                <w:rStyle w:val="Hyperlink"/>
                <w:rFonts w:ascii="Arial" w:hAnsi="Arial" w:cs="Arial"/>
                <w:noProof/>
                <w:sz w:val="22"/>
                <w:szCs w:val="22"/>
              </w:rPr>
              <w:t>Considerations for Implementing Flexible Working</w:t>
            </w:r>
            <w:r w:rsidR="0071106C" w:rsidRPr="005F5134">
              <w:rPr>
                <w:rFonts w:ascii="Arial" w:hAnsi="Arial" w:cs="Arial"/>
                <w:noProof/>
                <w:webHidden/>
                <w:sz w:val="22"/>
                <w:szCs w:val="22"/>
              </w:rPr>
              <w:tab/>
            </w:r>
            <w:r w:rsidR="0071106C" w:rsidRPr="005F5134">
              <w:rPr>
                <w:rFonts w:ascii="Arial" w:hAnsi="Arial" w:cs="Arial"/>
                <w:noProof/>
                <w:webHidden/>
                <w:sz w:val="22"/>
                <w:szCs w:val="22"/>
              </w:rPr>
              <w:fldChar w:fldCharType="begin"/>
            </w:r>
            <w:r w:rsidR="0071106C" w:rsidRPr="005F5134">
              <w:rPr>
                <w:rFonts w:ascii="Arial" w:hAnsi="Arial" w:cs="Arial"/>
                <w:noProof/>
                <w:webHidden/>
                <w:sz w:val="22"/>
                <w:szCs w:val="22"/>
              </w:rPr>
              <w:instrText xml:space="preserve"> PAGEREF _Toc140778992 \h </w:instrText>
            </w:r>
            <w:r w:rsidR="0071106C" w:rsidRPr="005F5134">
              <w:rPr>
                <w:rFonts w:ascii="Arial" w:hAnsi="Arial" w:cs="Arial"/>
                <w:noProof/>
                <w:webHidden/>
                <w:sz w:val="22"/>
                <w:szCs w:val="22"/>
              </w:rPr>
            </w:r>
            <w:r w:rsidR="0071106C" w:rsidRPr="005F5134">
              <w:rPr>
                <w:rFonts w:ascii="Arial" w:hAnsi="Arial" w:cs="Arial"/>
                <w:noProof/>
                <w:webHidden/>
                <w:sz w:val="22"/>
                <w:szCs w:val="22"/>
              </w:rPr>
              <w:fldChar w:fldCharType="separate"/>
            </w:r>
            <w:r w:rsidR="0071106C" w:rsidRPr="005F5134">
              <w:rPr>
                <w:rFonts w:ascii="Arial" w:hAnsi="Arial" w:cs="Arial"/>
                <w:noProof/>
                <w:webHidden/>
                <w:sz w:val="22"/>
                <w:szCs w:val="22"/>
              </w:rPr>
              <w:t>5</w:t>
            </w:r>
            <w:r w:rsidR="0071106C" w:rsidRPr="005F5134">
              <w:rPr>
                <w:rFonts w:ascii="Arial" w:hAnsi="Arial" w:cs="Arial"/>
                <w:noProof/>
                <w:webHidden/>
                <w:sz w:val="22"/>
                <w:szCs w:val="22"/>
              </w:rPr>
              <w:fldChar w:fldCharType="end"/>
            </w:r>
          </w:hyperlink>
        </w:p>
        <w:p w14:paraId="0908B2CE" w14:textId="260A3934" w:rsidR="0071106C" w:rsidRPr="005F5134" w:rsidRDefault="00000000">
          <w:pPr>
            <w:pStyle w:val="TOC1"/>
            <w:tabs>
              <w:tab w:val="right" w:leader="dot" w:pos="9350"/>
            </w:tabs>
            <w:rPr>
              <w:rFonts w:ascii="Arial" w:hAnsi="Arial" w:cs="Arial"/>
              <w:noProof/>
              <w:sz w:val="22"/>
              <w:szCs w:val="22"/>
            </w:rPr>
          </w:pPr>
          <w:hyperlink w:anchor="_Toc140778993" w:history="1">
            <w:r w:rsidR="0071106C" w:rsidRPr="005F5134">
              <w:rPr>
                <w:rStyle w:val="Hyperlink"/>
                <w:rFonts w:ascii="Arial" w:hAnsi="Arial" w:cs="Arial"/>
                <w:noProof/>
                <w:sz w:val="22"/>
                <w:szCs w:val="22"/>
              </w:rPr>
              <w:t>Reconfiguring the Pay Structure</w:t>
            </w:r>
            <w:r w:rsidR="0071106C" w:rsidRPr="005F5134">
              <w:rPr>
                <w:rFonts w:ascii="Arial" w:hAnsi="Arial" w:cs="Arial"/>
                <w:noProof/>
                <w:webHidden/>
                <w:sz w:val="22"/>
                <w:szCs w:val="22"/>
              </w:rPr>
              <w:tab/>
            </w:r>
            <w:r w:rsidR="0071106C" w:rsidRPr="005F5134">
              <w:rPr>
                <w:rFonts w:ascii="Arial" w:hAnsi="Arial" w:cs="Arial"/>
                <w:noProof/>
                <w:webHidden/>
                <w:sz w:val="22"/>
                <w:szCs w:val="22"/>
              </w:rPr>
              <w:fldChar w:fldCharType="begin"/>
            </w:r>
            <w:r w:rsidR="0071106C" w:rsidRPr="005F5134">
              <w:rPr>
                <w:rFonts w:ascii="Arial" w:hAnsi="Arial" w:cs="Arial"/>
                <w:noProof/>
                <w:webHidden/>
                <w:sz w:val="22"/>
                <w:szCs w:val="22"/>
              </w:rPr>
              <w:instrText xml:space="preserve"> PAGEREF _Toc140778993 \h </w:instrText>
            </w:r>
            <w:r w:rsidR="0071106C" w:rsidRPr="005F5134">
              <w:rPr>
                <w:rFonts w:ascii="Arial" w:hAnsi="Arial" w:cs="Arial"/>
                <w:noProof/>
                <w:webHidden/>
                <w:sz w:val="22"/>
                <w:szCs w:val="22"/>
              </w:rPr>
            </w:r>
            <w:r w:rsidR="0071106C" w:rsidRPr="005F5134">
              <w:rPr>
                <w:rFonts w:ascii="Arial" w:hAnsi="Arial" w:cs="Arial"/>
                <w:noProof/>
                <w:webHidden/>
                <w:sz w:val="22"/>
                <w:szCs w:val="22"/>
              </w:rPr>
              <w:fldChar w:fldCharType="separate"/>
            </w:r>
            <w:r w:rsidR="0071106C" w:rsidRPr="005F5134">
              <w:rPr>
                <w:rFonts w:ascii="Arial" w:hAnsi="Arial" w:cs="Arial"/>
                <w:noProof/>
                <w:webHidden/>
                <w:sz w:val="22"/>
                <w:szCs w:val="22"/>
              </w:rPr>
              <w:t>6</w:t>
            </w:r>
            <w:r w:rsidR="0071106C" w:rsidRPr="005F5134">
              <w:rPr>
                <w:rFonts w:ascii="Arial" w:hAnsi="Arial" w:cs="Arial"/>
                <w:noProof/>
                <w:webHidden/>
                <w:sz w:val="22"/>
                <w:szCs w:val="22"/>
              </w:rPr>
              <w:fldChar w:fldCharType="end"/>
            </w:r>
          </w:hyperlink>
        </w:p>
        <w:p w14:paraId="2DC03D83" w14:textId="6FBA3630" w:rsidR="0071106C" w:rsidRPr="005F5134" w:rsidRDefault="00000000">
          <w:pPr>
            <w:pStyle w:val="TOC1"/>
            <w:tabs>
              <w:tab w:val="right" w:leader="dot" w:pos="9350"/>
            </w:tabs>
            <w:rPr>
              <w:rFonts w:ascii="Arial" w:hAnsi="Arial" w:cs="Arial"/>
              <w:noProof/>
              <w:sz w:val="22"/>
              <w:szCs w:val="22"/>
            </w:rPr>
          </w:pPr>
          <w:hyperlink w:anchor="_Toc140778994" w:history="1">
            <w:r w:rsidR="0071106C" w:rsidRPr="005F5134">
              <w:rPr>
                <w:rStyle w:val="Hyperlink"/>
                <w:rFonts w:ascii="Arial" w:hAnsi="Arial" w:cs="Arial"/>
                <w:noProof/>
                <w:sz w:val="22"/>
                <w:szCs w:val="22"/>
              </w:rPr>
              <w:t>Strategies to Promote Employee Engagement</w:t>
            </w:r>
            <w:r w:rsidR="0071106C" w:rsidRPr="005F5134">
              <w:rPr>
                <w:rFonts w:ascii="Arial" w:hAnsi="Arial" w:cs="Arial"/>
                <w:noProof/>
                <w:webHidden/>
                <w:sz w:val="22"/>
                <w:szCs w:val="22"/>
              </w:rPr>
              <w:tab/>
            </w:r>
            <w:r w:rsidR="0071106C" w:rsidRPr="005F5134">
              <w:rPr>
                <w:rFonts w:ascii="Arial" w:hAnsi="Arial" w:cs="Arial"/>
                <w:noProof/>
                <w:webHidden/>
                <w:sz w:val="22"/>
                <w:szCs w:val="22"/>
              </w:rPr>
              <w:fldChar w:fldCharType="begin"/>
            </w:r>
            <w:r w:rsidR="0071106C" w:rsidRPr="005F5134">
              <w:rPr>
                <w:rFonts w:ascii="Arial" w:hAnsi="Arial" w:cs="Arial"/>
                <w:noProof/>
                <w:webHidden/>
                <w:sz w:val="22"/>
                <w:szCs w:val="22"/>
              </w:rPr>
              <w:instrText xml:space="preserve"> PAGEREF _Toc140778994 \h </w:instrText>
            </w:r>
            <w:r w:rsidR="0071106C" w:rsidRPr="005F5134">
              <w:rPr>
                <w:rFonts w:ascii="Arial" w:hAnsi="Arial" w:cs="Arial"/>
                <w:noProof/>
                <w:webHidden/>
                <w:sz w:val="22"/>
                <w:szCs w:val="22"/>
              </w:rPr>
            </w:r>
            <w:r w:rsidR="0071106C" w:rsidRPr="005F5134">
              <w:rPr>
                <w:rFonts w:ascii="Arial" w:hAnsi="Arial" w:cs="Arial"/>
                <w:noProof/>
                <w:webHidden/>
                <w:sz w:val="22"/>
                <w:szCs w:val="22"/>
              </w:rPr>
              <w:fldChar w:fldCharType="separate"/>
            </w:r>
            <w:r w:rsidR="0071106C" w:rsidRPr="005F5134">
              <w:rPr>
                <w:rFonts w:ascii="Arial" w:hAnsi="Arial" w:cs="Arial"/>
                <w:noProof/>
                <w:webHidden/>
                <w:sz w:val="22"/>
                <w:szCs w:val="22"/>
              </w:rPr>
              <w:t>8</w:t>
            </w:r>
            <w:r w:rsidR="0071106C" w:rsidRPr="005F5134">
              <w:rPr>
                <w:rFonts w:ascii="Arial" w:hAnsi="Arial" w:cs="Arial"/>
                <w:noProof/>
                <w:webHidden/>
                <w:sz w:val="22"/>
                <w:szCs w:val="22"/>
              </w:rPr>
              <w:fldChar w:fldCharType="end"/>
            </w:r>
          </w:hyperlink>
        </w:p>
        <w:p w14:paraId="430498AA" w14:textId="57AED54B" w:rsidR="0071106C" w:rsidRPr="005F5134" w:rsidRDefault="00000000">
          <w:pPr>
            <w:pStyle w:val="TOC1"/>
            <w:tabs>
              <w:tab w:val="right" w:leader="dot" w:pos="9350"/>
            </w:tabs>
            <w:rPr>
              <w:rFonts w:ascii="Arial" w:hAnsi="Arial" w:cs="Arial"/>
              <w:noProof/>
              <w:sz w:val="22"/>
              <w:szCs w:val="22"/>
            </w:rPr>
          </w:pPr>
          <w:hyperlink w:anchor="_Toc140778995" w:history="1">
            <w:r w:rsidR="0071106C" w:rsidRPr="005F5134">
              <w:rPr>
                <w:rStyle w:val="Hyperlink"/>
                <w:rFonts w:ascii="Arial" w:hAnsi="Arial" w:cs="Arial"/>
                <w:noProof/>
                <w:sz w:val="22"/>
                <w:szCs w:val="22"/>
              </w:rPr>
              <w:t>Conclusion</w:t>
            </w:r>
            <w:r w:rsidR="0071106C" w:rsidRPr="005F5134">
              <w:rPr>
                <w:rFonts w:ascii="Arial" w:hAnsi="Arial" w:cs="Arial"/>
                <w:noProof/>
                <w:webHidden/>
                <w:sz w:val="22"/>
                <w:szCs w:val="22"/>
              </w:rPr>
              <w:tab/>
            </w:r>
            <w:r w:rsidR="0071106C" w:rsidRPr="005F5134">
              <w:rPr>
                <w:rFonts w:ascii="Arial" w:hAnsi="Arial" w:cs="Arial"/>
                <w:noProof/>
                <w:webHidden/>
                <w:sz w:val="22"/>
                <w:szCs w:val="22"/>
              </w:rPr>
              <w:fldChar w:fldCharType="begin"/>
            </w:r>
            <w:r w:rsidR="0071106C" w:rsidRPr="005F5134">
              <w:rPr>
                <w:rFonts w:ascii="Arial" w:hAnsi="Arial" w:cs="Arial"/>
                <w:noProof/>
                <w:webHidden/>
                <w:sz w:val="22"/>
                <w:szCs w:val="22"/>
              </w:rPr>
              <w:instrText xml:space="preserve"> PAGEREF _Toc140778995 \h </w:instrText>
            </w:r>
            <w:r w:rsidR="0071106C" w:rsidRPr="005F5134">
              <w:rPr>
                <w:rFonts w:ascii="Arial" w:hAnsi="Arial" w:cs="Arial"/>
                <w:noProof/>
                <w:webHidden/>
                <w:sz w:val="22"/>
                <w:szCs w:val="22"/>
              </w:rPr>
            </w:r>
            <w:r w:rsidR="0071106C" w:rsidRPr="005F5134">
              <w:rPr>
                <w:rFonts w:ascii="Arial" w:hAnsi="Arial" w:cs="Arial"/>
                <w:noProof/>
                <w:webHidden/>
                <w:sz w:val="22"/>
                <w:szCs w:val="22"/>
              </w:rPr>
              <w:fldChar w:fldCharType="separate"/>
            </w:r>
            <w:r w:rsidR="0071106C" w:rsidRPr="005F5134">
              <w:rPr>
                <w:rFonts w:ascii="Arial" w:hAnsi="Arial" w:cs="Arial"/>
                <w:noProof/>
                <w:webHidden/>
                <w:sz w:val="22"/>
                <w:szCs w:val="22"/>
              </w:rPr>
              <w:t>10</w:t>
            </w:r>
            <w:r w:rsidR="0071106C" w:rsidRPr="005F5134">
              <w:rPr>
                <w:rFonts w:ascii="Arial" w:hAnsi="Arial" w:cs="Arial"/>
                <w:noProof/>
                <w:webHidden/>
                <w:sz w:val="22"/>
                <w:szCs w:val="22"/>
              </w:rPr>
              <w:fldChar w:fldCharType="end"/>
            </w:r>
          </w:hyperlink>
        </w:p>
        <w:p w14:paraId="226195F0" w14:textId="1907B708" w:rsidR="0071106C" w:rsidRPr="005F5134" w:rsidRDefault="00000000">
          <w:pPr>
            <w:pStyle w:val="TOC1"/>
            <w:tabs>
              <w:tab w:val="right" w:leader="dot" w:pos="9350"/>
            </w:tabs>
            <w:rPr>
              <w:rFonts w:ascii="Arial" w:hAnsi="Arial" w:cs="Arial"/>
              <w:noProof/>
              <w:sz w:val="22"/>
              <w:szCs w:val="22"/>
            </w:rPr>
          </w:pPr>
          <w:hyperlink w:anchor="_Toc140778996" w:history="1">
            <w:r w:rsidR="0071106C" w:rsidRPr="005F5134">
              <w:rPr>
                <w:rStyle w:val="Hyperlink"/>
                <w:rFonts w:ascii="Arial" w:hAnsi="Arial" w:cs="Arial"/>
                <w:noProof/>
                <w:sz w:val="22"/>
                <w:szCs w:val="22"/>
              </w:rPr>
              <w:t>References</w:t>
            </w:r>
            <w:r w:rsidR="0071106C" w:rsidRPr="005F5134">
              <w:rPr>
                <w:rFonts w:ascii="Arial" w:hAnsi="Arial" w:cs="Arial"/>
                <w:noProof/>
                <w:webHidden/>
                <w:sz w:val="22"/>
                <w:szCs w:val="22"/>
              </w:rPr>
              <w:tab/>
            </w:r>
            <w:r w:rsidR="0071106C" w:rsidRPr="005F5134">
              <w:rPr>
                <w:rFonts w:ascii="Arial" w:hAnsi="Arial" w:cs="Arial"/>
                <w:noProof/>
                <w:webHidden/>
                <w:sz w:val="22"/>
                <w:szCs w:val="22"/>
              </w:rPr>
              <w:fldChar w:fldCharType="begin"/>
            </w:r>
            <w:r w:rsidR="0071106C" w:rsidRPr="005F5134">
              <w:rPr>
                <w:rFonts w:ascii="Arial" w:hAnsi="Arial" w:cs="Arial"/>
                <w:noProof/>
                <w:webHidden/>
                <w:sz w:val="22"/>
                <w:szCs w:val="22"/>
              </w:rPr>
              <w:instrText xml:space="preserve"> PAGEREF _Toc140778996 \h </w:instrText>
            </w:r>
            <w:r w:rsidR="0071106C" w:rsidRPr="005F5134">
              <w:rPr>
                <w:rFonts w:ascii="Arial" w:hAnsi="Arial" w:cs="Arial"/>
                <w:noProof/>
                <w:webHidden/>
                <w:sz w:val="22"/>
                <w:szCs w:val="22"/>
              </w:rPr>
            </w:r>
            <w:r w:rsidR="0071106C" w:rsidRPr="005F5134">
              <w:rPr>
                <w:rFonts w:ascii="Arial" w:hAnsi="Arial" w:cs="Arial"/>
                <w:noProof/>
                <w:webHidden/>
                <w:sz w:val="22"/>
                <w:szCs w:val="22"/>
              </w:rPr>
              <w:fldChar w:fldCharType="separate"/>
            </w:r>
            <w:r w:rsidR="0071106C" w:rsidRPr="005F5134">
              <w:rPr>
                <w:rFonts w:ascii="Arial" w:hAnsi="Arial" w:cs="Arial"/>
                <w:noProof/>
                <w:webHidden/>
                <w:sz w:val="22"/>
                <w:szCs w:val="22"/>
              </w:rPr>
              <w:t>11</w:t>
            </w:r>
            <w:r w:rsidR="0071106C" w:rsidRPr="005F5134">
              <w:rPr>
                <w:rFonts w:ascii="Arial" w:hAnsi="Arial" w:cs="Arial"/>
                <w:noProof/>
                <w:webHidden/>
                <w:sz w:val="22"/>
                <w:szCs w:val="22"/>
              </w:rPr>
              <w:fldChar w:fldCharType="end"/>
            </w:r>
          </w:hyperlink>
        </w:p>
        <w:p w14:paraId="35677868" w14:textId="58055C5C" w:rsidR="0071106C" w:rsidRPr="0071106C" w:rsidRDefault="0071106C">
          <w:pPr>
            <w:rPr>
              <w:rFonts w:ascii="Times New Roman" w:hAnsi="Times New Roman" w:cs="Times New Roman"/>
            </w:rPr>
          </w:pPr>
          <w:r w:rsidRPr="005F5134">
            <w:rPr>
              <w:rFonts w:ascii="Arial" w:hAnsi="Arial" w:cs="Arial"/>
              <w:b/>
              <w:bCs/>
              <w:noProof/>
              <w:sz w:val="22"/>
              <w:szCs w:val="22"/>
            </w:rPr>
            <w:fldChar w:fldCharType="end"/>
          </w:r>
        </w:p>
      </w:sdtContent>
    </w:sdt>
    <w:p w14:paraId="0000000F" w14:textId="77777777" w:rsidR="00F849A6" w:rsidRPr="0071106C" w:rsidRDefault="00000000">
      <w:pPr>
        <w:pStyle w:val="Heading1"/>
        <w:jc w:val="left"/>
        <w:rPr>
          <w:rFonts w:ascii="Times New Roman" w:hAnsi="Times New Roman" w:cs="Times New Roman"/>
        </w:rPr>
      </w:pPr>
      <w:r w:rsidRPr="0071106C">
        <w:rPr>
          <w:rFonts w:ascii="Times New Roman" w:hAnsi="Times New Roman" w:cs="Times New Roman"/>
        </w:rPr>
        <w:br w:type="page"/>
      </w:r>
    </w:p>
    <w:p w14:paraId="00000010" w14:textId="77777777" w:rsidR="00F849A6" w:rsidRPr="00C92731" w:rsidRDefault="00000000">
      <w:pPr>
        <w:pStyle w:val="Heading1"/>
        <w:jc w:val="left"/>
        <w:rPr>
          <w:rFonts w:ascii="Arial" w:hAnsi="Arial" w:cs="Arial"/>
          <w:sz w:val="22"/>
          <w:szCs w:val="22"/>
        </w:rPr>
      </w:pPr>
      <w:bookmarkStart w:id="8" w:name="_Toc140778990"/>
      <w:r w:rsidRPr="00C92731">
        <w:rPr>
          <w:rFonts w:ascii="Arial" w:hAnsi="Arial" w:cs="Arial"/>
          <w:sz w:val="22"/>
          <w:szCs w:val="22"/>
        </w:rPr>
        <w:lastRenderedPageBreak/>
        <w:t>Introduction</w:t>
      </w:r>
      <w:bookmarkEnd w:id="8"/>
    </w:p>
    <w:p w14:paraId="00000011" w14:textId="35D0B68E" w:rsidR="00F849A6" w:rsidRPr="00C92731" w:rsidRDefault="00000000">
      <w:pPr>
        <w:rPr>
          <w:rFonts w:ascii="Arial" w:hAnsi="Arial" w:cs="Arial"/>
          <w:sz w:val="22"/>
          <w:szCs w:val="22"/>
        </w:rPr>
      </w:pPr>
      <w:r w:rsidRPr="00C92731">
        <w:rPr>
          <w:rFonts w:ascii="Arial" w:hAnsi="Arial" w:cs="Arial"/>
          <w:sz w:val="22"/>
          <w:szCs w:val="22"/>
        </w:rPr>
        <w:t>The term "flexible working" refers to the modification of existing work arrangements to give employees more freedom over how, when, and where they work (</w:t>
      </w:r>
      <w:proofErr w:type="spellStart"/>
      <w:r w:rsidRPr="00C92731">
        <w:rPr>
          <w:rFonts w:ascii="Arial" w:hAnsi="Arial" w:cs="Arial"/>
          <w:sz w:val="22"/>
          <w:szCs w:val="22"/>
        </w:rPr>
        <w:t>Shagvaliyeva</w:t>
      </w:r>
      <w:proofErr w:type="spellEnd"/>
      <w:r w:rsidRPr="00C92731">
        <w:rPr>
          <w:rFonts w:ascii="Arial" w:hAnsi="Arial" w:cs="Arial"/>
          <w:sz w:val="22"/>
          <w:szCs w:val="22"/>
        </w:rPr>
        <w:t xml:space="preserve">, 2014). As businesses all around the world change their working habits in the post-pandemic age, this idea has garnered a lot of popularity. Flexible working </w:t>
      </w:r>
      <w:r w:rsidR="009A515A" w:rsidRPr="00C92731">
        <w:rPr>
          <w:rFonts w:ascii="Arial" w:hAnsi="Arial" w:cs="Arial"/>
          <w:sz w:val="22"/>
          <w:szCs w:val="22"/>
        </w:rPr>
        <w:t>has</w:t>
      </w:r>
      <w:r w:rsidR="009A515A">
        <w:rPr>
          <w:rFonts w:ascii="Arial" w:hAnsi="Arial" w:cs="Arial"/>
          <w:sz w:val="22"/>
          <w:szCs w:val="22"/>
        </w:rPr>
        <w:t xml:space="preserve"> </w:t>
      </w:r>
      <w:r w:rsidR="009A515A" w:rsidRPr="00C92731">
        <w:rPr>
          <w:rFonts w:ascii="Arial" w:hAnsi="Arial" w:cs="Arial"/>
          <w:sz w:val="22"/>
          <w:szCs w:val="22"/>
        </w:rPr>
        <w:t>become</w:t>
      </w:r>
      <w:r w:rsidRPr="00C92731">
        <w:rPr>
          <w:rFonts w:ascii="Arial" w:hAnsi="Arial" w:cs="Arial"/>
          <w:sz w:val="22"/>
          <w:szCs w:val="22"/>
        </w:rPr>
        <w:t xml:space="preserve"> the new standard as a result of its advantages in boosting productivity, providing access to talent from across the world, promoting work-life balance, and being economically advantageous amid increased virtual connectivity and a change in viewpoint on traditional office-based models.</w:t>
      </w:r>
    </w:p>
    <w:p w14:paraId="00000012" w14:textId="77777777" w:rsidR="00F849A6" w:rsidRDefault="00000000">
      <w:pPr>
        <w:rPr>
          <w:rFonts w:ascii="Arial" w:hAnsi="Arial" w:cs="Arial"/>
          <w:sz w:val="22"/>
          <w:szCs w:val="22"/>
        </w:rPr>
      </w:pPr>
      <w:r w:rsidRPr="00C92731">
        <w:rPr>
          <w:rFonts w:ascii="Arial" w:hAnsi="Arial" w:cs="Arial"/>
          <w:sz w:val="22"/>
          <w:szCs w:val="22"/>
        </w:rPr>
        <w:t xml:space="preserve">Following the elimination of Covid restrictions, </w:t>
      </w:r>
      <w:proofErr w:type="spellStart"/>
      <w:r w:rsidRPr="00C92731">
        <w:rPr>
          <w:rFonts w:ascii="Arial" w:hAnsi="Arial" w:cs="Arial"/>
          <w:sz w:val="22"/>
          <w:szCs w:val="22"/>
        </w:rPr>
        <w:t>GreenCo</w:t>
      </w:r>
      <w:proofErr w:type="spellEnd"/>
      <w:r w:rsidRPr="00C92731">
        <w:rPr>
          <w:rFonts w:ascii="Arial" w:hAnsi="Arial" w:cs="Arial"/>
          <w:sz w:val="22"/>
          <w:szCs w:val="22"/>
        </w:rPr>
        <w:t xml:space="preserve">, a pioneer in the field of renewable energy, is now looking into adopting and maintaining flexible work </w:t>
      </w:r>
      <w:proofErr w:type="spellStart"/>
      <w:r w:rsidRPr="00C92731">
        <w:rPr>
          <w:rFonts w:ascii="Arial" w:hAnsi="Arial" w:cs="Arial"/>
          <w:sz w:val="22"/>
          <w:szCs w:val="22"/>
        </w:rPr>
        <w:t>practises</w:t>
      </w:r>
      <w:proofErr w:type="spellEnd"/>
      <w:r w:rsidRPr="00C92731">
        <w:rPr>
          <w:rFonts w:ascii="Arial" w:hAnsi="Arial" w:cs="Arial"/>
          <w:sz w:val="22"/>
          <w:szCs w:val="22"/>
        </w:rPr>
        <w:t xml:space="preserve">. The business is attempting to create and implement a policy while navigating the transitional stage that strikes a balance between corporate requirements, worker productivity, and well-being. </w:t>
      </w:r>
      <w:proofErr w:type="spellStart"/>
      <w:r w:rsidRPr="00C92731">
        <w:rPr>
          <w:rFonts w:ascii="Arial" w:hAnsi="Arial" w:cs="Arial"/>
          <w:sz w:val="22"/>
          <w:szCs w:val="22"/>
        </w:rPr>
        <w:t>GreenCo's</w:t>
      </w:r>
      <w:proofErr w:type="spellEnd"/>
      <w:r w:rsidRPr="00C92731">
        <w:rPr>
          <w:rFonts w:ascii="Arial" w:hAnsi="Arial" w:cs="Arial"/>
          <w:sz w:val="22"/>
          <w:szCs w:val="22"/>
        </w:rPr>
        <w:t xml:space="preserve"> stance on remote work and flexible scheduling has turned into a crucial area of concentration in order to keep its competitive edge and adapt to the changing market conditions.</w:t>
      </w:r>
    </w:p>
    <w:p w14:paraId="0A8A939E" w14:textId="77777777" w:rsidR="00B4497D" w:rsidRPr="009A515A" w:rsidRDefault="00B4497D">
      <w:pPr>
        <w:rPr>
          <w:rFonts w:ascii="Arial" w:hAnsi="Arial" w:cs="Arial"/>
          <w:sz w:val="22"/>
          <w:szCs w:val="22"/>
          <w:lang w:val="en-GB"/>
        </w:rPr>
      </w:pPr>
    </w:p>
    <w:p w14:paraId="22D3CD33" w14:textId="77777777" w:rsidR="00B4497D" w:rsidRDefault="00B4497D">
      <w:pPr>
        <w:rPr>
          <w:rFonts w:ascii="Arial" w:hAnsi="Arial" w:cs="Arial"/>
          <w:sz w:val="22"/>
          <w:szCs w:val="22"/>
        </w:rPr>
      </w:pPr>
    </w:p>
    <w:p w14:paraId="60155FD5" w14:textId="77777777" w:rsidR="00B4497D" w:rsidRDefault="00B4497D">
      <w:pPr>
        <w:rPr>
          <w:rFonts w:ascii="Arial" w:hAnsi="Arial" w:cs="Arial"/>
          <w:sz w:val="22"/>
          <w:szCs w:val="22"/>
        </w:rPr>
      </w:pPr>
    </w:p>
    <w:p w14:paraId="01122D9F" w14:textId="77777777" w:rsidR="00B4497D" w:rsidRDefault="00B4497D">
      <w:pPr>
        <w:rPr>
          <w:rFonts w:ascii="Arial" w:hAnsi="Arial" w:cs="Arial"/>
          <w:sz w:val="22"/>
          <w:szCs w:val="22"/>
        </w:rPr>
      </w:pPr>
    </w:p>
    <w:p w14:paraId="5E7C56CD" w14:textId="77777777" w:rsidR="00B4497D" w:rsidRDefault="00B4497D">
      <w:pPr>
        <w:rPr>
          <w:rFonts w:ascii="Arial" w:hAnsi="Arial" w:cs="Arial"/>
          <w:sz w:val="22"/>
          <w:szCs w:val="22"/>
        </w:rPr>
      </w:pPr>
    </w:p>
    <w:p w14:paraId="54766F3A" w14:textId="77777777" w:rsidR="00B4497D" w:rsidRDefault="00B4497D">
      <w:pPr>
        <w:rPr>
          <w:rFonts w:ascii="Arial" w:hAnsi="Arial" w:cs="Arial"/>
          <w:sz w:val="22"/>
          <w:szCs w:val="22"/>
        </w:rPr>
      </w:pPr>
    </w:p>
    <w:p w14:paraId="7BB56F0C" w14:textId="77777777" w:rsidR="00B4497D" w:rsidRDefault="00B4497D">
      <w:pPr>
        <w:rPr>
          <w:rFonts w:ascii="Arial" w:hAnsi="Arial" w:cs="Arial"/>
          <w:sz w:val="22"/>
          <w:szCs w:val="22"/>
        </w:rPr>
      </w:pPr>
    </w:p>
    <w:p w14:paraId="3A1C85FA" w14:textId="77777777" w:rsidR="00B4497D" w:rsidRDefault="00B4497D">
      <w:pPr>
        <w:rPr>
          <w:rFonts w:ascii="Arial" w:hAnsi="Arial" w:cs="Arial"/>
          <w:sz w:val="22"/>
          <w:szCs w:val="22"/>
        </w:rPr>
      </w:pPr>
    </w:p>
    <w:p w14:paraId="7FB3F259" w14:textId="77777777" w:rsidR="00B4497D" w:rsidRDefault="00B4497D">
      <w:pPr>
        <w:rPr>
          <w:rFonts w:ascii="Arial" w:hAnsi="Arial" w:cs="Arial"/>
          <w:sz w:val="22"/>
          <w:szCs w:val="22"/>
        </w:rPr>
      </w:pPr>
    </w:p>
    <w:p w14:paraId="572BE4D9" w14:textId="77777777" w:rsidR="00B4497D" w:rsidRDefault="00B4497D">
      <w:pPr>
        <w:rPr>
          <w:rFonts w:ascii="Arial" w:hAnsi="Arial" w:cs="Arial"/>
          <w:sz w:val="22"/>
          <w:szCs w:val="22"/>
        </w:rPr>
      </w:pPr>
    </w:p>
    <w:p w14:paraId="12FC65F5" w14:textId="77777777" w:rsidR="00B4497D" w:rsidRPr="00C92731" w:rsidRDefault="00B4497D">
      <w:pPr>
        <w:rPr>
          <w:rFonts w:ascii="Arial" w:hAnsi="Arial" w:cs="Arial"/>
          <w:sz w:val="22"/>
          <w:szCs w:val="22"/>
        </w:rPr>
      </w:pPr>
    </w:p>
    <w:p w14:paraId="00000013" w14:textId="77777777" w:rsidR="00F849A6" w:rsidRPr="00C92731" w:rsidRDefault="00000000">
      <w:pPr>
        <w:pStyle w:val="Heading1"/>
        <w:jc w:val="left"/>
        <w:rPr>
          <w:rFonts w:ascii="Arial" w:hAnsi="Arial" w:cs="Arial"/>
          <w:sz w:val="22"/>
          <w:szCs w:val="22"/>
        </w:rPr>
      </w:pPr>
      <w:bookmarkStart w:id="9" w:name="_Toc140778991"/>
      <w:r w:rsidRPr="00C92731">
        <w:rPr>
          <w:rFonts w:ascii="Arial" w:hAnsi="Arial" w:cs="Arial"/>
          <w:sz w:val="22"/>
          <w:szCs w:val="22"/>
        </w:rPr>
        <w:lastRenderedPageBreak/>
        <w:t>Benefits of Implementing Flexible Working Stra</w:t>
      </w:r>
      <w:r w:rsidRPr="00C92731">
        <w:rPr>
          <w:rFonts w:ascii="Arial" w:hAnsi="Arial" w:cs="Arial"/>
          <w:b w:val="0"/>
          <w:sz w:val="22"/>
          <w:szCs w:val="22"/>
        </w:rPr>
        <w:t>t</w:t>
      </w:r>
      <w:r w:rsidRPr="00C92731">
        <w:rPr>
          <w:rFonts w:ascii="Arial" w:hAnsi="Arial" w:cs="Arial"/>
          <w:sz w:val="22"/>
          <w:szCs w:val="22"/>
        </w:rPr>
        <w:t>egies</w:t>
      </w:r>
      <w:bookmarkEnd w:id="9"/>
    </w:p>
    <w:p w14:paraId="00000014" w14:textId="77777777" w:rsidR="00F849A6" w:rsidRPr="00C92731" w:rsidRDefault="00000000">
      <w:pPr>
        <w:rPr>
          <w:rFonts w:ascii="Arial" w:hAnsi="Arial" w:cs="Arial"/>
          <w:sz w:val="22"/>
          <w:szCs w:val="22"/>
        </w:rPr>
      </w:pPr>
      <w:r w:rsidRPr="00C92731">
        <w:rPr>
          <w:rFonts w:ascii="Arial" w:hAnsi="Arial" w:cs="Arial"/>
          <w:sz w:val="22"/>
          <w:szCs w:val="22"/>
        </w:rPr>
        <w:t xml:space="preserve">Employing flexible working solutions have several advantages for both people and </w:t>
      </w:r>
      <w:proofErr w:type="spellStart"/>
      <w:r w:rsidRPr="00C92731">
        <w:rPr>
          <w:rFonts w:ascii="Arial" w:hAnsi="Arial" w:cs="Arial"/>
          <w:sz w:val="22"/>
          <w:szCs w:val="22"/>
        </w:rPr>
        <w:t>organisations</w:t>
      </w:r>
      <w:proofErr w:type="spellEnd"/>
      <w:r w:rsidRPr="00C92731">
        <w:rPr>
          <w:rFonts w:ascii="Arial" w:hAnsi="Arial" w:cs="Arial"/>
          <w:sz w:val="22"/>
          <w:szCs w:val="22"/>
        </w:rPr>
        <w:t>. A few of the most significant advantages are outlined and explained here.</w:t>
      </w:r>
    </w:p>
    <w:p w14:paraId="00000015" w14:textId="25111387" w:rsidR="00F849A6" w:rsidRPr="00C92731" w:rsidRDefault="00000000">
      <w:pPr>
        <w:numPr>
          <w:ilvl w:val="0"/>
          <w:numId w:val="1"/>
        </w:numPr>
        <w:spacing w:after="0"/>
        <w:rPr>
          <w:rFonts w:ascii="Arial" w:hAnsi="Arial" w:cs="Arial"/>
          <w:sz w:val="22"/>
          <w:szCs w:val="22"/>
        </w:rPr>
      </w:pPr>
      <w:r w:rsidRPr="00C92731">
        <w:rPr>
          <w:rFonts w:ascii="Arial" w:eastAsia="EB Garamond" w:hAnsi="Arial" w:cs="Arial"/>
          <w:b/>
          <w:sz w:val="22"/>
          <w:szCs w:val="22"/>
        </w:rPr>
        <w:t xml:space="preserve">Increased Employee Satisfaction: </w:t>
      </w:r>
      <w:r w:rsidRPr="00C92731">
        <w:rPr>
          <w:rFonts w:ascii="Arial" w:hAnsi="Arial" w:cs="Arial"/>
          <w:sz w:val="22"/>
          <w:szCs w:val="22"/>
        </w:rPr>
        <w:t xml:space="preserve">Flexible work arrangements have reportedly been linked to higher levels of employee satisfaction, according to </w:t>
      </w:r>
      <w:r w:rsidR="009A515A" w:rsidRPr="00C92731">
        <w:rPr>
          <w:rFonts w:ascii="Arial" w:hAnsi="Arial" w:cs="Arial"/>
          <w:sz w:val="22"/>
          <w:szCs w:val="22"/>
        </w:rPr>
        <w:t>several</w:t>
      </w:r>
      <w:r w:rsidRPr="00C92731">
        <w:rPr>
          <w:rFonts w:ascii="Arial" w:hAnsi="Arial" w:cs="Arial"/>
          <w:sz w:val="22"/>
          <w:szCs w:val="22"/>
        </w:rPr>
        <w:t xml:space="preserve"> studies (Idris, 2014). Companies can improve morale and job satisfaction by giving employees the option to choose their own schedules and locations. In addition to fostering a nice work atmosphere, this increases employee engagement. According to a study by the International Workplace Group, more flexible work schedules increased productivity for 85% of </w:t>
      </w:r>
      <w:proofErr w:type="spellStart"/>
      <w:r w:rsidRPr="00C92731">
        <w:rPr>
          <w:rFonts w:ascii="Arial" w:hAnsi="Arial" w:cs="Arial"/>
          <w:sz w:val="22"/>
          <w:szCs w:val="22"/>
        </w:rPr>
        <w:t>organisations</w:t>
      </w:r>
      <w:proofErr w:type="spellEnd"/>
      <w:r w:rsidRPr="00C92731">
        <w:rPr>
          <w:rFonts w:ascii="Arial" w:hAnsi="Arial" w:cs="Arial"/>
          <w:sz w:val="22"/>
          <w:szCs w:val="22"/>
        </w:rPr>
        <w:t>, and this directly affected employee happiness (IWG, 2019).</w:t>
      </w:r>
    </w:p>
    <w:p w14:paraId="00000016" w14:textId="77777777" w:rsidR="00F849A6" w:rsidRPr="00C92731" w:rsidRDefault="00000000">
      <w:pPr>
        <w:numPr>
          <w:ilvl w:val="0"/>
          <w:numId w:val="1"/>
        </w:numPr>
        <w:spacing w:after="0"/>
        <w:rPr>
          <w:rFonts w:ascii="Arial" w:hAnsi="Arial" w:cs="Arial"/>
          <w:sz w:val="22"/>
          <w:szCs w:val="22"/>
        </w:rPr>
      </w:pPr>
      <w:r w:rsidRPr="00C92731">
        <w:rPr>
          <w:rFonts w:ascii="Arial" w:eastAsia="EB Garamond" w:hAnsi="Arial" w:cs="Arial"/>
          <w:b/>
          <w:sz w:val="22"/>
          <w:szCs w:val="22"/>
        </w:rPr>
        <w:t>Improved Work-Life Balance:</w:t>
      </w:r>
      <w:r w:rsidRPr="00C92731">
        <w:rPr>
          <w:rFonts w:ascii="Arial" w:hAnsi="Arial" w:cs="Arial"/>
          <w:sz w:val="22"/>
          <w:szCs w:val="22"/>
        </w:rPr>
        <w:t xml:space="preserve"> In traditional, rigid work schedules, employees frequently find it difficult to successfully balance their professional and personal obligations. Companies can support their employees in maintaining a healthier work-life balance by offering flexibility (</w:t>
      </w:r>
      <w:proofErr w:type="spellStart"/>
      <w:r w:rsidRPr="00C92731">
        <w:rPr>
          <w:rFonts w:ascii="Arial" w:hAnsi="Arial" w:cs="Arial"/>
          <w:sz w:val="22"/>
          <w:szCs w:val="22"/>
        </w:rPr>
        <w:t>Amrirul</w:t>
      </w:r>
      <w:proofErr w:type="spellEnd"/>
      <w:r w:rsidRPr="00C92731">
        <w:rPr>
          <w:rFonts w:ascii="Arial" w:hAnsi="Arial" w:cs="Arial"/>
          <w:sz w:val="22"/>
          <w:szCs w:val="22"/>
        </w:rPr>
        <w:t xml:space="preserve">, 2020). This could entail having flexible start and finish times, having the option to work from home, or even having shorter workweeks. A healthy balance between work and life can greatly </w:t>
      </w:r>
      <w:proofErr w:type="spellStart"/>
      <w:r w:rsidRPr="00C92731">
        <w:rPr>
          <w:rFonts w:ascii="Arial" w:hAnsi="Arial" w:cs="Arial"/>
          <w:sz w:val="22"/>
          <w:szCs w:val="22"/>
        </w:rPr>
        <w:t>minimise</w:t>
      </w:r>
      <w:proofErr w:type="spellEnd"/>
      <w:r w:rsidRPr="00C92731">
        <w:rPr>
          <w:rFonts w:ascii="Arial" w:hAnsi="Arial" w:cs="Arial"/>
          <w:sz w:val="22"/>
          <w:szCs w:val="22"/>
        </w:rPr>
        <w:t xml:space="preserve"> stress and burnout while also enhancing general health and job happiness.</w:t>
      </w:r>
    </w:p>
    <w:p w14:paraId="00000017" w14:textId="77777777" w:rsidR="00F849A6" w:rsidRPr="00C92731" w:rsidRDefault="00000000">
      <w:pPr>
        <w:numPr>
          <w:ilvl w:val="0"/>
          <w:numId w:val="1"/>
        </w:numPr>
        <w:spacing w:after="0"/>
        <w:rPr>
          <w:rFonts w:ascii="Arial" w:hAnsi="Arial" w:cs="Arial"/>
          <w:sz w:val="22"/>
          <w:szCs w:val="22"/>
        </w:rPr>
      </w:pPr>
      <w:r w:rsidRPr="00C92731">
        <w:rPr>
          <w:rFonts w:ascii="Arial" w:eastAsia="EB Garamond" w:hAnsi="Arial" w:cs="Arial"/>
          <w:b/>
          <w:sz w:val="22"/>
          <w:szCs w:val="22"/>
        </w:rPr>
        <w:t xml:space="preserve">Enhanced Productivity: </w:t>
      </w:r>
      <w:r w:rsidRPr="00C92731">
        <w:rPr>
          <w:rFonts w:ascii="Arial" w:hAnsi="Arial" w:cs="Arial"/>
          <w:sz w:val="22"/>
          <w:szCs w:val="22"/>
        </w:rPr>
        <w:t xml:space="preserve">The potential boost in productivity is a major benefit of flexible working. This may seem contradictory given the widespread perception that offices promote a working mindset. But several studies back up this assertion. For instance, a two-year Stanford study of a Chinese tourism agency's staff members found that those who worked from home performed 13% better (Bloom </w:t>
      </w:r>
      <w:r w:rsidRPr="00C92731">
        <w:rPr>
          <w:rFonts w:ascii="Arial" w:hAnsi="Arial" w:cs="Arial"/>
          <w:i/>
          <w:sz w:val="22"/>
          <w:szCs w:val="22"/>
        </w:rPr>
        <w:t>et al.,</w:t>
      </w:r>
      <w:r w:rsidRPr="00C92731">
        <w:rPr>
          <w:rFonts w:ascii="Arial" w:hAnsi="Arial" w:cs="Arial"/>
          <w:sz w:val="22"/>
          <w:szCs w:val="22"/>
        </w:rPr>
        <w:t xml:space="preserve"> 2013). This was linked to fewer breaks and sick days, as well as a quieter and more comfortable working atmosphere. The advantages of this enhanced productivity translate to </w:t>
      </w:r>
      <w:proofErr w:type="spellStart"/>
      <w:r w:rsidRPr="00C92731">
        <w:rPr>
          <w:rFonts w:ascii="Arial" w:hAnsi="Arial" w:cs="Arial"/>
          <w:sz w:val="22"/>
          <w:szCs w:val="22"/>
        </w:rPr>
        <w:t>organisational</w:t>
      </w:r>
      <w:proofErr w:type="spellEnd"/>
      <w:r w:rsidRPr="00C92731">
        <w:rPr>
          <w:rFonts w:ascii="Arial" w:hAnsi="Arial" w:cs="Arial"/>
          <w:sz w:val="22"/>
          <w:szCs w:val="22"/>
        </w:rPr>
        <w:t xml:space="preserve"> success in addition to giving the personnel a sense of accomplishment.</w:t>
      </w:r>
    </w:p>
    <w:p w14:paraId="00000018" w14:textId="283892FA" w:rsidR="00F849A6" w:rsidRPr="00C92731" w:rsidRDefault="00000000">
      <w:pPr>
        <w:numPr>
          <w:ilvl w:val="0"/>
          <w:numId w:val="1"/>
        </w:numPr>
        <w:rPr>
          <w:rFonts w:ascii="Arial" w:hAnsi="Arial" w:cs="Arial"/>
          <w:sz w:val="22"/>
          <w:szCs w:val="22"/>
        </w:rPr>
      </w:pPr>
      <w:r w:rsidRPr="00C92731">
        <w:rPr>
          <w:rFonts w:ascii="Arial" w:eastAsia="EB Garamond" w:hAnsi="Arial" w:cs="Arial"/>
          <w:b/>
          <w:sz w:val="22"/>
          <w:szCs w:val="22"/>
        </w:rPr>
        <w:t xml:space="preserve">Talent Attraction and Retention: </w:t>
      </w:r>
      <w:r w:rsidRPr="00C92731">
        <w:rPr>
          <w:rFonts w:ascii="Arial" w:hAnsi="Arial" w:cs="Arial"/>
          <w:sz w:val="22"/>
          <w:szCs w:val="22"/>
        </w:rPr>
        <w:t xml:space="preserve">Flexible work arrangements can also be an effective tool for luring and keeping top talent. According to a </w:t>
      </w:r>
      <w:r w:rsidR="009A515A" w:rsidRPr="00C92731">
        <w:rPr>
          <w:rFonts w:ascii="Arial" w:hAnsi="Arial" w:cs="Arial"/>
          <w:sz w:val="22"/>
          <w:szCs w:val="22"/>
        </w:rPr>
        <w:t>Flex Jobs</w:t>
      </w:r>
      <w:r w:rsidRPr="00C92731">
        <w:rPr>
          <w:rFonts w:ascii="Arial" w:hAnsi="Arial" w:cs="Arial"/>
          <w:sz w:val="22"/>
          <w:szCs w:val="22"/>
        </w:rPr>
        <w:t xml:space="preserve"> survey, 80% of workers said they would be more devoted to their employers if they had flexible work arrangements (Castrillon, 2022). Additionally, a Gallup study highlighted that 37% of workers would change jobs for one that allowed them to work part-time off-site (Mann &amp; Adkins, 2023). These statistics show how many people now choose workplace flexibility while weighing their career possibilities. Companies like </w:t>
      </w:r>
      <w:proofErr w:type="spellStart"/>
      <w:r w:rsidRPr="00C92731">
        <w:rPr>
          <w:rFonts w:ascii="Arial" w:hAnsi="Arial" w:cs="Arial"/>
          <w:sz w:val="22"/>
          <w:szCs w:val="22"/>
        </w:rPr>
        <w:t>GreenCo</w:t>
      </w:r>
      <w:proofErr w:type="spellEnd"/>
      <w:r w:rsidRPr="00C92731">
        <w:rPr>
          <w:rFonts w:ascii="Arial" w:hAnsi="Arial" w:cs="Arial"/>
          <w:sz w:val="22"/>
          <w:szCs w:val="22"/>
        </w:rPr>
        <w:t xml:space="preserve"> may be able to reduce turnover rates </w:t>
      </w:r>
      <w:r w:rsidRPr="00C92731">
        <w:rPr>
          <w:rFonts w:ascii="Arial" w:hAnsi="Arial" w:cs="Arial"/>
          <w:sz w:val="22"/>
          <w:szCs w:val="22"/>
        </w:rPr>
        <w:lastRenderedPageBreak/>
        <w:t>and entice employees with the best credentials to join their teams by cultivating an environment that respects individual needs and encourages work-life integration.</w:t>
      </w:r>
    </w:p>
    <w:p w14:paraId="00000019" w14:textId="77777777" w:rsidR="00F849A6" w:rsidRPr="00C92731" w:rsidRDefault="00000000">
      <w:pPr>
        <w:rPr>
          <w:rFonts w:ascii="Arial" w:hAnsi="Arial" w:cs="Arial"/>
          <w:sz w:val="22"/>
          <w:szCs w:val="22"/>
        </w:rPr>
      </w:pPr>
      <w:r w:rsidRPr="00C92731">
        <w:rPr>
          <w:rFonts w:ascii="Arial" w:hAnsi="Arial" w:cs="Arial"/>
          <w:sz w:val="22"/>
          <w:szCs w:val="22"/>
        </w:rPr>
        <w:t xml:space="preserve">In conclusion, the idea of flexible working offers a wide range of advantages that can improve </w:t>
      </w:r>
      <w:proofErr w:type="spellStart"/>
      <w:r w:rsidRPr="00C92731">
        <w:rPr>
          <w:rFonts w:ascii="Arial" w:hAnsi="Arial" w:cs="Arial"/>
          <w:sz w:val="22"/>
          <w:szCs w:val="22"/>
        </w:rPr>
        <w:t>GreenCo's</w:t>
      </w:r>
      <w:proofErr w:type="spellEnd"/>
      <w:r w:rsidRPr="00C92731">
        <w:rPr>
          <w:rFonts w:ascii="Arial" w:hAnsi="Arial" w:cs="Arial"/>
          <w:sz w:val="22"/>
          <w:szCs w:val="22"/>
        </w:rPr>
        <w:t xml:space="preserve"> overall operational efficiency, employee satisfaction, and talent acquisition, indicating the success of this approach as a crucial business strategy.</w:t>
      </w:r>
    </w:p>
    <w:p w14:paraId="0000001A" w14:textId="77777777" w:rsidR="00F849A6" w:rsidRPr="00C92731" w:rsidRDefault="00000000">
      <w:pPr>
        <w:pStyle w:val="Heading1"/>
        <w:jc w:val="left"/>
        <w:rPr>
          <w:rFonts w:ascii="Arial" w:hAnsi="Arial" w:cs="Arial"/>
          <w:sz w:val="22"/>
          <w:szCs w:val="22"/>
        </w:rPr>
      </w:pPr>
      <w:bookmarkStart w:id="10" w:name="_Toc140778992"/>
      <w:r w:rsidRPr="00C92731">
        <w:rPr>
          <w:rFonts w:ascii="Arial" w:hAnsi="Arial" w:cs="Arial"/>
          <w:sz w:val="22"/>
          <w:szCs w:val="22"/>
        </w:rPr>
        <w:t>Considerations for Implementing Flexible Working</w:t>
      </w:r>
      <w:bookmarkEnd w:id="10"/>
    </w:p>
    <w:p w14:paraId="0000001B" w14:textId="77777777" w:rsidR="00F849A6" w:rsidRPr="00C92731" w:rsidRDefault="00000000">
      <w:pPr>
        <w:rPr>
          <w:rFonts w:ascii="Arial" w:hAnsi="Arial" w:cs="Arial"/>
          <w:sz w:val="22"/>
          <w:szCs w:val="22"/>
        </w:rPr>
      </w:pPr>
      <w:proofErr w:type="spellStart"/>
      <w:r w:rsidRPr="00C92731">
        <w:rPr>
          <w:rFonts w:ascii="Arial" w:hAnsi="Arial" w:cs="Arial"/>
          <w:sz w:val="22"/>
          <w:szCs w:val="22"/>
        </w:rPr>
        <w:t>GreenCo</w:t>
      </w:r>
      <w:proofErr w:type="spellEnd"/>
      <w:r w:rsidRPr="00C92731">
        <w:rPr>
          <w:rFonts w:ascii="Arial" w:hAnsi="Arial" w:cs="Arial"/>
          <w:sz w:val="22"/>
          <w:szCs w:val="22"/>
        </w:rPr>
        <w:t xml:space="preserve"> must </w:t>
      </w:r>
      <w:proofErr w:type="gramStart"/>
      <w:r w:rsidRPr="00C92731">
        <w:rPr>
          <w:rFonts w:ascii="Arial" w:hAnsi="Arial" w:cs="Arial"/>
          <w:sz w:val="22"/>
          <w:szCs w:val="22"/>
        </w:rPr>
        <w:t>take into account</w:t>
      </w:r>
      <w:proofErr w:type="gramEnd"/>
      <w:r w:rsidRPr="00C92731">
        <w:rPr>
          <w:rFonts w:ascii="Arial" w:hAnsi="Arial" w:cs="Arial"/>
          <w:sz w:val="22"/>
          <w:szCs w:val="22"/>
        </w:rPr>
        <w:t xml:space="preserve"> a number of crucial criteria while introducing flexible working:</w:t>
      </w:r>
    </w:p>
    <w:p w14:paraId="0000001C" w14:textId="77777777" w:rsidR="00F849A6" w:rsidRPr="00C92731" w:rsidRDefault="00000000">
      <w:pPr>
        <w:numPr>
          <w:ilvl w:val="0"/>
          <w:numId w:val="2"/>
        </w:numPr>
        <w:spacing w:after="0"/>
        <w:rPr>
          <w:rFonts w:ascii="Arial" w:hAnsi="Arial" w:cs="Arial"/>
          <w:sz w:val="22"/>
          <w:szCs w:val="22"/>
        </w:rPr>
      </w:pPr>
      <w:r w:rsidRPr="00C92731">
        <w:rPr>
          <w:rFonts w:ascii="Arial" w:eastAsia="EB Garamond" w:hAnsi="Arial" w:cs="Arial"/>
          <w:b/>
          <w:sz w:val="22"/>
          <w:szCs w:val="22"/>
        </w:rPr>
        <w:t xml:space="preserve">Roles and suitability for jobs: </w:t>
      </w:r>
      <w:r w:rsidRPr="00C92731">
        <w:rPr>
          <w:rFonts w:ascii="Arial" w:hAnsi="Arial" w:cs="Arial"/>
          <w:sz w:val="22"/>
          <w:szCs w:val="22"/>
        </w:rPr>
        <w:t xml:space="preserve">Flexible work schedules are not appropriate for all employment </w:t>
      </w:r>
      <w:proofErr w:type="spellStart"/>
      <w:r w:rsidRPr="00C92731">
        <w:rPr>
          <w:rFonts w:ascii="Arial" w:hAnsi="Arial" w:cs="Arial"/>
          <w:sz w:val="22"/>
          <w:szCs w:val="22"/>
        </w:rPr>
        <w:t>roles</w:t>
      </w:r>
      <w:proofErr w:type="spellEnd"/>
      <w:r w:rsidRPr="00C92731">
        <w:rPr>
          <w:rFonts w:ascii="Arial" w:hAnsi="Arial" w:cs="Arial"/>
          <w:sz w:val="22"/>
          <w:szCs w:val="22"/>
        </w:rPr>
        <w:t xml:space="preserve">. Understanding the nature of the employment is essential; some professional responsibilities, such as those requiring face-to-face client meetings or highly collaborative tasks, may not lend themselves well to flexible working (Atiku and Jeremiah, 2020). Roles that may be performed alone and with little need for physical resources may be more suited for such arrangements. To find a balance between on-site presence and remote </w:t>
      </w:r>
      <w:proofErr w:type="spellStart"/>
      <w:r w:rsidRPr="00C92731">
        <w:rPr>
          <w:rFonts w:ascii="Arial" w:hAnsi="Arial" w:cs="Arial"/>
          <w:sz w:val="22"/>
          <w:szCs w:val="22"/>
        </w:rPr>
        <w:t>labour</w:t>
      </w:r>
      <w:proofErr w:type="spellEnd"/>
      <w:r w:rsidRPr="00C92731">
        <w:rPr>
          <w:rFonts w:ascii="Arial" w:hAnsi="Arial" w:cs="Arial"/>
          <w:sz w:val="22"/>
          <w:szCs w:val="22"/>
        </w:rPr>
        <w:t xml:space="preserve"> that maintains productivity without sacrificing operational efficiency, </w:t>
      </w:r>
      <w:proofErr w:type="spellStart"/>
      <w:r w:rsidRPr="00C92731">
        <w:rPr>
          <w:rFonts w:ascii="Arial" w:hAnsi="Arial" w:cs="Arial"/>
          <w:sz w:val="22"/>
          <w:szCs w:val="22"/>
        </w:rPr>
        <w:t>GreenCo</w:t>
      </w:r>
      <w:proofErr w:type="spellEnd"/>
      <w:r w:rsidRPr="00C92731">
        <w:rPr>
          <w:rFonts w:ascii="Arial" w:hAnsi="Arial" w:cs="Arial"/>
          <w:sz w:val="22"/>
          <w:szCs w:val="22"/>
        </w:rPr>
        <w:t xml:space="preserve"> should thoroughly examine job functions.</w:t>
      </w:r>
    </w:p>
    <w:p w14:paraId="0000001D" w14:textId="77777777" w:rsidR="00F849A6" w:rsidRPr="00C92731" w:rsidRDefault="00000000">
      <w:pPr>
        <w:numPr>
          <w:ilvl w:val="0"/>
          <w:numId w:val="2"/>
        </w:numPr>
        <w:spacing w:after="0"/>
        <w:rPr>
          <w:rFonts w:ascii="Arial" w:hAnsi="Arial" w:cs="Arial"/>
          <w:sz w:val="22"/>
          <w:szCs w:val="22"/>
        </w:rPr>
      </w:pPr>
      <w:r w:rsidRPr="00C92731">
        <w:rPr>
          <w:rFonts w:ascii="Arial" w:eastAsia="EB Garamond" w:hAnsi="Arial" w:cs="Arial"/>
          <w:b/>
          <w:sz w:val="22"/>
          <w:szCs w:val="22"/>
        </w:rPr>
        <w:t>Collaboration and Communication:</w:t>
      </w:r>
      <w:r w:rsidRPr="00C92731">
        <w:rPr>
          <w:rFonts w:ascii="Arial" w:hAnsi="Arial" w:cs="Arial"/>
          <w:sz w:val="22"/>
          <w:szCs w:val="22"/>
        </w:rPr>
        <w:t xml:space="preserve"> Even if technology has made virtual communication simple, it can still make it difficult to work together. In distant work environments, the lack of face-to-face engagement can result in loneliness, misunderstandings, and a decline in team cohesiveness. </w:t>
      </w:r>
      <w:proofErr w:type="spellStart"/>
      <w:r w:rsidRPr="00C92731">
        <w:rPr>
          <w:rFonts w:ascii="Arial" w:hAnsi="Arial" w:cs="Arial"/>
          <w:sz w:val="22"/>
          <w:szCs w:val="22"/>
        </w:rPr>
        <w:t>GreenCo</w:t>
      </w:r>
      <w:proofErr w:type="spellEnd"/>
      <w:r w:rsidRPr="00C92731">
        <w:rPr>
          <w:rFonts w:ascii="Arial" w:hAnsi="Arial" w:cs="Arial"/>
          <w:sz w:val="22"/>
          <w:szCs w:val="22"/>
        </w:rPr>
        <w:t xml:space="preserve"> has access to a variety of online resources and applications that support virtual team collaboration. Regular video conferences, efficient mechanisms for information flow, online team-building exercises, and the provision of essential technical assistance can provide constant and clear contact, establishing a sense of teamwork despite the distance between parties (Anderson and </w:t>
      </w:r>
      <w:proofErr w:type="spellStart"/>
      <w:r w:rsidRPr="00C92731">
        <w:rPr>
          <w:rFonts w:ascii="Arial" w:hAnsi="Arial" w:cs="Arial"/>
          <w:sz w:val="22"/>
          <w:szCs w:val="22"/>
        </w:rPr>
        <w:t>Kelliher</w:t>
      </w:r>
      <w:proofErr w:type="spellEnd"/>
      <w:r w:rsidRPr="00C92731">
        <w:rPr>
          <w:rFonts w:ascii="Arial" w:hAnsi="Arial" w:cs="Arial"/>
          <w:sz w:val="22"/>
          <w:szCs w:val="22"/>
        </w:rPr>
        <w:t>, 2020).</w:t>
      </w:r>
    </w:p>
    <w:p w14:paraId="0000001E" w14:textId="77777777" w:rsidR="00F849A6" w:rsidRPr="00C92731" w:rsidRDefault="00000000">
      <w:pPr>
        <w:numPr>
          <w:ilvl w:val="0"/>
          <w:numId w:val="2"/>
        </w:numPr>
        <w:spacing w:after="0"/>
        <w:rPr>
          <w:rFonts w:ascii="Arial" w:hAnsi="Arial" w:cs="Arial"/>
          <w:sz w:val="22"/>
          <w:szCs w:val="22"/>
        </w:rPr>
      </w:pPr>
      <w:r w:rsidRPr="00C92731">
        <w:rPr>
          <w:rFonts w:ascii="Arial" w:eastAsia="EB Garamond" w:hAnsi="Arial" w:cs="Arial"/>
          <w:b/>
          <w:sz w:val="22"/>
          <w:szCs w:val="22"/>
        </w:rPr>
        <w:t xml:space="preserve">Evaluation of Performance: </w:t>
      </w:r>
      <w:r w:rsidRPr="00C92731">
        <w:rPr>
          <w:rFonts w:ascii="Arial" w:hAnsi="Arial" w:cs="Arial"/>
          <w:sz w:val="22"/>
          <w:szCs w:val="22"/>
        </w:rPr>
        <w:t>In a flexible work environment, it might not be possible to evaluate employee performance using conventional methods. The emphasis should be on the quality and amount of output, responsiveness, and reaching established deadlines and goals rather than on the number of hours spent (</w:t>
      </w:r>
      <w:proofErr w:type="spellStart"/>
      <w:r w:rsidRPr="00C92731">
        <w:rPr>
          <w:rFonts w:ascii="Arial" w:hAnsi="Arial" w:cs="Arial"/>
          <w:sz w:val="22"/>
          <w:szCs w:val="22"/>
        </w:rPr>
        <w:t>Davidescu</w:t>
      </w:r>
      <w:proofErr w:type="spellEnd"/>
      <w:r w:rsidRPr="00C92731">
        <w:rPr>
          <w:rFonts w:ascii="Arial" w:hAnsi="Arial" w:cs="Arial"/>
          <w:sz w:val="22"/>
          <w:szCs w:val="22"/>
        </w:rPr>
        <w:t xml:space="preserve"> and </w:t>
      </w:r>
      <w:proofErr w:type="spellStart"/>
      <w:r w:rsidRPr="00C92731">
        <w:rPr>
          <w:rFonts w:ascii="Arial" w:hAnsi="Arial" w:cs="Arial"/>
          <w:sz w:val="22"/>
          <w:szCs w:val="22"/>
        </w:rPr>
        <w:t>Apostu</w:t>
      </w:r>
      <w:proofErr w:type="spellEnd"/>
      <w:r w:rsidRPr="00C92731">
        <w:rPr>
          <w:rFonts w:ascii="Arial" w:hAnsi="Arial" w:cs="Arial"/>
          <w:sz w:val="22"/>
          <w:szCs w:val="22"/>
        </w:rPr>
        <w:t xml:space="preserve">, 2020). To preserve accountability and openness, performance tracking and task management tools might be helpful. In order to continuously evaluate performance, </w:t>
      </w:r>
      <w:proofErr w:type="spellStart"/>
      <w:r w:rsidRPr="00C92731">
        <w:rPr>
          <w:rFonts w:ascii="Arial" w:hAnsi="Arial" w:cs="Arial"/>
          <w:sz w:val="22"/>
          <w:szCs w:val="22"/>
        </w:rPr>
        <w:t>GreenCo</w:t>
      </w:r>
      <w:proofErr w:type="spellEnd"/>
      <w:r w:rsidRPr="00C92731">
        <w:rPr>
          <w:rFonts w:ascii="Arial" w:hAnsi="Arial" w:cs="Arial"/>
          <w:sz w:val="22"/>
          <w:szCs w:val="22"/>
        </w:rPr>
        <w:t xml:space="preserve"> should also ensure that there are open and frequent routes for supervisory and peer input.</w:t>
      </w:r>
    </w:p>
    <w:p w14:paraId="0000001F" w14:textId="77777777" w:rsidR="00F849A6" w:rsidRPr="00C92731" w:rsidRDefault="00000000">
      <w:pPr>
        <w:numPr>
          <w:ilvl w:val="0"/>
          <w:numId w:val="2"/>
        </w:numPr>
        <w:spacing w:after="0"/>
        <w:rPr>
          <w:rFonts w:ascii="Arial" w:hAnsi="Arial" w:cs="Arial"/>
          <w:sz w:val="22"/>
          <w:szCs w:val="22"/>
        </w:rPr>
      </w:pPr>
      <w:r w:rsidRPr="00C92731">
        <w:rPr>
          <w:rFonts w:ascii="Arial" w:eastAsia="EB Garamond" w:hAnsi="Arial" w:cs="Arial"/>
          <w:b/>
          <w:sz w:val="22"/>
          <w:szCs w:val="22"/>
        </w:rPr>
        <w:t xml:space="preserve">Regulation and the Law: </w:t>
      </w:r>
      <w:r w:rsidRPr="00C92731">
        <w:rPr>
          <w:rFonts w:ascii="Arial" w:hAnsi="Arial" w:cs="Arial"/>
          <w:sz w:val="22"/>
          <w:szCs w:val="22"/>
        </w:rPr>
        <w:t xml:space="preserve">When establishing flexible work rules, compliance with the law and legal issues become vital. Careful consideration must be given to matters like working </w:t>
      </w:r>
      <w:r w:rsidRPr="00C92731">
        <w:rPr>
          <w:rFonts w:ascii="Arial" w:hAnsi="Arial" w:cs="Arial"/>
          <w:sz w:val="22"/>
          <w:szCs w:val="22"/>
        </w:rPr>
        <w:lastRenderedPageBreak/>
        <w:t xml:space="preserve">hours and overtime, confidentiality, data security, workers' compensation, and health and safety while working remotely. For instance, </w:t>
      </w:r>
      <w:proofErr w:type="spellStart"/>
      <w:r w:rsidRPr="00C92731">
        <w:rPr>
          <w:rFonts w:ascii="Arial" w:hAnsi="Arial" w:cs="Arial"/>
          <w:sz w:val="22"/>
          <w:szCs w:val="22"/>
        </w:rPr>
        <w:t>GreenCo</w:t>
      </w:r>
      <w:proofErr w:type="spellEnd"/>
      <w:r w:rsidRPr="00C92731">
        <w:rPr>
          <w:rFonts w:ascii="Arial" w:hAnsi="Arial" w:cs="Arial"/>
          <w:sz w:val="22"/>
          <w:szCs w:val="22"/>
        </w:rPr>
        <w:t xml:space="preserve"> should create a detailed policy that outlines expectations and rules for working remotely. This involves making sure that important firm information is protected by effective security procedures (Chung, 2020). To avoid potential legal issues, they should keep up with the laws and regulations in various countries (particularly for multinationals or personnel working overseas). </w:t>
      </w:r>
    </w:p>
    <w:p w14:paraId="00000020" w14:textId="77777777" w:rsidR="00F849A6" w:rsidRPr="00C92731" w:rsidRDefault="00000000">
      <w:pPr>
        <w:numPr>
          <w:ilvl w:val="0"/>
          <w:numId w:val="2"/>
        </w:numPr>
        <w:rPr>
          <w:rFonts w:ascii="Arial" w:hAnsi="Arial" w:cs="Arial"/>
          <w:sz w:val="22"/>
          <w:szCs w:val="22"/>
        </w:rPr>
      </w:pPr>
      <w:r w:rsidRPr="00C92731">
        <w:rPr>
          <w:rFonts w:ascii="Arial" w:eastAsia="EB Garamond" w:hAnsi="Arial" w:cs="Arial"/>
          <w:b/>
          <w:sz w:val="22"/>
          <w:szCs w:val="22"/>
        </w:rPr>
        <w:t>Technology and equipment requirements:</w:t>
      </w:r>
      <w:r w:rsidRPr="00C92731">
        <w:rPr>
          <w:rFonts w:ascii="Arial" w:hAnsi="Arial" w:cs="Arial"/>
          <w:sz w:val="22"/>
          <w:szCs w:val="22"/>
        </w:rPr>
        <w:t xml:space="preserve"> Employees should have access to the required technology resources because flexible work frequently entails remote work. This includes having the appropriate gear and software as well as a reliable internet connection. For any technological platforms deployed, </w:t>
      </w:r>
      <w:proofErr w:type="spellStart"/>
      <w:r w:rsidRPr="00C92731">
        <w:rPr>
          <w:rFonts w:ascii="Arial" w:hAnsi="Arial" w:cs="Arial"/>
          <w:sz w:val="22"/>
          <w:szCs w:val="22"/>
        </w:rPr>
        <w:t>GreenCo</w:t>
      </w:r>
      <w:proofErr w:type="spellEnd"/>
      <w:r w:rsidRPr="00C92731">
        <w:rPr>
          <w:rFonts w:ascii="Arial" w:hAnsi="Arial" w:cs="Arial"/>
          <w:sz w:val="22"/>
          <w:szCs w:val="22"/>
        </w:rPr>
        <w:t xml:space="preserve"> would need to make sure that staff training and troubleshooting support are offered. They might also need to think about who should be responsible for paying for and supplying these tools.</w:t>
      </w:r>
    </w:p>
    <w:p w14:paraId="00000021" w14:textId="77777777" w:rsidR="00F849A6" w:rsidRPr="00C92731" w:rsidRDefault="00000000">
      <w:pPr>
        <w:rPr>
          <w:rFonts w:ascii="Arial" w:hAnsi="Arial" w:cs="Arial"/>
          <w:sz w:val="22"/>
          <w:szCs w:val="22"/>
        </w:rPr>
      </w:pPr>
      <w:r w:rsidRPr="00C92731">
        <w:rPr>
          <w:rFonts w:ascii="Arial" w:hAnsi="Arial" w:cs="Arial"/>
          <w:sz w:val="22"/>
          <w:szCs w:val="22"/>
        </w:rPr>
        <w:t xml:space="preserve">In conclusion, if the aforementioned factors are given careful consideration, introducing flexible working arrangements can undoubtedly help </w:t>
      </w:r>
      <w:proofErr w:type="spellStart"/>
      <w:r w:rsidRPr="00C92731">
        <w:rPr>
          <w:rFonts w:ascii="Arial" w:hAnsi="Arial" w:cs="Arial"/>
          <w:sz w:val="22"/>
          <w:szCs w:val="22"/>
        </w:rPr>
        <w:t>GreenCo</w:t>
      </w:r>
      <w:proofErr w:type="spellEnd"/>
      <w:r w:rsidRPr="00C92731">
        <w:rPr>
          <w:rFonts w:ascii="Arial" w:hAnsi="Arial" w:cs="Arial"/>
          <w:sz w:val="22"/>
          <w:szCs w:val="22"/>
        </w:rPr>
        <w:t xml:space="preserve"> create a better work environment. It takes a proactive approach, technical readiness, open communication, strong leadership, and a supportive culture of trust and flexibility to implement flexible work strategies successfully.</w:t>
      </w:r>
    </w:p>
    <w:p w14:paraId="00000022" w14:textId="77777777" w:rsidR="00F849A6" w:rsidRPr="00C92731" w:rsidRDefault="00000000">
      <w:pPr>
        <w:pStyle w:val="Heading1"/>
        <w:jc w:val="left"/>
        <w:rPr>
          <w:rFonts w:ascii="Arial" w:hAnsi="Arial" w:cs="Arial"/>
          <w:sz w:val="22"/>
          <w:szCs w:val="22"/>
        </w:rPr>
      </w:pPr>
      <w:bookmarkStart w:id="11" w:name="_Toc140778993"/>
      <w:r w:rsidRPr="00C92731">
        <w:rPr>
          <w:rFonts w:ascii="Arial" w:hAnsi="Arial" w:cs="Arial"/>
          <w:sz w:val="22"/>
          <w:szCs w:val="22"/>
        </w:rPr>
        <w:t>Reconfiguring the Pay Structure</w:t>
      </w:r>
      <w:bookmarkEnd w:id="11"/>
    </w:p>
    <w:p w14:paraId="00000023" w14:textId="77777777" w:rsidR="00F849A6" w:rsidRPr="00C92731" w:rsidRDefault="00000000">
      <w:pPr>
        <w:rPr>
          <w:rFonts w:ascii="Arial" w:hAnsi="Arial" w:cs="Arial"/>
          <w:sz w:val="22"/>
          <w:szCs w:val="22"/>
        </w:rPr>
      </w:pPr>
      <w:r w:rsidRPr="00C92731">
        <w:rPr>
          <w:rFonts w:ascii="Arial" w:hAnsi="Arial" w:cs="Arial"/>
          <w:sz w:val="22"/>
          <w:szCs w:val="22"/>
        </w:rPr>
        <w:t xml:space="preserve">It is crucial to talk about how the compensation structure would need to adapt to accommodate these changes as </w:t>
      </w:r>
      <w:proofErr w:type="spellStart"/>
      <w:r w:rsidRPr="00C92731">
        <w:rPr>
          <w:rFonts w:ascii="Arial" w:hAnsi="Arial" w:cs="Arial"/>
          <w:sz w:val="22"/>
          <w:szCs w:val="22"/>
        </w:rPr>
        <w:t>GreenCo</w:t>
      </w:r>
      <w:proofErr w:type="spellEnd"/>
      <w:r w:rsidRPr="00C92731">
        <w:rPr>
          <w:rFonts w:ascii="Arial" w:hAnsi="Arial" w:cs="Arial"/>
          <w:sz w:val="22"/>
          <w:szCs w:val="22"/>
        </w:rPr>
        <w:t xml:space="preserve"> contemplates implementing flexible working options. Carefully assessing the following areas is recommended:</w:t>
      </w:r>
    </w:p>
    <w:p w14:paraId="00000024" w14:textId="77777777" w:rsidR="00F849A6" w:rsidRPr="00C92731" w:rsidRDefault="00000000">
      <w:pPr>
        <w:rPr>
          <w:rFonts w:ascii="Arial" w:eastAsia="EB Garamond" w:hAnsi="Arial" w:cs="Arial"/>
          <w:b/>
          <w:sz w:val="22"/>
          <w:szCs w:val="22"/>
        </w:rPr>
      </w:pPr>
      <w:r w:rsidRPr="00C92731">
        <w:rPr>
          <w:rFonts w:ascii="Arial" w:eastAsia="EB Garamond" w:hAnsi="Arial" w:cs="Arial"/>
          <w:b/>
          <w:sz w:val="22"/>
          <w:szCs w:val="22"/>
        </w:rPr>
        <w:t>Hourly vs. Salary Workers:</w:t>
      </w:r>
    </w:p>
    <w:p w14:paraId="00000025" w14:textId="77777777" w:rsidR="00F849A6" w:rsidRPr="00C92731" w:rsidRDefault="00000000">
      <w:pPr>
        <w:rPr>
          <w:rFonts w:ascii="Arial" w:hAnsi="Arial" w:cs="Arial"/>
          <w:sz w:val="22"/>
          <w:szCs w:val="22"/>
        </w:rPr>
      </w:pPr>
      <w:r w:rsidRPr="00C92731">
        <w:rPr>
          <w:rFonts w:ascii="Arial" w:hAnsi="Arial" w:cs="Arial"/>
          <w:sz w:val="22"/>
          <w:szCs w:val="22"/>
        </w:rPr>
        <w:t xml:space="preserve">Different effects of flexible working may be felt by hourly and salaried employees. The change to flexible work may not have a substantial influence on the pay structure for salaried employees because they are often excluded from overtime compensation. To prevent potential problems linked to workloads and performance, it is essential to establish clear guidelines on working hours and expectations. On the other hand, the flexible work paradigm may require revising the pay structure for hourly employees. </w:t>
      </w:r>
      <w:proofErr w:type="spellStart"/>
      <w:r w:rsidRPr="00C92731">
        <w:rPr>
          <w:rFonts w:ascii="Arial" w:hAnsi="Arial" w:cs="Arial"/>
          <w:sz w:val="22"/>
          <w:szCs w:val="22"/>
        </w:rPr>
        <w:t>GreenCo</w:t>
      </w:r>
      <w:proofErr w:type="spellEnd"/>
      <w:r w:rsidRPr="00C92731">
        <w:rPr>
          <w:rFonts w:ascii="Arial" w:hAnsi="Arial" w:cs="Arial"/>
          <w:sz w:val="22"/>
          <w:szCs w:val="22"/>
        </w:rPr>
        <w:t xml:space="preserve"> must set up a fair method for keeping track of employee time worked and paying them fairly for it. To ensure proper payment and prevent conflicts, this may entail the use of time-tracking systems or the provision of explicit instructions for recording work hours.</w:t>
      </w:r>
    </w:p>
    <w:p w14:paraId="00000026" w14:textId="76D789E0" w:rsidR="00F849A6" w:rsidRPr="00C92731" w:rsidRDefault="00000000">
      <w:pPr>
        <w:rPr>
          <w:rFonts w:ascii="Arial" w:hAnsi="Arial" w:cs="Arial"/>
          <w:sz w:val="22"/>
          <w:szCs w:val="22"/>
        </w:rPr>
      </w:pPr>
      <w:r w:rsidRPr="00C92731">
        <w:rPr>
          <w:rFonts w:ascii="Arial" w:eastAsia="EB Garamond" w:hAnsi="Arial" w:cs="Arial"/>
          <w:b/>
          <w:sz w:val="22"/>
          <w:szCs w:val="22"/>
        </w:rPr>
        <w:lastRenderedPageBreak/>
        <w:t>Performance-Based Compensation:</w:t>
      </w:r>
      <w:r w:rsidRPr="00C92731">
        <w:rPr>
          <w:rFonts w:ascii="Arial" w:hAnsi="Arial" w:cs="Arial"/>
          <w:sz w:val="22"/>
          <w:szCs w:val="22"/>
        </w:rPr>
        <w:t xml:space="preserve"> </w:t>
      </w:r>
      <w:proofErr w:type="spellStart"/>
      <w:r w:rsidRPr="00C92731">
        <w:rPr>
          <w:rFonts w:ascii="Arial" w:hAnsi="Arial" w:cs="Arial"/>
          <w:sz w:val="22"/>
          <w:szCs w:val="22"/>
        </w:rPr>
        <w:t>GreenCo</w:t>
      </w:r>
      <w:proofErr w:type="spellEnd"/>
      <w:r w:rsidRPr="00C92731">
        <w:rPr>
          <w:rFonts w:ascii="Arial" w:hAnsi="Arial" w:cs="Arial"/>
          <w:sz w:val="22"/>
          <w:szCs w:val="22"/>
        </w:rPr>
        <w:t xml:space="preserve"> may look at instituting performance-based compensation for some roles in the flexible work arrangement in order to promote employee accountability and productivity. Employees will have stronger incentives to perform at their best regardless of their location or work hours by connecting pay to individual and team performance indicators. To create relevant performance indicators that are in line with the goals of the firm, the HR department should collaborate closely with department heads and team leaders. Employee motivation will </w:t>
      </w:r>
      <w:r w:rsidR="009A515A" w:rsidRPr="00C92731">
        <w:rPr>
          <w:rFonts w:ascii="Arial" w:hAnsi="Arial" w:cs="Arial"/>
          <w:sz w:val="22"/>
          <w:szCs w:val="22"/>
        </w:rPr>
        <w:t>increase,</w:t>
      </w:r>
      <w:r w:rsidRPr="00C92731">
        <w:rPr>
          <w:rFonts w:ascii="Arial" w:hAnsi="Arial" w:cs="Arial"/>
          <w:sz w:val="22"/>
          <w:szCs w:val="22"/>
        </w:rPr>
        <w:t xml:space="preserve"> and they will be more aware of how their efforts affect their overall earnings if there is clear communication about these measures and the connection to pay.</w:t>
      </w:r>
    </w:p>
    <w:p w14:paraId="00000027" w14:textId="77777777" w:rsidR="00F849A6" w:rsidRPr="00C92731" w:rsidRDefault="00000000">
      <w:pPr>
        <w:rPr>
          <w:rFonts w:ascii="Arial" w:hAnsi="Arial" w:cs="Arial"/>
          <w:sz w:val="22"/>
          <w:szCs w:val="22"/>
        </w:rPr>
      </w:pPr>
      <w:r w:rsidRPr="00C92731">
        <w:rPr>
          <w:rFonts w:ascii="Arial" w:eastAsia="EB Garamond" w:hAnsi="Arial" w:cs="Arial"/>
          <w:b/>
          <w:sz w:val="22"/>
          <w:szCs w:val="22"/>
        </w:rPr>
        <w:t>Compensation Equality:</w:t>
      </w:r>
      <w:r w:rsidRPr="00C92731">
        <w:rPr>
          <w:rFonts w:ascii="Arial" w:hAnsi="Arial" w:cs="Arial"/>
          <w:sz w:val="22"/>
          <w:szCs w:val="22"/>
        </w:rPr>
        <w:t xml:space="preserve"> Maintaining fairness and pay parity among employees is one of the difficulties in introducing flexible work arrangements. Due to the nature of their jobs or their standing within the company, some people may have more access to flexible working arrangements. Inadvertent discrepancies in pay and benefits may result from this. The HR division should create clear regulations and standards for obtaining flexible work arrangements in order to allay this worry. Instead of </w:t>
      </w:r>
      <w:proofErr w:type="spellStart"/>
      <w:r w:rsidRPr="00C92731">
        <w:rPr>
          <w:rFonts w:ascii="Arial" w:hAnsi="Arial" w:cs="Arial"/>
          <w:sz w:val="22"/>
          <w:szCs w:val="22"/>
        </w:rPr>
        <w:t>favouring</w:t>
      </w:r>
      <w:proofErr w:type="spellEnd"/>
      <w:r w:rsidRPr="00C92731">
        <w:rPr>
          <w:rFonts w:ascii="Arial" w:hAnsi="Arial" w:cs="Arial"/>
          <w:sz w:val="22"/>
          <w:szCs w:val="22"/>
        </w:rPr>
        <w:t xml:space="preserve"> certain people, these recommendations ought to be based on job titles, performance levels, and particular business demands. In order to maintain fair pay practices, HR should also routinely evaluate and </w:t>
      </w:r>
      <w:proofErr w:type="spellStart"/>
      <w:r w:rsidRPr="00C92731">
        <w:rPr>
          <w:rFonts w:ascii="Arial" w:hAnsi="Arial" w:cs="Arial"/>
          <w:sz w:val="22"/>
          <w:szCs w:val="22"/>
        </w:rPr>
        <w:t>analyse</w:t>
      </w:r>
      <w:proofErr w:type="spellEnd"/>
      <w:r w:rsidRPr="00C92731">
        <w:rPr>
          <w:rFonts w:ascii="Arial" w:hAnsi="Arial" w:cs="Arial"/>
          <w:sz w:val="22"/>
          <w:szCs w:val="22"/>
        </w:rPr>
        <w:t xml:space="preserve"> compensation data to spot any inconsistencies and take appropriate corrective action. </w:t>
      </w:r>
      <w:proofErr w:type="spellStart"/>
      <w:r w:rsidRPr="00C92731">
        <w:rPr>
          <w:rFonts w:ascii="Arial" w:hAnsi="Arial" w:cs="Arial"/>
          <w:sz w:val="22"/>
          <w:szCs w:val="22"/>
        </w:rPr>
        <w:t>GreenCo</w:t>
      </w:r>
      <w:proofErr w:type="spellEnd"/>
      <w:r w:rsidRPr="00C92731">
        <w:rPr>
          <w:rFonts w:ascii="Arial" w:hAnsi="Arial" w:cs="Arial"/>
          <w:sz w:val="22"/>
          <w:szCs w:val="22"/>
        </w:rPr>
        <w:t xml:space="preserve"> should also promote a transparent culture around pay-related decisions. Employees will feel trusted and treated fairly if pay structures and the standards for compensation changes are shared openly, perhaps reducing problems with pay equality.</w:t>
      </w:r>
    </w:p>
    <w:p w14:paraId="00000028" w14:textId="77777777" w:rsidR="00F849A6" w:rsidRDefault="00000000">
      <w:pPr>
        <w:rPr>
          <w:rFonts w:ascii="Arial" w:hAnsi="Arial" w:cs="Arial"/>
          <w:sz w:val="22"/>
          <w:szCs w:val="22"/>
        </w:rPr>
      </w:pPr>
      <w:r w:rsidRPr="00C92731">
        <w:rPr>
          <w:rFonts w:ascii="Arial" w:hAnsi="Arial" w:cs="Arial"/>
          <w:sz w:val="22"/>
          <w:szCs w:val="22"/>
        </w:rPr>
        <w:t xml:space="preserve">In conclusion, paying close attention to the compensation structure is necessary before establishing flexible work arrangements. </w:t>
      </w:r>
      <w:proofErr w:type="spellStart"/>
      <w:r w:rsidRPr="00C92731">
        <w:rPr>
          <w:rFonts w:ascii="Arial" w:hAnsi="Arial" w:cs="Arial"/>
          <w:sz w:val="22"/>
          <w:szCs w:val="22"/>
        </w:rPr>
        <w:t>GreenCo</w:t>
      </w:r>
      <w:proofErr w:type="spellEnd"/>
      <w:r w:rsidRPr="00C92731">
        <w:rPr>
          <w:rFonts w:ascii="Arial" w:hAnsi="Arial" w:cs="Arial"/>
          <w:sz w:val="22"/>
          <w:szCs w:val="22"/>
        </w:rPr>
        <w:t xml:space="preserve"> should assess how flexible work affects both salaried and hourly workers, </w:t>
      </w:r>
      <w:proofErr w:type="gramStart"/>
      <w:r w:rsidRPr="00C92731">
        <w:rPr>
          <w:rFonts w:ascii="Arial" w:hAnsi="Arial" w:cs="Arial"/>
          <w:sz w:val="22"/>
          <w:szCs w:val="22"/>
        </w:rPr>
        <w:t>look into</w:t>
      </w:r>
      <w:proofErr w:type="gramEnd"/>
      <w:r w:rsidRPr="00C92731">
        <w:rPr>
          <w:rFonts w:ascii="Arial" w:hAnsi="Arial" w:cs="Arial"/>
          <w:sz w:val="22"/>
          <w:szCs w:val="22"/>
        </w:rPr>
        <w:t xml:space="preserve"> the viability of performance-based pay, and proactively address issues with pay equity. A thoughtful and open approach to </w:t>
      </w:r>
      <w:proofErr w:type="spellStart"/>
      <w:r w:rsidRPr="00C92731">
        <w:rPr>
          <w:rFonts w:ascii="Arial" w:hAnsi="Arial" w:cs="Arial"/>
          <w:sz w:val="22"/>
          <w:szCs w:val="22"/>
        </w:rPr>
        <w:t>reorganising</w:t>
      </w:r>
      <w:proofErr w:type="spellEnd"/>
      <w:r w:rsidRPr="00C92731">
        <w:rPr>
          <w:rFonts w:ascii="Arial" w:hAnsi="Arial" w:cs="Arial"/>
          <w:sz w:val="22"/>
          <w:szCs w:val="22"/>
        </w:rPr>
        <w:t xml:space="preserve"> the pay structure will help </w:t>
      </w:r>
      <w:proofErr w:type="spellStart"/>
      <w:r w:rsidRPr="00C92731">
        <w:rPr>
          <w:rFonts w:ascii="Arial" w:hAnsi="Arial" w:cs="Arial"/>
          <w:sz w:val="22"/>
          <w:szCs w:val="22"/>
        </w:rPr>
        <w:t>GreenCo</w:t>
      </w:r>
      <w:proofErr w:type="spellEnd"/>
      <w:r w:rsidRPr="00C92731">
        <w:rPr>
          <w:rFonts w:ascii="Arial" w:hAnsi="Arial" w:cs="Arial"/>
          <w:sz w:val="22"/>
          <w:szCs w:val="22"/>
        </w:rPr>
        <w:t xml:space="preserve"> make an equitable and effective transition to flexible employment.</w:t>
      </w:r>
    </w:p>
    <w:p w14:paraId="05A624BE" w14:textId="77777777" w:rsidR="00B4497D" w:rsidRDefault="00B4497D">
      <w:pPr>
        <w:rPr>
          <w:rFonts w:ascii="Arial" w:hAnsi="Arial" w:cs="Arial"/>
          <w:sz w:val="22"/>
          <w:szCs w:val="22"/>
        </w:rPr>
      </w:pPr>
    </w:p>
    <w:p w14:paraId="08307C5B" w14:textId="77777777" w:rsidR="00B4497D" w:rsidRDefault="00B4497D">
      <w:pPr>
        <w:rPr>
          <w:rFonts w:ascii="Arial" w:hAnsi="Arial" w:cs="Arial"/>
          <w:sz w:val="22"/>
          <w:szCs w:val="22"/>
        </w:rPr>
      </w:pPr>
    </w:p>
    <w:p w14:paraId="1328E352" w14:textId="77777777" w:rsidR="00B4497D" w:rsidRPr="00C92731" w:rsidRDefault="00B4497D">
      <w:pPr>
        <w:rPr>
          <w:rFonts w:ascii="Arial" w:hAnsi="Arial" w:cs="Arial"/>
          <w:sz w:val="22"/>
          <w:szCs w:val="22"/>
        </w:rPr>
      </w:pPr>
    </w:p>
    <w:p w14:paraId="00000029" w14:textId="77777777" w:rsidR="00F849A6" w:rsidRPr="00C92731" w:rsidRDefault="00000000">
      <w:pPr>
        <w:pStyle w:val="Heading1"/>
        <w:jc w:val="left"/>
        <w:rPr>
          <w:rFonts w:ascii="Arial" w:hAnsi="Arial" w:cs="Arial"/>
          <w:sz w:val="22"/>
          <w:szCs w:val="22"/>
        </w:rPr>
      </w:pPr>
      <w:bookmarkStart w:id="12" w:name="_Toc140778994"/>
      <w:r w:rsidRPr="00C92731">
        <w:rPr>
          <w:rFonts w:ascii="Arial" w:hAnsi="Arial" w:cs="Arial"/>
          <w:sz w:val="22"/>
          <w:szCs w:val="22"/>
        </w:rPr>
        <w:lastRenderedPageBreak/>
        <w:t>Strategies to Promote Employee Engagement</w:t>
      </w:r>
      <w:bookmarkEnd w:id="12"/>
    </w:p>
    <w:p w14:paraId="0000002A" w14:textId="77777777" w:rsidR="00F849A6" w:rsidRPr="00C92731" w:rsidRDefault="00000000">
      <w:pPr>
        <w:rPr>
          <w:rFonts w:ascii="Arial" w:hAnsi="Arial" w:cs="Arial"/>
          <w:sz w:val="22"/>
          <w:szCs w:val="22"/>
        </w:rPr>
      </w:pPr>
      <w:r w:rsidRPr="00C92731">
        <w:rPr>
          <w:rFonts w:ascii="Arial" w:hAnsi="Arial" w:cs="Arial"/>
          <w:sz w:val="22"/>
          <w:szCs w:val="22"/>
        </w:rPr>
        <w:t>Maslow's Hierarchy of Needs states that encouraging employee engagement in a flexible work environment calls for both strategic planning and persistent efforts. Traditional engagement strategies might need to be supplemented or modified when workers work remotely or on flexible schedules.</w:t>
      </w:r>
    </w:p>
    <w:p w14:paraId="0000002B" w14:textId="77777777" w:rsidR="00F849A6" w:rsidRPr="00C92731" w:rsidRDefault="00000000">
      <w:pPr>
        <w:rPr>
          <w:rFonts w:ascii="Arial" w:hAnsi="Arial" w:cs="Arial"/>
          <w:sz w:val="22"/>
          <w:szCs w:val="22"/>
        </w:rPr>
      </w:pPr>
      <w:r w:rsidRPr="00C92731">
        <w:rPr>
          <w:rFonts w:ascii="Arial" w:eastAsia="EB Garamond" w:hAnsi="Arial" w:cs="Arial"/>
          <w:b/>
          <w:sz w:val="22"/>
          <w:szCs w:val="22"/>
        </w:rPr>
        <w:t xml:space="preserve">Communication and Transparency: </w:t>
      </w:r>
      <w:r w:rsidRPr="00C92731">
        <w:rPr>
          <w:rFonts w:ascii="Arial" w:hAnsi="Arial" w:cs="Arial"/>
          <w:sz w:val="22"/>
          <w:szCs w:val="22"/>
        </w:rPr>
        <w:t>Keeping the conversation going and avoiding feelings of isolation require frequent and open communication. Tools like video conferences, virtual meetings, intranet announcements, email updates, and even internal social media platforms can help with this. Every employee needs to be aware of their responsibilities, the company's objectives, and any changes to its policies (Tao and Lee, 2022). Leaders should make sure this happens. Additionally, mechanisms for employee input should be set up so that these opinions can be heard.</w:t>
      </w:r>
    </w:p>
    <w:p w14:paraId="0000002C" w14:textId="77777777" w:rsidR="00F849A6" w:rsidRPr="00C92731" w:rsidRDefault="00000000">
      <w:pPr>
        <w:rPr>
          <w:rFonts w:ascii="Arial" w:hAnsi="Arial" w:cs="Arial"/>
          <w:sz w:val="22"/>
          <w:szCs w:val="22"/>
        </w:rPr>
      </w:pPr>
      <w:r w:rsidRPr="00C92731">
        <w:rPr>
          <w:rFonts w:ascii="Arial" w:eastAsia="EB Garamond" w:hAnsi="Arial" w:cs="Arial"/>
          <w:b/>
          <w:sz w:val="22"/>
          <w:szCs w:val="22"/>
        </w:rPr>
        <w:t>Employee Participation:</w:t>
      </w:r>
      <w:r w:rsidRPr="00C92731">
        <w:rPr>
          <w:rFonts w:ascii="Arial" w:hAnsi="Arial" w:cs="Arial"/>
          <w:sz w:val="22"/>
          <w:szCs w:val="22"/>
        </w:rPr>
        <w:t xml:space="preserve"> Employee involvement in decision-making can boost engagement because they feel more appreciated, incorporated, and committed. Regular online town hall meetings where management discusses strategic choices and hears employee ideas can be quite productive. Additionally, encouraging staff members to take part in initiatives such as "virtual brainstorming sessions" or "idea generation contests" can foster innovation and engagement.</w:t>
      </w:r>
    </w:p>
    <w:p w14:paraId="0000002D" w14:textId="77777777" w:rsidR="00F849A6" w:rsidRPr="00C92731" w:rsidRDefault="00000000">
      <w:pPr>
        <w:rPr>
          <w:rFonts w:ascii="Arial" w:hAnsi="Arial" w:cs="Arial"/>
          <w:sz w:val="22"/>
          <w:szCs w:val="22"/>
        </w:rPr>
      </w:pPr>
      <w:r w:rsidRPr="00C92731">
        <w:rPr>
          <w:rFonts w:ascii="Arial" w:eastAsia="EB Garamond" w:hAnsi="Arial" w:cs="Arial"/>
          <w:b/>
          <w:sz w:val="22"/>
          <w:szCs w:val="22"/>
        </w:rPr>
        <w:t>Virtual team-building exercises:</w:t>
      </w:r>
      <w:r w:rsidRPr="00C92731">
        <w:rPr>
          <w:rFonts w:ascii="Arial" w:hAnsi="Arial" w:cs="Arial"/>
          <w:sz w:val="22"/>
          <w:szCs w:val="22"/>
        </w:rPr>
        <w:t xml:space="preserve"> Team-building exercises can help remote workers feel a feeling of belonging and togetherness. This could take the form of regular "virtual coffee breaks," weekly virtual games, or group projects. Additionally, commemorating life milestones like birthdays or professional anniversaries can help foster inclusivity and improve interpersonal interactions.</w:t>
      </w:r>
    </w:p>
    <w:p w14:paraId="0000002E" w14:textId="77777777" w:rsidR="00F849A6" w:rsidRPr="00C92731" w:rsidRDefault="00000000">
      <w:pPr>
        <w:rPr>
          <w:rFonts w:ascii="Arial" w:hAnsi="Arial" w:cs="Arial"/>
          <w:sz w:val="22"/>
          <w:szCs w:val="22"/>
        </w:rPr>
      </w:pPr>
      <w:r w:rsidRPr="00C92731">
        <w:rPr>
          <w:rFonts w:ascii="Arial" w:eastAsia="EB Garamond" w:hAnsi="Arial" w:cs="Arial"/>
          <w:b/>
          <w:sz w:val="22"/>
          <w:szCs w:val="22"/>
        </w:rPr>
        <w:t xml:space="preserve">Training and Development: </w:t>
      </w:r>
      <w:r w:rsidRPr="00C92731">
        <w:rPr>
          <w:rFonts w:ascii="Arial" w:hAnsi="Arial" w:cs="Arial"/>
          <w:sz w:val="22"/>
          <w:szCs w:val="22"/>
        </w:rPr>
        <w:t xml:space="preserve">A key component of employee engagement is providing opportunities for professional advancement. This could include online training courses, webinars, coaching for distant employees, or virtual training sessions. Companies that invest in their employees' skill development gain better talents as a result, as well as happier, more devoted employees. Better engagement can also result from providing clear professional growth options for remote workers (Weideman and Hofmeyr, 2020). </w:t>
      </w:r>
      <w:proofErr w:type="spellStart"/>
      <w:r w:rsidRPr="00C92731">
        <w:rPr>
          <w:rFonts w:ascii="Arial" w:hAnsi="Arial" w:cs="Arial"/>
          <w:sz w:val="22"/>
          <w:szCs w:val="22"/>
        </w:rPr>
        <w:t>Recognising</w:t>
      </w:r>
      <w:proofErr w:type="spellEnd"/>
      <w:r w:rsidRPr="00C92731">
        <w:rPr>
          <w:rFonts w:ascii="Arial" w:hAnsi="Arial" w:cs="Arial"/>
          <w:sz w:val="22"/>
          <w:szCs w:val="22"/>
        </w:rPr>
        <w:t xml:space="preserve"> and rewarding employees for their accomplishments is essential to enhancing their motivation and attitude. This might be accomplished through pay raises, gifts as expressions of gratitude, or even open applause during online meetings.</w:t>
      </w:r>
    </w:p>
    <w:p w14:paraId="0000002F" w14:textId="77777777" w:rsidR="00F849A6" w:rsidRPr="00C92731" w:rsidRDefault="00000000">
      <w:pPr>
        <w:rPr>
          <w:rFonts w:ascii="Arial" w:hAnsi="Arial" w:cs="Arial"/>
          <w:sz w:val="22"/>
          <w:szCs w:val="22"/>
        </w:rPr>
      </w:pPr>
      <w:r w:rsidRPr="00C92731">
        <w:rPr>
          <w:rFonts w:ascii="Arial" w:hAnsi="Arial" w:cs="Arial"/>
          <w:sz w:val="22"/>
          <w:szCs w:val="22"/>
        </w:rPr>
        <w:lastRenderedPageBreak/>
        <w:t xml:space="preserve">By putting these tactics into practice, </w:t>
      </w:r>
      <w:proofErr w:type="spellStart"/>
      <w:r w:rsidRPr="00C92731">
        <w:rPr>
          <w:rFonts w:ascii="Arial" w:hAnsi="Arial" w:cs="Arial"/>
          <w:sz w:val="22"/>
          <w:szCs w:val="22"/>
        </w:rPr>
        <w:t>GreenCo</w:t>
      </w:r>
      <w:proofErr w:type="spellEnd"/>
      <w:r w:rsidRPr="00C92731">
        <w:rPr>
          <w:rFonts w:ascii="Arial" w:hAnsi="Arial" w:cs="Arial"/>
          <w:sz w:val="22"/>
          <w:szCs w:val="22"/>
        </w:rPr>
        <w:t xml:space="preserve"> can promote a culture of involvement, inclusivity, and trust that will boost productivity. There is no one formula that works for everyone, it should be stated. To address the </w:t>
      </w:r>
      <w:proofErr w:type="gramStart"/>
      <w:r w:rsidRPr="00C92731">
        <w:rPr>
          <w:rFonts w:ascii="Arial" w:hAnsi="Arial" w:cs="Arial"/>
          <w:sz w:val="22"/>
          <w:szCs w:val="22"/>
        </w:rPr>
        <w:t>particular demands</w:t>
      </w:r>
      <w:proofErr w:type="gramEnd"/>
      <w:r w:rsidRPr="00C92731">
        <w:rPr>
          <w:rFonts w:ascii="Arial" w:hAnsi="Arial" w:cs="Arial"/>
          <w:sz w:val="22"/>
          <w:szCs w:val="22"/>
        </w:rPr>
        <w:t xml:space="preserve"> of its workforce and </w:t>
      </w:r>
      <w:proofErr w:type="spellStart"/>
      <w:r w:rsidRPr="00C92731">
        <w:rPr>
          <w:rFonts w:ascii="Arial" w:hAnsi="Arial" w:cs="Arial"/>
          <w:sz w:val="22"/>
          <w:szCs w:val="22"/>
        </w:rPr>
        <w:t>organisational</w:t>
      </w:r>
      <w:proofErr w:type="spellEnd"/>
      <w:r w:rsidRPr="00C92731">
        <w:rPr>
          <w:rFonts w:ascii="Arial" w:hAnsi="Arial" w:cs="Arial"/>
          <w:sz w:val="22"/>
          <w:szCs w:val="22"/>
        </w:rPr>
        <w:t xml:space="preserve"> goals, the company should regularly review these plans, get input from its workers, and make any necessary revisions.</w:t>
      </w:r>
    </w:p>
    <w:p w14:paraId="00000030" w14:textId="77777777" w:rsidR="00F849A6" w:rsidRPr="00C92731" w:rsidRDefault="00000000">
      <w:pPr>
        <w:pStyle w:val="Heading1"/>
        <w:jc w:val="left"/>
        <w:rPr>
          <w:rFonts w:ascii="Arial" w:hAnsi="Arial" w:cs="Arial"/>
          <w:sz w:val="22"/>
          <w:szCs w:val="22"/>
        </w:rPr>
      </w:pPr>
      <w:bookmarkStart w:id="13" w:name="_u275j6x9fjyh" w:colFirst="0" w:colLast="0"/>
      <w:bookmarkEnd w:id="13"/>
      <w:r w:rsidRPr="00C92731">
        <w:rPr>
          <w:rFonts w:ascii="Arial" w:hAnsi="Arial" w:cs="Arial"/>
          <w:sz w:val="22"/>
          <w:szCs w:val="22"/>
        </w:rPr>
        <w:br w:type="page"/>
      </w:r>
    </w:p>
    <w:p w14:paraId="00000031" w14:textId="77777777" w:rsidR="00F849A6" w:rsidRPr="00C92731" w:rsidRDefault="00000000">
      <w:pPr>
        <w:pStyle w:val="Heading1"/>
        <w:jc w:val="left"/>
        <w:rPr>
          <w:rFonts w:ascii="Arial" w:hAnsi="Arial" w:cs="Arial"/>
          <w:sz w:val="22"/>
          <w:szCs w:val="22"/>
        </w:rPr>
      </w:pPr>
      <w:bookmarkStart w:id="14" w:name="_Toc140778995"/>
      <w:r w:rsidRPr="00C92731">
        <w:rPr>
          <w:rFonts w:ascii="Arial" w:hAnsi="Arial" w:cs="Arial"/>
          <w:sz w:val="22"/>
          <w:szCs w:val="22"/>
        </w:rPr>
        <w:lastRenderedPageBreak/>
        <w:t>Conclusion</w:t>
      </w:r>
      <w:bookmarkEnd w:id="14"/>
    </w:p>
    <w:p w14:paraId="00000032" w14:textId="77777777" w:rsidR="00F849A6" w:rsidRPr="00C92731" w:rsidRDefault="00000000">
      <w:pPr>
        <w:rPr>
          <w:rFonts w:ascii="Arial" w:hAnsi="Arial" w:cs="Arial"/>
          <w:sz w:val="22"/>
          <w:szCs w:val="22"/>
        </w:rPr>
      </w:pPr>
      <w:r w:rsidRPr="00C92731">
        <w:rPr>
          <w:rFonts w:ascii="Arial" w:hAnsi="Arial" w:cs="Arial"/>
          <w:sz w:val="22"/>
          <w:szCs w:val="22"/>
        </w:rPr>
        <w:t xml:space="preserve">In conclusion, adopting flexible working practices can benefit </w:t>
      </w:r>
      <w:proofErr w:type="spellStart"/>
      <w:r w:rsidRPr="00C92731">
        <w:rPr>
          <w:rFonts w:ascii="Arial" w:hAnsi="Arial" w:cs="Arial"/>
          <w:sz w:val="22"/>
          <w:szCs w:val="22"/>
        </w:rPr>
        <w:t>GreenCo</w:t>
      </w:r>
      <w:proofErr w:type="spellEnd"/>
      <w:r w:rsidRPr="00C92731">
        <w:rPr>
          <w:rFonts w:ascii="Arial" w:hAnsi="Arial" w:cs="Arial"/>
          <w:sz w:val="22"/>
          <w:szCs w:val="22"/>
        </w:rPr>
        <w:t xml:space="preserve"> and its workers in a variety of ways. Flexible work arrangements can boost productivity and talent retention by addressing employees' needs for a better work-life balance and elevating job satisfaction. However, before going further, </w:t>
      </w:r>
      <w:proofErr w:type="spellStart"/>
      <w:r w:rsidRPr="00C92731">
        <w:rPr>
          <w:rFonts w:ascii="Arial" w:hAnsi="Arial" w:cs="Arial"/>
          <w:sz w:val="22"/>
          <w:szCs w:val="22"/>
        </w:rPr>
        <w:t>GreenCo's</w:t>
      </w:r>
      <w:proofErr w:type="spellEnd"/>
      <w:r w:rsidRPr="00C92731">
        <w:rPr>
          <w:rFonts w:ascii="Arial" w:hAnsi="Arial" w:cs="Arial"/>
          <w:sz w:val="22"/>
          <w:szCs w:val="22"/>
        </w:rPr>
        <w:t xml:space="preserve"> HR division must carefully weigh the repercussions. When changing the pay structure, it is important to distinguish between salaried and hourly workers and, when appropriate, look at performance-based pay. Equal pay for equal </w:t>
      </w:r>
      <w:proofErr w:type="spellStart"/>
      <w:r w:rsidRPr="00C92731">
        <w:rPr>
          <w:rFonts w:ascii="Arial" w:hAnsi="Arial" w:cs="Arial"/>
          <w:sz w:val="22"/>
          <w:szCs w:val="22"/>
        </w:rPr>
        <w:t>labour</w:t>
      </w:r>
      <w:proofErr w:type="spellEnd"/>
      <w:r w:rsidRPr="00C92731">
        <w:rPr>
          <w:rFonts w:ascii="Arial" w:hAnsi="Arial" w:cs="Arial"/>
          <w:sz w:val="22"/>
          <w:szCs w:val="22"/>
        </w:rPr>
        <w:t xml:space="preserve"> will encourage a fair workplace. To reduce risks and gather important information on the effects of flexible work arrangements, a pilot </w:t>
      </w:r>
      <w:proofErr w:type="spellStart"/>
      <w:r w:rsidRPr="00C92731">
        <w:rPr>
          <w:rFonts w:ascii="Arial" w:hAnsi="Arial" w:cs="Arial"/>
          <w:sz w:val="22"/>
          <w:szCs w:val="22"/>
        </w:rPr>
        <w:t>programme</w:t>
      </w:r>
      <w:proofErr w:type="spellEnd"/>
      <w:r w:rsidRPr="00C92731">
        <w:rPr>
          <w:rFonts w:ascii="Arial" w:hAnsi="Arial" w:cs="Arial"/>
          <w:sz w:val="22"/>
          <w:szCs w:val="22"/>
        </w:rPr>
        <w:t xml:space="preserve"> and phased adoption are advised. This strategy ensures a smoother transition and enables modifications depending on feedback. Transparent communication, online team-building exercises, and chances for training and development should be given top priority if you want to successfully boost employee engagement during the implementation. By taking these factors into account, </w:t>
      </w:r>
      <w:proofErr w:type="spellStart"/>
      <w:r w:rsidRPr="00C92731">
        <w:rPr>
          <w:rFonts w:ascii="Arial" w:hAnsi="Arial" w:cs="Arial"/>
          <w:sz w:val="22"/>
          <w:szCs w:val="22"/>
        </w:rPr>
        <w:t>GreenCo</w:t>
      </w:r>
      <w:proofErr w:type="spellEnd"/>
      <w:r w:rsidRPr="00C92731">
        <w:rPr>
          <w:rFonts w:ascii="Arial" w:hAnsi="Arial" w:cs="Arial"/>
          <w:sz w:val="22"/>
          <w:szCs w:val="22"/>
        </w:rPr>
        <w:t xml:space="preserve"> may successfully adopt flexible working, develop a pleasant workplace culture, and contribute to the success of the </w:t>
      </w:r>
      <w:proofErr w:type="spellStart"/>
      <w:r w:rsidRPr="00C92731">
        <w:rPr>
          <w:rFonts w:ascii="Arial" w:hAnsi="Arial" w:cs="Arial"/>
          <w:sz w:val="22"/>
          <w:szCs w:val="22"/>
        </w:rPr>
        <w:t>organisation</w:t>
      </w:r>
      <w:proofErr w:type="spellEnd"/>
      <w:r w:rsidRPr="00C92731">
        <w:rPr>
          <w:rFonts w:ascii="Arial" w:hAnsi="Arial" w:cs="Arial"/>
          <w:sz w:val="22"/>
          <w:szCs w:val="22"/>
        </w:rPr>
        <w:t xml:space="preserve"> in the ever-changing post-pandemic environment.</w:t>
      </w:r>
    </w:p>
    <w:p w14:paraId="00000033" w14:textId="77777777" w:rsidR="00F849A6" w:rsidRPr="00C92731" w:rsidRDefault="00000000">
      <w:pPr>
        <w:rPr>
          <w:rFonts w:ascii="Arial" w:hAnsi="Arial" w:cs="Arial"/>
          <w:sz w:val="22"/>
          <w:szCs w:val="22"/>
        </w:rPr>
      </w:pPr>
      <w:r w:rsidRPr="00C92731">
        <w:rPr>
          <w:rFonts w:ascii="Arial" w:hAnsi="Arial" w:cs="Arial"/>
          <w:sz w:val="22"/>
          <w:szCs w:val="22"/>
        </w:rPr>
        <w:br w:type="page"/>
      </w:r>
    </w:p>
    <w:p w14:paraId="00000034" w14:textId="77777777" w:rsidR="00F849A6" w:rsidRPr="00C92731" w:rsidRDefault="00000000">
      <w:pPr>
        <w:pStyle w:val="Heading1"/>
        <w:rPr>
          <w:rFonts w:ascii="Arial" w:hAnsi="Arial" w:cs="Arial"/>
          <w:sz w:val="22"/>
          <w:szCs w:val="22"/>
        </w:rPr>
      </w:pPr>
      <w:bookmarkStart w:id="15" w:name="_c2hdvnu3ohks" w:colFirst="0" w:colLast="0"/>
      <w:bookmarkStart w:id="16" w:name="_Toc140778996"/>
      <w:bookmarkEnd w:id="15"/>
      <w:r w:rsidRPr="00C92731">
        <w:rPr>
          <w:rFonts w:ascii="Arial" w:hAnsi="Arial" w:cs="Arial"/>
          <w:sz w:val="22"/>
          <w:szCs w:val="22"/>
        </w:rPr>
        <w:lastRenderedPageBreak/>
        <w:t>References</w:t>
      </w:r>
      <w:bookmarkEnd w:id="16"/>
    </w:p>
    <w:p w14:paraId="00000035" w14:textId="77777777" w:rsidR="00F849A6" w:rsidRPr="00C92731" w:rsidRDefault="00000000">
      <w:pPr>
        <w:spacing w:before="240" w:after="240"/>
        <w:rPr>
          <w:rFonts w:ascii="Arial" w:eastAsia="Times New Roman" w:hAnsi="Arial" w:cs="Arial"/>
          <w:color w:val="222222"/>
          <w:sz w:val="22"/>
          <w:szCs w:val="22"/>
          <w:highlight w:val="white"/>
        </w:rPr>
      </w:pPr>
      <w:r w:rsidRPr="00C92731">
        <w:rPr>
          <w:rFonts w:ascii="Arial" w:eastAsia="Times New Roman" w:hAnsi="Arial" w:cs="Arial"/>
          <w:color w:val="222222"/>
          <w:sz w:val="22"/>
          <w:szCs w:val="22"/>
          <w:highlight w:val="white"/>
        </w:rPr>
        <w:t>Amirul, S. and Mail, R., 2020. Strategic flexible working arrangement: the realignment between human resource and management accounting.</w:t>
      </w:r>
    </w:p>
    <w:p w14:paraId="00000036" w14:textId="77777777" w:rsidR="00F849A6" w:rsidRPr="00C92731" w:rsidRDefault="00000000">
      <w:pPr>
        <w:spacing w:before="240" w:after="240"/>
        <w:rPr>
          <w:rFonts w:ascii="Arial" w:eastAsia="Times New Roman" w:hAnsi="Arial" w:cs="Arial"/>
          <w:color w:val="222222"/>
          <w:sz w:val="22"/>
          <w:szCs w:val="22"/>
          <w:highlight w:val="white"/>
        </w:rPr>
      </w:pPr>
      <w:r w:rsidRPr="00C92731">
        <w:rPr>
          <w:rFonts w:ascii="Arial" w:eastAsia="Times New Roman" w:hAnsi="Arial" w:cs="Arial"/>
          <w:color w:val="222222"/>
          <w:sz w:val="22"/>
          <w:szCs w:val="22"/>
          <w:highlight w:val="white"/>
        </w:rPr>
        <w:t xml:space="preserve">Anderson, D. and </w:t>
      </w:r>
      <w:proofErr w:type="spellStart"/>
      <w:r w:rsidRPr="00C92731">
        <w:rPr>
          <w:rFonts w:ascii="Arial" w:eastAsia="Times New Roman" w:hAnsi="Arial" w:cs="Arial"/>
          <w:color w:val="222222"/>
          <w:sz w:val="22"/>
          <w:szCs w:val="22"/>
          <w:highlight w:val="white"/>
        </w:rPr>
        <w:t>Kelliher</w:t>
      </w:r>
      <w:proofErr w:type="spellEnd"/>
      <w:r w:rsidRPr="00C92731">
        <w:rPr>
          <w:rFonts w:ascii="Arial" w:eastAsia="Times New Roman" w:hAnsi="Arial" w:cs="Arial"/>
          <w:color w:val="222222"/>
          <w:sz w:val="22"/>
          <w:szCs w:val="22"/>
          <w:highlight w:val="white"/>
        </w:rPr>
        <w:t xml:space="preserve">, C., 2020. Enforced remote working and the work-life interface during lockdown. </w:t>
      </w:r>
      <w:r w:rsidRPr="00C92731">
        <w:rPr>
          <w:rFonts w:ascii="Arial" w:eastAsia="Times New Roman" w:hAnsi="Arial" w:cs="Arial"/>
          <w:i/>
          <w:color w:val="222222"/>
          <w:sz w:val="22"/>
          <w:szCs w:val="22"/>
          <w:highlight w:val="white"/>
        </w:rPr>
        <w:t>Gender in Management: An International Journal</w:t>
      </w:r>
      <w:r w:rsidRPr="00C92731">
        <w:rPr>
          <w:rFonts w:ascii="Arial" w:eastAsia="Times New Roman" w:hAnsi="Arial" w:cs="Arial"/>
          <w:color w:val="222222"/>
          <w:sz w:val="22"/>
          <w:szCs w:val="22"/>
          <w:highlight w:val="white"/>
        </w:rPr>
        <w:t xml:space="preserve">, </w:t>
      </w:r>
      <w:r w:rsidRPr="00C92731">
        <w:rPr>
          <w:rFonts w:ascii="Arial" w:eastAsia="Times New Roman" w:hAnsi="Arial" w:cs="Arial"/>
          <w:i/>
          <w:color w:val="222222"/>
          <w:sz w:val="22"/>
          <w:szCs w:val="22"/>
          <w:highlight w:val="white"/>
        </w:rPr>
        <w:t>35</w:t>
      </w:r>
      <w:r w:rsidRPr="00C92731">
        <w:rPr>
          <w:rFonts w:ascii="Arial" w:eastAsia="Times New Roman" w:hAnsi="Arial" w:cs="Arial"/>
          <w:color w:val="222222"/>
          <w:sz w:val="22"/>
          <w:szCs w:val="22"/>
          <w:highlight w:val="white"/>
        </w:rPr>
        <w:t>(7/8), pp.677-683.</w:t>
      </w:r>
    </w:p>
    <w:p w14:paraId="00000037" w14:textId="77777777" w:rsidR="00F849A6" w:rsidRPr="00C92731" w:rsidRDefault="00000000">
      <w:pPr>
        <w:spacing w:before="240" w:after="240"/>
        <w:rPr>
          <w:rFonts w:ascii="Arial" w:eastAsia="Times New Roman" w:hAnsi="Arial" w:cs="Arial"/>
          <w:color w:val="222222"/>
          <w:sz w:val="22"/>
          <w:szCs w:val="22"/>
          <w:highlight w:val="white"/>
        </w:rPr>
      </w:pPr>
      <w:r w:rsidRPr="00C92731">
        <w:rPr>
          <w:rFonts w:ascii="Arial" w:eastAsia="Times New Roman" w:hAnsi="Arial" w:cs="Arial"/>
          <w:color w:val="222222"/>
          <w:sz w:val="22"/>
          <w:szCs w:val="22"/>
          <w:highlight w:val="white"/>
        </w:rPr>
        <w:t xml:space="preserve">Atiku, S.O., Jeremiah, A. and Boateng, F., 2020. Perceptions of flexible work arrangements in selected African countries during the coronavirus pandemic. </w:t>
      </w:r>
      <w:r w:rsidRPr="00C92731">
        <w:rPr>
          <w:rFonts w:ascii="Arial" w:eastAsia="Times New Roman" w:hAnsi="Arial" w:cs="Arial"/>
          <w:i/>
          <w:color w:val="222222"/>
          <w:sz w:val="22"/>
          <w:szCs w:val="22"/>
          <w:highlight w:val="white"/>
        </w:rPr>
        <w:t>South African Journal of Business Management</w:t>
      </w:r>
      <w:r w:rsidRPr="00C92731">
        <w:rPr>
          <w:rFonts w:ascii="Arial" w:eastAsia="Times New Roman" w:hAnsi="Arial" w:cs="Arial"/>
          <w:color w:val="222222"/>
          <w:sz w:val="22"/>
          <w:szCs w:val="22"/>
          <w:highlight w:val="white"/>
        </w:rPr>
        <w:t xml:space="preserve">, </w:t>
      </w:r>
      <w:r w:rsidRPr="00C92731">
        <w:rPr>
          <w:rFonts w:ascii="Arial" w:eastAsia="Times New Roman" w:hAnsi="Arial" w:cs="Arial"/>
          <w:i/>
          <w:color w:val="222222"/>
          <w:sz w:val="22"/>
          <w:szCs w:val="22"/>
          <w:highlight w:val="white"/>
        </w:rPr>
        <w:t>51</w:t>
      </w:r>
      <w:r w:rsidRPr="00C92731">
        <w:rPr>
          <w:rFonts w:ascii="Arial" w:eastAsia="Times New Roman" w:hAnsi="Arial" w:cs="Arial"/>
          <w:color w:val="222222"/>
          <w:sz w:val="22"/>
          <w:szCs w:val="22"/>
          <w:highlight w:val="white"/>
        </w:rPr>
        <w:t>(1), p.10.</w:t>
      </w:r>
    </w:p>
    <w:p w14:paraId="00000038" w14:textId="4EFF2B5C" w:rsidR="00F849A6" w:rsidRPr="00C92731" w:rsidRDefault="00000000">
      <w:pPr>
        <w:spacing w:before="240" w:after="240"/>
        <w:rPr>
          <w:rFonts w:ascii="Arial" w:eastAsia="Times New Roman" w:hAnsi="Arial" w:cs="Arial"/>
          <w:color w:val="222222"/>
          <w:sz w:val="22"/>
          <w:szCs w:val="22"/>
          <w:highlight w:val="white"/>
        </w:rPr>
      </w:pPr>
      <w:r w:rsidRPr="00C92731">
        <w:rPr>
          <w:rFonts w:ascii="Arial" w:eastAsia="Times New Roman" w:hAnsi="Arial" w:cs="Arial"/>
          <w:color w:val="222222"/>
          <w:sz w:val="22"/>
          <w:szCs w:val="22"/>
          <w:highlight w:val="white"/>
        </w:rPr>
        <w:t xml:space="preserve">Bloom NA, Liang J, Roberts J, et al. (2013) Does working from </w:t>
      </w:r>
      <w:r w:rsidR="004B37B8" w:rsidRPr="00C92731">
        <w:rPr>
          <w:rFonts w:ascii="Arial" w:eastAsia="Times New Roman" w:hAnsi="Arial" w:cs="Arial"/>
          <w:color w:val="222222"/>
          <w:sz w:val="22"/>
          <w:szCs w:val="22"/>
          <w:highlight w:val="white"/>
        </w:rPr>
        <w:t>homework</w:t>
      </w:r>
      <w:r w:rsidRPr="00C92731">
        <w:rPr>
          <w:rFonts w:ascii="Arial" w:eastAsia="Times New Roman" w:hAnsi="Arial" w:cs="Arial"/>
          <w:color w:val="222222"/>
          <w:sz w:val="22"/>
          <w:szCs w:val="22"/>
          <w:highlight w:val="white"/>
        </w:rPr>
        <w:t xml:space="preserve">? evidence from a Chinese experiment. </w:t>
      </w:r>
      <w:r w:rsidRPr="00C92731">
        <w:rPr>
          <w:rFonts w:ascii="Arial" w:eastAsia="Times New Roman" w:hAnsi="Arial" w:cs="Arial"/>
          <w:i/>
          <w:color w:val="222222"/>
          <w:sz w:val="22"/>
          <w:szCs w:val="22"/>
          <w:highlight w:val="white"/>
        </w:rPr>
        <w:t>Stanford Graduate School of Business</w:t>
      </w:r>
      <w:r w:rsidRPr="00C92731">
        <w:rPr>
          <w:rFonts w:ascii="Arial" w:eastAsia="Times New Roman" w:hAnsi="Arial" w:cs="Arial"/>
          <w:color w:val="222222"/>
          <w:sz w:val="22"/>
          <w:szCs w:val="22"/>
          <w:highlight w:val="white"/>
        </w:rPr>
        <w:t xml:space="preserve">. Available from: https://www.gsb.stanford.edu/faculty-research/working-papers/does-working-home-work-evidence-chinese-experiment#:~:text=Home%20working%20led%20to%20a%2013%25%20performance%20increase%2C,per%20minute%20%28attributed%20to%20a%20quieter%20working%20environment%29 (accessed 20 July 2023). </w:t>
      </w:r>
    </w:p>
    <w:p w14:paraId="00000039" w14:textId="77777777" w:rsidR="00F849A6" w:rsidRPr="00C92731" w:rsidRDefault="00000000">
      <w:pPr>
        <w:spacing w:before="240" w:after="240"/>
        <w:rPr>
          <w:rFonts w:ascii="Arial" w:eastAsia="Times New Roman" w:hAnsi="Arial" w:cs="Arial"/>
          <w:color w:val="222222"/>
          <w:sz w:val="22"/>
          <w:szCs w:val="22"/>
          <w:highlight w:val="white"/>
        </w:rPr>
      </w:pPr>
      <w:r w:rsidRPr="00C92731">
        <w:rPr>
          <w:rFonts w:ascii="Arial" w:eastAsia="Times New Roman" w:hAnsi="Arial" w:cs="Arial"/>
          <w:color w:val="222222"/>
          <w:sz w:val="22"/>
          <w:szCs w:val="22"/>
          <w:highlight w:val="white"/>
        </w:rPr>
        <w:t xml:space="preserve">Castrillon, C., 2022. </w:t>
      </w:r>
      <w:r w:rsidRPr="00C92731">
        <w:rPr>
          <w:rFonts w:ascii="Arial" w:eastAsia="Times New Roman" w:hAnsi="Arial" w:cs="Arial"/>
          <w:i/>
          <w:color w:val="222222"/>
          <w:sz w:val="22"/>
          <w:szCs w:val="22"/>
          <w:highlight w:val="white"/>
        </w:rPr>
        <w:t>Why Flexible Work Boosts Employee Productivity</w:t>
      </w:r>
      <w:r w:rsidRPr="00C92731">
        <w:rPr>
          <w:rFonts w:ascii="Arial" w:eastAsia="Times New Roman" w:hAnsi="Arial" w:cs="Arial"/>
          <w:color w:val="222222"/>
          <w:sz w:val="22"/>
          <w:szCs w:val="22"/>
          <w:highlight w:val="white"/>
        </w:rPr>
        <w:t xml:space="preserve">. [online]. Forbes. Available at: </w:t>
      </w:r>
      <w:r w:rsidRPr="00C92731">
        <w:rPr>
          <w:rFonts w:ascii="Arial" w:eastAsia="Times New Roman" w:hAnsi="Arial" w:cs="Arial"/>
          <w:color w:val="222222"/>
          <w:sz w:val="22"/>
          <w:szCs w:val="22"/>
          <w:highlight w:val="white"/>
          <w:u w:val="single"/>
        </w:rPr>
        <w:t>https://www.forbes.com/sites/carolinecastrillon/2022/03/23/why-flexible-work-boosts-employee-productivity/?sh=d083b386e4ba</w:t>
      </w:r>
      <w:r w:rsidRPr="00C92731">
        <w:rPr>
          <w:rFonts w:ascii="Arial" w:eastAsia="Times New Roman" w:hAnsi="Arial" w:cs="Arial"/>
          <w:color w:val="222222"/>
          <w:sz w:val="22"/>
          <w:szCs w:val="22"/>
          <w:highlight w:val="white"/>
        </w:rPr>
        <w:t xml:space="preserve"> [Accessed 20 July 2023]. </w:t>
      </w:r>
    </w:p>
    <w:p w14:paraId="0000003A" w14:textId="77777777" w:rsidR="00F849A6" w:rsidRPr="00C92731" w:rsidRDefault="00000000">
      <w:pPr>
        <w:spacing w:before="240" w:after="240"/>
        <w:rPr>
          <w:rFonts w:ascii="Arial" w:eastAsia="Times New Roman" w:hAnsi="Arial" w:cs="Arial"/>
          <w:color w:val="222222"/>
          <w:sz w:val="22"/>
          <w:szCs w:val="22"/>
          <w:highlight w:val="white"/>
        </w:rPr>
      </w:pPr>
      <w:r w:rsidRPr="00C92731">
        <w:rPr>
          <w:rFonts w:ascii="Arial" w:eastAsia="Times New Roman" w:hAnsi="Arial" w:cs="Arial"/>
          <w:color w:val="222222"/>
          <w:sz w:val="22"/>
          <w:szCs w:val="22"/>
          <w:highlight w:val="white"/>
        </w:rPr>
        <w:t xml:space="preserve">Chung, H. and Van der Lippe, T., 2020. Flexible working, work–life balance, and gender equality: Introduction. </w:t>
      </w:r>
      <w:r w:rsidRPr="00C92731">
        <w:rPr>
          <w:rFonts w:ascii="Arial" w:eastAsia="Times New Roman" w:hAnsi="Arial" w:cs="Arial"/>
          <w:i/>
          <w:color w:val="222222"/>
          <w:sz w:val="22"/>
          <w:szCs w:val="22"/>
          <w:highlight w:val="white"/>
        </w:rPr>
        <w:t>Social indicators research</w:t>
      </w:r>
      <w:r w:rsidRPr="00C92731">
        <w:rPr>
          <w:rFonts w:ascii="Arial" w:eastAsia="Times New Roman" w:hAnsi="Arial" w:cs="Arial"/>
          <w:color w:val="222222"/>
          <w:sz w:val="22"/>
          <w:szCs w:val="22"/>
          <w:highlight w:val="white"/>
        </w:rPr>
        <w:t xml:space="preserve">, </w:t>
      </w:r>
      <w:r w:rsidRPr="00C92731">
        <w:rPr>
          <w:rFonts w:ascii="Arial" w:eastAsia="Times New Roman" w:hAnsi="Arial" w:cs="Arial"/>
          <w:i/>
          <w:color w:val="222222"/>
          <w:sz w:val="22"/>
          <w:szCs w:val="22"/>
          <w:highlight w:val="white"/>
        </w:rPr>
        <w:t>151</w:t>
      </w:r>
      <w:r w:rsidRPr="00C92731">
        <w:rPr>
          <w:rFonts w:ascii="Arial" w:eastAsia="Times New Roman" w:hAnsi="Arial" w:cs="Arial"/>
          <w:color w:val="222222"/>
          <w:sz w:val="22"/>
          <w:szCs w:val="22"/>
          <w:highlight w:val="white"/>
        </w:rPr>
        <w:t>(2), pp.365-381.</w:t>
      </w:r>
    </w:p>
    <w:p w14:paraId="0000003B" w14:textId="77777777" w:rsidR="00F849A6" w:rsidRPr="00C92731" w:rsidRDefault="00000000">
      <w:pPr>
        <w:spacing w:before="240" w:after="240"/>
        <w:rPr>
          <w:rFonts w:ascii="Arial" w:eastAsia="Times New Roman" w:hAnsi="Arial" w:cs="Arial"/>
          <w:color w:val="222222"/>
          <w:sz w:val="22"/>
          <w:szCs w:val="22"/>
          <w:highlight w:val="white"/>
        </w:rPr>
      </w:pPr>
      <w:proofErr w:type="spellStart"/>
      <w:r w:rsidRPr="00C92731">
        <w:rPr>
          <w:rFonts w:ascii="Arial" w:eastAsia="Times New Roman" w:hAnsi="Arial" w:cs="Arial"/>
          <w:color w:val="222222"/>
          <w:sz w:val="22"/>
          <w:szCs w:val="22"/>
          <w:highlight w:val="white"/>
        </w:rPr>
        <w:t>Davidescu</w:t>
      </w:r>
      <w:proofErr w:type="spellEnd"/>
      <w:r w:rsidRPr="00C92731">
        <w:rPr>
          <w:rFonts w:ascii="Arial" w:eastAsia="Times New Roman" w:hAnsi="Arial" w:cs="Arial"/>
          <w:color w:val="222222"/>
          <w:sz w:val="22"/>
          <w:szCs w:val="22"/>
          <w:highlight w:val="white"/>
        </w:rPr>
        <w:t xml:space="preserve">, A.A., </w:t>
      </w:r>
      <w:proofErr w:type="spellStart"/>
      <w:r w:rsidRPr="00C92731">
        <w:rPr>
          <w:rFonts w:ascii="Arial" w:eastAsia="Times New Roman" w:hAnsi="Arial" w:cs="Arial"/>
          <w:color w:val="222222"/>
          <w:sz w:val="22"/>
          <w:szCs w:val="22"/>
          <w:highlight w:val="white"/>
        </w:rPr>
        <w:t>Apostu</w:t>
      </w:r>
      <w:proofErr w:type="spellEnd"/>
      <w:r w:rsidRPr="00C92731">
        <w:rPr>
          <w:rFonts w:ascii="Arial" w:eastAsia="Times New Roman" w:hAnsi="Arial" w:cs="Arial"/>
          <w:color w:val="222222"/>
          <w:sz w:val="22"/>
          <w:szCs w:val="22"/>
          <w:highlight w:val="white"/>
        </w:rPr>
        <w:t xml:space="preserve">, S.A., Paul, A. and </w:t>
      </w:r>
      <w:proofErr w:type="spellStart"/>
      <w:r w:rsidRPr="00C92731">
        <w:rPr>
          <w:rFonts w:ascii="Arial" w:eastAsia="Times New Roman" w:hAnsi="Arial" w:cs="Arial"/>
          <w:color w:val="222222"/>
          <w:sz w:val="22"/>
          <w:szCs w:val="22"/>
          <w:highlight w:val="white"/>
        </w:rPr>
        <w:t>Casuneanu</w:t>
      </w:r>
      <w:proofErr w:type="spellEnd"/>
      <w:r w:rsidRPr="00C92731">
        <w:rPr>
          <w:rFonts w:ascii="Arial" w:eastAsia="Times New Roman" w:hAnsi="Arial" w:cs="Arial"/>
          <w:color w:val="222222"/>
          <w:sz w:val="22"/>
          <w:szCs w:val="22"/>
          <w:highlight w:val="white"/>
        </w:rPr>
        <w:t xml:space="preserve">, I., 2020. Work flexibility, job satisfaction, and job performance among Romanian employees—Implications for sustainable human resource management. </w:t>
      </w:r>
      <w:r w:rsidRPr="00C92731">
        <w:rPr>
          <w:rFonts w:ascii="Arial" w:eastAsia="Times New Roman" w:hAnsi="Arial" w:cs="Arial"/>
          <w:i/>
          <w:color w:val="222222"/>
          <w:sz w:val="22"/>
          <w:szCs w:val="22"/>
          <w:highlight w:val="white"/>
        </w:rPr>
        <w:t>Sustainability</w:t>
      </w:r>
      <w:r w:rsidRPr="00C92731">
        <w:rPr>
          <w:rFonts w:ascii="Arial" w:eastAsia="Times New Roman" w:hAnsi="Arial" w:cs="Arial"/>
          <w:color w:val="222222"/>
          <w:sz w:val="22"/>
          <w:szCs w:val="22"/>
          <w:highlight w:val="white"/>
        </w:rPr>
        <w:t xml:space="preserve">, </w:t>
      </w:r>
      <w:r w:rsidRPr="00C92731">
        <w:rPr>
          <w:rFonts w:ascii="Arial" w:eastAsia="Times New Roman" w:hAnsi="Arial" w:cs="Arial"/>
          <w:i/>
          <w:color w:val="222222"/>
          <w:sz w:val="22"/>
          <w:szCs w:val="22"/>
          <w:highlight w:val="white"/>
        </w:rPr>
        <w:t>12</w:t>
      </w:r>
      <w:r w:rsidRPr="00C92731">
        <w:rPr>
          <w:rFonts w:ascii="Arial" w:eastAsia="Times New Roman" w:hAnsi="Arial" w:cs="Arial"/>
          <w:color w:val="222222"/>
          <w:sz w:val="22"/>
          <w:szCs w:val="22"/>
          <w:highlight w:val="white"/>
        </w:rPr>
        <w:t>(15), p.6086.</w:t>
      </w:r>
    </w:p>
    <w:p w14:paraId="0000003C" w14:textId="77777777" w:rsidR="00F849A6" w:rsidRPr="00C92731" w:rsidRDefault="00000000">
      <w:pPr>
        <w:rPr>
          <w:rFonts w:ascii="Arial" w:eastAsia="Times New Roman" w:hAnsi="Arial" w:cs="Arial"/>
          <w:color w:val="222222"/>
          <w:sz w:val="22"/>
          <w:szCs w:val="22"/>
          <w:highlight w:val="white"/>
        </w:rPr>
      </w:pPr>
      <w:r w:rsidRPr="00C92731">
        <w:rPr>
          <w:rFonts w:ascii="Arial" w:eastAsia="Times New Roman" w:hAnsi="Arial" w:cs="Arial"/>
          <w:color w:val="222222"/>
          <w:sz w:val="22"/>
          <w:szCs w:val="22"/>
          <w:highlight w:val="white"/>
        </w:rPr>
        <w:t xml:space="preserve">Idris, A., 2014. Flexible working as an employee retention strategy in developing countries. </w:t>
      </w:r>
      <w:r w:rsidRPr="00C92731">
        <w:rPr>
          <w:rFonts w:ascii="Arial" w:eastAsia="Times New Roman" w:hAnsi="Arial" w:cs="Arial"/>
          <w:i/>
          <w:color w:val="222222"/>
          <w:sz w:val="22"/>
          <w:szCs w:val="22"/>
          <w:highlight w:val="white"/>
        </w:rPr>
        <w:t>Journal of Management Research</w:t>
      </w:r>
      <w:r w:rsidRPr="00C92731">
        <w:rPr>
          <w:rFonts w:ascii="Arial" w:eastAsia="Times New Roman" w:hAnsi="Arial" w:cs="Arial"/>
          <w:color w:val="222222"/>
          <w:sz w:val="22"/>
          <w:szCs w:val="22"/>
          <w:highlight w:val="white"/>
        </w:rPr>
        <w:t xml:space="preserve">, </w:t>
      </w:r>
      <w:r w:rsidRPr="00C92731">
        <w:rPr>
          <w:rFonts w:ascii="Arial" w:eastAsia="Times New Roman" w:hAnsi="Arial" w:cs="Arial"/>
          <w:i/>
          <w:color w:val="222222"/>
          <w:sz w:val="22"/>
          <w:szCs w:val="22"/>
          <w:highlight w:val="white"/>
        </w:rPr>
        <w:t>14</w:t>
      </w:r>
      <w:r w:rsidRPr="00C92731">
        <w:rPr>
          <w:rFonts w:ascii="Arial" w:eastAsia="Times New Roman" w:hAnsi="Arial" w:cs="Arial"/>
          <w:color w:val="222222"/>
          <w:sz w:val="22"/>
          <w:szCs w:val="22"/>
          <w:highlight w:val="white"/>
        </w:rPr>
        <w:t>(2), pp.71-86.</w:t>
      </w:r>
    </w:p>
    <w:p w14:paraId="0000003D" w14:textId="77777777" w:rsidR="00F849A6" w:rsidRPr="00C92731" w:rsidRDefault="00000000">
      <w:pPr>
        <w:spacing w:before="240" w:after="240"/>
        <w:rPr>
          <w:rFonts w:ascii="Arial" w:eastAsia="Times New Roman" w:hAnsi="Arial" w:cs="Arial"/>
          <w:color w:val="222222"/>
          <w:sz w:val="22"/>
          <w:szCs w:val="22"/>
          <w:highlight w:val="white"/>
        </w:rPr>
      </w:pPr>
      <w:r w:rsidRPr="00C92731">
        <w:rPr>
          <w:rFonts w:ascii="Arial" w:eastAsia="Times New Roman" w:hAnsi="Arial" w:cs="Arial"/>
          <w:color w:val="222222"/>
          <w:sz w:val="22"/>
          <w:szCs w:val="22"/>
          <w:highlight w:val="white"/>
        </w:rPr>
        <w:t xml:space="preserve">IWG (2019) </w:t>
      </w:r>
      <w:r w:rsidRPr="00C92731">
        <w:rPr>
          <w:rFonts w:ascii="Arial" w:eastAsia="Times New Roman" w:hAnsi="Arial" w:cs="Arial"/>
          <w:i/>
          <w:color w:val="222222"/>
          <w:sz w:val="22"/>
          <w:szCs w:val="22"/>
          <w:highlight w:val="white"/>
        </w:rPr>
        <w:t>Global research shows that flexible working is now a deal breaker in the war for talent</w:t>
      </w:r>
      <w:r w:rsidRPr="00C92731">
        <w:rPr>
          <w:rFonts w:ascii="Arial" w:eastAsia="Times New Roman" w:hAnsi="Arial" w:cs="Arial"/>
          <w:color w:val="222222"/>
          <w:sz w:val="22"/>
          <w:szCs w:val="22"/>
          <w:highlight w:val="white"/>
        </w:rPr>
        <w:t xml:space="preserve">, </w:t>
      </w:r>
      <w:r w:rsidRPr="00C92731">
        <w:rPr>
          <w:rFonts w:ascii="Arial" w:eastAsia="Times New Roman" w:hAnsi="Arial" w:cs="Arial"/>
          <w:i/>
          <w:color w:val="222222"/>
          <w:sz w:val="22"/>
          <w:szCs w:val="22"/>
          <w:highlight w:val="white"/>
        </w:rPr>
        <w:t>IWG</w:t>
      </w:r>
      <w:r w:rsidRPr="00C92731">
        <w:rPr>
          <w:rFonts w:ascii="Arial" w:eastAsia="Times New Roman" w:hAnsi="Arial" w:cs="Arial"/>
          <w:color w:val="222222"/>
          <w:sz w:val="22"/>
          <w:szCs w:val="22"/>
          <w:highlight w:val="white"/>
        </w:rPr>
        <w:t xml:space="preserve">. Available at: </w:t>
      </w:r>
      <w:r w:rsidRPr="00C92731">
        <w:rPr>
          <w:rFonts w:ascii="Arial" w:eastAsia="Times New Roman" w:hAnsi="Arial" w:cs="Arial"/>
          <w:color w:val="222222"/>
          <w:sz w:val="22"/>
          <w:szCs w:val="22"/>
          <w:highlight w:val="white"/>
          <w:u w:val="single"/>
        </w:rPr>
        <w:t>https://work.iwgplc.com/MediaCentre/PressRelease/flexible-working-is-now-a-deal-breaker-in-the-war-for-</w:t>
      </w:r>
      <w:r w:rsidRPr="00C92731">
        <w:rPr>
          <w:rFonts w:ascii="Arial" w:eastAsia="Times New Roman" w:hAnsi="Arial" w:cs="Arial"/>
          <w:color w:val="222222"/>
          <w:sz w:val="22"/>
          <w:szCs w:val="22"/>
          <w:highlight w:val="white"/>
          <w:u w:val="single"/>
        </w:rPr>
        <w:lastRenderedPageBreak/>
        <w:t>talent#:~:text=Flexibility%20not%20only%20makes%20workers%20happier%20and%20healthier,in%20productivity%20as%20a%20result%20of%20flexible%20working</w:t>
      </w:r>
      <w:r w:rsidRPr="00C92731">
        <w:rPr>
          <w:rFonts w:ascii="Arial" w:eastAsia="Times New Roman" w:hAnsi="Arial" w:cs="Arial"/>
          <w:color w:val="222222"/>
          <w:sz w:val="22"/>
          <w:szCs w:val="22"/>
          <w:highlight w:val="white"/>
        </w:rPr>
        <w:t xml:space="preserve"> (Accessed: 20 July 2023). </w:t>
      </w:r>
    </w:p>
    <w:p w14:paraId="0000003E" w14:textId="77777777" w:rsidR="00F849A6" w:rsidRPr="00C92731" w:rsidRDefault="00000000">
      <w:pPr>
        <w:spacing w:before="240" w:after="240"/>
        <w:rPr>
          <w:rFonts w:ascii="Arial" w:eastAsia="Times New Roman" w:hAnsi="Arial" w:cs="Arial"/>
          <w:color w:val="222222"/>
          <w:sz w:val="22"/>
          <w:szCs w:val="22"/>
          <w:highlight w:val="white"/>
        </w:rPr>
      </w:pPr>
      <w:r w:rsidRPr="00C92731">
        <w:rPr>
          <w:rFonts w:ascii="Arial" w:eastAsia="Times New Roman" w:hAnsi="Arial" w:cs="Arial"/>
          <w:color w:val="222222"/>
          <w:sz w:val="22"/>
          <w:szCs w:val="22"/>
          <w:highlight w:val="white"/>
        </w:rPr>
        <w:t xml:space="preserve">Mann, A. and Adkins, A., 2023. </w:t>
      </w:r>
      <w:r w:rsidRPr="00C92731">
        <w:rPr>
          <w:rFonts w:ascii="Arial" w:eastAsia="Times New Roman" w:hAnsi="Arial" w:cs="Arial"/>
          <w:i/>
          <w:color w:val="222222"/>
          <w:sz w:val="22"/>
          <w:szCs w:val="22"/>
          <w:highlight w:val="white"/>
        </w:rPr>
        <w:t>The Dream Job</w:t>
      </w:r>
      <w:r w:rsidRPr="00C92731">
        <w:rPr>
          <w:rFonts w:ascii="Arial" w:eastAsia="Times New Roman" w:hAnsi="Arial" w:cs="Arial"/>
          <w:color w:val="222222"/>
          <w:sz w:val="22"/>
          <w:szCs w:val="22"/>
          <w:highlight w:val="white"/>
        </w:rPr>
        <w:t xml:space="preserve">. [online]. Gallup.com. Available at: </w:t>
      </w:r>
      <w:r w:rsidRPr="00C92731">
        <w:rPr>
          <w:rFonts w:ascii="Arial" w:eastAsia="Times New Roman" w:hAnsi="Arial" w:cs="Arial"/>
          <w:color w:val="222222"/>
          <w:sz w:val="22"/>
          <w:szCs w:val="22"/>
          <w:highlight w:val="white"/>
          <w:u w:val="single"/>
        </w:rPr>
        <w:t>https://news.gallup.com/businessjournal/204533/dream-job.aspx#:~:text=A%20Gallup%20study%20on%20benefits%20and%20perks%20found,work%20off-site%20at%20least%20part%20of%20the%20time</w:t>
      </w:r>
      <w:r w:rsidRPr="00C92731">
        <w:rPr>
          <w:rFonts w:ascii="Arial" w:eastAsia="Times New Roman" w:hAnsi="Arial" w:cs="Arial"/>
          <w:color w:val="222222"/>
          <w:sz w:val="22"/>
          <w:szCs w:val="22"/>
          <w:highlight w:val="white"/>
        </w:rPr>
        <w:t xml:space="preserve"> [Accessed 20 July 2023]. </w:t>
      </w:r>
    </w:p>
    <w:p w14:paraId="0000003F" w14:textId="77777777" w:rsidR="00F849A6" w:rsidRPr="00C92731" w:rsidRDefault="00000000">
      <w:pPr>
        <w:rPr>
          <w:rFonts w:ascii="Arial" w:eastAsia="Times New Roman" w:hAnsi="Arial" w:cs="Arial"/>
          <w:color w:val="222222"/>
          <w:sz w:val="22"/>
          <w:szCs w:val="22"/>
          <w:highlight w:val="white"/>
        </w:rPr>
      </w:pPr>
      <w:proofErr w:type="spellStart"/>
      <w:r w:rsidRPr="00C92731">
        <w:rPr>
          <w:rFonts w:ascii="Arial" w:eastAsia="Times New Roman" w:hAnsi="Arial" w:cs="Arial"/>
          <w:color w:val="222222"/>
          <w:sz w:val="22"/>
          <w:szCs w:val="22"/>
          <w:highlight w:val="white"/>
        </w:rPr>
        <w:t>Shagvaliyeva</w:t>
      </w:r>
      <w:proofErr w:type="spellEnd"/>
      <w:r w:rsidRPr="00C92731">
        <w:rPr>
          <w:rFonts w:ascii="Arial" w:eastAsia="Times New Roman" w:hAnsi="Arial" w:cs="Arial"/>
          <w:color w:val="222222"/>
          <w:sz w:val="22"/>
          <w:szCs w:val="22"/>
          <w:highlight w:val="white"/>
        </w:rPr>
        <w:t xml:space="preserve">, S. and </w:t>
      </w:r>
      <w:proofErr w:type="spellStart"/>
      <w:r w:rsidRPr="00C92731">
        <w:rPr>
          <w:rFonts w:ascii="Arial" w:eastAsia="Times New Roman" w:hAnsi="Arial" w:cs="Arial"/>
          <w:color w:val="222222"/>
          <w:sz w:val="22"/>
          <w:szCs w:val="22"/>
          <w:highlight w:val="white"/>
        </w:rPr>
        <w:t>Yazdanifard</w:t>
      </w:r>
      <w:proofErr w:type="spellEnd"/>
      <w:r w:rsidRPr="00C92731">
        <w:rPr>
          <w:rFonts w:ascii="Arial" w:eastAsia="Times New Roman" w:hAnsi="Arial" w:cs="Arial"/>
          <w:color w:val="222222"/>
          <w:sz w:val="22"/>
          <w:szCs w:val="22"/>
          <w:highlight w:val="white"/>
        </w:rPr>
        <w:t xml:space="preserve">, R., 2014. Impact of flexible working hours on work-life balance. </w:t>
      </w:r>
      <w:r w:rsidRPr="00C92731">
        <w:rPr>
          <w:rFonts w:ascii="Arial" w:eastAsia="Times New Roman" w:hAnsi="Arial" w:cs="Arial"/>
          <w:i/>
          <w:color w:val="222222"/>
          <w:sz w:val="22"/>
          <w:szCs w:val="22"/>
          <w:highlight w:val="white"/>
        </w:rPr>
        <w:t>American Journal of Industrial and Business Management</w:t>
      </w:r>
      <w:r w:rsidRPr="00C92731">
        <w:rPr>
          <w:rFonts w:ascii="Arial" w:eastAsia="Times New Roman" w:hAnsi="Arial" w:cs="Arial"/>
          <w:color w:val="222222"/>
          <w:sz w:val="22"/>
          <w:szCs w:val="22"/>
          <w:highlight w:val="white"/>
        </w:rPr>
        <w:t xml:space="preserve">, </w:t>
      </w:r>
      <w:r w:rsidRPr="00C92731">
        <w:rPr>
          <w:rFonts w:ascii="Arial" w:eastAsia="Times New Roman" w:hAnsi="Arial" w:cs="Arial"/>
          <w:i/>
          <w:color w:val="222222"/>
          <w:sz w:val="22"/>
          <w:szCs w:val="22"/>
          <w:highlight w:val="white"/>
        </w:rPr>
        <w:t>2014</w:t>
      </w:r>
      <w:r w:rsidRPr="00C92731">
        <w:rPr>
          <w:rFonts w:ascii="Arial" w:eastAsia="Times New Roman" w:hAnsi="Arial" w:cs="Arial"/>
          <w:color w:val="222222"/>
          <w:sz w:val="22"/>
          <w:szCs w:val="22"/>
          <w:highlight w:val="white"/>
        </w:rPr>
        <w:t>.</w:t>
      </w:r>
    </w:p>
    <w:p w14:paraId="00000040" w14:textId="77777777" w:rsidR="00F849A6" w:rsidRPr="00C92731" w:rsidRDefault="00000000">
      <w:pPr>
        <w:spacing w:before="240" w:after="240"/>
        <w:rPr>
          <w:rFonts w:ascii="Arial" w:eastAsia="Times New Roman" w:hAnsi="Arial" w:cs="Arial"/>
          <w:color w:val="222222"/>
          <w:sz w:val="22"/>
          <w:szCs w:val="22"/>
          <w:highlight w:val="white"/>
        </w:rPr>
      </w:pPr>
      <w:r w:rsidRPr="00C92731">
        <w:rPr>
          <w:rFonts w:ascii="Arial" w:eastAsia="Times New Roman" w:hAnsi="Arial" w:cs="Arial"/>
          <w:color w:val="222222"/>
          <w:sz w:val="22"/>
          <w:szCs w:val="22"/>
          <w:highlight w:val="white"/>
        </w:rPr>
        <w:t xml:space="preserve">Tao, W., Lee, Y., Sun, R., Li, J.Y. and He, M., 2022. Enhancing Employee Engagement via Leaders’ Motivational Language in times of crisis: Perspectives from the COVID-19 outbreak. </w:t>
      </w:r>
      <w:r w:rsidRPr="00C92731">
        <w:rPr>
          <w:rFonts w:ascii="Arial" w:eastAsia="Times New Roman" w:hAnsi="Arial" w:cs="Arial"/>
          <w:i/>
          <w:color w:val="222222"/>
          <w:sz w:val="22"/>
          <w:szCs w:val="22"/>
          <w:highlight w:val="white"/>
        </w:rPr>
        <w:t>Public relations review</w:t>
      </w:r>
      <w:r w:rsidRPr="00C92731">
        <w:rPr>
          <w:rFonts w:ascii="Arial" w:eastAsia="Times New Roman" w:hAnsi="Arial" w:cs="Arial"/>
          <w:color w:val="222222"/>
          <w:sz w:val="22"/>
          <w:szCs w:val="22"/>
          <w:highlight w:val="white"/>
        </w:rPr>
        <w:t xml:space="preserve">, </w:t>
      </w:r>
      <w:r w:rsidRPr="00C92731">
        <w:rPr>
          <w:rFonts w:ascii="Arial" w:eastAsia="Times New Roman" w:hAnsi="Arial" w:cs="Arial"/>
          <w:i/>
          <w:color w:val="222222"/>
          <w:sz w:val="22"/>
          <w:szCs w:val="22"/>
          <w:highlight w:val="white"/>
        </w:rPr>
        <w:t>48</w:t>
      </w:r>
      <w:r w:rsidRPr="00C92731">
        <w:rPr>
          <w:rFonts w:ascii="Arial" w:eastAsia="Times New Roman" w:hAnsi="Arial" w:cs="Arial"/>
          <w:color w:val="222222"/>
          <w:sz w:val="22"/>
          <w:szCs w:val="22"/>
          <w:highlight w:val="white"/>
        </w:rPr>
        <w:t>(1), p.102133.</w:t>
      </w:r>
    </w:p>
    <w:p w14:paraId="00000041" w14:textId="77777777" w:rsidR="00F849A6" w:rsidRPr="00C92731" w:rsidRDefault="00000000">
      <w:pPr>
        <w:spacing w:before="240" w:after="240"/>
        <w:rPr>
          <w:rFonts w:ascii="Arial" w:eastAsia="Arial" w:hAnsi="Arial" w:cs="Arial"/>
          <w:color w:val="222222"/>
          <w:sz w:val="22"/>
          <w:szCs w:val="22"/>
          <w:highlight w:val="white"/>
        </w:rPr>
      </w:pPr>
      <w:r w:rsidRPr="00C92731">
        <w:rPr>
          <w:rFonts w:ascii="Arial" w:eastAsia="Times New Roman" w:hAnsi="Arial" w:cs="Arial"/>
          <w:color w:val="222222"/>
          <w:sz w:val="22"/>
          <w:szCs w:val="22"/>
          <w:highlight w:val="white"/>
        </w:rPr>
        <w:t xml:space="preserve">Weideman, M. and Hofmeyr, K.B., 2020. The influence of flexible work arrangements on employee engagement: An exploratory study. </w:t>
      </w:r>
      <w:r w:rsidRPr="00C92731">
        <w:rPr>
          <w:rFonts w:ascii="Arial" w:eastAsia="Times New Roman" w:hAnsi="Arial" w:cs="Arial"/>
          <w:i/>
          <w:color w:val="222222"/>
          <w:sz w:val="22"/>
          <w:szCs w:val="22"/>
          <w:highlight w:val="white"/>
        </w:rPr>
        <w:t>SA Journal of Human Resource Management</w:t>
      </w:r>
      <w:r w:rsidRPr="00C92731">
        <w:rPr>
          <w:rFonts w:ascii="Arial" w:eastAsia="Times New Roman" w:hAnsi="Arial" w:cs="Arial"/>
          <w:color w:val="222222"/>
          <w:sz w:val="22"/>
          <w:szCs w:val="22"/>
          <w:highlight w:val="white"/>
        </w:rPr>
        <w:t xml:space="preserve">, </w:t>
      </w:r>
      <w:r w:rsidRPr="00C92731">
        <w:rPr>
          <w:rFonts w:ascii="Arial" w:eastAsia="Times New Roman" w:hAnsi="Arial" w:cs="Arial"/>
          <w:i/>
          <w:color w:val="222222"/>
          <w:sz w:val="22"/>
          <w:szCs w:val="22"/>
          <w:highlight w:val="white"/>
        </w:rPr>
        <w:t>18</w:t>
      </w:r>
      <w:r w:rsidRPr="00C92731">
        <w:rPr>
          <w:rFonts w:ascii="Arial" w:eastAsia="Times New Roman" w:hAnsi="Arial" w:cs="Arial"/>
          <w:color w:val="222222"/>
          <w:sz w:val="22"/>
          <w:szCs w:val="22"/>
          <w:highlight w:val="white"/>
        </w:rPr>
        <w:t>(1), pp.1-18.</w:t>
      </w:r>
    </w:p>
    <w:p w14:paraId="00000042" w14:textId="77777777" w:rsidR="00F849A6" w:rsidRPr="00C92731" w:rsidRDefault="00F849A6">
      <w:pPr>
        <w:rPr>
          <w:rFonts w:ascii="Arial" w:eastAsia="Arial" w:hAnsi="Arial" w:cs="Arial"/>
          <w:color w:val="222222"/>
          <w:sz w:val="22"/>
          <w:szCs w:val="22"/>
          <w:highlight w:val="white"/>
        </w:rPr>
      </w:pPr>
    </w:p>
    <w:p w14:paraId="00000043" w14:textId="77777777" w:rsidR="00F849A6" w:rsidRPr="00C92731" w:rsidRDefault="00F849A6">
      <w:pPr>
        <w:rPr>
          <w:rFonts w:ascii="Arial" w:hAnsi="Arial" w:cs="Arial"/>
          <w:sz w:val="22"/>
          <w:szCs w:val="22"/>
        </w:rPr>
      </w:pPr>
    </w:p>
    <w:sectPr w:rsidR="00F849A6" w:rsidRPr="00C92731">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E7D21" w14:textId="77777777" w:rsidR="00EA31D1" w:rsidRDefault="00EA31D1">
      <w:pPr>
        <w:spacing w:after="0" w:line="240" w:lineRule="auto"/>
      </w:pPr>
      <w:r>
        <w:separator/>
      </w:r>
    </w:p>
  </w:endnote>
  <w:endnote w:type="continuationSeparator" w:id="0">
    <w:p w14:paraId="68DCBAD5" w14:textId="77777777" w:rsidR="00EA31D1" w:rsidRDefault="00EA3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EB Garamond Medium">
    <w:altName w:val="Calibri"/>
    <w:charset w:val="00"/>
    <w:family w:val="auto"/>
    <w:pitch w:val="variable"/>
    <w:sig w:usb0="E00002FF" w:usb1="02000413" w:usb2="00000000" w:usb3="00000000" w:csb0="0000019F" w:csb1="00000000"/>
  </w:font>
  <w:font w:name="EB Garamond">
    <w:charset w:val="00"/>
    <w:family w:val="auto"/>
    <w:pitch w:val="variable"/>
    <w:sig w:usb0="E00002FF" w:usb1="0200041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4" w14:textId="2AF4B22F" w:rsidR="00F849A6" w:rsidRDefault="00000000">
    <w:pPr>
      <w:jc w:val="right"/>
    </w:pPr>
    <w:r>
      <w:fldChar w:fldCharType="begin"/>
    </w:r>
    <w:r>
      <w:instrText>PAGE</w:instrText>
    </w:r>
    <w:r>
      <w:fldChar w:fldCharType="separate"/>
    </w:r>
    <w:r w:rsidR="0071106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F29EB" w14:textId="77777777" w:rsidR="00EA31D1" w:rsidRDefault="00EA31D1">
      <w:pPr>
        <w:spacing w:after="0" w:line="240" w:lineRule="auto"/>
      </w:pPr>
      <w:r>
        <w:separator/>
      </w:r>
    </w:p>
  </w:footnote>
  <w:footnote w:type="continuationSeparator" w:id="0">
    <w:p w14:paraId="2815F14E" w14:textId="77777777" w:rsidR="00EA31D1" w:rsidRDefault="00EA31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B7EED"/>
    <w:multiLevelType w:val="multilevel"/>
    <w:tmpl w:val="2E5CD9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DB33DC1"/>
    <w:multiLevelType w:val="multilevel"/>
    <w:tmpl w:val="BB88D7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86866477">
    <w:abstractNumId w:val="0"/>
  </w:num>
  <w:num w:numId="2" w16cid:durableId="12889271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9A6"/>
    <w:rsid w:val="002817C4"/>
    <w:rsid w:val="002E0E80"/>
    <w:rsid w:val="004B37B8"/>
    <w:rsid w:val="005F5134"/>
    <w:rsid w:val="006E3AA7"/>
    <w:rsid w:val="0071106C"/>
    <w:rsid w:val="009A515A"/>
    <w:rsid w:val="00AC3D39"/>
    <w:rsid w:val="00B4497D"/>
    <w:rsid w:val="00C92731"/>
    <w:rsid w:val="00EA31D1"/>
    <w:rsid w:val="00F849A6"/>
    <w:rsid w:val="00F94BF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32E20"/>
  <w15:docId w15:val="{DDCD8832-067A-4FD8-A32B-3B8F078E8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B Garamond Medium" w:eastAsia="EB Garamond Medium" w:hAnsi="EB Garamond Medium" w:cs="EB Garamond Medium"/>
        <w:sz w:val="24"/>
        <w:szCs w:val="24"/>
        <w:lang w:val="e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b/>
    </w:rPr>
  </w:style>
  <w:style w:type="paragraph" w:styleId="Heading3">
    <w:name w:val="heading 3"/>
    <w:basedOn w:val="Normal"/>
    <w:next w:val="Normal"/>
    <w:uiPriority w:val="9"/>
    <w:semiHidden/>
    <w:unhideWhenUsed/>
    <w:qFormat/>
    <w:pPr>
      <w:keepNext/>
      <w:keepLines/>
      <w:spacing w:before="320" w:after="80"/>
      <w:outlineLvl w:val="2"/>
    </w:pPr>
    <w:rPr>
      <w:rFonts w:ascii="EB Garamond" w:eastAsia="EB Garamond" w:hAnsi="EB Garamond" w:cs="EB Garamond"/>
      <w:b/>
      <w:i/>
      <w:color w:val="434343"/>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jc w:val="center"/>
    </w:pPr>
    <w:rPr>
      <w:b/>
      <w:sz w:val="40"/>
      <w:szCs w:val="40"/>
    </w:rPr>
  </w:style>
  <w:style w:type="paragraph" w:styleId="Subtitle">
    <w:name w:val="Subtitle"/>
    <w:basedOn w:val="Normal"/>
    <w:next w:val="Normal"/>
    <w:uiPriority w:val="11"/>
    <w:qFormat/>
    <w:pPr>
      <w:keepNext/>
      <w:keepLines/>
      <w:spacing w:after="320"/>
      <w:jc w:val="center"/>
    </w:pPr>
    <w:rPr>
      <w:i/>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71106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1106C"/>
    <w:pPr>
      <w:spacing w:after="100"/>
    </w:pPr>
  </w:style>
  <w:style w:type="character" w:styleId="Hyperlink">
    <w:name w:val="Hyperlink"/>
    <w:basedOn w:val="DefaultParagraphFont"/>
    <w:uiPriority w:val="99"/>
    <w:unhideWhenUsed/>
    <w:rsid w:val="0071106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251</TotalTime>
  <Pages>1</Pages>
  <Words>2874</Words>
  <Characters>16386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Ana-Maria Popescu</cp:lastModifiedBy>
  <cp:revision>10</cp:revision>
  <dcterms:created xsi:type="dcterms:W3CDTF">2023-07-20T15:26:00Z</dcterms:created>
  <dcterms:modified xsi:type="dcterms:W3CDTF">2023-07-21T21:31:00Z</dcterms:modified>
</cp:coreProperties>
</file>