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5B36E46" w14:textId="77777777" w:rsidR="00693A04" w:rsidRDefault="00693A04" w:rsidP="00693A04">
      <w:pPr>
        <w:spacing w:line="480" w:lineRule="auto"/>
        <w:rPr>
          <w:rFonts w:ascii="Times" w:eastAsia="Times New Roman" w:hAnsi="Times" w:cs="Times New Roman"/>
          <w:lang w:eastAsia="en-GB"/>
        </w:rPr>
      </w:pPr>
    </w:p>
    <w:p w14:paraId="0F9A48ED" w14:textId="77777777" w:rsidR="00693A04" w:rsidRDefault="00693A04" w:rsidP="00693A04">
      <w:pPr>
        <w:spacing w:line="480" w:lineRule="auto"/>
        <w:rPr>
          <w:rFonts w:ascii="Times" w:eastAsia="Times New Roman" w:hAnsi="Times" w:cs="Times New Roman"/>
          <w:lang w:eastAsia="en-GB"/>
        </w:rPr>
      </w:pPr>
    </w:p>
    <w:p w14:paraId="2CEC693E" w14:textId="77777777" w:rsidR="00693A04" w:rsidRDefault="00693A04" w:rsidP="00693A04">
      <w:pPr>
        <w:spacing w:line="480" w:lineRule="auto"/>
        <w:rPr>
          <w:rFonts w:ascii="Times" w:eastAsia="Times New Roman" w:hAnsi="Times" w:cs="Times New Roman"/>
          <w:lang w:eastAsia="en-GB"/>
        </w:rPr>
      </w:pPr>
    </w:p>
    <w:p w14:paraId="048E2B65" w14:textId="77777777" w:rsidR="00693A04" w:rsidRDefault="00693A04" w:rsidP="00693A04">
      <w:pPr>
        <w:spacing w:line="480" w:lineRule="auto"/>
        <w:rPr>
          <w:rFonts w:ascii="Times" w:eastAsia="Times New Roman" w:hAnsi="Times" w:cs="Times New Roman"/>
          <w:lang w:eastAsia="en-GB"/>
        </w:rPr>
      </w:pPr>
    </w:p>
    <w:p w14:paraId="5D237A30" w14:textId="77777777" w:rsidR="00693A04" w:rsidRDefault="00693A04" w:rsidP="00693A04">
      <w:pPr>
        <w:spacing w:line="480" w:lineRule="auto"/>
        <w:rPr>
          <w:rFonts w:ascii="Times" w:eastAsia="Times New Roman" w:hAnsi="Times" w:cs="Times New Roman"/>
          <w:lang w:eastAsia="en-GB"/>
        </w:rPr>
      </w:pPr>
    </w:p>
    <w:p w14:paraId="35135BA1" w14:textId="77777777" w:rsidR="00693A04" w:rsidRDefault="00693A04" w:rsidP="00693A04">
      <w:pPr>
        <w:spacing w:line="480" w:lineRule="auto"/>
        <w:rPr>
          <w:rFonts w:ascii="Times" w:eastAsia="Times New Roman" w:hAnsi="Times" w:cs="Times New Roman"/>
          <w:lang w:eastAsia="en-GB"/>
        </w:rPr>
      </w:pPr>
    </w:p>
    <w:p w14:paraId="42AF014F" w14:textId="77777777" w:rsidR="00693A04" w:rsidRDefault="00693A04" w:rsidP="00693A04">
      <w:pPr>
        <w:spacing w:line="480" w:lineRule="auto"/>
        <w:jc w:val="center"/>
        <w:rPr>
          <w:rFonts w:ascii="Times" w:eastAsia="Times New Roman" w:hAnsi="Times" w:cs="Times New Roman"/>
          <w:lang w:eastAsia="en-GB"/>
        </w:rPr>
      </w:pPr>
    </w:p>
    <w:p w14:paraId="4ED21B06" w14:textId="77777777" w:rsidR="00B45394" w:rsidRDefault="00B45394" w:rsidP="00693A04">
      <w:pPr>
        <w:spacing w:line="480" w:lineRule="auto"/>
        <w:jc w:val="center"/>
        <w:rPr>
          <w:rFonts w:ascii="Times" w:eastAsia="Times New Roman" w:hAnsi="Times" w:cs="Times New Roman"/>
          <w:lang w:eastAsia="en-GB"/>
        </w:rPr>
      </w:pPr>
    </w:p>
    <w:p w14:paraId="6D63A186" w14:textId="77777777" w:rsidR="00B45394" w:rsidRDefault="00B45394" w:rsidP="00693A04">
      <w:pPr>
        <w:spacing w:line="480" w:lineRule="auto"/>
        <w:jc w:val="center"/>
        <w:rPr>
          <w:rFonts w:ascii="Times" w:eastAsia="Times New Roman" w:hAnsi="Times" w:cs="Times New Roman"/>
          <w:lang w:eastAsia="en-GB"/>
        </w:rPr>
      </w:pPr>
    </w:p>
    <w:p w14:paraId="2238848C" w14:textId="65EC3655" w:rsidR="00693A04" w:rsidRDefault="00693A04" w:rsidP="00693A04">
      <w:pPr>
        <w:spacing w:line="480" w:lineRule="auto"/>
        <w:jc w:val="center"/>
        <w:rPr>
          <w:rFonts w:ascii="Times" w:eastAsia="Times New Roman" w:hAnsi="Times" w:cs="Times New Roman"/>
          <w:lang w:eastAsia="en-GB"/>
        </w:rPr>
      </w:pPr>
      <w:r w:rsidRPr="00693A04">
        <w:rPr>
          <w:rFonts w:ascii="Times" w:eastAsia="Times New Roman" w:hAnsi="Times" w:cs="Times New Roman"/>
          <w:lang w:eastAsia="en-GB"/>
        </w:rPr>
        <w:t xml:space="preserve">A naïve or uninformed approach to monastic asceticism could lead one to conclude that ascetics are self-harming; how can knowledge of ascetic </w:t>
      </w:r>
      <w:r w:rsidR="00E90449">
        <w:rPr>
          <w:rFonts w:ascii="Times" w:eastAsia="Times New Roman" w:hAnsi="Times" w:cs="Times New Roman"/>
          <w:lang w:eastAsia="en-GB"/>
        </w:rPr>
        <w:t xml:space="preserve">theologies </w:t>
      </w:r>
      <w:r w:rsidRPr="00693A04">
        <w:rPr>
          <w:rFonts w:ascii="Times" w:eastAsia="Times New Roman" w:hAnsi="Times" w:cs="Times New Roman"/>
          <w:lang w:eastAsia="en-GB"/>
        </w:rPr>
        <w:t>assist us in better understanding an individual</w:t>
      </w:r>
      <w:r w:rsidR="00E90449">
        <w:rPr>
          <w:rFonts w:ascii="Times" w:eastAsia="Times New Roman" w:hAnsi="Times" w:cs="Times New Roman"/>
          <w:lang w:eastAsia="en-GB"/>
        </w:rPr>
        <w:t xml:space="preserve">’s decision to engage self-harm? </w:t>
      </w:r>
    </w:p>
    <w:p w14:paraId="6D41B3DE" w14:textId="485D1ACE" w:rsidR="00693A04" w:rsidRDefault="00693A04" w:rsidP="00693A04">
      <w:pPr>
        <w:spacing w:line="480" w:lineRule="auto"/>
        <w:jc w:val="center"/>
        <w:rPr>
          <w:rFonts w:ascii="Times" w:eastAsia="Times New Roman" w:hAnsi="Times" w:cs="Times New Roman"/>
          <w:lang w:eastAsia="en-GB"/>
        </w:rPr>
      </w:pPr>
      <w:r>
        <w:rPr>
          <w:rFonts w:ascii="Times" w:eastAsia="Times New Roman" w:hAnsi="Times" w:cs="Times New Roman"/>
          <w:lang w:eastAsia="en-GB"/>
        </w:rPr>
        <w:t xml:space="preserve">Word Count: </w:t>
      </w:r>
      <w:r w:rsidR="008562BB">
        <w:rPr>
          <w:rFonts w:ascii="Times" w:eastAsia="Times New Roman" w:hAnsi="Times" w:cs="Times New Roman"/>
          <w:lang w:eastAsia="en-GB"/>
        </w:rPr>
        <w:t>2, 743 (including footnotes).</w:t>
      </w:r>
    </w:p>
    <w:p w14:paraId="577008BD" w14:textId="79C3427A" w:rsidR="00F225FF" w:rsidRDefault="008562BB" w:rsidP="00693A04">
      <w:pPr>
        <w:spacing w:line="480" w:lineRule="auto"/>
        <w:jc w:val="center"/>
        <w:rPr>
          <w:rFonts w:ascii="Times" w:eastAsia="Times New Roman" w:hAnsi="Times" w:cs="Times New Roman"/>
          <w:lang w:eastAsia="en-GB"/>
        </w:rPr>
      </w:pPr>
      <w:r>
        <w:rPr>
          <w:rFonts w:ascii="Times" w:eastAsia="Times New Roman" w:hAnsi="Times" w:cs="Times New Roman"/>
          <w:lang w:eastAsia="en-GB"/>
        </w:rPr>
        <w:t xml:space="preserve">2, 255 </w:t>
      </w:r>
      <w:r w:rsidR="00F225FF">
        <w:rPr>
          <w:rFonts w:ascii="Times" w:eastAsia="Times New Roman" w:hAnsi="Times" w:cs="Times New Roman"/>
          <w:lang w:eastAsia="en-GB"/>
        </w:rPr>
        <w:t>(excluding footnotes)</w:t>
      </w:r>
      <w:r>
        <w:rPr>
          <w:rFonts w:ascii="Times" w:eastAsia="Times New Roman" w:hAnsi="Times" w:cs="Times New Roman"/>
          <w:lang w:eastAsia="en-GB"/>
        </w:rPr>
        <w:t xml:space="preserve">. </w:t>
      </w:r>
    </w:p>
    <w:p w14:paraId="0C9E30A8" w14:textId="1EE9B96E" w:rsidR="00B45394" w:rsidRDefault="002E2EFD" w:rsidP="00693A04">
      <w:pPr>
        <w:spacing w:line="480" w:lineRule="auto"/>
        <w:jc w:val="center"/>
        <w:rPr>
          <w:rFonts w:ascii="Times" w:eastAsia="Times New Roman" w:hAnsi="Times" w:cs="Times New Roman"/>
          <w:lang w:eastAsia="en-GB"/>
        </w:rPr>
      </w:pPr>
      <w:r>
        <w:rPr>
          <w:rFonts w:ascii="Times" w:eastAsia="Times New Roman" w:hAnsi="Times" w:cs="Times New Roman"/>
          <w:lang w:eastAsia="en-GB"/>
        </w:rPr>
        <w:t xml:space="preserve">Hannah Kozdoj – 1502320. </w:t>
      </w:r>
      <w:bookmarkStart w:id="0" w:name="_GoBack"/>
      <w:bookmarkEnd w:id="0"/>
    </w:p>
    <w:p w14:paraId="2BBD4AD0" w14:textId="77777777" w:rsidR="00B45394" w:rsidRDefault="00B45394" w:rsidP="00693A04">
      <w:pPr>
        <w:spacing w:line="480" w:lineRule="auto"/>
        <w:jc w:val="center"/>
        <w:rPr>
          <w:rFonts w:ascii="Times" w:eastAsia="Times New Roman" w:hAnsi="Times" w:cs="Times New Roman"/>
          <w:lang w:eastAsia="en-GB"/>
        </w:rPr>
      </w:pPr>
    </w:p>
    <w:p w14:paraId="17EBE6BB" w14:textId="77777777" w:rsidR="00B45394" w:rsidRDefault="00B45394" w:rsidP="00693A04">
      <w:pPr>
        <w:spacing w:line="480" w:lineRule="auto"/>
        <w:jc w:val="center"/>
        <w:rPr>
          <w:rFonts w:ascii="Times" w:eastAsia="Times New Roman" w:hAnsi="Times" w:cs="Times New Roman"/>
          <w:lang w:eastAsia="en-GB"/>
        </w:rPr>
      </w:pPr>
    </w:p>
    <w:p w14:paraId="4FFF4D41" w14:textId="77777777" w:rsidR="00B45394" w:rsidRDefault="00B45394" w:rsidP="00693A04">
      <w:pPr>
        <w:spacing w:line="480" w:lineRule="auto"/>
        <w:jc w:val="center"/>
        <w:rPr>
          <w:rFonts w:ascii="Times" w:eastAsia="Times New Roman" w:hAnsi="Times" w:cs="Times New Roman"/>
          <w:lang w:eastAsia="en-GB"/>
        </w:rPr>
      </w:pPr>
    </w:p>
    <w:p w14:paraId="10438EBB" w14:textId="77777777" w:rsidR="00B45394" w:rsidRDefault="00B45394" w:rsidP="00693A04">
      <w:pPr>
        <w:spacing w:line="480" w:lineRule="auto"/>
        <w:jc w:val="center"/>
        <w:rPr>
          <w:rFonts w:ascii="Times" w:eastAsia="Times New Roman" w:hAnsi="Times" w:cs="Times New Roman"/>
          <w:lang w:eastAsia="en-GB"/>
        </w:rPr>
      </w:pPr>
    </w:p>
    <w:p w14:paraId="0AC766CA" w14:textId="77777777" w:rsidR="00B45394" w:rsidRDefault="00B45394" w:rsidP="00693A04">
      <w:pPr>
        <w:spacing w:line="480" w:lineRule="auto"/>
        <w:jc w:val="center"/>
        <w:rPr>
          <w:rFonts w:ascii="Times" w:eastAsia="Times New Roman" w:hAnsi="Times" w:cs="Times New Roman"/>
          <w:lang w:eastAsia="en-GB"/>
        </w:rPr>
      </w:pPr>
    </w:p>
    <w:p w14:paraId="1EBF1878" w14:textId="77777777" w:rsidR="00B45394" w:rsidRDefault="00B45394" w:rsidP="00693A04">
      <w:pPr>
        <w:spacing w:line="480" w:lineRule="auto"/>
        <w:jc w:val="center"/>
        <w:rPr>
          <w:rFonts w:ascii="Times" w:eastAsia="Times New Roman" w:hAnsi="Times" w:cs="Times New Roman"/>
          <w:lang w:eastAsia="en-GB"/>
        </w:rPr>
      </w:pPr>
    </w:p>
    <w:p w14:paraId="241A7934" w14:textId="77777777" w:rsidR="00B45394" w:rsidRDefault="00B45394" w:rsidP="00693A04">
      <w:pPr>
        <w:spacing w:line="480" w:lineRule="auto"/>
        <w:jc w:val="center"/>
        <w:rPr>
          <w:rFonts w:ascii="Times" w:eastAsia="Times New Roman" w:hAnsi="Times" w:cs="Times New Roman"/>
          <w:lang w:eastAsia="en-GB"/>
        </w:rPr>
      </w:pPr>
    </w:p>
    <w:p w14:paraId="26A88FEA" w14:textId="77777777" w:rsidR="00B45394" w:rsidRDefault="00B45394" w:rsidP="00693A04">
      <w:pPr>
        <w:spacing w:line="480" w:lineRule="auto"/>
        <w:jc w:val="center"/>
        <w:rPr>
          <w:rFonts w:ascii="Times" w:eastAsia="Times New Roman" w:hAnsi="Times" w:cs="Times New Roman"/>
          <w:lang w:eastAsia="en-GB"/>
        </w:rPr>
      </w:pPr>
    </w:p>
    <w:p w14:paraId="2BA5DD8C" w14:textId="77777777" w:rsidR="00B45394" w:rsidRDefault="00B45394" w:rsidP="00693A04">
      <w:pPr>
        <w:spacing w:line="480" w:lineRule="auto"/>
        <w:jc w:val="center"/>
        <w:rPr>
          <w:rFonts w:ascii="Times" w:eastAsia="Times New Roman" w:hAnsi="Times" w:cs="Times New Roman"/>
          <w:lang w:eastAsia="en-GB"/>
        </w:rPr>
      </w:pPr>
    </w:p>
    <w:p w14:paraId="15312006" w14:textId="77777777" w:rsidR="00B45394" w:rsidRDefault="00B45394" w:rsidP="00693A04">
      <w:pPr>
        <w:spacing w:line="480" w:lineRule="auto"/>
        <w:jc w:val="center"/>
        <w:rPr>
          <w:rFonts w:ascii="Times" w:eastAsia="Times New Roman" w:hAnsi="Times" w:cs="Times New Roman"/>
          <w:lang w:eastAsia="en-GB"/>
        </w:rPr>
      </w:pPr>
    </w:p>
    <w:p w14:paraId="46CA0C8C" w14:textId="130E19AB" w:rsidR="004C2FAC" w:rsidRDefault="00896CFF" w:rsidP="00B45394">
      <w:pPr>
        <w:spacing w:line="480" w:lineRule="auto"/>
        <w:rPr>
          <w:rFonts w:ascii="Times" w:eastAsia="Times New Roman" w:hAnsi="Times" w:cs="Times New Roman"/>
          <w:lang w:eastAsia="en-GB"/>
        </w:rPr>
      </w:pPr>
      <w:r>
        <w:rPr>
          <w:rFonts w:ascii="Times" w:eastAsia="Times New Roman" w:hAnsi="Times" w:cs="Times New Roman"/>
          <w:lang w:eastAsia="en-GB"/>
        </w:rPr>
        <w:lastRenderedPageBreak/>
        <w:t xml:space="preserve">In approaching and analysing the topics of monastic asceticism and self-harm, it becomes apparent that the two </w:t>
      </w:r>
      <w:r w:rsidR="004C2FAC">
        <w:rPr>
          <w:rFonts w:ascii="Times" w:eastAsia="Times New Roman" w:hAnsi="Times" w:cs="Times New Roman"/>
          <w:lang w:eastAsia="en-GB"/>
        </w:rPr>
        <w:t>belong to different disciplines, and so it is important to consider the definitions to be discipline specific,</w:t>
      </w:r>
      <w:r>
        <w:rPr>
          <w:rFonts w:ascii="Times" w:eastAsia="Times New Roman" w:hAnsi="Times" w:cs="Times New Roman"/>
          <w:lang w:eastAsia="en-GB"/>
        </w:rPr>
        <w:t xml:space="preserve"> Monastic asceticism is religious and theological by nature</w:t>
      </w:r>
      <w:r w:rsidR="006E3581">
        <w:rPr>
          <w:rStyle w:val="FootnoteReference"/>
          <w:rFonts w:ascii="Times" w:eastAsia="Times New Roman" w:hAnsi="Times" w:cs="Times New Roman"/>
          <w:lang w:eastAsia="en-GB"/>
        </w:rPr>
        <w:footnoteReference w:id="1"/>
      </w:r>
      <w:r w:rsidR="004C2FAC">
        <w:rPr>
          <w:rFonts w:ascii="Times" w:eastAsia="Times New Roman" w:hAnsi="Times" w:cs="Times New Roman"/>
          <w:lang w:eastAsia="en-GB"/>
        </w:rPr>
        <w:t>: as explored in Görg</w:t>
      </w:r>
      <w:r w:rsidR="00733282">
        <w:rPr>
          <w:rFonts w:ascii="Times" w:eastAsia="Times New Roman" w:hAnsi="Times" w:cs="Times New Roman"/>
          <w:lang w:eastAsia="en-GB"/>
        </w:rPr>
        <w:t>’</w:t>
      </w:r>
      <w:r w:rsidR="004C2FAC">
        <w:rPr>
          <w:rFonts w:ascii="Times" w:eastAsia="Times New Roman" w:hAnsi="Times" w:cs="Times New Roman"/>
          <w:lang w:eastAsia="en-GB"/>
        </w:rPr>
        <w:t>s definition of a ‘goal to follow Christ unreservedly, guided by the evangelical councils of poverty, celibacy and poverty’,</w:t>
      </w:r>
      <w:r w:rsidR="004C2FAC">
        <w:rPr>
          <w:rStyle w:val="FootnoteReference"/>
          <w:rFonts w:ascii="Times" w:eastAsia="Times New Roman" w:hAnsi="Times" w:cs="Times New Roman"/>
          <w:lang w:eastAsia="en-GB"/>
        </w:rPr>
        <w:footnoteReference w:id="2"/>
      </w:r>
      <w:r>
        <w:rPr>
          <w:rFonts w:ascii="Times" w:eastAsia="Times New Roman" w:hAnsi="Times" w:cs="Times New Roman"/>
          <w:lang w:eastAsia="en-GB"/>
        </w:rPr>
        <w:t xml:space="preserve"> and self-harm falls under the bracket of mental health and psychology</w:t>
      </w:r>
      <w:r w:rsidR="006E3581">
        <w:rPr>
          <w:rStyle w:val="FootnoteReference"/>
          <w:rFonts w:ascii="Times" w:eastAsia="Times New Roman" w:hAnsi="Times" w:cs="Times New Roman"/>
          <w:lang w:eastAsia="en-GB"/>
        </w:rPr>
        <w:footnoteReference w:id="3"/>
      </w:r>
      <w:r w:rsidR="00365B80">
        <w:rPr>
          <w:rFonts w:ascii="Times" w:eastAsia="Times New Roman" w:hAnsi="Times" w:cs="Times New Roman"/>
          <w:lang w:eastAsia="en-GB"/>
        </w:rPr>
        <w:t>: ‘a way of expressing emotional pain and anger, and can be used as a form of coping and staying in control’.</w:t>
      </w:r>
      <w:r w:rsidR="00365B80">
        <w:rPr>
          <w:rStyle w:val="FootnoteReference"/>
          <w:rFonts w:ascii="Times" w:eastAsia="Times New Roman" w:hAnsi="Times" w:cs="Times New Roman"/>
          <w:lang w:eastAsia="en-GB"/>
        </w:rPr>
        <w:footnoteReference w:id="4"/>
      </w:r>
      <w:r w:rsidR="00365B80">
        <w:rPr>
          <w:rFonts w:ascii="Times" w:eastAsia="Times New Roman" w:hAnsi="Times" w:cs="Times New Roman"/>
          <w:lang w:eastAsia="en-GB"/>
        </w:rPr>
        <w:t xml:space="preserve"> S</w:t>
      </w:r>
      <w:r>
        <w:rPr>
          <w:rFonts w:ascii="Times" w:eastAsia="Times New Roman" w:hAnsi="Times" w:cs="Times New Roman"/>
          <w:lang w:eastAsia="en-GB"/>
        </w:rPr>
        <w:t xml:space="preserve">o to put these two in the same bracket as one other seems insensitive to both the followers and the sufferers. </w:t>
      </w:r>
      <w:r w:rsidR="009B075C">
        <w:rPr>
          <w:rFonts w:ascii="Times" w:eastAsia="Times New Roman" w:hAnsi="Times" w:cs="Times New Roman"/>
          <w:lang w:eastAsia="en-GB"/>
        </w:rPr>
        <w:t>As well as this, by applying methods of analysis that are not appropriate to the topic, there is a risk of yielding re</w:t>
      </w:r>
      <w:r w:rsidR="00365B80">
        <w:rPr>
          <w:rFonts w:ascii="Times" w:eastAsia="Times New Roman" w:hAnsi="Times" w:cs="Times New Roman"/>
          <w:lang w:eastAsia="en-GB"/>
        </w:rPr>
        <w:t xml:space="preserve">sults that are not appropriate. </w:t>
      </w:r>
      <w:r w:rsidR="007F69CB">
        <w:rPr>
          <w:rFonts w:ascii="Times" w:eastAsia="Times New Roman" w:hAnsi="Times" w:cs="Times New Roman"/>
          <w:lang w:eastAsia="en-GB"/>
        </w:rPr>
        <w:t xml:space="preserve">Throughout the analysis of these two topics, the exploration of the key ideological differences between monastic asceticism </w:t>
      </w:r>
      <w:r w:rsidR="00365B80">
        <w:rPr>
          <w:rFonts w:ascii="Times" w:eastAsia="Times New Roman" w:hAnsi="Times" w:cs="Times New Roman"/>
          <w:lang w:eastAsia="en-GB"/>
        </w:rPr>
        <w:t xml:space="preserve">and self-harm will be explored, </w:t>
      </w:r>
      <w:r w:rsidR="007F69CB">
        <w:rPr>
          <w:rFonts w:ascii="Times" w:eastAsia="Times New Roman" w:hAnsi="Times" w:cs="Times New Roman"/>
          <w:lang w:eastAsia="en-GB"/>
        </w:rPr>
        <w:t>highlighting the differences between the two</w:t>
      </w:r>
      <w:r w:rsidR="00365B80">
        <w:rPr>
          <w:rFonts w:ascii="Times" w:eastAsia="Times New Roman" w:hAnsi="Times" w:cs="Times New Roman"/>
          <w:lang w:eastAsia="en-GB"/>
        </w:rPr>
        <w:t>. W</w:t>
      </w:r>
      <w:r w:rsidR="004C2FAC">
        <w:rPr>
          <w:rFonts w:ascii="Times" w:eastAsia="Times New Roman" w:hAnsi="Times" w:cs="Times New Roman"/>
          <w:lang w:eastAsia="en-GB"/>
        </w:rPr>
        <w:t xml:space="preserve">hat will aid in understanding both the differences and the similarities in these two topics will be both the theological and psychological understanding of the ‘why’ behind the actions of these groups of people. </w:t>
      </w:r>
      <w:r w:rsidR="006E2056">
        <w:rPr>
          <w:rFonts w:ascii="Times" w:eastAsia="Times New Roman" w:hAnsi="Times" w:cs="Times New Roman"/>
          <w:lang w:eastAsia="en-GB"/>
        </w:rPr>
        <w:t>In doing this, what with primarily be discussed is as follows: a debate of theology vs. psychology: Through the l</w:t>
      </w:r>
      <w:r w:rsidR="00FD140D">
        <w:rPr>
          <w:rFonts w:ascii="Times" w:eastAsia="Times New Roman" w:hAnsi="Times" w:cs="Times New Roman"/>
          <w:lang w:eastAsia="en-GB"/>
        </w:rPr>
        <w:t xml:space="preserve">ife of Anthony and accounts from Palladius offers insights into different </w:t>
      </w:r>
      <w:r w:rsidR="006C5DAC">
        <w:rPr>
          <w:rFonts w:ascii="Times" w:eastAsia="Times New Roman" w:hAnsi="Times" w:cs="Times New Roman"/>
          <w:lang w:eastAsia="en-GB"/>
        </w:rPr>
        <w:t>ways that one could be considered to be practicing asceticism, not all methods show themselves to be of self-injurious behaviour.</w:t>
      </w:r>
    </w:p>
    <w:p w14:paraId="31DD88C9" w14:textId="77777777" w:rsidR="00233883" w:rsidRDefault="00233883" w:rsidP="00B45394">
      <w:pPr>
        <w:spacing w:line="480" w:lineRule="auto"/>
        <w:rPr>
          <w:rFonts w:ascii="Times" w:eastAsia="Times New Roman" w:hAnsi="Times" w:cs="Times New Roman"/>
          <w:lang w:eastAsia="en-GB"/>
        </w:rPr>
      </w:pPr>
    </w:p>
    <w:p w14:paraId="7077AD2B" w14:textId="1B97B6D9" w:rsidR="00233883" w:rsidRDefault="00233883" w:rsidP="00B45394">
      <w:pPr>
        <w:spacing w:line="480" w:lineRule="auto"/>
        <w:rPr>
          <w:rFonts w:ascii="Times" w:eastAsia="Times New Roman" w:hAnsi="Times" w:cs="Times New Roman"/>
          <w:lang w:eastAsia="en-GB"/>
        </w:rPr>
      </w:pPr>
      <w:r>
        <w:rPr>
          <w:rFonts w:ascii="Times" w:eastAsia="Times New Roman" w:hAnsi="Times" w:cs="Times New Roman"/>
          <w:lang w:eastAsia="en-GB"/>
        </w:rPr>
        <w:t>The epistles of St. Jerome provide an account of Christian asceticism, in a letter on the ascetic life.</w:t>
      </w:r>
      <w:r>
        <w:rPr>
          <w:rStyle w:val="FootnoteReference"/>
          <w:rFonts w:ascii="Times" w:eastAsia="Times New Roman" w:hAnsi="Times" w:cs="Times New Roman"/>
          <w:lang w:eastAsia="en-GB"/>
        </w:rPr>
        <w:footnoteReference w:id="5"/>
      </w:r>
      <w:r>
        <w:rPr>
          <w:rFonts w:ascii="Times" w:eastAsia="Times New Roman" w:hAnsi="Times" w:cs="Times New Roman"/>
          <w:lang w:eastAsia="en-GB"/>
        </w:rPr>
        <w:t xml:space="preserve"> It is within this account that the notion of Christian asceticism is explored: </w:t>
      </w:r>
    </w:p>
    <w:p w14:paraId="05BF6BD0" w14:textId="6A2CC159" w:rsidR="00233883" w:rsidRDefault="00233883" w:rsidP="00233883">
      <w:pPr>
        <w:ind w:left="720"/>
        <w:rPr>
          <w:rFonts w:ascii="Times" w:eastAsia="Times New Roman" w:hAnsi="Times" w:cs="Times New Roman"/>
          <w:lang w:eastAsia="en-GB"/>
        </w:rPr>
      </w:pPr>
      <w:r>
        <w:rPr>
          <w:rFonts w:ascii="Times" w:eastAsia="Times New Roman" w:hAnsi="Times" w:cs="Times New Roman"/>
          <w:lang w:eastAsia="en-GB"/>
        </w:rPr>
        <w:t>A perfect servant of Christ has nothing beside Christ: if he has anything beside Christ then he is not perfect. And if he is not perfect, when he promised God that he would be perfect, his first promise is a lie.</w:t>
      </w:r>
      <w:r>
        <w:rPr>
          <w:rStyle w:val="FootnoteReference"/>
          <w:rFonts w:ascii="Times" w:eastAsia="Times New Roman" w:hAnsi="Times" w:cs="Times New Roman"/>
          <w:lang w:eastAsia="en-GB"/>
        </w:rPr>
        <w:footnoteReference w:id="6"/>
      </w:r>
    </w:p>
    <w:p w14:paraId="248A00D5" w14:textId="77777777" w:rsidR="00AC580A" w:rsidRDefault="00AC580A" w:rsidP="00AC580A">
      <w:pPr>
        <w:rPr>
          <w:rFonts w:ascii="Times" w:eastAsia="Times New Roman" w:hAnsi="Times" w:cs="Times New Roman"/>
          <w:lang w:eastAsia="en-GB"/>
        </w:rPr>
      </w:pPr>
    </w:p>
    <w:p w14:paraId="5D4EAFDD" w14:textId="49BFBD14" w:rsidR="00AC580A" w:rsidRDefault="00AC580A" w:rsidP="00AC580A">
      <w:pPr>
        <w:spacing w:line="480" w:lineRule="auto"/>
        <w:rPr>
          <w:rFonts w:ascii="Times" w:eastAsia="Times New Roman" w:hAnsi="Times" w:cs="Times New Roman"/>
          <w:lang w:eastAsia="en-GB"/>
        </w:rPr>
      </w:pPr>
      <w:r>
        <w:rPr>
          <w:rFonts w:ascii="Times" w:eastAsia="Times New Roman" w:hAnsi="Times" w:cs="Times New Roman"/>
          <w:lang w:eastAsia="en-GB"/>
        </w:rPr>
        <w:t>With this exploration, there is clearly a definition between perfection and imperfection, with perfection</w:t>
      </w:r>
      <w:r w:rsidR="00DA13B1">
        <w:rPr>
          <w:rFonts w:ascii="Times" w:eastAsia="Times New Roman" w:hAnsi="Times" w:cs="Times New Roman"/>
          <w:lang w:eastAsia="en-GB"/>
        </w:rPr>
        <w:t xml:space="preserve"> being the ultimate goal. </w:t>
      </w:r>
      <w:r>
        <w:rPr>
          <w:rFonts w:ascii="Times" w:eastAsia="Times New Roman" w:hAnsi="Times" w:cs="Times New Roman"/>
          <w:lang w:eastAsia="en-GB"/>
        </w:rPr>
        <w:t xml:space="preserve">Within Palladius’ Lausaic History, there is evidence of asceticism and some of its practices and follows, </w:t>
      </w:r>
    </w:p>
    <w:p w14:paraId="79E0B846" w14:textId="6BEF6F08" w:rsidR="00AC580A" w:rsidRDefault="00AC580A" w:rsidP="00AC580A">
      <w:pPr>
        <w:ind w:left="720"/>
        <w:rPr>
          <w:rFonts w:ascii="Times" w:eastAsia="Times New Roman" w:hAnsi="Times" w:cs="Times New Roman"/>
          <w:lang w:eastAsia="en-GB"/>
        </w:rPr>
      </w:pPr>
      <w:r>
        <w:rPr>
          <w:rFonts w:ascii="Times" w:eastAsia="Times New Roman" w:hAnsi="Times" w:cs="Times New Roman"/>
          <w:lang w:eastAsia="en-GB"/>
        </w:rPr>
        <w:t xml:space="preserve">This is another of his ascetic acts: over a long period of time he made a tunnel under the earth from his cell for about half a mile and a cave at the end. Whenever too many people crowded in on him, he would secretly leave his cell and go to the cave, where no one would find him…on his way to the cave he recited twenty-four prayers, and on his way back twenty-four more’. </w:t>
      </w:r>
      <w:r>
        <w:rPr>
          <w:rStyle w:val="FootnoteReference"/>
          <w:rFonts w:ascii="Times" w:eastAsia="Times New Roman" w:hAnsi="Times" w:cs="Times New Roman"/>
          <w:lang w:eastAsia="en-GB"/>
        </w:rPr>
        <w:footnoteReference w:id="7"/>
      </w:r>
    </w:p>
    <w:p w14:paraId="3D2B5836" w14:textId="77777777" w:rsidR="00AC580A" w:rsidRDefault="00AC580A" w:rsidP="00AC580A">
      <w:pPr>
        <w:rPr>
          <w:rFonts w:ascii="Times" w:eastAsia="Times New Roman" w:hAnsi="Times" w:cs="Times New Roman"/>
          <w:lang w:eastAsia="en-GB"/>
        </w:rPr>
      </w:pPr>
    </w:p>
    <w:p w14:paraId="42E3DFF1" w14:textId="3672EEB1" w:rsidR="00AC580A" w:rsidRDefault="00AC580A" w:rsidP="00AC580A">
      <w:pPr>
        <w:spacing w:line="480" w:lineRule="auto"/>
        <w:rPr>
          <w:rFonts w:ascii="Times" w:eastAsia="Times New Roman" w:hAnsi="Times" w:cs="Times New Roman"/>
          <w:lang w:eastAsia="en-GB"/>
        </w:rPr>
      </w:pPr>
      <w:r>
        <w:rPr>
          <w:rFonts w:ascii="Times" w:eastAsia="Times New Roman" w:hAnsi="Times" w:cs="Times New Roman"/>
          <w:lang w:eastAsia="en-GB"/>
        </w:rPr>
        <w:t xml:space="preserve">These two extracts provide evidence that </w:t>
      </w:r>
      <w:r w:rsidR="005149DB">
        <w:rPr>
          <w:rFonts w:ascii="Times" w:eastAsia="Times New Roman" w:hAnsi="Times" w:cs="Times New Roman"/>
          <w:lang w:eastAsia="en-GB"/>
        </w:rPr>
        <w:t xml:space="preserve">in order to follow asceticism, sometimes the person may suffer. Another example </w:t>
      </w:r>
      <w:r w:rsidR="00955E63">
        <w:rPr>
          <w:rFonts w:ascii="Times" w:eastAsia="Times New Roman" w:hAnsi="Times" w:cs="Times New Roman"/>
          <w:lang w:eastAsia="en-GB"/>
        </w:rPr>
        <w:t>of asceticism and its effects are shown throughout Jerome, ‘you are mistaken…if you think that there is ever a time when the Christian is not suffering’.</w:t>
      </w:r>
      <w:r w:rsidR="00955E63">
        <w:rPr>
          <w:rStyle w:val="FootnoteReference"/>
          <w:rFonts w:ascii="Times" w:eastAsia="Times New Roman" w:hAnsi="Times" w:cs="Times New Roman"/>
          <w:lang w:eastAsia="en-GB"/>
        </w:rPr>
        <w:footnoteReference w:id="8"/>
      </w:r>
      <w:r w:rsidR="00955E63">
        <w:rPr>
          <w:rFonts w:ascii="Times" w:eastAsia="Times New Roman" w:hAnsi="Times" w:cs="Times New Roman"/>
          <w:lang w:eastAsia="en-GB"/>
        </w:rPr>
        <w:t xml:space="preserve"> It could be possible that the concept of Christian suffering is direct reference to the suffering of </w:t>
      </w:r>
      <w:r w:rsidR="003D03C7">
        <w:rPr>
          <w:rFonts w:ascii="Times" w:eastAsia="Times New Roman" w:hAnsi="Times" w:cs="Times New Roman"/>
          <w:lang w:eastAsia="en-GB"/>
        </w:rPr>
        <w:t xml:space="preserve">Christ. </w:t>
      </w:r>
      <w:r w:rsidR="003D03C7">
        <w:rPr>
          <w:rStyle w:val="FootnoteReference"/>
          <w:rFonts w:ascii="Times" w:eastAsia="Times New Roman" w:hAnsi="Times" w:cs="Times New Roman"/>
          <w:lang w:eastAsia="en-GB"/>
        </w:rPr>
        <w:footnoteReference w:id="9"/>
      </w:r>
      <w:r w:rsidR="003D03C7">
        <w:rPr>
          <w:rFonts w:ascii="Times" w:eastAsia="Times New Roman" w:hAnsi="Times" w:cs="Times New Roman"/>
          <w:lang w:eastAsia="en-GB"/>
        </w:rPr>
        <w:t xml:space="preserve"> Throughout the exploration of this suffering, it could be argued that the effect of this, be it mental physical or otherwise could be seen as self-harm by those without understanding of ascetic theology, However, in St. Jerome’s letter there is evidence that this is not the case, with the quote, ‘he is abundantly rich who is poor with Christ’,</w:t>
      </w:r>
      <w:r w:rsidR="003D03C7">
        <w:rPr>
          <w:rStyle w:val="FootnoteReference"/>
          <w:rFonts w:ascii="Times" w:eastAsia="Times New Roman" w:hAnsi="Times" w:cs="Times New Roman"/>
          <w:lang w:eastAsia="en-GB"/>
        </w:rPr>
        <w:footnoteReference w:id="10"/>
      </w:r>
      <w:r w:rsidR="003D03C7">
        <w:rPr>
          <w:rFonts w:ascii="Times" w:eastAsia="Times New Roman" w:hAnsi="Times" w:cs="Times New Roman"/>
          <w:lang w:eastAsia="en-GB"/>
        </w:rPr>
        <w:t xml:space="preserve"> this shows that when Christian perfection is achieved and being close with God is achieved, the mind and body cannot be in pain because of that.</w:t>
      </w:r>
      <w:r w:rsidR="003D03C7">
        <w:rPr>
          <w:rStyle w:val="FootnoteReference"/>
          <w:rFonts w:ascii="Times" w:eastAsia="Times New Roman" w:hAnsi="Times" w:cs="Times New Roman"/>
          <w:lang w:eastAsia="en-GB"/>
        </w:rPr>
        <w:footnoteReference w:id="11"/>
      </w:r>
      <w:r w:rsidR="00AC358B">
        <w:rPr>
          <w:rFonts w:ascii="Times" w:eastAsia="Times New Roman" w:hAnsi="Times" w:cs="Times New Roman"/>
          <w:lang w:eastAsia="en-GB"/>
        </w:rPr>
        <w:t xml:space="preserve"> In the accounts of asceticism mentioned, there is no link to mental health and or self-harm, and so to cast these aspersions </w:t>
      </w:r>
      <w:r w:rsidR="00C22907">
        <w:rPr>
          <w:rFonts w:ascii="Times" w:eastAsia="Times New Roman" w:hAnsi="Times" w:cs="Times New Roman"/>
          <w:lang w:eastAsia="en-GB"/>
        </w:rPr>
        <w:t xml:space="preserve">on these texts, would give results that are not discipline specific. </w:t>
      </w:r>
    </w:p>
    <w:p w14:paraId="4E6B1356" w14:textId="4D74CC6A" w:rsidR="002E1BB5" w:rsidRDefault="00CE3FAF" w:rsidP="00AC580A">
      <w:pPr>
        <w:spacing w:line="480" w:lineRule="auto"/>
        <w:rPr>
          <w:rFonts w:ascii="Times" w:eastAsia="Times New Roman" w:hAnsi="Times" w:cs="Times New Roman"/>
          <w:lang w:eastAsia="en-GB"/>
        </w:rPr>
      </w:pPr>
      <w:r>
        <w:rPr>
          <w:rFonts w:ascii="Times" w:eastAsia="Times New Roman" w:hAnsi="Times" w:cs="Times New Roman"/>
          <w:lang w:eastAsia="en-GB"/>
        </w:rPr>
        <w:t>Bradford’s article on the brain and</w:t>
      </w:r>
      <w:r w:rsidR="00A9581A">
        <w:rPr>
          <w:rFonts w:ascii="Times" w:eastAsia="Times New Roman" w:hAnsi="Times" w:cs="Times New Roman"/>
          <w:lang w:eastAsia="en-GB"/>
        </w:rPr>
        <w:t xml:space="preserve"> psyche in asceticism makes reference to Evagrius and his role in asceticism, as well as some of his ascetic acts.</w:t>
      </w:r>
      <w:r w:rsidR="00A9581A">
        <w:rPr>
          <w:rStyle w:val="FootnoteReference"/>
          <w:rFonts w:ascii="Times" w:eastAsia="Times New Roman" w:hAnsi="Times" w:cs="Times New Roman"/>
          <w:lang w:eastAsia="en-GB"/>
        </w:rPr>
        <w:footnoteReference w:id="12"/>
      </w:r>
      <w:r w:rsidR="00D54584">
        <w:rPr>
          <w:rFonts w:ascii="Times" w:eastAsia="Times New Roman" w:hAnsi="Times" w:cs="Times New Roman"/>
          <w:lang w:eastAsia="en-GB"/>
        </w:rPr>
        <w:t xml:space="preserve"> Cassidy, on the account of Evagruis mentions his quest for wisdom</w:t>
      </w:r>
      <w:r w:rsidR="00D54584">
        <w:rPr>
          <w:rStyle w:val="FootnoteReference"/>
          <w:rFonts w:ascii="Times" w:eastAsia="Times New Roman" w:hAnsi="Times" w:cs="Times New Roman"/>
          <w:lang w:eastAsia="en-GB"/>
        </w:rPr>
        <w:footnoteReference w:id="13"/>
      </w:r>
      <w:r w:rsidR="00D54584">
        <w:rPr>
          <w:rFonts w:ascii="Times" w:eastAsia="Times New Roman" w:hAnsi="Times" w:cs="Times New Roman"/>
          <w:lang w:eastAsia="en-GB"/>
        </w:rPr>
        <w:t xml:space="preserve"> – this being a part of asceticism shows that in the case of some key figures as well as this notion of physical relief there is also a notion of aiming towards something better and higher than themselves, this is explored within Cassidy with mention to the ‘unwanted distractions and the temptations of city life’</w:t>
      </w:r>
      <w:r w:rsidR="00D54584">
        <w:rPr>
          <w:rStyle w:val="FootnoteReference"/>
          <w:rFonts w:ascii="Times" w:eastAsia="Times New Roman" w:hAnsi="Times" w:cs="Times New Roman"/>
          <w:lang w:eastAsia="en-GB"/>
        </w:rPr>
        <w:footnoteReference w:id="14"/>
      </w:r>
      <w:r w:rsidR="00D54584">
        <w:rPr>
          <w:rFonts w:ascii="Times" w:eastAsia="Times New Roman" w:hAnsi="Times" w:cs="Times New Roman"/>
          <w:lang w:eastAsia="en-GB"/>
        </w:rPr>
        <w:t xml:space="preserve"> being </w:t>
      </w:r>
      <w:r w:rsidR="003140F6">
        <w:rPr>
          <w:rFonts w:ascii="Times" w:eastAsia="Times New Roman" w:hAnsi="Times" w:cs="Times New Roman"/>
          <w:lang w:eastAsia="en-GB"/>
        </w:rPr>
        <w:t>part of this asceticism.</w:t>
      </w:r>
      <w:r w:rsidR="003140F6">
        <w:rPr>
          <w:rStyle w:val="FootnoteReference"/>
          <w:rFonts w:ascii="Times" w:eastAsia="Times New Roman" w:hAnsi="Times" w:cs="Times New Roman"/>
          <w:lang w:eastAsia="en-GB"/>
        </w:rPr>
        <w:footnoteReference w:id="15"/>
      </w:r>
      <w:r w:rsidR="00211DD7">
        <w:rPr>
          <w:rFonts w:ascii="Times" w:eastAsia="Times New Roman" w:hAnsi="Times" w:cs="Times New Roman"/>
          <w:lang w:eastAsia="en-GB"/>
        </w:rPr>
        <w:t xml:space="preserve"> </w:t>
      </w:r>
      <w:r w:rsidR="00B47A01">
        <w:rPr>
          <w:rFonts w:ascii="Times" w:eastAsia="Times New Roman" w:hAnsi="Times" w:cs="Times New Roman"/>
          <w:lang w:eastAsia="en-GB"/>
        </w:rPr>
        <w:t>One other key figure to look at is the asceticism of Anthony.</w:t>
      </w:r>
      <w:r w:rsidR="00B47A01">
        <w:rPr>
          <w:rStyle w:val="FootnoteReference"/>
          <w:rFonts w:ascii="Times" w:eastAsia="Times New Roman" w:hAnsi="Times" w:cs="Times New Roman"/>
          <w:lang w:eastAsia="en-GB"/>
        </w:rPr>
        <w:footnoteReference w:id="16"/>
      </w:r>
      <w:r w:rsidR="00E25A23">
        <w:rPr>
          <w:rFonts w:ascii="Times" w:eastAsia="Times New Roman" w:hAnsi="Times" w:cs="Times New Roman"/>
          <w:lang w:eastAsia="en-GB"/>
        </w:rPr>
        <w:t xml:space="preserve"> Harmless explains Antony’s life as an ascetic and mentions something of particularly interesting, and that is the interpretation of asceticism as an ‘exercise regimen’.</w:t>
      </w:r>
      <w:r w:rsidR="00E25A23">
        <w:rPr>
          <w:rStyle w:val="FootnoteReference"/>
          <w:rFonts w:ascii="Times" w:eastAsia="Times New Roman" w:hAnsi="Times" w:cs="Times New Roman"/>
          <w:lang w:eastAsia="en-GB"/>
        </w:rPr>
        <w:footnoteReference w:id="17"/>
      </w:r>
      <w:r w:rsidR="00E25A23">
        <w:rPr>
          <w:rFonts w:ascii="Times" w:eastAsia="Times New Roman" w:hAnsi="Times" w:cs="Times New Roman"/>
          <w:lang w:eastAsia="en-GB"/>
        </w:rPr>
        <w:t xml:space="preserve"> This term implies that the notion of asceticism was for the well-being of the person undertaking the action as exercise </w:t>
      </w:r>
      <w:r w:rsidR="00286D45">
        <w:rPr>
          <w:rFonts w:ascii="Times" w:eastAsia="Times New Roman" w:hAnsi="Times" w:cs="Times New Roman"/>
          <w:lang w:eastAsia="en-GB"/>
        </w:rPr>
        <w:t>is generally associated with positive actions.</w:t>
      </w:r>
      <w:r w:rsidR="002E1BB5">
        <w:rPr>
          <w:rFonts w:ascii="Times" w:eastAsia="Times New Roman" w:hAnsi="Times" w:cs="Times New Roman"/>
          <w:lang w:eastAsia="en-GB"/>
        </w:rPr>
        <w:t xml:space="preserve"> On the notion of isolation, which was mentioned within Evagrius</w:t>
      </w:r>
      <w:r w:rsidR="002E1BB5">
        <w:rPr>
          <w:rStyle w:val="FootnoteReference"/>
          <w:rFonts w:ascii="Times" w:eastAsia="Times New Roman" w:hAnsi="Times" w:cs="Times New Roman"/>
          <w:lang w:eastAsia="en-GB"/>
        </w:rPr>
        <w:footnoteReference w:id="18"/>
      </w:r>
      <w:r w:rsidR="002E1BB5">
        <w:rPr>
          <w:rFonts w:ascii="Times" w:eastAsia="Times New Roman" w:hAnsi="Times" w:cs="Times New Roman"/>
          <w:lang w:eastAsia="en-GB"/>
        </w:rPr>
        <w:t>, it is also mentioned in the Life of Anthony and his withdrawal into the desert.</w:t>
      </w:r>
      <w:r w:rsidR="002E1BB5">
        <w:rPr>
          <w:rStyle w:val="FootnoteReference"/>
          <w:rFonts w:ascii="Times" w:eastAsia="Times New Roman" w:hAnsi="Times" w:cs="Times New Roman"/>
          <w:lang w:eastAsia="en-GB"/>
        </w:rPr>
        <w:footnoteReference w:id="19"/>
      </w:r>
      <w:r w:rsidR="002E1BB5">
        <w:rPr>
          <w:rFonts w:ascii="Times" w:eastAsia="Times New Roman" w:hAnsi="Times" w:cs="Times New Roman"/>
          <w:lang w:eastAsia="en-GB"/>
        </w:rPr>
        <w:t xml:space="preserve"> As much as isolation could be interpreted as harmful, in the case of Anthony, when he emerges from the desert there is a positive account: </w:t>
      </w:r>
    </w:p>
    <w:p w14:paraId="49ED6788" w14:textId="46E345E7" w:rsidR="00286D45" w:rsidRDefault="002E1BB5" w:rsidP="002E1BB5">
      <w:pPr>
        <w:ind w:left="720"/>
        <w:rPr>
          <w:rFonts w:ascii="Times" w:eastAsia="Times New Roman" w:hAnsi="Times" w:cs="Times New Roman"/>
          <w:lang w:eastAsia="en-GB"/>
        </w:rPr>
      </w:pPr>
      <w:r>
        <w:rPr>
          <w:rFonts w:ascii="Times" w:eastAsia="Times New Roman" w:hAnsi="Times" w:cs="Times New Roman"/>
          <w:lang w:eastAsia="en-GB"/>
        </w:rPr>
        <w:t>‘Not only did he emerge physically unchanged, he now possessed a mysterious inner tranquillity, visible in his face, His very presence was enough to work healings into some who were there’.</w:t>
      </w:r>
      <w:r>
        <w:rPr>
          <w:rStyle w:val="FootnoteReference"/>
          <w:rFonts w:ascii="Times" w:eastAsia="Times New Roman" w:hAnsi="Times" w:cs="Times New Roman"/>
          <w:lang w:eastAsia="en-GB"/>
        </w:rPr>
        <w:footnoteReference w:id="20"/>
      </w:r>
    </w:p>
    <w:p w14:paraId="120C2FB2" w14:textId="77777777" w:rsidR="002E1BB5" w:rsidRDefault="002E1BB5" w:rsidP="002E1BB5">
      <w:pPr>
        <w:spacing w:line="480" w:lineRule="auto"/>
        <w:rPr>
          <w:rFonts w:ascii="Times" w:eastAsia="Times New Roman" w:hAnsi="Times" w:cs="Times New Roman"/>
          <w:lang w:eastAsia="en-GB"/>
        </w:rPr>
      </w:pPr>
    </w:p>
    <w:p w14:paraId="68023552" w14:textId="2542B398" w:rsidR="00B9468D" w:rsidRDefault="002E1BB5" w:rsidP="00AC580A">
      <w:pPr>
        <w:spacing w:line="480" w:lineRule="auto"/>
        <w:rPr>
          <w:rFonts w:ascii="Times" w:eastAsia="Times New Roman" w:hAnsi="Times" w:cs="Times New Roman"/>
          <w:lang w:eastAsia="en-GB"/>
        </w:rPr>
      </w:pPr>
      <w:r>
        <w:rPr>
          <w:rFonts w:ascii="Times" w:eastAsia="Times New Roman" w:hAnsi="Times" w:cs="Times New Roman"/>
          <w:lang w:eastAsia="en-GB"/>
        </w:rPr>
        <w:t>This account provides evidence towards the notion that if done correctly asceticism has no negative effects on the body, but a positive and fulfilling effect on the soul an being closer to Christ.</w:t>
      </w:r>
      <w:r w:rsidR="00AE4F2F">
        <w:rPr>
          <w:rFonts w:ascii="Times" w:eastAsia="Times New Roman" w:hAnsi="Times" w:cs="Times New Roman"/>
          <w:lang w:eastAsia="en-GB"/>
        </w:rPr>
        <w:t xml:space="preserve"> Lawrence provides evidence that the accounts associated with Anthony made a long lasting impression and moved over to the west and encouraged others to continue with asceticism.</w:t>
      </w:r>
      <w:r w:rsidR="00AE4F2F">
        <w:rPr>
          <w:rStyle w:val="FootnoteReference"/>
          <w:rFonts w:ascii="Times" w:eastAsia="Times New Roman" w:hAnsi="Times" w:cs="Times New Roman"/>
          <w:lang w:eastAsia="en-GB"/>
        </w:rPr>
        <w:footnoteReference w:id="21"/>
      </w:r>
      <w:r w:rsidR="00AE4F2F">
        <w:rPr>
          <w:rFonts w:ascii="Times" w:eastAsia="Times New Roman" w:hAnsi="Times" w:cs="Times New Roman"/>
          <w:lang w:eastAsia="en-GB"/>
        </w:rPr>
        <w:t xml:space="preserve"> </w:t>
      </w:r>
      <w:r w:rsidR="00B9468D">
        <w:rPr>
          <w:rFonts w:ascii="Times" w:eastAsia="Times New Roman" w:hAnsi="Times" w:cs="Times New Roman"/>
          <w:lang w:eastAsia="en-GB"/>
        </w:rPr>
        <w:t xml:space="preserve">Görg highlights a particularly interesting argument in relation to asceticism being viewed by self-harm and that is the view that, those who partake </w:t>
      </w:r>
      <w:r w:rsidR="004F0829">
        <w:rPr>
          <w:rFonts w:ascii="Times" w:eastAsia="Times New Roman" w:hAnsi="Times" w:cs="Times New Roman"/>
          <w:lang w:eastAsia="en-GB"/>
        </w:rPr>
        <w:t>in asceticism but do not understand the true meaning of asceticism and the purpose of the actions will have suffered for nothing.</w:t>
      </w:r>
      <w:r w:rsidR="00153F21">
        <w:rPr>
          <w:rStyle w:val="FootnoteReference"/>
          <w:rFonts w:ascii="Times" w:eastAsia="Times New Roman" w:hAnsi="Times" w:cs="Times New Roman"/>
          <w:lang w:eastAsia="en-GB"/>
        </w:rPr>
        <w:footnoteReference w:id="22"/>
      </w:r>
      <w:r w:rsidR="004F0829">
        <w:rPr>
          <w:rFonts w:ascii="Times" w:eastAsia="Times New Roman" w:hAnsi="Times" w:cs="Times New Roman"/>
          <w:lang w:eastAsia="en-GB"/>
        </w:rPr>
        <w:t xml:space="preserve"> In this way, asceticism can be linked to self-harm but not in its actions but rather that the misunderstanding can lead to it.</w:t>
      </w:r>
      <w:r w:rsidR="00153F21">
        <w:rPr>
          <w:rStyle w:val="FootnoteReference"/>
          <w:rFonts w:ascii="Times" w:eastAsia="Times New Roman" w:hAnsi="Times" w:cs="Times New Roman"/>
          <w:lang w:eastAsia="en-GB"/>
        </w:rPr>
        <w:footnoteReference w:id="23"/>
      </w:r>
      <w:r w:rsidR="004F0829">
        <w:rPr>
          <w:rFonts w:ascii="Times" w:eastAsia="Times New Roman" w:hAnsi="Times" w:cs="Times New Roman"/>
          <w:lang w:eastAsia="en-GB"/>
        </w:rPr>
        <w:t xml:space="preserve"> This does, raise questions as to how it could be interpreted as an excuse for self-harming again, but this is casting psychological questions onto a theological issue, and despite these issues, the term self-harm </w:t>
      </w:r>
      <w:r w:rsidR="00174AA9">
        <w:rPr>
          <w:rFonts w:ascii="Times" w:eastAsia="Times New Roman" w:hAnsi="Times" w:cs="Times New Roman"/>
          <w:lang w:eastAsia="en-GB"/>
        </w:rPr>
        <w:t>is not used in reference to it.</w:t>
      </w:r>
      <w:r w:rsidR="00174AA9">
        <w:rPr>
          <w:rStyle w:val="FootnoteReference"/>
          <w:rFonts w:ascii="Times" w:eastAsia="Times New Roman" w:hAnsi="Times" w:cs="Times New Roman"/>
          <w:lang w:eastAsia="en-GB"/>
        </w:rPr>
        <w:footnoteReference w:id="24"/>
      </w:r>
      <w:r w:rsidR="00AE4F2F">
        <w:rPr>
          <w:rFonts w:ascii="Times" w:eastAsia="Times New Roman" w:hAnsi="Times" w:cs="Times New Roman"/>
          <w:lang w:eastAsia="en-GB"/>
        </w:rPr>
        <w:t xml:space="preserve"> </w:t>
      </w:r>
    </w:p>
    <w:p w14:paraId="7A7910A9" w14:textId="77777777" w:rsidR="00233883" w:rsidRPr="004C2FAC" w:rsidRDefault="00233883" w:rsidP="00233883">
      <w:pPr>
        <w:spacing w:line="480" w:lineRule="auto"/>
        <w:rPr>
          <w:rFonts w:ascii="Times" w:eastAsia="Times New Roman" w:hAnsi="Times" w:cs="Times New Roman"/>
          <w:lang w:eastAsia="en-GB"/>
        </w:rPr>
      </w:pPr>
    </w:p>
    <w:p w14:paraId="2FBA6A30" w14:textId="0DBD5AB4" w:rsidR="002E5D01" w:rsidRPr="00FE39CB" w:rsidRDefault="007F69CB" w:rsidP="00B45394">
      <w:pPr>
        <w:spacing w:line="480" w:lineRule="auto"/>
        <w:rPr>
          <w:rFonts w:ascii="Times" w:eastAsia="Times New Roman" w:hAnsi="Times" w:cs="Times New Roman"/>
          <w:lang w:eastAsia="en-GB"/>
        </w:rPr>
      </w:pPr>
      <w:r>
        <w:rPr>
          <w:rFonts w:ascii="Times" w:eastAsia="Times New Roman" w:hAnsi="Times" w:cs="Times New Roman"/>
          <w:lang w:eastAsia="en-GB"/>
        </w:rPr>
        <w:t>The social stigma attached to self-harm is still something that is prevalent and most information about the topics comes from psychological reports and medical journals. There are many different reasons why an individual could decide to self-harm; these include pressures from social surroundings such as friends, school and university, as well as family issues and intense emotional distress.</w:t>
      </w:r>
      <w:r w:rsidR="00A11D5B">
        <w:rPr>
          <w:rStyle w:val="FootnoteReference"/>
          <w:rFonts w:ascii="Times" w:eastAsia="Times New Roman" w:hAnsi="Times" w:cs="Times New Roman"/>
          <w:lang w:eastAsia="en-GB"/>
        </w:rPr>
        <w:footnoteReference w:id="25"/>
      </w:r>
      <w:r>
        <w:rPr>
          <w:rFonts w:ascii="Times" w:eastAsia="Times New Roman" w:hAnsi="Times" w:cs="Times New Roman"/>
          <w:lang w:eastAsia="en-GB"/>
        </w:rPr>
        <w:t xml:space="preserve"> Contrary to asceticism, the choice is largely </w:t>
      </w:r>
      <w:r w:rsidR="00943899">
        <w:rPr>
          <w:rFonts w:ascii="Times" w:eastAsia="Times New Roman" w:hAnsi="Times" w:cs="Times New Roman"/>
          <w:lang w:eastAsia="en-GB"/>
        </w:rPr>
        <w:t>a last resort, as a result of some sort of trauma or psychological distress.</w:t>
      </w:r>
      <w:r w:rsidR="00F218EF">
        <w:rPr>
          <w:rStyle w:val="FootnoteReference"/>
          <w:rFonts w:ascii="Times" w:eastAsia="Times New Roman" w:hAnsi="Times" w:cs="Times New Roman"/>
          <w:lang w:eastAsia="en-GB"/>
        </w:rPr>
        <w:footnoteReference w:id="26"/>
      </w:r>
      <w:r w:rsidR="00943899">
        <w:rPr>
          <w:rFonts w:ascii="Times" w:eastAsia="Times New Roman" w:hAnsi="Times" w:cs="Times New Roman"/>
          <w:lang w:eastAsia="en-GB"/>
        </w:rPr>
        <w:t xml:space="preserve"> One of the key differences in the two acts, is intent. On the complete obverse to ascetics helping themselves, arguable, those self-harming </w:t>
      </w:r>
      <w:r w:rsidR="00436DC2">
        <w:rPr>
          <w:rFonts w:ascii="Times" w:eastAsia="Times New Roman" w:hAnsi="Times" w:cs="Times New Roman"/>
          <w:lang w:eastAsia="en-GB"/>
        </w:rPr>
        <w:t>are doing the opposite by hurting themselves.</w:t>
      </w:r>
      <w:r w:rsidR="008D4FD9">
        <w:rPr>
          <w:rStyle w:val="FootnoteReference"/>
          <w:rFonts w:ascii="Times" w:eastAsia="Times New Roman" w:hAnsi="Times" w:cs="Times New Roman"/>
          <w:lang w:eastAsia="en-GB"/>
        </w:rPr>
        <w:footnoteReference w:id="27"/>
      </w:r>
      <w:r w:rsidR="00F218EF">
        <w:rPr>
          <w:rFonts w:ascii="Times" w:eastAsia="Times New Roman" w:hAnsi="Times" w:cs="Times New Roman"/>
          <w:lang w:eastAsia="en-GB"/>
        </w:rPr>
        <w:t xml:space="preserve"> In psychological articles</w:t>
      </w:r>
      <w:r w:rsidR="00436DC2">
        <w:rPr>
          <w:rFonts w:ascii="Times" w:eastAsia="Times New Roman" w:hAnsi="Times" w:cs="Times New Roman"/>
          <w:lang w:eastAsia="en-GB"/>
        </w:rPr>
        <w:t xml:space="preserve"> </w:t>
      </w:r>
      <w:r w:rsidR="006F2374">
        <w:rPr>
          <w:rFonts w:ascii="Times" w:eastAsia="Times New Roman" w:hAnsi="Times" w:cs="Times New Roman"/>
          <w:lang w:eastAsia="en-GB"/>
        </w:rPr>
        <w:t>there seems to be no reference to asceticism and self-harm in any of the articles, ensuring that to continue with the thesis of this research, that although it could be viewed as such there is no proof that ascetics are self-harming.</w:t>
      </w:r>
      <w:r w:rsidR="006F2374">
        <w:rPr>
          <w:rStyle w:val="FootnoteReference"/>
          <w:rFonts w:ascii="Times" w:eastAsia="Times New Roman" w:hAnsi="Times" w:cs="Times New Roman"/>
          <w:lang w:eastAsia="en-GB"/>
        </w:rPr>
        <w:footnoteReference w:id="28"/>
      </w:r>
      <w:r w:rsidR="00796E4B">
        <w:rPr>
          <w:rFonts w:ascii="Times" w:eastAsia="Times New Roman" w:hAnsi="Times" w:cs="Times New Roman"/>
          <w:lang w:eastAsia="en-GB"/>
        </w:rPr>
        <w:t xml:space="preserve"> Self-harm is</w:t>
      </w:r>
      <w:r w:rsidR="00A81409">
        <w:rPr>
          <w:rFonts w:ascii="Times" w:eastAsia="Times New Roman" w:hAnsi="Times" w:cs="Times New Roman"/>
          <w:lang w:eastAsia="en-GB"/>
        </w:rPr>
        <w:t xml:space="preserve"> classified under psychological opinion because according to several reports, self-harm is quite often linked to the underlying of a mental illness or something of a similar calibre, and so as its root is based in psychology the action is too.</w:t>
      </w:r>
      <w:r w:rsidR="00FF4D0A">
        <w:rPr>
          <w:rStyle w:val="FootnoteReference"/>
          <w:rFonts w:ascii="Times" w:eastAsia="Times New Roman" w:hAnsi="Times" w:cs="Times New Roman"/>
          <w:lang w:eastAsia="en-GB"/>
        </w:rPr>
        <w:footnoteReference w:id="29"/>
      </w:r>
      <w:r w:rsidR="000169BF">
        <w:rPr>
          <w:rFonts w:ascii="Times" w:eastAsia="Times New Roman" w:hAnsi="Times" w:cs="Times New Roman"/>
          <w:lang w:eastAsia="en-GB"/>
        </w:rPr>
        <w:t xml:space="preserve"> However, there is also evidence to suggest that self-harm can occur in those not suffering from mental health issues, but wanted a release all the same.</w:t>
      </w:r>
      <w:r w:rsidR="000169BF">
        <w:rPr>
          <w:rStyle w:val="FootnoteReference"/>
          <w:rFonts w:ascii="Times" w:eastAsia="Times New Roman" w:hAnsi="Times" w:cs="Times New Roman"/>
          <w:lang w:eastAsia="en-GB"/>
        </w:rPr>
        <w:footnoteReference w:id="30"/>
      </w:r>
      <w:r w:rsidR="00DC40B5">
        <w:rPr>
          <w:rFonts w:ascii="Times" w:eastAsia="Times New Roman" w:hAnsi="Times" w:cs="Times New Roman"/>
          <w:lang w:eastAsia="en-GB"/>
        </w:rPr>
        <w:t xml:space="preserve"> </w:t>
      </w:r>
      <w:r w:rsidR="0092518B">
        <w:rPr>
          <w:rFonts w:ascii="Times" w:eastAsia="Times New Roman" w:hAnsi="Times" w:cs="Times New Roman"/>
          <w:lang w:eastAsia="en-GB"/>
        </w:rPr>
        <w:t xml:space="preserve">What is important to consider with self-harm as well, </w:t>
      </w:r>
      <w:r w:rsidR="00B9468D">
        <w:rPr>
          <w:rFonts w:ascii="Times" w:eastAsia="Times New Roman" w:hAnsi="Times" w:cs="Times New Roman"/>
          <w:lang w:eastAsia="en-GB"/>
        </w:rPr>
        <w:t>is the negativity associated with such an act, within Warm, Murrays and Fox’s exploration of the topic, time-wasting as a reaction to self-harm.</w:t>
      </w:r>
      <w:r w:rsidR="00B9468D">
        <w:rPr>
          <w:rStyle w:val="FootnoteReference"/>
          <w:rFonts w:ascii="Times" w:eastAsia="Times New Roman" w:hAnsi="Times" w:cs="Times New Roman"/>
          <w:lang w:eastAsia="en-GB"/>
        </w:rPr>
        <w:footnoteReference w:id="31"/>
      </w:r>
      <w:r w:rsidR="00B9468D">
        <w:rPr>
          <w:rFonts w:ascii="Times" w:eastAsia="Times New Roman" w:hAnsi="Times" w:cs="Times New Roman"/>
          <w:lang w:eastAsia="en-GB"/>
        </w:rPr>
        <w:t xml:space="preserve"> Contrasting this to asceticism, to become close with God and to aspire to become the perfect Christian is not a waste of time, but something that Christians can aspire to be. </w:t>
      </w:r>
      <w:r w:rsidR="00DC40B5">
        <w:rPr>
          <w:rFonts w:ascii="Times" w:eastAsia="Times New Roman" w:hAnsi="Times" w:cs="Times New Roman"/>
          <w:lang w:eastAsia="en-GB"/>
        </w:rPr>
        <w:t xml:space="preserve">This is what could be seen as one of the key differences in asceticism and self-injury the intent to injure oneself. </w:t>
      </w:r>
      <w:r w:rsidR="002E5D01">
        <w:rPr>
          <w:rFonts w:ascii="Times" w:eastAsia="Times New Roman" w:hAnsi="Times" w:cs="Times New Roman"/>
          <w:lang w:eastAsia="en-GB"/>
        </w:rPr>
        <w:t xml:space="preserve">Skegg put forwards different arguments about </w:t>
      </w:r>
      <w:r w:rsidR="00027E9C">
        <w:rPr>
          <w:rFonts w:ascii="Times" w:eastAsia="Times New Roman" w:hAnsi="Times" w:cs="Times New Roman"/>
          <w:lang w:eastAsia="en-GB"/>
        </w:rPr>
        <w:t xml:space="preserve">a variety of different </w:t>
      </w:r>
      <w:r w:rsidR="008D3D65">
        <w:rPr>
          <w:rFonts w:ascii="Times" w:eastAsia="Times New Roman" w:hAnsi="Times" w:cs="Times New Roman"/>
          <w:lang w:eastAsia="en-GB"/>
        </w:rPr>
        <w:t>factors, focusing on how society in the mode</w:t>
      </w:r>
      <w:r w:rsidR="00F419A1">
        <w:rPr>
          <w:rFonts w:ascii="Times" w:eastAsia="Times New Roman" w:hAnsi="Times" w:cs="Times New Roman"/>
          <w:lang w:eastAsia="en-GB"/>
        </w:rPr>
        <w:t>rn time is a trigger in itself.</w:t>
      </w:r>
      <w:r w:rsidR="00F419A1">
        <w:rPr>
          <w:rStyle w:val="FootnoteReference"/>
          <w:rFonts w:ascii="Times" w:eastAsia="Times New Roman" w:hAnsi="Times" w:cs="Times New Roman"/>
          <w:lang w:eastAsia="en-GB"/>
        </w:rPr>
        <w:footnoteReference w:id="32"/>
      </w:r>
      <w:r w:rsidR="00F419A1">
        <w:rPr>
          <w:rFonts w:ascii="Times" w:eastAsia="Times New Roman" w:hAnsi="Times" w:cs="Times New Roman"/>
          <w:lang w:eastAsia="en-GB"/>
        </w:rPr>
        <w:t xml:space="preserve"> In the case of self-harm within modern society, there are so many external factors that go into this act</w:t>
      </w:r>
      <w:r w:rsidR="00F419A1">
        <w:rPr>
          <w:rStyle w:val="FootnoteReference"/>
          <w:rFonts w:ascii="Times" w:eastAsia="Times New Roman" w:hAnsi="Times" w:cs="Times New Roman"/>
          <w:lang w:eastAsia="en-GB"/>
        </w:rPr>
        <w:footnoteReference w:id="33"/>
      </w:r>
      <w:r w:rsidR="00F419A1">
        <w:rPr>
          <w:rFonts w:ascii="Times" w:eastAsia="Times New Roman" w:hAnsi="Times" w:cs="Times New Roman"/>
          <w:lang w:eastAsia="en-GB"/>
        </w:rPr>
        <w:t xml:space="preserve">, that it makes it inconceivable to compare this with asceticism. </w:t>
      </w:r>
      <w:r w:rsidR="00144BFB">
        <w:rPr>
          <w:rFonts w:ascii="Times" w:eastAsia="Times New Roman" w:hAnsi="Times" w:cs="Times New Roman"/>
          <w:lang w:eastAsia="en-GB"/>
        </w:rPr>
        <w:t xml:space="preserve">As well as this, the notion of self-harm is a relatively </w:t>
      </w:r>
      <w:r w:rsidR="002430B0">
        <w:rPr>
          <w:rFonts w:ascii="Times" w:eastAsia="Times New Roman" w:hAnsi="Times" w:cs="Times New Roman"/>
          <w:lang w:eastAsia="en-GB"/>
        </w:rPr>
        <w:t>new concept</w:t>
      </w:r>
      <w:r w:rsidR="002430B0">
        <w:rPr>
          <w:rStyle w:val="FootnoteReference"/>
          <w:rFonts w:ascii="Times" w:eastAsia="Times New Roman" w:hAnsi="Times" w:cs="Times New Roman"/>
          <w:lang w:eastAsia="en-GB"/>
        </w:rPr>
        <w:footnoteReference w:id="34"/>
      </w:r>
      <w:r w:rsidR="002430B0">
        <w:rPr>
          <w:rFonts w:ascii="Times" w:eastAsia="Times New Roman" w:hAnsi="Times" w:cs="Times New Roman"/>
          <w:lang w:eastAsia="en-GB"/>
        </w:rPr>
        <w:t>, especially seen in the psychiatric world, and so, yet again, it seems illogical to place modern conceptions in the case of early asceticism.</w:t>
      </w:r>
      <w:r w:rsidR="00442A19">
        <w:rPr>
          <w:rFonts w:ascii="Times" w:eastAsia="Times New Roman" w:hAnsi="Times" w:cs="Times New Roman"/>
          <w:lang w:eastAsia="en-GB"/>
        </w:rPr>
        <w:t xml:space="preserve"> On the top</w:t>
      </w:r>
      <w:r w:rsidR="00DB4CE5">
        <w:rPr>
          <w:rFonts w:ascii="Times" w:eastAsia="Times New Roman" w:hAnsi="Times" w:cs="Times New Roman"/>
          <w:lang w:eastAsia="en-GB"/>
        </w:rPr>
        <w:t>ic of self-harm, in</w:t>
      </w:r>
      <w:r w:rsidR="00442A19">
        <w:rPr>
          <w:rFonts w:ascii="Times" w:eastAsia="Times New Roman" w:hAnsi="Times" w:cs="Times New Roman"/>
          <w:lang w:eastAsia="en-GB"/>
        </w:rPr>
        <w:t xml:space="preserve"> some psychiatric </w:t>
      </w:r>
      <w:r w:rsidR="00DB4CE5">
        <w:rPr>
          <w:rFonts w:ascii="Times" w:eastAsia="Times New Roman" w:hAnsi="Times" w:cs="Times New Roman"/>
          <w:lang w:eastAsia="en-GB"/>
        </w:rPr>
        <w:t xml:space="preserve">articles determine a factor of self-harm as the repetitive nature of the act, this meaning that the person involved in the action returns to the same </w:t>
      </w:r>
      <w:r w:rsidR="008562BB">
        <w:rPr>
          <w:rFonts w:ascii="Times" w:eastAsia="Times New Roman" w:hAnsi="Times" w:cs="Times New Roman"/>
          <w:lang w:eastAsia="en-GB"/>
        </w:rPr>
        <w:t>mental state as before in order to repeat the act</w:t>
      </w:r>
      <w:r w:rsidR="008562BB">
        <w:rPr>
          <w:rStyle w:val="FootnoteReference"/>
          <w:rFonts w:ascii="Times" w:eastAsia="Times New Roman" w:hAnsi="Times" w:cs="Times New Roman"/>
          <w:lang w:eastAsia="en-GB"/>
        </w:rPr>
        <w:footnoteReference w:id="35"/>
      </w:r>
      <w:r w:rsidR="008562BB">
        <w:rPr>
          <w:rFonts w:ascii="Times" w:eastAsia="Times New Roman" w:hAnsi="Times" w:cs="Times New Roman"/>
          <w:lang w:eastAsia="en-GB"/>
        </w:rPr>
        <w:t>, showing that they arguably to not learn or grow from the experience,</w:t>
      </w:r>
      <w:r w:rsidR="00DB4CE5">
        <w:rPr>
          <w:rFonts w:ascii="Times" w:eastAsia="Times New Roman" w:hAnsi="Times" w:cs="Times New Roman"/>
          <w:lang w:eastAsia="en-GB"/>
        </w:rPr>
        <w:t xml:space="preserve"> as opposed to the ongoing journey that i</w:t>
      </w:r>
      <w:r w:rsidR="008562BB">
        <w:rPr>
          <w:rFonts w:ascii="Times" w:eastAsia="Times New Roman" w:hAnsi="Times" w:cs="Times New Roman"/>
          <w:lang w:eastAsia="en-GB"/>
        </w:rPr>
        <w:t>s explored within asceticism to grow within knowledge and helps oneself.</w:t>
      </w:r>
      <w:r w:rsidR="008562BB">
        <w:rPr>
          <w:rStyle w:val="FootnoteReference"/>
          <w:rFonts w:ascii="Times" w:eastAsia="Times New Roman" w:hAnsi="Times" w:cs="Times New Roman"/>
          <w:lang w:eastAsia="en-GB"/>
        </w:rPr>
        <w:footnoteReference w:id="36"/>
      </w:r>
      <w:r w:rsidR="008562BB">
        <w:rPr>
          <w:rFonts w:ascii="Times" w:eastAsia="Times New Roman" w:hAnsi="Times" w:cs="Times New Roman"/>
          <w:lang w:eastAsia="en-GB"/>
        </w:rPr>
        <w:t xml:space="preserve"> In this sense, both could be argued as a calling, but again the intention of the acts comes into determining the theological or psychological response. </w:t>
      </w:r>
    </w:p>
    <w:p w14:paraId="6E7807E9" w14:textId="77777777" w:rsidR="00436DC2" w:rsidRDefault="00436DC2" w:rsidP="00B45394">
      <w:pPr>
        <w:spacing w:line="480" w:lineRule="auto"/>
        <w:rPr>
          <w:rFonts w:ascii="Times" w:eastAsia="Times New Roman" w:hAnsi="Times" w:cs="Times New Roman"/>
          <w:lang w:eastAsia="en-GB"/>
        </w:rPr>
      </w:pPr>
    </w:p>
    <w:p w14:paraId="4ECDAFAE" w14:textId="722BB6C3" w:rsidR="00A10D75" w:rsidRDefault="00A10D75" w:rsidP="00B45394">
      <w:pPr>
        <w:spacing w:line="480" w:lineRule="auto"/>
        <w:rPr>
          <w:rFonts w:ascii="Times" w:eastAsia="Times New Roman" w:hAnsi="Times" w:cs="Times New Roman"/>
          <w:lang w:eastAsia="en-GB"/>
        </w:rPr>
      </w:pPr>
      <w:r>
        <w:rPr>
          <w:rFonts w:ascii="Times" w:eastAsia="Times New Roman" w:hAnsi="Times" w:cs="Times New Roman"/>
          <w:lang w:eastAsia="en-GB"/>
        </w:rPr>
        <w:t>Through some forms of asceticism, ascetics do hurt themselves, however, it is different in its nature to the intent of self-harm. With asceticism, the bodily mutilation is secondary to the goal</w:t>
      </w:r>
      <w:r>
        <w:rPr>
          <w:rStyle w:val="FootnoteReference"/>
          <w:rFonts w:ascii="Times" w:eastAsia="Times New Roman" w:hAnsi="Times" w:cs="Times New Roman"/>
          <w:lang w:eastAsia="en-GB"/>
        </w:rPr>
        <w:footnoteReference w:id="37"/>
      </w:r>
      <w:r>
        <w:rPr>
          <w:rFonts w:ascii="Times" w:eastAsia="Times New Roman" w:hAnsi="Times" w:cs="Times New Roman"/>
          <w:lang w:eastAsia="en-GB"/>
        </w:rPr>
        <w:t>, as opposed to self-harm in which the primary goal is to injure the body.</w:t>
      </w:r>
      <w:r w:rsidR="00DC40B5">
        <w:rPr>
          <w:rStyle w:val="FootnoteReference"/>
          <w:rFonts w:ascii="Times" w:eastAsia="Times New Roman" w:hAnsi="Times" w:cs="Times New Roman"/>
          <w:lang w:eastAsia="en-GB"/>
        </w:rPr>
        <w:footnoteReference w:id="38"/>
      </w:r>
    </w:p>
    <w:p w14:paraId="0DD4728E" w14:textId="1A04AC51" w:rsidR="00436DC2" w:rsidRDefault="00943899" w:rsidP="00B45394">
      <w:pPr>
        <w:spacing w:line="480" w:lineRule="auto"/>
        <w:rPr>
          <w:rFonts w:ascii="Times" w:eastAsia="Times New Roman" w:hAnsi="Times" w:cs="Times New Roman"/>
          <w:lang w:eastAsia="en-GB"/>
        </w:rPr>
      </w:pPr>
      <w:r>
        <w:rPr>
          <w:rFonts w:ascii="Times" w:eastAsia="Times New Roman" w:hAnsi="Times" w:cs="Times New Roman"/>
          <w:lang w:eastAsia="en-GB"/>
        </w:rPr>
        <w:t xml:space="preserve"> In looking and understanding the two disciplines, it is clear that for all the differences there are some similarities that could cause questions about whether the two are more clo</w:t>
      </w:r>
      <w:r w:rsidR="008562BB">
        <w:rPr>
          <w:rFonts w:ascii="Times" w:eastAsia="Times New Roman" w:hAnsi="Times" w:cs="Times New Roman"/>
          <w:lang w:eastAsia="en-GB"/>
        </w:rPr>
        <w:t>sely linked than first thought, especially if in some cases, the theologies are not properly understood.</w:t>
      </w:r>
    </w:p>
    <w:p w14:paraId="524E3880" w14:textId="13D275C5" w:rsidR="003E11EA" w:rsidRDefault="00943899" w:rsidP="00B45394">
      <w:pPr>
        <w:spacing w:line="480" w:lineRule="auto"/>
        <w:rPr>
          <w:rFonts w:ascii="Times" w:eastAsia="Times New Roman" w:hAnsi="Times" w:cs="Times New Roman"/>
          <w:lang w:eastAsia="en-GB"/>
        </w:rPr>
      </w:pPr>
      <w:r>
        <w:rPr>
          <w:rFonts w:ascii="Times" w:eastAsia="Times New Roman" w:hAnsi="Times" w:cs="Times New Roman"/>
          <w:lang w:eastAsia="en-GB"/>
        </w:rPr>
        <w:t>The first factor that is shared between the concept of asceticism and self-harm is a general sense of ritual. Görg provi</w:t>
      </w:r>
      <w:r w:rsidR="00B47A01">
        <w:rPr>
          <w:rFonts w:ascii="Times" w:eastAsia="Times New Roman" w:hAnsi="Times" w:cs="Times New Roman"/>
          <w:lang w:eastAsia="en-GB"/>
        </w:rPr>
        <w:t xml:space="preserve">des insight into the life of </w:t>
      </w:r>
      <w:r>
        <w:rPr>
          <w:rFonts w:ascii="Times" w:eastAsia="Times New Roman" w:hAnsi="Times" w:cs="Times New Roman"/>
          <w:lang w:eastAsia="en-GB"/>
        </w:rPr>
        <w:t xml:space="preserve"> Anthony and his journey through asceticism, the account which narrates his sleeping schedule and eating routine, shows a ritualistic element.</w:t>
      </w:r>
      <w:r>
        <w:rPr>
          <w:rStyle w:val="FootnoteReference"/>
          <w:rFonts w:ascii="Times" w:eastAsia="Times New Roman" w:hAnsi="Times" w:cs="Times New Roman"/>
          <w:lang w:eastAsia="en-GB"/>
        </w:rPr>
        <w:footnoteReference w:id="39"/>
      </w:r>
      <w:r>
        <w:rPr>
          <w:rFonts w:ascii="Times" w:eastAsia="Times New Roman" w:hAnsi="Times" w:cs="Times New Roman"/>
          <w:lang w:eastAsia="en-GB"/>
        </w:rPr>
        <w:t xml:space="preserve"> Similarly, with self-harm, what is often mentioned when talking of the act itself is a sense of self-harming being a ritual in that there are certain steps that can be taken to achieve a certain result.</w:t>
      </w:r>
      <w:r>
        <w:rPr>
          <w:rStyle w:val="FootnoteReference"/>
          <w:rFonts w:ascii="Times" w:eastAsia="Times New Roman" w:hAnsi="Times" w:cs="Times New Roman"/>
          <w:lang w:eastAsia="en-GB"/>
        </w:rPr>
        <w:footnoteReference w:id="40"/>
      </w:r>
      <w:r w:rsidR="00436DC2">
        <w:rPr>
          <w:rFonts w:ascii="Times" w:eastAsia="Times New Roman" w:hAnsi="Times" w:cs="Times New Roman"/>
          <w:lang w:eastAsia="en-GB"/>
        </w:rPr>
        <w:t xml:space="preserve"> Continuing on from the notion of ritual, is another important factor that seems to have correlations; this being control. Görg states that asceticism is a form of control over the body</w:t>
      </w:r>
      <w:r w:rsidR="00436DC2">
        <w:rPr>
          <w:rStyle w:val="FootnoteReference"/>
          <w:rFonts w:ascii="Times" w:eastAsia="Times New Roman" w:hAnsi="Times" w:cs="Times New Roman"/>
          <w:lang w:eastAsia="en-GB"/>
        </w:rPr>
        <w:footnoteReference w:id="41"/>
      </w:r>
      <w:r w:rsidR="00436DC2">
        <w:rPr>
          <w:rFonts w:ascii="Times" w:eastAsia="Times New Roman" w:hAnsi="Times" w:cs="Times New Roman"/>
          <w:lang w:eastAsia="en-GB"/>
        </w:rPr>
        <w:t xml:space="preserve">, arguably self-harm provides the same function, by cutting, burning, </w:t>
      </w:r>
      <w:r w:rsidR="00BF3FA4">
        <w:rPr>
          <w:rFonts w:ascii="Times" w:eastAsia="Times New Roman" w:hAnsi="Times" w:cs="Times New Roman"/>
          <w:lang w:eastAsia="en-GB"/>
        </w:rPr>
        <w:t>scratching</w:t>
      </w:r>
      <w:r w:rsidR="00436DC2">
        <w:rPr>
          <w:rFonts w:ascii="Times" w:eastAsia="Times New Roman" w:hAnsi="Times" w:cs="Times New Roman"/>
          <w:lang w:eastAsia="en-GB"/>
        </w:rPr>
        <w:t xml:space="preserve"> oneself</w:t>
      </w:r>
      <w:r w:rsidR="00BF3FA4">
        <w:rPr>
          <w:rFonts w:ascii="Times" w:eastAsia="Times New Roman" w:hAnsi="Times" w:cs="Times New Roman"/>
          <w:lang w:eastAsia="en-GB"/>
        </w:rPr>
        <w:t xml:space="preserve"> there is direct link to control</w:t>
      </w:r>
      <w:r w:rsidR="00BF3FA4">
        <w:rPr>
          <w:rStyle w:val="FootnoteReference"/>
          <w:rFonts w:ascii="Times" w:eastAsia="Times New Roman" w:hAnsi="Times" w:cs="Times New Roman"/>
          <w:lang w:eastAsia="en-GB"/>
        </w:rPr>
        <w:footnoteReference w:id="42"/>
      </w:r>
      <w:r w:rsidR="00BF3FA4">
        <w:rPr>
          <w:rFonts w:ascii="Times" w:eastAsia="Times New Roman" w:hAnsi="Times" w:cs="Times New Roman"/>
          <w:lang w:eastAsia="en-GB"/>
        </w:rPr>
        <w:t>, almost as if by hurting they are taking back control over something that they may otherwise not.</w:t>
      </w:r>
      <w:r w:rsidR="00BF3FA4">
        <w:rPr>
          <w:rStyle w:val="FootnoteReference"/>
          <w:rFonts w:ascii="Times" w:eastAsia="Times New Roman" w:hAnsi="Times" w:cs="Times New Roman"/>
          <w:lang w:eastAsia="en-GB"/>
        </w:rPr>
        <w:footnoteReference w:id="43"/>
      </w:r>
      <w:r w:rsidR="00BF3FA4">
        <w:rPr>
          <w:rFonts w:ascii="Times" w:eastAsia="Times New Roman" w:hAnsi="Times" w:cs="Times New Roman"/>
          <w:lang w:eastAsia="en-GB"/>
        </w:rPr>
        <w:t xml:space="preserve"> Though a person may not in control of a situation, self-harm could be seen as a way to control a reaction to a situation. </w:t>
      </w:r>
    </w:p>
    <w:p w14:paraId="24059544" w14:textId="1DDA5D32" w:rsidR="00943899" w:rsidRDefault="00943899" w:rsidP="00B45394">
      <w:pPr>
        <w:spacing w:line="480" w:lineRule="auto"/>
        <w:rPr>
          <w:rFonts w:ascii="Times" w:eastAsia="Times New Roman" w:hAnsi="Times" w:cs="Times New Roman"/>
          <w:lang w:eastAsia="en-GB"/>
        </w:rPr>
      </w:pPr>
      <w:r>
        <w:rPr>
          <w:rFonts w:ascii="Times" w:eastAsia="Times New Roman" w:hAnsi="Times" w:cs="Times New Roman"/>
          <w:lang w:eastAsia="en-GB"/>
        </w:rPr>
        <w:t>Another idea that comes across as similar between the two is help/relief: It is not unheard of for those struggling emotionally to turn to religion as a support system</w:t>
      </w:r>
      <w:r w:rsidR="00436DC2">
        <w:rPr>
          <w:rStyle w:val="FootnoteReference"/>
          <w:rFonts w:ascii="Times" w:eastAsia="Times New Roman" w:hAnsi="Times" w:cs="Times New Roman"/>
          <w:lang w:eastAsia="en-GB"/>
        </w:rPr>
        <w:footnoteReference w:id="44"/>
      </w:r>
      <w:r>
        <w:rPr>
          <w:rFonts w:ascii="Times" w:eastAsia="Times New Roman" w:hAnsi="Times" w:cs="Times New Roman"/>
          <w:lang w:eastAsia="en-GB"/>
        </w:rPr>
        <w:t>, in the case of asceticism, the nature of the acts help them to become a perfect Christian.</w:t>
      </w:r>
      <w:r w:rsidR="00436DC2">
        <w:rPr>
          <w:rStyle w:val="FootnoteReference"/>
          <w:rFonts w:ascii="Times" w:eastAsia="Times New Roman" w:hAnsi="Times" w:cs="Times New Roman"/>
          <w:lang w:eastAsia="en-GB"/>
        </w:rPr>
        <w:footnoteReference w:id="45"/>
      </w:r>
      <w:r>
        <w:rPr>
          <w:rFonts w:ascii="Times" w:eastAsia="Times New Roman" w:hAnsi="Times" w:cs="Times New Roman"/>
          <w:lang w:eastAsia="en-GB"/>
        </w:rPr>
        <w:t xml:space="preserve"> Linking this with self-harm is the notion of cat</w:t>
      </w:r>
      <w:r w:rsidR="00436DC2">
        <w:rPr>
          <w:rFonts w:ascii="Times" w:eastAsia="Times New Roman" w:hAnsi="Times" w:cs="Times New Roman"/>
          <w:lang w:eastAsia="en-GB"/>
        </w:rPr>
        <w:t>h</w:t>
      </w:r>
      <w:r>
        <w:rPr>
          <w:rFonts w:ascii="Times" w:eastAsia="Times New Roman" w:hAnsi="Times" w:cs="Times New Roman"/>
          <w:lang w:eastAsia="en-GB"/>
        </w:rPr>
        <w:t>ar</w:t>
      </w:r>
      <w:r w:rsidR="00436DC2">
        <w:rPr>
          <w:rFonts w:ascii="Times" w:eastAsia="Times New Roman" w:hAnsi="Times" w:cs="Times New Roman"/>
          <w:lang w:eastAsia="en-GB"/>
        </w:rPr>
        <w:t>s</w:t>
      </w:r>
      <w:r>
        <w:rPr>
          <w:rFonts w:ascii="Times" w:eastAsia="Times New Roman" w:hAnsi="Times" w:cs="Times New Roman"/>
          <w:lang w:eastAsia="en-GB"/>
        </w:rPr>
        <w:t xml:space="preserve">is, some reports show that </w:t>
      </w:r>
      <w:r w:rsidR="00436DC2">
        <w:rPr>
          <w:rFonts w:ascii="Times" w:eastAsia="Times New Roman" w:hAnsi="Times" w:cs="Times New Roman"/>
          <w:lang w:eastAsia="en-GB"/>
        </w:rPr>
        <w:t>those who self-harm as a result intense emotional distress may feel relief from the act.</w:t>
      </w:r>
      <w:r w:rsidR="00436DC2">
        <w:rPr>
          <w:rStyle w:val="FootnoteReference"/>
          <w:rFonts w:ascii="Times" w:eastAsia="Times New Roman" w:hAnsi="Times" w:cs="Times New Roman"/>
          <w:lang w:eastAsia="en-GB"/>
        </w:rPr>
        <w:footnoteReference w:id="46"/>
      </w:r>
      <w:r w:rsidR="00436DC2">
        <w:rPr>
          <w:rFonts w:ascii="Times" w:eastAsia="Times New Roman" w:hAnsi="Times" w:cs="Times New Roman"/>
          <w:lang w:eastAsia="en-GB"/>
        </w:rPr>
        <w:t xml:space="preserve"> </w:t>
      </w:r>
    </w:p>
    <w:p w14:paraId="723BD098" w14:textId="473DCD0D" w:rsidR="00C22907" w:rsidRDefault="003E11EA" w:rsidP="00B45394">
      <w:pPr>
        <w:spacing w:line="480" w:lineRule="auto"/>
        <w:rPr>
          <w:rFonts w:ascii="Times" w:eastAsia="Times New Roman" w:hAnsi="Times" w:cs="Times New Roman"/>
          <w:lang w:eastAsia="en-GB"/>
        </w:rPr>
      </w:pPr>
      <w:r>
        <w:rPr>
          <w:rFonts w:ascii="Times" w:eastAsia="Times New Roman" w:hAnsi="Times" w:cs="Times New Roman"/>
          <w:lang w:eastAsia="en-GB"/>
        </w:rPr>
        <w:t>Finally, the ideas of perfection and imperfection can be seen within asceticism in the way that people feel the need to go on the spiritual journey of asceticism in order to become the perfect Christian, implying perhaps that before that decision they were, by default, imperfect.</w:t>
      </w:r>
      <w:r>
        <w:rPr>
          <w:rStyle w:val="FootnoteReference"/>
          <w:rFonts w:ascii="Times" w:eastAsia="Times New Roman" w:hAnsi="Times" w:cs="Times New Roman"/>
          <w:lang w:eastAsia="en-GB"/>
        </w:rPr>
        <w:footnoteReference w:id="47"/>
      </w:r>
      <w:r>
        <w:rPr>
          <w:rFonts w:ascii="Times" w:eastAsia="Times New Roman" w:hAnsi="Times" w:cs="Times New Roman"/>
          <w:lang w:eastAsia="en-GB"/>
        </w:rPr>
        <w:t xml:space="preserve"> Within self-harm, highlighting imperfections could be a trigger to engage in self-harm, as an incentive to perfect the self, in this sense one could argue that self-harm also explores to some degree the idea of punishment and shame. </w:t>
      </w:r>
      <w:r w:rsidR="00C22907">
        <w:rPr>
          <w:rFonts w:ascii="Times" w:eastAsia="Times New Roman" w:hAnsi="Times" w:cs="Times New Roman"/>
          <w:lang w:eastAsia="en-GB"/>
        </w:rPr>
        <w:t xml:space="preserve">Through looking at these crossovers within </w:t>
      </w:r>
      <w:r w:rsidR="0092518B">
        <w:rPr>
          <w:rFonts w:ascii="Times" w:eastAsia="Times New Roman" w:hAnsi="Times" w:cs="Times New Roman"/>
          <w:lang w:eastAsia="en-GB"/>
        </w:rPr>
        <w:t xml:space="preserve">asceticism and self-harm, there are clearly ways in which ascetic theologies could be misconstrued as a way </w:t>
      </w:r>
      <w:r w:rsidR="00D20286">
        <w:rPr>
          <w:rFonts w:ascii="Times" w:eastAsia="Times New Roman" w:hAnsi="Times" w:cs="Times New Roman"/>
          <w:lang w:eastAsia="en-GB"/>
        </w:rPr>
        <w:t>to excuse self-harm behaviours, however, the understanding of theology s</w:t>
      </w:r>
      <w:r w:rsidR="0037606F">
        <w:rPr>
          <w:rFonts w:ascii="Times" w:eastAsia="Times New Roman" w:hAnsi="Times" w:cs="Times New Roman"/>
          <w:lang w:eastAsia="en-GB"/>
        </w:rPr>
        <w:t>eems to undermine this however.</w:t>
      </w:r>
      <w:r w:rsidR="0037606F">
        <w:rPr>
          <w:rStyle w:val="FootnoteReference"/>
          <w:rFonts w:ascii="Times" w:eastAsia="Times New Roman" w:hAnsi="Times" w:cs="Times New Roman"/>
          <w:lang w:eastAsia="en-GB"/>
        </w:rPr>
        <w:footnoteReference w:id="48"/>
      </w:r>
    </w:p>
    <w:p w14:paraId="02D5A5A6" w14:textId="77777777" w:rsidR="00BA0C3E" w:rsidRDefault="00BA0C3E" w:rsidP="00B45394">
      <w:pPr>
        <w:spacing w:line="480" w:lineRule="auto"/>
        <w:rPr>
          <w:rFonts w:ascii="Times" w:eastAsia="Times New Roman" w:hAnsi="Times" w:cs="Times New Roman"/>
          <w:u w:val="single"/>
          <w:lang w:eastAsia="en-GB"/>
        </w:rPr>
      </w:pPr>
    </w:p>
    <w:p w14:paraId="2D98A1E1" w14:textId="233B2EAD" w:rsidR="00436DC2" w:rsidRDefault="00BA0C3E" w:rsidP="00B45394">
      <w:pPr>
        <w:spacing w:line="480" w:lineRule="auto"/>
        <w:rPr>
          <w:rFonts w:ascii="Times" w:eastAsia="Times New Roman" w:hAnsi="Times" w:cs="Times New Roman"/>
          <w:lang w:eastAsia="en-GB"/>
        </w:rPr>
      </w:pPr>
      <w:r>
        <w:rPr>
          <w:rFonts w:ascii="Times" w:eastAsia="Times New Roman" w:hAnsi="Times" w:cs="Times New Roman"/>
          <w:lang w:eastAsia="en-GB"/>
        </w:rPr>
        <w:t>Theology and Psychology provide two very different answers, h</w:t>
      </w:r>
      <w:r w:rsidR="00365B80">
        <w:rPr>
          <w:rFonts w:ascii="Times" w:eastAsia="Times New Roman" w:hAnsi="Times" w:cs="Times New Roman"/>
          <w:lang w:eastAsia="en-GB"/>
        </w:rPr>
        <w:t>ighlighting how different asceticism</w:t>
      </w:r>
      <w:r>
        <w:rPr>
          <w:rFonts w:ascii="Times" w:eastAsia="Times New Roman" w:hAnsi="Times" w:cs="Times New Roman"/>
          <w:lang w:eastAsia="en-GB"/>
        </w:rPr>
        <w:t xml:space="preserve"> is to se</w:t>
      </w:r>
      <w:r w:rsidR="00365B80">
        <w:rPr>
          <w:rFonts w:ascii="Times" w:eastAsia="Times New Roman" w:hAnsi="Times" w:cs="Times New Roman"/>
          <w:lang w:eastAsia="en-GB"/>
        </w:rPr>
        <w:t>lf-harm, but in understanding as</w:t>
      </w:r>
      <w:r>
        <w:rPr>
          <w:rFonts w:ascii="Times" w:eastAsia="Times New Roman" w:hAnsi="Times" w:cs="Times New Roman"/>
          <w:lang w:eastAsia="en-GB"/>
        </w:rPr>
        <w:t>cetic th</w:t>
      </w:r>
      <w:r w:rsidR="00365B80">
        <w:rPr>
          <w:rFonts w:ascii="Times" w:eastAsia="Times New Roman" w:hAnsi="Times" w:cs="Times New Roman"/>
          <w:lang w:eastAsia="en-GB"/>
        </w:rPr>
        <w:t xml:space="preserve">eology there are times </w:t>
      </w:r>
      <w:r>
        <w:rPr>
          <w:rFonts w:ascii="Times" w:eastAsia="Times New Roman" w:hAnsi="Times" w:cs="Times New Roman"/>
          <w:lang w:eastAsia="en-GB"/>
        </w:rPr>
        <w:t>when it is clear how an uninformed</w:t>
      </w:r>
      <w:r w:rsidR="00365B80">
        <w:rPr>
          <w:rFonts w:ascii="Times" w:eastAsia="Times New Roman" w:hAnsi="Times" w:cs="Times New Roman"/>
          <w:lang w:eastAsia="en-GB"/>
        </w:rPr>
        <w:t xml:space="preserve"> approach could make this leap between, say, deprivation and self-harm.</w:t>
      </w:r>
      <w:r w:rsidR="00B151CF">
        <w:rPr>
          <w:rStyle w:val="FootnoteReference"/>
          <w:rFonts w:ascii="Times" w:eastAsia="Times New Roman" w:hAnsi="Times" w:cs="Times New Roman"/>
          <w:lang w:eastAsia="en-GB"/>
        </w:rPr>
        <w:footnoteReference w:id="49"/>
      </w:r>
      <w:r w:rsidR="00365B80">
        <w:rPr>
          <w:rFonts w:ascii="Times" w:eastAsia="Times New Roman" w:hAnsi="Times" w:cs="Times New Roman"/>
          <w:lang w:eastAsia="en-GB"/>
        </w:rPr>
        <w:t xml:space="preserve"> </w:t>
      </w:r>
      <w:r w:rsidR="00B80523">
        <w:rPr>
          <w:rFonts w:ascii="Times" w:eastAsia="Times New Roman" w:hAnsi="Times" w:cs="Times New Roman"/>
          <w:lang w:eastAsia="en-GB"/>
        </w:rPr>
        <w:t>Although ascetics are not self-harming, there are in some cases some parallels that could lead one to believe this is the case, however, with the knowledge of the ideology of asceticism</w:t>
      </w:r>
      <w:r w:rsidR="00B151CF">
        <w:rPr>
          <w:rStyle w:val="FootnoteReference"/>
          <w:rFonts w:ascii="Times" w:eastAsia="Times New Roman" w:hAnsi="Times" w:cs="Times New Roman"/>
          <w:lang w:eastAsia="en-GB"/>
        </w:rPr>
        <w:footnoteReference w:id="50"/>
      </w:r>
      <w:r w:rsidR="00B80523">
        <w:rPr>
          <w:rFonts w:ascii="Times" w:eastAsia="Times New Roman" w:hAnsi="Times" w:cs="Times New Roman"/>
          <w:lang w:eastAsia="en-GB"/>
        </w:rPr>
        <w:t xml:space="preserve"> it becomes clear that the goal is far from the same.</w:t>
      </w:r>
      <w:r w:rsidR="00626844">
        <w:rPr>
          <w:rFonts w:ascii="Times" w:eastAsia="Times New Roman" w:hAnsi="Times" w:cs="Times New Roman"/>
          <w:lang w:eastAsia="en-GB"/>
        </w:rPr>
        <w:t xml:space="preserve"> </w:t>
      </w:r>
      <w:r w:rsidR="00436DC2">
        <w:rPr>
          <w:rFonts w:ascii="Times" w:eastAsia="Times New Roman" w:hAnsi="Times" w:cs="Times New Roman"/>
          <w:lang w:eastAsia="en-GB"/>
        </w:rPr>
        <w:t>With exploring self-harm as a branch of psychology the argument becomes much more complex, as depending on the reasons for self-harm it provides a different release to every person</w:t>
      </w:r>
      <w:r w:rsidR="00B151CF">
        <w:rPr>
          <w:rStyle w:val="FootnoteReference"/>
          <w:rFonts w:ascii="Times" w:eastAsia="Times New Roman" w:hAnsi="Times" w:cs="Times New Roman"/>
          <w:lang w:eastAsia="en-GB"/>
        </w:rPr>
        <w:footnoteReference w:id="51"/>
      </w:r>
      <w:r w:rsidR="00436DC2">
        <w:rPr>
          <w:rFonts w:ascii="Times" w:eastAsia="Times New Roman" w:hAnsi="Times" w:cs="Times New Roman"/>
          <w:lang w:eastAsia="en-GB"/>
        </w:rPr>
        <w:t>, and as the psychology is subjective to each person, there will never be one clear answer. There is no evidence to suggest that monastic asceticism is a form a self-harm in the texts, so there is no reason for it to be treated as such, and in the case of self-harm and religion there is evidence to show that there is a correlation between diminished self-harm and religious ideologies.</w:t>
      </w:r>
      <w:r w:rsidR="00B151CF">
        <w:rPr>
          <w:rStyle w:val="FootnoteReference"/>
          <w:rFonts w:ascii="Times" w:eastAsia="Times New Roman" w:hAnsi="Times" w:cs="Times New Roman"/>
          <w:lang w:eastAsia="en-GB"/>
        </w:rPr>
        <w:footnoteReference w:id="52"/>
      </w:r>
      <w:r w:rsidR="00436DC2">
        <w:rPr>
          <w:rFonts w:ascii="Times" w:eastAsia="Times New Roman" w:hAnsi="Times" w:cs="Times New Roman"/>
          <w:lang w:eastAsia="en-GB"/>
        </w:rPr>
        <w:t xml:space="preserve"> </w:t>
      </w:r>
      <w:r w:rsidR="00626844">
        <w:rPr>
          <w:rFonts w:ascii="Times" w:eastAsia="Times New Roman" w:hAnsi="Times" w:cs="Times New Roman"/>
          <w:lang w:eastAsia="en-GB"/>
        </w:rPr>
        <w:t xml:space="preserve">In essence, in understanding the why, what can be taken from the analysis is that there is a clear distinction in the case of choice and impulse, The choice to embark on a religious and spiritual journey in the case of asceticism is to better oneself, whereas the impulse of the self-harm is </w:t>
      </w:r>
      <w:r w:rsidR="009B34F6">
        <w:rPr>
          <w:rFonts w:ascii="Times" w:eastAsia="Times New Roman" w:hAnsi="Times" w:cs="Times New Roman"/>
          <w:lang w:eastAsia="en-GB"/>
        </w:rPr>
        <w:t>to escape</w:t>
      </w:r>
      <w:r w:rsidR="009B34F6">
        <w:rPr>
          <w:rStyle w:val="FootnoteReference"/>
          <w:rFonts w:ascii="Times" w:eastAsia="Times New Roman" w:hAnsi="Times" w:cs="Times New Roman"/>
          <w:lang w:eastAsia="en-GB"/>
        </w:rPr>
        <w:footnoteReference w:id="53"/>
      </w:r>
      <w:r w:rsidR="009B34F6">
        <w:rPr>
          <w:rFonts w:ascii="Times" w:eastAsia="Times New Roman" w:hAnsi="Times" w:cs="Times New Roman"/>
          <w:lang w:eastAsia="en-GB"/>
        </w:rPr>
        <w:t xml:space="preserve"> as opposed to embark</w:t>
      </w:r>
      <w:r w:rsidR="009B34F6">
        <w:rPr>
          <w:rStyle w:val="FootnoteReference"/>
          <w:rFonts w:ascii="Times" w:eastAsia="Times New Roman" w:hAnsi="Times" w:cs="Times New Roman"/>
          <w:lang w:eastAsia="en-GB"/>
        </w:rPr>
        <w:footnoteReference w:id="54"/>
      </w:r>
      <w:r w:rsidR="009B34F6">
        <w:rPr>
          <w:rFonts w:ascii="Times" w:eastAsia="Times New Roman" w:hAnsi="Times" w:cs="Times New Roman"/>
          <w:lang w:eastAsia="en-GB"/>
        </w:rPr>
        <w:t xml:space="preserve"> on a journey.</w:t>
      </w:r>
      <w:r w:rsidR="00904719">
        <w:rPr>
          <w:rFonts w:ascii="Times" w:eastAsia="Times New Roman" w:hAnsi="Times" w:cs="Times New Roman"/>
          <w:lang w:eastAsia="en-GB"/>
        </w:rPr>
        <w:t xml:space="preserve"> </w:t>
      </w:r>
      <w:r w:rsidR="00365B80">
        <w:rPr>
          <w:rFonts w:ascii="Times" w:eastAsia="Times New Roman" w:hAnsi="Times" w:cs="Times New Roman"/>
          <w:lang w:eastAsia="en-GB"/>
        </w:rPr>
        <w:t>By approaching asceticism through a psychological viewpoint, and self-harm through a theological perspective, it seems to defeat the object of t</w:t>
      </w:r>
      <w:r w:rsidR="00436DC2">
        <w:rPr>
          <w:rFonts w:ascii="Times" w:eastAsia="Times New Roman" w:hAnsi="Times" w:cs="Times New Roman"/>
          <w:lang w:eastAsia="en-GB"/>
        </w:rPr>
        <w:t xml:space="preserve">he intention of the act itself in both cases.  </w:t>
      </w:r>
    </w:p>
    <w:p w14:paraId="751FFD26" w14:textId="77777777" w:rsidR="00E4092D" w:rsidRDefault="00E4092D" w:rsidP="00B45394">
      <w:pPr>
        <w:spacing w:line="480" w:lineRule="auto"/>
        <w:rPr>
          <w:rFonts w:ascii="Times" w:eastAsia="Times New Roman" w:hAnsi="Times" w:cs="Times New Roman"/>
          <w:u w:val="single"/>
          <w:lang w:eastAsia="en-GB"/>
        </w:rPr>
      </w:pPr>
    </w:p>
    <w:p w14:paraId="673FA0ED" w14:textId="77777777" w:rsidR="00E4092D" w:rsidRDefault="00E4092D" w:rsidP="00B45394">
      <w:pPr>
        <w:spacing w:line="480" w:lineRule="auto"/>
        <w:rPr>
          <w:rFonts w:ascii="Times" w:eastAsia="Times New Roman" w:hAnsi="Times" w:cs="Times New Roman"/>
          <w:u w:val="single"/>
          <w:lang w:eastAsia="en-GB"/>
        </w:rPr>
      </w:pPr>
    </w:p>
    <w:p w14:paraId="0F0D8356" w14:textId="77777777" w:rsidR="00E4092D" w:rsidRDefault="00E4092D" w:rsidP="00B45394">
      <w:pPr>
        <w:spacing w:line="480" w:lineRule="auto"/>
        <w:rPr>
          <w:rFonts w:ascii="Times" w:eastAsia="Times New Roman" w:hAnsi="Times" w:cs="Times New Roman"/>
          <w:u w:val="single"/>
          <w:lang w:eastAsia="en-GB"/>
        </w:rPr>
      </w:pPr>
    </w:p>
    <w:p w14:paraId="5B48D1CC" w14:textId="4C0F9465" w:rsidR="009F189C" w:rsidRDefault="009F189C" w:rsidP="00B45394">
      <w:pPr>
        <w:spacing w:line="480" w:lineRule="auto"/>
        <w:rPr>
          <w:rFonts w:ascii="Times" w:eastAsia="Times New Roman" w:hAnsi="Times" w:cs="Times New Roman"/>
          <w:u w:val="single"/>
          <w:lang w:eastAsia="en-GB"/>
        </w:rPr>
      </w:pPr>
      <w:r>
        <w:rPr>
          <w:rFonts w:ascii="Times" w:eastAsia="Times New Roman" w:hAnsi="Times" w:cs="Times New Roman"/>
          <w:u w:val="single"/>
          <w:lang w:eastAsia="en-GB"/>
        </w:rPr>
        <w:t xml:space="preserve">Bibliography. </w:t>
      </w:r>
    </w:p>
    <w:p w14:paraId="13A56B3C" w14:textId="3EEB41D2" w:rsidR="009F189C" w:rsidRDefault="009F189C" w:rsidP="00B45394">
      <w:pPr>
        <w:spacing w:line="480" w:lineRule="auto"/>
        <w:rPr>
          <w:rFonts w:ascii="Times" w:eastAsia="Times New Roman" w:hAnsi="Times" w:cs="Times New Roman"/>
          <w:u w:val="single"/>
          <w:lang w:eastAsia="en-GB"/>
        </w:rPr>
      </w:pPr>
      <w:r>
        <w:rPr>
          <w:rFonts w:ascii="Times" w:eastAsia="Times New Roman" w:hAnsi="Times" w:cs="Times New Roman"/>
          <w:u w:val="single"/>
          <w:lang w:eastAsia="en-GB"/>
        </w:rPr>
        <w:t xml:space="preserve">Ancient Sources. </w:t>
      </w:r>
    </w:p>
    <w:p w14:paraId="7111D6C5" w14:textId="006C7914" w:rsidR="009C0D65" w:rsidRDefault="000845E2" w:rsidP="00B45394">
      <w:pPr>
        <w:spacing w:line="480" w:lineRule="auto"/>
        <w:rPr>
          <w:rFonts w:ascii="Times" w:eastAsia="Times New Roman" w:hAnsi="Times" w:cs="Times New Roman"/>
          <w:lang w:eastAsia="en-GB"/>
        </w:rPr>
      </w:pPr>
      <w:r>
        <w:rPr>
          <w:rFonts w:ascii="Times" w:eastAsia="Times New Roman" w:hAnsi="Times" w:cs="Times New Roman"/>
          <w:lang w:eastAsia="en-GB"/>
        </w:rPr>
        <w:t xml:space="preserve">St. Jerome. </w:t>
      </w:r>
      <w:r>
        <w:rPr>
          <w:rFonts w:ascii="Times" w:eastAsia="Times New Roman" w:hAnsi="Times" w:cs="Times New Roman"/>
          <w:i/>
          <w:lang w:eastAsia="en-GB"/>
        </w:rPr>
        <w:t xml:space="preserve">The Select letter of St. Jerome. </w:t>
      </w:r>
      <w:r>
        <w:rPr>
          <w:rFonts w:ascii="Times" w:eastAsia="Times New Roman" w:hAnsi="Times" w:cs="Times New Roman"/>
          <w:lang w:eastAsia="en-GB"/>
        </w:rPr>
        <w:t xml:space="preserve">F. A. Wright (trans.). 1933. London: William Heinemann. </w:t>
      </w:r>
    </w:p>
    <w:p w14:paraId="691CECC2" w14:textId="77777777" w:rsidR="00E12A53" w:rsidRDefault="00D43760" w:rsidP="00B45394">
      <w:pPr>
        <w:spacing w:line="480" w:lineRule="auto"/>
        <w:rPr>
          <w:rFonts w:ascii="Times" w:eastAsia="Times New Roman" w:hAnsi="Times" w:cs="Times New Roman"/>
          <w:lang w:eastAsia="en-GB"/>
        </w:rPr>
      </w:pPr>
      <w:r>
        <w:rPr>
          <w:rFonts w:ascii="Times" w:eastAsia="Times New Roman" w:hAnsi="Times" w:cs="Times New Roman"/>
          <w:lang w:eastAsia="en-GB"/>
        </w:rPr>
        <w:t xml:space="preserve">Athanasius of Alexandria. </w:t>
      </w:r>
      <w:r>
        <w:rPr>
          <w:rFonts w:ascii="Times" w:eastAsia="Times New Roman" w:hAnsi="Times" w:cs="Times New Roman"/>
          <w:i/>
          <w:lang w:eastAsia="en-GB"/>
        </w:rPr>
        <w:t xml:space="preserve">The Life of Antony. The Coptic life and The Greek Life. </w:t>
      </w:r>
      <w:r w:rsidR="00733282">
        <w:rPr>
          <w:rFonts w:ascii="Times" w:eastAsia="Times New Roman" w:hAnsi="Times" w:cs="Times New Roman"/>
          <w:lang w:eastAsia="en-GB"/>
        </w:rPr>
        <w:t>T. Vivian and A. N. Athanassakis. (trans.). 2003. Michigan: Cistercian Publications.</w:t>
      </w:r>
    </w:p>
    <w:p w14:paraId="2C0583BD" w14:textId="518A6FF2" w:rsidR="00D43760" w:rsidRPr="00260421" w:rsidRDefault="00E12A53" w:rsidP="00B45394">
      <w:pPr>
        <w:spacing w:line="480" w:lineRule="auto"/>
        <w:rPr>
          <w:rFonts w:ascii="Times" w:eastAsia="Times New Roman" w:hAnsi="Times" w:cs="Times New Roman"/>
          <w:lang w:eastAsia="en-GB"/>
        </w:rPr>
      </w:pPr>
      <w:r>
        <w:rPr>
          <w:rFonts w:ascii="Times" w:eastAsia="Times New Roman" w:hAnsi="Times" w:cs="Times New Roman"/>
          <w:lang w:eastAsia="en-GB"/>
        </w:rPr>
        <w:t xml:space="preserve">Palladius. </w:t>
      </w:r>
      <w:r>
        <w:rPr>
          <w:rFonts w:ascii="Times" w:eastAsia="Times New Roman" w:hAnsi="Times" w:cs="Times New Roman"/>
          <w:i/>
          <w:lang w:eastAsia="en-GB"/>
        </w:rPr>
        <w:t xml:space="preserve">The Lausiac History. </w:t>
      </w:r>
      <w:r w:rsidR="00733282">
        <w:rPr>
          <w:rFonts w:ascii="Times" w:eastAsia="Times New Roman" w:hAnsi="Times" w:cs="Times New Roman"/>
          <w:lang w:eastAsia="en-GB"/>
        </w:rPr>
        <w:t xml:space="preserve"> </w:t>
      </w:r>
      <w:r w:rsidR="00260421">
        <w:rPr>
          <w:rFonts w:ascii="Times" w:eastAsia="Times New Roman" w:hAnsi="Times" w:cs="Times New Roman"/>
          <w:lang w:eastAsia="en-GB"/>
        </w:rPr>
        <w:t xml:space="preserve">R. T. Meyer. (trans.). 1964. New York: Paulist Press. </w:t>
      </w:r>
    </w:p>
    <w:p w14:paraId="0CBCB7FE" w14:textId="6248F81E" w:rsidR="009F189C" w:rsidRDefault="009F189C" w:rsidP="00B45394">
      <w:pPr>
        <w:spacing w:line="480" w:lineRule="auto"/>
        <w:rPr>
          <w:rFonts w:ascii="Times" w:eastAsia="Times New Roman" w:hAnsi="Times" w:cs="Times New Roman"/>
          <w:u w:val="single"/>
          <w:lang w:eastAsia="en-GB"/>
        </w:rPr>
      </w:pPr>
      <w:r>
        <w:rPr>
          <w:rFonts w:ascii="Times" w:eastAsia="Times New Roman" w:hAnsi="Times" w:cs="Times New Roman"/>
          <w:u w:val="single"/>
          <w:lang w:eastAsia="en-GB"/>
        </w:rPr>
        <w:t xml:space="preserve">Modern Scholarship. </w:t>
      </w:r>
    </w:p>
    <w:p w14:paraId="4157E05B" w14:textId="77777777" w:rsidR="009C3B52" w:rsidRDefault="009C3B52" w:rsidP="00B45394">
      <w:pPr>
        <w:spacing w:line="480" w:lineRule="auto"/>
        <w:rPr>
          <w:rFonts w:ascii="Times" w:eastAsia="Times New Roman" w:hAnsi="Times" w:cs="Times New Roman"/>
          <w:lang w:eastAsia="en-GB"/>
        </w:rPr>
      </w:pPr>
      <w:r>
        <w:rPr>
          <w:rFonts w:ascii="Times" w:eastAsia="Times New Roman" w:hAnsi="Times" w:cs="Times New Roman"/>
          <w:lang w:eastAsia="en-GB"/>
        </w:rPr>
        <w:t xml:space="preserve">Bentley, K. H, Nock, M. K, and Barlow, D. H. 2014. ‘The Four-Function Model of Nonsuicidal Self-Injury: Key Directions for Future Research’. </w:t>
      </w:r>
      <w:r>
        <w:rPr>
          <w:rFonts w:ascii="Times" w:eastAsia="Times New Roman" w:hAnsi="Times" w:cs="Times New Roman"/>
          <w:i/>
          <w:lang w:eastAsia="en-GB"/>
        </w:rPr>
        <w:t xml:space="preserve">Clinical Psychological Science, </w:t>
      </w:r>
      <w:r>
        <w:rPr>
          <w:rFonts w:ascii="Times" w:eastAsia="Times New Roman" w:hAnsi="Times" w:cs="Times New Roman"/>
          <w:lang w:eastAsia="en-GB"/>
        </w:rPr>
        <w:t xml:space="preserve">2, 5, 638 – 656. </w:t>
      </w:r>
    </w:p>
    <w:p w14:paraId="53A571B7" w14:textId="2588774D" w:rsidR="005C7F7B" w:rsidRPr="005C7F7B" w:rsidRDefault="005C7F7B" w:rsidP="00B45394">
      <w:pPr>
        <w:spacing w:line="480" w:lineRule="auto"/>
        <w:rPr>
          <w:rFonts w:ascii="Times" w:eastAsia="Times New Roman" w:hAnsi="Times" w:cs="Times New Roman"/>
          <w:lang w:eastAsia="en-GB"/>
        </w:rPr>
      </w:pPr>
      <w:r>
        <w:rPr>
          <w:rFonts w:ascii="Times" w:eastAsia="Times New Roman" w:hAnsi="Times" w:cs="Times New Roman"/>
          <w:lang w:eastAsia="en-GB"/>
        </w:rPr>
        <w:t xml:space="preserve">Bradford, D, T. 2011. ‘Brain and the psyche in early Christian Asceticism’. </w:t>
      </w:r>
      <w:r>
        <w:rPr>
          <w:rFonts w:ascii="Times" w:eastAsia="Times New Roman" w:hAnsi="Times" w:cs="Times New Roman"/>
          <w:i/>
          <w:lang w:eastAsia="en-GB"/>
        </w:rPr>
        <w:t xml:space="preserve">Psychological Reports, </w:t>
      </w:r>
      <w:r>
        <w:rPr>
          <w:rFonts w:ascii="Times" w:eastAsia="Times New Roman" w:hAnsi="Times" w:cs="Times New Roman"/>
          <w:lang w:eastAsia="en-GB"/>
        </w:rPr>
        <w:t xml:space="preserve">109, 2, 461 – 520. </w:t>
      </w:r>
    </w:p>
    <w:p w14:paraId="33D7FA0E" w14:textId="3C6FA7D8" w:rsidR="00A9581A" w:rsidRDefault="00A9581A" w:rsidP="00B45394">
      <w:pPr>
        <w:spacing w:line="480" w:lineRule="auto"/>
        <w:rPr>
          <w:rFonts w:ascii="Times" w:eastAsia="Times New Roman" w:hAnsi="Times" w:cs="Times New Roman"/>
          <w:lang w:eastAsia="en-GB"/>
        </w:rPr>
      </w:pPr>
      <w:r>
        <w:rPr>
          <w:rFonts w:ascii="Times" w:eastAsia="Times New Roman" w:hAnsi="Times" w:cs="Times New Roman"/>
          <w:lang w:eastAsia="en-GB"/>
        </w:rPr>
        <w:t xml:space="preserve">Cassidy, A.  2006, </w:t>
      </w:r>
      <w:r>
        <w:rPr>
          <w:rFonts w:ascii="Times" w:eastAsia="Times New Roman" w:hAnsi="Times" w:cs="Times New Roman"/>
          <w:i/>
          <w:lang w:eastAsia="en-GB"/>
        </w:rPr>
        <w:t xml:space="preserve">Evagrius Ponticus. </w:t>
      </w:r>
      <w:r>
        <w:rPr>
          <w:rFonts w:ascii="Times" w:eastAsia="Times New Roman" w:hAnsi="Times" w:cs="Times New Roman"/>
          <w:lang w:eastAsia="en-GB"/>
        </w:rPr>
        <w:t xml:space="preserve">London and New York: Routledge. </w:t>
      </w:r>
    </w:p>
    <w:p w14:paraId="30DFC7FA" w14:textId="77777777" w:rsidR="00315CDA" w:rsidRPr="00315CDA" w:rsidRDefault="00315CDA" w:rsidP="00315CDA">
      <w:pPr>
        <w:spacing w:line="480" w:lineRule="auto"/>
        <w:rPr>
          <w:rFonts w:ascii="Times" w:eastAsia="Times New Roman" w:hAnsi="Times" w:cs="Times New Roman"/>
          <w:lang w:eastAsia="en-GB"/>
        </w:rPr>
      </w:pPr>
      <w:r w:rsidRPr="00315CDA">
        <w:rPr>
          <w:rFonts w:ascii="Times" w:eastAsia="Times New Roman" w:hAnsi="Times" w:cs="Times New Roman"/>
          <w:lang w:val="en-US" w:eastAsia="en-GB"/>
        </w:rPr>
        <w:t xml:space="preserve">Görg, P. H. ( trans.) Miller, M. J. 2011. </w:t>
      </w:r>
      <w:r w:rsidRPr="00315CDA">
        <w:rPr>
          <w:rFonts w:ascii="Times" w:eastAsia="Times New Roman" w:hAnsi="Times" w:cs="Times New Roman"/>
          <w:i/>
          <w:iCs/>
          <w:lang w:val="en-US" w:eastAsia="en-GB"/>
        </w:rPr>
        <w:t xml:space="preserve">The Desert Fathers. Saint Anthony and the beginnings of monasticism. </w:t>
      </w:r>
      <w:r w:rsidRPr="00315CDA">
        <w:rPr>
          <w:rFonts w:ascii="Times" w:eastAsia="Times New Roman" w:hAnsi="Times" w:cs="Times New Roman"/>
          <w:lang w:val="en-US" w:eastAsia="en-GB"/>
        </w:rPr>
        <w:t xml:space="preserve">San Francisco: Ignatius Press. </w:t>
      </w:r>
    </w:p>
    <w:p w14:paraId="7C771EF9" w14:textId="015D09B4" w:rsidR="00AA0DEA" w:rsidRPr="00AA0DEA" w:rsidRDefault="00AA0DEA" w:rsidP="00B45394">
      <w:pPr>
        <w:spacing w:line="480" w:lineRule="auto"/>
        <w:rPr>
          <w:rFonts w:ascii="Times" w:eastAsia="Times New Roman" w:hAnsi="Times" w:cs="Times New Roman"/>
          <w:lang w:eastAsia="en-GB"/>
        </w:rPr>
      </w:pPr>
      <w:r>
        <w:rPr>
          <w:rFonts w:ascii="Times" w:eastAsia="Times New Roman" w:hAnsi="Times" w:cs="Times New Roman"/>
          <w:lang w:eastAsia="en-GB"/>
        </w:rPr>
        <w:t xml:space="preserve">Harmless, H, 2004. </w:t>
      </w:r>
      <w:r>
        <w:rPr>
          <w:rFonts w:ascii="Times" w:eastAsia="Times New Roman" w:hAnsi="Times" w:cs="Times New Roman"/>
          <w:i/>
          <w:lang w:eastAsia="en-GB"/>
        </w:rPr>
        <w:t xml:space="preserve">Desert Christians. Introduction to the literature of Early Monasticism’. </w:t>
      </w:r>
      <w:r>
        <w:rPr>
          <w:rFonts w:ascii="Times" w:eastAsia="Times New Roman" w:hAnsi="Times" w:cs="Times New Roman"/>
          <w:lang w:eastAsia="en-GB"/>
        </w:rPr>
        <w:t xml:space="preserve">Oxford: Oxford University Press. </w:t>
      </w:r>
    </w:p>
    <w:p w14:paraId="6346D747" w14:textId="77777777" w:rsidR="009C3B52" w:rsidRPr="006B0803" w:rsidRDefault="009C3B52" w:rsidP="00B45394">
      <w:pPr>
        <w:spacing w:line="480" w:lineRule="auto"/>
        <w:rPr>
          <w:rFonts w:ascii="Times" w:eastAsia="Times New Roman" w:hAnsi="Times" w:cs="Times New Roman"/>
          <w:lang w:eastAsia="en-GB"/>
        </w:rPr>
      </w:pPr>
      <w:r>
        <w:rPr>
          <w:rFonts w:ascii="Times" w:eastAsia="Times New Roman" w:hAnsi="Times" w:cs="Times New Roman"/>
          <w:lang w:eastAsia="en-GB"/>
        </w:rPr>
        <w:t xml:space="preserve">Jacobs, A. S. 2000. ‘Writing Demetrias: Ascetic Logic in Ancient Christianity’. </w:t>
      </w:r>
      <w:r>
        <w:rPr>
          <w:rFonts w:ascii="Times" w:eastAsia="Times New Roman" w:hAnsi="Times" w:cs="Times New Roman"/>
          <w:i/>
          <w:lang w:eastAsia="en-GB"/>
        </w:rPr>
        <w:t xml:space="preserve">Church History, </w:t>
      </w:r>
      <w:r>
        <w:rPr>
          <w:rFonts w:ascii="Times" w:eastAsia="Times New Roman" w:hAnsi="Times" w:cs="Times New Roman"/>
          <w:lang w:eastAsia="en-GB"/>
        </w:rPr>
        <w:t xml:space="preserve">69, 4, December, 719 – 748. </w:t>
      </w:r>
    </w:p>
    <w:p w14:paraId="2FBD9EED" w14:textId="77777777" w:rsidR="009C3B52" w:rsidRPr="00E4092D" w:rsidRDefault="009C3B52" w:rsidP="00B45394">
      <w:pPr>
        <w:spacing w:line="480" w:lineRule="auto"/>
        <w:rPr>
          <w:rFonts w:ascii="Times" w:eastAsia="Times New Roman" w:hAnsi="Times" w:cs="Times New Roman"/>
          <w:lang w:eastAsia="en-GB"/>
        </w:rPr>
      </w:pPr>
      <w:r>
        <w:rPr>
          <w:rFonts w:ascii="Times" w:eastAsia="Times New Roman" w:hAnsi="Times" w:cs="Times New Roman"/>
          <w:lang w:eastAsia="en-GB"/>
        </w:rPr>
        <w:t xml:space="preserve">Lawrence, C. H. 2001. </w:t>
      </w:r>
      <w:r>
        <w:rPr>
          <w:rFonts w:ascii="Times" w:eastAsia="Times New Roman" w:hAnsi="Times" w:cs="Times New Roman"/>
          <w:i/>
          <w:lang w:eastAsia="en-GB"/>
        </w:rPr>
        <w:t xml:space="preserve">Medieval Monasticism. Forms of religious life in western Europe in the middle ages. </w:t>
      </w:r>
      <w:r>
        <w:rPr>
          <w:rFonts w:ascii="Times" w:eastAsia="Times New Roman" w:hAnsi="Times" w:cs="Times New Roman"/>
          <w:lang w:eastAsia="en-GB"/>
        </w:rPr>
        <w:t xml:space="preserve">Essex: Pearson Education Limited. </w:t>
      </w:r>
    </w:p>
    <w:p w14:paraId="1886C5AA" w14:textId="77777777" w:rsidR="009C3B52" w:rsidRDefault="009C3B52" w:rsidP="00B45394">
      <w:pPr>
        <w:spacing w:line="480" w:lineRule="auto"/>
        <w:rPr>
          <w:rFonts w:ascii="Times" w:eastAsia="Times New Roman" w:hAnsi="Times" w:cs="Times New Roman"/>
          <w:lang w:eastAsia="en-GB"/>
        </w:rPr>
      </w:pPr>
      <w:r>
        <w:rPr>
          <w:rFonts w:ascii="Times" w:eastAsia="Times New Roman" w:hAnsi="Times" w:cs="Times New Roman"/>
          <w:lang w:eastAsia="en-GB"/>
        </w:rPr>
        <w:t xml:space="preserve">Millard, C. 2015. </w:t>
      </w:r>
      <w:r>
        <w:rPr>
          <w:rFonts w:ascii="Times" w:eastAsia="Times New Roman" w:hAnsi="Times" w:cs="Times New Roman"/>
          <w:i/>
          <w:lang w:eastAsia="en-GB"/>
        </w:rPr>
        <w:t xml:space="preserve">A History of Self-Harm in Britain: A Genealogy of Cutting and Overdosing. </w:t>
      </w:r>
      <w:r>
        <w:rPr>
          <w:rFonts w:ascii="Times" w:eastAsia="Times New Roman" w:hAnsi="Times" w:cs="Times New Roman"/>
          <w:lang w:eastAsia="en-GB"/>
        </w:rPr>
        <w:t xml:space="preserve">Hampshire: Palgrave Macmillan. </w:t>
      </w:r>
    </w:p>
    <w:p w14:paraId="67F7CF13" w14:textId="1DFC3DE3" w:rsidR="00AD155C" w:rsidRPr="00BE3B63" w:rsidRDefault="00AD155C" w:rsidP="00B45394">
      <w:pPr>
        <w:spacing w:line="480" w:lineRule="auto"/>
        <w:rPr>
          <w:rFonts w:ascii="Times" w:eastAsia="Times New Roman" w:hAnsi="Times" w:cs="Times New Roman"/>
          <w:lang w:eastAsia="en-GB"/>
        </w:rPr>
      </w:pPr>
      <w:r>
        <w:rPr>
          <w:rFonts w:ascii="Times" w:eastAsia="Times New Roman" w:hAnsi="Times" w:cs="Times New Roman"/>
          <w:lang w:eastAsia="en-GB"/>
        </w:rPr>
        <w:t xml:space="preserve">NHS. ‘Types of self-harm’. 2015. Nhs.co.uk. </w:t>
      </w:r>
      <w:hyperlink r:id="rId7" w:anchor="types-of-self-harm" w:history="1">
        <w:r w:rsidRPr="003F7C15">
          <w:rPr>
            <w:rStyle w:val="Hyperlink"/>
            <w:rFonts w:ascii="Times" w:eastAsia="Times New Roman" w:hAnsi="Times" w:cs="Times New Roman"/>
            <w:lang w:eastAsia="en-GB"/>
          </w:rPr>
          <w:t>https://www.nhs.uk/conditions/self-harm/#types-of-self-harm</w:t>
        </w:r>
      </w:hyperlink>
      <w:r>
        <w:rPr>
          <w:rFonts w:ascii="Times" w:eastAsia="Times New Roman" w:hAnsi="Times" w:cs="Times New Roman"/>
          <w:lang w:eastAsia="en-GB"/>
        </w:rPr>
        <w:t xml:space="preserve"> . [Date </w:t>
      </w:r>
      <w:r w:rsidR="00DA13B1">
        <w:rPr>
          <w:rFonts w:ascii="Times" w:eastAsia="Times New Roman" w:hAnsi="Times" w:cs="Times New Roman"/>
          <w:lang w:eastAsia="en-GB"/>
        </w:rPr>
        <w:t>accessed:</w:t>
      </w:r>
      <w:r>
        <w:rPr>
          <w:rFonts w:ascii="Times" w:eastAsia="Times New Roman" w:hAnsi="Times" w:cs="Times New Roman"/>
          <w:lang w:eastAsia="en-GB"/>
        </w:rPr>
        <w:t xml:space="preserve"> 11</w:t>
      </w:r>
      <w:r w:rsidRPr="00AD155C">
        <w:rPr>
          <w:rFonts w:ascii="Times" w:eastAsia="Times New Roman" w:hAnsi="Times" w:cs="Times New Roman"/>
          <w:vertAlign w:val="superscript"/>
          <w:lang w:eastAsia="en-GB"/>
        </w:rPr>
        <w:t>th</w:t>
      </w:r>
      <w:r>
        <w:rPr>
          <w:rFonts w:ascii="Times" w:eastAsia="Times New Roman" w:hAnsi="Times" w:cs="Times New Roman"/>
          <w:lang w:eastAsia="en-GB"/>
        </w:rPr>
        <w:t xml:space="preserve"> December 2017].</w:t>
      </w:r>
    </w:p>
    <w:p w14:paraId="0559BCE4" w14:textId="3AD921DA" w:rsidR="009C3B52" w:rsidRDefault="009C3B52" w:rsidP="00B45394">
      <w:pPr>
        <w:spacing w:line="480" w:lineRule="auto"/>
        <w:rPr>
          <w:rFonts w:ascii="Times" w:eastAsia="Times New Roman" w:hAnsi="Times" w:cs="Times New Roman"/>
          <w:lang w:eastAsia="en-GB"/>
        </w:rPr>
      </w:pPr>
      <w:r>
        <w:rPr>
          <w:rFonts w:ascii="Times" w:eastAsia="Times New Roman" w:hAnsi="Times" w:cs="Times New Roman"/>
          <w:lang w:eastAsia="en-GB"/>
        </w:rPr>
        <w:t xml:space="preserve">NHS. ‘Why </w:t>
      </w:r>
      <w:r w:rsidR="00800E7D">
        <w:rPr>
          <w:rFonts w:ascii="Times" w:eastAsia="Times New Roman" w:hAnsi="Times" w:cs="Times New Roman"/>
          <w:lang w:eastAsia="en-GB"/>
        </w:rPr>
        <w:t>people self-harm’. 2015. Nhs.co.</w:t>
      </w:r>
      <w:r>
        <w:rPr>
          <w:rFonts w:ascii="Times" w:eastAsia="Times New Roman" w:hAnsi="Times" w:cs="Times New Roman"/>
          <w:lang w:eastAsia="en-GB"/>
        </w:rPr>
        <w:t xml:space="preserve">uk. </w:t>
      </w:r>
      <w:hyperlink r:id="rId8" w:anchor="why-people-self-harm" w:history="1">
        <w:r w:rsidRPr="00C23025">
          <w:rPr>
            <w:rStyle w:val="Hyperlink"/>
            <w:rFonts w:ascii="Times" w:eastAsia="Times New Roman" w:hAnsi="Times" w:cs="Times New Roman"/>
            <w:lang w:eastAsia="en-GB"/>
          </w:rPr>
          <w:t>https://www.nhs.uk/conditions/self-harm/#why-people-self-harm</w:t>
        </w:r>
      </w:hyperlink>
      <w:r>
        <w:rPr>
          <w:rFonts w:ascii="Times" w:eastAsia="Times New Roman" w:hAnsi="Times" w:cs="Times New Roman"/>
          <w:lang w:eastAsia="en-GB"/>
        </w:rPr>
        <w:t xml:space="preserve"> . [Date accessed: 10</w:t>
      </w:r>
      <w:r w:rsidRPr="00E4092D">
        <w:rPr>
          <w:rFonts w:ascii="Times" w:eastAsia="Times New Roman" w:hAnsi="Times" w:cs="Times New Roman"/>
          <w:vertAlign w:val="superscript"/>
          <w:lang w:eastAsia="en-GB"/>
        </w:rPr>
        <w:t>th</w:t>
      </w:r>
      <w:r>
        <w:rPr>
          <w:rFonts w:ascii="Times" w:eastAsia="Times New Roman" w:hAnsi="Times" w:cs="Times New Roman"/>
          <w:lang w:eastAsia="en-GB"/>
        </w:rPr>
        <w:t xml:space="preserve"> December 2017]. </w:t>
      </w:r>
    </w:p>
    <w:p w14:paraId="5EB017CC" w14:textId="77777777" w:rsidR="009C3B52" w:rsidRDefault="009C3B52" w:rsidP="00B45394">
      <w:pPr>
        <w:spacing w:line="480" w:lineRule="auto"/>
        <w:rPr>
          <w:rFonts w:ascii="Times" w:eastAsia="Times New Roman" w:hAnsi="Times" w:cs="Times New Roman"/>
          <w:lang w:eastAsia="en-GB"/>
        </w:rPr>
      </w:pPr>
      <w:r>
        <w:rPr>
          <w:rFonts w:ascii="Times" w:eastAsia="Times New Roman" w:hAnsi="Times" w:cs="Times New Roman"/>
          <w:lang w:eastAsia="en-GB"/>
        </w:rPr>
        <w:t xml:space="preserve">Porter, J, I. 2005. ‘Foucault’s Ascetic Ancients’. </w:t>
      </w:r>
      <w:r>
        <w:rPr>
          <w:rFonts w:ascii="Times" w:eastAsia="Times New Roman" w:hAnsi="Times" w:cs="Times New Roman"/>
          <w:i/>
          <w:lang w:eastAsia="en-GB"/>
        </w:rPr>
        <w:t xml:space="preserve">Phoenix, </w:t>
      </w:r>
      <w:r>
        <w:rPr>
          <w:rFonts w:ascii="Times" w:eastAsia="Times New Roman" w:hAnsi="Times" w:cs="Times New Roman"/>
          <w:lang w:eastAsia="en-GB"/>
        </w:rPr>
        <w:t xml:space="preserve">59, 1/2, Spring –Summer, 121 – 132. </w:t>
      </w:r>
    </w:p>
    <w:p w14:paraId="248DC3F4" w14:textId="77777777" w:rsidR="009C3B52" w:rsidRDefault="009C3B52" w:rsidP="00B45394">
      <w:pPr>
        <w:spacing w:line="480" w:lineRule="auto"/>
        <w:rPr>
          <w:rFonts w:ascii="Times" w:eastAsia="Times New Roman" w:hAnsi="Times" w:cs="Times New Roman"/>
          <w:lang w:eastAsia="en-GB"/>
        </w:rPr>
      </w:pPr>
      <w:r>
        <w:rPr>
          <w:rFonts w:ascii="Times" w:eastAsia="Times New Roman" w:hAnsi="Times" w:cs="Times New Roman"/>
          <w:lang w:eastAsia="en-GB"/>
        </w:rPr>
        <w:t>Rodav, O, Levy, S and Hamdan, S. 2014. ‘</w:t>
      </w:r>
      <w:r w:rsidRPr="00411DAE">
        <w:rPr>
          <w:rFonts w:ascii="Times" w:eastAsia="Times New Roman" w:hAnsi="Times" w:cs="Times New Roman"/>
          <w:lang w:eastAsia="en-GB"/>
        </w:rPr>
        <w:t>Clinical Characteristics and functions of non-suicide self-injury in youth</w:t>
      </w:r>
      <w:r>
        <w:rPr>
          <w:rFonts w:ascii="Times" w:eastAsia="Times New Roman" w:hAnsi="Times" w:cs="Times New Roman"/>
          <w:lang w:eastAsia="en-GB"/>
        </w:rPr>
        <w:t>’</w:t>
      </w:r>
      <w:r>
        <w:rPr>
          <w:rFonts w:ascii="Times" w:eastAsia="Times New Roman" w:hAnsi="Times" w:cs="Times New Roman"/>
          <w:i/>
          <w:lang w:eastAsia="en-GB"/>
        </w:rPr>
        <w:t>. European Psychiatry</w:t>
      </w:r>
      <w:r>
        <w:rPr>
          <w:rFonts w:ascii="Times" w:eastAsia="Times New Roman" w:hAnsi="Times" w:cs="Times New Roman"/>
          <w:lang w:eastAsia="en-GB"/>
        </w:rPr>
        <w:t xml:space="preserve">, 28, 503 – 508. </w:t>
      </w:r>
    </w:p>
    <w:p w14:paraId="6DA32F1F" w14:textId="77777777" w:rsidR="009C3B52" w:rsidRDefault="009C3B52" w:rsidP="00B45394">
      <w:pPr>
        <w:spacing w:line="480" w:lineRule="auto"/>
        <w:rPr>
          <w:rFonts w:ascii="Times" w:eastAsia="Times New Roman" w:hAnsi="Times" w:cs="Times New Roman"/>
          <w:lang w:eastAsia="en-GB"/>
        </w:rPr>
      </w:pPr>
      <w:r>
        <w:rPr>
          <w:rFonts w:ascii="Times" w:eastAsia="Times New Roman" w:hAnsi="Times" w:cs="Times New Roman"/>
          <w:lang w:eastAsia="en-GB"/>
        </w:rPr>
        <w:t xml:space="preserve">Skegg, K. 2005. ‘Self-harm’. </w:t>
      </w:r>
      <w:r>
        <w:rPr>
          <w:rFonts w:ascii="Times" w:eastAsia="Times New Roman" w:hAnsi="Times" w:cs="Times New Roman"/>
          <w:i/>
          <w:lang w:eastAsia="en-GB"/>
        </w:rPr>
        <w:t xml:space="preserve">The Lancet. </w:t>
      </w:r>
      <w:r>
        <w:rPr>
          <w:rFonts w:ascii="Times" w:eastAsia="Times New Roman" w:hAnsi="Times" w:cs="Times New Roman"/>
          <w:lang w:eastAsia="en-GB"/>
        </w:rPr>
        <w:t xml:space="preserve">366, 1471 – 83. </w:t>
      </w:r>
    </w:p>
    <w:p w14:paraId="28539D0B" w14:textId="77777777" w:rsidR="009C3B52" w:rsidRDefault="009C3B52" w:rsidP="00B45394">
      <w:pPr>
        <w:spacing w:line="480" w:lineRule="auto"/>
        <w:rPr>
          <w:rFonts w:ascii="Times" w:eastAsia="Times New Roman" w:hAnsi="Times" w:cs="Times New Roman"/>
          <w:lang w:eastAsia="en-GB"/>
        </w:rPr>
      </w:pPr>
      <w:r>
        <w:rPr>
          <w:rFonts w:ascii="Times" w:eastAsia="Times New Roman" w:hAnsi="Times" w:cs="Times New Roman"/>
          <w:lang w:eastAsia="en-GB"/>
        </w:rPr>
        <w:t xml:space="preserve">Warm, A, Murray, C and Fox, J. 2003. ‘Why do people self-harm?’ </w:t>
      </w:r>
      <w:r>
        <w:rPr>
          <w:rFonts w:ascii="Times" w:eastAsia="Times New Roman" w:hAnsi="Times" w:cs="Times New Roman"/>
          <w:i/>
          <w:lang w:eastAsia="en-GB"/>
        </w:rPr>
        <w:t xml:space="preserve">Psychology, Health and Medicine. </w:t>
      </w:r>
      <w:r>
        <w:rPr>
          <w:rFonts w:ascii="Times" w:eastAsia="Times New Roman" w:hAnsi="Times" w:cs="Times New Roman"/>
          <w:lang w:eastAsia="en-GB"/>
        </w:rPr>
        <w:t xml:space="preserve">8, 20, 1, 71- 79. </w:t>
      </w:r>
    </w:p>
    <w:p w14:paraId="26A3D440" w14:textId="77777777" w:rsidR="00CE10D8" w:rsidRDefault="00CE10D8" w:rsidP="00B45394">
      <w:pPr>
        <w:spacing w:line="480" w:lineRule="auto"/>
        <w:rPr>
          <w:rFonts w:ascii="Times" w:eastAsia="Times New Roman" w:hAnsi="Times" w:cs="Times New Roman"/>
          <w:lang w:eastAsia="en-GB"/>
        </w:rPr>
      </w:pPr>
    </w:p>
    <w:p w14:paraId="395ED3A2" w14:textId="77777777" w:rsidR="00E4092D" w:rsidRPr="00411DAE" w:rsidRDefault="00E4092D" w:rsidP="00B45394">
      <w:pPr>
        <w:spacing w:line="480" w:lineRule="auto"/>
        <w:rPr>
          <w:rFonts w:ascii="Times" w:eastAsia="Times New Roman" w:hAnsi="Times" w:cs="Times New Roman"/>
          <w:lang w:eastAsia="en-GB"/>
        </w:rPr>
      </w:pPr>
    </w:p>
    <w:p w14:paraId="2223D513" w14:textId="77777777" w:rsidR="00477C3E" w:rsidRPr="00477C3E" w:rsidRDefault="00477C3E" w:rsidP="00B45394">
      <w:pPr>
        <w:spacing w:line="480" w:lineRule="auto"/>
        <w:rPr>
          <w:rFonts w:ascii="Times" w:eastAsia="Times New Roman" w:hAnsi="Times" w:cs="Times New Roman"/>
          <w:lang w:eastAsia="en-GB"/>
        </w:rPr>
      </w:pPr>
    </w:p>
    <w:p w14:paraId="3E65D807" w14:textId="77777777" w:rsidR="00B45394" w:rsidRDefault="00B45394" w:rsidP="00693A04">
      <w:pPr>
        <w:spacing w:line="480" w:lineRule="auto"/>
        <w:jc w:val="center"/>
        <w:rPr>
          <w:rFonts w:ascii="Times" w:eastAsia="Times New Roman" w:hAnsi="Times" w:cs="Times New Roman"/>
          <w:lang w:eastAsia="en-GB"/>
        </w:rPr>
      </w:pPr>
    </w:p>
    <w:p w14:paraId="641D5E61" w14:textId="77777777" w:rsidR="00B45394" w:rsidRDefault="00B45394" w:rsidP="00693A04">
      <w:pPr>
        <w:spacing w:line="480" w:lineRule="auto"/>
        <w:jc w:val="center"/>
        <w:rPr>
          <w:rFonts w:ascii="Times" w:eastAsia="Times New Roman" w:hAnsi="Times" w:cs="Times New Roman"/>
          <w:lang w:eastAsia="en-GB"/>
        </w:rPr>
      </w:pPr>
    </w:p>
    <w:p w14:paraId="55BAA746" w14:textId="77777777" w:rsidR="00693A04" w:rsidRPr="00693A04" w:rsidRDefault="00693A04" w:rsidP="00693A04">
      <w:pPr>
        <w:spacing w:line="480" w:lineRule="auto"/>
        <w:rPr>
          <w:rFonts w:ascii="Times" w:eastAsia="Times New Roman" w:hAnsi="Times" w:cs="Times New Roman"/>
          <w:lang w:eastAsia="en-GB"/>
        </w:rPr>
      </w:pPr>
      <w:r w:rsidRPr="00693A04">
        <w:rPr>
          <w:rFonts w:ascii="Times" w:eastAsia="Times New Roman" w:hAnsi="Times" w:cs="Times New Roman"/>
          <w:lang w:eastAsia="en-GB"/>
        </w:rPr>
        <w:t xml:space="preserve"> </w:t>
      </w:r>
    </w:p>
    <w:p w14:paraId="74B001D1" w14:textId="77777777" w:rsidR="00F270B3" w:rsidRPr="00AB3BFB" w:rsidRDefault="00CE6123">
      <w:pPr>
        <w:rPr>
          <w:rFonts w:ascii="Times" w:hAnsi="Times"/>
        </w:rPr>
      </w:pPr>
    </w:p>
    <w:sectPr w:rsidR="00F270B3" w:rsidRPr="00AB3BFB" w:rsidSect="00546930">
      <w:headerReference w:type="default" r:id="rId9"/>
      <w:footerReference w:type="even" r:id="rId10"/>
      <w:footerReference w:type="default" r:id="rId11"/>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7A16A52" w14:textId="77777777" w:rsidR="00CE6123" w:rsidRDefault="00CE6123" w:rsidP="00AB3BFB">
      <w:r>
        <w:separator/>
      </w:r>
    </w:p>
  </w:endnote>
  <w:endnote w:type="continuationSeparator" w:id="0">
    <w:p w14:paraId="3F8D8B1B" w14:textId="77777777" w:rsidR="00CE6123" w:rsidRDefault="00CE6123" w:rsidP="00AB3B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329C344" w14:textId="77777777" w:rsidR="002F79F0" w:rsidRDefault="002F79F0" w:rsidP="00C23025">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D2297E3" w14:textId="77777777" w:rsidR="002F79F0" w:rsidRDefault="002F79F0" w:rsidP="002F79F0">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8B554F6" w14:textId="77777777" w:rsidR="002F79F0" w:rsidRPr="00F218EF" w:rsidRDefault="002F79F0" w:rsidP="00C23025">
    <w:pPr>
      <w:pStyle w:val="Footer"/>
      <w:framePr w:wrap="none" w:vAnchor="text" w:hAnchor="margin" w:xAlign="right" w:y="1"/>
      <w:rPr>
        <w:rStyle w:val="PageNumber"/>
        <w:rFonts w:ascii="Times" w:hAnsi="Times"/>
      </w:rPr>
    </w:pPr>
    <w:r w:rsidRPr="00F218EF">
      <w:rPr>
        <w:rStyle w:val="PageNumber"/>
        <w:rFonts w:ascii="Times" w:hAnsi="Times"/>
      </w:rPr>
      <w:fldChar w:fldCharType="begin"/>
    </w:r>
    <w:r w:rsidRPr="00F218EF">
      <w:rPr>
        <w:rStyle w:val="PageNumber"/>
        <w:rFonts w:ascii="Times" w:hAnsi="Times"/>
      </w:rPr>
      <w:instrText xml:space="preserve">PAGE  </w:instrText>
    </w:r>
    <w:r w:rsidRPr="00F218EF">
      <w:rPr>
        <w:rStyle w:val="PageNumber"/>
        <w:rFonts w:ascii="Times" w:hAnsi="Times"/>
      </w:rPr>
      <w:fldChar w:fldCharType="separate"/>
    </w:r>
    <w:r w:rsidR="00CE6123">
      <w:rPr>
        <w:rStyle w:val="PageNumber"/>
        <w:rFonts w:ascii="Times" w:hAnsi="Times"/>
        <w:noProof/>
      </w:rPr>
      <w:t>1</w:t>
    </w:r>
    <w:r w:rsidRPr="00F218EF">
      <w:rPr>
        <w:rStyle w:val="PageNumber"/>
        <w:rFonts w:ascii="Times" w:hAnsi="Times"/>
      </w:rPr>
      <w:fldChar w:fldCharType="end"/>
    </w:r>
  </w:p>
  <w:p w14:paraId="212CA4A7" w14:textId="77777777" w:rsidR="002F79F0" w:rsidRPr="00F218EF" w:rsidRDefault="002F79F0" w:rsidP="002F79F0">
    <w:pPr>
      <w:pStyle w:val="Footer"/>
      <w:ind w:right="360"/>
      <w:rPr>
        <w:rFonts w:ascii="Times" w:hAnsi="Times"/>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F17FE1B" w14:textId="77777777" w:rsidR="00CE6123" w:rsidRDefault="00CE6123" w:rsidP="00AB3BFB">
      <w:r>
        <w:separator/>
      </w:r>
    </w:p>
  </w:footnote>
  <w:footnote w:type="continuationSeparator" w:id="0">
    <w:p w14:paraId="35C5A3EA" w14:textId="77777777" w:rsidR="00CE6123" w:rsidRDefault="00CE6123" w:rsidP="00AB3BFB">
      <w:r>
        <w:continuationSeparator/>
      </w:r>
    </w:p>
  </w:footnote>
  <w:footnote w:id="1">
    <w:p w14:paraId="7F168C20" w14:textId="684E069C" w:rsidR="006E3581" w:rsidRPr="00BF3FA4" w:rsidRDefault="006E3581">
      <w:pPr>
        <w:pStyle w:val="FootnoteText"/>
        <w:rPr>
          <w:rFonts w:ascii="Times" w:hAnsi="Times"/>
          <w:sz w:val="22"/>
          <w:szCs w:val="22"/>
        </w:rPr>
      </w:pPr>
      <w:r w:rsidRPr="00BF3FA4">
        <w:rPr>
          <w:rStyle w:val="FootnoteReference"/>
          <w:rFonts w:ascii="Times" w:hAnsi="Times"/>
          <w:sz w:val="22"/>
          <w:szCs w:val="22"/>
        </w:rPr>
        <w:footnoteRef/>
      </w:r>
      <w:r w:rsidRPr="00BF3FA4">
        <w:rPr>
          <w:rFonts w:ascii="Times" w:hAnsi="Times"/>
          <w:sz w:val="22"/>
          <w:szCs w:val="22"/>
        </w:rPr>
        <w:t xml:space="preserve"> </w:t>
      </w:r>
      <w:r w:rsidR="00A10D75" w:rsidRPr="00BF3FA4">
        <w:rPr>
          <w:rFonts w:ascii="Times" w:hAnsi="Times"/>
          <w:sz w:val="22"/>
          <w:szCs w:val="22"/>
        </w:rPr>
        <w:t>Görg 2011: 16.</w:t>
      </w:r>
    </w:p>
  </w:footnote>
  <w:footnote w:id="2">
    <w:p w14:paraId="23F590F1" w14:textId="0E0CBEB0" w:rsidR="004C2FAC" w:rsidRPr="00BF3FA4" w:rsidRDefault="004C2FAC">
      <w:pPr>
        <w:pStyle w:val="FootnoteText"/>
        <w:rPr>
          <w:rFonts w:ascii="Times" w:hAnsi="Times"/>
          <w:sz w:val="22"/>
          <w:szCs w:val="22"/>
        </w:rPr>
      </w:pPr>
      <w:r w:rsidRPr="00BF3FA4">
        <w:rPr>
          <w:rStyle w:val="FootnoteReference"/>
          <w:rFonts w:ascii="Times" w:hAnsi="Times"/>
          <w:sz w:val="22"/>
          <w:szCs w:val="22"/>
        </w:rPr>
        <w:footnoteRef/>
      </w:r>
      <w:r w:rsidRPr="00BF3FA4">
        <w:rPr>
          <w:rFonts w:ascii="Times" w:hAnsi="Times"/>
          <w:sz w:val="22"/>
          <w:szCs w:val="22"/>
        </w:rPr>
        <w:t xml:space="preserve"> Görg 2011: 11.</w:t>
      </w:r>
    </w:p>
  </w:footnote>
  <w:footnote w:id="3">
    <w:p w14:paraId="678CB0AA" w14:textId="23F8F40F" w:rsidR="00A10D75" w:rsidRPr="00BF3FA4" w:rsidRDefault="006E3581">
      <w:pPr>
        <w:pStyle w:val="FootnoteText"/>
        <w:rPr>
          <w:rFonts w:ascii="Times" w:hAnsi="Times"/>
          <w:sz w:val="22"/>
          <w:szCs w:val="22"/>
        </w:rPr>
      </w:pPr>
      <w:r w:rsidRPr="00BF3FA4">
        <w:rPr>
          <w:rStyle w:val="FootnoteReference"/>
          <w:rFonts w:ascii="Times" w:hAnsi="Times"/>
          <w:sz w:val="22"/>
          <w:szCs w:val="22"/>
        </w:rPr>
        <w:footnoteRef/>
      </w:r>
      <w:r w:rsidRPr="00BF3FA4">
        <w:rPr>
          <w:rFonts w:ascii="Times" w:hAnsi="Times"/>
          <w:sz w:val="22"/>
          <w:szCs w:val="22"/>
        </w:rPr>
        <w:t xml:space="preserve"> </w:t>
      </w:r>
      <w:r w:rsidR="00A10D75" w:rsidRPr="00BF3FA4">
        <w:rPr>
          <w:rFonts w:ascii="Times" w:hAnsi="Times"/>
          <w:sz w:val="22"/>
          <w:szCs w:val="22"/>
        </w:rPr>
        <w:t>Warm, Murray and Fox 2003: 77.</w:t>
      </w:r>
    </w:p>
  </w:footnote>
  <w:footnote w:id="4">
    <w:p w14:paraId="507018C0" w14:textId="7807EC59" w:rsidR="00365B80" w:rsidRPr="00233883" w:rsidRDefault="00365B80">
      <w:pPr>
        <w:pStyle w:val="FootnoteText"/>
        <w:rPr>
          <w:rFonts w:ascii="Times" w:hAnsi="Times"/>
          <w:sz w:val="22"/>
          <w:szCs w:val="22"/>
        </w:rPr>
      </w:pPr>
      <w:r w:rsidRPr="00233883">
        <w:rPr>
          <w:rStyle w:val="FootnoteReference"/>
          <w:rFonts w:ascii="Times" w:hAnsi="Times"/>
          <w:sz w:val="22"/>
          <w:szCs w:val="22"/>
        </w:rPr>
        <w:footnoteRef/>
      </w:r>
      <w:r w:rsidRPr="00233883">
        <w:rPr>
          <w:rFonts w:ascii="Times" w:hAnsi="Times"/>
          <w:sz w:val="22"/>
          <w:szCs w:val="22"/>
        </w:rPr>
        <w:t xml:space="preserve"> Warm, Murray and Fox 2003: 77. </w:t>
      </w:r>
    </w:p>
  </w:footnote>
  <w:footnote w:id="5">
    <w:p w14:paraId="30C66303" w14:textId="2981FAA3" w:rsidR="00233883" w:rsidRPr="00233883" w:rsidRDefault="00233883">
      <w:pPr>
        <w:pStyle w:val="FootnoteText"/>
      </w:pPr>
      <w:r w:rsidRPr="00233883">
        <w:rPr>
          <w:rStyle w:val="FootnoteReference"/>
          <w:rFonts w:ascii="Times" w:hAnsi="Times"/>
          <w:sz w:val="22"/>
          <w:szCs w:val="22"/>
        </w:rPr>
        <w:footnoteRef/>
      </w:r>
      <w:r w:rsidRPr="00233883">
        <w:rPr>
          <w:rFonts w:ascii="Times" w:hAnsi="Times"/>
          <w:sz w:val="22"/>
          <w:szCs w:val="22"/>
        </w:rPr>
        <w:t xml:space="preserve"> Jer. </w:t>
      </w:r>
      <w:r w:rsidRPr="00233883">
        <w:rPr>
          <w:rFonts w:ascii="Times" w:hAnsi="Times"/>
          <w:i/>
          <w:sz w:val="22"/>
          <w:szCs w:val="22"/>
        </w:rPr>
        <w:t xml:space="preserve">Ep. </w:t>
      </w:r>
      <w:r w:rsidRPr="00233883">
        <w:rPr>
          <w:rFonts w:ascii="Times" w:hAnsi="Times"/>
          <w:sz w:val="22"/>
          <w:szCs w:val="22"/>
        </w:rPr>
        <w:t xml:space="preserve">14. </w:t>
      </w:r>
    </w:p>
  </w:footnote>
  <w:footnote w:id="6">
    <w:p w14:paraId="52025FE7" w14:textId="3D1AA16B" w:rsidR="00233883" w:rsidRPr="00233883" w:rsidRDefault="00233883">
      <w:pPr>
        <w:pStyle w:val="FootnoteText"/>
        <w:rPr>
          <w:rFonts w:ascii="Times" w:hAnsi="Times"/>
          <w:sz w:val="22"/>
          <w:szCs w:val="22"/>
        </w:rPr>
      </w:pPr>
      <w:r w:rsidRPr="00233883">
        <w:rPr>
          <w:rStyle w:val="FootnoteReference"/>
          <w:rFonts w:ascii="Times" w:hAnsi="Times"/>
          <w:sz w:val="22"/>
          <w:szCs w:val="22"/>
        </w:rPr>
        <w:footnoteRef/>
      </w:r>
      <w:r w:rsidRPr="00233883">
        <w:rPr>
          <w:rFonts w:ascii="Times" w:hAnsi="Times"/>
          <w:sz w:val="22"/>
          <w:szCs w:val="22"/>
        </w:rPr>
        <w:t xml:space="preserve"> Jer. </w:t>
      </w:r>
      <w:r w:rsidRPr="00233883">
        <w:rPr>
          <w:rFonts w:ascii="Times" w:hAnsi="Times"/>
          <w:i/>
          <w:sz w:val="22"/>
          <w:szCs w:val="22"/>
        </w:rPr>
        <w:t xml:space="preserve">Ep. </w:t>
      </w:r>
      <w:r w:rsidRPr="00233883">
        <w:rPr>
          <w:rFonts w:ascii="Times" w:hAnsi="Times"/>
          <w:sz w:val="22"/>
          <w:szCs w:val="22"/>
        </w:rPr>
        <w:t>14. 6.</w:t>
      </w:r>
    </w:p>
  </w:footnote>
  <w:footnote w:id="7">
    <w:p w14:paraId="5B8369A2" w14:textId="5CBE2EDE" w:rsidR="00AC580A" w:rsidRPr="00AC580A" w:rsidRDefault="00AC580A">
      <w:pPr>
        <w:pStyle w:val="FootnoteText"/>
        <w:rPr>
          <w:rFonts w:ascii="Times" w:hAnsi="Times"/>
          <w:sz w:val="22"/>
          <w:szCs w:val="22"/>
        </w:rPr>
      </w:pPr>
      <w:r w:rsidRPr="00AC580A">
        <w:rPr>
          <w:rStyle w:val="FootnoteReference"/>
          <w:rFonts w:ascii="Times" w:hAnsi="Times"/>
          <w:sz w:val="22"/>
          <w:szCs w:val="22"/>
        </w:rPr>
        <w:footnoteRef/>
      </w:r>
      <w:r w:rsidRPr="00AC580A">
        <w:rPr>
          <w:rFonts w:ascii="Times" w:hAnsi="Times"/>
          <w:sz w:val="22"/>
          <w:szCs w:val="22"/>
        </w:rPr>
        <w:t xml:space="preserve"> </w:t>
      </w:r>
      <w:r>
        <w:rPr>
          <w:rFonts w:ascii="Times" w:hAnsi="Times"/>
          <w:sz w:val="22"/>
          <w:szCs w:val="22"/>
        </w:rPr>
        <w:t xml:space="preserve">Palladius. </w:t>
      </w:r>
      <w:r>
        <w:rPr>
          <w:rFonts w:ascii="Times" w:hAnsi="Times"/>
          <w:i/>
          <w:sz w:val="22"/>
          <w:szCs w:val="22"/>
        </w:rPr>
        <w:t xml:space="preserve">LH. </w:t>
      </w:r>
      <w:r>
        <w:rPr>
          <w:rFonts w:ascii="Times" w:hAnsi="Times"/>
          <w:sz w:val="22"/>
          <w:szCs w:val="22"/>
        </w:rPr>
        <w:t xml:space="preserve">10. 10. </w:t>
      </w:r>
    </w:p>
  </w:footnote>
  <w:footnote w:id="8">
    <w:p w14:paraId="50259FE9" w14:textId="21F91181" w:rsidR="00955E63" w:rsidRPr="00955E63" w:rsidRDefault="00955E63">
      <w:pPr>
        <w:pStyle w:val="FootnoteText"/>
        <w:rPr>
          <w:rFonts w:ascii="Times" w:hAnsi="Times"/>
          <w:sz w:val="22"/>
          <w:szCs w:val="22"/>
        </w:rPr>
      </w:pPr>
      <w:r w:rsidRPr="00955E63">
        <w:rPr>
          <w:rStyle w:val="FootnoteReference"/>
          <w:rFonts w:ascii="Times" w:hAnsi="Times"/>
          <w:sz w:val="22"/>
          <w:szCs w:val="22"/>
        </w:rPr>
        <w:footnoteRef/>
      </w:r>
      <w:r w:rsidRPr="00955E63">
        <w:rPr>
          <w:rFonts w:ascii="Times" w:hAnsi="Times"/>
          <w:sz w:val="22"/>
          <w:szCs w:val="22"/>
        </w:rPr>
        <w:t xml:space="preserve"> </w:t>
      </w:r>
      <w:r>
        <w:rPr>
          <w:rFonts w:ascii="Times" w:hAnsi="Times"/>
          <w:sz w:val="22"/>
          <w:szCs w:val="22"/>
        </w:rPr>
        <w:t xml:space="preserve">Jer, </w:t>
      </w:r>
      <w:r>
        <w:rPr>
          <w:rFonts w:ascii="Times" w:hAnsi="Times"/>
          <w:i/>
          <w:sz w:val="22"/>
          <w:szCs w:val="22"/>
        </w:rPr>
        <w:t xml:space="preserve">Ep. </w:t>
      </w:r>
      <w:r>
        <w:rPr>
          <w:rFonts w:ascii="Times" w:hAnsi="Times"/>
          <w:sz w:val="22"/>
          <w:szCs w:val="22"/>
        </w:rPr>
        <w:t xml:space="preserve">14, 4. </w:t>
      </w:r>
    </w:p>
  </w:footnote>
  <w:footnote w:id="9">
    <w:p w14:paraId="0B8EE733" w14:textId="3BFE9CFF" w:rsidR="003D03C7" w:rsidRPr="003D03C7" w:rsidRDefault="003D03C7">
      <w:pPr>
        <w:pStyle w:val="FootnoteText"/>
        <w:rPr>
          <w:rFonts w:ascii="Times" w:hAnsi="Times"/>
          <w:sz w:val="22"/>
          <w:szCs w:val="22"/>
        </w:rPr>
      </w:pPr>
      <w:r w:rsidRPr="003D03C7">
        <w:rPr>
          <w:rStyle w:val="FootnoteReference"/>
          <w:rFonts w:ascii="Times" w:hAnsi="Times"/>
          <w:sz w:val="22"/>
          <w:szCs w:val="22"/>
        </w:rPr>
        <w:footnoteRef/>
      </w:r>
      <w:r w:rsidRPr="003D03C7">
        <w:rPr>
          <w:rFonts w:ascii="Times" w:hAnsi="Times"/>
          <w:sz w:val="22"/>
          <w:szCs w:val="22"/>
        </w:rPr>
        <w:t xml:space="preserve"> </w:t>
      </w:r>
      <w:r>
        <w:rPr>
          <w:rFonts w:ascii="Times" w:hAnsi="Times"/>
          <w:sz w:val="22"/>
          <w:szCs w:val="22"/>
        </w:rPr>
        <w:t xml:space="preserve">Jer, </w:t>
      </w:r>
      <w:r>
        <w:rPr>
          <w:rFonts w:ascii="Times" w:hAnsi="Times"/>
          <w:i/>
          <w:sz w:val="22"/>
          <w:szCs w:val="22"/>
        </w:rPr>
        <w:t xml:space="preserve">Ep. </w:t>
      </w:r>
      <w:r>
        <w:rPr>
          <w:rFonts w:ascii="Times" w:hAnsi="Times"/>
          <w:sz w:val="22"/>
          <w:szCs w:val="22"/>
        </w:rPr>
        <w:t xml:space="preserve">14, 3. A reference to Christ’s passion. </w:t>
      </w:r>
    </w:p>
  </w:footnote>
  <w:footnote w:id="10">
    <w:p w14:paraId="2B0BBC64" w14:textId="27343E83" w:rsidR="003D03C7" w:rsidRPr="003D03C7" w:rsidRDefault="003D03C7">
      <w:pPr>
        <w:pStyle w:val="FootnoteText"/>
        <w:rPr>
          <w:rFonts w:ascii="Times" w:hAnsi="Times"/>
          <w:sz w:val="22"/>
          <w:szCs w:val="22"/>
        </w:rPr>
      </w:pPr>
      <w:r w:rsidRPr="003D03C7">
        <w:rPr>
          <w:rStyle w:val="FootnoteReference"/>
          <w:rFonts w:ascii="Times" w:hAnsi="Times"/>
          <w:sz w:val="22"/>
          <w:szCs w:val="22"/>
        </w:rPr>
        <w:footnoteRef/>
      </w:r>
      <w:r w:rsidRPr="003D03C7">
        <w:rPr>
          <w:rFonts w:ascii="Times" w:hAnsi="Times"/>
          <w:sz w:val="22"/>
          <w:szCs w:val="22"/>
        </w:rPr>
        <w:t xml:space="preserve"> </w:t>
      </w:r>
      <w:r>
        <w:rPr>
          <w:rFonts w:ascii="Times" w:hAnsi="Times"/>
          <w:sz w:val="22"/>
          <w:szCs w:val="22"/>
        </w:rPr>
        <w:t xml:space="preserve">Jer, </w:t>
      </w:r>
      <w:r>
        <w:rPr>
          <w:rFonts w:ascii="Times" w:hAnsi="Times"/>
          <w:i/>
          <w:sz w:val="22"/>
          <w:szCs w:val="22"/>
        </w:rPr>
        <w:t xml:space="preserve">Ep. </w:t>
      </w:r>
      <w:r>
        <w:rPr>
          <w:rFonts w:ascii="Times" w:hAnsi="Times"/>
          <w:sz w:val="22"/>
          <w:szCs w:val="22"/>
        </w:rPr>
        <w:t xml:space="preserve">14. 1. </w:t>
      </w:r>
    </w:p>
  </w:footnote>
  <w:footnote w:id="11">
    <w:p w14:paraId="61DB0B00" w14:textId="5D7A032F" w:rsidR="003D03C7" w:rsidRPr="003D03C7" w:rsidRDefault="003D03C7">
      <w:pPr>
        <w:pStyle w:val="FootnoteText"/>
        <w:rPr>
          <w:rFonts w:ascii="Times" w:hAnsi="Times"/>
          <w:sz w:val="22"/>
          <w:szCs w:val="22"/>
        </w:rPr>
      </w:pPr>
      <w:r w:rsidRPr="003D03C7">
        <w:rPr>
          <w:rStyle w:val="FootnoteReference"/>
          <w:rFonts w:ascii="Times" w:hAnsi="Times"/>
          <w:sz w:val="22"/>
          <w:szCs w:val="22"/>
        </w:rPr>
        <w:footnoteRef/>
      </w:r>
      <w:r>
        <w:rPr>
          <w:rFonts w:ascii="Times" w:hAnsi="Times"/>
          <w:sz w:val="22"/>
          <w:szCs w:val="22"/>
        </w:rPr>
        <w:t>Görg 2011:16 ‘His motivation for this was his conviction that the soul attains its greatest vigour only when the bodily cravings are powerless’.</w:t>
      </w:r>
    </w:p>
  </w:footnote>
  <w:footnote w:id="12">
    <w:p w14:paraId="4F088F7D" w14:textId="28B6600F" w:rsidR="00A9581A" w:rsidRPr="00A9581A" w:rsidRDefault="00A9581A">
      <w:pPr>
        <w:pStyle w:val="FootnoteText"/>
        <w:rPr>
          <w:rFonts w:ascii="Times" w:hAnsi="Times"/>
          <w:sz w:val="22"/>
          <w:szCs w:val="22"/>
        </w:rPr>
      </w:pPr>
      <w:r w:rsidRPr="00A9581A">
        <w:rPr>
          <w:rStyle w:val="FootnoteReference"/>
          <w:rFonts w:ascii="Times" w:hAnsi="Times"/>
          <w:sz w:val="22"/>
          <w:szCs w:val="22"/>
        </w:rPr>
        <w:footnoteRef/>
      </w:r>
      <w:r w:rsidRPr="00A9581A">
        <w:rPr>
          <w:rFonts w:ascii="Times" w:hAnsi="Times"/>
          <w:sz w:val="22"/>
          <w:szCs w:val="22"/>
        </w:rPr>
        <w:t xml:space="preserve"> Bradford 2011: 463- 464.</w:t>
      </w:r>
    </w:p>
  </w:footnote>
  <w:footnote w:id="13">
    <w:p w14:paraId="7551F2B2" w14:textId="356DC920" w:rsidR="00D54584" w:rsidRPr="00D54584" w:rsidRDefault="00D54584">
      <w:pPr>
        <w:pStyle w:val="FootnoteText"/>
        <w:rPr>
          <w:rFonts w:ascii="Times" w:hAnsi="Times"/>
          <w:sz w:val="22"/>
          <w:szCs w:val="22"/>
        </w:rPr>
      </w:pPr>
      <w:r w:rsidRPr="00D54584">
        <w:rPr>
          <w:rStyle w:val="FootnoteReference"/>
          <w:rFonts w:ascii="Times" w:hAnsi="Times"/>
          <w:sz w:val="22"/>
          <w:szCs w:val="22"/>
        </w:rPr>
        <w:footnoteRef/>
      </w:r>
      <w:r w:rsidRPr="00D54584">
        <w:rPr>
          <w:rFonts w:ascii="Times" w:hAnsi="Times"/>
          <w:sz w:val="22"/>
          <w:szCs w:val="22"/>
        </w:rPr>
        <w:t xml:space="preserve"> </w:t>
      </w:r>
      <w:r>
        <w:rPr>
          <w:rFonts w:ascii="Times" w:hAnsi="Times"/>
          <w:sz w:val="22"/>
          <w:szCs w:val="22"/>
        </w:rPr>
        <w:t>Cassidy 2006: 9</w:t>
      </w:r>
    </w:p>
  </w:footnote>
  <w:footnote w:id="14">
    <w:p w14:paraId="107D11CE" w14:textId="4FC9A9CA" w:rsidR="00D54584" w:rsidRPr="00D54584" w:rsidRDefault="00D54584">
      <w:pPr>
        <w:pStyle w:val="FootnoteText"/>
        <w:rPr>
          <w:rFonts w:ascii="Times" w:hAnsi="Times"/>
          <w:sz w:val="22"/>
          <w:szCs w:val="22"/>
        </w:rPr>
      </w:pPr>
      <w:r w:rsidRPr="00D54584">
        <w:rPr>
          <w:rStyle w:val="FootnoteReference"/>
          <w:rFonts w:ascii="Times" w:hAnsi="Times"/>
          <w:sz w:val="22"/>
          <w:szCs w:val="22"/>
        </w:rPr>
        <w:footnoteRef/>
      </w:r>
      <w:r w:rsidRPr="00D54584">
        <w:rPr>
          <w:rFonts w:ascii="Times" w:hAnsi="Times"/>
          <w:sz w:val="22"/>
          <w:szCs w:val="22"/>
        </w:rPr>
        <w:t xml:space="preserve"> </w:t>
      </w:r>
      <w:r>
        <w:rPr>
          <w:rFonts w:ascii="Times" w:hAnsi="Times"/>
          <w:sz w:val="22"/>
          <w:szCs w:val="22"/>
        </w:rPr>
        <w:t>Cassidy 2006: 9</w:t>
      </w:r>
    </w:p>
  </w:footnote>
  <w:footnote w:id="15">
    <w:p w14:paraId="772CAB21" w14:textId="4EA45AD7" w:rsidR="003140F6" w:rsidRPr="003140F6" w:rsidRDefault="003140F6">
      <w:pPr>
        <w:pStyle w:val="FootnoteText"/>
        <w:rPr>
          <w:rFonts w:ascii="Times" w:hAnsi="Times"/>
          <w:sz w:val="22"/>
          <w:szCs w:val="22"/>
        </w:rPr>
      </w:pPr>
      <w:r w:rsidRPr="003140F6">
        <w:rPr>
          <w:rStyle w:val="FootnoteReference"/>
          <w:rFonts w:ascii="Times" w:hAnsi="Times"/>
          <w:sz w:val="22"/>
          <w:szCs w:val="22"/>
        </w:rPr>
        <w:footnoteRef/>
      </w:r>
      <w:r w:rsidRPr="003140F6">
        <w:rPr>
          <w:rFonts w:ascii="Times" w:hAnsi="Times"/>
          <w:sz w:val="22"/>
          <w:szCs w:val="22"/>
        </w:rPr>
        <w:t xml:space="preserve"> </w:t>
      </w:r>
      <w:r>
        <w:rPr>
          <w:rFonts w:ascii="Times" w:hAnsi="Times"/>
          <w:sz w:val="22"/>
          <w:szCs w:val="22"/>
        </w:rPr>
        <w:t xml:space="preserve">A similar account is found in Palladius </w:t>
      </w:r>
      <w:r>
        <w:rPr>
          <w:rFonts w:ascii="Times" w:hAnsi="Times"/>
          <w:i/>
          <w:sz w:val="22"/>
          <w:szCs w:val="22"/>
        </w:rPr>
        <w:t xml:space="preserve">LH </w:t>
      </w:r>
      <w:r>
        <w:rPr>
          <w:rFonts w:ascii="Times" w:hAnsi="Times"/>
          <w:sz w:val="22"/>
          <w:szCs w:val="22"/>
        </w:rPr>
        <w:t xml:space="preserve">10. 10. In which isolation is used as a form of asceticism. </w:t>
      </w:r>
    </w:p>
  </w:footnote>
  <w:footnote w:id="16">
    <w:p w14:paraId="2D56D89B" w14:textId="2041F93F" w:rsidR="00B47A01" w:rsidRPr="00B47A01" w:rsidRDefault="00B47A01">
      <w:pPr>
        <w:pStyle w:val="FootnoteText"/>
        <w:rPr>
          <w:rFonts w:ascii="Times" w:hAnsi="Times"/>
          <w:sz w:val="22"/>
          <w:szCs w:val="22"/>
        </w:rPr>
      </w:pPr>
      <w:r w:rsidRPr="00B47A01">
        <w:rPr>
          <w:rStyle w:val="FootnoteReference"/>
          <w:rFonts w:ascii="Times" w:hAnsi="Times"/>
          <w:sz w:val="22"/>
          <w:szCs w:val="22"/>
        </w:rPr>
        <w:footnoteRef/>
      </w:r>
      <w:r w:rsidRPr="00B47A01">
        <w:rPr>
          <w:rFonts w:ascii="Times" w:hAnsi="Times"/>
          <w:sz w:val="22"/>
          <w:szCs w:val="22"/>
        </w:rPr>
        <w:t xml:space="preserve"> </w:t>
      </w:r>
      <w:r>
        <w:rPr>
          <w:rFonts w:ascii="Times" w:hAnsi="Times"/>
          <w:sz w:val="22"/>
          <w:szCs w:val="22"/>
        </w:rPr>
        <w:t xml:space="preserve">Sometimes written as ‘Antony’, for the purpose of continuity with other scholars, will be written as Anthony. </w:t>
      </w:r>
    </w:p>
  </w:footnote>
  <w:footnote w:id="17">
    <w:p w14:paraId="0AC12DC3" w14:textId="520208C6" w:rsidR="00E25A23" w:rsidRPr="00E25A23" w:rsidRDefault="00E25A23">
      <w:pPr>
        <w:pStyle w:val="FootnoteText"/>
        <w:rPr>
          <w:rFonts w:ascii="Times" w:hAnsi="Times"/>
          <w:sz w:val="22"/>
          <w:szCs w:val="22"/>
        </w:rPr>
      </w:pPr>
      <w:r w:rsidRPr="00E25A23">
        <w:rPr>
          <w:rStyle w:val="FootnoteReference"/>
          <w:rFonts w:ascii="Times" w:hAnsi="Times"/>
          <w:sz w:val="22"/>
          <w:szCs w:val="22"/>
        </w:rPr>
        <w:footnoteRef/>
      </w:r>
      <w:r w:rsidRPr="00E25A23">
        <w:rPr>
          <w:rFonts w:ascii="Times" w:hAnsi="Times"/>
          <w:sz w:val="22"/>
          <w:szCs w:val="22"/>
        </w:rPr>
        <w:t xml:space="preserve"> </w:t>
      </w:r>
      <w:r>
        <w:rPr>
          <w:rFonts w:ascii="Times" w:hAnsi="Times"/>
          <w:sz w:val="22"/>
          <w:szCs w:val="22"/>
        </w:rPr>
        <w:t>Harmless 2004: 61</w:t>
      </w:r>
    </w:p>
  </w:footnote>
  <w:footnote w:id="18">
    <w:p w14:paraId="07A6C0B7" w14:textId="4E522703" w:rsidR="002E1BB5" w:rsidRDefault="002E1BB5">
      <w:pPr>
        <w:pStyle w:val="FootnoteText"/>
      </w:pPr>
      <w:r>
        <w:rPr>
          <w:rStyle w:val="FootnoteReference"/>
        </w:rPr>
        <w:footnoteRef/>
      </w:r>
      <w:r>
        <w:t xml:space="preserve"> </w:t>
      </w:r>
      <w:r w:rsidRPr="002E1BB5">
        <w:rPr>
          <w:rFonts w:ascii="Times" w:hAnsi="Times"/>
          <w:sz w:val="22"/>
          <w:szCs w:val="22"/>
        </w:rPr>
        <w:t>Cassidy 2006: 9.</w:t>
      </w:r>
    </w:p>
  </w:footnote>
  <w:footnote w:id="19">
    <w:p w14:paraId="1F391FF6" w14:textId="4E468CCE" w:rsidR="002E1BB5" w:rsidRPr="002E1BB5" w:rsidRDefault="002E1BB5">
      <w:pPr>
        <w:pStyle w:val="FootnoteText"/>
        <w:rPr>
          <w:rFonts w:ascii="Times" w:hAnsi="Times"/>
          <w:sz w:val="22"/>
          <w:szCs w:val="22"/>
        </w:rPr>
      </w:pPr>
      <w:r w:rsidRPr="002E1BB5">
        <w:rPr>
          <w:rStyle w:val="FootnoteReference"/>
          <w:rFonts w:ascii="Times" w:hAnsi="Times"/>
          <w:sz w:val="22"/>
          <w:szCs w:val="22"/>
        </w:rPr>
        <w:footnoteRef/>
      </w:r>
      <w:r w:rsidRPr="002E1BB5">
        <w:rPr>
          <w:rFonts w:ascii="Times" w:hAnsi="Times"/>
          <w:sz w:val="22"/>
          <w:szCs w:val="22"/>
        </w:rPr>
        <w:t xml:space="preserve"> </w:t>
      </w:r>
      <w:r>
        <w:rPr>
          <w:rFonts w:ascii="Times" w:hAnsi="Times"/>
          <w:sz w:val="22"/>
          <w:szCs w:val="22"/>
        </w:rPr>
        <w:t>Harmless 2004: 64.</w:t>
      </w:r>
    </w:p>
  </w:footnote>
  <w:footnote w:id="20">
    <w:p w14:paraId="17FD9BCB" w14:textId="5EAE60CF" w:rsidR="002E1BB5" w:rsidRPr="002E1BB5" w:rsidRDefault="002E1BB5">
      <w:pPr>
        <w:pStyle w:val="FootnoteText"/>
        <w:rPr>
          <w:rFonts w:ascii="Times" w:hAnsi="Times"/>
          <w:sz w:val="22"/>
          <w:szCs w:val="22"/>
        </w:rPr>
      </w:pPr>
      <w:r w:rsidRPr="002E1BB5">
        <w:rPr>
          <w:rStyle w:val="FootnoteReference"/>
          <w:rFonts w:ascii="Times" w:hAnsi="Times"/>
          <w:sz w:val="22"/>
          <w:szCs w:val="22"/>
        </w:rPr>
        <w:footnoteRef/>
      </w:r>
      <w:r w:rsidRPr="002E1BB5">
        <w:rPr>
          <w:rFonts w:ascii="Times" w:hAnsi="Times"/>
          <w:sz w:val="22"/>
          <w:szCs w:val="22"/>
        </w:rPr>
        <w:t xml:space="preserve"> Harmless 2004: 64.</w:t>
      </w:r>
    </w:p>
  </w:footnote>
  <w:footnote w:id="21">
    <w:p w14:paraId="0AF0A151" w14:textId="1FB509A5" w:rsidR="00AE4F2F" w:rsidRPr="00AE4F2F" w:rsidRDefault="00AE4F2F">
      <w:pPr>
        <w:pStyle w:val="FootnoteText"/>
        <w:rPr>
          <w:rFonts w:ascii="Times" w:hAnsi="Times"/>
          <w:sz w:val="22"/>
          <w:szCs w:val="22"/>
        </w:rPr>
      </w:pPr>
      <w:r w:rsidRPr="00AE4F2F">
        <w:rPr>
          <w:rStyle w:val="FootnoteReference"/>
          <w:rFonts w:ascii="Times" w:hAnsi="Times"/>
          <w:sz w:val="22"/>
          <w:szCs w:val="22"/>
        </w:rPr>
        <w:footnoteRef/>
      </w:r>
      <w:r w:rsidRPr="00AE4F2F">
        <w:rPr>
          <w:rFonts w:ascii="Times" w:hAnsi="Times"/>
          <w:sz w:val="22"/>
          <w:szCs w:val="22"/>
        </w:rPr>
        <w:t xml:space="preserve"> </w:t>
      </w:r>
      <w:r>
        <w:rPr>
          <w:rFonts w:ascii="Times" w:hAnsi="Times"/>
          <w:sz w:val="22"/>
          <w:szCs w:val="22"/>
        </w:rPr>
        <w:t>Lawrence 2001:10 -11.</w:t>
      </w:r>
    </w:p>
  </w:footnote>
  <w:footnote w:id="22">
    <w:p w14:paraId="0B8BA843" w14:textId="0F6077D0" w:rsidR="00153F21" w:rsidRPr="00153F21" w:rsidRDefault="00153F21">
      <w:pPr>
        <w:pStyle w:val="FootnoteText"/>
        <w:rPr>
          <w:rFonts w:ascii="Times" w:hAnsi="Times"/>
          <w:sz w:val="22"/>
          <w:szCs w:val="22"/>
        </w:rPr>
      </w:pPr>
      <w:r w:rsidRPr="00153F21">
        <w:rPr>
          <w:rStyle w:val="FootnoteReference"/>
          <w:rFonts w:ascii="Times" w:hAnsi="Times"/>
          <w:sz w:val="22"/>
          <w:szCs w:val="22"/>
        </w:rPr>
        <w:footnoteRef/>
      </w:r>
      <w:r w:rsidRPr="00153F21">
        <w:rPr>
          <w:rFonts w:ascii="Times" w:hAnsi="Times"/>
          <w:sz w:val="22"/>
          <w:szCs w:val="22"/>
        </w:rPr>
        <w:t xml:space="preserve"> Görg 2011: 15</w:t>
      </w:r>
    </w:p>
  </w:footnote>
  <w:footnote w:id="23">
    <w:p w14:paraId="11CD5681" w14:textId="50BF8BBF" w:rsidR="00153F21" w:rsidRPr="00153F21" w:rsidRDefault="00153F21">
      <w:pPr>
        <w:pStyle w:val="FootnoteText"/>
        <w:rPr>
          <w:rFonts w:ascii="Times" w:hAnsi="Times"/>
          <w:sz w:val="22"/>
          <w:szCs w:val="22"/>
        </w:rPr>
      </w:pPr>
      <w:r w:rsidRPr="00153F21">
        <w:rPr>
          <w:rStyle w:val="FootnoteReference"/>
          <w:rFonts w:ascii="Times" w:hAnsi="Times"/>
          <w:sz w:val="22"/>
          <w:szCs w:val="22"/>
        </w:rPr>
        <w:footnoteRef/>
      </w:r>
      <w:r w:rsidRPr="00153F21">
        <w:rPr>
          <w:rFonts w:ascii="Times" w:hAnsi="Times"/>
          <w:sz w:val="22"/>
          <w:szCs w:val="22"/>
        </w:rPr>
        <w:t xml:space="preserve"> NHS 2015 – ‘Types of self-harm’. I</w:t>
      </w:r>
      <w:r>
        <w:rPr>
          <w:rFonts w:ascii="Times" w:hAnsi="Times"/>
          <w:sz w:val="22"/>
          <w:szCs w:val="22"/>
        </w:rPr>
        <w:t>f self-</w:t>
      </w:r>
      <w:r w:rsidRPr="00153F21">
        <w:rPr>
          <w:rFonts w:ascii="Times" w:hAnsi="Times"/>
          <w:sz w:val="22"/>
          <w:szCs w:val="22"/>
        </w:rPr>
        <w:t xml:space="preserve">harming is the maiming of the body, then to hurt the body without partaking in Asceticism would be precisely this. </w:t>
      </w:r>
    </w:p>
  </w:footnote>
  <w:footnote w:id="24">
    <w:p w14:paraId="6996418E" w14:textId="0A96C787" w:rsidR="00174AA9" w:rsidRPr="00174AA9" w:rsidRDefault="00174AA9">
      <w:pPr>
        <w:pStyle w:val="FootnoteText"/>
        <w:rPr>
          <w:rFonts w:ascii="Times" w:hAnsi="Times"/>
          <w:sz w:val="22"/>
          <w:szCs w:val="22"/>
        </w:rPr>
      </w:pPr>
      <w:r w:rsidRPr="00174AA9">
        <w:rPr>
          <w:rStyle w:val="FootnoteReference"/>
          <w:rFonts w:ascii="Times" w:hAnsi="Times"/>
          <w:sz w:val="22"/>
          <w:szCs w:val="22"/>
        </w:rPr>
        <w:footnoteRef/>
      </w:r>
      <w:r w:rsidRPr="00174AA9">
        <w:rPr>
          <w:rFonts w:ascii="Times" w:hAnsi="Times"/>
          <w:sz w:val="22"/>
          <w:szCs w:val="22"/>
        </w:rPr>
        <w:t xml:space="preserve"> </w:t>
      </w:r>
      <w:r>
        <w:rPr>
          <w:rFonts w:ascii="Times" w:hAnsi="Times"/>
          <w:sz w:val="22"/>
          <w:szCs w:val="22"/>
        </w:rPr>
        <w:t xml:space="preserve">Görg 2011: 14. </w:t>
      </w:r>
      <w:r w:rsidR="00800E7D">
        <w:rPr>
          <w:rFonts w:ascii="Times" w:hAnsi="Times"/>
          <w:sz w:val="22"/>
          <w:szCs w:val="22"/>
        </w:rPr>
        <w:t xml:space="preserve">Görg acknowledges that psychological elements play a role in asceticism, but they do not come into questions when trying to understand the topic </w:t>
      </w:r>
      <w:r w:rsidR="008562BB">
        <w:rPr>
          <w:rFonts w:ascii="Times" w:hAnsi="Times"/>
          <w:sz w:val="22"/>
          <w:szCs w:val="22"/>
        </w:rPr>
        <w:t>as theological or psychological.</w:t>
      </w:r>
    </w:p>
  </w:footnote>
  <w:footnote w:id="25">
    <w:p w14:paraId="097B2EBF" w14:textId="00F4C91B" w:rsidR="00A11D5B" w:rsidRPr="00BF3FA4" w:rsidRDefault="00A11D5B">
      <w:pPr>
        <w:pStyle w:val="FootnoteText"/>
        <w:rPr>
          <w:rFonts w:ascii="Times" w:hAnsi="Times"/>
          <w:sz w:val="22"/>
          <w:szCs w:val="22"/>
        </w:rPr>
      </w:pPr>
      <w:r w:rsidRPr="00BF3FA4">
        <w:rPr>
          <w:rStyle w:val="FootnoteReference"/>
          <w:rFonts w:ascii="Times" w:hAnsi="Times"/>
          <w:sz w:val="22"/>
          <w:szCs w:val="22"/>
        </w:rPr>
        <w:footnoteRef/>
      </w:r>
      <w:r w:rsidRPr="00BF3FA4">
        <w:rPr>
          <w:rFonts w:ascii="Times" w:hAnsi="Times"/>
          <w:sz w:val="22"/>
          <w:szCs w:val="22"/>
        </w:rPr>
        <w:t xml:space="preserve"> </w:t>
      </w:r>
      <w:r w:rsidR="00A10D75" w:rsidRPr="00BF3FA4">
        <w:rPr>
          <w:rFonts w:ascii="Times" w:hAnsi="Times"/>
          <w:sz w:val="22"/>
          <w:szCs w:val="22"/>
        </w:rPr>
        <w:t xml:space="preserve">NHS 2015 – ‘Why people self-harm’. </w:t>
      </w:r>
    </w:p>
  </w:footnote>
  <w:footnote w:id="26">
    <w:p w14:paraId="3D712CCA" w14:textId="73316E97" w:rsidR="00F218EF" w:rsidRPr="00F218EF" w:rsidRDefault="00F218EF">
      <w:pPr>
        <w:pStyle w:val="FootnoteText"/>
        <w:rPr>
          <w:rFonts w:ascii="Times" w:hAnsi="Times"/>
          <w:sz w:val="22"/>
          <w:szCs w:val="22"/>
        </w:rPr>
      </w:pPr>
      <w:r w:rsidRPr="00F218EF">
        <w:rPr>
          <w:rStyle w:val="FootnoteReference"/>
          <w:rFonts w:ascii="Times" w:hAnsi="Times"/>
          <w:sz w:val="22"/>
          <w:szCs w:val="22"/>
        </w:rPr>
        <w:footnoteRef/>
      </w:r>
      <w:r w:rsidRPr="00F218EF">
        <w:rPr>
          <w:rFonts w:ascii="Times" w:hAnsi="Times"/>
          <w:sz w:val="22"/>
          <w:szCs w:val="22"/>
        </w:rPr>
        <w:t xml:space="preserve"> NH</w:t>
      </w:r>
      <w:r>
        <w:rPr>
          <w:rFonts w:ascii="Times" w:hAnsi="Times"/>
          <w:sz w:val="22"/>
          <w:szCs w:val="22"/>
        </w:rPr>
        <w:t xml:space="preserve">S 2015 – ‘Why people self-harm’. </w:t>
      </w:r>
    </w:p>
  </w:footnote>
  <w:footnote w:id="27">
    <w:p w14:paraId="4F97C7C0" w14:textId="12DDF416" w:rsidR="008D4FD9" w:rsidRPr="008D4FD9" w:rsidRDefault="008D4FD9">
      <w:pPr>
        <w:pStyle w:val="FootnoteText"/>
        <w:rPr>
          <w:rFonts w:ascii="Times" w:hAnsi="Times"/>
          <w:sz w:val="22"/>
          <w:szCs w:val="22"/>
        </w:rPr>
      </w:pPr>
      <w:r w:rsidRPr="008D4FD9">
        <w:rPr>
          <w:rStyle w:val="FootnoteReference"/>
          <w:rFonts w:ascii="Times" w:hAnsi="Times"/>
          <w:sz w:val="22"/>
          <w:szCs w:val="22"/>
        </w:rPr>
        <w:footnoteRef/>
      </w:r>
      <w:r w:rsidRPr="008D4FD9">
        <w:rPr>
          <w:rFonts w:ascii="Times" w:hAnsi="Times"/>
          <w:sz w:val="22"/>
          <w:szCs w:val="22"/>
        </w:rPr>
        <w:t xml:space="preserve"> </w:t>
      </w:r>
      <w:r>
        <w:rPr>
          <w:rFonts w:ascii="Times" w:hAnsi="Times"/>
          <w:sz w:val="22"/>
          <w:szCs w:val="22"/>
        </w:rPr>
        <w:t xml:space="preserve">Jer. </w:t>
      </w:r>
      <w:r>
        <w:rPr>
          <w:rFonts w:ascii="Times" w:hAnsi="Times"/>
          <w:i/>
          <w:sz w:val="22"/>
          <w:szCs w:val="22"/>
        </w:rPr>
        <w:t>Ep.</w:t>
      </w:r>
      <w:r>
        <w:rPr>
          <w:rFonts w:ascii="Times" w:hAnsi="Times"/>
          <w:sz w:val="22"/>
          <w:szCs w:val="22"/>
        </w:rPr>
        <w:t xml:space="preserve">14. 6, NHS – ‘Why people self-harm’. </w:t>
      </w:r>
    </w:p>
  </w:footnote>
  <w:footnote w:id="28">
    <w:p w14:paraId="4D216DDF" w14:textId="64D70318" w:rsidR="006F2374" w:rsidRPr="006F2374" w:rsidRDefault="006F2374">
      <w:pPr>
        <w:pStyle w:val="FootnoteText"/>
        <w:rPr>
          <w:rFonts w:ascii="Times" w:hAnsi="Times"/>
          <w:sz w:val="22"/>
          <w:szCs w:val="22"/>
        </w:rPr>
      </w:pPr>
      <w:r w:rsidRPr="006F2374">
        <w:rPr>
          <w:rStyle w:val="FootnoteReference"/>
          <w:rFonts w:ascii="Times" w:hAnsi="Times"/>
          <w:sz w:val="22"/>
          <w:szCs w:val="22"/>
        </w:rPr>
        <w:footnoteRef/>
      </w:r>
      <w:r w:rsidRPr="006F2374">
        <w:rPr>
          <w:rFonts w:ascii="Times" w:hAnsi="Times"/>
          <w:sz w:val="22"/>
          <w:szCs w:val="22"/>
        </w:rPr>
        <w:t xml:space="preserve"> </w:t>
      </w:r>
      <w:r>
        <w:rPr>
          <w:rFonts w:ascii="Times" w:hAnsi="Times"/>
          <w:sz w:val="22"/>
          <w:szCs w:val="22"/>
        </w:rPr>
        <w:t>If self-</w:t>
      </w:r>
      <w:r w:rsidR="008562BB">
        <w:rPr>
          <w:rFonts w:ascii="Times" w:hAnsi="Times"/>
          <w:sz w:val="22"/>
          <w:szCs w:val="22"/>
        </w:rPr>
        <w:t>harming is psychological</w:t>
      </w:r>
      <w:r>
        <w:rPr>
          <w:rFonts w:ascii="Times" w:hAnsi="Times"/>
          <w:sz w:val="22"/>
          <w:szCs w:val="22"/>
        </w:rPr>
        <w:t xml:space="preserve"> in explaining the actions, </w:t>
      </w:r>
      <w:r w:rsidR="008562BB">
        <w:rPr>
          <w:rFonts w:ascii="Times" w:hAnsi="Times"/>
          <w:sz w:val="22"/>
          <w:szCs w:val="22"/>
        </w:rPr>
        <w:t>it would be appropriate that</w:t>
      </w:r>
      <w:r>
        <w:rPr>
          <w:rFonts w:ascii="Times" w:hAnsi="Times"/>
          <w:sz w:val="22"/>
          <w:szCs w:val="22"/>
        </w:rPr>
        <w:t xml:space="preserve"> links to asceticism would be explored in a psychological approach, as such this is not the case.</w:t>
      </w:r>
    </w:p>
  </w:footnote>
  <w:footnote w:id="29">
    <w:p w14:paraId="757E31B5" w14:textId="435B5E6D" w:rsidR="00FF4D0A" w:rsidRPr="000169BF" w:rsidRDefault="00FF4D0A">
      <w:pPr>
        <w:pStyle w:val="FootnoteText"/>
        <w:rPr>
          <w:rFonts w:ascii="Times" w:hAnsi="Times"/>
          <w:sz w:val="22"/>
          <w:szCs w:val="22"/>
        </w:rPr>
      </w:pPr>
      <w:r w:rsidRPr="000169BF">
        <w:rPr>
          <w:rStyle w:val="FootnoteReference"/>
          <w:rFonts w:ascii="Times" w:hAnsi="Times"/>
          <w:sz w:val="22"/>
          <w:szCs w:val="22"/>
        </w:rPr>
        <w:footnoteRef/>
      </w:r>
      <w:r w:rsidRPr="000169BF">
        <w:rPr>
          <w:rFonts w:ascii="Times" w:hAnsi="Times"/>
          <w:sz w:val="22"/>
          <w:szCs w:val="22"/>
        </w:rPr>
        <w:t xml:space="preserve"> </w:t>
      </w:r>
      <w:r w:rsidR="000169BF">
        <w:rPr>
          <w:rFonts w:ascii="Times" w:hAnsi="Times"/>
          <w:sz w:val="22"/>
          <w:szCs w:val="22"/>
        </w:rPr>
        <w:t xml:space="preserve">Rodav, Levy and Hamdan 2014: 503. </w:t>
      </w:r>
    </w:p>
  </w:footnote>
  <w:footnote w:id="30">
    <w:p w14:paraId="49123693" w14:textId="6E530BF0" w:rsidR="000169BF" w:rsidRPr="000169BF" w:rsidRDefault="000169BF">
      <w:pPr>
        <w:pStyle w:val="FootnoteText"/>
        <w:rPr>
          <w:rFonts w:ascii="Times" w:hAnsi="Times"/>
          <w:sz w:val="22"/>
          <w:szCs w:val="22"/>
        </w:rPr>
      </w:pPr>
      <w:r w:rsidRPr="000169BF">
        <w:rPr>
          <w:rStyle w:val="FootnoteReference"/>
          <w:rFonts w:ascii="Times" w:hAnsi="Times"/>
          <w:sz w:val="22"/>
          <w:szCs w:val="22"/>
        </w:rPr>
        <w:footnoteRef/>
      </w:r>
      <w:r w:rsidRPr="000169BF">
        <w:rPr>
          <w:rFonts w:ascii="Times" w:hAnsi="Times"/>
          <w:sz w:val="22"/>
          <w:szCs w:val="22"/>
        </w:rPr>
        <w:t xml:space="preserve"> </w:t>
      </w:r>
      <w:r>
        <w:rPr>
          <w:rFonts w:ascii="Times" w:hAnsi="Times"/>
          <w:sz w:val="22"/>
          <w:szCs w:val="22"/>
        </w:rPr>
        <w:t xml:space="preserve">Rodav, Levy and Hamdan 2014: 503. </w:t>
      </w:r>
    </w:p>
  </w:footnote>
  <w:footnote w:id="31">
    <w:p w14:paraId="2BF95965" w14:textId="197ADB9B" w:rsidR="00B9468D" w:rsidRPr="00B9468D" w:rsidRDefault="00B9468D">
      <w:pPr>
        <w:pStyle w:val="FootnoteText"/>
        <w:rPr>
          <w:rFonts w:ascii="Times" w:hAnsi="Times"/>
          <w:sz w:val="22"/>
          <w:szCs w:val="22"/>
        </w:rPr>
      </w:pPr>
      <w:r w:rsidRPr="00B9468D">
        <w:rPr>
          <w:rStyle w:val="FootnoteReference"/>
          <w:rFonts w:ascii="Times" w:hAnsi="Times"/>
          <w:sz w:val="22"/>
          <w:szCs w:val="22"/>
        </w:rPr>
        <w:footnoteRef/>
      </w:r>
      <w:r w:rsidRPr="00B9468D">
        <w:rPr>
          <w:rFonts w:ascii="Times" w:hAnsi="Times"/>
          <w:sz w:val="22"/>
          <w:szCs w:val="22"/>
        </w:rPr>
        <w:t xml:space="preserve"> </w:t>
      </w:r>
      <w:r>
        <w:rPr>
          <w:rFonts w:ascii="Times" w:hAnsi="Times"/>
          <w:sz w:val="22"/>
          <w:szCs w:val="22"/>
        </w:rPr>
        <w:t>Warm, Murray and Fox 2003: 71.</w:t>
      </w:r>
    </w:p>
  </w:footnote>
  <w:footnote w:id="32">
    <w:p w14:paraId="33F24359" w14:textId="56012A9F" w:rsidR="00F419A1" w:rsidRPr="00F419A1" w:rsidRDefault="00F419A1">
      <w:pPr>
        <w:pStyle w:val="FootnoteText"/>
        <w:rPr>
          <w:rFonts w:ascii="Times" w:hAnsi="Times"/>
          <w:sz w:val="22"/>
          <w:szCs w:val="22"/>
        </w:rPr>
      </w:pPr>
      <w:r w:rsidRPr="00F419A1">
        <w:rPr>
          <w:rStyle w:val="FootnoteReference"/>
          <w:rFonts w:ascii="Times" w:hAnsi="Times"/>
          <w:sz w:val="22"/>
          <w:szCs w:val="22"/>
        </w:rPr>
        <w:footnoteRef/>
      </w:r>
      <w:r w:rsidRPr="00F419A1">
        <w:rPr>
          <w:rFonts w:ascii="Times" w:hAnsi="Times"/>
          <w:sz w:val="22"/>
          <w:szCs w:val="22"/>
        </w:rPr>
        <w:t xml:space="preserve"> </w:t>
      </w:r>
      <w:r w:rsidR="00315CDA">
        <w:rPr>
          <w:rFonts w:ascii="Times" w:hAnsi="Times"/>
          <w:sz w:val="22"/>
          <w:szCs w:val="22"/>
        </w:rPr>
        <w:t>Skegg 200</w:t>
      </w:r>
      <w:r>
        <w:rPr>
          <w:rFonts w:ascii="Times" w:hAnsi="Times"/>
          <w:sz w:val="22"/>
          <w:szCs w:val="22"/>
        </w:rPr>
        <w:t>5: 1475.</w:t>
      </w:r>
    </w:p>
  </w:footnote>
  <w:footnote w:id="33">
    <w:p w14:paraId="15871689" w14:textId="0ADA2FD8" w:rsidR="00F419A1" w:rsidRPr="00F419A1" w:rsidRDefault="00F419A1">
      <w:pPr>
        <w:pStyle w:val="FootnoteText"/>
        <w:rPr>
          <w:rFonts w:ascii="Times" w:hAnsi="Times"/>
          <w:sz w:val="22"/>
          <w:szCs w:val="22"/>
        </w:rPr>
      </w:pPr>
      <w:r w:rsidRPr="00F419A1">
        <w:rPr>
          <w:rStyle w:val="FootnoteReference"/>
          <w:rFonts w:ascii="Times" w:hAnsi="Times"/>
          <w:sz w:val="22"/>
          <w:szCs w:val="22"/>
        </w:rPr>
        <w:footnoteRef/>
      </w:r>
      <w:r w:rsidRPr="00F419A1">
        <w:rPr>
          <w:rFonts w:ascii="Times" w:hAnsi="Times"/>
          <w:sz w:val="22"/>
          <w:szCs w:val="22"/>
        </w:rPr>
        <w:t xml:space="preserve"> </w:t>
      </w:r>
      <w:r w:rsidR="00315CDA">
        <w:rPr>
          <w:rFonts w:ascii="Times" w:hAnsi="Times"/>
          <w:sz w:val="22"/>
          <w:szCs w:val="22"/>
        </w:rPr>
        <w:t>Skegg 200</w:t>
      </w:r>
      <w:r>
        <w:rPr>
          <w:rFonts w:ascii="Times" w:hAnsi="Times"/>
          <w:sz w:val="22"/>
          <w:szCs w:val="22"/>
        </w:rPr>
        <w:t xml:space="preserve">5: 1475. </w:t>
      </w:r>
    </w:p>
  </w:footnote>
  <w:footnote w:id="34">
    <w:p w14:paraId="3F86BDCD" w14:textId="20AEF240" w:rsidR="002430B0" w:rsidRPr="002430B0" w:rsidRDefault="002430B0">
      <w:pPr>
        <w:pStyle w:val="FootnoteText"/>
        <w:rPr>
          <w:rFonts w:ascii="Times" w:hAnsi="Times"/>
          <w:sz w:val="22"/>
          <w:szCs w:val="22"/>
        </w:rPr>
      </w:pPr>
      <w:r w:rsidRPr="002430B0">
        <w:rPr>
          <w:rStyle w:val="FootnoteReference"/>
          <w:rFonts w:ascii="Times" w:hAnsi="Times"/>
          <w:sz w:val="22"/>
          <w:szCs w:val="22"/>
        </w:rPr>
        <w:footnoteRef/>
      </w:r>
      <w:r w:rsidRPr="002430B0">
        <w:rPr>
          <w:rFonts w:ascii="Times" w:hAnsi="Times"/>
          <w:sz w:val="22"/>
          <w:szCs w:val="22"/>
        </w:rPr>
        <w:t xml:space="preserve"> R</w:t>
      </w:r>
      <w:r>
        <w:rPr>
          <w:rFonts w:ascii="Times" w:hAnsi="Times"/>
          <w:sz w:val="22"/>
          <w:szCs w:val="22"/>
        </w:rPr>
        <w:t xml:space="preserve">ogav, Levy and Hamdan 2014: 507. </w:t>
      </w:r>
    </w:p>
  </w:footnote>
  <w:footnote w:id="35">
    <w:p w14:paraId="635DAB93" w14:textId="20764112" w:rsidR="008562BB" w:rsidRPr="008562BB" w:rsidRDefault="008562BB">
      <w:pPr>
        <w:pStyle w:val="FootnoteText"/>
        <w:rPr>
          <w:rFonts w:ascii="Times" w:hAnsi="Times"/>
          <w:sz w:val="22"/>
          <w:szCs w:val="22"/>
        </w:rPr>
      </w:pPr>
      <w:r w:rsidRPr="008562BB">
        <w:rPr>
          <w:rStyle w:val="FootnoteReference"/>
          <w:rFonts w:ascii="Times" w:hAnsi="Times"/>
          <w:sz w:val="22"/>
          <w:szCs w:val="22"/>
        </w:rPr>
        <w:footnoteRef/>
      </w:r>
      <w:r w:rsidRPr="008562BB">
        <w:rPr>
          <w:rFonts w:ascii="Times" w:hAnsi="Times"/>
          <w:sz w:val="22"/>
          <w:szCs w:val="22"/>
        </w:rPr>
        <w:t xml:space="preserve"> </w:t>
      </w:r>
      <w:r>
        <w:rPr>
          <w:rFonts w:ascii="Times" w:hAnsi="Times"/>
          <w:sz w:val="22"/>
          <w:szCs w:val="22"/>
        </w:rPr>
        <w:t xml:space="preserve">Rogav, Levy and Hamdan 2014: 503. </w:t>
      </w:r>
    </w:p>
  </w:footnote>
  <w:footnote w:id="36">
    <w:p w14:paraId="66BE7F0F" w14:textId="6466C4E1" w:rsidR="008562BB" w:rsidRPr="008562BB" w:rsidRDefault="008562BB">
      <w:pPr>
        <w:pStyle w:val="FootnoteText"/>
        <w:rPr>
          <w:rFonts w:ascii="Times" w:hAnsi="Times"/>
          <w:sz w:val="22"/>
          <w:szCs w:val="22"/>
        </w:rPr>
      </w:pPr>
      <w:r w:rsidRPr="008562BB">
        <w:rPr>
          <w:rStyle w:val="FootnoteReference"/>
          <w:rFonts w:ascii="Times" w:hAnsi="Times"/>
          <w:sz w:val="22"/>
          <w:szCs w:val="22"/>
        </w:rPr>
        <w:footnoteRef/>
      </w:r>
      <w:r w:rsidRPr="008562BB">
        <w:rPr>
          <w:rFonts w:ascii="Times" w:hAnsi="Times"/>
          <w:sz w:val="22"/>
          <w:szCs w:val="22"/>
        </w:rPr>
        <w:t xml:space="preserve"> </w:t>
      </w:r>
      <w:r>
        <w:rPr>
          <w:rFonts w:ascii="Times" w:hAnsi="Times"/>
          <w:sz w:val="22"/>
          <w:szCs w:val="22"/>
        </w:rPr>
        <w:t xml:space="preserve">Görg 2011: 11. </w:t>
      </w:r>
    </w:p>
  </w:footnote>
  <w:footnote w:id="37">
    <w:p w14:paraId="1749648E" w14:textId="2E4B3980" w:rsidR="00A10D75" w:rsidRPr="00BF3FA4" w:rsidRDefault="00A10D75">
      <w:pPr>
        <w:pStyle w:val="FootnoteText"/>
        <w:rPr>
          <w:rFonts w:ascii="Times" w:hAnsi="Times"/>
          <w:sz w:val="22"/>
          <w:szCs w:val="22"/>
        </w:rPr>
      </w:pPr>
      <w:r w:rsidRPr="00BF3FA4">
        <w:rPr>
          <w:rStyle w:val="FootnoteReference"/>
          <w:rFonts w:ascii="Times" w:hAnsi="Times"/>
          <w:sz w:val="22"/>
          <w:szCs w:val="22"/>
        </w:rPr>
        <w:footnoteRef/>
      </w:r>
      <w:r w:rsidRPr="00BF3FA4">
        <w:rPr>
          <w:rFonts w:ascii="Times" w:hAnsi="Times"/>
          <w:sz w:val="22"/>
          <w:szCs w:val="22"/>
        </w:rPr>
        <w:t xml:space="preserve"> The goal being to become the perfect Christian an</w:t>
      </w:r>
      <w:r w:rsidRPr="00F218EF">
        <w:rPr>
          <w:sz w:val="22"/>
          <w:szCs w:val="22"/>
        </w:rPr>
        <w:t>d</w:t>
      </w:r>
      <w:r w:rsidRPr="00BF3FA4">
        <w:rPr>
          <w:rFonts w:ascii="Times" w:hAnsi="Times"/>
          <w:sz w:val="22"/>
          <w:szCs w:val="22"/>
        </w:rPr>
        <w:t xml:space="preserve"> become closer to God through religion. Görg 2011: 11.</w:t>
      </w:r>
    </w:p>
  </w:footnote>
  <w:footnote w:id="38">
    <w:p w14:paraId="120F3D32" w14:textId="187351EA" w:rsidR="00DC40B5" w:rsidRPr="00DC40B5" w:rsidRDefault="00DC40B5">
      <w:pPr>
        <w:pStyle w:val="FootnoteText"/>
        <w:rPr>
          <w:rFonts w:ascii="Times" w:hAnsi="Times"/>
          <w:sz w:val="22"/>
          <w:szCs w:val="22"/>
        </w:rPr>
      </w:pPr>
      <w:r w:rsidRPr="00DC40B5">
        <w:rPr>
          <w:rStyle w:val="FootnoteReference"/>
          <w:rFonts w:ascii="Times" w:hAnsi="Times"/>
          <w:sz w:val="22"/>
          <w:szCs w:val="22"/>
        </w:rPr>
        <w:footnoteRef/>
      </w:r>
      <w:r w:rsidRPr="00DC40B5">
        <w:rPr>
          <w:rFonts w:ascii="Times" w:hAnsi="Times"/>
          <w:sz w:val="22"/>
          <w:szCs w:val="22"/>
        </w:rPr>
        <w:t xml:space="preserve"> </w:t>
      </w:r>
      <w:r>
        <w:rPr>
          <w:rFonts w:ascii="Times" w:hAnsi="Times"/>
          <w:sz w:val="22"/>
          <w:szCs w:val="22"/>
        </w:rPr>
        <w:t xml:space="preserve">Rodav, Levy and Hamdan 2014: 503, argue that individuals can self-harm that are not linked to any psychiatric disorder. </w:t>
      </w:r>
    </w:p>
  </w:footnote>
  <w:footnote w:id="39">
    <w:p w14:paraId="0908E4DE" w14:textId="222AFDB8" w:rsidR="00943899" w:rsidRPr="00233883" w:rsidRDefault="00943899">
      <w:pPr>
        <w:pStyle w:val="FootnoteText"/>
        <w:rPr>
          <w:rFonts w:ascii="Times" w:hAnsi="Times"/>
          <w:sz w:val="22"/>
          <w:szCs w:val="22"/>
        </w:rPr>
      </w:pPr>
      <w:r w:rsidRPr="00BF3FA4">
        <w:rPr>
          <w:rStyle w:val="FootnoteReference"/>
          <w:rFonts w:ascii="Times" w:hAnsi="Times"/>
          <w:sz w:val="22"/>
          <w:szCs w:val="22"/>
        </w:rPr>
        <w:footnoteRef/>
      </w:r>
      <w:r w:rsidRPr="00BF3FA4">
        <w:rPr>
          <w:rFonts w:ascii="Times" w:hAnsi="Times"/>
          <w:sz w:val="22"/>
          <w:szCs w:val="22"/>
        </w:rPr>
        <w:t xml:space="preserve"> </w:t>
      </w:r>
      <w:r w:rsidR="00233883">
        <w:rPr>
          <w:rFonts w:ascii="Times" w:hAnsi="Times"/>
          <w:sz w:val="22"/>
          <w:szCs w:val="22"/>
        </w:rPr>
        <w:t xml:space="preserve">Jer. </w:t>
      </w:r>
      <w:r w:rsidR="00233883">
        <w:rPr>
          <w:rFonts w:ascii="Times" w:hAnsi="Times"/>
          <w:i/>
          <w:sz w:val="22"/>
          <w:szCs w:val="22"/>
        </w:rPr>
        <w:t xml:space="preserve">Ep. </w:t>
      </w:r>
      <w:r w:rsidR="00233883">
        <w:rPr>
          <w:rFonts w:ascii="Times" w:hAnsi="Times"/>
          <w:sz w:val="22"/>
          <w:szCs w:val="22"/>
        </w:rPr>
        <w:t>14. 6, Görg 2011: 16, to become perfect, and to have a strict routine</w:t>
      </w:r>
      <w:r w:rsidR="00B151CF">
        <w:rPr>
          <w:rFonts w:ascii="Times" w:hAnsi="Times"/>
          <w:sz w:val="22"/>
          <w:szCs w:val="22"/>
        </w:rPr>
        <w:t>,</w:t>
      </w:r>
      <w:r w:rsidR="008562BB">
        <w:rPr>
          <w:rFonts w:ascii="Times" w:hAnsi="Times"/>
          <w:sz w:val="22"/>
          <w:szCs w:val="22"/>
        </w:rPr>
        <w:t xml:space="preserve"> points towards a ritual </w:t>
      </w:r>
      <w:r w:rsidR="00233883">
        <w:rPr>
          <w:rFonts w:ascii="Times" w:hAnsi="Times"/>
          <w:sz w:val="22"/>
          <w:szCs w:val="22"/>
        </w:rPr>
        <w:t>to achieve this perfection.</w:t>
      </w:r>
    </w:p>
  </w:footnote>
  <w:footnote w:id="40">
    <w:p w14:paraId="0A26ACB0" w14:textId="729A8A09" w:rsidR="00943899" w:rsidRPr="00BF3FA4" w:rsidRDefault="00943899">
      <w:pPr>
        <w:pStyle w:val="FootnoteText"/>
        <w:rPr>
          <w:rFonts w:ascii="Times" w:hAnsi="Times"/>
          <w:sz w:val="22"/>
          <w:szCs w:val="22"/>
        </w:rPr>
      </w:pPr>
      <w:r w:rsidRPr="00BF3FA4">
        <w:rPr>
          <w:rStyle w:val="FootnoteReference"/>
          <w:rFonts w:ascii="Times" w:hAnsi="Times"/>
          <w:sz w:val="22"/>
          <w:szCs w:val="22"/>
        </w:rPr>
        <w:footnoteRef/>
      </w:r>
      <w:r w:rsidRPr="00BF3FA4">
        <w:rPr>
          <w:rFonts w:ascii="Times" w:hAnsi="Times"/>
          <w:sz w:val="22"/>
          <w:szCs w:val="22"/>
        </w:rPr>
        <w:t xml:space="preserve"> </w:t>
      </w:r>
      <w:r w:rsidR="00233883">
        <w:rPr>
          <w:rFonts w:ascii="Times" w:hAnsi="Times"/>
          <w:sz w:val="22"/>
          <w:szCs w:val="22"/>
        </w:rPr>
        <w:t xml:space="preserve">NHS 2015 – ‘Why people self-harm’, self-harm is attributed to certain feelings, </w:t>
      </w:r>
      <w:r w:rsidR="008562BB">
        <w:rPr>
          <w:rFonts w:ascii="Times" w:hAnsi="Times"/>
          <w:sz w:val="22"/>
          <w:szCs w:val="22"/>
        </w:rPr>
        <w:t xml:space="preserve">and so there is a </w:t>
      </w:r>
      <w:r w:rsidR="00233883">
        <w:rPr>
          <w:rFonts w:ascii="Times" w:hAnsi="Times"/>
          <w:sz w:val="22"/>
          <w:szCs w:val="22"/>
        </w:rPr>
        <w:t>ritualistic element in that when those thoughts and feelings arise the ritual is to hurt oneself.</w:t>
      </w:r>
    </w:p>
  </w:footnote>
  <w:footnote w:id="41">
    <w:p w14:paraId="4EC9F2D9" w14:textId="1316A089" w:rsidR="00436DC2" w:rsidRPr="00BF3FA4" w:rsidRDefault="00436DC2">
      <w:pPr>
        <w:pStyle w:val="FootnoteText"/>
        <w:rPr>
          <w:rFonts w:ascii="Times" w:hAnsi="Times"/>
          <w:sz w:val="22"/>
          <w:szCs w:val="22"/>
        </w:rPr>
      </w:pPr>
      <w:r w:rsidRPr="00BF3FA4">
        <w:rPr>
          <w:rStyle w:val="FootnoteReference"/>
          <w:rFonts w:ascii="Times" w:hAnsi="Times"/>
          <w:sz w:val="22"/>
          <w:szCs w:val="22"/>
        </w:rPr>
        <w:footnoteRef/>
      </w:r>
      <w:r w:rsidRPr="00BF3FA4">
        <w:rPr>
          <w:rFonts w:ascii="Times" w:hAnsi="Times"/>
          <w:sz w:val="22"/>
          <w:szCs w:val="22"/>
        </w:rPr>
        <w:t xml:space="preserve"> </w:t>
      </w:r>
      <w:r w:rsidR="00233883">
        <w:rPr>
          <w:rFonts w:ascii="Times" w:hAnsi="Times"/>
          <w:sz w:val="22"/>
          <w:szCs w:val="22"/>
        </w:rPr>
        <w:t>Görg 2011: 16, ‘His motivation for all this was his conviction…;</w:t>
      </w:r>
    </w:p>
  </w:footnote>
  <w:footnote w:id="42">
    <w:p w14:paraId="69B15B50" w14:textId="377B0CB8" w:rsidR="00BF3FA4" w:rsidRPr="00BF3FA4" w:rsidRDefault="00BF3FA4">
      <w:pPr>
        <w:pStyle w:val="FootnoteText"/>
        <w:rPr>
          <w:rFonts w:ascii="Times" w:hAnsi="Times"/>
          <w:sz w:val="22"/>
          <w:szCs w:val="22"/>
        </w:rPr>
      </w:pPr>
      <w:r w:rsidRPr="00BF3FA4">
        <w:rPr>
          <w:rStyle w:val="FootnoteReference"/>
          <w:rFonts w:ascii="Times" w:hAnsi="Times"/>
          <w:sz w:val="22"/>
          <w:szCs w:val="22"/>
        </w:rPr>
        <w:footnoteRef/>
      </w:r>
      <w:r w:rsidRPr="00BF3FA4">
        <w:rPr>
          <w:rFonts w:ascii="Times" w:hAnsi="Times"/>
          <w:sz w:val="22"/>
          <w:szCs w:val="22"/>
        </w:rPr>
        <w:t xml:space="preserve"> </w:t>
      </w:r>
      <w:r w:rsidR="00233883">
        <w:rPr>
          <w:rFonts w:ascii="Times" w:hAnsi="Times"/>
          <w:sz w:val="22"/>
          <w:szCs w:val="22"/>
        </w:rPr>
        <w:t xml:space="preserve">NHS 2015 - ‘Types of self-harm’, Warm, Murray and Fox 2003: 77. </w:t>
      </w:r>
    </w:p>
  </w:footnote>
  <w:footnote w:id="43">
    <w:p w14:paraId="08CFC418" w14:textId="7266C6FF" w:rsidR="00BF3FA4" w:rsidRPr="00BF3FA4" w:rsidRDefault="00BF3FA4">
      <w:pPr>
        <w:pStyle w:val="FootnoteText"/>
        <w:rPr>
          <w:rFonts w:ascii="Times" w:hAnsi="Times"/>
          <w:sz w:val="22"/>
          <w:szCs w:val="22"/>
        </w:rPr>
      </w:pPr>
      <w:r w:rsidRPr="00BF3FA4">
        <w:rPr>
          <w:rStyle w:val="FootnoteReference"/>
          <w:rFonts w:ascii="Times" w:hAnsi="Times"/>
          <w:sz w:val="22"/>
          <w:szCs w:val="22"/>
        </w:rPr>
        <w:footnoteRef/>
      </w:r>
      <w:r w:rsidRPr="00BF3FA4">
        <w:rPr>
          <w:rFonts w:ascii="Times" w:hAnsi="Times"/>
          <w:sz w:val="22"/>
          <w:szCs w:val="22"/>
        </w:rPr>
        <w:t xml:space="preserve"> </w:t>
      </w:r>
      <w:r w:rsidR="00233883">
        <w:rPr>
          <w:rFonts w:ascii="Times" w:hAnsi="Times"/>
          <w:sz w:val="22"/>
          <w:szCs w:val="22"/>
        </w:rPr>
        <w:t>Warm, Murray and Fox 2003: 77.</w:t>
      </w:r>
    </w:p>
  </w:footnote>
  <w:footnote w:id="44">
    <w:p w14:paraId="07EEB652" w14:textId="205EDAB8" w:rsidR="00436DC2" w:rsidRPr="00BF3FA4" w:rsidRDefault="00436DC2">
      <w:pPr>
        <w:pStyle w:val="FootnoteText"/>
        <w:rPr>
          <w:rFonts w:ascii="Times" w:hAnsi="Times"/>
          <w:sz w:val="22"/>
          <w:szCs w:val="22"/>
        </w:rPr>
      </w:pPr>
      <w:r w:rsidRPr="00BF3FA4">
        <w:rPr>
          <w:rStyle w:val="FootnoteReference"/>
          <w:rFonts w:ascii="Times" w:hAnsi="Times"/>
          <w:sz w:val="22"/>
          <w:szCs w:val="22"/>
        </w:rPr>
        <w:footnoteRef/>
      </w:r>
      <w:r w:rsidRPr="00BF3FA4">
        <w:rPr>
          <w:rFonts w:ascii="Times" w:hAnsi="Times"/>
          <w:sz w:val="22"/>
          <w:szCs w:val="22"/>
        </w:rPr>
        <w:t xml:space="preserve"> </w:t>
      </w:r>
      <w:r w:rsidR="00315CDA">
        <w:rPr>
          <w:rFonts w:ascii="Times" w:hAnsi="Times"/>
          <w:sz w:val="22"/>
          <w:szCs w:val="22"/>
        </w:rPr>
        <w:t>Skegg 200</w:t>
      </w:r>
      <w:r w:rsidR="0078113F">
        <w:rPr>
          <w:rFonts w:ascii="Times" w:hAnsi="Times"/>
          <w:sz w:val="22"/>
          <w:szCs w:val="22"/>
        </w:rPr>
        <w:t xml:space="preserve">5: 1475. ‘Moral objections…’. Religious affiliations showed less evidence of self-harm. </w:t>
      </w:r>
    </w:p>
  </w:footnote>
  <w:footnote w:id="45">
    <w:p w14:paraId="7C1A2155" w14:textId="2AC43AD2" w:rsidR="00436DC2" w:rsidRPr="0078113F" w:rsidRDefault="00436DC2">
      <w:pPr>
        <w:pStyle w:val="FootnoteText"/>
        <w:rPr>
          <w:rFonts w:ascii="Times" w:hAnsi="Times"/>
          <w:sz w:val="22"/>
          <w:szCs w:val="22"/>
        </w:rPr>
      </w:pPr>
      <w:r w:rsidRPr="00BF3FA4">
        <w:rPr>
          <w:rStyle w:val="FootnoteReference"/>
          <w:rFonts w:ascii="Times" w:hAnsi="Times"/>
          <w:sz w:val="22"/>
          <w:szCs w:val="22"/>
        </w:rPr>
        <w:footnoteRef/>
      </w:r>
      <w:r w:rsidRPr="00BF3FA4">
        <w:rPr>
          <w:rFonts w:ascii="Times" w:hAnsi="Times"/>
          <w:sz w:val="22"/>
          <w:szCs w:val="22"/>
        </w:rPr>
        <w:t xml:space="preserve"> </w:t>
      </w:r>
      <w:r w:rsidR="0078113F">
        <w:rPr>
          <w:rFonts w:ascii="Times" w:hAnsi="Times"/>
          <w:sz w:val="22"/>
          <w:szCs w:val="22"/>
        </w:rPr>
        <w:t xml:space="preserve">Görg 2011:11, Jer. </w:t>
      </w:r>
      <w:r w:rsidR="0078113F">
        <w:rPr>
          <w:rFonts w:ascii="Times" w:hAnsi="Times"/>
          <w:i/>
          <w:sz w:val="22"/>
          <w:szCs w:val="22"/>
        </w:rPr>
        <w:t xml:space="preserve">Ep. </w:t>
      </w:r>
      <w:r w:rsidR="0078113F">
        <w:rPr>
          <w:rFonts w:ascii="Times" w:hAnsi="Times"/>
          <w:sz w:val="22"/>
          <w:szCs w:val="22"/>
        </w:rPr>
        <w:t xml:space="preserve">14, 6. </w:t>
      </w:r>
    </w:p>
  </w:footnote>
  <w:footnote w:id="46">
    <w:p w14:paraId="4DB9C000" w14:textId="62DCA725" w:rsidR="00436DC2" w:rsidRPr="00BF3FA4" w:rsidRDefault="00436DC2">
      <w:pPr>
        <w:pStyle w:val="FootnoteText"/>
        <w:rPr>
          <w:rFonts w:ascii="Times" w:hAnsi="Times"/>
          <w:sz w:val="22"/>
          <w:szCs w:val="22"/>
        </w:rPr>
      </w:pPr>
      <w:r w:rsidRPr="00BF3FA4">
        <w:rPr>
          <w:rStyle w:val="FootnoteReference"/>
          <w:rFonts w:ascii="Times" w:hAnsi="Times"/>
          <w:sz w:val="22"/>
          <w:szCs w:val="22"/>
        </w:rPr>
        <w:footnoteRef/>
      </w:r>
      <w:r w:rsidRPr="00BF3FA4">
        <w:rPr>
          <w:rFonts w:ascii="Times" w:hAnsi="Times"/>
          <w:sz w:val="22"/>
          <w:szCs w:val="22"/>
        </w:rPr>
        <w:t xml:space="preserve"> </w:t>
      </w:r>
      <w:r w:rsidR="0078113F">
        <w:rPr>
          <w:rFonts w:ascii="Times" w:hAnsi="Times"/>
          <w:sz w:val="22"/>
          <w:szCs w:val="22"/>
        </w:rPr>
        <w:t xml:space="preserve">NHS 2015 – ‘Why people self-harm’. ‘Self-harm may help them cope with emotional distress’. </w:t>
      </w:r>
    </w:p>
  </w:footnote>
  <w:footnote w:id="47">
    <w:p w14:paraId="4B5BF808" w14:textId="760C3C10" w:rsidR="003E11EA" w:rsidRPr="0078113F" w:rsidRDefault="003E11EA">
      <w:pPr>
        <w:pStyle w:val="FootnoteText"/>
        <w:rPr>
          <w:rFonts w:ascii="Times" w:hAnsi="Times"/>
          <w:sz w:val="22"/>
          <w:szCs w:val="22"/>
        </w:rPr>
      </w:pPr>
      <w:r w:rsidRPr="0078113F">
        <w:rPr>
          <w:rStyle w:val="FootnoteReference"/>
          <w:rFonts w:ascii="Times" w:hAnsi="Times"/>
          <w:sz w:val="22"/>
          <w:szCs w:val="22"/>
        </w:rPr>
        <w:footnoteRef/>
      </w:r>
      <w:r w:rsidRPr="0078113F">
        <w:rPr>
          <w:rFonts w:ascii="Times" w:hAnsi="Times"/>
          <w:sz w:val="22"/>
          <w:szCs w:val="22"/>
        </w:rPr>
        <w:t xml:space="preserve"> </w:t>
      </w:r>
      <w:r w:rsidR="0078113F" w:rsidRPr="0078113F">
        <w:rPr>
          <w:rFonts w:ascii="Times" w:hAnsi="Times"/>
          <w:sz w:val="22"/>
          <w:szCs w:val="22"/>
        </w:rPr>
        <w:t>Je</w:t>
      </w:r>
      <w:r w:rsidR="0078113F">
        <w:rPr>
          <w:rFonts w:ascii="Times" w:hAnsi="Times"/>
          <w:sz w:val="22"/>
          <w:szCs w:val="22"/>
        </w:rPr>
        <w:t xml:space="preserve">r. </w:t>
      </w:r>
      <w:r w:rsidR="0078113F">
        <w:rPr>
          <w:rFonts w:ascii="Times" w:hAnsi="Times"/>
          <w:i/>
          <w:sz w:val="22"/>
          <w:szCs w:val="22"/>
        </w:rPr>
        <w:t xml:space="preserve">Ep. </w:t>
      </w:r>
      <w:r w:rsidR="0078113F">
        <w:rPr>
          <w:rFonts w:ascii="Times" w:hAnsi="Times"/>
          <w:sz w:val="22"/>
          <w:szCs w:val="22"/>
        </w:rPr>
        <w:t xml:space="preserve">14. 6. </w:t>
      </w:r>
    </w:p>
  </w:footnote>
  <w:footnote w:id="48">
    <w:p w14:paraId="28F05406" w14:textId="1243B11F" w:rsidR="0037606F" w:rsidRPr="0037606F" w:rsidRDefault="0037606F">
      <w:pPr>
        <w:pStyle w:val="FootnoteText"/>
        <w:rPr>
          <w:rFonts w:ascii="Times" w:hAnsi="Times"/>
          <w:sz w:val="22"/>
          <w:szCs w:val="22"/>
        </w:rPr>
      </w:pPr>
      <w:r w:rsidRPr="0037606F">
        <w:rPr>
          <w:rStyle w:val="FootnoteReference"/>
          <w:rFonts w:ascii="Times" w:hAnsi="Times"/>
          <w:sz w:val="22"/>
          <w:szCs w:val="22"/>
        </w:rPr>
        <w:footnoteRef/>
      </w:r>
      <w:r w:rsidRPr="0037606F">
        <w:rPr>
          <w:rFonts w:ascii="Times" w:hAnsi="Times"/>
          <w:sz w:val="22"/>
          <w:szCs w:val="22"/>
        </w:rPr>
        <w:t xml:space="preserve"> </w:t>
      </w:r>
      <w:r>
        <w:rPr>
          <w:rFonts w:ascii="Times" w:hAnsi="Times"/>
          <w:sz w:val="22"/>
          <w:szCs w:val="22"/>
        </w:rPr>
        <w:t xml:space="preserve">Theology offers an opinion of gratification of the Lord, whereas self-harm is gratification of the self. </w:t>
      </w:r>
    </w:p>
  </w:footnote>
  <w:footnote w:id="49">
    <w:p w14:paraId="6F811FCB" w14:textId="54DEF409" w:rsidR="00B151CF" w:rsidRPr="00B151CF" w:rsidRDefault="00B151CF">
      <w:pPr>
        <w:pStyle w:val="FootnoteText"/>
        <w:rPr>
          <w:rFonts w:ascii="Times" w:hAnsi="Times"/>
          <w:sz w:val="22"/>
          <w:szCs w:val="22"/>
        </w:rPr>
      </w:pPr>
      <w:r w:rsidRPr="00B151CF">
        <w:rPr>
          <w:rStyle w:val="FootnoteReference"/>
          <w:rFonts w:ascii="Times" w:hAnsi="Times"/>
          <w:sz w:val="22"/>
          <w:szCs w:val="22"/>
        </w:rPr>
        <w:footnoteRef/>
      </w:r>
      <w:r w:rsidRPr="00B151CF">
        <w:rPr>
          <w:rFonts w:ascii="Times" w:hAnsi="Times"/>
          <w:sz w:val="22"/>
          <w:szCs w:val="22"/>
        </w:rPr>
        <w:t xml:space="preserve"> </w:t>
      </w:r>
      <w:r>
        <w:rPr>
          <w:rFonts w:ascii="Times" w:hAnsi="Times"/>
          <w:sz w:val="22"/>
          <w:szCs w:val="22"/>
        </w:rPr>
        <w:t xml:space="preserve">Görg 2011: 16. </w:t>
      </w:r>
    </w:p>
  </w:footnote>
  <w:footnote w:id="50">
    <w:p w14:paraId="468A168E" w14:textId="2FB550AF" w:rsidR="00B151CF" w:rsidRPr="00B151CF" w:rsidRDefault="00B151CF">
      <w:pPr>
        <w:pStyle w:val="FootnoteText"/>
        <w:rPr>
          <w:rFonts w:ascii="Times" w:hAnsi="Times"/>
          <w:sz w:val="22"/>
          <w:szCs w:val="22"/>
        </w:rPr>
      </w:pPr>
      <w:r w:rsidRPr="00B151CF">
        <w:rPr>
          <w:rStyle w:val="FootnoteReference"/>
          <w:rFonts w:ascii="Times" w:hAnsi="Times"/>
          <w:sz w:val="22"/>
          <w:szCs w:val="22"/>
        </w:rPr>
        <w:footnoteRef/>
      </w:r>
      <w:r w:rsidRPr="00B151CF">
        <w:rPr>
          <w:rFonts w:ascii="Times" w:hAnsi="Times"/>
          <w:sz w:val="22"/>
          <w:szCs w:val="22"/>
        </w:rPr>
        <w:t xml:space="preserve"> </w:t>
      </w:r>
      <w:r>
        <w:rPr>
          <w:rFonts w:ascii="Times" w:hAnsi="Times"/>
          <w:sz w:val="22"/>
          <w:szCs w:val="22"/>
        </w:rPr>
        <w:t xml:space="preserve">Jer. </w:t>
      </w:r>
      <w:r>
        <w:rPr>
          <w:rFonts w:ascii="Times" w:hAnsi="Times"/>
          <w:i/>
          <w:sz w:val="22"/>
          <w:szCs w:val="22"/>
        </w:rPr>
        <w:t xml:space="preserve">Ep. </w:t>
      </w:r>
      <w:r>
        <w:rPr>
          <w:rFonts w:ascii="Times" w:hAnsi="Times"/>
          <w:sz w:val="22"/>
          <w:szCs w:val="22"/>
        </w:rPr>
        <w:t>14. 6. ‘A perfect servant of Christ...’.</w:t>
      </w:r>
    </w:p>
  </w:footnote>
  <w:footnote w:id="51">
    <w:p w14:paraId="559B0C38" w14:textId="342D6D1B" w:rsidR="00B151CF" w:rsidRDefault="00B151CF">
      <w:pPr>
        <w:pStyle w:val="FootnoteText"/>
      </w:pPr>
      <w:r w:rsidRPr="00B151CF">
        <w:rPr>
          <w:rStyle w:val="FootnoteReference"/>
          <w:rFonts w:ascii="Times" w:hAnsi="Times"/>
          <w:sz w:val="22"/>
          <w:szCs w:val="22"/>
        </w:rPr>
        <w:footnoteRef/>
      </w:r>
      <w:r w:rsidRPr="00B151CF">
        <w:rPr>
          <w:rFonts w:ascii="Times" w:hAnsi="Times"/>
          <w:sz w:val="22"/>
          <w:szCs w:val="22"/>
        </w:rPr>
        <w:t xml:space="preserve"> NHS 2015 – ‘Why people self-harm’. </w:t>
      </w:r>
    </w:p>
  </w:footnote>
  <w:footnote w:id="52">
    <w:p w14:paraId="4C309F13" w14:textId="77939FBE" w:rsidR="00B151CF" w:rsidRDefault="00B151CF">
      <w:pPr>
        <w:pStyle w:val="FootnoteText"/>
      </w:pPr>
      <w:r w:rsidRPr="008D4FD9">
        <w:rPr>
          <w:rStyle w:val="FootnoteReference"/>
          <w:rFonts w:ascii="Times" w:hAnsi="Times"/>
        </w:rPr>
        <w:footnoteRef/>
      </w:r>
      <w:r w:rsidRPr="008D4FD9">
        <w:rPr>
          <w:rFonts w:ascii="Times" w:hAnsi="Times"/>
        </w:rPr>
        <w:t xml:space="preserve"> </w:t>
      </w:r>
      <w:r w:rsidR="00315CDA">
        <w:rPr>
          <w:rFonts w:ascii="Times" w:hAnsi="Times"/>
          <w:sz w:val="22"/>
          <w:szCs w:val="22"/>
        </w:rPr>
        <w:t>Skegg 200</w:t>
      </w:r>
      <w:r w:rsidRPr="00B151CF">
        <w:rPr>
          <w:rFonts w:ascii="Times" w:hAnsi="Times"/>
          <w:sz w:val="22"/>
          <w:szCs w:val="22"/>
        </w:rPr>
        <w:t>5:</w:t>
      </w:r>
      <w:r>
        <w:t xml:space="preserve"> </w:t>
      </w:r>
      <w:r w:rsidRPr="00B151CF">
        <w:rPr>
          <w:rFonts w:ascii="Times" w:hAnsi="Times"/>
          <w:sz w:val="22"/>
          <w:szCs w:val="22"/>
        </w:rPr>
        <w:t>1475.</w:t>
      </w:r>
      <w:r>
        <w:t xml:space="preserve"> </w:t>
      </w:r>
    </w:p>
  </w:footnote>
  <w:footnote w:id="53">
    <w:p w14:paraId="56A3E92D" w14:textId="3269137E" w:rsidR="009B34F6" w:rsidRPr="009B34F6" w:rsidRDefault="009B34F6">
      <w:pPr>
        <w:pStyle w:val="FootnoteText"/>
        <w:rPr>
          <w:rFonts w:ascii="Times" w:hAnsi="Times"/>
          <w:sz w:val="22"/>
          <w:szCs w:val="22"/>
        </w:rPr>
      </w:pPr>
      <w:r w:rsidRPr="009B34F6">
        <w:rPr>
          <w:rStyle w:val="FootnoteReference"/>
          <w:rFonts w:ascii="Times" w:hAnsi="Times"/>
          <w:sz w:val="22"/>
          <w:szCs w:val="22"/>
        </w:rPr>
        <w:footnoteRef/>
      </w:r>
      <w:r w:rsidRPr="009B34F6">
        <w:rPr>
          <w:rFonts w:ascii="Times" w:hAnsi="Times"/>
          <w:sz w:val="22"/>
          <w:szCs w:val="22"/>
        </w:rPr>
        <w:t xml:space="preserve"> </w:t>
      </w:r>
      <w:r>
        <w:rPr>
          <w:rFonts w:ascii="Times" w:hAnsi="Times"/>
          <w:sz w:val="22"/>
          <w:szCs w:val="22"/>
        </w:rPr>
        <w:t xml:space="preserve">Warm, Murray and Fox 2003: 77, ‘control’. </w:t>
      </w:r>
    </w:p>
  </w:footnote>
  <w:footnote w:id="54">
    <w:p w14:paraId="7FAF35CF" w14:textId="2DAE72B5" w:rsidR="009B34F6" w:rsidRPr="009B34F6" w:rsidRDefault="009B34F6">
      <w:pPr>
        <w:pStyle w:val="FootnoteText"/>
        <w:rPr>
          <w:rFonts w:ascii="Times" w:hAnsi="Times"/>
          <w:sz w:val="22"/>
          <w:szCs w:val="22"/>
        </w:rPr>
      </w:pPr>
      <w:r w:rsidRPr="009B34F6">
        <w:rPr>
          <w:rStyle w:val="FootnoteReference"/>
          <w:rFonts w:ascii="Times" w:hAnsi="Times"/>
          <w:sz w:val="22"/>
          <w:szCs w:val="22"/>
        </w:rPr>
        <w:footnoteRef/>
      </w:r>
      <w:r w:rsidRPr="009B34F6">
        <w:rPr>
          <w:rFonts w:ascii="Times" w:hAnsi="Times"/>
          <w:sz w:val="22"/>
          <w:szCs w:val="22"/>
        </w:rPr>
        <w:t xml:space="preserve"> </w:t>
      </w:r>
      <w:r>
        <w:rPr>
          <w:rFonts w:ascii="Times" w:hAnsi="Times"/>
          <w:sz w:val="22"/>
          <w:szCs w:val="22"/>
        </w:rPr>
        <w:t>Görg 2011: 12. Anthony sought out other peo</w:t>
      </w:r>
      <w:r w:rsidR="008562BB">
        <w:rPr>
          <w:rFonts w:ascii="Times" w:hAnsi="Times"/>
          <w:sz w:val="22"/>
          <w:szCs w:val="22"/>
        </w:rPr>
        <w:t>ple who had explored asceticism.</w:t>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B2014CC" w14:textId="77777777" w:rsidR="00AB3BFB" w:rsidRPr="00AB3BFB" w:rsidRDefault="00AB3BFB">
    <w:pPr>
      <w:pStyle w:val="Header"/>
      <w:rPr>
        <w:rFonts w:ascii="Times" w:hAnsi="Times"/>
      </w:rPr>
    </w:pPr>
    <w:r>
      <w:rPr>
        <w:rFonts w:ascii="Times" w:hAnsi="Times"/>
      </w:rPr>
      <w:t>Hannah Kozdoj – 1502320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6"/>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B3BFB"/>
    <w:rsid w:val="00013703"/>
    <w:rsid w:val="000169BF"/>
    <w:rsid w:val="00027E9C"/>
    <w:rsid w:val="0006209B"/>
    <w:rsid w:val="000845E2"/>
    <w:rsid w:val="000C0343"/>
    <w:rsid w:val="00112F1A"/>
    <w:rsid w:val="00120EC3"/>
    <w:rsid w:val="00144BFB"/>
    <w:rsid w:val="00153F21"/>
    <w:rsid w:val="00174AA9"/>
    <w:rsid w:val="00174B36"/>
    <w:rsid w:val="0018275D"/>
    <w:rsid w:val="001D656A"/>
    <w:rsid w:val="001E6CAB"/>
    <w:rsid w:val="001F2928"/>
    <w:rsid w:val="00211DD7"/>
    <w:rsid w:val="00216F50"/>
    <w:rsid w:val="002235E6"/>
    <w:rsid w:val="00233883"/>
    <w:rsid w:val="002430B0"/>
    <w:rsid w:val="00260421"/>
    <w:rsid w:val="0026284F"/>
    <w:rsid w:val="002703DF"/>
    <w:rsid w:val="00286D45"/>
    <w:rsid w:val="00294048"/>
    <w:rsid w:val="002E1BB5"/>
    <w:rsid w:val="002E2EFD"/>
    <w:rsid w:val="002E5D01"/>
    <w:rsid w:val="002F79F0"/>
    <w:rsid w:val="003140F6"/>
    <w:rsid w:val="00315CDA"/>
    <w:rsid w:val="00365B80"/>
    <w:rsid w:val="0037606F"/>
    <w:rsid w:val="0038239D"/>
    <w:rsid w:val="003C3BE3"/>
    <w:rsid w:val="003D03C7"/>
    <w:rsid w:val="003E11EA"/>
    <w:rsid w:val="00411DAE"/>
    <w:rsid w:val="00436DC2"/>
    <w:rsid w:val="00442A19"/>
    <w:rsid w:val="00477C3E"/>
    <w:rsid w:val="004A24F6"/>
    <w:rsid w:val="004C2FAC"/>
    <w:rsid w:val="004E0E50"/>
    <w:rsid w:val="004F0829"/>
    <w:rsid w:val="004F41C2"/>
    <w:rsid w:val="005149DB"/>
    <w:rsid w:val="00540A49"/>
    <w:rsid w:val="00546930"/>
    <w:rsid w:val="005868EA"/>
    <w:rsid w:val="005A292A"/>
    <w:rsid w:val="005C7F7B"/>
    <w:rsid w:val="00626844"/>
    <w:rsid w:val="00636A3C"/>
    <w:rsid w:val="0066211C"/>
    <w:rsid w:val="0066247F"/>
    <w:rsid w:val="00664588"/>
    <w:rsid w:val="00673DCD"/>
    <w:rsid w:val="00693A04"/>
    <w:rsid w:val="006B0803"/>
    <w:rsid w:val="006C5DAC"/>
    <w:rsid w:val="006D6624"/>
    <w:rsid w:val="006E2056"/>
    <w:rsid w:val="006E3581"/>
    <w:rsid w:val="006F2374"/>
    <w:rsid w:val="00733282"/>
    <w:rsid w:val="0076523F"/>
    <w:rsid w:val="0078113F"/>
    <w:rsid w:val="007826A8"/>
    <w:rsid w:val="00782F91"/>
    <w:rsid w:val="007949FE"/>
    <w:rsid w:val="007968E6"/>
    <w:rsid w:val="00796E4B"/>
    <w:rsid w:val="007F69CB"/>
    <w:rsid w:val="00800E7D"/>
    <w:rsid w:val="00831F07"/>
    <w:rsid w:val="00843893"/>
    <w:rsid w:val="008562BB"/>
    <w:rsid w:val="008610BE"/>
    <w:rsid w:val="00896CFF"/>
    <w:rsid w:val="008A0420"/>
    <w:rsid w:val="008D3D65"/>
    <w:rsid w:val="008D4FD9"/>
    <w:rsid w:val="008F1415"/>
    <w:rsid w:val="00904719"/>
    <w:rsid w:val="0092518B"/>
    <w:rsid w:val="00943899"/>
    <w:rsid w:val="00945A3E"/>
    <w:rsid w:val="00955E63"/>
    <w:rsid w:val="009B075C"/>
    <w:rsid w:val="009B34F6"/>
    <w:rsid w:val="009B5584"/>
    <w:rsid w:val="009C0010"/>
    <w:rsid w:val="009C0D65"/>
    <w:rsid w:val="009C3B52"/>
    <w:rsid w:val="009F189C"/>
    <w:rsid w:val="00A10D75"/>
    <w:rsid w:val="00A11D5B"/>
    <w:rsid w:val="00A81409"/>
    <w:rsid w:val="00A9421E"/>
    <w:rsid w:val="00A9581A"/>
    <w:rsid w:val="00AA0DEA"/>
    <w:rsid w:val="00AB1023"/>
    <w:rsid w:val="00AB3BFB"/>
    <w:rsid w:val="00AC358B"/>
    <w:rsid w:val="00AC4C0B"/>
    <w:rsid w:val="00AC580A"/>
    <w:rsid w:val="00AD155C"/>
    <w:rsid w:val="00AE4F2F"/>
    <w:rsid w:val="00B151CF"/>
    <w:rsid w:val="00B351BD"/>
    <w:rsid w:val="00B45394"/>
    <w:rsid w:val="00B47A01"/>
    <w:rsid w:val="00B5517C"/>
    <w:rsid w:val="00B80523"/>
    <w:rsid w:val="00B9468D"/>
    <w:rsid w:val="00BA0C3E"/>
    <w:rsid w:val="00BE3B63"/>
    <w:rsid w:val="00BF3FA4"/>
    <w:rsid w:val="00C22907"/>
    <w:rsid w:val="00C24E90"/>
    <w:rsid w:val="00C45AA0"/>
    <w:rsid w:val="00CE10D8"/>
    <w:rsid w:val="00CE3FAF"/>
    <w:rsid w:val="00CE6123"/>
    <w:rsid w:val="00CF23C5"/>
    <w:rsid w:val="00D20286"/>
    <w:rsid w:val="00D31DF3"/>
    <w:rsid w:val="00D3704F"/>
    <w:rsid w:val="00D43760"/>
    <w:rsid w:val="00D46C5E"/>
    <w:rsid w:val="00D54584"/>
    <w:rsid w:val="00D61C21"/>
    <w:rsid w:val="00D74468"/>
    <w:rsid w:val="00DA13B1"/>
    <w:rsid w:val="00DA664E"/>
    <w:rsid w:val="00DB4CE5"/>
    <w:rsid w:val="00DC40B5"/>
    <w:rsid w:val="00E112BB"/>
    <w:rsid w:val="00E12A53"/>
    <w:rsid w:val="00E15C60"/>
    <w:rsid w:val="00E25A23"/>
    <w:rsid w:val="00E4092D"/>
    <w:rsid w:val="00E6664A"/>
    <w:rsid w:val="00E90449"/>
    <w:rsid w:val="00EF1D91"/>
    <w:rsid w:val="00F218EF"/>
    <w:rsid w:val="00F225FF"/>
    <w:rsid w:val="00F419A1"/>
    <w:rsid w:val="00FC3C02"/>
    <w:rsid w:val="00FD140D"/>
    <w:rsid w:val="00FE39CB"/>
    <w:rsid w:val="00FE72E1"/>
    <w:rsid w:val="00FE757E"/>
    <w:rsid w:val="00FF4D0A"/>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3F26FF"/>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B3BFB"/>
    <w:pPr>
      <w:tabs>
        <w:tab w:val="center" w:pos="4513"/>
        <w:tab w:val="right" w:pos="9026"/>
      </w:tabs>
    </w:pPr>
  </w:style>
  <w:style w:type="character" w:customStyle="1" w:styleId="HeaderChar">
    <w:name w:val="Header Char"/>
    <w:basedOn w:val="DefaultParagraphFont"/>
    <w:link w:val="Header"/>
    <w:uiPriority w:val="99"/>
    <w:rsid w:val="00AB3BFB"/>
  </w:style>
  <w:style w:type="paragraph" w:styleId="Footer">
    <w:name w:val="footer"/>
    <w:basedOn w:val="Normal"/>
    <w:link w:val="FooterChar"/>
    <w:uiPriority w:val="99"/>
    <w:unhideWhenUsed/>
    <w:rsid w:val="00AB3BFB"/>
    <w:pPr>
      <w:tabs>
        <w:tab w:val="center" w:pos="4513"/>
        <w:tab w:val="right" w:pos="9026"/>
      </w:tabs>
    </w:pPr>
  </w:style>
  <w:style w:type="character" w:customStyle="1" w:styleId="FooterChar">
    <w:name w:val="Footer Char"/>
    <w:basedOn w:val="DefaultParagraphFont"/>
    <w:link w:val="Footer"/>
    <w:uiPriority w:val="99"/>
    <w:rsid w:val="00AB3BFB"/>
  </w:style>
  <w:style w:type="character" w:styleId="PageNumber">
    <w:name w:val="page number"/>
    <w:basedOn w:val="DefaultParagraphFont"/>
    <w:uiPriority w:val="99"/>
    <w:semiHidden/>
    <w:unhideWhenUsed/>
    <w:rsid w:val="002F79F0"/>
  </w:style>
  <w:style w:type="character" w:styleId="Hyperlink">
    <w:name w:val="Hyperlink"/>
    <w:basedOn w:val="DefaultParagraphFont"/>
    <w:uiPriority w:val="99"/>
    <w:unhideWhenUsed/>
    <w:rsid w:val="00E4092D"/>
    <w:rPr>
      <w:color w:val="0563C1" w:themeColor="hyperlink"/>
      <w:u w:val="single"/>
    </w:rPr>
  </w:style>
  <w:style w:type="character" w:styleId="FollowedHyperlink">
    <w:name w:val="FollowedHyperlink"/>
    <w:basedOn w:val="DefaultParagraphFont"/>
    <w:uiPriority w:val="99"/>
    <w:semiHidden/>
    <w:unhideWhenUsed/>
    <w:rsid w:val="003C3BE3"/>
    <w:rPr>
      <w:color w:val="954F72" w:themeColor="followedHyperlink"/>
      <w:u w:val="single"/>
    </w:rPr>
  </w:style>
  <w:style w:type="paragraph" w:styleId="FootnoteText">
    <w:name w:val="footnote text"/>
    <w:basedOn w:val="Normal"/>
    <w:link w:val="FootnoteTextChar"/>
    <w:uiPriority w:val="99"/>
    <w:unhideWhenUsed/>
    <w:rsid w:val="006E3581"/>
  </w:style>
  <w:style w:type="character" w:customStyle="1" w:styleId="FootnoteTextChar">
    <w:name w:val="Footnote Text Char"/>
    <w:basedOn w:val="DefaultParagraphFont"/>
    <w:link w:val="FootnoteText"/>
    <w:uiPriority w:val="99"/>
    <w:rsid w:val="006E3581"/>
  </w:style>
  <w:style w:type="character" w:styleId="FootnoteReference">
    <w:name w:val="footnote reference"/>
    <w:basedOn w:val="DefaultParagraphFont"/>
    <w:uiPriority w:val="99"/>
    <w:unhideWhenUsed/>
    <w:rsid w:val="006E3581"/>
    <w:rPr>
      <w:vertAlign w:val="superscript"/>
    </w:rPr>
  </w:style>
  <w:style w:type="paragraph" w:styleId="EndnoteText">
    <w:name w:val="endnote text"/>
    <w:basedOn w:val="Normal"/>
    <w:link w:val="EndnoteTextChar"/>
    <w:uiPriority w:val="99"/>
    <w:unhideWhenUsed/>
    <w:rsid w:val="00B151CF"/>
  </w:style>
  <w:style w:type="character" w:customStyle="1" w:styleId="EndnoteTextChar">
    <w:name w:val="Endnote Text Char"/>
    <w:basedOn w:val="DefaultParagraphFont"/>
    <w:link w:val="EndnoteText"/>
    <w:uiPriority w:val="99"/>
    <w:rsid w:val="00B151CF"/>
  </w:style>
  <w:style w:type="character" w:styleId="EndnoteReference">
    <w:name w:val="endnote reference"/>
    <w:basedOn w:val="DefaultParagraphFont"/>
    <w:uiPriority w:val="99"/>
    <w:unhideWhenUsed/>
    <w:rsid w:val="00B151C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25263425">
      <w:bodyDiv w:val="1"/>
      <w:marLeft w:val="0"/>
      <w:marRight w:val="0"/>
      <w:marTop w:val="0"/>
      <w:marBottom w:val="0"/>
      <w:divBdr>
        <w:top w:val="none" w:sz="0" w:space="0" w:color="auto"/>
        <w:left w:val="none" w:sz="0" w:space="0" w:color="auto"/>
        <w:bottom w:val="none" w:sz="0" w:space="0" w:color="auto"/>
        <w:right w:val="none" w:sz="0" w:space="0" w:color="auto"/>
      </w:divBdr>
    </w:div>
    <w:div w:id="943264755">
      <w:bodyDiv w:val="1"/>
      <w:marLeft w:val="0"/>
      <w:marRight w:val="0"/>
      <w:marTop w:val="0"/>
      <w:marBottom w:val="0"/>
      <w:divBdr>
        <w:top w:val="none" w:sz="0" w:space="0" w:color="auto"/>
        <w:left w:val="none" w:sz="0" w:space="0" w:color="auto"/>
        <w:bottom w:val="none" w:sz="0" w:space="0" w:color="auto"/>
        <w:right w:val="none" w:sz="0" w:space="0" w:color="auto"/>
      </w:divBdr>
    </w:div>
    <w:div w:id="1431272274">
      <w:bodyDiv w:val="1"/>
      <w:marLeft w:val="0"/>
      <w:marRight w:val="0"/>
      <w:marTop w:val="0"/>
      <w:marBottom w:val="0"/>
      <w:divBdr>
        <w:top w:val="none" w:sz="0" w:space="0" w:color="auto"/>
        <w:left w:val="none" w:sz="0" w:space="0" w:color="auto"/>
        <w:bottom w:val="none" w:sz="0" w:space="0" w:color="auto"/>
        <w:right w:val="none" w:sz="0" w:space="0" w:color="auto"/>
      </w:divBdr>
    </w:div>
    <w:div w:id="2012828357">
      <w:bodyDiv w:val="1"/>
      <w:marLeft w:val="0"/>
      <w:marRight w:val="0"/>
      <w:marTop w:val="0"/>
      <w:marBottom w:val="0"/>
      <w:divBdr>
        <w:top w:val="none" w:sz="0" w:space="0" w:color="auto"/>
        <w:left w:val="none" w:sz="0" w:space="0" w:color="auto"/>
        <w:bottom w:val="none" w:sz="0" w:space="0" w:color="auto"/>
        <w:right w:val="none" w:sz="0" w:space="0" w:color="auto"/>
      </w:divBdr>
    </w:div>
    <w:div w:id="207854920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www.nhs.uk/conditions/self-harm/" TargetMode="External"/><Relationship Id="rId8" Type="http://schemas.openxmlformats.org/officeDocument/2006/relationships/hyperlink" Target="https://www.nhs.uk/conditions/self-harm/" TargetMode="External"/><Relationship Id="rId9" Type="http://schemas.openxmlformats.org/officeDocument/2006/relationships/header" Target="header1.xml"/><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file>

<file path=customXml/itemProps1.xml><?xml version="1.0" encoding="utf-8"?>
<ds:datastoreItem xmlns:ds="http://schemas.openxmlformats.org/officeDocument/2006/customXml" ds:itemID="{EE927C2E-1E83-8C4F-A336-FE5D961824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377</TotalTime>
  <Pages>11</Pages>
  <Words>2638</Words>
  <Characters>13615</Characters>
  <Application>Microsoft Macintosh Word</Application>
  <DocSecurity>0</DocSecurity>
  <Lines>266</Lines>
  <Paragraphs>59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16194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Kozdoj</dc:creator>
  <cp:keywords/>
  <dc:description/>
  <cp:lastModifiedBy>Hannah Kozdoj</cp:lastModifiedBy>
  <cp:revision>80</cp:revision>
  <dcterms:created xsi:type="dcterms:W3CDTF">2017-12-08T18:19:00Z</dcterms:created>
  <dcterms:modified xsi:type="dcterms:W3CDTF">2017-12-11T18:48:00Z</dcterms:modified>
</cp:coreProperties>
</file>