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A33703" w14:textId="3A164E3A" w:rsidR="002F629F" w:rsidRDefault="002F629F" w:rsidP="002F629F">
      <w:pPr>
        <w:pStyle w:val="NormalWeb"/>
        <w:spacing w:before="0" w:beforeAutospacing="0" w:after="0" w:afterAutospacing="0"/>
        <w:ind w:left="-180" w:right="-334"/>
      </w:pPr>
      <w:r>
        <w:rPr>
          <w:noProof/>
          <w:lang w:val="en-US" w:eastAsia="en-US"/>
        </w:rPr>
        <w:drawing>
          <wp:inline distT="0" distB="0" distL="0" distR="0" wp14:anchorId="7DE3AE50" wp14:editId="511552CC">
            <wp:extent cx="1905000" cy="635000"/>
            <wp:effectExtent l="25400" t="25400" r="25400" b="254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6A8242FB" w14:textId="77777777" w:rsidR="002F629F" w:rsidRDefault="002F629F" w:rsidP="002F629F">
      <w:pPr>
        <w:pStyle w:val="NormalWeb"/>
        <w:spacing w:before="0" w:beforeAutospacing="0" w:after="0" w:afterAutospacing="0"/>
        <w:ind w:left="-180" w:right="-334"/>
      </w:pPr>
    </w:p>
    <w:p w14:paraId="22508FAC" w14:textId="77777777" w:rsidR="002F629F" w:rsidRDefault="002F629F" w:rsidP="002F629F">
      <w:pPr>
        <w:pStyle w:val="NormalWeb"/>
        <w:spacing w:before="0" w:beforeAutospacing="0" w:after="0" w:afterAutospacing="0"/>
        <w:ind w:left="-180" w:right="-334"/>
      </w:pPr>
    </w:p>
    <w:p w14:paraId="07A46FF6" w14:textId="77777777" w:rsidR="002F629F" w:rsidRDefault="002F629F" w:rsidP="002F629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A67E5DE" w14:textId="77777777" w:rsidR="002F629F" w:rsidRPr="00230F35" w:rsidRDefault="002F629F" w:rsidP="002F629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EEA43A7" w14:textId="77777777" w:rsidR="002F629F" w:rsidRPr="00230F35" w:rsidRDefault="002F629F" w:rsidP="002F629F">
      <w:pPr>
        <w:rPr>
          <w:rFonts w:ascii="Arial" w:hAnsi="Arial" w:cs="Arial"/>
          <w:sz w:val="28"/>
          <w:szCs w:val="28"/>
          <w:lang w:val="cy-GB"/>
        </w:rPr>
      </w:pPr>
    </w:p>
    <w:p w14:paraId="4C321484" w14:textId="77777777" w:rsidR="002F629F" w:rsidRDefault="002F629F" w:rsidP="002F629F">
      <w:pPr>
        <w:pStyle w:val="Heading3"/>
        <w:jc w:val="center"/>
        <w:rPr>
          <w:lang w:val="cy-GB"/>
        </w:rPr>
      </w:pPr>
      <w:r>
        <w:rPr>
          <w:lang w:val="cy-GB"/>
        </w:rPr>
        <w:t>THIS SHEET MUST BE THE FIRST PAGE OF THE ASSIGNMENT YOU ARE SUBMITTING  (DO NOT SEND AS A SEPARATE FILE)</w:t>
      </w:r>
    </w:p>
    <w:p w14:paraId="3849E44B" w14:textId="77777777" w:rsidR="002F629F" w:rsidRDefault="002F629F" w:rsidP="002F629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F629F" w:rsidRPr="00230F35" w14:paraId="62759272" w14:textId="77777777" w:rsidTr="00347841">
        <w:trPr>
          <w:trHeight w:val="614"/>
        </w:trPr>
        <w:tc>
          <w:tcPr>
            <w:tcW w:w="8856" w:type="dxa"/>
            <w:gridSpan w:val="5"/>
          </w:tcPr>
          <w:p w14:paraId="05C7F102" w14:textId="77777777" w:rsidR="002F629F" w:rsidRPr="00230F35" w:rsidRDefault="002F629F" w:rsidP="0034784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F629F" w:rsidRPr="00230F35" w14:paraId="3E976622" w14:textId="77777777" w:rsidTr="00347841">
        <w:trPr>
          <w:trHeight w:val="718"/>
        </w:trPr>
        <w:tc>
          <w:tcPr>
            <w:tcW w:w="8856" w:type="dxa"/>
            <w:gridSpan w:val="5"/>
          </w:tcPr>
          <w:p w14:paraId="53800C82" w14:textId="77777777" w:rsidR="002F629F" w:rsidRDefault="002F629F" w:rsidP="003478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Pr="00197D08">
              <w:rPr>
                <w:rFonts w:ascii="Arial" w:hAnsi="Arial" w:cs="Arial"/>
                <w:b/>
                <w:sz w:val="22"/>
                <w:szCs w:val="22"/>
              </w:rPr>
              <w:t>Selina White</w:t>
            </w:r>
          </w:p>
          <w:p w14:paraId="726CC30C" w14:textId="77777777" w:rsidR="002F629F" w:rsidRPr="00230F35" w:rsidRDefault="002F629F" w:rsidP="00347841">
            <w:pPr>
              <w:pStyle w:val="NormalWeb"/>
              <w:spacing w:before="0" w:beforeAutospacing="0" w:after="0" w:afterAutospacing="0"/>
              <w:ind w:right="34"/>
              <w:rPr>
                <w:rFonts w:ascii="Arial" w:hAnsi="Arial" w:cs="Arial"/>
                <w:sz w:val="22"/>
                <w:szCs w:val="22"/>
              </w:rPr>
            </w:pPr>
          </w:p>
          <w:p w14:paraId="51838BCF" w14:textId="77777777" w:rsidR="002F629F" w:rsidRPr="00230F35" w:rsidRDefault="002F629F" w:rsidP="003478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197D08">
              <w:rPr>
                <w:rFonts w:ascii="Arial" w:hAnsi="Arial" w:cs="Arial"/>
                <w:b/>
                <w:sz w:val="22"/>
                <w:szCs w:val="22"/>
              </w:rPr>
              <w:t>1602253@student.uwtsd.ac.uk</w:t>
            </w:r>
          </w:p>
        </w:tc>
      </w:tr>
      <w:tr w:rsidR="002F629F" w:rsidRPr="00230F35" w14:paraId="78CBDCCA" w14:textId="77777777" w:rsidTr="00347841">
        <w:trPr>
          <w:trHeight w:val="849"/>
        </w:trPr>
        <w:tc>
          <w:tcPr>
            <w:tcW w:w="4788" w:type="dxa"/>
          </w:tcPr>
          <w:p w14:paraId="5135E956" w14:textId="77777777" w:rsidR="002F629F" w:rsidRPr="00230F35" w:rsidRDefault="002F629F" w:rsidP="003478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197D08">
              <w:rPr>
                <w:rFonts w:ascii="Arial" w:hAnsi="Arial" w:cs="Arial"/>
                <w:b/>
                <w:sz w:val="22"/>
                <w:szCs w:val="22"/>
              </w:rPr>
              <w:t>AHAN70</w:t>
            </w:r>
            <w:r>
              <w:rPr>
                <w:rFonts w:ascii="Arial" w:hAnsi="Arial" w:cs="Arial"/>
                <w:b/>
                <w:sz w:val="22"/>
                <w:szCs w:val="22"/>
              </w:rPr>
              <w:t>11</w:t>
            </w:r>
          </w:p>
          <w:p w14:paraId="1C4570EB" w14:textId="77777777" w:rsidR="002F629F" w:rsidRPr="00230F35" w:rsidRDefault="002F629F" w:rsidP="00347841">
            <w:pPr>
              <w:pStyle w:val="NormalWeb"/>
              <w:spacing w:before="0" w:beforeAutospacing="0" w:after="0" w:afterAutospacing="0"/>
              <w:ind w:right="34"/>
              <w:rPr>
                <w:rFonts w:ascii="Arial" w:hAnsi="Arial" w:cs="Arial"/>
                <w:sz w:val="22"/>
                <w:szCs w:val="22"/>
              </w:rPr>
            </w:pPr>
          </w:p>
          <w:p w14:paraId="2F09B7B2" w14:textId="77777777" w:rsidR="002F629F" w:rsidRDefault="002F629F" w:rsidP="003478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Pr>
                <w:rFonts w:ascii="Arial" w:hAnsi="Arial" w:cs="Arial"/>
                <w:b/>
                <w:sz w:val="22"/>
                <w:szCs w:val="22"/>
              </w:rPr>
              <w:t>Cosmology Magic and Divination in the Classical World</w:t>
            </w:r>
          </w:p>
          <w:p w14:paraId="22D8F6B7" w14:textId="77777777" w:rsidR="002F629F" w:rsidRDefault="002F629F" w:rsidP="00347841">
            <w:pPr>
              <w:pStyle w:val="NormalWeb"/>
              <w:spacing w:before="0" w:beforeAutospacing="0" w:after="0" w:afterAutospacing="0"/>
              <w:ind w:right="34"/>
              <w:rPr>
                <w:rFonts w:ascii="Arial" w:hAnsi="Arial" w:cs="Arial"/>
                <w:sz w:val="22"/>
                <w:szCs w:val="22"/>
              </w:rPr>
            </w:pPr>
          </w:p>
          <w:p w14:paraId="787D9628" w14:textId="77777777" w:rsidR="002F629F" w:rsidRPr="00230F35" w:rsidRDefault="002F629F" w:rsidP="00347841">
            <w:pPr>
              <w:pStyle w:val="NormalWeb"/>
              <w:spacing w:before="0" w:beforeAutospacing="0" w:after="0" w:afterAutospacing="0"/>
              <w:ind w:right="34"/>
              <w:rPr>
                <w:rFonts w:ascii="Arial" w:hAnsi="Arial" w:cs="Arial"/>
                <w:sz w:val="22"/>
                <w:szCs w:val="22"/>
              </w:rPr>
            </w:pPr>
          </w:p>
        </w:tc>
        <w:tc>
          <w:tcPr>
            <w:tcW w:w="2266" w:type="dxa"/>
            <w:gridSpan w:val="3"/>
          </w:tcPr>
          <w:p w14:paraId="04F667E8" w14:textId="77777777" w:rsidR="002F629F" w:rsidRPr="00230F35" w:rsidRDefault="002F629F" w:rsidP="003478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r w:rsidRPr="00197D08">
              <w:rPr>
                <w:rFonts w:ascii="Arial" w:hAnsi="Arial" w:cs="Arial"/>
                <w:b/>
                <w:sz w:val="22"/>
                <w:szCs w:val="22"/>
              </w:rPr>
              <w:t>1602253</w:t>
            </w:r>
          </w:p>
        </w:tc>
        <w:tc>
          <w:tcPr>
            <w:tcW w:w="1802" w:type="dxa"/>
          </w:tcPr>
          <w:p w14:paraId="7BFCEDFE" w14:textId="77777777" w:rsidR="002F629F" w:rsidRPr="00230F35" w:rsidRDefault="002F629F" w:rsidP="003478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1432AC0" w14:textId="77777777" w:rsidR="002F629F" w:rsidRPr="00197D08" w:rsidRDefault="002F629F" w:rsidP="00347841">
            <w:pPr>
              <w:pStyle w:val="NormalWeb"/>
              <w:spacing w:before="0" w:beforeAutospacing="0" w:after="0" w:afterAutospacing="0"/>
              <w:ind w:right="34"/>
              <w:rPr>
                <w:rFonts w:ascii="Arial" w:hAnsi="Arial" w:cs="Arial"/>
                <w:b/>
                <w:sz w:val="22"/>
                <w:szCs w:val="22"/>
              </w:rPr>
            </w:pPr>
            <w:r w:rsidRPr="00197D08">
              <w:rPr>
                <w:rFonts w:ascii="Arial" w:hAnsi="Arial" w:cs="Arial"/>
                <w:b/>
                <w:sz w:val="22"/>
                <w:szCs w:val="22"/>
              </w:rPr>
              <w:t>No</w:t>
            </w:r>
          </w:p>
        </w:tc>
      </w:tr>
      <w:tr w:rsidR="002F629F" w:rsidRPr="00230F35" w14:paraId="04709832" w14:textId="77777777" w:rsidTr="00347841">
        <w:trPr>
          <w:trHeight w:val="1139"/>
        </w:trPr>
        <w:tc>
          <w:tcPr>
            <w:tcW w:w="8856" w:type="dxa"/>
            <w:gridSpan w:val="5"/>
          </w:tcPr>
          <w:p w14:paraId="3FE237CE" w14:textId="77777777" w:rsidR="002F629F" w:rsidRPr="00406439" w:rsidRDefault="002F629F" w:rsidP="00347841">
            <w:pPr>
              <w:rPr>
                <w:rFonts w:ascii="Arial" w:hAnsi="Arial" w:cs="Arial"/>
                <w:b/>
                <w:i/>
                <w:sz w:val="22"/>
                <w:szCs w:val="22"/>
              </w:rPr>
            </w:pPr>
            <w:r w:rsidRPr="00230F35">
              <w:rPr>
                <w:rFonts w:ascii="Arial" w:hAnsi="Arial" w:cs="Arial"/>
                <w:sz w:val="22"/>
                <w:szCs w:val="22"/>
              </w:rPr>
              <w:t>Assignment title:</w:t>
            </w:r>
            <w:r>
              <w:rPr>
                <w:rFonts w:ascii="Arial" w:hAnsi="Arial" w:cs="Arial"/>
                <w:sz w:val="22"/>
                <w:szCs w:val="22"/>
              </w:rPr>
              <w:t xml:space="preserve"> </w:t>
            </w:r>
            <w:r w:rsidRPr="0060412C">
              <w:rPr>
                <w:rFonts w:ascii="Arial" w:hAnsi="Arial" w:cs="Arial"/>
                <w:b/>
                <w:sz w:val="22"/>
                <w:szCs w:val="22"/>
              </w:rPr>
              <w:t xml:space="preserve">A </w:t>
            </w:r>
            <w:r>
              <w:rPr>
                <w:rFonts w:ascii="Arial" w:hAnsi="Arial" w:cs="Arial"/>
                <w:b/>
                <w:sz w:val="22"/>
                <w:szCs w:val="22"/>
              </w:rPr>
              <w:t xml:space="preserve">Critical Review of </w:t>
            </w:r>
            <w:r w:rsidRPr="00406439">
              <w:rPr>
                <w:rFonts w:ascii="Arial" w:hAnsi="Arial" w:cs="Arial"/>
                <w:b/>
                <w:sz w:val="22"/>
                <w:szCs w:val="22"/>
              </w:rPr>
              <w:t xml:space="preserve">Iamblichus’ arguments for divination in </w:t>
            </w:r>
            <w:r w:rsidRPr="00406439">
              <w:rPr>
                <w:rFonts w:ascii="Arial" w:hAnsi="Arial" w:cs="Arial"/>
                <w:b/>
                <w:i/>
                <w:sz w:val="22"/>
                <w:szCs w:val="22"/>
              </w:rPr>
              <w:t>De mysteriis</w:t>
            </w:r>
            <w:r>
              <w:rPr>
                <w:rFonts w:ascii="Arial" w:hAnsi="Arial" w:cs="Arial"/>
                <w:b/>
                <w:i/>
                <w:sz w:val="22"/>
                <w:szCs w:val="22"/>
              </w:rPr>
              <w:t>.</w:t>
            </w:r>
          </w:p>
          <w:p w14:paraId="6483AE94" w14:textId="77777777" w:rsidR="002F629F" w:rsidRPr="00406439" w:rsidRDefault="002F629F" w:rsidP="00347841">
            <w:pPr>
              <w:rPr>
                <w:rFonts w:ascii="Arial" w:hAnsi="Arial" w:cs="Arial"/>
                <w:b/>
                <w:sz w:val="22"/>
                <w:szCs w:val="22"/>
              </w:rPr>
            </w:pPr>
          </w:p>
          <w:p w14:paraId="2ACD4E51" w14:textId="77777777" w:rsidR="002F629F" w:rsidRPr="00197D08" w:rsidRDefault="002F629F" w:rsidP="00347841">
            <w:pPr>
              <w:pStyle w:val="NormalWeb"/>
              <w:spacing w:before="0" w:beforeAutospacing="0" w:after="0" w:afterAutospacing="0"/>
              <w:ind w:right="34"/>
              <w:rPr>
                <w:rFonts w:ascii="Arial" w:hAnsi="Arial" w:cs="Arial"/>
                <w:b/>
                <w:sz w:val="22"/>
                <w:szCs w:val="22"/>
              </w:rPr>
            </w:pPr>
          </w:p>
          <w:p w14:paraId="21423825" w14:textId="77777777" w:rsidR="002F629F" w:rsidRPr="00230F35" w:rsidRDefault="002F629F" w:rsidP="003478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Pr="00C444D8">
              <w:rPr>
                <w:rFonts w:ascii="Arial" w:hAnsi="Arial" w:cs="Arial"/>
                <w:sz w:val="22"/>
                <w:szCs w:val="22"/>
              </w:rPr>
              <w:t>:</w:t>
            </w:r>
            <w:r w:rsidRPr="00C444D8">
              <w:rPr>
                <w:rFonts w:ascii="Arial" w:hAnsi="Arial" w:cs="Arial"/>
                <w:b/>
                <w:sz w:val="22"/>
                <w:szCs w:val="22"/>
              </w:rPr>
              <w:t xml:space="preserve"> </w:t>
            </w:r>
            <w:r>
              <w:rPr>
                <w:rFonts w:ascii="Arial" w:hAnsi="Arial" w:cs="Arial"/>
                <w:b/>
                <w:sz w:val="22"/>
                <w:szCs w:val="22"/>
              </w:rPr>
              <w:t>4</w:t>
            </w:r>
            <w:r w:rsidRPr="00C444D8">
              <w:rPr>
                <w:rFonts w:ascii="Arial" w:hAnsi="Arial" w:cs="Arial"/>
                <w:b/>
                <w:sz w:val="22"/>
                <w:szCs w:val="22"/>
                <w:vertAlign w:val="superscript"/>
              </w:rPr>
              <w:t>th</w:t>
            </w:r>
            <w:r>
              <w:rPr>
                <w:rFonts w:ascii="Arial" w:hAnsi="Arial" w:cs="Arial"/>
                <w:sz w:val="22"/>
                <w:szCs w:val="22"/>
              </w:rPr>
              <w:t xml:space="preserve"> </w:t>
            </w:r>
            <w:r>
              <w:rPr>
                <w:rFonts w:ascii="Arial" w:hAnsi="Arial" w:cs="Arial"/>
                <w:b/>
                <w:sz w:val="22"/>
                <w:szCs w:val="22"/>
              </w:rPr>
              <w:t>June 2018 23.55</w:t>
            </w:r>
            <w:r w:rsidRPr="00197D08">
              <w:rPr>
                <w:rFonts w:ascii="Arial" w:hAnsi="Arial" w:cs="Arial"/>
                <w:b/>
                <w:sz w:val="22"/>
                <w:szCs w:val="22"/>
              </w:rPr>
              <w:t xml:space="preserve"> GMT</w:t>
            </w:r>
          </w:p>
        </w:tc>
      </w:tr>
      <w:tr w:rsidR="002F629F" w:rsidRPr="00230F35" w14:paraId="74A89286" w14:textId="77777777" w:rsidTr="00347841">
        <w:trPr>
          <w:trHeight w:val="978"/>
        </w:trPr>
        <w:tc>
          <w:tcPr>
            <w:tcW w:w="8856" w:type="dxa"/>
            <w:gridSpan w:val="5"/>
            <w:tcBorders>
              <w:bottom w:val="single" w:sz="4" w:space="0" w:color="000000"/>
            </w:tcBorders>
          </w:tcPr>
          <w:p w14:paraId="6E8B64D8" w14:textId="77777777" w:rsidR="002F629F" w:rsidRPr="00230F35" w:rsidRDefault="002F629F" w:rsidP="00347841">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b/>
                <w:sz w:val="22"/>
                <w:szCs w:val="22"/>
              </w:rPr>
              <w:t xml:space="preserve"> </w:t>
            </w:r>
            <w:r>
              <w:rPr>
                <w:rFonts w:ascii="Arial" w:hAnsi="Arial" w:cs="Arial"/>
                <w:sz w:val="22"/>
                <w:szCs w:val="22"/>
              </w:rPr>
              <w:sym w:font="Wingdings 2" w:char="F052"/>
            </w:r>
            <w:r w:rsidRPr="00230F35">
              <w:rPr>
                <w:rFonts w:ascii="Arial" w:hAnsi="Arial" w:cs="Arial"/>
                <w:sz w:val="22"/>
                <w:szCs w:val="22"/>
              </w:rPr>
              <w:t xml:space="preserve"> </w:t>
            </w:r>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2F629F" w:rsidRPr="00230F35" w14:paraId="1E4A069E" w14:textId="77777777" w:rsidTr="00347841">
        <w:trPr>
          <w:trHeight w:val="978"/>
        </w:trPr>
        <w:tc>
          <w:tcPr>
            <w:tcW w:w="8856" w:type="dxa"/>
            <w:gridSpan w:val="5"/>
            <w:shd w:val="clear" w:color="auto" w:fill="D9D9D9"/>
          </w:tcPr>
          <w:p w14:paraId="020A19CA" w14:textId="77777777" w:rsidR="002F629F" w:rsidRPr="00230F35" w:rsidRDefault="002F629F" w:rsidP="003478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88C1EA4" w14:textId="77777777" w:rsidR="002F629F" w:rsidRDefault="002F629F" w:rsidP="0034784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Pr="00197D08">
              <w:rPr>
                <w:rFonts w:ascii="Arial" w:hAnsi="Arial" w:cs="Arial"/>
                <w:b/>
                <w:i/>
                <w:sz w:val="22"/>
                <w:szCs w:val="22"/>
              </w:rPr>
              <w:t>Selina White</w:t>
            </w:r>
            <w:r w:rsidRPr="00230F35">
              <w:rPr>
                <w:rFonts w:ascii="Arial" w:hAnsi="Arial" w:cs="Arial"/>
                <w:sz w:val="22"/>
                <w:szCs w:val="22"/>
              </w:rPr>
              <w:t>………………………………………………</w:t>
            </w:r>
          </w:p>
          <w:p w14:paraId="128065A1" w14:textId="77777777" w:rsidR="002F629F" w:rsidRDefault="002F629F" w:rsidP="0034784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sym w:font="Wingdings 2" w:char="F052"/>
            </w:r>
          </w:p>
          <w:p w14:paraId="62C7991E" w14:textId="77777777" w:rsidR="002F629F" w:rsidRPr="00230F35" w:rsidRDefault="002F629F" w:rsidP="0034784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2F629F" w:rsidRPr="00230F35" w14:paraId="39323E08" w14:textId="77777777" w:rsidTr="00347841">
        <w:trPr>
          <w:trHeight w:val="3972"/>
        </w:trPr>
        <w:tc>
          <w:tcPr>
            <w:tcW w:w="8856" w:type="dxa"/>
            <w:gridSpan w:val="5"/>
          </w:tcPr>
          <w:p w14:paraId="18EC9266" w14:textId="77777777" w:rsidR="002F629F" w:rsidRDefault="002F629F" w:rsidP="00347841">
            <w:pPr>
              <w:rPr>
                <w:rFonts w:ascii="Arial" w:hAnsi="Arial"/>
                <w:b/>
              </w:rPr>
            </w:pPr>
          </w:p>
          <w:p w14:paraId="46B912F8" w14:textId="77777777" w:rsidR="002F629F" w:rsidRPr="00116CE6" w:rsidRDefault="002F629F" w:rsidP="0034784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F629F" w:rsidRPr="00116CE6" w14:paraId="704F02FB" w14:textId="77777777" w:rsidTr="00347841">
              <w:tc>
                <w:tcPr>
                  <w:tcW w:w="6970" w:type="dxa"/>
                </w:tcPr>
                <w:p w14:paraId="45198B9C" w14:textId="77777777" w:rsidR="002F629F" w:rsidRPr="00116CE6" w:rsidRDefault="002F629F" w:rsidP="00347841">
                  <w:pPr>
                    <w:rPr>
                      <w:rFonts w:ascii="Arial" w:hAnsi="Arial"/>
                      <w:sz w:val="20"/>
                      <w:szCs w:val="20"/>
                    </w:rPr>
                  </w:pPr>
                </w:p>
                <w:p w14:paraId="000DBF82" w14:textId="77777777" w:rsidR="002F629F" w:rsidRPr="00116CE6" w:rsidRDefault="002F629F" w:rsidP="0034784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A789DEB" w14:textId="77777777" w:rsidR="002F629F" w:rsidRPr="00116CE6" w:rsidRDefault="002F629F" w:rsidP="00347841">
                  <w:pPr>
                    <w:rPr>
                      <w:rFonts w:ascii="Arial" w:hAnsi="Arial"/>
                      <w:sz w:val="20"/>
                      <w:szCs w:val="20"/>
                    </w:rPr>
                  </w:pPr>
                </w:p>
              </w:tc>
            </w:tr>
            <w:tr w:rsidR="002F629F" w:rsidRPr="00116CE6" w14:paraId="443D7B3B" w14:textId="77777777" w:rsidTr="00347841">
              <w:tc>
                <w:tcPr>
                  <w:tcW w:w="6970" w:type="dxa"/>
                </w:tcPr>
                <w:p w14:paraId="22325105" w14:textId="77777777" w:rsidR="002F629F" w:rsidRPr="00116CE6" w:rsidRDefault="002F629F" w:rsidP="00347841">
                  <w:pPr>
                    <w:rPr>
                      <w:rFonts w:ascii="Arial" w:hAnsi="Arial"/>
                      <w:sz w:val="20"/>
                      <w:szCs w:val="20"/>
                    </w:rPr>
                  </w:pPr>
                </w:p>
                <w:p w14:paraId="7F5AEDC7" w14:textId="77777777" w:rsidR="002F629F" w:rsidRPr="00116CE6" w:rsidRDefault="002F629F" w:rsidP="0034784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E60D7A3" w14:textId="77777777" w:rsidR="002F629F" w:rsidRPr="00116CE6" w:rsidRDefault="002F629F" w:rsidP="00347841">
                  <w:pPr>
                    <w:rPr>
                      <w:rFonts w:ascii="Arial" w:hAnsi="Arial"/>
                      <w:sz w:val="20"/>
                      <w:szCs w:val="20"/>
                    </w:rPr>
                  </w:pPr>
                </w:p>
              </w:tc>
            </w:tr>
            <w:tr w:rsidR="002F629F" w:rsidRPr="00116CE6" w14:paraId="54BFAA1C" w14:textId="77777777" w:rsidTr="00347841">
              <w:tc>
                <w:tcPr>
                  <w:tcW w:w="6970" w:type="dxa"/>
                </w:tcPr>
                <w:p w14:paraId="05AD594F" w14:textId="77777777" w:rsidR="002F629F" w:rsidRPr="00116CE6" w:rsidRDefault="002F629F" w:rsidP="00347841">
                  <w:pPr>
                    <w:rPr>
                      <w:rFonts w:ascii="Arial" w:hAnsi="Arial"/>
                      <w:sz w:val="20"/>
                      <w:szCs w:val="20"/>
                    </w:rPr>
                  </w:pPr>
                </w:p>
                <w:p w14:paraId="6647DB20" w14:textId="77777777" w:rsidR="002F629F" w:rsidRPr="00116CE6" w:rsidRDefault="002F629F" w:rsidP="0034784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DAE5A00" w14:textId="77777777" w:rsidR="002F629F" w:rsidRPr="00116CE6" w:rsidRDefault="002F629F" w:rsidP="00347841">
                  <w:pPr>
                    <w:rPr>
                      <w:rFonts w:ascii="Arial" w:hAnsi="Arial"/>
                      <w:sz w:val="20"/>
                      <w:szCs w:val="20"/>
                    </w:rPr>
                  </w:pPr>
                </w:p>
              </w:tc>
            </w:tr>
            <w:tr w:rsidR="002F629F" w:rsidRPr="00116CE6" w14:paraId="6886BC9E" w14:textId="77777777" w:rsidTr="00347841">
              <w:tc>
                <w:tcPr>
                  <w:tcW w:w="6970" w:type="dxa"/>
                </w:tcPr>
                <w:p w14:paraId="57EDD49A" w14:textId="77777777" w:rsidR="002F629F" w:rsidRDefault="002F629F" w:rsidP="00347841">
                  <w:pPr>
                    <w:rPr>
                      <w:rFonts w:ascii="Arial" w:hAnsi="Arial"/>
                      <w:sz w:val="20"/>
                      <w:szCs w:val="20"/>
                    </w:rPr>
                  </w:pPr>
                </w:p>
                <w:p w14:paraId="5A020F61" w14:textId="77777777" w:rsidR="002F629F" w:rsidRPr="00022345" w:rsidRDefault="002F629F" w:rsidP="00347841">
                  <w:pPr>
                    <w:rPr>
                      <w:rFonts w:ascii="Arial" w:hAnsi="Arial"/>
                      <w:b/>
                      <w:sz w:val="20"/>
                      <w:szCs w:val="20"/>
                    </w:rPr>
                  </w:pPr>
                  <w:r w:rsidRPr="00022345">
                    <w:rPr>
                      <w:rFonts w:ascii="Arial" w:hAnsi="Arial"/>
                      <w:b/>
                      <w:sz w:val="20"/>
                      <w:szCs w:val="20"/>
                    </w:rPr>
                    <w:t>Final Mark</w:t>
                  </w:r>
                </w:p>
                <w:p w14:paraId="1C14EA9C" w14:textId="77777777" w:rsidR="002F629F" w:rsidRPr="00116CE6" w:rsidRDefault="002F629F" w:rsidP="00347841">
                  <w:pPr>
                    <w:rPr>
                      <w:rFonts w:ascii="Arial" w:hAnsi="Arial"/>
                      <w:sz w:val="20"/>
                      <w:szCs w:val="20"/>
                    </w:rPr>
                  </w:pPr>
                </w:p>
              </w:tc>
              <w:tc>
                <w:tcPr>
                  <w:tcW w:w="1660" w:type="dxa"/>
                </w:tcPr>
                <w:p w14:paraId="69792B80" w14:textId="77777777" w:rsidR="002F629F" w:rsidRPr="00116CE6" w:rsidRDefault="002F629F" w:rsidP="00347841">
                  <w:pPr>
                    <w:rPr>
                      <w:rFonts w:ascii="Arial" w:hAnsi="Arial"/>
                      <w:sz w:val="20"/>
                      <w:szCs w:val="20"/>
                    </w:rPr>
                  </w:pPr>
                </w:p>
              </w:tc>
            </w:tr>
          </w:tbl>
          <w:p w14:paraId="13FEE18D" w14:textId="77777777" w:rsidR="002F629F" w:rsidRDefault="002F629F" w:rsidP="00347841">
            <w:pPr>
              <w:pStyle w:val="NormalWeb"/>
              <w:spacing w:before="0" w:beforeAutospacing="0" w:after="0" w:afterAutospacing="0"/>
              <w:ind w:left="142" w:right="34"/>
              <w:rPr>
                <w:rFonts w:ascii="Arial" w:hAnsi="Arial" w:cs="Arial"/>
                <w:b/>
                <w:sz w:val="22"/>
                <w:szCs w:val="22"/>
              </w:rPr>
            </w:pPr>
          </w:p>
          <w:p w14:paraId="341FA422" w14:textId="77777777" w:rsidR="002F629F" w:rsidRPr="00230F35" w:rsidRDefault="002F629F" w:rsidP="0034784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CE871E3" w14:textId="77777777" w:rsidR="002F629F" w:rsidRDefault="002F629F" w:rsidP="00347841">
            <w:pPr>
              <w:pStyle w:val="NormalWeb"/>
              <w:spacing w:before="0" w:beforeAutospacing="0" w:after="0" w:afterAutospacing="0"/>
              <w:rPr>
                <w:rFonts w:ascii="Arial" w:hAnsi="Arial" w:cs="Arial"/>
                <w:b/>
                <w:sz w:val="22"/>
                <w:szCs w:val="22"/>
              </w:rPr>
            </w:pPr>
          </w:p>
          <w:p w14:paraId="3C65DA85" w14:textId="77777777" w:rsidR="002F629F" w:rsidRDefault="002F629F" w:rsidP="00347841">
            <w:pPr>
              <w:pStyle w:val="NormalWeb"/>
              <w:spacing w:before="0" w:beforeAutospacing="0" w:after="0" w:afterAutospacing="0"/>
              <w:rPr>
                <w:rFonts w:ascii="Arial" w:hAnsi="Arial" w:cs="Arial"/>
                <w:b/>
                <w:sz w:val="22"/>
                <w:szCs w:val="22"/>
              </w:rPr>
            </w:pPr>
          </w:p>
          <w:p w14:paraId="2A7CFDFA" w14:textId="77777777" w:rsidR="002F629F" w:rsidRDefault="002F629F" w:rsidP="00347841">
            <w:pPr>
              <w:pStyle w:val="NormalWeb"/>
              <w:spacing w:before="0" w:beforeAutospacing="0" w:after="0" w:afterAutospacing="0"/>
              <w:rPr>
                <w:rFonts w:ascii="Arial" w:hAnsi="Arial" w:cs="Arial"/>
                <w:b/>
                <w:sz w:val="22"/>
                <w:szCs w:val="22"/>
              </w:rPr>
            </w:pPr>
          </w:p>
          <w:p w14:paraId="18283B9C" w14:textId="77777777" w:rsidR="002F629F" w:rsidRDefault="002F629F" w:rsidP="00347841">
            <w:pPr>
              <w:pStyle w:val="NormalWeb"/>
              <w:spacing w:before="0" w:beforeAutospacing="0" w:after="0" w:afterAutospacing="0"/>
              <w:rPr>
                <w:rFonts w:ascii="Arial" w:hAnsi="Arial" w:cs="Arial"/>
                <w:b/>
                <w:sz w:val="22"/>
                <w:szCs w:val="22"/>
              </w:rPr>
            </w:pPr>
          </w:p>
          <w:p w14:paraId="5A8396B4" w14:textId="77777777" w:rsidR="002F629F" w:rsidRDefault="002F629F" w:rsidP="00347841">
            <w:pPr>
              <w:pStyle w:val="NormalWeb"/>
              <w:spacing w:before="0" w:beforeAutospacing="0" w:after="0" w:afterAutospacing="0"/>
              <w:rPr>
                <w:rFonts w:ascii="Arial" w:hAnsi="Arial" w:cs="Arial"/>
                <w:b/>
                <w:sz w:val="22"/>
                <w:szCs w:val="22"/>
              </w:rPr>
            </w:pPr>
          </w:p>
          <w:p w14:paraId="053958BA" w14:textId="77777777" w:rsidR="002F629F" w:rsidRPr="00230F35" w:rsidRDefault="002F629F" w:rsidP="0034784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40D892D" w14:textId="77777777" w:rsidR="002F629F" w:rsidRDefault="002F629F" w:rsidP="0034784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6544044" w14:textId="77777777" w:rsidR="002F629F" w:rsidRPr="00001C3B" w:rsidRDefault="002F629F" w:rsidP="00347841">
            <w:pPr>
              <w:pStyle w:val="NormalWeb"/>
              <w:rPr>
                <w:rFonts w:ascii="Arial" w:hAnsi="Arial" w:cs="Arial"/>
                <w:sz w:val="22"/>
                <w:szCs w:val="22"/>
              </w:rPr>
            </w:pPr>
          </w:p>
        </w:tc>
      </w:tr>
      <w:tr w:rsidR="002F629F" w:rsidRPr="00230F35" w14:paraId="0C2DF675" w14:textId="77777777" w:rsidTr="00347841">
        <w:trPr>
          <w:trHeight w:val="492"/>
        </w:trPr>
        <w:tc>
          <w:tcPr>
            <w:tcW w:w="6768" w:type="dxa"/>
            <w:gridSpan w:val="3"/>
          </w:tcPr>
          <w:p w14:paraId="57827DC4" w14:textId="77777777" w:rsidR="002F629F" w:rsidRPr="00230F35" w:rsidRDefault="002F629F" w:rsidP="0034784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41F9F45" w14:textId="77777777" w:rsidR="002F629F" w:rsidRPr="00230F35" w:rsidRDefault="002F629F" w:rsidP="00347841">
            <w:pPr>
              <w:pStyle w:val="NormalWeb"/>
              <w:spacing w:after="0"/>
              <w:ind w:left="142" w:right="34"/>
              <w:rPr>
                <w:rFonts w:ascii="Arial" w:hAnsi="Arial" w:cs="Arial"/>
                <w:sz w:val="22"/>
                <w:szCs w:val="22"/>
              </w:rPr>
            </w:pPr>
            <w:r w:rsidRPr="00230F35">
              <w:rPr>
                <w:rFonts w:ascii="Arial" w:hAnsi="Arial" w:cs="Arial"/>
                <w:sz w:val="22"/>
                <w:szCs w:val="22"/>
              </w:rPr>
              <w:t>Date:</w:t>
            </w:r>
          </w:p>
        </w:tc>
      </w:tr>
      <w:tr w:rsidR="002F629F" w:rsidRPr="002F467C" w14:paraId="4ADA686E" w14:textId="77777777" w:rsidTr="00347841">
        <w:tc>
          <w:tcPr>
            <w:tcW w:w="8856" w:type="dxa"/>
            <w:gridSpan w:val="5"/>
          </w:tcPr>
          <w:p w14:paraId="5A54988E" w14:textId="77777777" w:rsidR="002F629F" w:rsidRPr="00230F35" w:rsidRDefault="002F629F" w:rsidP="00347841">
            <w:pPr>
              <w:pStyle w:val="NormalWeb"/>
              <w:spacing w:before="0" w:beforeAutospacing="0" w:after="0" w:afterAutospacing="0"/>
              <w:ind w:right="-334"/>
              <w:rPr>
                <w:rFonts w:ascii="Arial" w:hAnsi="Arial" w:cs="Arial"/>
                <w:bCs/>
                <w:i/>
                <w:sz w:val="22"/>
                <w:szCs w:val="22"/>
              </w:rPr>
            </w:pPr>
          </w:p>
          <w:p w14:paraId="7A6D664F" w14:textId="77777777" w:rsidR="002F629F" w:rsidRPr="00230F35" w:rsidRDefault="002F629F" w:rsidP="0034784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1FAE606" w14:textId="77777777" w:rsidR="002F629F" w:rsidRPr="00230F35" w:rsidRDefault="002F629F" w:rsidP="00347841">
            <w:pPr>
              <w:pStyle w:val="NormalWeb"/>
              <w:spacing w:before="0" w:beforeAutospacing="0" w:after="0" w:afterAutospacing="0"/>
              <w:ind w:right="-334"/>
              <w:rPr>
                <w:rFonts w:ascii="Arial" w:hAnsi="Arial" w:cs="Arial"/>
                <w:b/>
                <w:bCs/>
                <w:sz w:val="22"/>
                <w:szCs w:val="22"/>
              </w:rPr>
            </w:pPr>
          </w:p>
          <w:p w14:paraId="215761CD"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04FC559"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7F52B2EE"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22A75F3B"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09FD1D33"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4E55DAEF"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4EBCDF83"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3ED77284"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6A510831"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41B442A0" w14:textId="77777777" w:rsidR="002F629F" w:rsidRDefault="002F629F" w:rsidP="00347841">
            <w:pPr>
              <w:pStyle w:val="NormalWeb"/>
              <w:spacing w:before="0" w:beforeAutospacing="0" w:after="0" w:afterAutospacing="0"/>
              <w:ind w:right="-334"/>
              <w:rPr>
                <w:rFonts w:ascii="Arial" w:hAnsi="Arial" w:cs="Arial"/>
                <w:bCs/>
                <w:sz w:val="22"/>
                <w:szCs w:val="22"/>
              </w:rPr>
            </w:pPr>
          </w:p>
          <w:p w14:paraId="3B6CD382"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58FB04D5"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30F53AB8"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tc>
      </w:tr>
      <w:tr w:rsidR="002F629F" w:rsidRPr="002F467C" w14:paraId="4A1E60CC" w14:textId="77777777" w:rsidTr="00347841">
        <w:trPr>
          <w:trHeight w:val="720"/>
        </w:trPr>
        <w:tc>
          <w:tcPr>
            <w:tcW w:w="5211" w:type="dxa"/>
            <w:gridSpan w:val="2"/>
          </w:tcPr>
          <w:p w14:paraId="37E517A8"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AC95DBF"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F629F" w:rsidRPr="002F467C" w14:paraId="72F0AAFB" w14:textId="77777777" w:rsidTr="00347841">
        <w:trPr>
          <w:trHeight w:val="720"/>
        </w:trPr>
        <w:tc>
          <w:tcPr>
            <w:tcW w:w="8856" w:type="dxa"/>
            <w:gridSpan w:val="5"/>
          </w:tcPr>
          <w:p w14:paraId="0A74480E" w14:textId="77777777" w:rsidR="002F629F" w:rsidRPr="00B34964" w:rsidRDefault="002F629F" w:rsidP="00347841">
            <w:pPr>
              <w:rPr>
                <w:rFonts w:ascii="Arial" w:hAnsi="Arial" w:cs="Arial"/>
                <w:b/>
                <w:sz w:val="22"/>
                <w:szCs w:val="22"/>
              </w:rPr>
            </w:pPr>
            <w:r w:rsidRPr="00B34964">
              <w:rPr>
                <w:rFonts w:ascii="Arial" w:hAnsi="Arial" w:cs="Arial"/>
                <w:b/>
                <w:sz w:val="22"/>
                <w:szCs w:val="22"/>
              </w:rPr>
              <w:t>External Examiner’s comments (if relevant)</w:t>
            </w:r>
          </w:p>
          <w:p w14:paraId="29FD01AD"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6A36135A"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379144CE"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5B0955E5"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103121D6"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47EBDAF2"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3E3B4557"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02DFE2C4"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620B299B" w14:textId="77777777" w:rsidR="002F629F" w:rsidRDefault="002F629F" w:rsidP="00347841">
            <w:pPr>
              <w:pStyle w:val="NormalWeb"/>
              <w:spacing w:before="0" w:beforeAutospacing="0" w:after="0" w:afterAutospacing="0"/>
              <w:ind w:right="-334"/>
              <w:rPr>
                <w:rFonts w:ascii="Arial" w:hAnsi="Arial" w:cs="Arial"/>
                <w:bCs/>
                <w:sz w:val="22"/>
                <w:szCs w:val="22"/>
              </w:rPr>
            </w:pPr>
          </w:p>
          <w:p w14:paraId="61480630"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p w14:paraId="232238FB" w14:textId="77777777" w:rsidR="002F629F" w:rsidRPr="00230F35" w:rsidRDefault="002F629F" w:rsidP="00347841">
            <w:pPr>
              <w:pStyle w:val="NormalWeb"/>
              <w:spacing w:before="0" w:beforeAutospacing="0" w:after="0" w:afterAutospacing="0"/>
              <w:ind w:right="-334"/>
              <w:rPr>
                <w:rFonts w:ascii="Arial" w:hAnsi="Arial" w:cs="Arial"/>
                <w:bCs/>
                <w:sz w:val="22"/>
                <w:szCs w:val="22"/>
              </w:rPr>
            </w:pPr>
          </w:p>
        </w:tc>
      </w:tr>
      <w:tr w:rsidR="002F629F" w:rsidRPr="002F467C" w14:paraId="6E30250E" w14:textId="77777777" w:rsidTr="00347841">
        <w:trPr>
          <w:trHeight w:val="720"/>
        </w:trPr>
        <w:tc>
          <w:tcPr>
            <w:tcW w:w="5211" w:type="dxa"/>
            <w:gridSpan w:val="2"/>
          </w:tcPr>
          <w:p w14:paraId="15DC490F" w14:textId="77777777" w:rsidR="002F629F" w:rsidRPr="00230F35" w:rsidRDefault="002F629F" w:rsidP="00347841">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3EEB9140" w14:textId="77777777" w:rsidR="002F629F" w:rsidRPr="00230F35" w:rsidRDefault="002F629F" w:rsidP="00347841">
            <w:pPr>
              <w:rPr>
                <w:rFonts w:ascii="Arial" w:hAnsi="Arial" w:cs="Arial"/>
                <w:sz w:val="22"/>
                <w:szCs w:val="22"/>
              </w:rPr>
            </w:pPr>
            <w:r w:rsidRPr="00230F35">
              <w:rPr>
                <w:rFonts w:ascii="Arial" w:hAnsi="Arial" w:cs="Arial"/>
                <w:sz w:val="22"/>
                <w:szCs w:val="22"/>
              </w:rPr>
              <w:t>Date:</w:t>
            </w:r>
          </w:p>
        </w:tc>
      </w:tr>
    </w:tbl>
    <w:p w14:paraId="480A7E00" w14:textId="77777777" w:rsidR="002F629F" w:rsidRPr="00D67BF8" w:rsidRDefault="002F629F" w:rsidP="002F629F">
      <w:pPr>
        <w:pStyle w:val="NormalWeb"/>
        <w:spacing w:before="0" w:beforeAutospacing="0" w:after="0" w:afterAutospacing="0"/>
        <w:ind w:right="-334"/>
        <w:rPr>
          <w:rFonts w:ascii="Trebuchet MS" w:hAnsi="Trebuchet MS" w:cs="Tahoma"/>
          <w:bCs/>
          <w:sz w:val="24"/>
          <w:szCs w:val="24"/>
        </w:rPr>
      </w:pPr>
    </w:p>
    <w:p w14:paraId="38D08AD2" w14:textId="77777777" w:rsidR="002F629F" w:rsidRDefault="002F629F" w:rsidP="00755AD2">
      <w:pPr>
        <w:spacing w:line="360" w:lineRule="auto"/>
        <w:jc w:val="center"/>
        <w:rPr>
          <w:b/>
          <w:u w:val="single"/>
        </w:rPr>
      </w:pPr>
    </w:p>
    <w:p w14:paraId="635FEF17" w14:textId="55C61998" w:rsidR="002F5A97" w:rsidRDefault="009C24BF" w:rsidP="002F629F">
      <w:pPr>
        <w:spacing w:line="360" w:lineRule="auto"/>
        <w:jc w:val="center"/>
        <w:rPr>
          <w:b/>
          <w:i/>
          <w:u w:val="single"/>
        </w:rPr>
      </w:pPr>
      <w:r w:rsidRPr="009C24BF">
        <w:rPr>
          <w:b/>
          <w:u w:val="single"/>
        </w:rPr>
        <w:t xml:space="preserve">A Critical Review of Iamblichus’ arguments for divination in </w:t>
      </w:r>
      <w:r w:rsidR="00F64E34">
        <w:rPr>
          <w:b/>
          <w:u w:val="single"/>
        </w:rPr>
        <w:t xml:space="preserve">his </w:t>
      </w:r>
      <w:r w:rsidR="000D1969">
        <w:rPr>
          <w:b/>
          <w:i/>
          <w:u w:val="single"/>
        </w:rPr>
        <w:t>De m</w:t>
      </w:r>
      <w:r w:rsidRPr="009C24BF">
        <w:rPr>
          <w:b/>
          <w:i/>
          <w:u w:val="single"/>
        </w:rPr>
        <w:t>ysteriis</w:t>
      </w:r>
    </w:p>
    <w:p w14:paraId="4C0102A3" w14:textId="678B1D39" w:rsidR="009C24BF" w:rsidRDefault="009C24BF" w:rsidP="00755AD2">
      <w:pPr>
        <w:spacing w:line="360" w:lineRule="auto"/>
        <w:rPr>
          <w:b/>
        </w:rPr>
      </w:pPr>
      <w:r>
        <w:rPr>
          <w:b/>
        </w:rPr>
        <w:t>Introduction</w:t>
      </w:r>
    </w:p>
    <w:p w14:paraId="26500AE1" w14:textId="34558DDB" w:rsidR="00E0318E" w:rsidRPr="00530FD1" w:rsidRDefault="00184084" w:rsidP="00E0318E">
      <w:pPr>
        <w:spacing w:line="360" w:lineRule="auto"/>
      </w:pPr>
      <w:r w:rsidRPr="00184084">
        <w:t xml:space="preserve">The aim of this paper is to critically review the arguments </w:t>
      </w:r>
      <w:r w:rsidR="001D559B">
        <w:t xml:space="preserve">for </w:t>
      </w:r>
      <w:r w:rsidRPr="00184084">
        <w:t xml:space="preserve">divination posited by Iamblichus in </w:t>
      </w:r>
      <w:r w:rsidR="00F454D9">
        <w:t>Book III of his work entitled</w:t>
      </w:r>
      <w:r w:rsidRPr="00184084">
        <w:t xml:space="preserve"> </w:t>
      </w:r>
      <w:r w:rsidR="00755AD2">
        <w:t>‘</w:t>
      </w:r>
      <w:r w:rsidR="00755AD2" w:rsidRPr="00755AD2">
        <w:t xml:space="preserve">The Reply of the Master Abamon to the Letter of Porphyry to Anebo, and </w:t>
      </w:r>
      <w:r w:rsidR="00DE4DFC">
        <w:t>the Solutions to the Questions i</w:t>
      </w:r>
      <w:r w:rsidR="00755AD2" w:rsidRPr="00755AD2">
        <w:t>t Contains</w:t>
      </w:r>
      <w:r w:rsidR="00755AD2">
        <w:t>’</w:t>
      </w:r>
      <w:r w:rsidR="00F454D9">
        <w:t xml:space="preserve">, known more commonly </w:t>
      </w:r>
      <w:r w:rsidR="00296A4D">
        <w:t xml:space="preserve">by </w:t>
      </w:r>
      <w:r w:rsidR="00906E27">
        <w:t>its</w:t>
      </w:r>
      <w:r w:rsidR="00296A4D">
        <w:t xml:space="preserve"> short title </w:t>
      </w:r>
      <w:r w:rsidR="00F454D9">
        <w:t>‘</w:t>
      </w:r>
      <w:r w:rsidRPr="00184084">
        <w:t>On the Mysteries</w:t>
      </w:r>
      <w:r w:rsidR="00F454D9">
        <w:t>’</w:t>
      </w:r>
      <w:r w:rsidRPr="00184084">
        <w:t xml:space="preserve"> or </w:t>
      </w:r>
      <w:r w:rsidR="007A39DD">
        <w:rPr>
          <w:i/>
        </w:rPr>
        <w:t>De m</w:t>
      </w:r>
      <w:r w:rsidRPr="00184084">
        <w:rPr>
          <w:i/>
        </w:rPr>
        <w:t>ysteriis</w:t>
      </w:r>
      <w:r w:rsidR="007904E8" w:rsidRPr="007904E8">
        <w:t>.</w:t>
      </w:r>
      <w:r w:rsidR="003A008D" w:rsidRPr="007904E8">
        <w:rPr>
          <w:lang w:val="en-IE"/>
        </w:rPr>
        <w:t xml:space="preserve"> </w:t>
      </w:r>
      <w:r w:rsidR="00C20457">
        <w:rPr>
          <w:lang w:val="en-IE"/>
        </w:rPr>
        <w:t>Little is known about</w:t>
      </w:r>
      <w:r w:rsidR="00F86784" w:rsidRPr="00F86784">
        <w:rPr>
          <w:lang w:val="en-IE"/>
        </w:rPr>
        <w:t xml:space="preserve"> Iamblichus</w:t>
      </w:r>
      <w:r w:rsidR="00C20457">
        <w:rPr>
          <w:lang w:val="en-IE"/>
        </w:rPr>
        <w:t>’</w:t>
      </w:r>
      <w:r w:rsidR="005642F4">
        <w:rPr>
          <w:lang w:val="en-IE"/>
        </w:rPr>
        <w:t xml:space="preserve"> life</w:t>
      </w:r>
      <w:r w:rsidR="00F64E34">
        <w:rPr>
          <w:lang w:val="en-IE"/>
        </w:rPr>
        <w:t>,</w:t>
      </w:r>
      <w:r w:rsidR="00BC4B54">
        <w:rPr>
          <w:lang w:val="en-IE"/>
        </w:rPr>
        <w:t xml:space="preserve"> </w:t>
      </w:r>
      <w:r w:rsidR="00F64E34">
        <w:rPr>
          <w:lang w:val="en-IE"/>
        </w:rPr>
        <w:t>therefore</w:t>
      </w:r>
      <w:r w:rsidR="00BC4B54">
        <w:rPr>
          <w:lang w:val="en-IE"/>
        </w:rPr>
        <w:t xml:space="preserve"> dating issues abound surrounding his life and work</w:t>
      </w:r>
      <w:r w:rsidR="00F64E34">
        <w:rPr>
          <w:lang w:val="en-IE"/>
        </w:rPr>
        <w:t xml:space="preserve">. </w:t>
      </w:r>
      <w:r w:rsidR="005642F4">
        <w:rPr>
          <w:lang w:val="en-IE"/>
        </w:rPr>
        <w:t>However,</w:t>
      </w:r>
      <w:r w:rsidR="00EE79AE">
        <w:rPr>
          <w:lang w:val="en-IE"/>
        </w:rPr>
        <w:t xml:space="preserve"> we do have some detail from Eunapius of Sardis, a late fourth</w:t>
      </w:r>
      <w:r w:rsidR="005642F4">
        <w:rPr>
          <w:lang w:val="en-IE"/>
        </w:rPr>
        <w:t>-</w:t>
      </w:r>
      <w:r w:rsidR="00EE79AE">
        <w:rPr>
          <w:lang w:val="en-IE"/>
        </w:rPr>
        <w:t xml:space="preserve">century sophist, who states </w:t>
      </w:r>
      <w:r w:rsidR="003274E0">
        <w:rPr>
          <w:lang w:val="en-IE"/>
        </w:rPr>
        <w:t>that Iamblichus</w:t>
      </w:r>
      <w:r w:rsidR="009B33CA">
        <w:rPr>
          <w:lang w:val="en-IE"/>
        </w:rPr>
        <w:t xml:space="preserve"> </w:t>
      </w:r>
      <w:r w:rsidR="003274E0" w:rsidRPr="003274E0">
        <w:rPr>
          <w:lang w:val="en-IE"/>
        </w:rPr>
        <w:t xml:space="preserve">was </w:t>
      </w:r>
      <w:r w:rsidR="003274E0">
        <w:rPr>
          <w:lang w:val="en-IE"/>
        </w:rPr>
        <w:t>‘</w:t>
      </w:r>
      <w:r w:rsidR="003274E0" w:rsidRPr="003274E0">
        <w:rPr>
          <w:lang w:val="en-IE"/>
        </w:rPr>
        <w:t xml:space="preserve">of illustrious ancestry and belonged to an opulent and prosperous family. </w:t>
      </w:r>
      <w:r w:rsidR="003274E0">
        <w:rPr>
          <w:lang w:val="en-IE"/>
        </w:rPr>
        <w:t>His birthplace was</w:t>
      </w:r>
      <w:r w:rsidR="003274E0" w:rsidRPr="003274E0">
        <w:rPr>
          <w:lang w:val="en-IE"/>
        </w:rPr>
        <w:t xml:space="preserve"> Chalcis, a city in the region called Coele Syria</w:t>
      </w:r>
      <w:r w:rsidR="003274E0">
        <w:rPr>
          <w:lang w:val="en-IE"/>
        </w:rPr>
        <w:t>.</w:t>
      </w:r>
      <w:r w:rsidR="00EE79AE">
        <w:rPr>
          <w:lang w:val="en-IE"/>
        </w:rPr>
        <w:t>’</w:t>
      </w:r>
      <w:r w:rsidR="00EE79AE">
        <w:rPr>
          <w:rStyle w:val="FootnoteReference"/>
          <w:lang w:val="en-IE"/>
        </w:rPr>
        <w:footnoteReference w:id="1"/>
      </w:r>
      <w:r w:rsidR="00C147A1">
        <w:rPr>
          <w:lang w:val="en-IE"/>
        </w:rPr>
        <w:t xml:space="preserve"> </w:t>
      </w:r>
      <w:r w:rsidR="001D559B">
        <w:rPr>
          <w:lang w:val="en-IE"/>
        </w:rPr>
        <w:t>Regarding</w:t>
      </w:r>
      <w:r w:rsidR="00C147A1">
        <w:rPr>
          <w:lang w:val="en-IE"/>
        </w:rPr>
        <w:t xml:space="preserve"> his birth, </w:t>
      </w:r>
      <w:r w:rsidR="00D925C5">
        <w:rPr>
          <w:lang w:val="en-IE"/>
        </w:rPr>
        <w:t xml:space="preserve">Emma </w:t>
      </w:r>
      <w:r w:rsidR="00C147A1">
        <w:rPr>
          <w:lang w:val="en-IE"/>
        </w:rPr>
        <w:t xml:space="preserve">Clarke, </w:t>
      </w:r>
      <w:r w:rsidR="00D925C5">
        <w:rPr>
          <w:lang w:val="en-IE"/>
        </w:rPr>
        <w:t xml:space="preserve">John M. </w:t>
      </w:r>
      <w:r w:rsidR="00C147A1">
        <w:rPr>
          <w:lang w:val="en-IE"/>
        </w:rPr>
        <w:t xml:space="preserve">Dillon and </w:t>
      </w:r>
      <w:r w:rsidR="00D925C5">
        <w:rPr>
          <w:lang w:val="en-IE"/>
        </w:rPr>
        <w:t xml:space="preserve">Jackson P. </w:t>
      </w:r>
      <w:r w:rsidR="00C147A1">
        <w:rPr>
          <w:lang w:val="en-IE"/>
        </w:rPr>
        <w:t>Hershbell state that ‘the date of his birth is uncertain, but the tendency in recent scholarship has been to push it much earlier than the traditional date of c. 265 CE.’</w:t>
      </w:r>
      <w:r w:rsidR="00C147A1">
        <w:rPr>
          <w:rStyle w:val="FootnoteReference"/>
          <w:lang w:val="en-IE"/>
        </w:rPr>
        <w:footnoteReference w:id="2"/>
      </w:r>
      <w:r w:rsidR="003B41D1">
        <w:rPr>
          <w:lang w:val="en-IE"/>
        </w:rPr>
        <w:t xml:space="preserve"> </w:t>
      </w:r>
      <w:r w:rsidR="00D925C5">
        <w:rPr>
          <w:lang w:val="en-IE"/>
        </w:rPr>
        <w:t xml:space="preserve">Nicholas </w:t>
      </w:r>
      <w:r w:rsidR="003B41D1">
        <w:rPr>
          <w:lang w:val="en-IE"/>
        </w:rPr>
        <w:t xml:space="preserve">Campion notes </w:t>
      </w:r>
      <w:r w:rsidR="005642F4">
        <w:rPr>
          <w:lang w:val="en-IE"/>
        </w:rPr>
        <w:t>that he died in or around 330 CE.</w:t>
      </w:r>
      <w:r w:rsidR="005642F4">
        <w:rPr>
          <w:rStyle w:val="FootnoteReference"/>
          <w:lang w:val="en-IE"/>
        </w:rPr>
        <w:footnoteReference w:id="3"/>
      </w:r>
      <w:r w:rsidR="003B41D1">
        <w:rPr>
          <w:lang w:val="en-IE"/>
        </w:rPr>
        <w:t xml:space="preserve"> </w:t>
      </w:r>
      <w:r w:rsidR="00CB376A">
        <w:t xml:space="preserve">Similarly, it is unknown exactly when </w:t>
      </w:r>
      <w:r w:rsidR="00CB376A" w:rsidRPr="00CB376A">
        <w:rPr>
          <w:i/>
        </w:rPr>
        <w:t>De mysteriis</w:t>
      </w:r>
      <w:r w:rsidR="00CB376A">
        <w:t xml:space="preserve"> was written</w:t>
      </w:r>
      <w:r w:rsidR="00BC4B54">
        <w:t xml:space="preserve">. </w:t>
      </w:r>
      <w:r w:rsidR="00CB376A">
        <w:t xml:space="preserve">According to Polymnia Athanassiadi, ‘[i]t is impossible to date the </w:t>
      </w:r>
      <w:r w:rsidR="00CB376A" w:rsidRPr="00CB376A">
        <w:rPr>
          <w:i/>
        </w:rPr>
        <w:t>De mysteriis</w:t>
      </w:r>
      <w:r w:rsidR="00CB376A" w:rsidRPr="00CB376A">
        <w:t xml:space="preserve"> on other than internal criteria</w:t>
      </w:r>
      <w:r w:rsidR="00CB376A">
        <w:t xml:space="preserve">. […] </w:t>
      </w:r>
      <w:r w:rsidR="00CB376A" w:rsidRPr="00CB376A">
        <w:t>Both the fact that Porphyry add</w:t>
      </w:r>
      <w:r w:rsidR="00CB376A">
        <w:t>ressed so important a question</w:t>
      </w:r>
      <w:r w:rsidR="00CB376A" w:rsidRPr="00CB376A">
        <w:t>naire to Iamblichus, and the self-confident tone of the latter's answer, suggest that by then Iamblichus was an established master. A date around 300 or slightly later is therefore probable</w:t>
      </w:r>
      <w:r w:rsidR="00CB376A">
        <w:t>.’</w:t>
      </w:r>
      <w:r w:rsidR="00CB376A">
        <w:rPr>
          <w:rStyle w:val="FootnoteReference"/>
        </w:rPr>
        <w:footnoteReference w:id="4"/>
      </w:r>
      <w:r w:rsidR="00CB376A">
        <w:t xml:space="preserve"> Clarke, Dillon and Hershbell propose that </w:t>
      </w:r>
      <w:r w:rsidR="00296A4D" w:rsidRPr="00296A4D">
        <w:rPr>
          <w:i/>
        </w:rPr>
        <w:t>De mysteriis</w:t>
      </w:r>
      <w:r>
        <w:t xml:space="preserve"> </w:t>
      </w:r>
      <w:r w:rsidR="005642F4">
        <w:t>was composed b</w:t>
      </w:r>
      <w:r w:rsidR="00433306">
        <w:t>y Iamblichus ‘some</w:t>
      </w:r>
      <w:r w:rsidR="005642F4">
        <w:t>time between 280 and 305 CE […]’</w:t>
      </w:r>
      <w:r w:rsidR="005642F4">
        <w:rPr>
          <w:rStyle w:val="FootnoteReference"/>
        </w:rPr>
        <w:footnoteReference w:id="5"/>
      </w:r>
      <w:r w:rsidR="00CB376A">
        <w:t xml:space="preserve">. </w:t>
      </w:r>
      <w:r w:rsidR="00E67ADF">
        <w:t xml:space="preserve">One of the most well-known scholarly descriptions of the aim of </w:t>
      </w:r>
      <w:r w:rsidR="00E67ADF" w:rsidRPr="00E67ADF">
        <w:rPr>
          <w:i/>
        </w:rPr>
        <w:t>De mysteriis</w:t>
      </w:r>
      <w:r w:rsidR="00E67ADF">
        <w:t xml:space="preserve"> comes from E.R. Dodds who describes it</w:t>
      </w:r>
      <w:r w:rsidR="00E67ADF" w:rsidRPr="00F55AF6">
        <w:rPr>
          <w:rFonts w:ascii="Helvetica" w:hAnsi="Helvetica" w:cs="Times New Roman"/>
          <w:sz w:val="11"/>
          <w:szCs w:val="11"/>
        </w:rPr>
        <w:t xml:space="preserve"> </w:t>
      </w:r>
      <w:r w:rsidR="00E67ADF">
        <w:rPr>
          <w:rFonts w:ascii="Helvetica" w:hAnsi="Helvetica" w:cs="Times New Roman"/>
          <w:sz w:val="11"/>
          <w:szCs w:val="11"/>
        </w:rPr>
        <w:t xml:space="preserve"> </w:t>
      </w:r>
      <w:r w:rsidR="00E67ADF">
        <w:t xml:space="preserve">as ‘[…] </w:t>
      </w:r>
      <w:r w:rsidR="00E67ADF" w:rsidRPr="00F55AF6">
        <w:t>a manifesto of irrationalism, an assertion that the road to salvation is found not in reason but in ritual</w:t>
      </w:r>
      <w:r w:rsidR="00E67ADF">
        <w:t>.’</w:t>
      </w:r>
      <w:r w:rsidR="00E67ADF">
        <w:rPr>
          <w:rStyle w:val="FootnoteReference"/>
        </w:rPr>
        <w:footnoteReference w:id="6"/>
      </w:r>
      <w:r w:rsidR="00E67ADF">
        <w:rPr>
          <w:lang w:val="en-IE"/>
        </w:rPr>
        <w:t xml:space="preserve"> According to </w:t>
      </w:r>
      <w:r w:rsidR="004D60AA">
        <w:rPr>
          <w:lang w:val="en-IE"/>
        </w:rPr>
        <w:t>Campion</w:t>
      </w:r>
      <w:r w:rsidR="00E67ADF">
        <w:rPr>
          <w:lang w:val="en-IE"/>
        </w:rPr>
        <w:t>,</w:t>
      </w:r>
      <w:r w:rsidR="004D60AA">
        <w:rPr>
          <w:lang w:val="en-IE"/>
        </w:rPr>
        <w:t xml:space="preserve"> ‘Iamblichus engineered a revolution in elite Platonic circles by rejecting the standard view, espoused by Plotinus and Porphyry, that the divine should be ac</w:t>
      </w:r>
      <w:r w:rsidR="00E67ADF">
        <w:rPr>
          <w:lang w:val="en-IE"/>
        </w:rPr>
        <w:t>cessed through reason and logic’.</w:t>
      </w:r>
      <w:r w:rsidR="00E67ADF">
        <w:rPr>
          <w:rStyle w:val="FootnoteReference"/>
          <w:lang w:val="en-IE"/>
        </w:rPr>
        <w:footnoteReference w:id="7"/>
      </w:r>
      <w:r w:rsidR="00F3796E">
        <w:rPr>
          <w:lang w:val="en-IE"/>
        </w:rPr>
        <w:t xml:space="preserve"> </w:t>
      </w:r>
      <w:r w:rsidR="001D559B">
        <w:t>Book III in</w:t>
      </w:r>
      <w:r w:rsidR="00DE49F7">
        <w:t xml:space="preserve"> </w:t>
      </w:r>
      <w:r w:rsidR="00FB0E16">
        <w:t xml:space="preserve">particular deals with the subject matter of divination in which </w:t>
      </w:r>
      <w:r w:rsidR="00DE49F7" w:rsidRPr="00535BE0">
        <w:t xml:space="preserve">lamblichus </w:t>
      </w:r>
      <w:r w:rsidR="00FB0E16">
        <w:t>‘</w:t>
      </w:r>
      <w:r w:rsidR="00DE49F7" w:rsidRPr="00535BE0">
        <w:t xml:space="preserve">deals in </w:t>
      </w:r>
      <w:r w:rsidR="00FB0E16">
        <w:t xml:space="preserve">a </w:t>
      </w:r>
      <w:r w:rsidR="00DE49F7" w:rsidRPr="00535BE0">
        <w:t xml:space="preserve">highly critical, if unsystematic, fashion with the different kinds of </w:t>
      </w:r>
      <w:r w:rsidR="00DE49F7">
        <w:t>divination practised in his day […].’</w:t>
      </w:r>
      <w:r w:rsidR="00FB0E16">
        <w:rPr>
          <w:rStyle w:val="FootnoteReference"/>
        </w:rPr>
        <w:footnoteReference w:id="8"/>
      </w:r>
      <w:r w:rsidR="00DE49F7" w:rsidRPr="00535BE0">
        <w:t> </w:t>
      </w:r>
      <w:r w:rsidR="00F64E34">
        <w:rPr>
          <w:lang w:val="en-IE"/>
        </w:rPr>
        <w:t>According to Campion</w:t>
      </w:r>
      <w:r w:rsidR="00C71680">
        <w:rPr>
          <w:lang w:val="en-IE"/>
        </w:rPr>
        <w:t>, it is ‘a theurgy of Neoplatonic astrology, a comprehensive rejection of what he [Iamblichus] saw as the stilted, precise, mistaken dogma of Hellenistic astrology</w:t>
      </w:r>
      <w:r w:rsidR="00C248E9">
        <w:rPr>
          <w:lang w:val="en-IE"/>
        </w:rPr>
        <w:t>.’</w:t>
      </w:r>
      <w:r w:rsidR="00C248E9">
        <w:rPr>
          <w:rStyle w:val="FootnoteReference"/>
          <w:lang w:val="en-IE"/>
        </w:rPr>
        <w:footnoteReference w:id="9"/>
      </w:r>
      <w:r w:rsidR="00530FD1">
        <w:t xml:space="preserve"> </w:t>
      </w:r>
      <w:r w:rsidR="009C7ABD" w:rsidRPr="009C7ABD">
        <w:rPr>
          <w:i/>
        </w:rPr>
        <w:t>De mysteriis</w:t>
      </w:r>
      <w:r w:rsidR="009C7ABD">
        <w:t xml:space="preserve"> </w:t>
      </w:r>
      <w:r w:rsidR="00DE49F7">
        <w:t>was a significant piece of work fo</w:t>
      </w:r>
      <w:r w:rsidR="009C7ABD">
        <w:t xml:space="preserve">r its time, with Athanassiadi stating that it </w:t>
      </w:r>
      <w:r w:rsidR="006F7A54">
        <w:t xml:space="preserve">‘[…] </w:t>
      </w:r>
      <w:r w:rsidR="006F7A54" w:rsidRPr="00AA61D1">
        <w:t>influenced both t</w:t>
      </w:r>
      <w:r w:rsidR="006F7A54">
        <w:t>he actual development of divina</w:t>
      </w:r>
      <w:r w:rsidR="006F7A54" w:rsidRPr="00AA61D1">
        <w:t>tion, and public opinion on the matter</w:t>
      </w:r>
      <w:r w:rsidR="006F7A54">
        <w:t xml:space="preserve"> […].’</w:t>
      </w:r>
      <w:r w:rsidR="00DE49F7">
        <w:rPr>
          <w:rStyle w:val="FootnoteReference"/>
        </w:rPr>
        <w:footnoteReference w:id="10"/>
      </w:r>
      <w:r w:rsidR="006F7A54" w:rsidRPr="00AA61D1">
        <w:t> </w:t>
      </w:r>
      <w:r w:rsidR="009C7ABD">
        <w:t>According to</w:t>
      </w:r>
      <w:r w:rsidR="00F54BE8">
        <w:t xml:space="preserve"> Gregory</w:t>
      </w:r>
      <w:r w:rsidR="009C7ABD">
        <w:t xml:space="preserve"> Shaw,</w:t>
      </w:r>
      <w:r w:rsidR="009C7ABD">
        <w:rPr>
          <w:lang w:val="en-IE"/>
        </w:rPr>
        <w:t xml:space="preserve"> ‘[t]</w:t>
      </w:r>
      <w:r w:rsidR="00320DDC">
        <w:rPr>
          <w:lang w:val="en-IE"/>
        </w:rPr>
        <w:t>he great in</w:t>
      </w:r>
      <w:r w:rsidR="00320DDC" w:rsidRPr="0075586D">
        <w:rPr>
          <w:lang w:val="en-IE"/>
        </w:rPr>
        <w:t>fluence Iamblichus exercised over subsequent Platonists</w:t>
      </w:r>
      <w:r w:rsidR="00320DDC">
        <w:rPr>
          <w:lang w:val="en-IE"/>
        </w:rPr>
        <w:t xml:space="preserve"> </w:t>
      </w:r>
      <w:r w:rsidR="00320DDC" w:rsidRPr="0075586D">
        <w:rPr>
          <w:lang w:val="en-IE"/>
        </w:rPr>
        <w:t xml:space="preserve">was due, in large part, to the theoretical framework he outlined in the </w:t>
      </w:r>
      <w:r w:rsidR="00320DDC" w:rsidRPr="00C248E9">
        <w:rPr>
          <w:i/>
          <w:lang w:val="en-IE"/>
        </w:rPr>
        <w:t>De mysteriis</w:t>
      </w:r>
      <w:r w:rsidR="00320DDC">
        <w:rPr>
          <w:lang w:val="en-IE"/>
        </w:rPr>
        <w:t xml:space="preserve"> for a wide variety of </w:t>
      </w:r>
      <w:r w:rsidR="00320DDC" w:rsidRPr="0075586D">
        <w:rPr>
          <w:lang w:val="en-IE"/>
        </w:rPr>
        <w:t>divinational rites practiced in the late</w:t>
      </w:r>
      <w:r w:rsidR="00320DDC">
        <w:rPr>
          <w:lang w:val="en-IE"/>
        </w:rPr>
        <w:t xml:space="preserve"> </w:t>
      </w:r>
      <w:r w:rsidR="00320DDC" w:rsidRPr="0075586D">
        <w:rPr>
          <w:lang w:val="en-IE"/>
        </w:rPr>
        <w:t>antique world.</w:t>
      </w:r>
      <w:r w:rsidR="00320DDC">
        <w:rPr>
          <w:lang w:val="en-IE"/>
        </w:rPr>
        <w:t>’</w:t>
      </w:r>
      <w:r w:rsidR="009C7ABD">
        <w:rPr>
          <w:rStyle w:val="FootnoteReference"/>
          <w:lang w:val="en-IE"/>
        </w:rPr>
        <w:footnoteReference w:id="11"/>
      </w:r>
      <w:r w:rsidR="009C7ABD">
        <w:rPr>
          <w:lang w:val="en-IE"/>
        </w:rPr>
        <w:t xml:space="preserve"> </w:t>
      </w:r>
      <w:r w:rsidR="006F416B">
        <w:rPr>
          <w:lang w:val="en-IE"/>
        </w:rPr>
        <w:t>Campion indicates that ‘[…] by the time that Iamblichus was setting out his pagan path to salvation, the Christians were on the way to theological control of the empire.’</w:t>
      </w:r>
      <w:r w:rsidR="006F416B">
        <w:rPr>
          <w:rStyle w:val="FootnoteReference"/>
          <w:lang w:val="en-IE"/>
        </w:rPr>
        <w:footnoteReference w:id="12"/>
      </w:r>
      <w:r w:rsidR="00107234">
        <w:rPr>
          <w:lang w:val="en-IE"/>
        </w:rPr>
        <w:t xml:space="preserve"> As </w:t>
      </w:r>
      <w:r w:rsidR="006F416B">
        <w:rPr>
          <w:lang w:val="en-IE"/>
        </w:rPr>
        <w:t xml:space="preserve">such, as Iamblichus was writing when Christianity was gaining popularity, </w:t>
      </w:r>
      <w:r w:rsidR="001D559B">
        <w:rPr>
          <w:lang w:val="en-IE"/>
        </w:rPr>
        <w:t xml:space="preserve">and so </w:t>
      </w:r>
      <w:r w:rsidR="006F416B">
        <w:rPr>
          <w:lang w:val="en-IE"/>
        </w:rPr>
        <w:t xml:space="preserve">the audience for </w:t>
      </w:r>
      <w:r w:rsidR="001D559B" w:rsidRPr="001D559B">
        <w:rPr>
          <w:i/>
          <w:lang w:val="en-IE"/>
        </w:rPr>
        <w:t>De mysteriis</w:t>
      </w:r>
      <w:r w:rsidR="006F416B">
        <w:rPr>
          <w:lang w:val="en-IE"/>
        </w:rPr>
        <w:t xml:space="preserve"> were polytheists</w:t>
      </w:r>
      <w:r w:rsidR="00C325D7">
        <w:rPr>
          <w:lang w:val="en-IE"/>
        </w:rPr>
        <w:t xml:space="preserve">, philosophers and </w:t>
      </w:r>
      <w:r w:rsidR="00C325D7" w:rsidRPr="00321C8C">
        <w:rPr>
          <w:lang w:val="en-IE"/>
        </w:rPr>
        <w:t xml:space="preserve">members of the </w:t>
      </w:r>
      <w:r w:rsidR="001D559B">
        <w:rPr>
          <w:lang w:val="en-IE"/>
        </w:rPr>
        <w:t xml:space="preserve">literate </w:t>
      </w:r>
      <w:r w:rsidR="00C325D7" w:rsidRPr="00321C8C">
        <w:rPr>
          <w:lang w:val="en-IE"/>
        </w:rPr>
        <w:t>upper class</w:t>
      </w:r>
      <w:r w:rsidR="001D559B">
        <w:rPr>
          <w:lang w:val="en-IE"/>
        </w:rPr>
        <w:t>,</w:t>
      </w:r>
      <w:r w:rsidR="00C325D7" w:rsidRPr="00321C8C">
        <w:rPr>
          <w:lang w:val="en-IE"/>
        </w:rPr>
        <w:t xml:space="preserve"> including women</w:t>
      </w:r>
      <w:r w:rsidR="006F416B">
        <w:rPr>
          <w:lang w:val="en-IE"/>
        </w:rPr>
        <w:t>, to give them a deeper understanding of their own religion as a defence to growing Christianity.</w:t>
      </w:r>
      <w:r w:rsidR="00C325D7">
        <w:rPr>
          <w:lang w:val="en-IE"/>
        </w:rPr>
        <w:t xml:space="preserve"> </w:t>
      </w:r>
      <w:r w:rsidR="00DE49F7">
        <w:t xml:space="preserve">Later </w:t>
      </w:r>
      <w:r w:rsidR="00320DDC">
        <w:t>in time</w:t>
      </w:r>
      <w:r w:rsidR="00DE49F7">
        <w:t xml:space="preserve">, </w:t>
      </w:r>
      <w:r w:rsidR="00C325D7" w:rsidRPr="00C325D7">
        <w:rPr>
          <w:i/>
        </w:rPr>
        <w:t>De mysteriis</w:t>
      </w:r>
      <w:r w:rsidR="00DE49F7">
        <w:t xml:space="preserve"> also </w:t>
      </w:r>
      <w:r w:rsidR="00555CE2">
        <w:t xml:space="preserve">exerted </w:t>
      </w:r>
      <w:r w:rsidR="00754078">
        <w:t>‘</w:t>
      </w:r>
      <w:r w:rsidR="00802A3E" w:rsidRPr="00802A3E">
        <w:t xml:space="preserve">a strong influence on </w:t>
      </w:r>
      <w:r w:rsidR="00802A3E">
        <w:t>Renaissance occultists like He</w:t>
      </w:r>
      <w:r w:rsidR="00754078">
        <w:t>i</w:t>
      </w:r>
      <w:r w:rsidR="00802A3E">
        <w:t>nrich Cornelius Agrippa</w:t>
      </w:r>
      <w:r w:rsidR="005756F7">
        <w:t xml:space="preserve"> (</w:t>
      </w:r>
      <w:r w:rsidR="00754078">
        <w:t>1486-1535</w:t>
      </w:r>
      <w:r w:rsidR="005756F7">
        <w:t>)</w:t>
      </w:r>
      <w:r w:rsidR="00802A3E">
        <w:t xml:space="preserve">, Marsilio </w:t>
      </w:r>
      <w:r w:rsidR="00802A3E" w:rsidRPr="00802A3E">
        <w:t>Ficino</w:t>
      </w:r>
      <w:r w:rsidR="005756F7">
        <w:t xml:space="preserve"> (</w:t>
      </w:r>
      <w:r w:rsidR="00754078">
        <w:t>1433-1499</w:t>
      </w:r>
      <w:r w:rsidR="005756F7">
        <w:t>)</w:t>
      </w:r>
      <w:r w:rsidR="00802A3E" w:rsidRPr="00802A3E">
        <w:t xml:space="preserve">, </w:t>
      </w:r>
      <w:r w:rsidR="00296A4D">
        <w:t xml:space="preserve">Giovanni </w:t>
      </w:r>
      <w:r w:rsidR="00802A3E" w:rsidRPr="00802A3E">
        <w:t>Pico della Mirandola</w:t>
      </w:r>
      <w:r w:rsidR="005756F7">
        <w:t xml:space="preserve"> (</w:t>
      </w:r>
      <w:r w:rsidR="00754078">
        <w:t>1463-1494</w:t>
      </w:r>
      <w:r w:rsidR="005756F7">
        <w:t>)</w:t>
      </w:r>
      <w:r w:rsidR="00802A3E" w:rsidRPr="00802A3E">
        <w:t>, and Giordano Bruno</w:t>
      </w:r>
      <w:r w:rsidR="005756F7">
        <w:t xml:space="preserve"> (</w:t>
      </w:r>
      <w:r w:rsidR="00754078">
        <w:t>1548-1600</w:t>
      </w:r>
      <w:r w:rsidR="005756F7">
        <w:t>)</w:t>
      </w:r>
      <w:r w:rsidR="00754078">
        <w:t>’</w:t>
      </w:r>
      <w:r w:rsidR="00802A3E" w:rsidRPr="00802A3E">
        <w:t>.</w:t>
      </w:r>
      <w:r w:rsidR="00802A3E">
        <w:rPr>
          <w:rStyle w:val="FootnoteReference"/>
        </w:rPr>
        <w:footnoteReference w:id="13"/>
      </w:r>
      <w:r w:rsidR="00906E27">
        <w:t xml:space="preserve"> </w:t>
      </w:r>
      <w:r w:rsidR="00321C8C" w:rsidRPr="00321C8C">
        <w:rPr>
          <w:i/>
        </w:rPr>
        <w:t>De mysteriis</w:t>
      </w:r>
      <w:r>
        <w:t xml:space="preserve"> was originally written in</w:t>
      </w:r>
      <w:r w:rsidR="00906E27">
        <w:t xml:space="preserve"> Greek and translated into Latin by Ficino, who was in fact responsible for the coinage of its short title.</w:t>
      </w:r>
      <w:r w:rsidR="00906E27">
        <w:rPr>
          <w:lang w:val="en-IE"/>
        </w:rPr>
        <w:t xml:space="preserve"> It </w:t>
      </w:r>
      <w:r w:rsidR="00827ECF">
        <w:t xml:space="preserve">has been translated into English </w:t>
      </w:r>
      <w:r w:rsidR="00A95AB3">
        <w:t xml:space="preserve">by numerous individuals, but most recently </w:t>
      </w:r>
      <w:r>
        <w:t>by</w:t>
      </w:r>
      <w:r w:rsidR="007C50E4">
        <w:t xml:space="preserve"> </w:t>
      </w:r>
      <w:r w:rsidR="007C50E4" w:rsidRPr="007C50E4">
        <w:t xml:space="preserve">Emma </w:t>
      </w:r>
      <w:r w:rsidR="007A39DD">
        <w:t xml:space="preserve">C. Clarke, John M. Dillon and Jackson </w:t>
      </w:r>
      <w:r w:rsidR="007C50E4" w:rsidRPr="007C50E4">
        <w:t xml:space="preserve">P. Hershbell </w:t>
      </w:r>
      <w:r>
        <w:t>and published by</w:t>
      </w:r>
      <w:r w:rsidR="007A39DD">
        <w:t xml:space="preserve"> </w:t>
      </w:r>
      <w:r w:rsidR="007C50E4">
        <w:t xml:space="preserve">the </w:t>
      </w:r>
      <w:r w:rsidR="007C50E4" w:rsidRPr="007C50E4">
        <w:t>Society of Biblical Literature</w:t>
      </w:r>
      <w:r w:rsidR="00697C60">
        <w:t xml:space="preserve"> in Atlanta.</w:t>
      </w:r>
      <w:r w:rsidR="000D1969">
        <w:t xml:space="preserve"> </w:t>
      </w:r>
      <w:r>
        <w:rPr>
          <w:iCs/>
        </w:rPr>
        <w:t xml:space="preserve">This </w:t>
      </w:r>
      <w:r w:rsidR="00906E27">
        <w:rPr>
          <w:iCs/>
        </w:rPr>
        <w:t>is the translated edition</w:t>
      </w:r>
      <w:r w:rsidR="00827ECF">
        <w:rPr>
          <w:iCs/>
        </w:rPr>
        <w:t xml:space="preserve"> that </w:t>
      </w:r>
      <w:r w:rsidRPr="00C02B4C">
        <w:rPr>
          <w:iCs/>
        </w:rPr>
        <w:t>I will be referring to for the purposes of this essay.</w:t>
      </w:r>
      <w:r w:rsidR="00FB3FA2">
        <w:rPr>
          <w:rStyle w:val="FootnoteReference"/>
          <w:iCs/>
        </w:rPr>
        <w:footnoteReference w:id="14"/>
      </w:r>
    </w:p>
    <w:p w14:paraId="0DD5822D" w14:textId="77777777" w:rsidR="002659F7" w:rsidRDefault="002659F7" w:rsidP="00E0318E">
      <w:pPr>
        <w:spacing w:line="360" w:lineRule="auto"/>
        <w:rPr>
          <w:b/>
          <w:lang w:val="en-IE"/>
        </w:rPr>
      </w:pPr>
    </w:p>
    <w:p w14:paraId="24004BC3" w14:textId="628392BA" w:rsidR="00E0318E" w:rsidRPr="002659F7" w:rsidRDefault="00BA45F3" w:rsidP="00E0318E">
      <w:pPr>
        <w:spacing w:line="360" w:lineRule="auto"/>
        <w:rPr>
          <w:b/>
        </w:rPr>
      </w:pPr>
      <w:r>
        <w:rPr>
          <w:b/>
        </w:rPr>
        <w:t xml:space="preserve">Structure and the </w:t>
      </w:r>
      <w:r w:rsidR="002659F7" w:rsidRPr="002659F7">
        <w:rPr>
          <w:b/>
        </w:rPr>
        <w:t xml:space="preserve">Use </w:t>
      </w:r>
      <w:r>
        <w:rPr>
          <w:b/>
        </w:rPr>
        <w:t>of Dialogue</w:t>
      </w:r>
    </w:p>
    <w:p w14:paraId="3B3EE607" w14:textId="095188BE" w:rsidR="00BA7540" w:rsidRDefault="00E143C3" w:rsidP="00F11893">
      <w:pPr>
        <w:spacing w:line="360" w:lineRule="auto"/>
      </w:pPr>
      <w:r>
        <w:rPr>
          <w:lang w:val="en-IE"/>
        </w:rPr>
        <w:t>Structurally</w:t>
      </w:r>
      <w:r w:rsidR="00FD3E55">
        <w:rPr>
          <w:lang w:val="en-IE"/>
        </w:rPr>
        <w:t xml:space="preserve">, </w:t>
      </w:r>
      <w:r w:rsidR="00FD3E55" w:rsidRPr="0084434E">
        <w:rPr>
          <w:i/>
          <w:lang w:val="en-IE"/>
        </w:rPr>
        <w:t xml:space="preserve">De mysteriis </w:t>
      </w:r>
      <w:r w:rsidR="009B33CA">
        <w:rPr>
          <w:lang w:val="en-IE"/>
        </w:rPr>
        <w:t>was</w:t>
      </w:r>
      <w:r w:rsidR="00FD3E55">
        <w:rPr>
          <w:lang w:val="en-IE"/>
        </w:rPr>
        <w:t xml:space="preserve"> written by Iamblichus under the </w:t>
      </w:r>
      <w:r w:rsidR="001D559B">
        <w:rPr>
          <w:lang w:val="en-IE"/>
        </w:rPr>
        <w:t>persona</w:t>
      </w:r>
      <w:r w:rsidR="00FD3E55">
        <w:rPr>
          <w:lang w:val="en-IE"/>
        </w:rPr>
        <w:t xml:space="preserve"> of an Egyptian prophet called “</w:t>
      </w:r>
      <w:r w:rsidR="00CD27B7">
        <w:rPr>
          <w:lang w:val="en-IE"/>
        </w:rPr>
        <w:t>Abamon</w:t>
      </w:r>
      <w:r w:rsidR="00FD3E55">
        <w:rPr>
          <w:lang w:val="en-IE"/>
        </w:rPr>
        <w:t xml:space="preserve">”, where he </w:t>
      </w:r>
      <w:r w:rsidR="00FD3E55" w:rsidRPr="0084434E">
        <w:rPr>
          <w:lang w:val="en-IE"/>
        </w:rPr>
        <w:t xml:space="preserve">answers Porphyry’s questions as set out in the latter’s </w:t>
      </w:r>
      <w:r w:rsidR="00FD3E55">
        <w:rPr>
          <w:lang w:val="en-IE"/>
        </w:rPr>
        <w:t>‘</w:t>
      </w:r>
      <w:r w:rsidR="00FD3E55" w:rsidRPr="0084434E">
        <w:rPr>
          <w:lang w:val="en-IE"/>
        </w:rPr>
        <w:t>Letter to Anebo</w:t>
      </w:r>
      <w:r w:rsidR="00FD3E55">
        <w:rPr>
          <w:lang w:val="en-IE"/>
        </w:rPr>
        <w:t>’</w:t>
      </w:r>
      <w:r w:rsidR="00FD3E55" w:rsidRPr="0084434E">
        <w:rPr>
          <w:lang w:val="en-IE"/>
        </w:rPr>
        <w:t xml:space="preserve">. </w:t>
      </w:r>
      <w:r w:rsidR="00FD3E55">
        <w:rPr>
          <w:lang w:val="en-IE"/>
        </w:rPr>
        <w:t xml:space="preserve">According to </w:t>
      </w:r>
      <w:r w:rsidR="00F54BE8">
        <w:rPr>
          <w:lang w:val="en-IE"/>
        </w:rPr>
        <w:t xml:space="preserve">Jeremy M. </w:t>
      </w:r>
      <w:r w:rsidR="00FD3E55">
        <w:rPr>
          <w:lang w:val="en-IE"/>
        </w:rPr>
        <w:t>Schott, ‘</w:t>
      </w:r>
      <w:r w:rsidR="00FD3E55">
        <w:t>[i]</w:t>
      </w:r>
      <w:r w:rsidR="00FD3E55" w:rsidRPr="00DD1991">
        <w:t xml:space="preserve">n the late third or early fourth century, </w:t>
      </w:r>
      <w:r w:rsidR="001D559B">
        <w:t>[…]</w:t>
      </w:r>
      <w:r w:rsidR="00FD3E55" w:rsidRPr="00DD1991">
        <w:t xml:space="preserve"> Porphyry sent a letter to an otherwise unknown Anebo, purportedly an Egyptian priest. The letter is an example of the </w:t>
      </w:r>
      <w:r w:rsidR="00FD3E55">
        <w:t xml:space="preserve">popular genre of </w:t>
      </w:r>
      <w:r w:rsidR="00FD3E55" w:rsidRPr="00913B23">
        <w:rPr>
          <w:i/>
          <w:lang w:val="en-GB"/>
        </w:rPr>
        <w:t>er</w:t>
      </w:r>
      <w:r w:rsidR="00FD3E55">
        <w:rPr>
          <w:i/>
          <w:lang w:val="en-GB"/>
        </w:rPr>
        <w:t>o</w:t>
      </w:r>
      <w:r w:rsidR="00FD3E55" w:rsidRPr="00913B23">
        <w:rPr>
          <w:i/>
          <w:lang w:val="en-GB"/>
        </w:rPr>
        <w:t>tapokrisis</w:t>
      </w:r>
      <w:r w:rsidR="00FD3E55">
        <w:t>, or “</w:t>
      </w:r>
      <w:r w:rsidR="00FD3E55" w:rsidRPr="00DD1991">
        <w:t>qu</w:t>
      </w:r>
      <w:r w:rsidR="00FD3E55">
        <w:t>estion-and-solution literature.”</w:t>
      </w:r>
      <w:r w:rsidR="00FD3E55" w:rsidRPr="00DD1991">
        <w:t xml:space="preserve"> Porphyry poses a series of</w:t>
      </w:r>
      <w:r w:rsidR="00FD3E55">
        <w:t xml:space="preserve"> metaphysical and theological </w:t>
      </w:r>
      <w:r w:rsidR="00FD3E55" w:rsidRPr="00913B23">
        <w:rPr>
          <w:i/>
        </w:rPr>
        <w:t>zetemata</w:t>
      </w:r>
      <w:r w:rsidR="00FD3E55">
        <w:t>, “questions,”</w:t>
      </w:r>
      <w:r w:rsidR="00FD3E55" w:rsidRPr="00DD1991">
        <w:t xml:space="preserve"> that anticipate a reply on the part of Anebo that will supply </w:t>
      </w:r>
      <w:r w:rsidR="00FD3E55" w:rsidRPr="00913B23">
        <w:rPr>
          <w:i/>
        </w:rPr>
        <w:t>luseis</w:t>
      </w:r>
      <w:r w:rsidR="00616363">
        <w:t xml:space="preserve">, </w:t>
      </w:r>
      <w:r w:rsidR="00FD3E55">
        <w:t>“solutions.”’</w:t>
      </w:r>
      <w:r w:rsidR="00FD3E55">
        <w:rPr>
          <w:rStyle w:val="FootnoteReference"/>
        </w:rPr>
        <w:footnoteReference w:id="15"/>
      </w:r>
      <w:r w:rsidR="00FD3E55" w:rsidRPr="00DD1991">
        <w:t> </w:t>
      </w:r>
      <w:r w:rsidR="00F76E5A">
        <w:t xml:space="preserve"> </w:t>
      </w:r>
      <w:r w:rsidR="00616363">
        <w:rPr>
          <w:lang w:val="en-IE"/>
        </w:rPr>
        <w:t xml:space="preserve">There are some differing views amongst scholars as to the underlying </w:t>
      </w:r>
      <w:r w:rsidR="00EC4E38">
        <w:rPr>
          <w:lang w:val="en-IE"/>
        </w:rPr>
        <w:t>rationale</w:t>
      </w:r>
      <w:r w:rsidR="00616363">
        <w:rPr>
          <w:lang w:val="en-IE"/>
        </w:rPr>
        <w:t xml:space="preserve"> behind the </w:t>
      </w:r>
      <w:r w:rsidR="00791DCF">
        <w:rPr>
          <w:lang w:val="en-IE"/>
        </w:rPr>
        <w:t xml:space="preserve">use of the </w:t>
      </w:r>
      <w:r w:rsidR="00616363">
        <w:rPr>
          <w:lang w:val="en-IE"/>
        </w:rPr>
        <w:t>question and answer session</w:t>
      </w:r>
      <w:r>
        <w:rPr>
          <w:lang w:val="en-IE"/>
        </w:rPr>
        <w:t xml:space="preserve"> between the two figures</w:t>
      </w:r>
      <w:r w:rsidR="00616363">
        <w:rPr>
          <w:lang w:val="en-IE"/>
        </w:rPr>
        <w:t xml:space="preserve">. </w:t>
      </w:r>
      <w:r w:rsidR="00EC4E38">
        <w:rPr>
          <w:lang w:val="en-IE"/>
        </w:rPr>
        <w:t>Some, such as</w:t>
      </w:r>
      <w:r>
        <w:rPr>
          <w:lang w:val="en-IE"/>
        </w:rPr>
        <w:t xml:space="preserve"> Dillon, </w:t>
      </w:r>
      <w:r w:rsidR="00EC4E38">
        <w:rPr>
          <w:lang w:val="en-IE"/>
        </w:rPr>
        <w:t>see</w:t>
      </w:r>
      <w:r>
        <w:rPr>
          <w:lang w:val="en-IE"/>
        </w:rPr>
        <w:t xml:space="preserve"> it as</w:t>
      </w:r>
      <w:r w:rsidR="00EC4E38">
        <w:rPr>
          <w:lang w:val="en-IE"/>
        </w:rPr>
        <w:t xml:space="preserve"> </w:t>
      </w:r>
      <w:r>
        <w:rPr>
          <w:lang w:val="en-IE"/>
        </w:rPr>
        <w:t>‘</w:t>
      </w:r>
      <w:r w:rsidRPr="00E143C3">
        <w:t>a comprehensive attack</w:t>
      </w:r>
      <w:r>
        <w:t xml:space="preserve"> [by Porphyry]</w:t>
      </w:r>
      <w:r w:rsidRPr="00E143C3">
        <w:t>, through the</w:t>
      </w:r>
      <w:r>
        <w:t xml:space="preserve"> </w:t>
      </w:r>
      <w:r w:rsidRPr="00E143C3">
        <w:t>medium of a series of innocent-sounding questions</w:t>
      </w:r>
      <w:r>
        <w:t xml:space="preserve"> […] [on the] </w:t>
      </w:r>
      <w:r w:rsidRPr="00E143C3">
        <w:t>distinction between religion and</w:t>
      </w:r>
      <w:r>
        <w:t xml:space="preserve"> </w:t>
      </w:r>
      <w:r w:rsidRPr="00E143C3">
        <w:t>magic: religion seeks to please or propitiate a higher power, or powers;</w:t>
      </w:r>
      <w:r>
        <w:t xml:space="preserve"> </w:t>
      </w:r>
      <w:r w:rsidRPr="00E143C3">
        <w:t>magic aspires, through the manipulation of natural forces, to dominate it</w:t>
      </w:r>
      <w:r>
        <w:t xml:space="preserve"> </w:t>
      </w:r>
      <w:r w:rsidRPr="00E143C3">
        <w:t>or them, and bend them to the magician’s will.</w:t>
      </w:r>
      <w:r>
        <w:t>’</w:t>
      </w:r>
      <w:r>
        <w:rPr>
          <w:rStyle w:val="FootnoteReference"/>
        </w:rPr>
        <w:footnoteReference w:id="16"/>
      </w:r>
      <w:r>
        <w:t xml:space="preserve"> </w:t>
      </w:r>
      <w:r w:rsidR="00F11893">
        <w:t>This argument is illustrated by the fact that</w:t>
      </w:r>
      <w:r w:rsidR="001A288B">
        <w:t xml:space="preserve"> an underlying theme throughout Book III </w:t>
      </w:r>
      <w:r w:rsidR="00433306">
        <w:t xml:space="preserve">of </w:t>
      </w:r>
      <w:r w:rsidR="00433306" w:rsidRPr="00433306">
        <w:rPr>
          <w:i/>
        </w:rPr>
        <w:t>De mysteriis</w:t>
      </w:r>
      <w:r w:rsidR="00433306">
        <w:t xml:space="preserve"> </w:t>
      </w:r>
      <w:r w:rsidR="001A288B">
        <w:t xml:space="preserve">is that </w:t>
      </w:r>
      <w:r w:rsidR="00F11893">
        <w:t>Iamblichus distinguishes between divine divination coming purely from the gods and mundane divination coming from mere human interpretation</w:t>
      </w:r>
      <w:r w:rsidR="00C70DE7">
        <w:t xml:space="preserve">: </w:t>
      </w:r>
    </w:p>
    <w:p w14:paraId="0A326B2B" w14:textId="34CBBE0E" w:rsidR="00BA7540" w:rsidRDefault="00C70DE7" w:rsidP="00BA7540">
      <w:pPr>
        <w:spacing w:line="360" w:lineRule="auto"/>
        <w:ind w:left="720"/>
      </w:pPr>
      <w:r>
        <w:t>‘[…] the divinatory power of the gods is bounded by nothing divisible</w:t>
      </w:r>
      <w:r w:rsidR="00A44973">
        <w:t xml:space="preserve"> […] but being separate by</w:t>
      </w:r>
      <w:r w:rsidR="001D559B">
        <w:t xml:space="preserve"> itself and indivisible, it is </w:t>
      </w:r>
      <w:r w:rsidR="00A44973">
        <w:t>wholly present everywhere […] it both illuminates from without and fills all things […].’</w:t>
      </w:r>
      <w:r w:rsidR="00A44973">
        <w:rPr>
          <w:rStyle w:val="FootnoteReference"/>
        </w:rPr>
        <w:footnoteReference w:id="17"/>
      </w:r>
      <w:r w:rsidR="00433306">
        <w:t xml:space="preserve"> </w:t>
      </w:r>
    </w:p>
    <w:p w14:paraId="502D03DA" w14:textId="4B4615EE" w:rsidR="00F11893" w:rsidRPr="009B33CA" w:rsidRDefault="00027D19" w:rsidP="00BA7540">
      <w:pPr>
        <w:spacing w:line="360" w:lineRule="auto"/>
      </w:pPr>
      <w:r>
        <w:t>Therefore,</w:t>
      </w:r>
      <w:r w:rsidR="00F11893">
        <w:t xml:space="preserve"> a tension </w:t>
      </w:r>
      <w:r w:rsidR="00B64E89">
        <w:t>is apparent</w:t>
      </w:r>
      <w:r w:rsidR="00F11893">
        <w:t xml:space="preserve"> between </w:t>
      </w:r>
      <w:r w:rsidR="00F11893">
        <w:rPr>
          <w:lang w:val="en-IE"/>
        </w:rPr>
        <w:t>I</w:t>
      </w:r>
      <w:r w:rsidR="00F11893">
        <w:rPr>
          <w:lang w:val="en-IE"/>
        </w:rPr>
        <w:t xml:space="preserve">amblichus </w:t>
      </w:r>
      <w:r w:rsidR="00F11893">
        <w:rPr>
          <w:lang w:val="en-IE"/>
        </w:rPr>
        <w:t xml:space="preserve">and Porphyry </w:t>
      </w:r>
      <w:r w:rsidR="00F11893">
        <w:rPr>
          <w:lang w:val="en-IE"/>
        </w:rPr>
        <w:t xml:space="preserve">in their </w:t>
      </w:r>
      <w:r>
        <w:rPr>
          <w:lang w:val="en-IE"/>
        </w:rPr>
        <w:t xml:space="preserve">disagreement regarding religion, with Iamblichus maintaining a </w:t>
      </w:r>
      <w:r w:rsidR="00F11893">
        <w:rPr>
          <w:lang w:val="en-IE"/>
        </w:rPr>
        <w:t xml:space="preserve">positive </w:t>
      </w:r>
      <w:r>
        <w:rPr>
          <w:lang w:val="en-IE"/>
        </w:rPr>
        <w:t xml:space="preserve">stance </w:t>
      </w:r>
      <w:r w:rsidR="00B64E89">
        <w:rPr>
          <w:lang w:val="en-IE"/>
        </w:rPr>
        <w:t>regarding</w:t>
      </w:r>
      <w:r w:rsidR="00F11893">
        <w:rPr>
          <w:lang w:val="en-IE"/>
        </w:rPr>
        <w:t xml:space="preserve"> religion, </w:t>
      </w:r>
      <w:r>
        <w:rPr>
          <w:lang w:val="en-IE"/>
        </w:rPr>
        <w:t xml:space="preserve">but Porphyry remaining </w:t>
      </w:r>
      <w:r w:rsidR="00F11893">
        <w:rPr>
          <w:lang w:val="en-IE"/>
        </w:rPr>
        <w:t>sceptical</w:t>
      </w:r>
      <w:r>
        <w:rPr>
          <w:lang w:val="en-IE"/>
        </w:rPr>
        <w:t xml:space="preserve"> about it.</w:t>
      </w:r>
    </w:p>
    <w:p w14:paraId="5F99965A" w14:textId="77777777" w:rsidR="00C06E1F" w:rsidRDefault="00C06E1F" w:rsidP="00555D8F">
      <w:pPr>
        <w:spacing w:line="360" w:lineRule="auto"/>
      </w:pPr>
    </w:p>
    <w:p w14:paraId="514BEFEE" w14:textId="77777777" w:rsidR="00BA7540" w:rsidRDefault="00BA7540" w:rsidP="00530FD1">
      <w:pPr>
        <w:spacing w:line="360" w:lineRule="auto"/>
      </w:pPr>
      <w:r>
        <w:t xml:space="preserve">Athanassiadi takes a different view. She says that </w:t>
      </w:r>
      <w:r w:rsidR="00FD3E55">
        <w:t>Porphyry’s questions</w:t>
      </w:r>
      <w:r>
        <w:t>:</w:t>
      </w:r>
    </w:p>
    <w:p w14:paraId="3D2AF46E" w14:textId="77777777" w:rsidR="00BA7540" w:rsidRDefault="00FD3E55" w:rsidP="00BA7540">
      <w:pPr>
        <w:spacing w:line="360" w:lineRule="auto"/>
        <w:ind w:left="720" w:firstLine="60"/>
      </w:pPr>
      <w:r>
        <w:t>‘</w:t>
      </w:r>
      <w:r w:rsidR="00BA7540">
        <w:t xml:space="preserve">[…] </w:t>
      </w:r>
      <w:r w:rsidRPr="00CE67B4">
        <w:t>do not seem to have upset lamblichus, who was not in the least angry at such irreverent questions. Occasionally, it is true, he was shocked by Porphyry's naivety, especially when the latter echoed Christian propaganda unawares but on the whole he was pleased to receive the Letter to Anebo. For lamblichus, like Plotinus, was above all a teacher. Consequently he set out patiently to elucidate obscure points, answer questions, dispel doubts. What resulted is a treatise on divination.</w:t>
      </w:r>
      <w:r>
        <w:t>’</w:t>
      </w:r>
      <w:r>
        <w:rPr>
          <w:rStyle w:val="FootnoteReference"/>
        </w:rPr>
        <w:footnoteReference w:id="18"/>
      </w:r>
      <w:r w:rsidRPr="00CE67B4">
        <w:t> </w:t>
      </w:r>
    </w:p>
    <w:p w14:paraId="1674B47C" w14:textId="08DFF5B0" w:rsidR="00BA7540" w:rsidRDefault="00EC4E38" w:rsidP="00BA7540">
      <w:pPr>
        <w:spacing w:line="360" w:lineRule="auto"/>
      </w:pPr>
      <w:r>
        <w:t>This view seems to allude to the fact that</w:t>
      </w:r>
      <w:r w:rsidR="00F11893">
        <w:t xml:space="preserve"> such</w:t>
      </w:r>
      <w:r>
        <w:t xml:space="preserve"> </w:t>
      </w:r>
      <w:r w:rsidR="00A32F3B">
        <w:t xml:space="preserve">philosophical </w:t>
      </w:r>
      <w:r>
        <w:rPr>
          <w:lang w:val="en-IE"/>
        </w:rPr>
        <w:t xml:space="preserve">dialogue </w:t>
      </w:r>
      <w:r w:rsidR="00A32F3B">
        <w:t xml:space="preserve">involving posing questions and finding solutions </w:t>
      </w:r>
      <w:r>
        <w:rPr>
          <w:lang w:val="en-IE"/>
        </w:rPr>
        <w:t>was central to the teaching methods of Neoplatonic philosophers</w:t>
      </w:r>
      <w:r w:rsidR="001D559B">
        <w:rPr>
          <w:lang w:val="en-IE"/>
        </w:rPr>
        <w:t xml:space="preserve">. </w:t>
      </w:r>
      <w:r w:rsidR="00C06E1F">
        <w:t>It is noteworthy in this context that I</w:t>
      </w:r>
      <w:r w:rsidR="00555D8F">
        <w:t xml:space="preserve">amblichus was writing contemporaneously with the publication of the </w:t>
      </w:r>
      <w:r w:rsidR="00555D8F" w:rsidRPr="009C7ABD">
        <w:rPr>
          <w:i/>
        </w:rPr>
        <w:t>Corpus Hermeticum</w:t>
      </w:r>
      <w:r w:rsidR="006C6BE2">
        <w:rPr>
          <w:i/>
        </w:rPr>
        <w:t xml:space="preserve"> </w:t>
      </w:r>
      <w:r w:rsidR="006C6BE2" w:rsidRPr="006C6BE2">
        <w:t xml:space="preserve">which is evidenced </w:t>
      </w:r>
      <w:r w:rsidR="00555D8F">
        <w:t xml:space="preserve">by Iamblichus’ dedication to the god Hermes outlined in the first chapter of Book I of </w:t>
      </w:r>
      <w:r w:rsidR="00555D8F" w:rsidRPr="008C6EC1">
        <w:rPr>
          <w:i/>
        </w:rPr>
        <w:t>De mysteriis</w:t>
      </w:r>
      <w:r w:rsidR="00555D8F" w:rsidRPr="008C6EC1">
        <w:t xml:space="preserve">: </w:t>
      </w:r>
    </w:p>
    <w:p w14:paraId="085A23C9" w14:textId="77777777" w:rsidR="00BA7540" w:rsidRDefault="00555D8F" w:rsidP="00BA7540">
      <w:pPr>
        <w:spacing w:line="360" w:lineRule="auto"/>
        <w:ind w:left="720"/>
      </w:pPr>
      <w:r>
        <w:t>‘Hermes, the god who presides over rational discourse, has long been considered, quite rightly, to be the common patron of all priests; he who presides over true knowledge about the gods is one and the same always and everywhere. It is to him that our ancestors in particular dedicated the fruits of their wisdom, attributing all their own writings to Hermes.’</w:t>
      </w:r>
      <w:r>
        <w:rPr>
          <w:rStyle w:val="FootnoteReference"/>
        </w:rPr>
        <w:footnoteReference w:id="19"/>
      </w:r>
      <w:r w:rsidR="00C06E1F">
        <w:t xml:space="preserve"> </w:t>
      </w:r>
    </w:p>
    <w:p w14:paraId="10301D8C" w14:textId="531D1E44" w:rsidR="00FD3E55" w:rsidRDefault="006C6BE2" w:rsidP="00BA7540">
      <w:pPr>
        <w:spacing w:line="360" w:lineRule="auto"/>
      </w:pPr>
      <w:r>
        <w:t>Campion</w:t>
      </w:r>
      <w:r>
        <w:t xml:space="preserve"> argues that </w:t>
      </w:r>
      <w:r>
        <w:t>Iamblichus ‘looked to the popular traditions of magic current in religious Platonism, amongst the followers of the Hermetic teachings, and argued that divine wisdom could be understood both through omens and through theurgy – literally god-work – meaning ritual and magic.’</w:t>
      </w:r>
      <w:r>
        <w:rPr>
          <w:rStyle w:val="FootnoteReference"/>
        </w:rPr>
        <w:footnoteReference w:id="20"/>
      </w:r>
      <w:r w:rsidR="005728ED">
        <w:t xml:space="preserve"> </w:t>
      </w:r>
      <w:r w:rsidR="000F4EEA">
        <w:t xml:space="preserve">Addey argues that </w:t>
      </w:r>
      <w:r w:rsidR="000008B0">
        <w:t xml:space="preserve">the </w:t>
      </w:r>
      <w:r w:rsidR="000008B0" w:rsidRPr="000008B0">
        <w:t xml:space="preserve">exchange </w:t>
      </w:r>
      <w:r w:rsidR="000008B0">
        <w:t>‘</w:t>
      </w:r>
      <w:r w:rsidR="000008B0" w:rsidRPr="000008B0">
        <w:t>comprises a mystagogic dialogue and a type of philosophical and religious discourse with protreptic, educational and initiatory functions</w:t>
      </w:r>
      <w:r w:rsidR="000008B0">
        <w:t>.’</w:t>
      </w:r>
      <w:r w:rsidR="000008B0">
        <w:rPr>
          <w:rStyle w:val="FootnoteReference"/>
        </w:rPr>
        <w:footnoteReference w:id="21"/>
      </w:r>
      <w:r w:rsidR="000008B0" w:rsidRPr="000008B0">
        <w:t xml:space="preserve"> </w:t>
      </w:r>
      <w:r w:rsidR="000008B0">
        <w:t xml:space="preserve">She further </w:t>
      </w:r>
      <w:r w:rsidR="005728ED">
        <w:t>notes</w:t>
      </w:r>
      <w:r w:rsidR="000008B0">
        <w:t xml:space="preserve"> that ‘</w:t>
      </w:r>
      <w:r w:rsidR="000008B0" w:rsidRPr="000008B0">
        <w:t>since divination plays a key role in theurgy and since divination always involves dialogue, the dialogic structure involving question and answer is particularly suitable for such a discussion.</w:t>
      </w:r>
      <w:r w:rsidR="000008B0">
        <w:t>’</w:t>
      </w:r>
      <w:r w:rsidR="000008B0">
        <w:rPr>
          <w:rStyle w:val="FootnoteReference"/>
        </w:rPr>
        <w:footnoteReference w:id="22"/>
      </w:r>
      <w:r w:rsidR="000008B0" w:rsidRPr="000008B0">
        <w:t xml:space="preserve"> </w:t>
      </w:r>
      <w:r w:rsidR="00530FD1">
        <w:t xml:space="preserve">Therefore, the philosophical </w:t>
      </w:r>
      <w:r w:rsidR="00530FD1">
        <w:rPr>
          <w:lang w:val="en-IE"/>
        </w:rPr>
        <w:t>dialogue between Iamblichus and Porphyry</w:t>
      </w:r>
      <w:r w:rsidR="002659F7">
        <w:rPr>
          <w:lang w:val="en-IE"/>
        </w:rPr>
        <w:t xml:space="preserve">, including the use of the </w:t>
      </w:r>
      <w:r w:rsidR="00952939">
        <w:rPr>
          <w:lang w:val="en-IE"/>
        </w:rPr>
        <w:t>personas</w:t>
      </w:r>
      <w:r w:rsidR="002659F7">
        <w:rPr>
          <w:lang w:val="en-IE"/>
        </w:rPr>
        <w:t xml:space="preserve"> of the prophet and the student, </w:t>
      </w:r>
      <w:r w:rsidR="00530FD1">
        <w:rPr>
          <w:lang w:val="en-IE"/>
        </w:rPr>
        <w:t xml:space="preserve">may not have been a negative exchange at all, but </w:t>
      </w:r>
      <w:r>
        <w:rPr>
          <w:lang w:val="en-IE"/>
        </w:rPr>
        <w:t>used</w:t>
      </w:r>
      <w:r w:rsidR="00530FD1">
        <w:rPr>
          <w:lang w:val="en-IE"/>
        </w:rPr>
        <w:t xml:space="preserve"> for the sake of </w:t>
      </w:r>
      <w:r w:rsidR="00530FD1">
        <w:rPr>
          <w:lang w:val="en-IE"/>
        </w:rPr>
        <w:t xml:space="preserve">promoting </w:t>
      </w:r>
      <w:r w:rsidR="00530FD1">
        <w:rPr>
          <w:lang w:val="en-IE"/>
        </w:rPr>
        <w:t>education</w:t>
      </w:r>
      <w:r w:rsidR="00C06E1F">
        <w:rPr>
          <w:lang w:val="en-IE"/>
        </w:rPr>
        <w:t xml:space="preserve"> </w:t>
      </w:r>
      <w:r w:rsidR="002659F7">
        <w:rPr>
          <w:lang w:val="en-IE"/>
        </w:rPr>
        <w:t xml:space="preserve">and gaining wisdom which was </w:t>
      </w:r>
      <w:r>
        <w:rPr>
          <w:lang w:val="en-IE"/>
        </w:rPr>
        <w:t xml:space="preserve">central to </w:t>
      </w:r>
      <w:r w:rsidR="005728ED">
        <w:rPr>
          <w:lang w:val="en-IE"/>
        </w:rPr>
        <w:t xml:space="preserve">theurgical practice and </w:t>
      </w:r>
      <w:r>
        <w:rPr>
          <w:lang w:val="en-IE"/>
        </w:rPr>
        <w:t>the</w:t>
      </w:r>
      <w:r w:rsidR="002659F7">
        <w:rPr>
          <w:lang w:val="en-IE"/>
        </w:rPr>
        <w:t xml:space="preserve"> Hermetic doctrine elucidated by the </w:t>
      </w:r>
      <w:r w:rsidR="002659F7" w:rsidRPr="002659F7">
        <w:rPr>
          <w:i/>
          <w:lang w:val="en-IE"/>
        </w:rPr>
        <w:t>Corpus Hermeticum</w:t>
      </w:r>
      <w:r w:rsidR="00C06E1F">
        <w:rPr>
          <w:lang w:val="en-IE"/>
        </w:rPr>
        <w:t xml:space="preserve">. </w:t>
      </w:r>
      <w:r w:rsidR="00530FD1">
        <w:rPr>
          <w:lang w:val="en-IE"/>
        </w:rPr>
        <w:t xml:space="preserve"> </w:t>
      </w:r>
    </w:p>
    <w:p w14:paraId="24813B55" w14:textId="77777777" w:rsidR="00BA7540" w:rsidRPr="00BA7540" w:rsidRDefault="00BA7540" w:rsidP="00BA7540">
      <w:pPr>
        <w:spacing w:line="360" w:lineRule="auto"/>
      </w:pPr>
    </w:p>
    <w:p w14:paraId="4450B86C" w14:textId="5E087E45" w:rsidR="00555D8F" w:rsidRPr="006C3F00" w:rsidRDefault="00BA45F3" w:rsidP="00FD3E55">
      <w:pPr>
        <w:rPr>
          <w:b/>
          <w:lang w:val="en-IE"/>
        </w:rPr>
      </w:pPr>
      <w:r>
        <w:rPr>
          <w:b/>
          <w:lang w:val="en-IE"/>
        </w:rPr>
        <w:t>Categorisation</w:t>
      </w:r>
      <w:r w:rsidR="005728ED">
        <w:rPr>
          <w:b/>
          <w:lang w:val="en-IE"/>
        </w:rPr>
        <w:t xml:space="preserve"> and</w:t>
      </w:r>
      <w:r w:rsidR="006C3F00">
        <w:rPr>
          <w:b/>
          <w:lang w:val="en-IE"/>
        </w:rPr>
        <w:t xml:space="preserve"> </w:t>
      </w:r>
      <w:r w:rsidR="006C3F00" w:rsidRPr="006C3F00">
        <w:rPr>
          <w:b/>
          <w:lang w:val="en-IE"/>
        </w:rPr>
        <w:t>Classification of Divination</w:t>
      </w:r>
    </w:p>
    <w:p w14:paraId="02762A96" w14:textId="77777777" w:rsidR="006C3F00" w:rsidRDefault="006C3F00" w:rsidP="00FD3E55">
      <w:pPr>
        <w:rPr>
          <w:lang w:val="en-IE"/>
        </w:rPr>
      </w:pPr>
    </w:p>
    <w:p w14:paraId="1EF93A1D" w14:textId="77777777" w:rsidR="00380C55" w:rsidRDefault="006C3F00" w:rsidP="006A3721">
      <w:pPr>
        <w:spacing w:line="360" w:lineRule="auto"/>
        <w:rPr>
          <w:lang w:val="en-IE"/>
        </w:rPr>
      </w:pPr>
      <w:r>
        <w:rPr>
          <w:lang w:val="en-IE"/>
        </w:rPr>
        <w:t xml:space="preserve">At the outset of Book III, Iamblichus </w:t>
      </w:r>
      <w:r w:rsidR="00A32F3B">
        <w:rPr>
          <w:lang w:val="en-IE"/>
        </w:rPr>
        <w:t xml:space="preserve">stresses </w:t>
      </w:r>
      <w:r w:rsidR="00EF53D3">
        <w:rPr>
          <w:lang w:val="en-IE"/>
        </w:rPr>
        <w:t xml:space="preserve">the importance of </w:t>
      </w:r>
      <w:r w:rsidR="00A32F3B">
        <w:rPr>
          <w:lang w:val="en-IE"/>
        </w:rPr>
        <w:t>discerning</w:t>
      </w:r>
      <w:r w:rsidR="00EF53D3">
        <w:rPr>
          <w:lang w:val="en-IE"/>
        </w:rPr>
        <w:t xml:space="preserve"> what divination is</w:t>
      </w:r>
      <w:r w:rsidR="00A32F3B">
        <w:rPr>
          <w:lang w:val="en-IE"/>
        </w:rPr>
        <w:t xml:space="preserve"> from what it is not</w:t>
      </w:r>
      <w:r w:rsidR="00EF53D3">
        <w:rPr>
          <w:lang w:val="en-IE"/>
        </w:rPr>
        <w:t xml:space="preserve">: </w:t>
      </w:r>
    </w:p>
    <w:p w14:paraId="0EFD30F9" w14:textId="77777777" w:rsidR="00380C55" w:rsidRDefault="006C3F00" w:rsidP="00380C55">
      <w:pPr>
        <w:spacing w:line="360" w:lineRule="auto"/>
        <w:ind w:left="720"/>
        <w:rPr>
          <w:lang w:val="en-IE"/>
        </w:rPr>
      </w:pPr>
      <w:r>
        <w:rPr>
          <w:lang w:val="en-IE"/>
        </w:rPr>
        <w:t>‘</w:t>
      </w:r>
      <w:r w:rsidR="00EF53D3">
        <w:rPr>
          <w:lang w:val="en-IE"/>
        </w:rPr>
        <w:t>The greatest talisman</w:t>
      </w:r>
      <w:r w:rsidR="008F167B">
        <w:rPr>
          <w:lang w:val="en-IE"/>
        </w:rPr>
        <w:t xml:space="preserve"> [antidote]</w:t>
      </w:r>
      <w:r w:rsidR="00EF53D3">
        <w:rPr>
          <w:lang w:val="en-IE"/>
        </w:rPr>
        <w:t xml:space="preserve"> […] against all such difficulties is this: to know the principle of divination […]</w:t>
      </w:r>
      <w:r w:rsidR="004A331E">
        <w:rPr>
          <w:lang w:val="en-IE"/>
        </w:rPr>
        <w:t xml:space="preserve"> all of its supreme power belongs to the gods, and is be</w:t>
      </w:r>
      <w:r w:rsidR="008F167B">
        <w:rPr>
          <w:lang w:val="en-IE"/>
        </w:rPr>
        <w:t>s</w:t>
      </w:r>
      <w:r w:rsidR="004A331E">
        <w:rPr>
          <w:lang w:val="en-IE"/>
        </w:rPr>
        <w:t>towed by the gods. Divination is accomplished by divine acts and signs, and consists of divine visions and scientific insights. All else is subordinate, instrumental to the gift of foreknowledge sent down by the gods</w:t>
      </w:r>
      <w:r w:rsidR="008F167B">
        <w:rPr>
          <w:lang w:val="en-IE"/>
        </w:rPr>
        <w:t xml:space="preserve"> […].</w:t>
      </w:r>
      <w:r w:rsidR="008F167B">
        <w:rPr>
          <w:rStyle w:val="FootnoteReference"/>
          <w:lang w:val="en-IE"/>
        </w:rPr>
        <w:footnoteReference w:id="23"/>
      </w:r>
      <w:r w:rsidR="008F167B">
        <w:rPr>
          <w:lang w:val="en-IE"/>
        </w:rPr>
        <w:t xml:space="preserve"> </w:t>
      </w:r>
      <w:r>
        <w:rPr>
          <w:lang w:val="en-IE"/>
        </w:rPr>
        <w:t xml:space="preserve"> </w:t>
      </w:r>
    </w:p>
    <w:p w14:paraId="5DAD6272" w14:textId="77777777" w:rsidR="00380C55" w:rsidRDefault="00380C55" w:rsidP="00380C55">
      <w:pPr>
        <w:spacing w:line="360" w:lineRule="auto"/>
        <w:rPr>
          <w:lang w:val="en-IE"/>
        </w:rPr>
      </w:pPr>
      <w:r>
        <w:rPr>
          <w:lang w:val="en-IE"/>
        </w:rPr>
        <w:t>Iamblichus</w:t>
      </w:r>
      <w:r w:rsidR="008F167B">
        <w:rPr>
          <w:lang w:val="en-IE"/>
        </w:rPr>
        <w:t xml:space="preserve"> also </w:t>
      </w:r>
      <w:r>
        <w:rPr>
          <w:lang w:val="en-IE"/>
        </w:rPr>
        <w:t>gives a warning to</w:t>
      </w:r>
      <w:r w:rsidR="008F167B">
        <w:rPr>
          <w:lang w:val="en-IE"/>
        </w:rPr>
        <w:t xml:space="preserve"> the reader</w:t>
      </w:r>
      <w:r>
        <w:rPr>
          <w:lang w:val="en-IE"/>
        </w:rPr>
        <w:t>:</w:t>
      </w:r>
      <w:r w:rsidR="008F167B">
        <w:rPr>
          <w:lang w:val="en-IE"/>
        </w:rPr>
        <w:t xml:space="preserve"> </w:t>
      </w:r>
    </w:p>
    <w:p w14:paraId="16A3C97B" w14:textId="77777777" w:rsidR="00380C55" w:rsidRDefault="008F167B" w:rsidP="00380C55">
      <w:pPr>
        <w:spacing w:line="360" w:lineRule="auto"/>
        <w:ind w:left="720"/>
        <w:rPr>
          <w:lang w:val="en-IE"/>
        </w:rPr>
      </w:pPr>
      <w:r>
        <w:rPr>
          <w:lang w:val="en-IE"/>
        </w:rPr>
        <w:t>‘</w:t>
      </w:r>
      <w:r w:rsidR="00380C55">
        <w:rPr>
          <w:lang w:val="en-IE"/>
        </w:rPr>
        <w:t xml:space="preserve">[…] </w:t>
      </w:r>
      <w:r>
        <w:rPr>
          <w:lang w:val="en-IE"/>
        </w:rPr>
        <w:t>never to derive divination of the future from those things that have no foreknowledge as such, but to derive it from the gods who in themselves possess the limits of all knowledge of existing things, from whom the mantic power is distributed throughout the whole cosmos, and among all the different natures found there.’</w:t>
      </w:r>
      <w:r>
        <w:rPr>
          <w:rStyle w:val="FootnoteReference"/>
          <w:lang w:val="en-IE"/>
        </w:rPr>
        <w:footnoteReference w:id="24"/>
      </w:r>
      <w:r w:rsidR="006C3F00">
        <w:rPr>
          <w:lang w:val="en-IE"/>
        </w:rPr>
        <w:t xml:space="preserve"> </w:t>
      </w:r>
    </w:p>
    <w:p w14:paraId="080816F9" w14:textId="1F1F000E" w:rsidR="006A3721" w:rsidRPr="00380C55" w:rsidRDefault="00DC0DA5" w:rsidP="00380C55">
      <w:pPr>
        <w:spacing w:line="360" w:lineRule="auto"/>
        <w:rPr>
          <w:lang w:val="en-IE"/>
        </w:rPr>
      </w:pPr>
      <w:r>
        <w:rPr>
          <w:lang w:val="en-IE"/>
        </w:rPr>
        <w:t>These</w:t>
      </w:r>
      <w:r w:rsidR="00292E67">
        <w:rPr>
          <w:lang w:val="en-IE"/>
        </w:rPr>
        <w:t xml:space="preserve"> passages</w:t>
      </w:r>
      <w:r>
        <w:rPr>
          <w:lang w:val="en-IE"/>
        </w:rPr>
        <w:t xml:space="preserve"> suggest</w:t>
      </w:r>
      <w:r w:rsidR="00292E67">
        <w:rPr>
          <w:lang w:val="en-IE"/>
        </w:rPr>
        <w:t xml:space="preserve"> that</w:t>
      </w:r>
      <w:r w:rsidR="009B33CA">
        <w:rPr>
          <w:lang w:val="en-IE"/>
        </w:rPr>
        <w:t xml:space="preserve"> Iamblichus </w:t>
      </w:r>
      <w:r>
        <w:rPr>
          <w:lang w:val="en-IE"/>
        </w:rPr>
        <w:t>is referring</w:t>
      </w:r>
      <w:r w:rsidR="009B33CA">
        <w:rPr>
          <w:lang w:val="en-IE"/>
        </w:rPr>
        <w:t xml:space="preserve"> to the existence of a </w:t>
      </w:r>
      <w:r w:rsidR="006C3F00">
        <w:rPr>
          <w:lang w:val="en-IE"/>
        </w:rPr>
        <w:t xml:space="preserve">hierarchical approach </w:t>
      </w:r>
      <w:r w:rsidR="009B33CA">
        <w:rPr>
          <w:lang w:val="en-IE"/>
        </w:rPr>
        <w:t>relative</w:t>
      </w:r>
      <w:r w:rsidR="006C3F00">
        <w:rPr>
          <w:lang w:val="en-IE"/>
        </w:rPr>
        <w:t xml:space="preserve"> to divinatio</w:t>
      </w:r>
      <w:r w:rsidR="00302180">
        <w:rPr>
          <w:lang w:val="en-IE"/>
        </w:rPr>
        <w:t>n</w:t>
      </w:r>
      <w:r w:rsidR="00292E67">
        <w:rPr>
          <w:lang w:val="en-IE"/>
        </w:rPr>
        <w:t xml:space="preserve">, an </w:t>
      </w:r>
      <w:r w:rsidR="009B33CA">
        <w:rPr>
          <w:lang w:val="en-IE"/>
        </w:rPr>
        <w:t>approach</w:t>
      </w:r>
      <w:r w:rsidR="00292E67">
        <w:rPr>
          <w:lang w:val="en-IE"/>
        </w:rPr>
        <w:t xml:space="preserve"> that is</w:t>
      </w:r>
      <w:r w:rsidR="009B33CA">
        <w:rPr>
          <w:lang w:val="en-IE"/>
        </w:rPr>
        <w:t xml:space="preserve"> maintained throughout Book III</w:t>
      </w:r>
      <w:r w:rsidR="00292E67">
        <w:rPr>
          <w:lang w:val="en-IE"/>
        </w:rPr>
        <w:t xml:space="preserve"> of </w:t>
      </w:r>
      <w:r w:rsidR="00292E67" w:rsidRPr="00292E67">
        <w:rPr>
          <w:i/>
          <w:lang w:val="en-IE"/>
        </w:rPr>
        <w:t>De mysteriis</w:t>
      </w:r>
      <w:r w:rsidR="00292E67">
        <w:rPr>
          <w:lang w:val="en-IE"/>
        </w:rPr>
        <w:t xml:space="preserve">. </w:t>
      </w:r>
      <w:r w:rsidR="006A3721">
        <w:rPr>
          <w:lang w:val="en-IE"/>
        </w:rPr>
        <w:t xml:space="preserve">Ultimately, </w:t>
      </w:r>
      <w:r w:rsidR="006A3721">
        <w:t>Athanassiadi states that</w:t>
      </w:r>
      <w:r w:rsidR="006A3721">
        <w:t xml:space="preserve"> ‘[h]</w:t>
      </w:r>
      <w:r w:rsidR="006A3721" w:rsidRPr="001111A8">
        <w:t>e never tires of repeating that true prophec</w:t>
      </w:r>
      <w:r w:rsidR="006A3721">
        <w:t>y is the gift of the gods alone […].’</w:t>
      </w:r>
      <w:r w:rsidR="006A3721">
        <w:rPr>
          <w:rStyle w:val="FootnoteReference"/>
        </w:rPr>
        <w:footnoteReference w:id="25"/>
      </w:r>
      <w:r w:rsidR="006A3721">
        <w:t xml:space="preserve"> As such, </w:t>
      </w:r>
      <w:r w:rsidR="006823DF">
        <w:t xml:space="preserve">Iamblichus’ arguments supporting divination are of a </w:t>
      </w:r>
      <w:r w:rsidR="00952939">
        <w:t xml:space="preserve">divine, </w:t>
      </w:r>
      <w:r w:rsidR="006823DF">
        <w:t xml:space="preserve">god-centred practice. </w:t>
      </w:r>
      <w:r w:rsidR="00380C55">
        <w:tab/>
      </w:r>
    </w:p>
    <w:p w14:paraId="0C4E279D" w14:textId="631F2538" w:rsidR="00EF53D3" w:rsidRDefault="00EF53D3" w:rsidP="00833286">
      <w:pPr>
        <w:spacing w:line="360" w:lineRule="auto"/>
        <w:rPr>
          <w:lang w:val="en-IE"/>
        </w:rPr>
      </w:pPr>
    </w:p>
    <w:p w14:paraId="5826EEF8" w14:textId="41A1E33C" w:rsidR="00BA7540" w:rsidRDefault="005728ED" w:rsidP="00833286">
      <w:pPr>
        <w:spacing w:line="360" w:lineRule="auto"/>
        <w:rPr>
          <w:lang w:val="en-IE"/>
        </w:rPr>
      </w:pPr>
      <w:r>
        <w:rPr>
          <w:lang w:val="en-IE"/>
        </w:rPr>
        <w:t>According to Addey, Iamblichus essentially</w:t>
      </w:r>
      <w:r w:rsidR="002D4657">
        <w:rPr>
          <w:lang w:val="en-IE"/>
        </w:rPr>
        <w:t xml:space="preserve"> divides divination into two main genres: </w:t>
      </w:r>
      <w:r>
        <w:rPr>
          <w:lang w:val="en-IE"/>
        </w:rPr>
        <w:t>‘</w:t>
      </w:r>
      <w:r w:rsidR="002D4657">
        <w:rPr>
          <w:lang w:val="en-IE"/>
        </w:rPr>
        <w:t>inspired</w:t>
      </w:r>
      <w:r w:rsidR="00F142B9">
        <w:rPr>
          <w:lang w:val="en-IE"/>
        </w:rPr>
        <w:t>’</w:t>
      </w:r>
      <w:r w:rsidR="002D4657">
        <w:rPr>
          <w:lang w:val="en-IE"/>
        </w:rPr>
        <w:t xml:space="preserve"> divination and </w:t>
      </w:r>
      <w:r>
        <w:rPr>
          <w:lang w:val="en-IE"/>
        </w:rPr>
        <w:t>‘</w:t>
      </w:r>
      <w:r w:rsidR="002D4657">
        <w:rPr>
          <w:lang w:val="en-IE"/>
        </w:rPr>
        <w:t>inductive</w:t>
      </w:r>
      <w:r w:rsidR="00F142B9">
        <w:rPr>
          <w:lang w:val="en-IE"/>
        </w:rPr>
        <w:t>’</w:t>
      </w:r>
      <w:r w:rsidR="002D4657">
        <w:rPr>
          <w:lang w:val="en-IE"/>
        </w:rPr>
        <w:t xml:space="preserve"> divination.</w:t>
      </w:r>
      <w:r w:rsidR="00F142B9">
        <w:rPr>
          <w:rStyle w:val="FootnoteReference"/>
          <w:lang w:val="en-IE"/>
        </w:rPr>
        <w:footnoteReference w:id="26"/>
      </w:r>
      <w:r w:rsidR="002D4657">
        <w:rPr>
          <w:lang w:val="en-IE"/>
        </w:rPr>
        <w:t xml:space="preserve"> </w:t>
      </w:r>
      <w:r>
        <w:rPr>
          <w:lang w:val="en-IE"/>
        </w:rPr>
        <w:t>He then evaluate</w:t>
      </w:r>
      <w:r w:rsidR="00BA45F3">
        <w:rPr>
          <w:lang w:val="en-IE"/>
        </w:rPr>
        <w:t>s the</w:t>
      </w:r>
      <w:r>
        <w:rPr>
          <w:lang w:val="en-IE"/>
        </w:rPr>
        <w:t xml:space="preserve"> d</w:t>
      </w:r>
      <w:r w:rsidR="00ED264A">
        <w:rPr>
          <w:lang w:val="en-IE"/>
        </w:rPr>
        <w:t xml:space="preserve">ifferent </w:t>
      </w:r>
      <w:r>
        <w:rPr>
          <w:lang w:val="en-IE"/>
        </w:rPr>
        <w:t>types</w:t>
      </w:r>
      <w:r w:rsidR="00ED264A">
        <w:rPr>
          <w:lang w:val="en-IE"/>
        </w:rPr>
        <w:t xml:space="preserve"> of divination</w:t>
      </w:r>
      <w:r>
        <w:rPr>
          <w:lang w:val="en-IE"/>
        </w:rPr>
        <w:t xml:space="preserve"> </w:t>
      </w:r>
      <w:r w:rsidR="00BA45F3">
        <w:rPr>
          <w:lang w:val="en-IE"/>
        </w:rPr>
        <w:t xml:space="preserve">that were practised at the </w:t>
      </w:r>
      <w:r w:rsidR="00952939">
        <w:rPr>
          <w:lang w:val="en-IE"/>
        </w:rPr>
        <w:t xml:space="preserve">time, such as dream and oracular divination and </w:t>
      </w:r>
      <w:r w:rsidR="0045359B">
        <w:rPr>
          <w:lang w:val="en-IE"/>
        </w:rPr>
        <w:t xml:space="preserve">categorises them </w:t>
      </w:r>
      <w:r w:rsidR="00BA45F3">
        <w:rPr>
          <w:lang w:val="en-IE"/>
        </w:rPr>
        <w:t>under one of the above two genres.</w:t>
      </w:r>
      <w:r w:rsidR="0024532B">
        <w:rPr>
          <w:lang w:val="en-IE"/>
        </w:rPr>
        <w:t xml:space="preserve"> </w:t>
      </w:r>
      <w:r>
        <w:rPr>
          <w:lang w:val="en-IE"/>
        </w:rPr>
        <w:t>Iamblichus speaks at length about divination by divine possession and inspiration. He sets out the c</w:t>
      </w:r>
      <w:r w:rsidR="00420B90">
        <w:rPr>
          <w:lang w:val="en-IE"/>
        </w:rPr>
        <w:t xml:space="preserve">haracteristic signs of those </w:t>
      </w:r>
      <w:r w:rsidR="00DC0DA5">
        <w:rPr>
          <w:lang w:val="en-IE"/>
        </w:rPr>
        <w:t xml:space="preserve">truly </w:t>
      </w:r>
      <w:r w:rsidR="00420B90">
        <w:rPr>
          <w:lang w:val="en-IE"/>
        </w:rPr>
        <w:t>possessed by the gods</w:t>
      </w:r>
      <w:r w:rsidR="006823DF">
        <w:rPr>
          <w:lang w:val="en-IE"/>
        </w:rPr>
        <w:t xml:space="preserve"> who are practising true divination</w:t>
      </w:r>
      <w:r w:rsidR="00420B90">
        <w:rPr>
          <w:lang w:val="en-IE"/>
        </w:rPr>
        <w:t xml:space="preserve">: </w:t>
      </w:r>
    </w:p>
    <w:p w14:paraId="54483D1F" w14:textId="77777777" w:rsidR="00BA7540" w:rsidRDefault="00420B90" w:rsidP="00BA7540">
      <w:pPr>
        <w:spacing w:line="360" w:lineRule="auto"/>
        <w:ind w:left="720"/>
        <w:rPr>
          <w:lang w:val="en-IE"/>
        </w:rPr>
      </w:pPr>
      <w:r>
        <w:rPr>
          <w:lang w:val="en-IE"/>
        </w:rPr>
        <w:t>‘</w:t>
      </w:r>
      <w:r w:rsidR="006823DF">
        <w:rPr>
          <w:lang w:val="en-IE"/>
        </w:rPr>
        <w:t>[…]</w:t>
      </w:r>
      <w:r>
        <w:rPr>
          <w:lang w:val="en-IE"/>
        </w:rPr>
        <w:t xml:space="preserve"> they have subjected their entire life as a vehicle or instrument to the gods who inspire them, either they exchange their human life for the divine, or they direct their own life towards the god; they neither act according to sensation, nor are they awake in the manner of those who have their senses aroused; neither do they themselves apprehend the future, nor are they moved like those who act according to purpose […] they are not even conscious of themselves […] nor do they project any personal knowledge.’</w:t>
      </w:r>
      <w:r w:rsidR="0024532B">
        <w:rPr>
          <w:lang w:val="en-IE"/>
        </w:rPr>
        <w:t xml:space="preserve"> </w:t>
      </w:r>
    </w:p>
    <w:p w14:paraId="2B6EA69B" w14:textId="16990D12" w:rsidR="00F2573A" w:rsidRDefault="0024532B" w:rsidP="00BA7540">
      <w:pPr>
        <w:spacing w:line="360" w:lineRule="auto"/>
        <w:rPr>
          <w:lang w:val="en-IE"/>
        </w:rPr>
      </w:pPr>
      <w:r>
        <w:rPr>
          <w:lang w:val="en-IE"/>
        </w:rPr>
        <w:t xml:space="preserve">He again posits a threefold graded system for divine possession: </w:t>
      </w:r>
      <w:r w:rsidR="00F2573A">
        <w:rPr>
          <w:lang w:val="en-IE"/>
        </w:rPr>
        <w:t xml:space="preserve">‘For either the god possesses us, or we become wholly the god’s property, or we exercise our activity in common with him. And sometimes we share in the god’s lowest power, sometimes in his intermediate, and sometime in his primary power. And sometimes there is a mere </w:t>
      </w:r>
      <w:r w:rsidR="00F2573A" w:rsidRPr="0024532B">
        <w:rPr>
          <w:i/>
          <w:lang w:val="en-IE"/>
        </w:rPr>
        <w:t>participation</w:t>
      </w:r>
      <w:r w:rsidR="00F2573A">
        <w:rPr>
          <w:lang w:val="en-IE"/>
        </w:rPr>
        <w:t xml:space="preserve">, sometimes a </w:t>
      </w:r>
      <w:r w:rsidR="00F2573A" w:rsidRPr="0024532B">
        <w:rPr>
          <w:i/>
          <w:lang w:val="en-IE"/>
        </w:rPr>
        <w:t>communion</w:t>
      </w:r>
      <w:r w:rsidR="00F2573A">
        <w:rPr>
          <w:lang w:val="en-IE"/>
        </w:rPr>
        <w:t xml:space="preserve">, and sometimes even a </w:t>
      </w:r>
      <w:r w:rsidR="00F2573A" w:rsidRPr="0024532B">
        <w:rPr>
          <w:i/>
          <w:lang w:val="en-IE"/>
        </w:rPr>
        <w:t>union</w:t>
      </w:r>
      <w:r w:rsidR="00F2573A">
        <w:rPr>
          <w:lang w:val="en-IE"/>
        </w:rPr>
        <w:t xml:space="preserve"> […]’</w:t>
      </w:r>
      <w:r w:rsidR="00F2573A">
        <w:rPr>
          <w:rStyle w:val="FootnoteReference"/>
          <w:lang w:val="en-IE"/>
        </w:rPr>
        <w:footnoteReference w:id="27"/>
      </w:r>
      <w:r>
        <w:rPr>
          <w:lang w:val="en-IE"/>
        </w:rPr>
        <w:t xml:space="preserve"> (emphasis added).</w:t>
      </w:r>
      <w:r w:rsidR="006823DF">
        <w:rPr>
          <w:lang w:val="en-IE"/>
        </w:rPr>
        <w:t xml:space="preserve"> Again,</w:t>
      </w:r>
      <w:r w:rsidR="00952939">
        <w:rPr>
          <w:lang w:val="en-IE"/>
        </w:rPr>
        <w:t xml:space="preserve"> for Iamblichus,</w:t>
      </w:r>
      <w:r w:rsidR="006823DF">
        <w:rPr>
          <w:lang w:val="en-IE"/>
        </w:rPr>
        <w:t xml:space="preserve"> it is via the possession </w:t>
      </w:r>
      <w:r w:rsidR="00952939">
        <w:rPr>
          <w:lang w:val="en-IE"/>
        </w:rPr>
        <w:t xml:space="preserve">by a </w:t>
      </w:r>
      <w:r w:rsidR="006823DF">
        <w:rPr>
          <w:lang w:val="en-IE"/>
        </w:rPr>
        <w:t xml:space="preserve">god that legitimate divination truly occurs. </w:t>
      </w:r>
    </w:p>
    <w:p w14:paraId="79906E20" w14:textId="77777777" w:rsidR="0029349B" w:rsidRDefault="0029349B" w:rsidP="00833286">
      <w:pPr>
        <w:spacing w:line="360" w:lineRule="auto"/>
        <w:rPr>
          <w:lang w:val="en-IE"/>
        </w:rPr>
      </w:pPr>
    </w:p>
    <w:p w14:paraId="700F4246" w14:textId="6B778664" w:rsidR="006A3721" w:rsidRPr="001111A8" w:rsidRDefault="00122656" w:rsidP="006A3721">
      <w:pPr>
        <w:spacing w:line="360" w:lineRule="auto"/>
      </w:pPr>
      <w:r>
        <w:rPr>
          <w:lang w:val="en-IE"/>
        </w:rPr>
        <w:t xml:space="preserve">In contrast to this, Iamblichus illustrates </w:t>
      </w:r>
      <w:r w:rsidR="00DC0DA5">
        <w:rPr>
          <w:lang w:val="en-IE"/>
        </w:rPr>
        <w:t xml:space="preserve">the features of those who are not truly divinely possessed: </w:t>
      </w:r>
      <w:r w:rsidR="0029349B">
        <w:rPr>
          <w:lang w:val="en-IE"/>
        </w:rPr>
        <w:t>‘</w:t>
      </w:r>
      <w:r w:rsidR="00DC0DA5">
        <w:rPr>
          <w:lang w:val="en-IE"/>
        </w:rPr>
        <w:t xml:space="preserve">[…] </w:t>
      </w:r>
      <w:r w:rsidR="0029349B">
        <w:rPr>
          <w:lang w:val="en-IE"/>
        </w:rPr>
        <w:t>those who conjure up the spirits secretly, without these blessed visions, grope, as it were, in darkness, and know nothing of what they do, except for some very small signs which appear in the body of one divinely inspired […] ignorant of the whole of divine inspiration […]’</w:t>
      </w:r>
      <w:r w:rsidR="0029349B">
        <w:rPr>
          <w:rStyle w:val="FootnoteReference"/>
          <w:lang w:val="en-IE"/>
        </w:rPr>
        <w:footnoteReference w:id="28"/>
      </w:r>
      <w:r w:rsidR="00DC0DA5">
        <w:rPr>
          <w:lang w:val="en-IE"/>
        </w:rPr>
        <w:t xml:space="preserve"> </w:t>
      </w:r>
      <w:r>
        <w:rPr>
          <w:lang w:val="en-IE"/>
        </w:rPr>
        <w:t xml:space="preserve">He also re-iterates the subservient role of the </w:t>
      </w:r>
      <w:r w:rsidR="0029349B">
        <w:rPr>
          <w:lang w:val="en-IE"/>
        </w:rPr>
        <w:t>soul or body</w:t>
      </w:r>
      <w:r w:rsidR="006823DF">
        <w:rPr>
          <w:lang w:val="en-IE"/>
        </w:rPr>
        <w:t xml:space="preserve"> in divination</w:t>
      </w:r>
      <w:r>
        <w:rPr>
          <w:lang w:val="en-IE"/>
        </w:rPr>
        <w:t xml:space="preserve">: </w:t>
      </w:r>
      <w:r w:rsidR="0029349B">
        <w:rPr>
          <w:lang w:val="en-IE"/>
        </w:rPr>
        <w:t>‘[…] the entire activity of divination comes to its fulfilment through the god acting by himself, purely detached from other things, without the soul or body moving in any way.’</w:t>
      </w:r>
      <w:r w:rsidR="0029349B">
        <w:rPr>
          <w:rStyle w:val="FootnoteReference"/>
          <w:lang w:val="en-IE"/>
        </w:rPr>
        <w:footnoteReference w:id="29"/>
      </w:r>
      <w:r w:rsidR="00DC0DA5">
        <w:rPr>
          <w:lang w:val="en-IE"/>
        </w:rPr>
        <w:t xml:space="preserve"> I</w:t>
      </w:r>
      <w:r>
        <w:rPr>
          <w:lang w:val="en-IE"/>
        </w:rPr>
        <w:t xml:space="preserve">amblichus </w:t>
      </w:r>
      <w:r w:rsidR="00DC0DA5">
        <w:rPr>
          <w:lang w:val="en-IE"/>
        </w:rPr>
        <w:t>even goes so far as to state</w:t>
      </w:r>
      <w:r>
        <w:rPr>
          <w:lang w:val="en-IE"/>
        </w:rPr>
        <w:t xml:space="preserve"> that the body and soul can</w:t>
      </w:r>
      <w:r w:rsidR="00DC0DA5">
        <w:rPr>
          <w:lang w:val="en-IE"/>
        </w:rPr>
        <w:t xml:space="preserve"> be essentially f</w:t>
      </w:r>
      <w:r>
        <w:rPr>
          <w:lang w:val="en-IE"/>
        </w:rPr>
        <w:t>atal for the practice of divination</w:t>
      </w:r>
      <w:r w:rsidR="0029349B">
        <w:rPr>
          <w:lang w:val="en-IE"/>
        </w:rPr>
        <w:t>: ‘But when the soul takes the initiative, or is disturbed during the divination, or the body interrupts and perverts the divine harmony, the divinations become turbulent and false, and the possession is no longer true nor genuinely divine.’</w:t>
      </w:r>
      <w:r w:rsidR="0029349B">
        <w:rPr>
          <w:rStyle w:val="FootnoteReference"/>
          <w:lang w:val="en-IE"/>
        </w:rPr>
        <w:footnoteReference w:id="30"/>
      </w:r>
      <w:r w:rsidR="006A3721">
        <w:rPr>
          <w:lang w:val="en-IE"/>
        </w:rPr>
        <w:t xml:space="preserve"> </w:t>
      </w:r>
      <w:r w:rsidR="001B13C1">
        <w:rPr>
          <w:lang w:val="en-IE"/>
        </w:rPr>
        <w:t xml:space="preserve">Overall, proper divination is that which </w:t>
      </w:r>
      <w:r w:rsidR="008E37B6">
        <w:rPr>
          <w:lang w:val="en-IE"/>
        </w:rPr>
        <w:t xml:space="preserve">comes from the divine without any undue interference from the soul or body of the practitioner. </w:t>
      </w:r>
    </w:p>
    <w:p w14:paraId="3B8FB910" w14:textId="1A552678" w:rsidR="00B00ECF" w:rsidRPr="00B00ECF" w:rsidRDefault="00B00ECF" w:rsidP="00755AD2">
      <w:pPr>
        <w:spacing w:line="360" w:lineRule="auto"/>
      </w:pPr>
    </w:p>
    <w:p w14:paraId="5EED0D04" w14:textId="2C3525E0" w:rsidR="009C24BF" w:rsidRDefault="009C24BF" w:rsidP="00755AD2">
      <w:pPr>
        <w:spacing w:line="360" w:lineRule="auto"/>
        <w:rPr>
          <w:b/>
        </w:rPr>
      </w:pPr>
      <w:r>
        <w:rPr>
          <w:b/>
        </w:rPr>
        <w:t>Conclusion</w:t>
      </w:r>
    </w:p>
    <w:p w14:paraId="6D1A24DF" w14:textId="27545C39" w:rsidR="00044547" w:rsidRDefault="00CA7165" w:rsidP="00755AD2">
      <w:pPr>
        <w:spacing w:line="360" w:lineRule="auto"/>
      </w:pPr>
      <w:r w:rsidRPr="00CA7165">
        <w:t xml:space="preserve">This essay considered Iamblichus’ arguments for divination contained in Book III of his </w:t>
      </w:r>
      <w:r w:rsidR="003E1AA0">
        <w:rPr>
          <w:i/>
        </w:rPr>
        <w:t>De mysteriis</w:t>
      </w:r>
      <w:r w:rsidR="0045359B">
        <w:t xml:space="preserve">. </w:t>
      </w:r>
      <w:r w:rsidR="00044547">
        <w:t xml:space="preserve">The philosophical dialogue form used </w:t>
      </w:r>
      <w:r w:rsidR="003E1AA0">
        <w:t xml:space="preserve">by Iamblichus </w:t>
      </w:r>
      <w:r w:rsidR="00B64E89">
        <w:t>emphasises his views for the practice of divination</w:t>
      </w:r>
      <w:r w:rsidR="008E37B6">
        <w:t xml:space="preserve"> and is a useful aid by which he strives to comprehend and unravel the fundamental nature of divination</w:t>
      </w:r>
      <w:r w:rsidR="00CD5461">
        <w:t>.</w:t>
      </w:r>
      <w:r w:rsidR="008E37B6">
        <w:t xml:space="preserve"> </w:t>
      </w:r>
      <w:r w:rsidR="00CD5461">
        <w:t xml:space="preserve">By his use of </w:t>
      </w:r>
      <w:r w:rsidR="00952939">
        <w:t>categoris</w:t>
      </w:r>
      <w:r w:rsidR="00CD5461">
        <w:t>ation and classification, h</w:t>
      </w:r>
      <w:r w:rsidR="000434DF">
        <w:t>e</w:t>
      </w:r>
      <w:r w:rsidR="00CD5461">
        <w:t xml:space="preserve"> is being supportive of the practice of divination by outlining </w:t>
      </w:r>
      <w:r w:rsidR="008E37B6">
        <w:t xml:space="preserve">and distinguishing </w:t>
      </w:r>
      <w:r w:rsidR="000434DF">
        <w:t xml:space="preserve">what divination is from what it is not. </w:t>
      </w:r>
      <w:r w:rsidR="003E1AA0" w:rsidRPr="00755AD2">
        <w:t>Overall, Iamblichus’ views for divination</w:t>
      </w:r>
      <w:r w:rsidR="003E1AA0">
        <w:t xml:space="preserve"> provided a </w:t>
      </w:r>
      <w:r w:rsidR="003E1AA0">
        <w:t xml:space="preserve">necessary and helpful </w:t>
      </w:r>
      <w:r w:rsidR="003E1AA0">
        <w:t xml:space="preserve">framework and a more transparent understanding of the nature of true </w:t>
      </w:r>
      <w:r w:rsidR="00FE60A5">
        <w:t xml:space="preserve">god-centred </w:t>
      </w:r>
      <w:r w:rsidR="003E1AA0">
        <w:t>divinat</w:t>
      </w:r>
      <w:r w:rsidR="003E1AA0">
        <w:t>ion of that time and which has maintained its influence even today.</w:t>
      </w:r>
      <w:r w:rsidR="000434DF">
        <w:t xml:space="preserve"> </w:t>
      </w:r>
    </w:p>
    <w:p w14:paraId="04C3D30D" w14:textId="77777777" w:rsidR="002F629F" w:rsidRDefault="002F629F" w:rsidP="00755AD2">
      <w:pPr>
        <w:spacing w:line="360" w:lineRule="auto"/>
      </w:pPr>
    </w:p>
    <w:p w14:paraId="5E71BD66" w14:textId="77777777" w:rsidR="002F629F" w:rsidRDefault="002F629F" w:rsidP="002F629F"/>
    <w:p w14:paraId="4C7BDF26" w14:textId="77777777" w:rsidR="002F629F" w:rsidRDefault="002F629F" w:rsidP="002F629F"/>
    <w:p w14:paraId="472CA0A0" w14:textId="77777777" w:rsidR="002F629F" w:rsidRDefault="002F629F" w:rsidP="002F629F"/>
    <w:p w14:paraId="161B0294" w14:textId="77777777" w:rsidR="002F629F" w:rsidRDefault="002F629F" w:rsidP="002F629F"/>
    <w:p w14:paraId="253EA330" w14:textId="77777777" w:rsidR="002F629F" w:rsidRDefault="002F629F" w:rsidP="002F629F"/>
    <w:p w14:paraId="6F071D7C" w14:textId="77777777" w:rsidR="002F629F" w:rsidRDefault="002F629F" w:rsidP="002F629F"/>
    <w:p w14:paraId="7F030EF6" w14:textId="77777777" w:rsidR="002F629F" w:rsidRDefault="002F629F" w:rsidP="002F629F"/>
    <w:p w14:paraId="3361E961" w14:textId="77777777" w:rsidR="002F629F" w:rsidRDefault="002F629F" w:rsidP="002F629F"/>
    <w:p w14:paraId="4E430B60" w14:textId="77777777" w:rsidR="002F629F" w:rsidRDefault="002F629F" w:rsidP="002F629F"/>
    <w:p w14:paraId="7D18333E" w14:textId="77777777" w:rsidR="002F629F" w:rsidRDefault="002F629F" w:rsidP="002F629F"/>
    <w:p w14:paraId="2472DBC5" w14:textId="77777777" w:rsidR="002F629F" w:rsidRDefault="002F629F" w:rsidP="002F629F"/>
    <w:p w14:paraId="6565CCFC" w14:textId="77777777" w:rsidR="002F629F" w:rsidRDefault="002F629F" w:rsidP="002F629F"/>
    <w:p w14:paraId="0D75D723" w14:textId="77777777" w:rsidR="002F629F" w:rsidRDefault="002F629F" w:rsidP="002F629F"/>
    <w:p w14:paraId="7CCB094A" w14:textId="77777777" w:rsidR="002F629F" w:rsidRDefault="002F629F" w:rsidP="002F629F"/>
    <w:p w14:paraId="14306933" w14:textId="77777777" w:rsidR="002F629F" w:rsidRDefault="002F629F" w:rsidP="002F629F"/>
    <w:p w14:paraId="2040932F" w14:textId="77777777" w:rsidR="002F629F" w:rsidRDefault="002F629F" w:rsidP="002F629F"/>
    <w:p w14:paraId="685B3AC1" w14:textId="77777777" w:rsidR="002F629F" w:rsidRDefault="002F629F" w:rsidP="002F629F"/>
    <w:p w14:paraId="0EE9DF4C" w14:textId="77777777" w:rsidR="002F629F" w:rsidRDefault="002F629F" w:rsidP="002F629F"/>
    <w:p w14:paraId="3D2830A4" w14:textId="77777777" w:rsidR="002F629F" w:rsidRDefault="002F629F" w:rsidP="002F629F"/>
    <w:p w14:paraId="49DEC8BD" w14:textId="77777777" w:rsidR="002F629F" w:rsidRDefault="002F629F" w:rsidP="002F629F"/>
    <w:p w14:paraId="02C7C73E" w14:textId="77777777" w:rsidR="002F629F" w:rsidRDefault="002F629F" w:rsidP="002F629F"/>
    <w:p w14:paraId="45333B10" w14:textId="77777777" w:rsidR="002F629F" w:rsidRDefault="002F629F" w:rsidP="002F629F"/>
    <w:p w14:paraId="596DAEBA" w14:textId="77777777" w:rsidR="002F629F" w:rsidRDefault="002F629F" w:rsidP="002F629F"/>
    <w:p w14:paraId="5FD50536" w14:textId="77777777" w:rsidR="002F629F" w:rsidRDefault="002F629F" w:rsidP="002F629F"/>
    <w:p w14:paraId="0A35DB30" w14:textId="77777777" w:rsidR="002F629F" w:rsidRDefault="002F629F" w:rsidP="002F629F"/>
    <w:p w14:paraId="4F26697F" w14:textId="77777777" w:rsidR="002F629F" w:rsidRDefault="002F629F" w:rsidP="002F629F"/>
    <w:p w14:paraId="0FAA1BA9" w14:textId="77777777" w:rsidR="002F629F" w:rsidRDefault="002F629F" w:rsidP="002F629F"/>
    <w:p w14:paraId="0BF3D2CD" w14:textId="77777777" w:rsidR="002F629F" w:rsidRDefault="002F629F" w:rsidP="002F629F"/>
    <w:p w14:paraId="23EAC2FD" w14:textId="77777777" w:rsidR="002F629F" w:rsidRDefault="002F629F" w:rsidP="002F629F"/>
    <w:p w14:paraId="00472673" w14:textId="77777777" w:rsidR="002F629F" w:rsidRDefault="002F629F" w:rsidP="002F629F"/>
    <w:p w14:paraId="449AC8A4" w14:textId="77777777" w:rsidR="002F629F" w:rsidRDefault="002F629F" w:rsidP="002F629F"/>
    <w:p w14:paraId="32F731E1" w14:textId="77777777" w:rsidR="002F629F" w:rsidRDefault="002F629F" w:rsidP="002F629F">
      <w:pPr>
        <w:rPr>
          <w:b/>
          <w:lang w:val="en-IE"/>
        </w:rPr>
      </w:pPr>
      <w:bookmarkStart w:id="4" w:name="_GoBack"/>
      <w:bookmarkEnd w:id="4"/>
      <w:r w:rsidRPr="000E503C">
        <w:rPr>
          <w:b/>
          <w:lang w:val="en-IE"/>
        </w:rPr>
        <w:t>Bibliography:</w:t>
      </w:r>
    </w:p>
    <w:p w14:paraId="5041500A" w14:textId="77777777" w:rsidR="002F629F" w:rsidRPr="006E3666" w:rsidRDefault="002F629F" w:rsidP="002F629F">
      <w:pPr>
        <w:rPr>
          <w:lang w:val="en-IE"/>
        </w:rPr>
      </w:pPr>
    </w:p>
    <w:p w14:paraId="74A87E86" w14:textId="77777777" w:rsidR="002F629F" w:rsidRDefault="002F629F" w:rsidP="002F629F">
      <w:r>
        <w:t>Addey, Crystal,</w:t>
      </w:r>
      <w:r w:rsidRPr="00C74611">
        <w:t xml:space="preserve"> </w:t>
      </w:r>
      <w:r w:rsidRPr="00C74611">
        <w:rPr>
          <w:i/>
          <w:iCs/>
        </w:rPr>
        <w:t>Divination and Theurgy i</w:t>
      </w:r>
      <w:r>
        <w:rPr>
          <w:i/>
          <w:iCs/>
        </w:rPr>
        <w:t>n Neoplatonism: Oracles of the G</w:t>
      </w:r>
      <w:r w:rsidRPr="00C74611">
        <w:rPr>
          <w:i/>
          <w:iCs/>
        </w:rPr>
        <w:t>ods</w:t>
      </w:r>
      <w:r w:rsidRPr="00C74611">
        <w:t xml:space="preserve">, </w:t>
      </w:r>
      <w:r>
        <w:t xml:space="preserve">(Farnham: </w:t>
      </w:r>
      <w:r w:rsidRPr="00C74611">
        <w:t>Ashgate, 2014</w:t>
      </w:r>
      <w:r>
        <w:t>).</w:t>
      </w:r>
    </w:p>
    <w:p w14:paraId="7F0AD449" w14:textId="77777777" w:rsidR="002F629F" w:rsidRDefault="002F629F" w:rsidP="002F629F"/>
    <w:p w14:paraId="5D7EED3A" w14:textId="77777777" w:rsidR="002F629F" w:rsidRPr="005B7069" w:rsidRDefault="002F629F" w:rsidP="002F629F">
      <w:r w:rsidRPr="005B7069">
        <w:rPr>
          <w:lang w:val="en-IE"/>
        </w:rPr>
        <w:t>Athanassiadi, Polymnia, ‘</w:t>
      </w:r>
      <w:r w:rsidRPr="005B7069">
        <w:t xml:space="preserve">Dreams, Theurgy and Freelance Divination: The Testimony of Iamblichus’, </w:t>
      </w:r>
      <w:r w:rsidRPr="005B7069">
        <w:rPr>
          <w:i/>
        </w:rPr>
        <w:t>The Journal of Roman Studies</w:t>
      </w:r>
      <w:r w:rsidRPr="005B7069">
        <w:t>, Vol. 83 (1993), pp. 115-130.</w:t>
      </w:r>
    </w:p>
    <w:p w14:paraId="695FBBE2" w14:textId="77777777" w:rsidR="002F629F" w:rsidRDefault="002F629F" w:rsidP="002F629F">
      <w:pPr>
        <w:rPr>
          <w:b/>
          <w:lang w:val="en-IE"/>
        </w:rPr>
      </w:pPr>
    </w:p>
    <w:p w14:paraId="18B7C9EF" w14:textId="77777777" w:rsidR="002F629F" w:rsidRDefault="002F629F" w:rsidP="002F629F">
      <w:pPr>
        <w:pStyle w:val="FootnoteText"/>
      </w:pPr>
      <w:r>
        <w:t>Camp</w:t>
      </w:r>
      <w:r w:rsidRPr="002070C2">
        <w:t xml:space="preserve">ion, Nicholas, </w:t>
      </w:r>
      <w:r w:rsidRPr="002070C2">
        <w:rPr>
          <w:i/>
        </w:rPr>
        <w:t>A History of Western Astrology - Vol. 1: The Ancient and Classical Worlds</w:t>
      </w:r>
      <w:r w:rsidRPr="002070C2">
        <w:t xml:space="preserve">, (New York &amp; </w:t>
      </w:r>
      <w:r>
        <w:t>London: Continuum Books, 2008).</w:t>
      </w:r>
    </w:p>
    <w:p w14:paraId="5DCAA0D3" w14:textId="77777777" w:rsidR="002F629F" w:rsidRDefault="002F629F" w:rsidP="002F629F">
      <w:pPr>
        <w:pStyle w:val="FootnoteText"/>
      </w:pPr>
    </w:p>
    <w:p w14:paraId="4188B809" w14:textId="77777777" w:rsidR="002F629F" w:rsidRPr="00C7230D" w:rsidRDefault="002F629F" w:rsidP="002F629F">
      <w:pPr>
        <w:pStyle w:val="FootnoteText"/>
        <w:rPr>
          <w:lang w:val="en-IE"/>
        </w:rPr>
      </w:pPr>
      <w:r w:rsidRPr="00C7230D">
        <w:rPr>
          <w:lang w:val="en-IE"/>
        </w:rPr>
        <w:t>Dillon, John M.,</w:t>
      </w:r>
      <w:r w:rsidRPr="00C7230D">
        <w:rPr>
          <w:rFonts w:ascii="Helvetica" w:hAnsi="Helvetica"/>
        </w:rPr>
        <w:t xml:space="preserve"> ‘</w:t>
      </w:r>
      <w:r w:rsidRPr="00C7230D">
        <w:t xml:space="preserve">Iamblichus’ Defence of Theurgy: Some Reflections’, </w:t>
      </w:r>
      <w:r w:rsidRPr="00C7230D">
        <w:rPr>
          <w:i/>
        </w:rPr>
        <w:t>The International Journal of the Platonic Tradition</w:t>
      </w:r>
      <w:r w:rsidRPr="00C7230D">
        <w:t>, 1 (2007) 30-41</w:t>
      </w:r>
      <w:r>
        <w:t>.</w:t>
      </w:r>
    </w:p>
    <w:p w14:paraId="35091500" w14:textId="77777777" w:rsidR="002F629F" w:rsidRDefault="002F629F" w:rsidP="002F629F"/>
    <w:p w14:paraId="387771C6" w14:textId="77777777" w:rsidR="002F629F" w:rsidRDefault="002F629F" w:rsidP="002F629F">
      <w:r w:rsidRPr="00723872">
        <w:t xml:space="preserve">Dodds, E.R., ‘Theurgy and its relationship to Neoplatonism’, </w:t>
      </w:r>
      <w:r w:rsidRPr="00723872">
        <w:rPr>
          <w:i/>
        </w:rPr>
        <w:t>The Journal of Roman Studies</w:t>
      </w:r>
      <w:r w:rsidRPr="00723872">
        <w:t>, Vol. 37 (1947), pp. 55-69</w:t>
      </w:r>
      <w:r>
        <w:t>.</w:t>
      </w:r>
    </w:p>
    <w:p w14:paraId="59548B6D" w14:textId="77777777" w:rsidR="002F629F" w:rsidRPr="00902A58" w:rsidRDefault="002F629F" w:rsidP="002F629F"/>
    <w:p w14:paraId="1B75ADEA" w14:textId="77777777" w:rsidR="002F629F" w:rsidRPr="00902A58" w:rsidRDefault="002F629F" w:rsidP="002F629F">
      <w:pPr>
        <w:rPr>
          <w:rFonts w:eastAsia="Times New Roman" w:cs="Times New Roman"/>
        </w:rPr>
      </w:pPr>
      <w:r w:rsidRPr="00902A58">
        <w:rPr>
          <w:lang w:val="en-IE"/>
        </w:rPr>
        <w:t>Eunapius of Sardis,</w:t>
      </w:r>
      <w:r w:rsidRPr="00902A58">
        <w:rPr>
          <w:i/>
          <w:lang w:val="en-IE"/>
        </w:rPr>
        <w:t xml:space="preserve"> Lives of the Philosophers and Sophists</w:t>
      </w:r>
      <w:r w:rsidRPr="00902A58">
        <w:rPr>
          <w:lang w:val="en-IE"/>
        </w:rPr>
        <w:t>,</w:t>
      </w:r>
      <w:r w:rsidRPr="00902A58">
        <w:rPr>
          <w:rFonts w:eastAsia="Times New Roman"/>
          <w:color w:val="000000"/>
          <w:shd w:val="clear" w:color="auto" w:fill="FFFFFF"/>
        </w:rPr>
        <w:t xml:space="preserve"> </w:t>
      </w:r>
      <w:r w:rsidRPr="00902A58">
        <w:rPr>
          <w:rFonts w:eastAsia="Times New Roman" w:cs="Times New Roman"/>
          <w:color w:val="000000"/>
          <w:shd w:val="clear" w:color="auto" w:fill="FFFFFF"/>
        </w:rPr>
        <w:t>trans. by Wilmer Cave Wright (1921)</w:t>
      </w:r>
      <w:r>
        <w:rPr>
          <w:rFonts w:eastAsia="Times New Roman" w:cs="Times New Roman"/>
          <w:color w:val="000000"/>
          <w:shd w:val="clear" w:color="auto" w:fill="FFFFFF"/>
        </w:rPr>
        <w:t>,</w:t>
      </w:r>
      <w:r w:rsidRPr="00902A58">
        <w:rPr>
          <w:lang w:val="en-IE"/>
        </w:rPr>
        <w:t xml:space="preserve"> </w:t>
      </w:r>
      <w:hyperlink r:id="rId9" w:anchor="IAMBLICHUS" w:history="1">
        <w:r w:rsidRPr="00902A58">
          <w:rPr>
            <w:rStyle w:val="Hyperlink"/>
            <w:lang w:val="en-IE"/>
          </w:rPr>
          <w:t>http://www.tertullian.org/fathers/eunapius_02_text.htm#IAMBLICHUS</w:t>
        </w:r>
      </w:hyperlink>
      <w:r w:rsidRPr="00902A58">
        <w:rPr>
          <w:lang w:val="en-IE"/>
        </w:rPr>
        <w:t xml:space="preserve"> accessed on 1</w:t>
      </w:r>
      <w:r w:rsidRPr="00902A58">
        <w:rPr>
          <w:vertAlign w:val="superscript"/>
          <w:lang w:val="en-IE"/>
        </w:rPr>
        <w:t>st</w:t>
      </w:r>
      <w:r w:rsidRPr="00902A58">
        <w:rPr>
          <w:lang w:val="en-IE"/>
        </w:rPr>
        <w:t xml:space="preserve"> June, 2018. </w:t>
      </w:r>
    </w:p>
    <w:p w14:paraId="0C9DB145" w14:textId="77777777" w:rsidR="002F629F" w:rsidRDefault="002F629F" w:rsidP="002F629F"/>
    <w:p w14:paraId="18A64D94" w14:textId="77777777" w:rsidR="002F629F" w:rsidRDefault="002F629F" w:rsidP="002F629F">
      <w:r w:rsidRPr="006E3666">
        <w:t xml:space="preserve">Iamblichus, </w:t>
      </w:r>
      <w:r w:rsidRPr="006E3666">
        <w:rPr>
          <w:i/>
          <w:iCs/>
        </w:rPr>
        <w:t xml:space="preserve">On the Mysteries </w:t>
      </w:r>
      <w:r w:rsidRPr="006E3666">
        <w:t>(</w:t>
      </w:r>
      <w:r w:rsidRPr="006E3666">
        <w:rPr>
          <w:i/>
          <w:iCs/>
        </w:rPr>
        <w:t>De mysteriis</w:t>
      </w:r>
      <w:r>
        <w:t>), trans. by</w:t>
      </w:r>
      <w:r w:rsidRPr="006E3666">
        <w:t xml:space="preserve"> Emma C. Clarke, Jo</w:t>
      </w:r>
      <w:r>
        <w:t>hn M. Dillon and J.P. Hershbell, (</w:t>
      </w:r>
      <w:r w:rsidRPr="006E3666">
        <w:t>Atlanta: Society of Biblical Literature, 2003</w:t>
      </w:r>
      <w:r>
        <w:t>)</w:t>
      </w:r>
      <w:r w:rsidRPr="006E3666">
        <w:t>. </w:t>
      </w:r>
    </w:p>
    <w:p w14:paraId="3EFAF25E" w14:textId="77777777" w:rsidR="002F629F" w:rsidRDefault="002F629F" w:rsidP="002F629F"/>
    <w:p w14:paraId="3C30E48E" w14:textId="77777777" w:rsidR="002F629F" w:rsidRPr="0097277D" w:rsidRDefault="002F629F" w:rsidP="002F629F">
      <w:r w:rsidRPr="0097277D">
        <w:rPr>
          <w:bCs/>
        </w:rPr>
        <w:t xml:space="preserve">Iamblichus, ‘Introduction’, </w:t>
      </w:r>
      <w:r w:rsidRPr="0097277D">
        <w:rPr>
          <w:bCs/>
          <w:i/>
          <w:iCs/>
        </w:rPr>
        <w:t>Theurgia or On the Mysteries of Egypt</w:t>
      </w:r>
      <w:r w:rsidRPr="0097277D">
        <w:rPr>
          <w:bCs/>
          <w:iCs/>
        </w:rPr>
        <w:t>, trans. by.</w:t>
      </w:r>
      <w:r w:rsidRPr="0097277D">
        <w:rPr>
          <w:lang w:val="en-IE"/>
        </w:rPr>
        <w:t xml:space="preserve"> Joseph H. Peterson, </w:t>
      </w:r>
      <w:hyperlink r:id="rId10" w:history="1">
        <w:r w:rsidRPr="0097277D">
          <w:rPr>
            <w:rStyle w:val="Hyperlink"/>
            <w:lang w:val="en-IE"/>
          </w:rPr>
          <w:t>http://www.esotericarchives.com/oracle/iambl_th.htm</w:t>
        </w:r>
      </w:hyperlink>
      <w:r w:rsidRPr="0097277D">
        <w:rPr>
          <w:lang w:val="en-IE"/>
        </w:rPr>
        <w:t xml:space="preserve"> accessed on 30th May 2018.</w:t>
      </w:r>
    </w:p>
    <w:p w14:paraId="3ABCDE59" w14:textId="77777777" w:rsidR="002F629F" w:rsidRPr="0097277D" w:rsidRDefault="002F629F" w:rsidP="002F629F">
      <w:pPr>
        <w:rPr>
          <w:lang w:val="en-IE"/>
        </w:rPr>
      </w:pPr>
    </w:p>
    <w:p w14:paraId="7AAAD019" w14:textId="77777777" w:rsidR="002F629F" w:rsidRPr="0097277D" w:rsidRDefault="002F629F" w:rsidP="002F629F">
      <w:r w:rsidRPr="0097277D">
        <w:rPr>
          <w:lang w:val="en-IE"/>
        </w:rPr>
        <w:t xml:space="preserve">Schott, </w:t>
      </w:r>
      <w:r w:rsidRPr="0097277D">
        <w:t xml:space="preserve">Jeremy M., </w:t>
      </w:r>
      <w:r w:rsidRPr="0097277D">
        <w:rPr>
          <w:lang w:val="en-IE"/>
        </w:rPr>
        <w:t>‘</w:t>
      </w:r>
      <w:r w:rsidRPr="0097277D">
        <w:t>Philosophies of Language, Theories of Translation, and Imperial Intellectual Production: The Cases of Porphyry, Iamblichus, and Eusebius’, </w:t>
      </w:r>
      <w:r w:rsidRPr="0097277D">
        <w:rPr>
          <w:i/>
        </w:rPr>
        <w:t>Church History</w:t>
      </w:r>
      <w:r w:rsidRPr="0097277D">
        <w:t xml:space="preserve"> 78:4 (December 2009), pp. 855-861</w:t>
      </w:r>
      <w:r>
        <w:t>.</w:t>
      </w:r>
    </w:p>
    <w:p w14:paraId="05FE5223" w14:textId="77777777" w:rsidR="002F629F" w:rsidRPr="0097277D" w:rsidRDefault="002F629F" w:rsidP="002F629F">
      <w:pPr>
        <w:rPr>
          <w:lang w:val="en-IE"/>
        </w:rPr>
      </w:pPr>
    </w:p>
    <w:p w14:paraId="08A1B05B" w14:textId="77777777" w:rsidR="002F629F" w:rsidRDefault="002F629F" w:rsidP="002F629F">
      <w:pPr>
        <w:rPr>
          <w:lang w:val="en-IE"/>
        </w:rPr>
      </w:pPr>
      <w:r>
        <w:rPr>
          <w:lang w:val="en-IE"/>
        </w:rPr>
        <w:t xml:space="preserve">Shaw, Gregory, </w:t>
      </w:r>
      <w:r w:rsidRPr="00720DDB">
        <w:rPr>
          <w:i/>
          <w:lang w:val="en-IE"/>
        </w:rPr>
        <w:t>Theurgy and the Soul: The Neoplatonism of Iamblichus</w:t>
      </w:r>
      <w:r>
        <w:rPr>
          <w:lang w:val="en-IE"/>
        </w:rPr>
        <w:t>, (Pennsylvania: Pennsylvania State University Press, 1995).</w:t>
      </w:r>
    </w:p>
    <w:p w14:paraId="3DF749E8" w14:textId="77777777" w:rsidR="002F629F" w:rsidRDefault="002F629F" w:rsidP="002F629F">
      <w:pPr>
        <w:rPr>
          <w:lang w:val="en-IE"/>
        </w:rPr>
      </w:pPr>
    </w:p>
    <w:p w14:paraId="52DB219F" w14:textId="77777777" w:rsidR="002F629F" w:rsidRDefault="002F629F" w:rsidP="002F629F">
      <w:pPr>
        <w:rPr>
          <w:lang w:val="en-IE"/>
        </w:rPr>
      </w:pPr>
    </w:p>
    <w:p w14:paraId="3BA5B085" w14:textId="77777777" w:rsidR="002F629F" w:rsidRPr="000C282D" w:rsidRDefault="002F629F" w:rsidP="002F629F">
      <w:pPr>
        <w:rPr>
          <w:lang w:val="en-IE"/>
        </w:rPr>
      </w:pPr>
    </w:p>
    <w:p w14:paraId="35803199" w14:textId="77777777" w:rsidR="002F629F" w:rsidRPr="008E37B6" w:rsidRDefault="002F629F" w:rsidP="00755AD2">
      <w:pPr>
        <w:spacing w:line="360" w:lineRule="auto"/>
      </w:pPr>
    </w:p>
    <w:p w14:paraId="531738CB" w14:textId="77777777" w:rsidR="00E94162" w:rsidRDefault="00E94162" w:rsidP="00755AD2">
      <w:pPr>
        <w:spacing w:line="360" w:lineRule="auto"/>
      </w:pPr>
    </w:p>
    <w:p w14:paraId="3CEAB783" w14:textId="77777777" w:rsidR="00E94162" w:rsidRDefault="00E94162" w:rsidP="00755AD2">
      <w:pPr>
        <w:spacing w:line="360" w:lineRule="auto"/>
      </w:pPr>
    </w:p>
    <w:p w14:paraId="138EE86C" w14:textId="77777777" w:rsidR="00E94162" w:rsidRPr="00755AD2" w:rsidRDefault="00E94162" w:rsidP="00755AD2">
      <w:pPr>
        <w:spacing w:line="360" w:lineRule="auto"/>
      </w:pPr>
    </w:p>
    <w:sectPr w:rsidR="00E94162" w:rsidRPr="00755AD2" w:rsidSect="00E318BC">
      <w:headerReference w:type="even" r:id="rId11"/>
      <w:headerReference w:type="default"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07EDA3" w14:textId="77777777" w:rsidR="00722C81" w:rsidRDefault="00722C81" w:rsidP="00746153">
      <w:r>
        <w:separator/>
      </w:r>
    </w:p>
  </w:endnote>
  <w:endnote w:type="continuationSeparator" w:id="0">
    <w:p w14:paraId="2A9021B9" w14:textId="77777777" w:rsidR="00722C81" w:rsidRDefault="00722C81" w:rsidP="00746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Wingdings 2">
    <w:panose1 w:val="050201020105070707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D4B98" w14:textId="11CDCB0A" w:rsidR="00134A58" w:rsidRPr="00134A58" w:rsidRDefault="00134A58" w:rsidP="00134A58">
    <w:pPr>
      <w:pStyle w:val="Footer"/>
      <w:jc w:val="center"/>
      <w:rPr>
        <w:lang w:val="en-IE"/>
      </w:rPr>
    </w:pPr>
    <w:r>
      <w:rPr>
        <w:lang w:val="en-IE"/>
      </w:rPr>
      <w:t>Word count (excl. footnotes, bibliography and cover sheet): 2,069.</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258C1D" w14:textId="77777777" w:rsidR="00722C81" w:rsidRDefault="00722C81" w:rsidP="00746153">
      <w:r>
        <w:separator/>
      </w:r>
    </w:p>
  </w:footnote>
  <w:footnote w:type="continuationSeparator" w:id="0">
    <w:p w14:paraId="74F76B98" w14:textId="77777777" w:rsidR="00722C81" w:rsidRDefault="00722C81" w:rsidP="00746153">
      <w:r>
        <w:continuationSeparator/>
      </w:r>
    </w:p>
  </w:footnote>
  <w:footnote w:id="1">
    <w:p w14:paraId="0751E5AD" w14:textId="4CF5162E" w:rsidR="00547351" w:rsidRPr="00547351" w:rsidRDefault="00EE79AE" w:rsidP="00547351">
      <w:pPr>
        <w:rPr>
          <w:rFonts w:eastAsia="Times New Roman" w:cs="Times New Roman"/>
        </w:rPr>
      </w:pPr>
      <w:r>
        <w:rPr>
          <w:rStyle w:val="FootnoteReference"/>
        </w:rPr>
        <w:footnoteRef/>
      </w:r>
      <w:r>
        <w:t xml:space="preserve"> </w:t>
      </w:r>
      <w:r w:rsidRPr="00EE79AE">
        <w:rPr>
          <w:sz w:val="20"/>
          <w:szCs w:val="20"/>
          <w:lang w:val="en-IE"/>
        </w:rPr>
        <w:t>Eunapius of Sardis,</w:t>
      </w:r>
      <w:r w:rsidRPr="00EE79AE">
        <w:rPr>
          <w:i/>
          <w:sz w:val="20"/>
          <w:szCs w:val="20"/>
          <w:lang w:val="en-IE"/>
        </w:rPr>
        <w:t xml:space="preserve"> Lives of the Philosophers and Sophists</w:t>
      </w:r>
      <w:r w:rsidRPr="00EE79AE">
        <w:rPr>
          <w:sz w:val="20"/>
          <w:szCs w:val="20"/>
          <w:lang w:val="en-IE"/>
        </w:rPr>
        <w:t>,</w:t>
      </w:r>
      <w:r w:rsidR="00547351" w:rsidRPr="00547351">
        <w:rPr>
          <w:rFonts w:eastAsia="Times New Roman"/>
          <w:color w:val="000000"/>
          <w:shd w:val="clear" w:color="auto" w:fill="FFFFFF"/>
        </w:rPr>
        <w:t xml:space="preserve"> </w:t>
      </w:r>
      <w:r w:rsidR="0028225F">
        <w:rPr>
          <w:rFonts w:eastAsia="Times New Roman" w:cs="Times New Roman"/>
          <w:color w:val="000000"/>
          <w:sz w:val="20"/>
          <w:szCs w:val="20"/>
          <w:shd w:val="clear" w:color="auto" w:fill="FFFFFF"/>
        </w:rPr>
        <w:t>t</w:t>
      </w:r>
      <w:r w:rsidR="00547351" w:rsidRPr="00547351">
        <w:rPr>
          <w:rFonts w:eastAsia="Times New Roman" w:cs="Times New Roman"/>
          <w:color w:val="000000"/>
          <w:sz w:val="20"/>
          <w:szCs w:val="20"/>
          <w:shd w:val="clear" w:color="auto" w:fill="FFFFFF"/>
        </w:rPr>
        <w:t>rans</w:t>
      </w:r>
      <w:r w:rsidR="00547351">
        <w:rPr>
          <w:rFonts w:eastAsia="Times New Roman" w:cs="Times New Roman"/>
          <w:color w:val="000000"/>
          <w:sz w:val="20"/>
          <w:szCs w:val="20"/>
          <w:shd w:val="clear" w:color="auto" w:fill="FFFFFF"/>
        </w:rPr>
        <w:t xml:space="preserve">. </w:t>
      </w:r>
      <w:r w:rsidR="00547351" w:rsidRPr="00547351">
        <w:rPr>
          <w:rFonts w:eastAsia="Times New Roman" w:cs="Times New Roman"/>
          <w:color w:val="000000"/>
          <w:sz w:val="20"/>
          <w:szCs w:val="20"/>
          <w:shd w:val="clear" w:color="auto" w:fill="FFFFFF"/>
        </w:rPr>
        <w:t xml:space="preserve">by Wilmer Cave </w:t>
      </w:r>
      <w:r w:rsidR="0028225F">
        <w:rPr>
          <w:rFonts w:eastAsia="Times New Roman" w:cs="Times New Roman"/>
          <w:color w:val="000000"/>
          <w:sz w:val="20"/>
          <w:szCs w:val="20"/>
          <w:shd w:val="clear" w:color="auto" w:fill="FFFFFF"/>
        </w:rPr>
        <w:t>Wright (</w:t>
      </w:r>
      <w:r w:rsidR="00547351">
        <w:rPr>
          <w:rFonts w:eastAsia="Times New Roman" w:cs="Times New Roman"/>
          <w:color w:val="000000"/>
          <w:sz w:val="20"/>
          <w:szCs w:val="20"/>
          <w:shd w:val="clear" w:color="auto" w:fill="FFFFFF"/>
        </w:rPr>
        <w:t>1921</w:t>
      </w:r>
      <w:r w:rsidR="0028225F">
        <w:rPr>
          <w:rFonts w:eastAsia="Times New Roman" w:cs="Times New Roman"/>
          <w:color w:val="000000"/>
          <w:sz w:val="20"/>
          <w:szCs w:val="20"/>
          <w:shd w:val="clear" w:color="auto" w:fill="FFFFFF"/>
        </w:rPr>
        <w:t>)</w:t>
      </w:r>
    </w:p>
    <w:p w14:paraId="252DAC75" w14:textId="4F4C9E0D" w:rsidR="00EE79AE" w:rsidRPr="00EE79AE" w:rsidRDefault="00EE79AE">
      <w:pPr>
        <w:pStyle w:val="FootnoteText"/>
        <w:rPr>
          <w:lang w:val="en-IE"/>
        </w:rPr>
      </w:pPr>
      <w:r w:rsidRPr="00EE79AE">
        <w:rPr>
          <w:sz w:val="20"/>
          <w:szCs w:val="20"/>
          <w:lang w:val="en-IE"/>
        </w:rPr>
        <w:t xml:space="preserve"> p.</w:t>
      </w:r>
      <w:r w:rsidR="0028225F">
        <w:rPr>
          <w:sz w:val="20"/>
          <w:szCs w:val="20"/>
          <w:lang w:val="en-IE"/>
        </w:rPr>
        <w:t xml:space="preserve"> </w:t>
      </w:r>
      <w:r w:rsidR="00547351">
        <w:rPr>
          <w:sz w:val="20"/>
          <w:szCs w:val="20"/>
          <w:lang w:val="en-IE"/>
        </w:rPr>
        <w:t>363</w:t>
      </w:r>
      <w:r w:rsidR="0028225F">
        <w:rPr>
          <w:sz w:val="20"/>
          <w:szCs w:val="20"/>
          <w:lang w:val="en-IE"/>
        </w:rPr>
        <w:t>,</w:t>
      </w:r>
      <w:r>
        <w:rPr>
          <w:lang w:val="en-IE"/>
        </w:rPr>
        <w:t xml:space="preserve"> </w:t>
      </w:r>
      <w:hyperlink r:id="rId1" w:history="1">
        <w:r w:rsidR="003274E0" w:rsidRPr="00E21D71">
          <w:rPr>
            <w:rStyle w:val="Hyperlink"/>
            <w:sz w:val="20"/>
            <w:szCs w:val="20"/>
            <w:lang w:val="en-IE"/>
          </w:rPr>
          <w:t>http://www.tertullian.org/fathers/eunapius_02_text.htm#IAMBLICHUS</w:t>
        </w:r>
      </w:hyperlink>
      <w:r w:rsidR="003274E0">
        <w:rPr>
          <w:sz w:val="20"/>
          <w:szCs w:val="20"/>
          <w:lang w:val="en-IE"/>
        </w:rPr>
        <w:t xml:space="preserve"> accessed on 1</w:t>
      </w:r>
      <w:r w:rsidR="003274E0" w:rsidRPr="003274E0">
        <w:rPr>
          <w:sz w:val="20"/>
          <w:szCs w:val="20"/>
          <w:vertAlign w:val="superscript"/>
          <w:lang w:val="en-IE"/>
        </w:rPr>
        <w:t>st</w:t>
      </w:r>
      <w:r w:rsidR="003274E0">
        <w:rPr>
          <w:sz w:val="20"/>
          <w:szCs w:val="20"/>
          <w:lang w:val="en-IE"/>
        </w:rPr>
        <w:t xml:space="preserve"> June, 2018. </w:t>
      </w:r>
    </w:p>
  </w:footnote>
  <w:footnote w:id="2">
    <w:p w14:paraId="4B9332B9" w14:textId="3914DF2B" w:rsidR="00C147A1" w:rsidRPr="00C147A1" w:rsidRDefault="00C147A1">
      <w:pPr>
        <w:pStyle w:val="FootnoteText"/>
        <w:rPr>
          <w:lang w:val="en-IE"/>
        </w:rPr>
      </w:pPr>
      <w:r>
        <w:rPr>
          <w:rStyle w:val="FootnoteReference"/>
        </w:rPr>
        <w:footnoteRef/>
      </w:r>
      <w:r>
        <w:t xml:space="preserve"> </w:t>
      </w:r>
      <w:r w:rsidR="0028225F" w:rsidRPr="00FB3FA2">
        <w:rPr>
          <w:sz w:val="20"/>
          <w:szCs w:val="20"/>
        </w:rPr>
        <w:t xml:space="preserve">Iamblichus, </w:t>
      </w:r>
      <w:r w:rsidR="0028225F" w:rsidRPr="00FB3FA2">
        <w:rPr>
          <w:i/>
          <w:iCs/>
          <w:sz w:val="20"/>
          <w:szCs w:val="20"/>
        </w:rPr>
        <w:t xml:space="preserve">On the Mysteries </w:t>
      </w:r>
      <w:r w:rsidR="0028225F" w:rsidRPr="00FB3FA2">
        <w:rPr>
          <w:sz w:val="20"/>
          <w:szCs w:val="20"/>
        </w:rPr>
        <w:t>(</w:t>
      </w:r>
      <w:r w:rsidR="0028225F" w:rsidRPr="00FB3FA2">
        <w:rPr>
          <w:i/>
          <w:iCs/>
          <w:sz w:val="20"/>
          <w:szCs w:val="20"/>
        </w:rPr>
        <w:t>De mysteriis</w:t>
      </w:r>
      <w:r w:rsidR="0028225F">
        <w:rPr>
          <w:sz w:val="20"/>
          <w:szCs w:val="20"/>
        </w:rPr>
        <w:t xml:space="preserve">), trans. by </w:t>
      </w:r>
      <w:r w:rsidR="0028225F" w:rsidRPr="00FB3FA2">
        <w:rPr>
          <w:sz w:val="20"/>
          <w:szCs w:val="20"/>
        </w:rPr>
        <w:t>Emma C. Clarke, John M. Dillon and J</w:t>
      </w:r>
      <w:r w:rsidR="0028225F">
        <w:rPr>
          <w:sz w:val="20"/>
          <w:szCs w:val="20"/>
        </w:rPr>
        <w:t xml:space="preserve">ackson </w:t>
      </w:r>
      <w:r w:rsidR="0028225F" w:rsidRPr="00FB3FA2">
        <w:rPr>
          <w:sz w:val="20"/>
          <w:szCs w:val="20"/>
        </w:rPr>
        <w:t xml:space="preserve">P. Hershbell </w:t>
      </w:r>
      <w:r w:rsidR="0028225F">
        <w:rPr>
          <w:sz w:val="20"/>
          <w:szCs w:val="20"/>
        </w:rPr>
        <w:t>(</w:t>
      </w:r>
      <w:r w:rsidR="0028225F" w:rsidRPr="00FB3FA2">
        <w:rPr>
          <w:sz w:val="20"/>
          <w:szCs w:val="20"/>
        </w:rPr>
        <w:t>Atlanta: Society of Biblical Literature, 2003</w:t>
      </w:r>
      <w:r w:rsidR="0028225F">
        <w:rPr>
          <w:sz w:val="20"/>
          <w:szCs w:val="20"/>
        </w:rPr>
        <w:t>)</w:t>
      </w:r>
      <w:r w:rsidRPr="00C147A1">
        <w:rPr>
          <w:sz w:val="20"/>
          <w:szCs w:val="20"/>
          <w:lang w:val="en-IE"/>
        </w:rPr>
        <w:t>, p. xviii.</w:t>
      </w:r>
    </w:p>
  </w:footnote>
  <w:footnote w:id="3">
    <w:p w14:paraId="3BB3F341" w14:textId="3D4411CF" w:rsidR="005642F4" w:rsidRPr="0028225F" w:rsidRDefault="005642F4">
      <w:pPr>
        <w:pStyle w:val="FootnoteText"/>
        <w:rPr>
          <w:sz w:val="20"/>
          <w:szCs w:val="20"/>
          <w:lang w:val="en-IE"/>
        </w:rPr>
      </w:pPr>
      <w:r>
        <w:rPr>
          <w:rStyle w:val="FootnoteReference"/>
        </w:rPr>
        <w:footnoteRef/>
      </w:r>
      <w:r>
        <w:t xml:space="preserve"> </w:t>
      </w:r>
      <w:r w:rsidR="0028225F" w:rsidRPr="0028225F">
        <w:rPr>
          <w:sz w:val="20"/>
          <w:szCs w:val="20"/>
        </w:rPr>
        <w:t>Nicholas</w:t>
      </w:r>
      <w:r w:rsidR="0028225F">
        <w:t xml:space="preserve"> </w:t>
      </w:r>
      <w:r w:rsidR="0028225F" w:rsidRPr="0028225F">
        <w:rPr>
          <w:sz w:val="20"/>
          <w:szCs w:val="20"/>
          <w:lang w:val="en-GB"/>
        </w:rPr>
        <w:t xml:space="preserve">Campion, </w:t>
      </w:r>
      <w:r w:rsidR="0028225F" w:rsidRPr="0028225F">
        <w:rPr>
          <w:i/>
          <w:sz w:val="20"/>
          <w:szCs w:val="20"/>
          <w:lang w:val="en-GB"/>
        </w:rPr>
        <w:t>A History of Western Astrology - Vol. 1: The Ancient and Classical Worlds</w:t>
      </w:r>
      <w:r w:rsidR="0028225F" w:rsidRPr="0028225F">
        <w:rPr>
          <w:sz w:val="20"/>
          <w:szCs w:val="20"/>
          <w:lang w:val="en-GB"/>
        </w:rPr>
        <w:t>, (New York &amp; London:</w:t>
      </w:r>
      <w:r w:rsidR="0028225F">
        <w:rPr>
          <w:sz w:val="20"/>
          <w:szCs w:val="20"/>
          <w:lang w:val="en-GB"/>
        </w:rPr>
        <w:t xml:space="preserve"> Continuum Books, 2008),</w:t>
      </w:r>
      <w:r w:rsidRPr="005642F4">
        <w:rPr>
          <w:sz w:val="20"/>
          <w:szCs w:val="20"/>
          <w:lang w:val="en-IE"/>
        </w:rPr>
        <w:t xml:space="preserve"> p. 264.</w:t>
      </w:r>
    </w:p>
  </w:footnote>
  <w:footnote w:id="4">
    <w:p w14:paraId="6C6A06FE" w14:textId="2E6B6268" w:rsidR="00CB376A" w:rsidRPr="00CB376A" w:rsidRDefault="00CB376A">
      <w:pPr>
        <w:pStyle w:val="FootnoteText"/>
      </w:pPr>
      <w:r>
        <w:rPr>
          <w:rStyle w:val="FootnoteReference"/>
        </w:rPr>
        <w:footnoteRef/>
      </w:r>
      <w:r>
        <w:t xml:space="preserve"> </w:t>
      </w:r>
      <w:r w:rsidRPr="00CB376A">
        <w:rPr>
          <w:sz w:val="20"/>
          <w:szCs w:val="20"/>
          <w:lang w:val="en-IE"/>
        </w:rPr>
        <w:t>Polymnia Athanassiadi, ‘</w:t>
      </w:r>
      <w:r w:rsidRPr="00CB376A">
        <w:rPr>
          <w:sz w:val="20"/>
          <w:szCs w:val="20"/>
        </w:rPr>
        <w:t xml:space="preserve">Dreams, Theurgy and Freelance Divination: The Testimony of Iamblichus’, </w:t>
      </w:r>
      <w:r w:rsidRPr="00CB376A">
        <w:rPr>
          <w:i/>
          <w:sz w:val="20"/>
          <w:szCs w:val="20"/>
        </w:rPr>
        <w:t>The Journal of Roman Studies</w:t>
      </w:r>
      <w:r w:rsidRPr="00CB376A">
        <w:rPr>
          <w:sz w:val="20"/>
          <w:szCs w:val="20"/>
        </w:rPr>
        <w:t>, Vol. 83 (1993), pp. 115-130, p. 116, fn. 13.</w:t>
      </w:r>
    </w:p>
  </w:footnote>
  <w:footnote w:id="5">
    <w:p w14:paraId="62454B6C" w14:textId="33098F80" w:rsidR="005642F4" w:rsidRPr="005642F4" w:rsidRDefault="005642F4">
      <w:pPr>
        <w:pStyle w:val="FootnoteText"/>
        <w:rPr>
          <w:lang w:val="en-IE"/>
        </w:rPr>
      </w:pPr>
      <w:r>
        <w:rPr>
          <w:rStyle w:val="FootnoteReference"/>
        </w:rPr>
        <w:footnoteRef/>
      </w:r>
      <w:r>
        <w:t xml:space="preserve"> </w:t>
      </w:r>
      <w:r w:rsidR="0028225F" w:rsidRPr="00FB3FA2">
        <w:rPr>
          <w:sz w:val="20"/>
          <w:szCs w:val="20"/>
        </w:rPr>
        <w:t xml:space="preserve">Iamblichus, </w:t>
      </w:r>
      <w:r w:rsidR="0028225F" w:rsidRPr="00FB3FA2">
        <w:rPr>
          <w:i/>
          <w:iCs/>
          <w:sz w:val="20"/>
          <w:szCs w:val="20"/>
        </w:rPr>
        <w:t xml:space="preserve">On the Mysteries </w:t>
      </w:r>
      <w:r w:rsidR="0028225F" w:rsidRPr="00FB3FA2">
        <w:rPr>
          <w:sz w:val="20"/>
          <w:szCs w:val="20"/>
        </w:rPr>
        <w:t>(</w:t>
      </w:r>
      <w:r w:rsidR="0028225F" w:rsidRPr="00FB3FA2">
        <w:rPr>
          <w:i/>
          <w:iCs/>
          <w:sz w:val="20"/>
          <w:szCs w:val="20"/>
        </w:rPr>
        <w:t>De mysteriis</w:t>
      </w:r>
      <w:r w:rsidR="0028225F">
        <w:rPr>
          <w:sz w:val="20"/>
          <w:szCs w:val="20"/>
        </w:rPr>
        <w:t xml:space="preserve">), trans. by </w:t>
      </w:r>
      <w:r w:rsidR="0028225F" w:rsidRPr="00FB3FA2">
        <w:rPr>
          <w:sz w:val="20"/>
          <w:szCs w:val="20"/>
        </w:rPr>
        <w:t>Emma C. Clarke, John M. Dillon and J</w:t>
      </w:r>
      <w:r w:rsidR="0028225F">
        <w:rPr>
          <w:sz w:val="20"/>
          <w:szCs w:val="20"/>
        </w:rPr>
        <w:t xml:space="preserve">ackson </w:t>
      </w:r>
      <w:r w:rsidR="0028225F" w:rsidRPr="00FB3FA2">
        <w:rPr>
          <w:sz w:val="20"/>
          <w:szCs w:val="20"/>
        </w:rPr>
        <w:t xml:space="preserve">P. Hershbell </w:t>
      </w:r>
      <w:r w:rsidR="0028225F">
        <w:rPr>
          <w:sz w:val="20"/>
          <w:szCs w:val="20"/>
        </w:rPr>
        <w:t>(</w:t>
      </w:r>
      <w:r w:rsidR="0028225F" w:rsidRPr="00FB3FA2">
        <w:rPr>
          <w:sz w:val="20"/>
          <w:szCs w:val="20"/>
        </w:rPr>
        <w:t>Atlanta: Society of Biblical Literature, 2003</w:t>
      </w:r>
      <w:r w:rsidR="0028225F">
        <w:rPr>
          <w:sz w:val="20"/>
          <w:szCs w:val="20"/>
        </w:rPr>
        <w:t>)</w:t>
      </w:r>
      <w:r w:rsidR="0028225F" w:rsidRPr="00FB3FA2">
        <w:rPr>
          <w:sz w:val="20"/>
          <w:szCs w:val="20"/>
        </w:rPr>
        <w:t>.</w:t>
      </w:r>
      <w:r w:rsidRPr="00C147A1">
        <w:rPr>
          <w:sz w:val="20"/>
          <w:szCs w:val="20"/>
          <w:lang w:val="en-IE"/>
        </w:rPr>
        <w:t>, p. x</w:t>
      </w:r>
      <w:r>
        <w:rPr>
          <w:sz w:val="20"/>
          <w:szCs w:val="20"/>
          <w:lang w:val="en-IE"/>
        </w:rPr>
        <w:t>xvii.</w:t>
      </w:r>
    </w:p>
  </w:footnote>
  <w:footnote w:id="6">
    <w:p w14:paraId="1FA45F4A" w14:textId="0FA472D7" w:rsidR="00E67ADF" w:rsidRPr="00F55AF6" w:rsidRDefault="00E67ADF" w:rsidP="00E67ADF">
      <w:pPr>
        <w:pStyle w:val="FootnoteText"/>
      </w:pPr>
      <w:r>
        <w:rPr>
          <w:rStyle w:val="FootnoteReference"/>
        </w:rPr>
        <w:footnoteRef/>
      </w:r>
      <w:r>
        <w:t xml:space="preserve"> </w:t>
      </w:r>
      <w:r w:rsidRPr="00F55AF6">
        <w:rPr>
          <w:sz w:val="20"/>
          <w:szCs w:val="20"/>
        </w:rPr>
        <w:t>E.R. Dodds,</w:t>
      </w:r>
      <w:r>
        <w:t xml:space="preserve"> </w:t>
      </w:r>
      <w:r>
        <w:rPr>
          <w:sz w:val="20"/>
          <w:szCs w:val="20"/>
        </w:rPr>
        <w:t>‘</w:t>
      </w:r>
      <w:r w:rsidRPr="00F55AF6">
        <w:rPr>
          <w:sz w:val="20"/>
          <w:szCs w:val="20"/>
        </w:rPr>
        <w:t xml:space="preserve">Theurgy and its relationship to </w:t>
      </w:r>
      <w:r>
        <w:rPr>
          <w:sz w:val="20"/>
          <w:szCs w:val="20"/>
        </w:rPr>
        <w:t>Neoplatonism’</w:t>
      </w:r>
      <w:r w:rsidRPr="00F55AF6">
        <w:rPr>
          <w:sz w:val="20"/>
          <w:szCs w:val="20"/>
        </w:rPr>
        <w:t xml:space="preserve">, </w:t>
      </w:r>
      <w:r w:rsidR="004411F6" w:rsidRPr="004411F6">
        <w:rPr>
          <w:i/>
          <w:sz w:val="20"/>
          <w:szCs w:val="20"/>
        </w:rPr>
        <w:t xml:space="preserve">The </w:t>
      </w:r>
      <w:r w:rsidRPr="004411F6">
        <w:rPr>
          <w:i/>
          <w:sz w:val="20"/>
          <w:szCs w:val="20"/>
        </w:rPr>
        <w:t>J</w:t>
      </w:r>
      <w:r w:rsidR="004411F6" w:rsidRPr="004411F6">
        <w:rPr>
          <w:i/>
          <w:sz w:val="20"/>
          <w:szCs w:val="20"/>
        </w:rPr>
        <w:t>ournal of Roman Studies</w:t>
      </w:r>
      <w:r w:rsidR="004411F6">
        <w:rPr>
          <w:sz w:val="20"/>
          <w:szCs w:val="20"/>
        </w:rPr>
        <w:t>, Vol. 37 (1</w:t>
      </w:r>
      <w:r w:rsidRPr="00F55AF6">
        <w:rPr>
          <w:sz w:val="20"/>
          <w:szCs w:val="20"/>
        </w:rPr>
        <w:t xml:space="preserve">947), </w:t>
      </w:r>
      <w:r w:rsidR="004411F6">
        <w:rPr>
          <w:sz w:val="20"/>
          <w:szCs w:val="20"/>
        </w:rPr>
        <w:t xml:space="preserve">pp. </w:t>
      </w:r>
      <w:r w:rsidRPr="00F55AF6">
        <w:rPr>
          <w:sz w:val="20"/>
          <w:szCs w:val="20"/>
        </w:rPr>
        <w:t>55-69</w:t>
      </w:r>
      <w:r>
        <w:rPr>
          <w:sz w:val="20"/>
          <w:szCs w:val="20"/>
        </w:rPr>
        <w:t>, p. 59.</w:t>
      </w:r>
    </w:p>
  </w:footnote>
  <w:footnote w:id="7">
    <w:p w14:paraId="535D1B4F" w14:textId="7DB867B4" w:rsidR="00E67ADF" w:rsidRPr="00E67ADF" w:rsidRDefault="00E67ADF">
      <w:pPr>
        <w:pStyle w:val="FootnoteText"/>
        <w:rPr>
          <w:lang w:val="en-IE"/>
        </w:rPr>
      </w:pPr>
      <w:r>
        <w:rPr>
          <w:rStyle w:val="FootnoteReference"/>
        </w:rPr>
        <w:footnoteRef/>
      </w:r>
      <w:r>
        <w:t xml:space="preserve"> </w:t>
      </w:r>
      <w:r w:rsidR="004411F6" w:rsidRPr="0028225F">
        <w:rPr>
          <w:sz w:val="20"/>
          <w:szCs w:val="20"/>
        </w:rPr>
        <w:t>Nicholas</w:t>
      </w:r>
      <w:r w:rsidR="004411F6">
        <w:t xml:space="preserve"> </w:t>
      </w:r>
      <w:r w:rsidR="004411F6" w:rsidRPr="0028225F">
        <w:rPr>
          <w:sz w:val="20"/>
          <w:szCs w:val="20"/>
          <w:lang w:val="en-GB"/>
        </w:rPr>
        <w:t xml:space="preserve">Campion, </w:t>
      </w:r>
      <w:r w:rsidR="004411F6" w:rsidRPr="0028225F">
        <w:rPr>
          <w:i/>
          <w:sz w:val="20"/>
          <w:szCs w:val="20"/>
          <w:lang w:val="en-GB"/>
        </w:rPr>
        <w:t>A History of Western Astrology - Vol. 1: The Ancient and Classical Worlds</w:t>
      </w:r>
      <w:r w:rsidR="004411F6" w:rsidRPr="0028225F">
        <w:rPr>
          <w:sz w:val="20"/>
          <w:szCs w:val="20"/>
          <w:lang w:val="en-GB"/>
        </w:rPr>
        <w:t>, (New York &amp; London:</w:t>
      </w:r>
      <w:r w:rsidR="004411F6">
        <w:rPr>
          <w:sz w:val="20"/>
          <w:szCs w:val="20"/>
          <w:lang w:val="en-GB"/>
        </w:rPr>
        <w:t xml:space="preserve"> Continuum Books, 2008),</w:t>
      </w:r>
      <w:r w:rsidR="004411F6" w:rsidRPr="005642F4">
        <w:rPr>
          <w:sz w:val="20"/>
          <w:szCs w:val="20"/>
          <w:lang w:val="en-IE"/>
        </w:rPr>
        <w:t xml:space="preserve"> p. 264.</w:t>
      </w:r>
    </w:p>
  </w:footnote>
  <w:footnote w:id="8">
    <w:p w14:paraId="71740B1F" w14:textId="58CE479F" w:rsidR="00FB0E16" w:rsidRPr="00FB0E16" w:rsidRDefault="00FB0E16">
      <w:pPr>
        <w:pStyle w:val="FootnoteText"/>
        <w:rPr>
          <w:lang w:val="en-IE"/>
        </w:rPr>
      </w:pPr>
      <w:r>
        <w:rPr>
          <w:rStyle w:val="FootnoteReference"/>
        </w:rPr>
        <w:footnoteRef/>
      </w:r>
      <w:r>
        <w:t xml:space="preserve"> </w:t>
      </w:r>
      <w:r w:rsidRPr="00CB376A">
        <w:rPr>
          <w:sz w:val="20"/>
          <w:szCs w:val="20"/>
          <w:lang w:val="en-IE"/>
        </w:rPr>
        <w:t>Polymnia Athanassiadi, ‘</w:t>
      </w:r>
      <w:r w:rsidRPr="00CB376A">
        <w:rPr>
          <w:sz w:val="20"/>
          <w:szCs w:val="20"/>
        </w:rPr>
        <w:t xml:space="preserve">Dreams, Theurgy and Freelance Divination: The Testimony of Iamblichus’, </w:t>
      </w:r>
      <w:r w:rsidRPr="00CB376A">
        <w:rPr>
          <w:i/>
          <w:sz w:val="20"/>
          <w:szCs w:val="20"/>
        </w:rPr>
        <w:t>The Journal of Roman Studies</w:t>
      </w:r>
      <w:r w:rsidRPr="00CB376A">
        <w:rPr>
          <w:sz w:val="20"/>
          <w:szCs w:val="20"/>
        </w:rPr>
        <w:t>, Vol</w:t>
      </w:r>
      <w:r>
        <w:rPr>
          <w:sz w:val="20"/>
          <w:szCs w:val="20"/>
        </w:rPr>
        <w:t>. 83 (1993), pp. 115-130, p. 117.</w:t>
      </w:r>
    </w:p>
  </w:footnote>
  <w:footnote w:id="9">
    <w:p w14:paraId="7AB2F6C9" w14:textId="1756B0DE" w:rsidR="00C248E9" w:rsidRPr="00C248E9" w:rsidRDefault="00C248E9">
      <w:pPr>
        <w:pStyle w:val="FootnoteText"/>
        <w:rPr>
          <w:lang w:val="en-IE"/>
        </w:rPr>
      </w:pPr>
      <w:r>
        <w:rPr>
          <w:rStyle w:val="FootnoteReference"/>
        </w:rPr>
        <w:footnoteRef/>
      </w:r>
      <w:r>
        <w:t xml:space="preserve"> </w:t>
      </w:r>
      <w:r w:rsidR="004411F6" w:rsidRPr="0028225F">
        <w:rPr>
          <w:sz w:val="20"/>
          <w:szCs w:val="20"/>
        </w:rPr>
        <w:t>Nicholas</w:t>
      </w:r>
      <w:r w:rsidR="004411F6">
        <w:t xml:space="preserve"> </w:t>
      </w:r>
      <w:r w:rsidR="004411F6" w:rsidRPr="0028225F">
        <w:rPr>
          <w:sz w:val="20"/>
          <w:szCs w:val="20"/>
          <w:lang w:val="en-GB"/>
        </w:rPr>
        <w:t xml:space="preserve">Campion, </w:t>
      </w:r>
      <w:r w:rsidR="004411F6" w:rsidRPr="0028225F">
        <w:rPr>
          <w:i/>
          <w:sz w:val="20"/>
          <w:szCs w:val="20"/>
          <w:lang w:val="en-GB"/>
        </w:rPr>
        <w:t>A History of Western Astrology - Vol. 1: The Ancient and Classical Worlds</w:t>
      </w:r>
      <w:r w:rsidR="004411F6" w:rsidRPr="0028225F">
        <w:rPr>
          <w:sz w:val="20"/>
          <w:szCs w:val="20"/>
          <w:lang w:val="en-GB"/>
        </w:rPr>
        <w:t>, (New York &amp; London:</w:t>
      </w:r>
      <w:r w:rsidR="004411F6">
        <w:rPr>
          <w:sz w:val="20"/>
          <w:szCs w:val="20"/>
          <w:lang w:val="en-GB"/>
        </w:rPr>
        <w:t xml:space="preserve"> Continuum Books, 2008),</w:t>
      </w:r>
      <w:r w:rsidR="004411F6" w:rsidRPr="005642F4">
        <w:rPr>
          <w:sz w:val="20"/>
          <w:szCs w:val="20"/>
          <w:lang w:val="en-IE"/>
        </w:rPr>
        <w:t xml:space="preserve"> p. 264.</w:t>
      </w:r>
    </w:p>
  </w:footnote>
  <w:footnote w:id="10">
    <w:p w14:paraId="60BBA0C5" w14:textId="4F7893F8" w:rsidR="00DE49F7" w:rsidRPr="00DE49F7" w:rsidRDefault="00DE49F7">
      <w:pPr>
        <w:pStyle w:val="FootnoteText"/>
        <w:rPr>
          <w:lang w:val="en-IE"/>
        </w:rPr>
      </w:pPr>
      <w:r>
        <w:rPr>
          <w:rStyle w:val="FootnoteReference"/>
        </w:rPr>
        <w:footnoteRef/>
      </w:r>
      <w:r>
        <w:t xml:space="preserve"> </w:t>
      </w:r>
      <w:r w:rsidRPr="00CB376A">
        <w:rPr>
          <w:sz w:val="20"/>
          <w:szCs w:val="20"/>
          <w:lang w:val="en-IE"/>
        </w:rPr>
        <w:t>Polymnia Athanassiadi, ‘</w:t>
      </w:r>
      <w:r w:rsidRPr="00CB376A">
        <w:rPr>
          <w:sz w:val="20"/>
          <w:szCs w:val="20"/>
        </w:rPr>
        <w:t xml:space="preserve">Dreams, Theurgy and Freelance Divination: The Testimony of Iamblichus’, </w:t>
      </w:r>
      <w:r w:rsidRPr="00CB376A">
        <w:rPr>
          <w:i/>
          <w:sz w:val="20"/>
          <w:szCs w:val="20"/>
        </w:rPr>
        <w:t>The Journal of Roman Studies</w:t>
      </w:r>
      <w:r w:rsidRPr="00CB376A">
        <w:rPr>
          <w:sz w:val="20"/>
          <w:szCs w:val="20"/>
        </w:rPr>
        <w:t>, Vol. 83 (1993), pp. 115-130, p. 116</w:t>
      </w:r>
      <w:r>
        <w:rPr>
          <w:sz w:val="20"/>
          <w:szCs w:val="20"/>
        </w:rPr>
        <w:t>.</w:t>
      </w:r>
    </w:p>
  </w:footnote>
  <w:footnote w:id="11">
    <w:p w14:paraId="1EACF825" w14:textId="13A8A0D9" w:rsidR="009C7ABD" w:rsidRPr="009C7ABD" w:rsidRDefault="009C7ABD" w:rsidP="009C7ABD">
      <w:pPr>
        <w:rPr>
          <w:lang w:val="en-IE"/>
        </w:rPr>
      </w:pPr>
      <w:r>
        <w:rPr>
          <w:rStyle w:val="FootnoteReference"/>
        </w:rPr>
        <w:footnoteRef/>
      </w:r>
      <w:r>
        <w:t xml:space="preserve"> </w:t>
      </w:r>
      <w:r w:rsidRPr="009C7ABD">
        <w:rPr>
          <w:sz w:val="20"/>
          <w:szCs w:val="20"/>
          <w:lang w:val="en-IE"/>
        </w:rPr>
        <w:t xml:space="preserve">Gregory Shaw, </w:t>
      </w:r>
      <w:r w:rsidRPr="009C7ABD">
        <w:rPr>
          <w:i/>
          <w:sz w:val="20"/>
          <w:szCs w:val="20"/>
          <w:lang w:val="en-IE"/>
        </w:rPr>
        <w:t>Theurgy and the Soul: The Neoplatonism of Iamblichus</w:t>
      </w:r>
      <w:r w:rsidRPr="009C7ABD">
        <w:rPr>
          <w:sz w:val="20"/>
          <w:szCs w:val="20"/>
          <w:lang w:val="en-IE"/>
        </w:rPr>
        <w:t>, (Pennsylvania: Pennsylvania State University Press, 1995)</w:t>
      </w:r>
      <w:r>
        <w:rPr>
          <w:sz w:val="20"/>
          <w:szCs w:val="20"/>
          <w:lang w:val="en-IE"/>
        </w:rPr>
        <w:t>, p. 6.</w:t>
      </w:r>
    </w:p>
  </w:footnote>
  <w:footnote w:id="12">
    <w:p w14:paraId="38D50DE0" w14:textId="7132FE2E" w:rsidR="006F416B" w:rsidRPr="00570AC9" w:rsidRDefault="006F416B" w:rsidP="006F416B">
      <w:pPr>
        <w:pStyle w:val="FootnoteText"/>
        <w:rPr>
          <w:lang w:val="en-IE"/>
        </w:rPr>
      </w:pPr>
      <w:r>
        <w:rPr>
          <w:rStyle w:val="FootnoteReference"/>
        </w:rPr>
        <w:footnoteRef/>
      </w:r>
      <w:r>
        <w:t xml:space="preserve"> </w:t>
      </w:r>
      <w:r w:rsidR="004411F6" w:rsidRPr="0028225F">
        <w:rPr>
          <w:sz w:val="20"/>
          <w:szCs w:val="20"/>
        </w:rPr>
        <w:t>Nicholas</w:t>
      </w:r>
      <w:r w:rsidR="004411F6">
        <w:t xml:space="preserve"> </w:t>
      </w:r>
      <w:r w:rsidR="004411F6" w:rsidRPr="0028225F">
        <w:rPr>
          <w:sz w:val="20"/>
          <w:szCs w:val="20"/>
          <w:lang w:val="en-GB"/>
        </w:rPr>
        <w:t xml:space="preserve">Campion, </w:t>
      </w:r>
      <w:r w:rsidR="004411F6" w:rsidRPr="0028225F">
        <w:rPr>
          <w:i/>
          <w:sz w:val="20"/>
          <w:szCs w:val="20"/>
          <w:lang w:val="en-GB"/>
        </w:rPr>
        <w:t>A History of Western Astrology - Vol. 1: The Ancient and Classical Worlds</w:t>
      </w:r>
      <w:r w:rsidR="004411F6" w:rsidRPr="0028225F">
        <w:rPr>
          <w:sz w:val="20"/>
          <w:szCs w:val="20"/>
          <w:lang w:val="en-GB"/>
        </w:rPr>
        <w:t>, (New York &amp; London:</w:t>
      </w:r>
      <w:r w:rsidR="004411F6">
        <w:rPr>
          <w:sz w:val="20"/>
          <w:szCs w:val="20"/>
          <w:lang w:val="en-GB"/>
        </w:rPr>
        <w:t xml:space="preserve"> Continuum Books, 2008),</w:t>
      </w:r>
      <w:r w:rsidR="004411F6" w:rsidRPr="005642F4">
        <w:rPr>
          <w:sz w:val="20"/>
          <w:szCs w:val="20"/>
          <w:lang w:val="en-IE"/>
        </w:rPr>
        <w:t xml:space="preserve"> p. 264.</w:t>
      </w:r>
    </w:p>
  </w:footnote>
  <w:footnote w:id="13">
    <w:p w14:paraId="384E05D2" w14:textId="69A0FB41" w:rsidR="00802A3E" w:rsidRPr="004411F6" w:rsidRDefault="00802A3E" w:rsidP="004411F6">
      <w:r>
        <w:rPr>
          <w:rStyle w:val="FootnoteReference"/>
        </w:rPr>
        <w:footnoteRef/>
      </w:r>
      <w:r>
        <w:t xml:space="preserve"> </w:t>
      </w:r>
      <w:r w:rsidR="004411F6" w:rsidRPr="004411F6">
        <w:rPr>
          <w:bCs/>
          <w:sz w:val="20"/>
          <w:szCs w:val="20"/>
        </w:rPr>
        <w:t>Iamblichus</w:t>
      </w:r>
      <w:r w:rsidR="004411F6">
        <w:rPr>
          <w:bCs/>
          <w:sz w:val="20"/>
          <w:szCs w:val="20"/>
        </w:rPr>
        <w:t xml:space="preserve">, ‘Introduction’, </w:t>
      </w:r>
      <w:r w:rsidR="004411F6" w:rsidRPr="004411F6">
        <w:rPr>
          <w:bCs/>
          <w:i/>
          <w:iCs/>
          <w:sz w:val="20"/>
          <w:szCs w:val="20"/>
        </w:rPr>
        <w:t>Theurgia or On the Mysteries of Egypt</w:t>
      </w:r>
      <w:r w:rsidR="004411F6">
        <w:rPr>
          <w:bCs/>
          <w:iCs/>
          <w:sz w:val="20"/>
          <w:szCs w:val="20"/>
        </w:rPr>
        <w:t>, trans. by.</w:t>
      </w:r>
      <w:r w:rsidR="004411F6" w:rsidRPr="0097277D">
        <w:rPr>
          <w:sz w:val="20"/>
          <w:szCs w:val="20"/>
          <w:lang w:val="en-IE"/>
        </w:rPr>
        <w:t xml:space="preserve"> </w:t>
      </w:r>
      <w:r w:rsidR="004411F6">
        <w:rPr>
          <w:sz w:val="20"/>
          <w:szCs w:val="20"/>
          <w:lang w:val="en-IE"/>
        </w:rPr>
        <w:t xml:space="preserve">Joseph H. Peterson, </w:t>
      </w:r>
      <w:hyperlink r:id="rId2" w:history="1">
        <w:r w:rsidR="004411F6" w:rsidRPr="007A39DD">
          <w:rPr>
            <w:rStyle w:val="Hyperlink"/>
            <w:sz w:val="20"/>
            <w:szCs w:val="20"/>
            <w:lang w:val="en-IE"/>
          </w:rPr>
          <w:t>http://www.esoterica</w:t>
        </w:r>
        <w:r w:rsidR="004411F6" w:rsidRPr="007A39DD">
          <w:rPr>
            <w:rStyle w:val="Hyperlink"/>
            <w:sz w:val="20"/>
            <w:szCs w:val="20"/>
            <w:lang w:val="en-IE"/>
          </w:rPr>
          <w:t>r</w:t>
        </w:r>
        <w:r w:rsidR="004411F6" w:rsidRPr="007A39DD">
          <w:rPr>
            <w:rStyle w:val="Hyperlink"/>
            <w:sz w:val="20"/>
            <w:szCs w:val="20"/>
            <w:lang w:val="en-IE"/>
          </w:rPr>
          <w:t>chives.com/oracle/iambl_th.htm</w:t>
        </w:r>
      </w:hyperlink>
      <w:r w:rsidR="004411F6">
        <w:rPr>
          <w:lang w:val="en-IE"/>
        </w:rPr>
        <w:t xml:space="preserve"> </w:t>
      </w:r>
      <w:r w:rsidR="004411F6" w:rsidRPr="007A39DD">
        <w:rPr>
          <w:sz w:val="20"/>
          <w:szCs w:val="20"/>
          <w:lang w:val="en-IE"/>
        </w:rPr>
        <w:t>accessed on 30th May 2018</w:t>
      </w:r>
      <w:r w:rsidR="004411F6">
        <w:rPr>
          <w:sz w:val="20"/>
          <w:szCs w:val="20"/>
          <w:lang w:val="en-IE"/>
        </w:rPr>
        <w:t>.</w:t>
      </w:r>
    </w:p>
  </w:footnote>
  <w:footnote w:id="14">
    <w:p w14:paraId="23C3ABB7" w14:textId="3824B16A" w:rsidR="00FB3FA2" w:rsidRPr="00570AC9" w:rsidRDefault="00FB3FA2">
      <w:pPr>
        <w:pStyle w:val="FootnoteText"/>
      </w:pPr>
      <w:r>
        <w:rPr>
          <w:rStyle w:val="FootnoteReference"/>
        </w:rPr>
        <w:footnoteRef/>
      </w:r>
      <w:r>
        <w:t xml:space="preserve"> </w:t>
      </w:r>
      <w:r w:rsidRPr="00FB3FA2">
        <w:rPr>
          <w:sz w:val="20"/>
          <w:szCs w:val="20"/>
        </w:rPr>
        <w:t xml:space="preserve">Iamblichus, </w:t>
      </w:r>
      <w:r w:rsidRPr="00FB3FA2">
        <w:rPr>
          <w:i/>
          <w:iCs/>
          <w:sz w:val="20"/>
          <w:szCs w:val="20"/>
        </w:rPr>
        <w:t xml:space="preserve">On the Mysteries </w:t>
      </w:r>
      <w:r w:rsidRPr="00FB3FA2">
        <w:rPr>
          <w:sz w:val="20"/>
          <w:szCs w:val="20"/>
        </w:rPr>
        <w:t>(</w:t>
      </w:r>
      <w:r w:rsidRPr="00FB3FA2">
        <w:rPr>
          <w:i/>
          <w:iCs/>
          <w:sz w:val="20"/>
          <w:szCs w:val="20"/>
        </w:rPr>
        <w:t>De mysteriis</w:t>
      </w:r>
      <w:r w:rsidR="0028225F">
        <w:rPr>
          <w:sz w:val="20"/>
          <w:szCs w:val="20"/>
        </w:rPr>
        <w:t xml:space="preserve">), trans. by </w:t>
      </w:r>
      <w:r w:rsidRPr="00FB3FA2">
        <w:rPr>
          <w:sz w:val="20"/>
          <w:szCs w:val="20"/>
        </w:rPr>
        <w:t>Emma C. Clarke, John M. Dillon and J</w:t>
      </w:r>
      <w:r w:rsidR="0028225F">
        <w:rPr>
          <w:sz w:val="20"/>
          <w:szCs w:val="20"/>
        </w:rPr>
        <w:t xml:space="preserve">ackson </w:t>
      </w:r>
      <w:r w:rsidRPr="00FB3FA2">
        <w:rPr>
          <w:sz w:val="20"/>
          <w:szCs w:val="20"/>
        </w:rPr>
        <w:t xml:space="preserve">P. Hershbell </w:t>
      </w:r>
      <w:r w:rsidR="0028225F">
        <w:rPr>
          <w:sz w:val="20"/>
          <w:szCs w:val="20"/>
        </w:rPr>
        <w:t>(</w:t>
      </w:r>
      <w:r w:rsidRPr="00FB3FA2">
        <w:rPr>
          <w:sz w:val="20"/>
          <w:szCs w:val="20"/>
        </w:rPr>
        <w:t>Atlanta: Society of Biblical Literature, 2003</w:t>
      </w:r>
      <w:r w:rsidR="0028225F">
        <w:rPr>
          <w:sz w:val="20"/>
          <w:szCs w:val="20"/>
        </w:rPr>
        <w:t>)</w:t>
      </w:r>
      <w:r w:rsidRPr="00FB3FA2">
        <w:rPr>
          <w:sz w:val="20"/>
          <w:szCs w:val="20"/>
        </w:rPr>
        <w:t>.</w:t>
      </w:r>
    </w:p>
  </w:footnote>
  <w:footnote w:id="15">
    <w:p w14:paraId="270EC118" w14:textId="5FD3DA3B" w:rsidR="00FD3E55" w:rsidRPr="001F406D" w:rsidRDefault="00FD3E55" w:rsidP="00FD3E55">
      <w:pPr>
        <w:pStyle w:val="FootnoteText"/>
      </w:pPr>
      <w:r>
        <w:rPr>
          <w:rStyle w:val="FootnoteReference"/>
        </w:rPr>
        <w:footnoteRef/>
      </w:r>
      <w:r>
        <w:t xml:space="preserve"> </w:t>
      </w:r>
      <w:r w:rsidRPr="00913B23">
        <w:rPr>
          <w:sz w:val="20"/>
          <w:szCs w:val="20"/>
        </w:rPr>
        <w:t xml:space="preserve">Jeremy M. </w:t>
      </w:r>
      <w:r w:rsidRPr="00913B23">
        <w:rPr>
          <w:sz w:val="20"/>
          <w:szCs w:val="20"/>
          <w:lang w:val="en-IE"/>
        </w:rPr>
        <w:t>Schott, ‘</w:t>
      </w:r>
      <w:r w:rsidRPr="00913B23">
        <w:rPr>
          <w:sz w:val="20"/>
          <w:szCs w:val="20"/>
        </w:rPr>
        <w:t>Philosophies of Language, Theories of Translation, and Imperial Intellectual Production: The Cases of Porphyry, Iamblichus, and Eusebius’, </w:t>
      </w:r>
      <w:r w:rsidRPr="00913B23">
        <w:rPr>
          <w:i/>
          <w:sz w:val="20"/>
          <w:szCs w:val="20"/>
        </w:rPr>
        <w:t>Church History</w:t>
      </w:r>
      <w:r w:rsidRPr="00913B23">
        <w:rPr>
          <w:sz w:val="20"/>
          <w:szCs w:val="20"/>
        </w:rPr>
        <w:t xml:space="preserve"> 78:4 (December 2009), </w:t>
      </w:r>
      <w:r w:rsidR="004411F6">
        <w:rPr>
          <w:sz w:val="20"/>
          <w:szCs w:val="20"/>
        </w:rPr>
        <w:t xml:space="preserve">pp. </w:t>
      </w:r>
      <w:r w:rsidRPr="00913B23">
        <w:rPr>
          <w:sz w:val="20"/>
          <w:szCs w:val="20"/>
        </w:rPr>
        <w:t>855-861, p. 855.</w:t>
      </w:r>
    </w:p>
  </w:footnote>
  <w:footnote w:id="16">
    <w:p w14:paraId="6311D5A4" w14:textId="35A6F4B6" w:rsidR="00E143C3" w:rsidRPr="00E143C3" w:rsidRDefault="00E143C3">
      <w:pPr>
        <w:pStyle w:val="FootnoteText"/>
      </w:pPr>
      <w:r>
        <w:rPr>
          <w:rStyle w:val="FootnoteReference"/>
        </w:rPr>
        <w:footnoteRef/>
      </w:r>
      <w:r>
        <w:t xml:space="preserve"> </w:t>
      </w:r>
      <w:r w:rsidRPr="00E143C3">
        <w:rPr>
          <w:sz w:val="20"/>
          <w:szCs w:val="20"/>
          <w:lang w:val="en-IE"/>
        </w:rPr>
        <w:t>John</w:t>
      </w:r>
      <w:r w:rsidR="00CB5485">
        <w:rPr>
          <w:sz w:val="20"/>
          <w:szCs w:val="20"/>
          <w:lang w:val="en-IE"/>
        </w:rPr>
        <w:t xml:space="preserve"> M.</w:t>
      </w:r>
      <w:r w:rsidRPr="00E143C3">
        <w:rPr>
          <w:sz w:val="20"/>
          <w:szCs w:val="20"/>
          <w:lang w:val="en-IE"/>
        </w:rPr>
        <w:t xml:space="preserve"> Dillon,</w:t>
      </w:r>
      <w:r w:rsidRPr="00E143C3">
        <w:rPr>
          <w:rFonts w:ascii="Helvetica" w:hAnsi="Helvetica" w:cs="Times New Roman"/>
          <w:sz w:val="20"/>
          <w:szCs w:val="20"/>
        </w:rPr>
        <w:t xml:space="preserve"> ‘</w:t>
      </w:r>
      <w:r w:rsidRPr="00E143C3">
        <w:rPr>
          <w:sz w:val="20"/>
          <w:szCs w:val="20"/>
        </w:rPr>
        <w:t xml:space="preserve">Iamblichus’ Defence of Theurgy: Some Reflections’, </w:t>
      </w:r>
      <w:r w:rsidRPr="00E143C3">
        <w:rPr>
          <w:i/>
          <w:sz w:val="20"/>
          <w:szCs w:val="20"/>
        </w:rPr>
        <w:t>The International Journal of the Platonic Tradition</w:t>
      </w:r>
      <w:r w:rsidRPr="00E143C3">
        <w:rPr>
          <w:sz w:val="20"/>
          <w:szCs w:val="20"/>
        </w:rPr>
        <w:t xml:space="preserve">, 1 (2007) 30-41, </w:t>
      </w:r>
      <w:r w:rsidRPr="00E143C3">
        <w:rPr>
          <w:sz w:val="20"/>
          <w:szCs w:val="20"/>
          <w:lang w:val="en-IE"/>
        </w:rPr>
        <w:t>p. 31.</w:t>
      </w:r>
    </w:p>
  </w:footnote>
  <w:footnote w:id="17">
    <w:p w14:paraId="6EF7F28E" w14:textId="1443976D" w:rsidR="00A44973" w:rsidRPr="00A44973" w:rsidRDefault="00A44973">
      <w:pPr>
        <w:pStyle w:val="FootnoteText"/>
        <w:rPr>
          <w:lang w:val="en-IE"/>
        </w:rPr>
      </w:pPr>
      <w:r>
        <w:rPr>
          <w:rStyle w:val="FootnoteReference"/>
        </w:rPr>
        <w:footnoteRef/>
      </w:r>
      <w:r>
        <w:t xml:space="preserve"> </w:t>
      </w:r>
      <w:r w:rsidR="00CB5485" w:rsidRPr="00FB3FA2">
        <w:rPr>
          <w:sz w:val="20"/>
          <w:szCs w:val="20"/>
        </w:rPr>
        <w:t xml:space="preserve">Iamblichus, </w:t>
      </w:r>
      <w:r w:rsidR="00CB5485" w:rsidRPr="00FB3FA2">
        <w:rPr>
          <w:i/>
          <w:iCs/>
          <w:sz w:val="20"/>
          <w:szCs w:val="20"/>
        </w:rPr>
        <w:t xml:space="preserve">On the Mysteries </w:t>
      </w:r>
      <w:r w:rsidR="00CB5485" w:rsidRPr="00FB3FA2">
        <w:rPr>
          <w:sz w:val="20"/>
          <w:szCs w:val="20"/>
        </w:rPr>
        <w:t>(</w:t>
      </w:r>
      <w:r w:rsidR="00CB5485" w:rsidRPr="00FB3FA2">
        <w:rPr>
          <w:i/>
          <w:iCs/>
          <w:sz w:val="20"/>
          <w:szCs w:val="20"/>
        </w:rPr>
        <w:t>De mysteriis</w:t>
      </w:r>
      <w:r w:rsidR="00CB5485">
        <w:rPr>
          <w:sz w:val="20"/>
          <w:szCs w:val="20"/>
        </w:rPr>
        <w:t xml:space="preserve">), trans. by </w:t>
      </w:r>
      <w:r w:rsidR="00CB5485" w:rsidRPr="00FB3FA2">
        <w:rPr>
          <w:sz w:val="20"/>
          <w:szCs w:val="20"/>
        </w:rPr>
        <w:t>Emma C. Clarke, John M. Dillon and J</w:t>
      </w:r>
      <w:r w:rsidR="00CB5485">
        <w:rPr>
          <w:sz w:val="20"/>
          <w:szCs w:val="20"/>
        </w:rPr>
        <w:t xml:space="preserve">ackson </w:t>
      </w:r>
      <w:r w:rsidR="00CB5485" w:rsidRPr="00FB3FA2">
        <w:rPr>
          <w:sz w:val="20"/>
          <w:szCs w:val="20"/>
        </w:rPr>
        <w:t xml:space="preserve">P. Hershbell </w:t>
      </w:r>
      <w:r w:rsidR="00CB5485">
        <w:rPr>
          <w:sz w:val="20"/>
          <w:szCs w:val="20"/>
        </w:rPr>
        <w:t>(</w:t>
      </w:r>
      <w:r w:rsidR="00CB5485" w:rsidRPr="00FB3FA2">
        <w:rPr>
          <w:sz w:val="20"/>
          <w:szCs w:val="20"/>
        </w:rPr>
        <w:t>Atlanta: Society of Biblical Literature, 2003</w:t>
      </w:r>
      <w:r w:rsidR="00CB5485">
        <w:rPr>
          <w:sz w:val="20"/>
          <w:szCs w:val="20"/>
        </w:rPr>
        <w:t>)</w:t>
      </w:r>
      <w:r w:rsidR="00CB5485" w:rsidRPr="00C147A1">
        <w:rPr>
          <w:sz w:val="20"/>
          <w:szCs w:val="20"/>
          <w:lang w:val="en-IE"/>
        </w:rPr>
        <w:t xml:space="preserve">, </w:t>
      </w:r>
      <w:r>
        <w:rPr>
          <w:sz w:val="20"/>
          <w:szCs w:val="20"/>
        </w:rPr>
        <w:t>Book III, Chapter 12, p.151.</w:t>
      </w:r>
    </w:p>
  </w:footnote>
  <w:footnote w:id="18">
    <w:p w14:paraId="6AE1633F" w14:textId="4D44052B" w:rsidR="00FD3E55" w:rsidRPr="001F406D" w:rsidRDefault="00FD3E55" w:rsidP="00FD3E55">
      <w:pPr>
        <w:pStyle w:val="FootnoteText"/>
        <w:rPr>
          <w:lang w:val="en-IE"/>
        </w:rPr>
      </w:pPr>
      <w:r>
        <w:rPr>
          <w:rStyle w:val="FootnoteReference"/>
        </w:rPr>
        <w:footnoteRef/>
      </w:r>
      <w:r>
        <w:t xml:space="preserve"> </w:t>
      </w:r>
      <w:r w:rsidRPr="00CB376A">
        <w:rPr>
          <w:sz w:val="20"/>
          <w:szCs w:val="20"/>
          <w:lang w:val="en-IE"/>
        </w:rPr>
        <w:t>Polymnia Athanassiadi, ‘</w:t>
      </w:r>
      <w:r w:rsidRPr="00CB376A">
        <w:rPr>
          <w:sz w:val="20"/>
          <w:szCs w:val="20"/>
        </w:rPr>
        <w:t xml:space="preserve">Dreams, Theurgy and Freelance Divination: The Testimony of Iamblichus’, </w:t>
      </w:r>
      <w:r w:rsidRPr="00CB376A">
        <w:rPr>
          <w:i/>
          <w:sz w:val="20"/>
          <w:szCs w:val="20"/>
        </w:rPr>
        <w:t>The Journal of Roman Studies</w:t>
      </w:r>
      <w:r w:rsidRPr="00CB376A">
        <w:rPr>
          <w:sz w:val="20"/>
          <w:szCs w:val="20"/>
        </w:rPr>
        <w:t>, Vol</w:t>
      </w:r>
      <w:r>
        <w:rPr>
          <w:sz w:val="20"/>
          <w:szCs w:val="20"/>
        </w:rPr>
        <w:t>. 83 (1993), pp. 115-130, p. 119.</w:t>
      </w:r>
    </w:p>
  </w:footnote>
  <w:footnote w:id="19">
    <w:p w14:paraId="4761051E" w14:textId="37DA6843" w:rsidR="00555D8F" w:rsidRPr="008C6EC1" w:rsidRDefault="00555D8F" w:rsidP="00555D8F">
      <w:pPr>
        <w:pStyle w:val="FootnoteText"/>
        <w:rPr>
          <w:lang w:val="en-IE"/>
        </w:rPr>
      </w:pPr>
      <w:r>
        <w:rPr>
          <w:rStyle w:val="FootnoteReference"/>
        </w:rPr>
        <w:footnoteRef/>
      </w:r>
      <w:r>
        <w:t xml:space="preserve"> </w:t>
      </w:r>
      <w:r w:rsidR="00CB5485" w:rsidRPr="00FB3FA2">
        <w:rPr>
          <w:sz w:val="20"/>
          <w:szCs w:val="20"/>
        </w:rPr>
        <w:t xml:space="preserve">Iamblichus, </w:t>
      </w:r>
      <w:r w:rsidR="00CB5485" w:rsidRPr="00FB3FA2">
        <w:rPr>
          <w:i/>
          <w:iCs/>
          <w:sz w:val="20"/>
          <w:szCs w:val="20"/>
        </w:rPr>
        <w:t xml:space="preserve">On the Mysteries </w:t>
      </w:r>
      <w:r w:rsidR="00CB5485" w:rsidRPr="00FB3FA2">
        <w:rPr>
          <w:sz w:val="20"/>
          <w:szCs w:val="20"/>
        </w:rPr>
        <w:t>(</w:t>
      </w:r>
      <w:r w:rsidR="00CB5485" w:rsidRPr="00FB3FA2">
        <w:rPr>
          <w:i/>
          <w:iCs/>
          <w:sz w:val="20"/>
          <w:szCs w:val="20"/>
        </w:rPr>
        <w:t>De mysteriis</w:t>
      </w:r>
      <w:r w:rsidR="00CB5485">
        <w:rPr>
          <w:sz w:val="20"/>
          <w:szCs w:val="20"/>
        </w:rPr>
        <w:t xml:space="preserve">), trans. by </w:t>
      </w:r>
      <w:r w:rsidR="00CB5485" w:rsidRPr="00FB3FA2">
        <w:rPr>
          <w:sz w:val="20"/>
          <w:szCs w:val="20"/>
        </w:rPr>
        <w:t>Emma C. Clarke, John M. Dillon and J</w:t>
      </w:r>
      <w:r w:rsidR="00CB5485">
        <w:rPr>
          <w:sz w:val="20"/>
          <w:szCs w:val="20"/>
        </w:rPr>
        <w:t xml:space="preserve">ackson </w:t>
      </w:r>
      <w:r w:rsidR="00CB5485" w:rsidRPr="00FB3FA2">
        <w:rPr>
          <w:sz w:val="20"/>
          <w:szCs w:val="20"/>
        </w:rPr>
        <w:t xml:space="preserve">P. Hershbell </w:t>
      </w:r>
      <w:r w:rsidR="00CB5485">
        <w:rPr>
          <w:sz w:val="20"/>
          <w:szCs w:val="20"/>
        </w:rPr>
        <w:t>(</w:t>
      </w:r>
      <w:r w:rsidR="00CB5485" w:rsidRPr="00FB3FA2">
        <w:rPr>
          <w:sz w:val="20"/>
          <w:szCs w:val="20"/>
        </w:rPr>
        <w:t>Atlanta: Society of Biblical Literature, 2003</w:t>
      </w:r>
      <w:r w:rsidR="00CB5485">
        <w:rPr>
          <w:sz w:val="20"/>
          <w:szCs w:val="20"/>
        </w:rPr>
        <w:t>)</w:t>
      </w:r>
      <w:r w:rsidR="00CB5485">
        <w:rPr>
          <w:sz w:val="20"/>
          <w:szCs w:val="20"/>
          <w:lang w:val="en-IE"/>
        </w:rPr>
        <w:t>,</w:t>
      </w:r>
      <w:r w:rsidRPr="008C6EC1">
        <w:rPr>
          <w:sz w:val="20"/>
          <w:szCs w:val="20"/>
          <w:lang w:val="en-IE"/>
        </w:rPr>
        <w:t xml:space="preserve"> Book I, Chapter 1, p. 5.</w:t>
      </w:r>
    </w:p>
  </w:footnote>
  <w:footnote w:id="20">
    <w:p w14:paraId="0B0F8BE2" w14:textId="191CA275" w:rsidR="006C6BE2" w:rsidRPr="001275FA" w:rsidRDefault="006C6BE2" w:rsidP="006C6BE2">
      <w:pPr>
        <w:pStyle w:val="FootnoteText"/>
        <w:rPr>
          <w:lang w:val="en-IE"/>
        </w:rPr>
      </w:pPr>
      <w:r>
        <w:rPr>
          <w:rStyle w:val="FootnoteReference"/>
        </w:rPr>
        <w:footnoteRef/>
      </w:r>
      <w:r>
        <w:t xml:space="preserve"> </w:t>
      </w:r>
      <w:r w:rsidR="00CB5485" w:rsidRPr="0028225F">
        <w:rPr>
          <w:sz w:val="20"/>
          <w:szCs w:val="20"/>
        </w:rPr>
        <w:t>Nicholas</w:t>
      </w:r>
      <w:r w:rsidR="00CB5485">
        <w:t xml:space="preserve"> </w:t>
      </w:r>
      <w:r w:rsidR="00CB5485" w:rsidRPr="0028225F">
        <w:rPr>
          <w:sz w:val="20"/>
          <w:szCs w:val="20"/>
          <w:lang w:val="en-GB"/>
        </w:rPr>
        <w:t xml:space="preserve">Campion, </w:t>
      </w:r>
      <w:r w:rsidR="00CB5485" w:rsidRPr="0028225F">
        <w:rPr>
          <w:i/>
          <w:sz w:val="20"/>
          <w:szCs w:val="20"/>
          <w:lang w:val="en-GB"/>
        </w:rPr>
        <w:t>A History of Western Astrology - Vol. 1: The Ancient and Classical Worlds</w:t>
      </w:r>
      <w:r w:rsidR="00CB5485" w:rsidRPr="0028225F">
        <w:rPr>
          <w:sz w:val="20"/>
          <w:szCs w:val="20"/>
          <w:lang w:val="en-GB"/>
        </w:rPr>
        <w:t>, (New York &amp; London:</w:t>
      </w:r>
      <w:r w:rsidR="00CB5485">
        <w:rPr>
          <w:sz w:val="20"/>
          <w:szCs w:val="20"/>
          <w:lang w:val="en-GB"/>
        </w:rPr>
        <w:t xml:space="preserve"> Continuum Books, 2008),</w:t>
      </w:r>
      <w:r w:rsidR="00CB5485" w:rsidRPr="005642F4">
        <w:rPr>
          <w:sz w:val="20"/>
          <w:szCs w:val="20"/>
          <w:lang w:val="en-IE"/>
        </w:rPr>
        <w:t xml:space="preserve"> p. 264.</w:t>
      </w:r>
    </w:p>
  </w:footnote>
  <w:footnote w:id="21">
    <w:p w14:paraId="60F79623" w14:textId="54BB7F03" w:rsidR="000008B0" w:rsidRPr="00CB5485" w:rsidRDefault="000008B0" w:rsidP="00CB5485">
      <w:r>
        <w:rPr>
          <w:rStyle w:val="FootnoteReference"/>
        </w:rPr>
        <w:footnoteRef/>
      </w:r>
      <w:r>
        <w:t xml:space="preserve"> </w:t>
      </w:r>
      <w:r w:rsidRPr="00CB5485">
        <w:rPr>
          <w:sz w:val="20"/>
          <w:szCs w:val="20"/>
          <w:lang w:val="en-IE"/>
        </w:rPr>
        <w:t>Crystal Addey,</w:t>
      </w:r>
      <w:r w:rsidR="00CB5485" w:rsidRPr="00CB5485">
        <w:rPr>
          <w:i/>
          <w:iCs/>
          <w:sz w:val="20"/>
          <w:szCs w:val="20"/>
        </w:rPr>
        <w:t xml:space="preserve"> </w:t>
      </w:r>
      <w:r w:rsidR="00CB5485" w:rsidRPr="00CB5485">
        <w:rPr>
          <w:i/>
          <w:iCs/>
          <w:sz w:val="20"/>
          <w:szCs w:val="20"/>
        </w:rPr>
        <w:t>Divination and Theurgy in Neoplatonism: Oracles of the Gods</w:t>
      </w:r>
      <w:r w:rsidR="00CB5485" w:rsidRPr="00CB5485">
        <w:rPr>
          <w:sz w:val="20"/>
          <w:szCs w:val="20"/>
        </w:rPr>
        <w:t>, (Farnham: Ashgate, 2014</w:t>
      </w:r>
      <w:r w:rsidR="00CB5485" w:rsidRPr="00CB5485">
        <w:rPr>
          <w:sz w:val="20"/>
          <w:szCs w:val="20"/>
        </w:rPr>
        <w:t>),</w:t>
      </w:r>
      <w:r w:rsidRPr="00CB5485">
        <w:rPr>
          <w:sz w:val="20"/>
          <w:szCs w:val="20"/>
          <w:lang w:val="en-IE"/>
        </w:rPr>
        <w:t xml:space="preserve"> p. 128.</w:t>
      </w:r>
    </w:p>
  </w:footnote>
  <w:footnote w:id="22">
    <w:p w14:paraId="6519A0B5" w14:textId="4E13EAAD" w:rsidR="000008B0" w:rsidRPr="00CB5485" w:rsidRDefault="000008B0" w:rsidP="00CB5485">
      <w:r>
        <w:rPr>
          <w:rStyle w:val="FootnoteReference"/>
        </w:rPr>
        <w:footnoteRef/>
      </w:r>
      <w:r>
        <w:t xml:space="preserve"> </w:t>
      </w:r>
      <w:r w:rsidR="00CB5485" w:rsidRPr="00CB5485">
        <w:rPr>
          <w:sz w:val="20"/>
          <w:szCs w:val="20"/>
          <w:lang w:val="en-IE"/>
        </w:rPr>
        <w:t>Crystal Addey,</w:t>
      </w:r>
      <w:r w:rsidR="00CB5485" w:rsidRPr="00CB5485">
        <w:rPr>
          <w:i/>
          <w:iCs/>
          <w:sz w:val="20"/>
          <w:szCs w:val="20"/>
        </w:rPr>
        <w:t xml:space="preserve"> Divination and Theurgy in Neoplatonism: Oracles of the Gods</w:t>
      </w:r>
      <w:r w:rsidR="00CB5485" w:rsidRPr="00CB5485">
        <w:rPr>
          <w:sz w:val="20"/>
          <w:szCs w:val="20"/>
        </w:rPr>
        <w:t>, (Farnham: Ashgate, 2014),</w:t>
      </w:r>
      <w:r w:rsidR="00CB5485" w:rsidRPr="00CB5485">
        <w:rPr>
          <w:sz w:val="20"/>
          <w:szCs w:val="20"/>
          <w:lang w:val="en-IE"/>
        </w:rPr>
        <w:t xml:space="preserve"> p. 128.</w:t>
      </w:r>
    </w:p>
  </w:footnote>
  <w:footnote w:id="23">
    <w:p w14:paraId="69EB3E3C" w14:textId="585860E1" w:rsidR="008F167B" w:rsidRPr="008F167B" w:rsidRDefault="008F167B">
      <w:pPr>
        <w:pStyle w:val="FootnoteText"/>
        <w:rPr>
          <w:lang w:val="en-IE"/>
        </w:rPr>
      </w:pPr>
      <w:r>
        <w:rPr>
          <w:rStyle w:val="FootnoteReference"/>
        </w:rPr>
        <w:footnoteRef/>
      </w:r>
      <w:r>
        <w:t xml:space="preserve"> </w:t>
      </w:r>
      <w:r w:rsidR="00CB5485" w:rsidRPr="00FB3FA2">
        <w:rPr>
          <w:sz w:val="20"/>
          <w:szCs w:val="20"/>
        </w:rPr>
        <w:t xml:space="preserve">Iamblichus, </w:t>
      </w:r>
      <w:r w:rsidR="00CB5485" w:rsidRPr="00FB3FA2">
        <w:rPr>
          <w:i/>
          <w:iCs/>
          <w:sz w:val="20"/>
          <w:szCs w:val="20"/>
        </w:rPr>
        <w:t xml:space="preserve">On the Mysteries </w:t>
      </w:r>
      <w:r w:rsidR="00CB5485" w:rsidRPr="00FB3FA2">
        <w:rPr>
          <w:sz w:val="20"/>
          <w:szCs w:val="20"/>
        </w:rPr>
        <w:t>(</w:t>
      </w:r>
      <w:r w:rsidR="00CB5485" w:rsidRPr="00FB3FA2">
        <w:rPr>
          <w:i/>
          <w:iCs/>
          <w:sz w:val="20"/>
          <w:szCs w:val="20"/>
        </w:rPr>
        <w:t>De mysteriis</w:t>
      </w:r>
      <w:r w:rsidR="00CB5485">
        <w:rPr>
          <w:sz w:val="20"/>
          <w:szCs w:val="20"/>
        </w:rPr>
        <w:t xml:space="preserve">), trans. by </w:t>
      </w:r>
      <w:r w:rsidR="00CB5485" w:rsidRPr="00FB3FA2">
        <w:rPr>
          <w:sz w:val="20"/>
          <w:szCs w:val="20"/>
        </w:rPr>
        <w:t>Emma C. Clarke, John M. Dillon and J</w:t>
      </w:r>
      <w:r w:rsidR="00CB5485">
        <w:rPr>
          <w:sz w:val="20"/>
          <w:szCs w:val="20"/>
        </w:rPr>
        <w:t xml:space="preserve">ackson </w:t>
      </w:r>
      <w:r w:rsidR="00CB5485" w:rsidRPr="00FB3FA2">
        <w:rPr>
          <w:sz w:val="20"/>
          <w:szCs w:val="20"/>
        </w:rPr>
        <w:t xml:space="preserve">P. Hershbell </w:t>
      </w:r>
      <w:r w:rsidR="00CB5485">
        <w:rPr>
          <w:sz w:val="20"/>
          <w:szCs w:val="20"/>
        </w:rPr>
        <w:t>(</w:t>
      </w:r>
      <w:r w:rsidR="00CB5485" w:rsidRPr="00FB3FA2">
        <w:rPr>
          <w:sz w:val="20"/>
          <w:szCs w:val="20"/>
        </w:rPr>
        <w:t>Atlanta: Society of Biblical Literature, 2003</w:t>
      </w:r>
      <w:r w:rsidR="00CB5485">
        <w:rPr>
          <w:sz w:val="20"/>
          <w:szCs w:val="20"/>
        </w:rPr>
        <w:t>)</w:t>
      </w:r>
      <w:r w:rsidR="00CB5485">
        <w:rPr>
          <w:sz w:val="20"/>
          <w:szCs w:val="20"/>
          <w:lang w:val="en-IE"/>
        </w:rPr>
        <w:t>,</w:t>
      </w:r>
      <w:r w:rsidR="00CB5485">
        <w:rPr>
          <w:sz w:val="20"/>
          <w:szCs w:val="20"/>
          <w:lang w:val="en-IE"/>
        </w:rPr>
        <w:t xml:space="preserve"> </w:t>
      </w:r>
      <w:r>
        <w:rPr>
          <w:sz w:val="20"/>
          <w:szCs w:val="20"/>
        </w:rPr>
        <w:t xml:space="preserve">Book III, chapter 1, p. 119. </w:t>
      </w:r>
    </w:p>
  </w:footnote>
  <w:footnote w:id="24">
    <w:p w14:paraId="17428101" w14:textId="66BBD8C6" w:rsidR="008F167B" w:rsidRPr="008F167B" w:rsidRDefault="008F167B">
      <w:pPr>
        <w:pStyle w:val="FootnoteText"/>
        <w:rPr>
          <w:lang w:val="en-IE"/>
        </w:rPr>
      </w:pPr>
      <w:r>
        <w:rPr>
          <w:rStyle w:val="FootnoteReference"/>
        </w:rPr>
        <w:footnoteRef/>
      </w:r>
      <w:r>
        <w:t xml:space="preserve"> </w:t>
      </w:r>
      <w:r w:rsidR="00CB5485" w:rsidRPr="00FB3FA2">
        <w:rPr>
          <w:sz w:val="20"/>
          <w:szCs w:val="20"/>
        </w:rPr>
        <w:t xml:space="preserve">Iamblichus, </w:t>
      </w:r>
      <w:r w:rsidR="00CB5485" w:rsidRPr="00FB3FA2">
        <w:rPr>
          <w:i/>
          <w:iCs/>
          <w:sz w:val="20"/>
          <w:szCs w:val="20"/>
        </w:rPr>
        <w:t xml:space="preserve">On the Mysteries </w:t>
      </w:r>
      <w:r w:rsidR="00CB5485" w:rsidRPr="00FB3FA2">
        <w:rPr>
          <w:sz w:val="20"/>
          <w:szCs w:val="20"/>
        </w:rPr>
        <w:t>(</w:t>
      </w:r>
      <w:r w:rsidR="00CB5485" w:rsidRPr="00FB3FA2">
        <w:rPr>
          <w:i/>
          <w:iCs/>
          <w:sz w:val="20"/>
          <w:szCs w:val="20"/>
        </w:rPr>
        <w:t>De mysteriis</w:t>
      </w:r>
      <w:r w:rsidR="00CB5485">
        <w:rPr>
          <w:sz w:val="20"/>
          <w:szCs w:val="20"/>
        </w:rPr>
        <w:t xml:space="preserve">), trans. by </w:t>
      </w:r>
      <w:r w:rsidR="00CB5485" w:rsidRPr="00FB3FA2">
        <w:rPr>
          <w:sz w:val="20"/>
          <w:szCs w:val="20"/>
        </w:rPr>
        <w:t>Emma C. Clarke, John M. Dillon and J</w:t>
      </w:r>
      <w:r w:rsidR="00CB5485">
        <w:rPr>
          <w:sz w:val="20"/>
          <w:szCs w:val="20"/>
        </w:rPr>
        <w:t xml:space="preserve">ackson </w:t>
      </w:r>
      <w:r w:rsidR="00CB5485" w:rsidRPr="00FB3FA2">
        <w:rPr>
          <w:sz w:val="20"/>
          <w:szCs w:val="20"/>
        </w:rPr>
        <w:t xml:space="preserve">P. Hershbell </w:t>
      </w:r>
      <w:r w:rsidR="00CB5485">
        <w:rPr>
          <w:sz w:val="20"/>
          <w:szCs w:val="20"/>
        </w:rPr>
        <w:t>(</w:t>
      </w:r>
      <w:r w:rsidR="00CB5485" w:rsidRPr="00FB3FA2">
        <w:rPr>
          <w:sz w:val="20"/>
          <w:szCs w:val="20"/>
        </w:rPr>
        <w:t>Atlanta: Society of Biblical Literature, 2003</w:t>
      </w:r>
      <w:r w:rsidR="00CB5485">
        <w:rPr>
          <w:sz w:val="20"/>
          <w:szCs w:val="20"/>
        </w:rPr>
        <w:t>)</w:t>
      </w:r>
      <w:r w:rsidR="00CB5485">
        <w:rPr>
          <w:sz w:val="20"/>
          <w:szCs w:val="20"/>
          <w:lang w:val="en-IE"/>
        </w:rPr>
        <w:t>,</w:t>
      </w:r>
      <w:r w:rsidR="00CB5485">
        <w:rPr>
          <w:sz w:val="20"/>
          <w:szCs w:val="20"/>
          <w:lang w:val="en-IE"/>
        </w:rPr>
        <w:t xml:space="preserve"> </w:t>
      </w:r>
      <w:r>
        <w:rPr>
          <w:sz w:val="20"/>
          <w:szCs w:val="20"/>
        </w:rPr>
        <w:t>Book III, chapter 1, p. 121.</w:t>
      </w:r>
    </w:p>
  </w:footnote>
  <w:footnote w:id="25">
    <w:p w14:paraId="3965F4AC" w14:textId="77777777" w:rsidR="006A3721" w:rsidRPr="006A3721" w:rsidRDefault="006A3721" w:rsidP="006A3721">
      <w:pPr>
        <w:pStyle w:val="FootnoteText"/>
        <w:rPr>
          <w:lang w:val="en-IE"/>
        </w:rPr>
      </w:pPr>
      <w:r>
        <w:rPr>
          <w:rStyle w:val="FootnoteReference"/>
        </w:rPr>
        <w:footnoteRef/>
      </w:r>
      <w:r>
        <w:t xml:space="preserve"> </w:t>
      </w:r>
      <w:r w:rsidRPr="00CB376A">
        <w:rPr>
          <w:sz w:val="20"/>
          <w:szCs w:val="20"/>
          <w:lang w:val="en-IE"/>
        </w:rPr>
        <w:t>Polymnia Athanassiadi, ‘</w:t>
      </w:r>
      <w:r w:rsidRPr="00CB376A">
        <w:rPr>
          <w:sz w:val="20"/>
          <w:szCs w:val="20"/>
        </w:rPr>
        <w:t xml:space="preserve">Dreams, Theurgy and Freelance Divination: The Testimony of Iamblichus’, </w:t>
      </w:r>
      <w:r w:rsidRPr="00CB376A">
        <w:rPr>
          <w:i/>
          <w:sz w:val="20"/>
          <w:szCs w:val="20"/>
        </w:rPr>
        <w:t>The Journal of Roman Studies</w:t>
      </w:r>
      <w:r w:rsidRPr="00CB376A">
        <w:rPr>
          <w:sz w:val="20"/>
          <w:szCs w:val="20"/>
        </w:rPr>
        <w:t>, Vol</w:t>
      </w:r>
      <w:r>
        <w:rPr>
          <w:sz w:val="20"/>
          <w:szCs w:val="20"/>
        </w:rPr>
        <w:t>. 83 (1993), pp. 115-130, p. 119.</w:t>
      </w:r>
    </w:p>
  </w:footnote>
  <w:footnote w:id="26">
    <w:p w14:paraId="1C5ADADB" w14:textId="1A248919" w:rsidR="00F142B9" w:rsidRPr="00CB5485" w:rsidRDefault="00F142B9">
      <w:pPr>
        <w:pStyle w:val="FootnoteText"/>
        <w:rPr>
          <w:sz w:val="20"/>
          <w:szCs w:val="20"/>
          <w:lang w:val="en-IE"/>
        </w:rPr>
      </w:pPr>
      <w:r>
        <w:rPr>
          <w:rStyle w:val="FootnoteReference"/>
        </w:rPr>
        <w:footnoteRef/>
      </w:r>
      <w:r>
        <w:t xml:space="preserve"> </w:t>
      </w:r>
      <w:r w:rsidR="00CB5485" w:rsidRPr="00CB5485">
        <w:rPr>
          <w:sz w:val="20"/>
          <w:szCs w:val="20"/>
          <w:lang w:val="en-IE"/>
        </w:rPr>
        <w:t>Crystal Addey,</w:t>
      </w:r>
      <w:r w:rsidR="00CB5485" w:rsidRPr="00CB5485">
        <w:rPr>
          <w:i/>
          <w:iCs/>
          <w:sz w:val="20"/>
          <w:szCs w:val="20"/>
        </w:rPr>
        <w:t xml:space="preserve"> Divination and Theurgy in Neoplatonism: Oracles of the Gods</w:t>
      </w:r>
      <w:r w:rsidR="00CB5485" w:rsidRPr="00CB5485">
        <w:rPr>
          <w:sz w:val="20"/>
          <w:szCs w:val="20"/>
        </w:rPr>
        <w:t>, (Farnham: Ashgate, 2014),</w:t>
      </w:r>
      <w:r w:rsidR="00CB5485" w:rsidRPr="00CB5485">
        <w:rPr>
          <w:sz w:val="20"/>
          <w:szCs w:val="20"/>
          <w:lang w:val="en-IE"/>
        </w:rPr>
        <w:t xml:space="preserve"> </w:t>
      </w:r>
      <w:r w:rsidRPr="00CB5485">
        <w:rPr>
          <w:sz w:val="20"/>
          <w:szCs w:val="20"/>
          <w:lang w:val="en-IE"/>
        </w:rPr>
        <w:t>p. 215.</w:t>
      </w:r>
    </w:p>
  </w:footnote>
  <w:footnote w:id="27">
    <w:p w14:paraId="1EC6CC72" w14:textId="0D891AC6" w:rsidR="00F2573A" w:rsidRPr="00F2573A" w:rsidRDefault="00F2573A">
      <w:pPr>
        <w:pStyle w:val="FootnoteText"/>
        <w:rPr>
          <w:lang w:val="en-IE"/>
        </w:rPr>
      </w:pPr>
      <w:r>
        <w:rPr>
          <w:rStyle w:val="FootnoteReference"/>
        </w:rPr>
        <w:footnoteRef/>
      </w:r>
      <w:r>
        <w:t xml:space="preserve"> </w:t>
      </w:r>
      <w:r w:rsidR="00CB5485" w:rsidRPr="00FB3FA2">
        <w:rPr>
          <w:sz w:val="20"/>
          <w:szCs w:val="20"/>
        </w:rPr>
        <w:t xml:space="preserve">Iamblichus, </w:t>
      </w:r>
      <w:r w:rsidR="00CB5485" w:rsidRPr="00FB3FA2">
        <w:rPr>
          <w:i/>
          <w:iCs/>
          <w:sz w:val="20"/>
          <w:szCs w:val="20"/>
        </w:rPr>
        <w:t xml:space="preserve">On the Mysteries </w:t>
      </w:r>
      <w:r w:rsidR="00CB5485" w:rsidRPr="00FB3FA2">
        <w:rPr>
          <w:sz w:val="20"/>
          <w:szCs w:val="20"/>
        </w:rPr>
        <w:t>(</w:t>
      </w:r>
      <w:r w:rsidR="00CB5485" w:rsidRPr="00FB3FA2">
        <w:rPr>
          <w:i/>
          <w:iCs/>
          <w:sz w:val="20"/>
          <w:szCs w:val="20"/>
        </w:rPr>
        <w:t>De mysteriis</w:t>
      </w:r>
      <w:r w:rsidR="00CB5485">
        <w:rPr>
          <w:sz w:val="20"/>
          <w:szCs w:val="20"/>
        </w:rPr>
        <w:t xml:space="preserve">), trans. by </w:t>
      </w:r>
      <w:r w:rsidR="00CB5485" w:rsidRPr="00FB3FA2">
        <w:rPr>
          <w:sz w:val="20"/>
          <w:szCs w:val="20"/>
        </w:rPr>
        <w:t>Emma C. Clarke, John M. Dillon and J</w:t>
      </w:r>
      <w:r w:rsidR="00CB5485">
        <w:rPr>
          <w:sz w:val="20"/>
          <w:szCs w:val="20"/>
        </w:rPr>
        <w:t xml:space="preserve">ackson </w:t>
      </w:r>
      <w:r w:rsidR="00CB5485" w:rsidRPr="00FB3FA2">
        <w:rPr>
          <w:sz w:val="20"/>
          <w:szCs w:val="20"/>
        </w:rPr>
        <w:t xml:space="preserve">P. Hershbell </w:t>
      </w:r>
      <w:r w:rsidR="00CB5485">
        <w:rPr>
          <w:sz w:val="20"/>
          <w:szCs w:val="20"/>
        </w:rPr>
        <w:t>(</w:t>
      </w:r>
      <w:r w:rsidR="00CB5485" w:rsidRPr="00FB3FA2">
        <w:rPr>
          <w:sz w:val="20"/>
          <w:szCs w:val="20"/>
        </w:rPr>
        <w:t>Atlanta: Society of Biblical Literature, 2003</w:t>
      </w:r>
      <w:r w:rsidR="00CB5485">
        <w:rPr>
          <w:sz w:val="20"/>
          <w:szCs w:val="20"/>
        </w:rPr>
        <w:t>)</w:t>
      </w:r>
      <w:r w:rsidR="00CB5485">
        <w:rPr>
          <w:sz w:val="20"/>
          <w:szCs w:val="20"/>
          <w:lang w:val="en-IE"/>
        </w:rPr>
        <w:t>,</w:t>
      </w:r>
      <w:r w:rsidR="00CB5485">
        <w:rPr>
          <w:sz w:val="20"/>
          <w:szCs w:val="20"/>
          <w:lang w:val="en-IE"/>
        </w:rPr>
        <w:t xml:space="preserve"> </w:t>
      </w:r>
      <w:r w:rsidR="00EB2BAE">
        <w:rPr>
          <w:sz w:val="20"/>
          <w:szCs w:val="20"/>
        </w:rPr>
        <w:t>Book III, chapter 5</w:t>
      </w:r>
      <w:r>
        <w:rPr>
          <w:sz w:val="20"/>
          <w:szCs w:val="20"/>
        </w:rPr>
        <w:t>, p. 13</w:t>
      </w:r>
      <w:r>
        <w:rPr>
          <w:sz w:val="20"/>
          <w:szCs w:val="20"/>
        </w:rPr>
        <w:t>1.</w:t>
      </w:r>
    </w:p>
  </w:footnote>
  <w:footnote w:id="28">
    <w:p w14:paraId="5704D468" w14:textId="3C1E33E7" w:rsidR="0029349B" w:rsidRPr="0029349B" w:rsidRDefault="0029349B">
      <w:pPr>
        <w:pStyle w:val="FootnoteText"/>
        <w:rPr>
          <w:lang w:val="en-IE"/>
        </w:rPr>
      </w:pPr>
      <w:r>
        <w:rPr>
          <w:rStyle w:val="FootnoteReference"/>
        </w:rPr>
        <w:footnoteRef/>
      </w:r>
      <w:r>
        <w:t xml:space="preserve"> </w:t>
      </w:r>
      <w:r w:rsidR="00CB5485" w:rsidRPr="00FB3FA2">
        <w:rPr>
          <w:sz w:val="20"/>
          <w:szCs w:val="20"/>
        </w:rPr>
        <w:t xml:space="preserve">Iamblichus, </w:t>
      </w:r>
      <w:r w:rsidR="00CB5485" w:rsidRPr="00FB3FA2">
        <w:rPr>
          <w:i/>
          <w:iCs/>
          <w:sz w:val="20"/>
          <w:szCs w:val="20"/>
        </w:rPr>
        <w:t xml:space="preserve">On the Mysteries </w:t>
      </w:r>
      <w:r w:rsidR="00CB5485" w:rsidRPr="00FB3FA2">
        <w:rPr>
          <w:sz w:val="20"/>
          <w:szCs w:val="20"/>
        </w:rPr>
        <w:t>(</w:t>
      </w:r>
      <w:r w:rsidR="00CB5485" w:rsidRPr="00FB3FA2">
        <w:rPr>
          <w:i/>
          <w:iCs/>
          <w:sz w:val="20"/>
          <w:szCs w:val="20"/>
        </w:rPr>
        <w:t>De mysteriis</w:t>
      </w:r>
      <w:r w:rsidR="00CB5485">
        <w:rPr>
          <w:sz w:val="20"/>
          <w:szCs w:val="20"/>
        </w:rPr>
        <w:t xml:space="preserve">), trans. by </w:t>
      </w:r>
      <w:r w:rsidR="00CB5485" w:rsidRPr="00FB3FA2">
        <w:rPr>
          <w:sz w:val="20"/>
          <w:szCs w:val="20"/>
        </w:rPr>
        <w:t>Emma C. Clarke, John M. Dillon and J</w:t>
      </w:r>
      <w:r w:rsidR="00CB5485">
        <w:rPr>
          <w:sz w:val="20"/>
          <w:szCs w:val="20"/>
        </w:rPr>
        <w:t xml:space="preserve">ackson </w:t>
      </w:r>
      <w:r w:rsidR="00CB5485" w:rsidRPr="00FB3FA2">
        <w:rPr>
          <w:sz w:val="20"/>
          <w:szCs w:val="20"/>
        </w:rPr>
        <w:t xml:space="preserve">P. Hershbell </w:t>
      </w:r>
      <w:r w:rsidR="00CB5485">
        <w:rPr>
          <w:sz w:val="20"/>
          <w:szCs w:val="20"/>
        </w:rPr>
        <w:t>(</w:t>
      </w:r>
      <w:r w:rsidR="00CB5485" w:rsidRPr="00FB3FA2">
        <w:rPr>
          <w:sz w:val="20"/>
          <w:szCs w:val="20"/>
        </w:rPr>
        <w:t>Atlanta: Society of Biblical Literature, 2003</w:t>
      </w:r>
      <w:r w:rsidR="00CB5485">
        <w:rPr>
          <w:sz w:val="20"/>
          <w:szCs w:val="20"/>
        </w:rPr>
        <w:t>)</w:t>
      </w:r>
      <w:r w:rsidR="00CB5485">
        <w:rPr>
          <w:sz w:val="20"/>
          <w:szCs w:val="20"/>
          <w:lang w:val="en-IE"/>
        </w:rPr>
        <w:t>,</w:t>
      </w:r>
      <w:r w:rsidR="00CB5485">
        <w:rPr>
          <w:sz w:val="20"/>
          <w:szCs w:val="20"/>
          <w:lang w:val="en-IE"/>
        </w:rPr>
        <w:t xml:space="preserve"> </w:t>
      </w:r>
      <w:r>
        <w:rPr>
          <w:sz w:val="20"/>
          <w:szCs w:val="20"/>
        </w:rPr>
        <w:t>Book III, chapter 6</w:t>
      </w:r>
      <w:r>
        <w:rPr>
          <w:sz w:val="20"/>
          <w:szCs w:val="20"/>
        </w:rPr>
        <w:t>, p. 13</w:t>
      </w:r>
      <w:r>
        <w:rPr>
          <w:sz w:val="20"/>
          <w:szCs w:val="20"/>
        </w:rPr>
        <w:t>3</w:t>
      </w:r>
      <w:r>
        <w:rPr>
          <w:sz w:val="20"/>
          <w:szCs w:val="20"/>
        </w:rPr>
        <w:t>.</w:t>
      </w:r>
    </w:p>
  </w:footnote>
  <w:footnote w:id="29">
    <w:p w14:paraId="69ADB5B5" w14:textId="15328CDA" w:rsidR="0029349B" w:rsidRPr="0029349B" w:rsidRDefault="0029349B">
      <w:pPr>
        <w:pStyle w:val="FootnoteText"/>
        <w:rPr>
          <w:lang w:val="en-IE"/>
        </w:rPr>
      </w:pPr>
      <w:r>
        <w:rPr>
          <w:rStyle w:val="FootnoteReference"/>
        </w:rPr>
        <w:footnoteRef/>
      </w:r>
      <w:r>
        <w:t xml:space="preserve"> </w:t>
      </w:r>
      <w:r w:rsidR="00CB5485" w:rsidRPr="00FB3FA2">
        <w:rPr>
          <w:sz w:val="20"/>
          <w:szCs w:val="20"/>
        </w:rPr>
        <w:t xml:space="preserve">Iamblichus, </w:t>
      </w:r>
      <w:r w:rsidR="00CB5485" w:rsidRPr="00FB3FA2">
        <w:rPr>
          <w:i/>
          <w:iCs/>
          <w:sz w:val="20"/>
          <w:szCs w:val="20"/>
        </w:rPr>
        <w:t xml:space="preserve">On the Mysteries </w:t>
      </w:r>
      <w:r w:rsidR="00CB5485" w:rsidRPr="00FB3FA2">
        <w:rPr>
          <w:sz w:val="20"/>
          <w:szCs w:val="20"/>
        </w:rPr>
        <w:t>(</w:t>
      </w:r>
      <w:r w:rsidR="00CB5485" w:rsidRPr="00FB3FA2">
        <w:rPr>
          <w:i/>
          <w:iCs/>
          <w:sz w:val="20"/>
          <w:szCs w:val="20"/>
        </w:rPr>
        <w:t>De mysteriis</w:t>
      </w:r>
      <w:r w:rsidR="00CB5485">
        <w:rPr>
          <w:sz w:val="20"/>
          <w:szCs w:val="20"/>
        </w:rPr>
        <w:t xml:space="preserve">), trans. by </w:t>
      </w:r>
      <w:r w:rsidR="00CB5485" w:rsidRPr="00FB3FA2">
        <w:rPr>
          <w:sz w:val="20"/>
          <w:szCs w:val="20"/>
        </w:rPr>
        <w:t>Emma C. Clarke, John M. Dillon and J</w:t>
      </w:r>
      <w:r w:rsidR="00CB5485">
        <w:rPr>
          <w:sz w:val="20"/>
          <w:szCs w:val="20"/>
        </w:rPr>
        <w:t xml:space="preserve">ackson </w:t>
      </w:r>
      <w:r w:rsidR="00CB5485" w:rsidRPr="00FB3FA2">
        <w:rPr>
          <w:sz w:val="20"/>
          <w:szCs w:val="20"/>
        </w:rPr>
        <w:t xml:space="preserve">P. Hershbell </w:t>
      </w:r>
      <w:r w:rsidR="00CB5485">
        <w:rPr>
          <w:sz w:val="20"/>
          <w:szCs w:val="20"/>
        </w:rPr>
        <w:t>(</w:t>
      </w:r>
      <w:r w:rsidR="00CB5485" w:rsidRPr="00FB3FA2">
        <w:rPr>
          <w:sz w:val="20"/>
          <w:szCs w:val="20"/>
        </w:rPr>
        <w:t>Atlanta: Society of Biblical Literature, 2003</w:t>
      </w:r>
      <w:r w:rsidR="00CB5485">
        <w:rPr>
          <w:sz w:val="20"/>
          <w:szCs w:val="20"/>
        </w:rPr>
        <w:t>)</w:t>
      </w:r>
      <w:r w:rsidR="00CB5485">
        <w:rPr>
          <w:sz w:val="20"/>
          <w:szCs w:val="20"/>
          <w:lang w:val="en-IE"/>
        </w:rPr>
        <w:t>,</w:t>
      </w:r>
      <w:r>
        <w:rPr>
          <w:sz w:val="20"/>
          <w:szCs w:val="20"/>
        </w:rPr>
        <w:t xml:space="preserve"> Book III, chapter 7, p. 135.</w:t>
      </w:r>
    </w:p>
  </w:footnote>
  <w:footnote w:id="30">
    <w:p w14:paraId="6A9F96DA" w14:textId="2000B167" w:rsidR="0029349B" w:rsidRPr="0029349B" w:rsidRDefault="0029349B">
      <w:pPr>
        <w:pStyle w:val="FootnoteText"/>
        <w:rPr>
          <w:lang w:val="en-IE"/>
        </w:rPr>
      </w:pPr>
      <w:r>
        <w:rPr>
          <w:rStyle w:val="FootnoteReference"/>
        </w:rPr>
        <w:footnoteRef/>
      </w:r>
      <w:r>
        <w:t xml:space="preserve"> </w:t>
      </w:r>
      <w:r w:rsidR="00CB5485" w:rsidRPr="00FB3FA2">
        <w:rPr>
          <w:sz w:val="20"/>
          <w:szCs w:val="20"/>
        </w:rPr>
        <w:t xml:space="preserve">Iamblichus, </w:t>
      </w:r>
      <w:r w:rsidR="00CB5485" w:rsidRPr="00FB3FA2">
        <w:rPr>
          <w:i/>
          <w:iCs/>
          <w:sz w:val="20"/>
          <w:szCs w:val="20"/>
        </w:rPr>
        <w:t xml:space="preserve">On the Mysteries </w:t>
      </w:r>
      <w:r w:rsidR="00CB5485" w:rsidRPr="00FB3FA2">
        <w:rPr>
          <w:sz w:val="20"/>
          <w:szCs w:val="20"/>
        </w:rPr>
        <w:t>(</w:t>
      </w:r>
      <w:r w:rsidR="00CB5485" w:rsidRPr="00FB3FA2">
        <w:rPr>
          <w:i/>
          <w:iCs/>
          <w:sz w:val="20"/>
          <w:szCs w:val="20"/>
        </w:rPr>
        <w:t>De mysteriis</w:t>
      </w:r>
      <w:r w:rsidR="00CB5485">
        <w:rPr>
          <w:sz w:val="20"/>
          <w:szCs w:val="20"/>
        </w:rPr>
        <w:t xml:space="preserve">), trans. by </w:t>
      </w:r>
      <w:r w:rsidR="00CB5485" w:rsidRPr="00FB3FA2">
        <w:rPr>
          <w:sz w:val="20"/>
          <w:szCs w:val="20"/>
        </w:rPr>
        <w:t>Emma C. Clarke, John M. Dillon and J</w:t>
      </w:r>
      <w:r w:rsidR="00CB5485">
        <w:rPr>
          <w:sz w:val="20"/>
          <w:szCs w:val="20"/>
        </w:rPr>
        <w:t xml:space="preserve">ackson </w:t>
      </w:r>
      <w:r w:rsidR="00CB5485" w:rsidRPr="00FB3FA2">
        <w:rPr>
          <w:sz w:val="20"/>
          <w:szCs w:val="20"/>
        </w:rPr>
        <w:t xml:space="preserve">P. Hershbell </w:t>
      </w:r>
      <w:r w:rsidR="00CB5485">
        <w:rPr>
          <w:sz w:val="20"/>
          <w:szCs w:val="20"/>
        </w:rPr>
        <w:t>(</w:t>
      </w:r>
      <w:r w:rsidR="00CB5485" w:rsidRPr="00FB3FA2">
        <w:rPr>
          <w:sz w:val="20"/>
          <w:szCs w:val="20"/>
        </w:rPr>
        <w:t>Atlanta: Society of Biblical Literature, 2003</w:t>
      </w:r>
      <w:r w:rsidR="00CB5485">
        <w:rPr>
          <w:sz w:val="20"/>
          <w:szCs w:val="20"/>
        </w:rPr>
        <w:t>)</w:t>
      </w:r>
      <w:r w:rsidR="00CB5485">
        <w:rPr>
          <w:sz w:val="20"/>
          <w:szCs w:val="20"/>
          <w:lang w:val="en-IE"/>
        </w:rPr>
        <w:t>,</w:t>
      </w:r>
      <w:r>
        <w:rPr>
          <w:sz w:val="20"/>
          <w:szCs w:val="20"/>
        </w:rPr>
        <w:t xml:space="preserve"> </w:t>
      </w:r>
      <w:r>
        <w:rPr>
          <w:sz w:val="20"/>
          <w:szCs w:val="20"/>
        </w:rPr>
        <w:t>Book III, chapter 7</w:t>
      </w:r>
      <w:r>
        <w:rPr>
          <w:sz w:val="20"/>
          <w:szCs w:val="20"/>
        </w:rPr>
        <w:t>, p. 13</w:t>
      </w:r>
      <w:r>
        <w:rPr>
          <w:sz w:val="20"/>
          <w:szCs w:val="20"/>
        </w:rPr>
        <w:t>5</w:t>
      </w:r>
      <w:r>
        <w:rPr>
          <w:sz w:val="20"/>
          <w:szCs w:val="20"/>
        </w:rP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50148" w14:textId="77777777" w:rsidR="00746153" w:rsidRDefault="00746153" w:rsidP="000C7DA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4F0497" w14:textId="77777777" w:rsidR="00746153" w:rsidRDefault="00746153" w:rsidP="00746153">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D72D8" w14:textId="77777777" w:rsidR="00746153" w:rsidRDefault="00746153" w:rsidP="000C7DAC">
    <w:pPr>
      <w:pStyle w:val="Header"/>
      <w:framePr w:wrap="none" w:vAnchor="text" w:hAnchor="margin" w:xAlign="right" w:y="1"/>
      <w:rPr>
        <w:rStyle w:val="PageNumber"/>
      </w:rPr>
    </w:pPr>
    <w:r w:rsidRPr="00746153">
      <w:rPr>
        <w:rStyle w:val="PageNumber"/>
      </w:rPr>
      <w:t xml:space="preserve">Page </w:t>
    </w:r>
    <w:r w:rsidRPr="00746153">
      <w:rPr>
        <w:rStyle w:val="PageNumber"/>
      </w:rPr>
      <w:fldChar w:fldCharType="begin"/>
    </w:r>
    <w:r w:rsidRPr="00746153">
      <w:rPr>
        <w:rStyle w:val="PageNumber"/>
      </w:rPr>
      <w:instrText xml:space="preserve"> PAGE </w:instrText>
    </w:r>
    <w:r w:rsidRPr="00746153">
      <w:rPr>
        <w:rStyle w:val="PageNumber"/>
      </w:rPr>
      <w:fldChar w:fldCharType="separate"/>
    </w:r>
    <w:r w:rsidR="00722C81">
      <w:rPr>
        <w:rStyle w:val="PageNumber"/>
        <w:noProof/>
      </w:rPr>
      <w:t>1</w:t>
    </w:r>
    <w:r w:rsidRPr="00746153">
      <w:rPr>
        <w:rStyle w:val="PageNumber"/>
      </w:rPr>
      <w:fldChar w:fldCharType="end"/>
    </w:r>
    <w:r w:rsidRPr="00746153">
      <w:rPr>
        <w:rStyle w:val="PageNumber"/>
      </w:rPr>
      <w:t xml:space="preserve"> of </w:t>
    </w:r>
    <w:r w:rsidRPr="00746153">
      <w:rPr>
        <w:rStyle w:val="PageNumber"/>
      </w:rPr>
      <w:fldChar w:fldCharType="begin"/>
    </w:r>
    <w:r w:rsidRPr="00746153">
      <w:rPr>
        <w:rStyle w:val="PageNumber"/>
      </w:rPr>
      <w:instrText xml:space="preserve"> NUMPAGES </w:instrText>
    </w:r>
    <w:r w:rsidRPr="00746153">
      <w:rPr>
        <w:rStyle w:val="PageNumber"/>
      </w:rPr>
      <w:fldChar w:fldCharType="separate"/>
    </w:r>
    <w:r w:rsidR="00722C81">
      <w:rPr>
        <w:rStyle w:val="PageNumber"/>
        <w:noProof/>
      </w:rPr>
      <w:t>1</w:t>
    </w:r>
    <w:r w:rsidRPr="00746153">
      <w:rPr>
        <w:rStyle w:val="PageNumber"/>
      </w:rPr>
      <w:fldChar w:fldCharType="end"/>
    </w:r>
  </w:p>
  <w:p w14:paraId="0EFB8251" w14:textId="77777777" w:rsidR="00746153" w:rsidRPr="00746153" w:rsidRDefault="00746153" w:rsidP="00746153">
    <w:pPr>
      <w:pStyle w:val="Header"/>
      <w:ind w:right="360"/>
      <w:rPr>
        <w:lang w:val="en-IE"/>
      </w:rPr>
    </w:pPr>
    <w:r>
      <w:rPr>
        <w:lang w:val="en-IE"/>
      </w:rPr>
      <w:t>Selina White 1602253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C180E"/>
    <w:multiLevelType w:val="hybridMultilevel"/>
    <w:tmpl w:val="1C4CD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B30865"/>
    <w:multiLevelType w:val="hybridMultilevel"/>
    <w:tmpl w:val="54EAE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153"/>
    <w:rsid w:val="000008B0"/>
    <w:rsid w:val="000062EE"/>
    <w:rsid w:val="00017058"/>
    <w:rsid w:val="0002276F"/>
    <w:rsid w:val="00027D19"/>
    <w:rsid w:val="000434DF"/>
    <w:rsid w:val="00044547"/>
    <w:rsid w:val="0005754A"/>
    <w:rsid w:val="00075689"/>
    <w:rsid w:val="00095304"/>
    <w:rsid w:val="000D1969"/>
    <w:rsid w:val="000E2CAD"/>
    <w:rsid w:val="000F4EEA"/>
    <w:rsid w:val="0010365E"/>
    <w:rsid w:val="00107234"/>
    <w:rsid w:val="001111A8"/>
    <w:rsid w:val="00122656"/>
    <w:rsid w:val="00124F9A"/>
    <w:rsid w:val="001275FA"/>
    <w:rsid w:val="00134A58"/>
    <w:rsid w:val="00184084"/>
    <w:rsid w:val="001A288B"/>
    <w:rsid w:val="001B12EA"/>
    <w:rsid w:val="001B13C1"/>
    <w:rsid w:val="001C08EF"/>
    <w:rsid w:val="001D559B"/>
    <w:rsid w:val="001E2724"/>
    <w:rsid w:val="001E6035"/>
    <w:rsid w:val="001F406D"/>
    <w:rsid w:val="001F4E5B"/>
    <w:rsid w:val="00232C27"/>
    <w:rsid w:val="0023650F"/>
    <w:rsid w:val="0024532B"/>
    <w:rsid w:val="002659F7"/>
    <w:rsid w:val="00266F3A"/>
    <w:rsid w:val="0028225F"/>
    <w:rsid w:val="00292E67"/>
    <w:rsid w:val="0029349B"/>
    <w:rsid w:val="00296A4D"/>
    <w:rsid w:val="002A6437"/>
    <w:rsid w:val="002C0BD1"/>
    <w:rsid w:val="002D4657"/>
    <w:rsid w:val="002E699B"/>
    <w:rsid w:val="002F629F"/>
    <w:rsid w:val="002F7044"/>
    <w:rsid w:val="00302180"/>
    <w:rsid w:val="003037B3"/>
    <w:rsid w:val="00313D32"/>
    <w:rsid w:val="00320DDC"/>
    <w:rsid w:val="00321C8C"/>
    <w:rsid w:val="003274E0"/>
    <w:rsid w:val="003355FE"/>
    <w:rsid w:val="00337C4E"/>
    <w:rsid w:val="00345E41"/>
    <w:rsid w:val="00377DD6"/>
    <w:rsid w:val="00380C55"/>
    <w:rsid w:val="003A008D"/>
    <w:rsid w:val="003B41D1"/>
    <w:rsid w:val="003C6227"/>
    <w:rsid w:val="003E06F7"/>
    <w:rsid w:val="003E1AA0"/>
    <w:rsid w:val="003E3E1E"/>
    <w:rsid w:val="003E45F1"/>
    <w:rsid w:val="00402C21"/>
    <w:rsid w:val="00406302"/>
    <w:rsid w:val="00413CE2"/>
    <w:rsid w:val="00420B90"/>
    <w:rsid w:val="00433306"/>
    <w:rsid w:val="0044072A"/>
    <w:rsid w:val="004411F6"/>
    <w:rsid w:val="00442B3F"/>
    <w:rsid w:val="00442CFC"/>
    <w:rsid w:val="0044663B"/>
    <w:rsid w:val="0045359B"/>
    <w:rsid w:val="00486C44"/>
    <w:rsid w:val="004A331E"/>
    <w:rsid w:val="004B1969"/>
    <w:rsid w:val="004B5D0A"/>
    <w:rsid w:val="004D0981"/>
    <w:rsid w:val="004D60AA"/>
    <w:rsid w:val="00517610"/>
    <w:rsid w:val="00530FD1"/>
    <w:rsid w:val="00535BE0"/>
    <w:rsid w:val="00547351"/>
    <w:rsid w:val="00555CE2"/>
    <w:rsid w:val="00555D8F"/>
    <w:rsid w:val="00556AEB"/>
    <w:rsid w:val="005642F4"/>
    <w:rsid w:val="00570505"/>
    <w:rsid w:val="005709E2"/>
    <w:rsid w:val="00570AC9"/>
    <w:rsid w:val="005728ED"/>
    <w:rsid w:val="005756F7"/>
    <w:rsid w:val="00587602"/>
    <w:rsid w:val="005967F5"/>
    <w:rsid w:val="005F0CFD"/>
    <w:rsid w:val="00616363"/>
    <w:rsid w:val="00622B78"/>
    <w:rsid w:val="00641073"/>
    <w:rsid w:val="00646066"/>
    <w:rsid w:val="006823DF"/>
    <w:rsid w:val="00697C60"/>
    <w:rsid w:val="006A3721"/>
    <w:rsid w:val="006C3F00"/>
    <w:rsid w:val="006C6BE2"/>
    <w:rsid w:val="006D048D"/>
    <w:rsid w:val="006F416B"/>
    <w:rsid w:val="006F7A54"/>
    <w:rsid w:val="00722578"/>
    <w:rsid w:val="00722C81"/>
    <w:rsid w:val="00741DBD"/>
    <w:rsid w:val="00746153"/>
    <w:rsid w:val="00754078"/>
    <w:rsid w:val="0075586D"/>
    <w:rsid w:val="00755AD2"/>
    <w:rsid w:val="007873F8"/>
    <w:rsid w:val="007904E8"/>
    <w:rsid w:val="00791DCF"/>
    <w:rsid w:val="007A39DD"/>
    <w:rsid w:val="007C50E4"/>
    <w:rsid w:val="007D097B"/>
    <w:rsid w:val="007D547C"/>
    <w:rsid w:val="007D5CB0"/>
    <w:rsid w:val="007D6765"/>
    <w:rsid w:val="007F316F"/>
    <w:rsid w:val="00802A3E"/>
    <w:rsid w:val="00827ECF"/>
    <w:rsid w:val="00833286"/>
    <w:rsid w:val="00834F66"/>
    <w:rsid w:val="0084434E"/>
    <w:rsid w:val="0086334F"/>
    <w:rsid w:val="00883889"/>
    <w:rsid w:val="00894E95"/>
    <w:rsid w:val="008A0564"/>
    <w:rsid w:val="008C6EC1"/>
    <w:rsid w:val="008E37B6"/>
    <w:rsid w:val="008F167B"/>
    <w:rsid w:val="009005D8"/>
    <w:rsid w:val="00905077"/>
    <w:rsid w:val="00906E27"/>
    <w:rsid w:val="00907ED9"/>
    <w:rsid w:val="00913B23"/>
    <w:rsid w:val="00923CDF"/>
    <w:rsid w:val="00937C77"/>
    <w:rsid w:val="00937D23"/>
    <w:rsid w:val="00952939"/>
    <w:rsid w:val="00980CFA"/>
    <w:rsid w:val="009A6B82"/>
    <w:rsid w:val="009B33CA"/>
    <w:rsid w:val="009C24BF"/>
    <w:rsid w:val="009C3C31"/>
    <w:rsid w:val="009C7ABD"/>
    <w:rsid w:val="009E245A"/>
    <w:rsid w:val="00A06D08"/>
    <w:rsid w:val="00A10CDC"/>
    <w:rsid w:val="00A32F3B"/>
    <w:rsid w:val="00A35114"/>
    <w:rsid w:val="00A44973"/>
    <w:rsid w:val="00A95AB3"/>
    <w:rsid w:val="00AA61D1"/>
    <w:rsid w:val="00AC3662"/>
    <w:rsid w:val="00AC568D"/>
    <w:rsid w:val="00B00ECF"/>
    <w:rsid w:val="00B17453"/>
    <w:rsid w:val="00B64E89"/>
    <w:rsid w:val="00B852F5"/>
    <w:rsid w:val="00BA45F3"/>
    <w:rsid w:val="00BA7540"/>
    <w:rsid w:val="00BC4B54"/>
    <w:rsid w:val="00BD53B3"/>
    <w:rsid w:val="00BE4B15"/>
    <w:rsid w:val="00C06E1F"/>
    <w:rsid w:val="00C147A1"/>
    <w:rsid w:val="00C14B1F"/>
    <w:rsid w:val="00C20457"/>
    <w:rsid w:val="00C248E9"/>
    <w:rsid w:val="00C325D7"/>
    <w:rsid w:val="00C434AC"/>
    <w:rsid w:val="00C558B9"/>
    <w:rsid w:val="00C707D7"/>
    <w:rsid w:val="00C70DE7"/>
    <w:rsid w:val="00C71680"/>
    <w:rsid w:val="00CA7165"/>
    <w:rsid w:val="00CB376A"/>
    <w:rsid w:val="00CB5485"/>
    <w:rsid w:val="00CC6FD7"/>
    <w:rsid w:val="00CD27B7"/>
    <w:rsid w:val="00CD5461"/>
    <w:rsid w:val="00CE4829"/>
    <w:rsid w:val="00CE5FCF"/>
    <w:rsid w:val="00CE67B4"/>
    <w:rsid w:val="00CF3A2E"/>
    <w:rsid w:val="00D21D4F"/>
    <w:rsid w:val="00D70A88"/>
    <w:rsid w:val="00D87CFB"/>
    <w:rsid w:val="00D925C5"/>
    <w:rsid w:val="00D93EF0"/>
    <w:rsid w:val="00DA3EDD"/>
    <w:rsid w:val="00DB146A"/>
    <w:rsid w:val="00DC0DA5"/>
    <w:rsid w:val="00DD03FD"/>
    <w:rsid w:val="00DD1991"/>
    <w:rsid w:val="00DE3ABB"/>
    <w:rsid w:val="00DE49F7"/>
    <w:rsid w:val="00DE4DFC"/>
    <w:rsid w:val="00DF7C24"/>
    <w:rsid w:val="00E0318E"/>
    <w:rsid w:val="00E143C3"/>
    <w:rsid w:val="00E240B3"/>
    <w:rsid w:val="00E318BC"/>
    <w:rsid w:val="00E61F35"/>
    <w:rsid w:val="00E67ADF"/>
    <w:rsid w:val="00E94162"/>
    <w:rsid w:val="00EA2AD3"/>
    <w:rsid w:val="00EB26BD"/>
    <w:rsid w:val="00EB2BAE"/>
    <w:rsid w:val="00EC4E38"/>
    <w:rsid w:val="00ED264A"/>
    <w:rsid w:val="00EE040B"/>
    <w:rsid w:val="00EE75C7"/>
    <w:rsid w:val="00EE79AE"/>
    <w:rsid w:val="00EF53D3"/>
    <w:rsid w:val="00F11893"/>
    <w:rsid w:val="00F142B9"/>
    <w:rsid w:val="00F2573A"/>
    <w:rsid w:val="00F358AE"/>
    <w:rsid w:val="00F3796E"/>
    <w:rsid w:val="00F408D1"/>
    <w:rsid w:val="00F454D9"/>
    <w:rsid w:val="00F5255F"/>
    <w:rsid w:val="00F54BE8"/>
    <w:rsid w:val="00F55AF6"/>
    <w:rsid w:val="00F64E34"/>
    <w:rsid w:val="00F76E5A"/>
    <w:rsid w:val="00F86784"/>
    <w:rsid w:val="00FA3A79"/>
    <w:rsid w:val="00FB0E16"/>
    <w:rsid w:val="00FB3FA2"/>
    <w:rsid w:val="00FD127C"/>
    <w:rsid w:val="00FD3E55"/>
    <w:rsid w:val="00FE60A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70570B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C6FD7"/>
    <w:rPr>
      <w:rFonts w:ascii="Times New Roman" w:hAnsi="Times New Roman"/>
    </w:rPr>
  </w:style>
  <w:style w:type="paragraph" w:styleId="Heading1">
    <w:name w:val="heading 1"/>
    <w:basedOn w:val="Normal"/>
    <w:next w:val="Normal"/>
    <w:link w:val="Heading1Char"/>
    <w:uiPriority w:val="9"/>
    <w:qFormat/>
    <w:rsid w:val="004411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2F629F"/>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6153"/>
    <w:pPr>
      <w:tabs>
        <w:tab w:val="center" w:pos="4513"/>
        <w:tab w:val="right" w:pos="9026"/>
      </w:tabs>
    </w:pPr>
  </w:style>
  <w:style w:type="character" w:customStyle="1" w:styleId="HeaderChar">
    <w:name w:val="Header Char"/>
    <w:basedOn w:val="DefaultParagraphFont"/>
    <w:link w:val="Header"/>
    <w:uiPriority w:val="99"/>
    <w:rsid w:val="00746153"/>
    <w:rPr>
      <w:rFonts w:ascii="Times New Roman" w:hAnsi="Times New Roman"/>
    </w:rPr>
  </w:style>
  <w:style w:type="paragraph" w:styleId="Footer">
    <w:name w:val="footer"/>
    <w:basedOn w:val="Normal"/>
    <w:link w:val="FooterChar"/>
    <w:uiPriority w:val="99"/>
    <w:unhideWhenUsed/>
    <w:rsid w:val="00746153"/>
    <w:pPr>
      <w:tabs>
        <w:tab w:val="center" w:pos="4513"/>
        <w:tab w:val="right" w:pos="9026"/>
      </w:tabs>
    </w:pPr>
  </w:style>
  <w:style w:type="character" w:customStyle="1" w:styleId="FooterChar">
    <w:name w:val="Footer Char"/>
    <w:basedOn w:val="DefaultParagraphFont"/>
    <w:link w:val="Footer"/>
    <w:uiPriority w:val="99"/>
    <w:rsid w:val="00746153"/>
    <w:rPr>
      <w:rFonts w:ascii="Times New Roman" w:hAnsi="Times New Roman"/>
    </w:rPr>
  </w:style>
  <w:style w:type="character" w:styleId="PageNumber">
    <w:name w:val="page number"/>
    <w:basedOn w:val="DefaultParagraphFont"/>
    <w:uiPriority w:val="99"/>
    <w:semiHidden/>
    <w:unhideWhenUsed/>
    <w:rsid w:val="00746153"/>
  </w:style>
  <w:style w:type="paragraph" w:styleId="FootnoteText">
    <w:name w:val="footnote text"/>
    <w:basedOn w:val="Normal"/>
    <w:link w:val="FootnoteTextChar"/>
    <w:uiPriority w:val="99"/>
    <w:unhideWhenUsed/>
    <w:rsid w:val="00FB3FA2"/>
  </w:style>
  <w:style w:type="character" w:customStyle="1" w:styleId="FootnoteTextChar">
    <w:name w:val="Footnote Text Char"/>
    <w:basedOn w:val="DefaultParagraphFont"/>
    <w:link w:val="FootnoteText"/>
    <w:uiPriority w:val="99"/>
    <w:rsid w:val="00FB3FA2"/>
    <w:rPr>
      <w:rFonts w:ascii="Times New Roman" w:hAnsi="Times New Roman"/>
    </w:rPr>
  </w:style>
  <w:style w:type="character" w:styleId="FootnoteReference">
    <w:name w:val="footnote reference"/>
    <w:basedOn w:val="DefaultParagraphFont"/>
    <w:uiPriority w:val="99"/>
    <w:unhideWhenUsed/>
    <w:rsid w:val="00FB3FA2"/>
    <w:rPr>
      <w:vertAlign w:val="superscript"/>
    </w:rPr>
  </w:style>
  <w:style w:type="character" w:styleId="Hyperlink">
    <w:name w:val="Hyperlink"/>
    <w:basedOn w:val="DefaultParagraphFont"/>
    <w:uiPriority w:val="99"/>
    <w:unhideWhenUsed/>
    <w:rsid w:val="00802A3E"/>
    <w:rPr>
      <w:color w:val="0563C1" w:themeColor="hyperlink"/>
      <w:u w:val="single"/>
    </w:rPr>
  </w:style>
  <w:style w:type="paragraph" w:styleId="ListParagraph">
    <w:name w:val="List Paragraph"/>
    <w:basedOn w:val="Normal"/>
    <w:uiPriority w:val="34"/>
    <w:qFormat/>
    <w:rsid w:val="00CF3A2E"/>
    <w:pPr>
      <w:ind w:left="720"/>
      <w:contextualSpacing/>
    </w:pPr>
  </w:style>
  <w:style w:type="character" w:customStyle="1" w:styleId="small">
    <w:name w:val="small"/>
    <w:basedOn w:val="DefaultParagraphFont"/>
    <w:rsid w:val="00547351"/>
  </w:style>
  <w:style w:type="character" w:styleId="FollowedHyperlink">
    <w:name w:val="FollowedHyperlink"/>
    <w:basedOn w:val="DefaultParagraphFont"/>
    <w:uiPriority w:val="99"/>
    <w:semiHidden/>
    <w:unhideWhenUsed/>
    <w:rsid w:val="004411F6"/>
    <w:rPr>
      <w:color w:val="954F72" w:themeColor="followedHyperlink"/>
      <w:u w:val="single"/>
    </w:rPr>
  </w:style>
  <w:style w:type="character" w:customStyle="1" w:styleId="Heading1Char">
    <w:name w:val="Heading 1 Char"/>
    <w:basedOn w:val="DefaultParagraphFont"/>
    <w:link w:val="Heading1"/>
    <w:uiPriority w:val="9"/>
    <w:rsid w:val="004411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2F629F"/>
    <w:rPr>
      <w:rFonts w:ascii="Tahoma" w:eastAsia="SimSun" w:hAnsi="Tahoma" w:cs="Tahoma"/>
      <w:b/>
      <w:bCs/>
      <w:sz w:val="20"/>
      <w:szCs w:val="20"/>
      <w:lang w:val="en-GB" w:eastAsia="zh-CN"/>
    </w:rPr>
  </w:style>
  <w:style w:type="paragraph" w:styleId="NormalWeb">
    <w:name w:val="Normal (Web)"/>
    <w:basedOn w:val="Normal"/>
    <w:rsid w:val="002F629F"/>
    <w:pPr>
      <w:spacing w:before="100" w:beforeAutospacing="1" w:after="100" w:afterAutospacing="1"/>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035699">
      <w:bodyDiv w:val="1"/>
      <w:marLeft w:val="0"/>
      <w:marRight w:val="0"/>
      <w:marTop w:val="0"/>
      <w:marBottom w:val="0"/>
      <w:divBdr>
        <w:top w:val="none" w:sz="0" w:space="0" w:color="auto"/>
        <w:left w:val="none" w:sz="0" w:space="0" w:color="auto"/>
        <w:bottom w:val="none" w:sz="0" w:space="0" w:color="auto"/>
        <w:right w:val="none" w:sz="0" w:space="0" w:color="auto"/>
      </w:divBdr>
    </w:div>
    <w:div w:id="59133546">
      <w:bodyDiv w:val="1"/>
      <w:marLeft w:val="0"/>
      <w:marRight w:val="0"/>
      <w:marTop w:val="0"/>
      <w:marBottom w:val="0"/>
      <w:divBdr>
        <w:top w:val="none" w:sz="0" w:space="0" w:color="auto"/>
        <w:left w:val="none" w:sz="0" w:space="0" w:color="auto"/>
        <w:bottom w:val="none" w:sz="0" w:space="0" w:color="auto"/>
        <w:right w:val="none" w:sz="0" w:space="0" w:color="auto"/>
      </w:divBdr>
    </w:div>
    <w:div w:id="62803356">
      <w:bodyDiv w:val="1"/>
      <w:marLeft w:val="0"/>
      <w:marRight w:val="0"/>
      <w:marTop w:val="0"/>
      <w:marBottom w:val="0"/>
      <w:divBdr>
        <w:top w:val="none" w:sz="0" w:space="0" w:color="auto"/>
        <w:left w:val="none" w:sz="0" w:space="0" w:color="auto"/>
        <w:bottom w:val="none" w:sz="0" w:space="0" w:color="auto"/>
        <w:right w:val="none" w:sz="0" w:space="0" w:color="auto"/>
      </w:divBdr>
    </w:div>
    <w:div w:id="63726433">
      <w:bodyDiv w:val="1"/>
      <w:marLeft w:val="0"/>
      <w:marRight w:val="0"/>
      <w:marTop w:val="0"/>
      <w:marBottom w:val="0"/>
      <w:divBdr>
        <w:top w:val="none" w:sz="0" w:space="0" w:color="auto"/>
        <w:left w:val="none" w:sz="0" w:space="0" w:color="auto"/>
        <w:bottom w:val="none" w:sz="0" w:space="0" w:color="auto"/>
        <w:right w:val="none" w:sz="0" w:space="0" w:color="auto"/>
      </w:divBdr>
    </w:div>
    <w:div w:id="92090514">
      <w:bodyDiv w:val="1"/>
      <w:marLeft w:val="0"/>
      <w:marRight w:val="0"/>
      <w:marTop w:val="0"/>
      <w:marBottom w:val="0"/>
      <w:divBdr>
        <w:top w:val="none" w:sz="0" w:space="0" w:color="auto"/>
        <w:left w:val="none" w:sz="0" w:space="0" w:color="auto"/>
        <w:bottom w:val="none" w:sz="0" w:space="0" w:color="auto"/>
        <w:right w:val="none" w:sz="0" w:space="0" w:color="auto"/>
      </w:divBdr>
    </w:div>
    <w:div w:id="113910574">
      <w:bodyDiv w:val="1"/>
      <w:marLeft w:val="0"/>
      <w:marRight w:val="0"/>
      <w:marTop w:val="0"/>
      <w:marBottom w:val="0"/>
      <w:divBdr>
        <w:top w:val="none" w:sz="0" w:space="0" w:color="auto"/>
        <w:left w:val="none" w:sz="0" w:space="0" w:color="auto"/>
        <w:bottom w:val="none" w:sz="0" w:space="0" w:color="auto"/>
        <w:right w:val="none" w:sz="0" w:space="0" w:color="auto"/>
      </w:divBdr>
    </w:div>
    <w:div w:id="135878146">
      <w:bodyDiv w:val="1"/>
      <w:marLeft w:val="0"/>
      <w:marRight w:val="0"/>
      <w:marTop w:val="0"/>
      <w:marBottom w:val="0"/>
      <w:divBdr>
        <w:top w:val="none" w:sz="0" w:space="0" w:color="auto"/>
        <w:left w:val="none" w:sz="0" w:space="0" w:color="auto"/>
        <w:bottom w:val="none" w:sz="0" w:space="0" w:color="auto"/>
        <w:right w:val="none" w:sz="0" w:space="0" w:color="auto"/>
      </w:divBdr>
    </w:div>
    <w:div w:id="166985858">
      <w:bodyDiv w:val="1"/>
      <w:marLeft w:val="0"/>
      <w:marRight w:val="0"/>
      <w:marTop w:val="0"/>
      <w:marBottom w:val="0"/>
      <w:divBdr>
        <w:top w:val="none" w:sz="0" w:space="0" w:color="auto"/>
        <w:left w:val="none" w:sz="0" w:space="0" w:color="auto"/>
        <w:bottom w:val="none" w:sz="0" w:space="0" w:color="auto"/>
        <w:right w:val="none" w:sz="0" w:space="0" w:color="auto"/>
      </w:divBdr>
    </w:div>
    <w:div w:id="173955759">
      <w:bodyDiv w:val="1"/>
      <w:marLeft w:val="0"/>
      <w:marRight w:val="0"/>
      <w:marTop w:val="0"/>
      <w:marBottom w:val="0"/>
      <w:divBdr>
        <w:top w:val="none" w:sz="0" w:space="0" w:color="auto"/>
        <w:left w:val="none" w:sz="0" w:space="0" w:color="auto"/>
        <w:bottom w:val="none" w:sz="0" w:space="0" w:color="auto"/>
        <w:right w:val="none" w:sz="0" w:space="0" w:color="auto"/>
      </w:divBdr>
    </w:div>
    <w:div w:id="218833790">
      <w:bodyDiv w:val="1"/>
      <w:marLeft w:val="0"/>
      <w:marRight w:val="0"/>
      <w:marTop w:val="0"/>
      <w:marBottom w:val="0"/>
      <w:divBdr>
        <w:top w:val="none" w:sz="0" w:space="0" w:color="auto"/>
        <w:left w:val="none" w:sz="0" w:space="0" w:color="auto"/>
        <w:bottom w:val="none" w:sz="0" w:space="0" w:color="auto"/>
        <w:right w:val="none" w:sz="0" w:space="0" w:color="auto"/>
      </w:divBdr>
    </w:div>
    <w:div w:id="297344861">
      <w:bodyDiv w:val="1"/>
      <w:marLeft w:val="0"/>
      <w:marRight w:val="0"/>
      <w:marTop w:val="0"/>
      <w:marBottom w:val="0"/>
      <w:divBdr>
        <w:top w:val="none" w:sz="0" w:space="0" w:color="auto"/>
        <w:left w:val="none" w:sz="0" w:space="0" w:color="auto"/>
        <w:bottom w:val="none" w:sz="0" w:space="0" w:color="auto"/>
        <w:right w:val="none" w:sz="0" w:space="0" w:color="auto"/>
      </w:divBdr>
    </w:div>
    <w:div w:id="399640905">
      <w:bodyDiv w:val="1"/>
      <w:marLeft w:val="0"/>
      <w:marRight w:val="0"/>
      <w:marTop w:val="0"/>
      <w:marBottom w:val="0"/>
      <w:divBdr>
        <w:top w:val="none" w:sz="0" w:space="0" w:color="auto"/>
        <w:left w:val="none" w:sz="0" w:space="0" w:color="auto"/>
        <w:bottom w:val="none" w:sz="0" w:space="0" w:color="auto"/>
        <w:right w:val="none" w:sz="0" w:space="0" w:color="auto"/>
      </w:divBdr>
    </w:div>
    <w:div w:id="431051905">
      <w:bodyDiv w:val="1"/>
      <w:marLeft w:val="0"/>
      <w:marRight w:val="0"/>
      <w:marTop w:val="0"/>
      <w:marBottom w:val="0"/>
      <w:divBdr>
        <w:top w:val="none" w:sz="0" w:space="0" w:color="auto"/>
        <w:left w:val="none" w:sz="0" w:space="0" w:color="auto"/>
        <w:bottom w:val="none" w:sz="0" w:space="0" w:color="auto"/>
        <w:right w:val="none" w:sz="0" w:space="0" w:color="auto"/>
      </w:divBdr>
    </w:div>
    <w:div w:id="458424442">
      <w:bodyDiv w:val="1"/>
      <w:marLeft w:val="0"/>
      <w:marRight w:val="0"/>
      <w:marTop w:val="0"/>
      <w:marBottom w:val="0"/>
      <w:divBdr>
        <w:top w:val="none" w:sz="0" w:space="0" w:color="auto"/>
        <w:left w:val="none" w:sz="0" w:space="0" w:color="auto"/>
        <w:bottom w:val="none" w:sz="0" w:space="0" w:color="auto"/>
        <w:right w:val="none" w:sz="0" w:space="0" w:color="auto"/>
      </w:divBdr>
    </w:div>
    <w:div w:id="568732502">
      <w:bodyDiv w:val="1"/>
      <w:marLeft w:val="0"/>
      <w:marRight w:val="0"/>
      <w:marTop w:val="0"/>
      <w:marBottom w:val="0"/>
      <w:divBdr>
        <w:top w:val="none" w:sz="0" w:space="0" w:color="auto"/>
        <w:left w:val="none" w:sz="0" w:space="0" w:color="auto"/>
        <w:bottom w:val="none" w:sz="0" w:space="0" w:color="auto"/>
        <w:right w:val="none" w:sz="0" w:space="0" w:color="auto"/>
      </w:divBdr>
    </w:div>
    <w:div w:id="573512240">
      <w:bodyDiv w:val="1"/>
      <w:marLeft w:val="0"/>
      <w:marRight w:val="0"/>
      <w:marTop w:val="0"/>
      <w:marBottom w:val="0"/>
      <w:divBdr>
        <w:top w:val="none" w:sz="0" w:space="0" w:color="auto"/>
        <w:left w:val="none" w:sz="0" w:space="0" w:color="auto"/>
        <w:bottom w:val="none" w:sz="0" w:space="0" w:color="auto"/>
        <w:right w:val="none" w:sz="0" w:space="0" w:color="auto"/>
      </w:divBdr>
    </w:div>
    <w:div w:id="669720206">
      <w:bodyDiv w:val="1"/>
      <w:marLeft w:val="0"/>
      <w:marRight w:val="0"/>
      <w:marTop w:val="0"/>
      <w:marBottom w:val="0"/>
      <w:divBdr>
        <w:top w:val="none" w:sz="0" w:space="0" w:color="auto"/>
        <w:left w:val="none" w:sz="0" w:space="0" w:color="auto"/>
        <w:bottom w:val="none" w:sz="0" w:space="0" w:color="auto"/>
        <w:right w:val="none" w:sz="0" w:space="0" w:color="auto"/>
      </w:divBdr>
    </w:div>
    <w:div w:id="683634832">
      <w:bodyDiv w:val="1"/>
      <w:marLeft w:val="0"/>
      <w:marRight w:val="0"/>
      <w:marTop w:val="0"/>
      <w:marBottom w:val="0"/>
      <w:divBdr>
        <w:top w:val="none" w:sz="0" w:space="0" w:color="auto"/>
        <w:left w:val="none" w:sz="0" w:space="0" w:color="auto"/>
        <w:bottom w:val="none" w:sz="0" w:space="0" w:color="auto"/>
        <w:right w:val="none" w:sz="0" w:space="0" w:color="auto"/>
      </w:divBdr>
    </w:div>
    <w:div w:id="692415879">
      <w:bodyDiv w:val="1"/>
      <w:marLeft w:val="0"/>
      <w:marRight w:val="0"/>
      <w:marTop w:val="0"/>
      <w:marBottom w:val="0"/>
      <w:divBdr>
        <w:top w:val="none" w:sz="0" w:space="0" w:color="auto"/>
        <w:left w:val="none" w:sz="0" w:space="0" w:color="auto"/>
        <w:bottom w:val="none" w:sz="0" w:space="0" w:color="auto"/>
        <w:right w:val="none" w:sz="0" w:space="0" w:color="auto"/>
      </w:divBdr>
    </w:div>
    <w:div w:id="703484591">
      <w:bodyDiv w:val="1"/>
      <w:marLeft w:val="0"/>
      <w:marRight w:val="0"/>
      <w:marTop w:val="0"/>
      <w:marBottom w:val="0"/>
      <w:divBdr>
        <w:top w:val="none" w:sz="0" w:space="0" w:color="auto"/>
        <w:left w:val="none" w:sz="0" w:space="0" w:color="auto"/>
        <w:bottom w:val="none" w:sz="0" w:space="0" w:color="auto"/>
        <w:right w:val="none" w:sz="0" w:space="0" w:color="auto"/>
      </w:divBdr>
    </w:div>
    <w:div w:id="717238675">
      <w:bodyDiv w:val="1"/>
      <w:marLeft w:val="0"/>
      <w:marRight w:val="0"/>
      <w:marTop w:val="0"/>
      <w:marBottom w:val="0"/>
      <w:divBdr>
        <w:top w:val="none" w:sz="0" w:space="0" w:color="auto"/>
        <w:left w:val="none" w:sz="0" w:space="0" w:color="auto"/>
        <w:bottom w:val="none" w:sz="0" w:space="0" w:color="auto"/>
        <w:right w:val="none" w:sz="0" w:space="0" w:color="auto"/>
      </w:divBdr>
    </w:div>
    <w:div w:id="767386721">
      <w:bodyDiv w:val="1"/>
      <w:marLeft w:val="0"/>
      <w:marRight w:val="0"/>
      <w:marTop w:val="0"/>
      <w:marBottom w:val="0"/>
      <w:divBdr>
        <w:top w:val="none" w:sz="0" w:space="0" w:color="auto"/>
        <w:left w:val="none" w:sz="0" w:space="0" w:color="auto"/>
        <w:bottom w:val="none" w:sz="0" w:space="0" w:color="auto"/>
        <w:right w:val="none" w:sz="0" w:space="0" w:color="auto"/>
      </w:divBdr>
    </w:div>
    <w:div w:id="802112641">
      <w:bodyDiv w:val="1"/>
      <w:marLeft w:val="0"/>
      <w:marRight w:val="0"/>
      <w:marTop w:val="0"/>
      <w:marBottom w:val="0"/>
      <w:divBdr>
        <w:top w:val="none" w:sz="0" w:space="0" w:color="auto"/>
        <w:left w:val="none" w:sz="0" w:space="0" w:color="auto"/>
        <w:bottom w:val="none" w:sz="0" w:space="0" w:color="auto"/>
        <w:right w:val="none" w:sz="0" w:space="0" w:color="auto"/>
      </w:divBdr>
    </w:div>
    <w:div w:id="820193997">
      <w:bodyDiv w:val="1"/>
      <w:marLeft w:val="0"/>
      <w:marRight w:val="0"/>
      <w:marTop w:val="0"/>
      <w:marBottom w:val="0"/>
      <w:divBdr>
        <w:top w:val="none" w:sz="0" w:space="0" w:color="auto"/>
        <w:left w:val="none" w:sz="0" w:space="0" w:color="auto"/>
        <w:bottom w:val="none" w:sz="0" w:space="0" w:color="auto"/>
        <w:right w:val="none" w:sz="0" w:space="0" w:color="auto"/>
      </w:divBdr>
    </w:div>
    <w:div w:id="856162768">
      <w:bodyDiv w:val="1"/>
      <w:marLeft w:val="0"/>
      <w:marRight w:val="0"/>
      <w:marTop w:val="0"/>
      <w:marBottom w:val="0"/>
      <w:divBdr>
        <w:top w:val="none" w:sz="0" w:space="0" w:color="auto"/>
        <w:left w:val="none" w:sz="0" w:space="0" w:color="auto"/>
        <w:bottom w:val="none" w:sz="0" w:space="0" w:color="auto"/>
        <w:right w:val="none" w:sz="0" w:space="0" w:color="auto"/>
      </w:divBdr>
    </w:div>
    <w:div w:id="868032490">
      <w:bodyDiv w:val="1"/>
      <w:marLeft w:val="0"/>
      <w:marRight w:val="0"/>
      <w:marTop w:val="0"/>
      <w:marBottom w:val="0"/>
      <w:divBdr>
        <w:top w:val="none" w:sz="0" w:space="0" w:color="auto"/>
        <w:left w:val="none" w:sz="0" w:space="0" w:color="auto"/>
        <w:bottom w:val="none" w:sz="0" w:space="0" w:color="auto"/>
        <w:right w:val="none" w:sz="0" w:space="0" w:color="auto"/>
      </w:divBdr>
    </w:div>
    <w:div w:id="887372633">
      <w:bodyDiv w:val="1"/>
      <w:marLeft w:val="0"/>
      <w:marRight w:val="0"/>
      <w:marTop w:val="0"/>
      <w:marBottom w:val="0"/>
      <w:divBdr>
        <w:top w:val="none" w:sz="0" w:space="0" w:color="auto"/>
        <w:left w:val="none" w:sz="0" w:space="0" w:color="auto"/>
        <w:bottom w:val="none" w:sz="0" w:space="0" w:color="auto"/>
        <w:right w:val="none" w:sz="0" w:space="0" w:color="auto"/>
      </w:divBdr>
    </w:div>
    <w:div w:id="952908853">
      <w:bodyDiv w:val="1"/>
      <w:marLeft w:val="0"/>
      <w:marRight w:val="0"/>
      <w:marTop w:val="0"/>
      <w:marBottom w:val="0"/>
      <w:divBdr>
        <w:top w:val="none" w:sz="0" w:space="0" w:color="auto"/>
        <w:left w:val="none" w:sz="0" w:space="0" w:color="auto"/>
        <w:bottom w:val="none" w:sz="0" w:space="0" w:color="auto"/>
        <w:right w:val="none" w:sz="0" w:space="0" w:color="auto"/>
      </w:divBdr>
    </w:div>
    <w:div w:id="1034621780">
      <w:bodyDiv w:val="1"/>
      <w:marLeft w:val="0"/>
      <w:marRight w:val="0"/>
      <w:marTop w:val="0"/>
      <w:marBottom w:val="0"/>
      <w:divBdr>
        <w:top w:val="none" w:sz="0" w:space="0" w:color="auto"/>
        <w:left w:val="none" w:sz="0" w:space="0" w:color="auto"/>
        <w:bottom w:val="none" w:sz="0" w:space="0" w:color="auto"/>
        <w:right w:val="none" w:sz="0" w:space="0" w:color="auto"/>
      </w:divBdr>
    </w:div>
    <w:div w:id="1052581537">
      <w:bodyDiv w:val="1"/>
      <w:marLeft w:val="0"/>
      <w:marRight w:val="0"/>
      <w:marTop w:val="0"/>
      <w:marBottom w:val="0"/>
      <w:divBdr>
        <w:top w:val="none" w:sz="0" w:space="0" w:color="auto"/>
        <w:left w:val="none" w:sz="0" w:space="0" w:color="auto"/>
        <w:bottom w:val="none" w:sz="0" w:space="0" w:color="auto"/>
        <w:right w:val="none" w:sz="0" w:space="0" w:color="auto"/>
      </w:divBdr>
    </w:div>
    <w:div w:id="1086001191">
      <w:bodyDiv w:val="1"/>
      <w:marLeft w:val="0"/>
      <w:marRight w:val="0"/>
      <w:marTop w:val="0"/>
      <w:marBottom w:val="0"/>
      <w:divBdr>
        <w:top w:val="none" w:sz="0" w:space="0" w:color="auto"/>
        <w:left w:val="none" w:sz="0" w:space="0" w:color="auto"/>
        <w:bottom w:val="none" w:sz="0" w:space="0" w:color="auto"/>
        <w:right w:val="none" w:sz="0" w:space="0" w:color="auto"/>
      </w:divBdr>
    </w:div>
    <w:div w:id="1211460988">
      <w:bodyDiv w:val="1"/>
      <w:marLeft w:val="0"/>
      <w:marRight w:val="0"/>
      <w:marTop w:val="0"/>
      <w:marBottom w:val="0"/>
      <w:divBdr>
        <w:top w:val="none" w:sz="0" w:space="0" w:color="auto"/>
        <w:left w:val="none" w:sz="0" w:space="0" w:color="auto"/>
        <w:bottom w:val="none" w:sz="0" w:space="0" w:color="auto"/>
        <w:right w:val="none" w:sz="0" w:space="0" w:color="auto"/>
      </w:divBdr>
    </w:div>
    <w:div w:id="1265310285">
      <w:bodyDiv w:val="1"/>
      <w:marLeft w:val="0"/>
      <w:marRight w:val="0"/>
      <w:marTop w:val="0"/>
      <w:marBottom w:val="0"/>
      <w:divBdr>
        <w:top w:val="none" w:sz="0" w:space="0" w:color="auto"/>
        <w:left w:val="none" w:sz="0" w:space="0" w:color="auto"/>
        <w:bottom w:val="none" w:sz="0" w:space="0" w:color="auto"/>
        <w:right w:val="none" w:sz="0" w:space="0" w:color="auto"/>
      </w:divBdr>
    </w:div>
    <w:div w:id="1308509056">
      <w:bodyDiv w:val="1"/>
      <w:marLeft w:val="0"/>
      <w:marRight w:val="0"/>
      <w:marTop w:val="0"/>
      <w:marBottom w:val="0"/>
      <w:divBdr>
        <w:top w:val="none" w:sz="0" w:space="0" w:color="auto"/>
        <w:left w:val="none" w:sz="0" w:space="0" w:color="auto"/>
        <w:bottom w:val="none" w:sz="0" w:space="0" w:color="auto"/>
        <w:right w:val="none" w:sz="0" w:space="0" w:color="auto"/>
      </w:divBdr>
    </w:div>
    <w:div w:id="1391462183">
      <w:bodyDiv w:val="1"/>
      <w:marLeft w:val="0"/>
      <w:marRight w:val="0"/>
      <w:marTop w:val="0"/>
      <w:marBottom w:val="0"/>
      <w:divBdr>
        <w:top w:val="none" w:sz="0" w:space="0" w:color="auto"/>
        <w:left w:val="none" w:sz="0" w:space="0" w:color="auto"/>
        <w:bottom w:val="none" w:sz="0" w:space="0" w:color="auto"/>
        <w:right w:val="none" w:sz="0" w:space="0" w:color="auto"/>
      </w:divBdr>
    </w:div>
    <w:div w:id="1432780512">
      <w:bodyDiv w:val="1"/>
      <w:marLeft w:val="0"/>
      <w:marRight w:val="0"/>
      <w:marTop w:val="0"/>
      <w:marBottom w:val="0"/>
      <w:divBdr>
        <w:top w:val="none" w:sz="0" w:space="0" w:color="auto"/>
        <w:left w:val="none" w:sz="0" w:space="0" w:color="auto"/>
        <w:bottom w:val="none" w:sz="0" w:space="0" w:color="auto"/>
        <w:right w:val="none" w:sz="0" w:space="0" w:color="auto"/>
      </w:divBdr>
    </w:div>
    <w:div w:id="1452281480">
      <w:bodyDiv w:val="1"/>
      <w:marLeft w:val="0"/>
      <w:marRight w:val="0"/>
      <w:marTop w:val="0"/>
      <w:marBottom w:val="0"/>
      <w:divBdr>
        <w:top w:val="none" w:sz="0" w:space="0" w:color="auto"/>
        <w:left w:val="none" w:sz="0" w:space="0" w:color="auto"/>
        <w:bottom w:val="none" w:sz="0" w:space="0" w:color="auto"/>
        <w:right w:val="none" w:sz="0" w:space="0" w:color="auto"/>
      </w:divBdr>
    </w:div>
    <w:div w:id="1477648680">
      <w:bodyDiv w:val="1"/>
      <w:marLeft w:val="0"/>
      <w:marRight w:val="0"/>
      <w:marTop w:val="0"/>
      <w:marBottom w:val="0"/>
      <w:divBdr>
        <w:top w:val="none" w:sz="0" w:space="0" w:color="auto"/>
        <w:left w:val="none" w:sz="0" w:space="0" w:color="auto"/>
        <w:bottom w:val="none" w:sz="0" w:space="0" w:color="auto"/>
        <w:right w:val="none" w:sz="0" w:space="0" w:color="auto"/>
      </w:divBdr>
    </w:div>
    <w:div w:id="1508711639">
      <w:bodyDiv w:val="1"/>
      <w:marLeft w:val="0"/>
      <w:marRight w:val="0"/>
      <w:marTop w:val="0"/>
      <w:marBottom w:val="0"/>
      <w:divBdr>
        <w:top w:val="none" w:sz="0" w:space="0" w:color="auto"/>
        <w:left w:val="none" w:sz="0" w:space="0" w:color="auto"/>
        <w:bottom w:val="none" w:sz="0" w:space="0" w:color="auto"/>
        <w:right w:val="none" w:sz="0" w:space="0" w:color="auto"/>
      </w:divBdr>
    </w:div>
    <w:div w:id="1543858262">
      <w:bodyDiv w:val="1"/>
      <w:marLeft w:val="0"/>
      <w:marRight w:val="0"/>
      <w:marTop w:val="0"/>
      <w:marBottom w:val="0"/>
      <w:divBdr>
        <w:top w:val="none" w:sz="0" w:space="0" w:color="auto"/>
        <w:left w:val="none" w:sz="0" w:space="0" w:color="auto"/>
        <w:bottom w:val="none" w:sz="0" w:space="0" w:color="auto"/>
        <w:right w:val="none" w:sz="0" w:space="0" w:color="auto"/>
      </w:divBdr>
    </w:div>
    <w:div w:id="1546601188">
      <w:bodyDiv w:val="1"/>
      <w:marLeft w:val="0"/>
      <w:marRight w:val="0"/>
      <w:marTop w:val="0"/>
      <w:marBottom w:val="0"/>
      <w:divBdr>
        <w:top w:val="none" w:sz="0" w:space="0" w:color="auto"/>
        <w:left w:val="none" w:sz="0" w:space="0" w:color="auto"/>
        <w:bottom w:val="none" w:sz="0" w:space="0" w:color="auto"/>
        <w:right w:val="none" w:sz="0" w:space="0" w:color="auto"/>
      </w:divBdr>
    </w:div>
    <w:div w:id="1548107376">
      <w:bodyDiv w:val="1"/>
      <w:marLeft w:val="0"/>
      <w:marRight w:val="0"/>
      <w:marTop w:val="0"/>
      <w:marBottom w:val="0"/>
      <w:divBdr>
        <w:top w:val="none" w:sz="0" w:space="0" w:color="auto"/>
        <w:left w:val="none" w:sz="0" w:space="0" w:color="auto"/>
        <w:bottom w:val="none" w:sz="0" w:space="0" w:color="auto"/>
        <w:right w:val="none" w:sz="0" w:space="0" w:color="auto"/>
      </w:divBdr>
    </w:div>
    <w:div w:id="1570194825">
      <w:bodyDiv w:val="1"/>
      <w:marLeft w:val="0"/>
      <w:marRight w:val="0"/>
      <w:marTop w:val="0"/>
      <w:marBottom w:val="0"/>
      <w:divBdr>
        <w:top w:val="none" w:sz="0" w:space="0" w:color="auto"/>
        <w:left w:val="none" w:sz="0" w:space="0" w:color="auto"/>
        <w:bottom w:val="none" w:sz="0" w:space="0" w:color="auto"/>
        <w:right w:val="none" w:sz="0" w:space="0" w:color="auto"/>
      </w:divBdr>
    </w:div>
    <w:div w:id="1602687101">
      <w:bodyDiv w:val="1"/>
      <w:marLeft w:val="0"/>
      <w:marRight w:val="0"/>
      <w:marTop w:val="0"/>
      <w:marBottom w:val="0"/>
      <w:divBdr>
        <w:top w:val="none" w:sz="0" w:space="0" w:color="auto"/>
        <w:left w:val="none" w:sz="0" w:space="0" w:color="auto"/>
        <w:bottom w:val="none" w:sz="0" w:space="0" w:color="auto"/>
        <w:right w:val="none" w:sz="0" w:space="0" w:color="auto"/>
      </w:divBdr>
    </w:div>
    <w:div w:id="1603369161">
      <w:bodyDiv w:val="1"/>
      <w:marLeft w:val="0"/>
      <w:marRight w:val="0"/>
      <w:marTop w:val="0"/>
      <w:marBottom w:val="0"/>
      <w:divBdr>
        <w:top w:val="none" w:sz="0" w:space="0" w:color="auto"/>
        <w:left w:val="none" w:sz="0" w:space="0" w:color="auto"/>
        <w:bottom w:val="none" w:sz="0" w:space="0" w:color="auto"/>
        <w:right w:val="none" w:sz="0" w:space="0" w:color="auto"/>
      </w:divBdr>
    </w:div>
    <w:div w:id="1607037295">
      <w:bodyDiv w:val="1"/>
      <w:marLeft w:val="0"/>
      <w:marRight w:val="0"/>
      <w:marTop w:val="0"/>
      <w:marBottom w:val="0"/>
      <w:divBdr>
        <w:top w:val="none" w:sz="0" w:space="0" w:color="auto"/>
        <w:left w:val="none" w:sz="0" w:space="0" w:color="auto"/>
        <w:bottom w:val="none" w:sz="0" w:space="0" w:color="auto"/>
        <w:right w:val="none" w:sz="0" w:space="0" w:color="auto"/>
      </w:divBdr>
    </w:div>
    <w:div w:id="1632200764">
      <w:bodyDiv w:val="1"/>
      <w:marLeft w:val="0"/>
      <w:marRight w:val="0"/>
      <w:marTop w:val="0"/>
      <w:marBottom w:val="0"/>
      <w:divBdr>
        <w:top w:val="none" w:sz="0" w:space="0" w:color="auto"/>
        <w:left w:val="none" w:sz="0" w:space="0" w:color="auto"/>
        <w:bottom w:val="none" w:sz="0" w:space="0" w:color="auto"/>
        <w:right w:val="none" w:sz="0" w:space="0" w:color="auto"/>
      </w:divBdr>
    </w:div>
    <w:div w:id="1774403226">
      <w:bodyDiv w:val="1"/>
      <w:marLeft w:val="0"/>
      <w:marRight w:val="0"/>
      <w:marTop w:val="0"/>
      <w:marBottom w:val="0"/>
      <w:divBdr>
        <w:top w:val="none" w:sz="0" w:space="0" w:color="auto"/>
        <w:left w:val="none" w:sz="0" w:space="0" w:color="auto"/>
        <w:bottom w:val="none" w:sz="0" w:space="0" w:color="auto"/>
        <w:right w:val="none" w:sz="0" w:space="0" w:color="auto"/>
      </w:divBdr>
    </w:div>
    <w:div w:id="1776711421">
      <w:bodyDiv w:val="1"/>
      <w:marLeft w:val="0"/>
      <w:marRight w:val="0"/>
      <w:marTop w:val="0"/>
      <w:marBottom w:val="0"/>
      <w:divBdr>
        <w:top w:val="none" w:sz="0" w:space="0" w:color="auto"/>
        <w:left w:val="none" w:sz="0" w:space="0" w:color="auto"/>
        <w:bottom w:val="none" w:sz="0" w:space="0" w:color="auto"/>
        <w:right w:val="none" w:sz="0" w:space="0" w:color="auto"/>
      </w:divBdr>
    </w:div>
    <w:div w:id="1888300824">
      <w:bodyDiv w:val="1"/>
      <w:marLeft w:val="0"/>
      <w:marRight w:val="0"/>
      <w:marTop w:val="0"/>
      <w:marBottom w:val="0"/>
      <w:divBdr>
        <w:top w:val="none" w:sz="0" w:space="0" w:color="auto"/>
        <w:left w:val="none" w:sz="0" w:space="0" w:color="auto"/>
        <w:bottom w:val="none" w:sz="0" w:space="0" w:color="auto"/>
        <w:right w:val="none" w:sz="0" w:space="0" w:color="auto"/>
      </w:divBdr>
    </w:div>
    <w:div w:id="2126734153">
      <w:bodyDiv w:val="1"/>
      <w:marLeft w:val="0"/>
      <w:marRight w:val="0"/>
      <w:marTop w:val="0"/>
      <w:marBottom w:val="0"/>
      <w:divBdr>
        <w:top w:val="none" w:sz="0" w:space="0" w:color="auto"/>
        <w:left w:val="none" w:sz="0" w:space="0" w:color="auto"/>
        <w:bottom w:val="none" w:sz="0" w:space="0" w:color="auto"/>
        <w:right w:val="none" w:sz="0" w:space="0" w:color="auto"/>
      </w:divBdr>
    </w:div>
    <w:div w:id="21307775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tertullian.org/fathers/eunapius_02_text.htm" TargetMode="External"/><Relationship Id="rId10" Type="http://schemas.openxmlformats.org/officeDocument/2006/relationships/hyperlink" Target="http://www.esotericarchives.com/oracle/iambl_th.ht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tertullian.org/fathers/eunapius_02_text.htm#IAMBLICHUS" TargetMode="External"/><Relationship Id="rId2" Type="http://schemas.openxmlformats.org/officeDocument/2006/relationships/hyperlink" Target="http://www.esotericarchives.com/oracle/iambl_t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file>

<file path=customXml/itemProps1.xml><?xml version="1.0" encoding="utf-8"?>
<ds:datastoreItem xmlns:ds="http://schemas.openxmlformats.org/officeDocument/2006/customXml" ds:itemID="{E1BDDFF3-1585-A943-B0D6-60D38BDC7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2599</Words>
  <Characters>13857</Characters>
  <Application>Microsoft Macintosh Word</Application>
  <DocSecurity>0</DocSecurity>
  <Lines>209</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White (1602253)</dc:creator>
  <cp:keywords/>
  <dc:description/>
  <cp:lastModifiedBy>Selina White (1602253)</cp:lastModifiedBy>
  <cp:revision>2</cp:revision>
  <dcterms:created xsi:type="dcterms:W3CDTF">2018-06-04T14:11:00Z</dcterms:created>
  <dcterms:modified xsi:type="dcterms:W3CDTF">2018-06-04T14:11:00Z</dcterms:modified>
</cp:coreProperties>
</file>