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8521765"/>
        <w:docPartObj>
          <w:docPartGallery w:val="Cover Pages"/>
          <w:docPartUnique/>
        </w:docPartObj>
      </w:sdtPr>
      <w:sdtEndPr>
        <w:rPr>
          <w:b/>
          <w:bCs/>
        </w:rPr>
      </w:sdtEndPr>
      <w:sdtContent>
        <w:p w14:paraId="0D79E5F6" w14:textId="41B8E3CC" w:rsidR="00B107BE" w:rsidRDefault="00B107BE">
          <w:r>
            <w:rPr>
              <w:noProof/>
            </w:rPr>
            <mc:AlternateContent>
              <mc:Choice Requires="wpg">
                <w:drawing>
                  <wp:anchor distT="0" distB="0" distL="114300" distR="114300" simplePos="0" relativeHeight="251662336" behindDoc="0" locked="0" layoutInCell="1" allowOverlap="1" wp14:anchorId="1877CBD0" wp14:editId="46D29BF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DE693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B53AEE" wp14:editId="7BA26FC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631C8" w14:textId="1B04567B" w:rsidR="00B107BE" w:rsidRDefault="00B107BE">
                                <w:pPr>
                                  <w:pStyle w:val="NoSpacing"/>
                                  <w:jc w:val="right"/>
                                  <w:rPr>
                                    <w:color w:val="595959" w:themeColor="text1" w:themeTint="A6"/>
                                    <w:sz w:val="28"/>
                                    <w:szCs w:val="28"/>
                                  </w:rPr>
                                </w:pPr>
                              </w:p>
                              <w:p w14:paraId="21F0A75D" w14:textId="3A796FC9" w:rsidR="00B107BE" w:rsidRDefault="00B107B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B53AE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A4631C8" w14:textId="1B04567B" w:rsidR="00B107BE" w:rsidRDefault="00B107BE">
                          <w:pPr>
                            <w:pStyle w:val="NoSpacing"/>
                            <w:jc w:val="right"/>
                            <w:rPr>
                              <w:color w:val="595959" w:themeColor="text1" w:themeTint="A6"/>
                              <w:sz w:val="28"/>
                              <w:szCs w:val="28"/>
                            </w:rPr>
                          </w:pPr>
                        </w:p>
                        <w:p w14:paraId="21F0A75D" w14:textId="3A796FC9" w:rsidR="00B107BE" w:rsidRDefault="00B107BE">
                          <w:pPr>
                            <w:pStyle w:val="NoSpacing"/>
                            <w:jc w:val="right"/>
                            <w:rPr>
                              <w:color w:val="595959" w:themeColor="text1" w:themeTint="A6"/>
                              <w:sz w:val="18"/>
                              <w:szCs w:val="18"/>
                            </w:rPr>
                          </w:pPr>
                        </w:p>
                      </w:txbxContent>
                    </v:textbox>
                    <w10:wrap type="square" anchorx="page" anchory="page"/>
                  </v:shape>
                </w:pict>
              </mc:Fallback>
            </mc:AlternateContent>
          </w:r>
        </w:p>
        <w:p w14:paraId="4A687DBD" w14:textId="6D07D815" w:rsidR="00B107BE" w:rsidRDefault="00DB5E07">
          <w:pPr>
            <w:rPr>
              <w:b/>
              <w:bCs/>
            </w:rPr>
          </w:pPr>
          <w:r>
            <w:rPr>
              <w:noProof/>
            </w:rPr>
            <mc:AlternateContent>
              <mc:Choice Requires="wps">
                <w:drawing>
                  <wp:anchor distT="0" distB="0" distL="114300" distR="114300" simplePos="0" relativeHeight="251659264" behindDoc="0" locked="0" layoutInCell="1" allowOverlap="1" wp14:anchorId="24044AE2" wp14:editId="290DA68B">
                    <wp:simplePos x="0" y="0"/>
                    <wp:positionH relativeFrom="page">
                      <wp:posOffset>222250</wp:posOffset>
                    </wp:positionH>
                    <wp:positionV relativeFrom="page">
                      <wp:posOffset>3651250</wp:posOffset>
                    </wp:positionV>
                    <wp:extent cx="7315200" cy="19050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90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79BF2" w14:textId="0BBAE795" w:rsidR="00B107BE" w:rsidRPr="004F2625" w:rsidRDefault="00B15CB9" w:rsidP="004F2625">
                                <w:pPr>
                                  <w:rPr>
                                    <w:rFonts w:ascii="Arial" w:hAnsi="Arial" w:cs="Arial"/>
                                    <w:b/>
                                    <w:sz w:val="28"/>
                                    <w:szCs w:val="28"/>
                                  </w:rPr>
                                </w:pPr>
                                <w:r w:rsidRPr="004F2625">
                                  <w:rPr>
                                    <w:rFonts w:ascii="Arial" w:hAnsi="Arial" w:cs="Arial"/>
                                    <w:b/>
                                    <w:sz w:val="28"/>
                                    <w:szCs w:val="28"/>
                                  </w:rPr>
                                  <w:t>Module</w:t>
                                </w:r>
                                <w:r w:rsidRPr="004F2625">
                                  <w:rPr>
                                    <w:rFonts w:ascii="Arial" w:hAnsi="Arial" w:cs="Arial"/>
                                    <w:b/>
                                    <w:sz w:val="28"/>
                                    <w:szCs w:val="28"/>
                                  </w:rPr>
                                  <w:t xml:space="preserve">: </w:t>
                                </w:r>
                                <w:r w:rsidR="007774D3" w:rsidRPr="004F2625">
                                  <w:rPr>
                                    <w:rFonts w:ascii="Arial" w:hAnsi="Arial" w:cs="Arial"/>
                                    <w:b/>
                                    <w:sz w:val="28"/>
                                    <w:szCs w:val="28"/>
                                  </w:rPr>
                                  <w:t>Principles of Human Resource Management</w:t>
                                </w:r>
                              </w:p>
                              <w:p w14:paraId="40ECF8D8" w14:textId="74FB5D6E" w:rsidR="007774D3" w:rsidRPr="004F2625" w:rsidRDefault="00CD266A"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Module code:</w:t>
                                </w:r>
                                <w:r w:rsidRPr="004F2625">
                                  <w:rPr>
                                    <w:rFonts w:ascii="Arial" w:hAnsi="Arial" w:cs="Arial"/>
                                    <w:b/>
                                    <w:smallCaps/>
                                    <w:color w:val="404040" w:themeColor="text1" w:themeTint="BF"/>
                                    <w:sz w:val="28"/>
                                    <w:szCs w:val="28"/>
                                  </w:rPr>
                                  <w:t xml:space="preserve"> </w:t>
                                </w:r>
                                <w:r w:rsidR="001E043F" w:rsidRPr="004F2625">
                                  <w:rPr>
                                    <w:rFonts w:ascii="Arial" w:hAnsi="Arial" w:cs="Arial"/>
                                    <w:b/>
                                    <w:smallCaps/>
                                    <w:color w:val="404040" w:themeColor="text1" w:themeTint="BF"/>
                                    <w:sz w:val="28"/>
                                    <w:szCs w:val="28"/>
                                  </w:rPr>
                                  <w:t>LCBB5012</w:t>
                                </w:r>
                              </w:p>
                              <w:p w14:paraId="13D1CB1A" w14:textId="4F36B9A8" w:rsidR="00931BB3" w:rsidRPr="004F2625" w:rsidRDefault="00931BB3"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 xml:space="preserve">Module tutor: </w:t>
                                </w:r>
                                <w:proofErr w:type="spellStart"/>
                                <w:r w:rsidRPr="004F2625">
                                  <w:rPr>
                                    <w:rFonts w:ascii="Arial" w:hAnsi="Arial" w:cs="Arial"/>
                                    <w:b/>
                                    <w:smallCaps/>
                                    <w:color w:val="404040" w:themeColor="text1" w:themeTint="BF"/>
                                    <w:sz w:val="28"/>
                                    <w:szCs w:val="28"/>
                                  </w:rPr>
                                  <w:t>Fouziya</w:t>
                                </w:r>
                                <w:proofErr w:type="spellEnd"/>
                                <w:r w:rsidRPr="004F2625">
                                  <w:rPr>
                                    <w:rFonts w:ascii="Arial" w:hAnsi="Arial" w:cs="Arial"/>
                                    <w:b/>
                                    <w:smallCaps/>
                                    <w:color w:val="404040" w:themeColor="text1" w:themeTint="BF"/>
                                    <w:sz w:val="28"/>
                                    <w:szCs w:val="28"/>
                                  </w:rPr>
                                  <w:t xml:space="preserve"> Farheen</w:t>
                                </w:r>
                              </w:p>
                              <w:p w14:paraId="4A709797" w14:textId="31F9F048" w:rsidR="00E02BB7" w:rsidRPr="004F2625" w:rsidRDefault="00E02BB7"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Assessment Component 2: Individual report</w:t>
                                </w:r>
                              </w:p>
                              <w:p w14:paraId="4206F302" w14:textId="097D6D38" w:rsidR="005B23FB" w:rsidRPr="004F2625" w:rsidRDefault="005B23FB"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Student number: 2324363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4044AE2" id="Text Box 163" o:spid="_x0000_s1027" type="#_x0000_t202" style="position:absolute;margin-left:17.5pt;margin-top:287.5pt;width:8in;height:150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" filled="f" stroked="f" strokeweight=".5pt">
                    <v:textbox inset="126pt,0,54pt,0">
                      <w:txbxContent>
                        <w:p w14:paraId="0A679BF2" w14:textId="0BBAE795" w:rsidR="00B107BE" w:rsidRPr="004F2625" w:rsidRDefault="00B15CB9" w:rsidP="004F2625">
                          <w:pPr>
                            <w:rPr>
                              <w:rFonts w:ascii="Arial" w:hAnsi="Arial" w:cs="Arial"/>
                              <w:b/>
                              <w:sz w:val="28"/>
                              <w:szCs w:val="28"/>
                            </w:rPr>
                          </w:pPr>
                          <w:r w:rsidRPr="004F2625">
                            <w:rPr>
                              <w:rFonts w:ascii="Arial" w:hAnsi="Arial" w:cs="Arial"/>
                              <w:b/>
                              <w:sz w:val="28"/>
                              <w:szCs w:val="28"/>
                            </w:rPr>
                            <w:t>Module</w:t>
                          </w:r>
                          <w:r w:rsidRPr="004F2625">
                            <w:rPr>
                              <w:rFonts w:ascii="Arial" w:hAnsi="Arial" w:cs="Arial"/>
                              <w:b/>
                              <w:sz w:val="28"/>
                              <w:szCs w:val="28"/>
                            </w:rPr>
                            <w:t xml:space="preserve">: </w:t>
                          </w:r>
                          <w:r w:rsidR="007774D3" w:rsidRPr="004F2625">
                            <w:rPr>
                              <w:rFonts w:ascii="Arial" w:hAnsi="Arial" w:cs="Arial"/>
                              <w:b/>
                              <w:sz w:val="28"/>
                              <w:szCs w:val="28"/>
                            </w:rPr>
                            <w:t>Principles of Human Resource Management</w:t>
                          </w:r>
                        </w:p>
                        <w:p w14:paraId="40ECF8D8" w14:textId="74FB5D6E" w:rsidR="007774D3" w:rsidRPr="004F2625" w:rsidRDefault="00CD266A"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Module code:</w:t>
                          </w:r>
                          <w:r w:rsidRPr="004F2625">
                            <w:rPr>
                              <w:rFonts w:ascii="Arial" w:hAnsi="Arial" w:cs="Arial"/>
                              <w:b/>
                              <w:smallCaps/>
                              <w:color w:val="404040" w:themeColor="text1" w:themeTint="BF"/>
                              <w:sz w:val="28"/>
                              <w:szCs w:val="28"/>
                            </w:rPr>
                            <w:t xml:space="preserve"> </w:t>
                          </w:r>
                          <w:r w:rsidR="001E043F" w:rsidRPr="004F2625">
                            <w:rPr>
                              <w:rFonts w:ascii="Arial" w:hAnsi="Arial" w:cs="Arial"/>
                              <w:b/>
                              <w:smallCaps/>
                              <w:color w:val="404040" w:themeColor="text1" w:themeTint="BF"/>
                              <w:sz w:val="28"/>
                              <w:szCs w:val="28"/>
                            </w:rPr>
                            <w:t>LCBB5012</w:t>
                          </w:r>
                        </w:p>
                        <w:p w14:paraId="13D1CB1A" w14:textId="4F36B9A8" w:rsidR="00931BB3" w:rsidRPr="004F2625" w:rsidRDefault="00931BB3"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 xml:space="preserve">Module tutor: </w:t>
                          </w:r>
                          <w:proofErr w:type="spellStart"/>
                          <w:r w:rsidRPr="004F2625">
                            <w:rPr>
                              <w:rFonts w:ascii="Arial" w:hAnsi="Arial" w:cs="Arial"/>
                              <w:b/>
                              <w:smallCaps/>
                              <w:color w:val="404040" w:themeColor="text1" w:themeTint="BF"/>
                              <w:sz w:val="28"/>
                              <w:szCs w:val="28"/>
                            </w:rPr>
                            <w:t>Fouziya</w:t>
                          </w:r>
                          <w:proofErr w:type="spellEnd"/>
                          <w:r w:rsidRPr="004F2625">
                            <w:rPr>
                              <w:rFonts w:ascii="Arial" w:hAnsi="Arial" w:cs="Arial"/>
                              <w:b/>
                              <w:smallCaps/>
                              <w:color w:val="404040" w:themeColor="text1" w:themeTint="BF"/>
                              <w:sz w:val="28"/>
                              <w:szCs w:val="28"/>
                            </w:rPr>
                            <w:t xml:space="preserve"> Farheen</w:t>
                          </w:r>
                        </w:p>
                        <w:p w14:paraId="4A709797" w14:textId="31F9F048" w:rsidR="00E02BB7" w:rsidRPr="004F2625" w:rsidRDefault="00E02BB7"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Assessment Component 2: Individual report</w:t>
                          </w:r>
                        </w:p>
                        <w:p w14:paraId="4206F302" w14:textId="097D6D38" w:rsidR="005B23FB" w:rsidRPr="004F2625" w:rsidRDefault="005B23FB" w:rsidP="004F2625">
                          <w:pPr>
                            <w:rPr>
                              <w:rFonts w:ascii="Arial" w:hAnsi="Arial" w:cs="Arial"/>
                              <w:b/>
                              <w:smallCaps/>
                              <w:color w:val="404040" w:themeColor="text1" w:themeTint="BF"/>
                              <w:sz w:val="28"/>
                              <w:szCs w:val="28"/>
                            </w:rPr>
                          </w:pPr>
                          <w:r w:rsidRPr="004F2625">
                            <w:rPr>
                              <w:rFonts w:ascii="Arial" w:hAnsi="Arial" w:cs="Arial"/>
                              <w:b/>
                              <w:smallCaps/>
                              <w:color w:val="404040" w:themeColor="text1" w:themeTint="BF"/>
                              <w:sz w:val="28"/>
                              <w:szCs w:val="28"/>
                            </w:rPr>
                            <w:t>Student number: 2324363</w:t>
                          </w:r>
                        </w:p>
                      </w:txbxContent>
                    </v:textbox>
                    <w10:wrap type="square" anchorx="page" anchory="page"/>
                  </v:shape>
                </w:pict>
              </mc:Fallback>
            </mc:AlternateContent>
          </w:r>
          <w:r w:rsidR="00B107BE">
            <w:rPr>
              <w:b/>
              <w:bCs/>
            </w:rPr>
            <w:br w:type="page"/>
          </w:r>
        </w:p>
      </w:sdtContent>
    </w:sdt>
    <w:p w14:paraId="0EA3ED34" w14:textId="1AA58165" w:rsidR="00635146" w:rsidRPr="00823F76" w:rsidRDefault="0070206A" w:rsidP="00F826A8">
      <w:pPr>
        <w:spacing w:line="360" w:lineRule="auto"/>
        <w:rPr>
          <w:rFonts w:ascii="Arial" w:hAnsi="Arial" w:cs="Arial"/>
        </w:rPr>
      </w:pPr>
      <w:r w:rsidRPr="0070206A">
        <w:rPr>
          <w:rFonts w:ascii="Arial" w:hAnsi="Arial" w:cs="Arial"/>
          <w:b/>
          <w:bCs/>
        </w:rPr>
        <w:lastRenderedPageBreak/>
        <w:t>Introduction</w:t>
      </w:r>
      <w:r w:rsidRPr="0070206A">
        <w:rPr>
          <w:rFonts w:ascii="Arial" w:hAnsi="Arial" w:cs="Arial"/>
          <w:b/>
          <w:bCs/>
        </w:rPr>
        <w:br/>
      </w:r>
      <w:r w:rsidRPr="000245AC">
        <w:rPr>
          <w:rFonts w:ascii="Arial" w:hAnsi="Arial" w:cs="Arial"/>
        </w:rPr>
        <w:t>Human Resource Management (HRM) is essential for ensuring that organisations operate effectively and achieve long-term success. HR managers play a crucial role in crafting strategies and practices that help organisations attract, nurture, and retain talented employees, while fostering positive relationships within the workforce. Essential HR functions encompass recruitment and selection, training and development, performance management, and employee relations. These functions enhance organisational performance by ensuring that employees have the essential skills, motivation, and support needed to meet organisational objectives (Armstrong, 2020).</w:t>
      </w:r>
      <w:r w:rsidRPr="000245AC">
        <w:rPr>
          <w:rFonts w:ascii="Arial" w:hAnsi="Arial" w:cs="Arial"/>
        </w:rPr>
        <w:br/>
        <w:t>Finding and choosing the right people helps organisations attract candidates who can truly help achieve their goals and stay competitive. Training and development emphasise enhancing employees’ knowledge and skills, helping organisations stay flexible in fast-evolving business landscapes. Performance management is all about tracking how well employees are performing and helping them improve by setting clear goals, providing feedback, and evaluating their progress. Moreover, strong employee relations contribute to a positive workplace atmosphere, fostering teamwork, communication, and active participation among employees (Torrington et al., 2020).</w:t>
      </w:r>
      <w:r w:rsidRPr="000245AC">
        <w:rPr>
          <w:rFonts w:ascii="Arial" w:hAnsi="Arial" w:cs="Arial"/>
        </w:rPr>
        <w:br/>
        <w:t>Various internal and external environmental factors significantly shape the effectiveness of HR managers. Internal factors can include the organisation's culture, leadership style, and structure. On the other hand, external factors encompass economic conditions, legal regulations, technological advancements, and global competition (Kotter, 2012).</w:t>
      </w:r>
      <w:r w:rsidRPr="000245AC">
        <w:rPr>
          <w:rFonts w:ascii="Arial" w:hAnsi="Arial" w:cs="Arial"/>
        </w:rPr>
        <w:br/>
        <w:t>This report will explore how environmental factors impact the effectiveness of HR managers in global organisations. It begins by examining internal and external environmental factors through the lens of a suitable business environment model, then applies this lens to a worldwide organisation to assess how these factors influence HR practices across countries. The report concludes by addressing the implications for HR managers and provides a summary of the key findings.</w:t>
      </w:r>
      <w:r w:rsidRPr="000245AC">
        <w:rPr>
          <w:rFonts w:ascii="Arial" w:hAnsi="Arial" w:cs="Arial"/>
        </w:rPr>
        <w:br/>
      </w:r>
      <w:r w:rsidRPr="0070206A">
        <w:rPr>
          <w:rFonts w:ascii="Arial" w:hAnsi="Arial" w:cs="Arial"/>
          <w:b/>
          <w:bCs/>
        </w:rPr>
        <w:t>Internal and External Environment</w:t>
      </w:r>
      <w:r w:rsidRPr="0070206A">
        <w:rPr>
          <w:rFonts w:ascii="Arial" w:hAnsi="Arial" w:cs="Arial"/>
          <w:b/>
          <w:bCs/>
        </w:rPr>
        <w:br/>
      </w:r>
      <w:r w:rsidRPr="000245AC">
        <w:rPr>
          <w:rFonts w:ascii="Arial" w:hAnsi="Arial" w:cs="Arial"/>
        </w:rPr>
        <w:t>To both internal and external environments is essential for organisations and HR managers, as these elements can profoundly influence organisational strategies and human resource practices. The PESTLE model is a popular framework for analysing the external business environment, focusing on political, economic, social, technological, legal, and environmental factors. This model assists organisations in understanding the wider macro-environment and predicting potential opportunities and challenges that could affect organisational performance and HR decision-making (Johnson, Scholes and Whittington, 2020).</w:t>
      </w:r>
      <w:r w:rsidRPr="000245AC">
        <w:rPr>
          <w:rFonts w:ascii="Arial" w:hAnsi="Arial" w:cs="Arial"/>
        </w:rPr>
        <w:br/>
        <w:t xml:space="preserve">The political environment consists of government policies, employment regulations, and labour market policies that influence how organisations operate. HR managers must ensure </w:t>
      </w:r>
      <w:r w:rsidRPr="000245AC">
        <w:rPr>
          <w:rFonts w:ascii="Arial" w:hAnsi="Arial" w:cs="Arial"/>
        </w:rPr>
        <w:lastRenderedPageBreak/>
        <w:t>that recruitment, employment contracts and working conditions comply with government policies and labour laws. For example, political changes such as immigration policies or employment regulations can influence workforce availability and organisational hiring strategies (Armstrong, 2020).</w:t>
      </w:r>
      <w:r w:rsidRPr="000245AC">
        <w:rPr>
          <w:rFonts w:ascii="Arial" w:hAnsi="Arial" w:cs="Arial"/>
        </w:rPr>
        <w:br/>
        <w:t>The economic environment significantly influences HR practices. Elements such as inflation, unemployment rates, and economic growth significantly influence labour supply, wage levels, and employee retention strategies. During tough economic times, businesses may reduce hiring or implement cost-saving measures, whereas in prosperous times they often need to increase their workforce and invest more in employee training and development (Torrington et al., 2020).</w:t>
      </w:r>
      <w:r w:rsidRPr="000245AC">
        <w:rPr>
          <w:rFonts w:ascii="Arial" w:hAnsi="Arial" w:cs="Arial"/>
        </w:rPr>
        <w:br/>
        <w:t xml:space="preserve">The social environment reflects shifts in demographics, cultural values, and workforce expectations. Factors such as ageing populations, changing </w:t>
      </w:r>
      <w:r w:rsidRPr="000245AC">
        <w:rPr>
          <w:rFonts w:ascii="Arial" w:hAnsi="Arial" w:cs="Arial"/>
        </w:rPr>
        <w:br/>
        <w:t>expectations around work-life balance, and increasing workforce diversity influence HR policies related to employee wellbeing, diversity management, and flexible working arrangements. HR managers must adapt policies and practices to ensure employee engagement and organisational sustainability (Boxall and Purcell, 2016).</w:t>
      </w:r>
      <w:r w:rsidRPr="000245AC">
        <w:rPr>
          <w:rFonts w:ascii="Arial" w:hAnsi="Arial" w:cs="Arial"/>
        </w:rPr>
        <w:br/>
        <w:t>The technological environment is increasingly important in modern organisations, as digital transformation is changing how they operate. New technologies impact HR functions, including recruitment, performance management, and training, through digital platforms, data analytics, and online learning systems. HR managers need to cultivate digital skills and help employees adapt to technological advancements (Bharadwaj et al., 2013).</w:t>
      </w:r>
      <w:r w:rsidRPr="000245AC">
        <w:rPr>
          <w:rFonts w:ascii="Arial" w:hAnsi="Arial" w:cs="Arial"/>
        </w:rPr>
        <w:br/>
        <w:t>The legal environment includes employment legislation, health and safety regulations, and equality laws. HR managers are responsible for ensuring that organisational practices comply with these legal requirements. Failure to comply with employment laws can lead to legal penalties and reputational damage, making legal awareness an essential aspect of HR management (Armstrong, 2020).</w:t>
      </w:r>
      <w:r w:rsidRPr="000245AC">
        <w:rPr>
          <w:rFonts w:ascii="Arial" w:hAnsi="Arial" w:cs="Arial"/>
        </w:rPr>
        <w:br/>
        <w:t>Ultimately, the environmental aspect emphasises the importance of sustainability and being responsible towards the environment. Increasing pressure on organisations to adopt sustainable practices influences HR policies related to corporate social responsibility, green HR practices and employee awareness of environmental issues (Renwick, Redman and Maguire, 2013).</w:t>
      </w:r>
      <w:r w:rsidRPr="000245AC">
        <w:rPr>
          <w:rFonts w:ascii="Arial" w:hAnsi="Arial" w:cs="Arial"/>
        </w:rPr>
        <w:br/>
        <w:t xml:space="preserve">Although the PESTLE model provides a useful framework for analysing macro-environmental influences, it also has certain limitations. The model focuses primarily on external factors and does not directly analyse internal organisational capabilities or competitive dynamics. Moreover, environmental conditions can shift quickly, posing challenges for organisations in accurately forecasting future developments (Johnson, Scholes and Whittington, 2020). </w:t>
      </w:r>
      <w:r w:rsidRPr="000245AC">
        <w:rPr>
          <w:rFonts w:ascii="Arial" w:hAnsi="Arial" w:cs="Arial"/>
        </w:rPr>
        <w:br/>
      </w:r>
      <w:r w:rsidRPr="000245AC">
        <w:rPr>
          <w:rFonts w:ascii="Arial" w:hAnsi="Arial" w:cs="Arial"/>
        </w:rPr>
        <w:lastRenderedPageBreak/>
        <w:t>Despite these limitations, PESTLE remains a valuable tool for HR managers because it helps identify environmental factors that influence HR strategies and organisational effectiveness.</w:t>
      </w:r>
      <w:r w:rsidRPr="000245AC">
        <w:rPr>
          <w:rFonts w:ascii="Arial" w:hAnsi="Arial" w:cs="Arial"/>
        </w:rPr>
        <w:br/>
        <w:t>The PESTLE model offers a detailed framework that helps HR managers understand how political, economic, social, technological, legal, and environmental factors affect HR functions such as recruitment, training, performance management, and employee relations. By understanding these factors, HR managers can develop plans that help organisations adapt successfully to a shifting business landscape.</w:t>
      </w:r>
      <w:r w:rsidRPr="000245AC">
        <w:rPr>
          <w:rFonts w:ascii="Arial" w:hAnsi="Arial" w:cs="Arial"/>
          <w:b/>
          <w:bCs/>
        </w:rPr>
        <w:br/>
      </w:r>
      <w:r w:rsidRPr="0070206A">
        <w:rPr>
          <w:rFonts w:ascii="Arial" w:hAnsi="Arial" w:cs="Arial"/>
          <w:b/>
          <w:bCs/>
        </w:rPr>
        <w:t>Organisation Application</w:t>
      </w:r>
      <w:r w:rsidRPr="0070206A">
        <w:rPr>
          <w:rFonts w:ascii="Arial" w:hAnsi="Arial" w:cs="Arial"/>
          <w:b/>
          <w:bCs/>
        </w:rPr>
        <w:br/>
      </w:r>
      <w:r w:rsidRPr="00410838">
        <w:rPr>
          <w:rFonts w:ascii="Arial" w:hAnsi="Arial" w:cs="Arial"/>
        </w:rPr>
        <w:t>Microsoft is a major tech company that operates worldwide across software development, cloud computing, AI, gaming, and digital services. The organisation has a significant global presence, with over 200,000 employees spread across various regions such as North America, Europe, Asia, and other international markets (Microsoft, 2025a). Microsoft's global setup enables the company to deliver tech solutions and services worldwide while effectively overseeing a diverse, geographically dispersed team.</w:t>
      </w:r>
      <w:r w:rsidRPr="00410838">
        <w:rPr>
          <w:rFonts w:ascii="Arial" w:hAnsi="Arial" w:cs="Arial"/>
        </w:rPr>
        <w:br/>
        <w:t>Microsoft’s human resource practices reflect its global strategy and focus on innovation and organisational learning. Recruitment is conducted via a global talent acquisition strategy that prioritises diversity, inclusion, and the recruitment of highly skilled professionals from various regions (Microsoft, 2025b). While this global recruitment approach helps the organisation maintain high talent standards, it also requires HR managers to adapt recruitment processes to local labour markets and cultural expectations.</w:t>
      </w:r>
      <w:r w:rsidRPr="00410838">
        <w:rPr>
          <w:rFonts w:ascii="Arial" w:hAnsi="Arial" w:cs="Arial"/>
        </w:rPr>
        <w:br/>
        <w:t>Training and development are a central component of Microsoft’s HR strategy. The organisation places a strong emphasis on employee education by utilising digital learning platforms, offering internal development programmes, and implementing leadership training initiatives to foster ongoing skill enhancement and innovation (Microsoft, 2026). These practices demonstrate how organisations increasingly rely on digital technologies to enhance employee capabilities in a rapidly evolving business environment.</w:t>
      </w:r>
      <w:r w:rsidRPr="00410838">
        <w:rPr>
          <w:rFonts w:ascii="Arial" w:hAnsi="Arial" w:cs="Arial"/>
        </w:rPr>
        <w:br/>
        <w:t>Performance management and employee relations are coordinated globally yet executed in alignment with local legal and cultural contexts. Microsoft implements structured performance and development processes to foster employee growth and organisational performance, while working towards pay equity and fairness across the workforce (Microsoft, 2025a). This creates challenges for HR managers in balancing global consistency with local adaptation, potentially reducing the effectiveness of standardised HR policies.</w:t>
      </w:r>
      <w:r w:rsidRPr="00410838">
        <w:rPr>
          <w:rFonts w:ascii="Arial" w:hAnsi="Arial" w:cs="Arial"/>
        </w:rPr>
        <w:br/>
      </w:r>
      <w:r w:rsidRPr="0070206A">
        <w:rPr>
          <w:rFonts w:ascii="Arial" w:hAnsi="Arial" w:cs="Arial"/>
          <w:b/>
          <w:bCs/>
        </w:rPr>
        <w:t xml:space="preserve">Application of the Model </w:t>
      </w:r>
      <w:r w:rsidRPr="0070206A">
        <w:rPr>
          <w:rFonts w:ascii="Arial" w:hAnsi="Arial" w:cs="Arial"/>
          <w:b/>
          <w:bCs/>
        </w:rPr>
        <w:br/>
      </w:r>
      <w:r w:rsidRPr="00AE0E17">
        <w:rPr>
          <w:rFonts w:ascii="Arial" w:hAnsi="Arial" w:cs="Arial"/>
        </w:rPr>
        <w:t xml:space="preserve">The PESTLE framework offers a systematic way to examine the impact of macro-environmental factors on organisational strategies and HR practices. For global companies like Microsoft, these environmental factors greatly influence how HR managers develop and </w:t>
      </w:r>
      <w:r w:rsidRPr="00AE0E17">
        <w:rPr>
          <w:rFonts w:ascii="Arial" w:hAnsi="Arial" w:cs="Arial"/>
        </w:rPr>
        <w:lastRenderedPageBreak/>
        <w:t>implement policies across countries. By examining political, economic, social, technological, legal, and environmental factors, HR managers gain insights into how external conditions influence workforce management, recruitment strategies, employee relations, and overall organisational performance (Johnson, Scholes and Whittington, 2020).</w:t>
      </w:r>
      <w:r w:rsidRPr="00AE0E17">
        <w:rPr>
          <w:rFonts w:ascii="Arial" w:hAnsi="Arial" w:cs="Arial"/>
        </w:rPr>
        <w:br/>
        <w:t>Political factors significantly influence Microsoft’s HR practices in various global markets. Policies set by the government regarding immigration, labour movement, and global trade affect the organisation's capacity to attract and utilise skilled workers worldwide. For instance, immigration restrictions in certain countries can hinder access to global talent, prompting HR managers to modify their recruitment approaches and focus on cultivating local talent sources. Political stability also affects employee security, workforce planning, and organisational investment decisions across regions (Armstrong, 2020). As a result, HR managers need to monitor political changes and adapt HR policies to ensure organisational resilience.</w:t>
      </w:r>
      <w:r w:rsidRPr="00AE0E17">
        <w:rPr>
          <w:rFonts w:ascii="Arial" w:hAnsi="Arial" w:cs="Arial"/>
        </w:rPr>
        <w:br/>
        <w:t>The economic environment also plays a crucial role in shaping HR practices. Factors such as inflation, unemployment rates, and economic growth play a significant role in shaping labour supply, wage levels, and employee retention strategies. When the economy is struggling, organisations may reduce recruitment or hiring, or take steps to save money, whereas when the economy is booming, they may need to hire more people and invest more in training and development (Torrington et al., 2020).</w:t>
      </w:r>
      <w:r w:rsidRPr="00AE0E17">
        <w:rPr>
          <w:rFonts w:ascii="Arial" w:hAnsi="Arial" w:cs="Arial"/>
        </w:rPr>
        <w:br/>
        <w:t>Social factors also shape HR practices within Microsoft’s global operations. The workforce's diversity, shifting demographics, and evolving employee expectations shape HR policies on flexible work arrangements, inclusivity, and overall staff well-being. Younger employees today tend to focus on career growth, maintaining a healthy work-life balance, and aligning with their organisation's values. Microsoft has responded by emphasising a “growth mindset” culture and providing continuous learning opportunities for employees. Such social trends require HR managers to design employee engagement initiatives that reflect evolving workforce expectations while maintaining organisational productivity (Boxall and Purcell, 2016).</w:t>
      </w:r>
      <w:r w:rsidRPr="00AE0E17">
        <w:rPr>
          <w:rFonts w:ascii="Arial" w:hAnsi="Arial" w:cs="Arial"/>
        </w:rPr>
        <w:br/>
        <w:t>The technology landscape can significantly affect Microsoft’s human resource practices. Microsoft operates as a technology firm within a rapidly evolving digital landscape characterised by continuous innovation. HR managers need to ensure that employees have strong technical skills and can adapt to technological changes. This necessitates continuous investment in training, digital learning platforms, and knowledge-sharing initiatives. Technological developments also influence HR processes, including digital recruitment platforms, data analytics in performance management, and remote collaboration tools (Bharadwaj et al., 2013). As a result, HR managers need to blend their understanding of technology with strategic workforce planning to ensure the organisation remains competitive.</w:t>
      </w:r>
      <w:r w:rsidRPr="00AE0E17">
        <w:rPr>
          <w:rFonts w:ascii="Arial" w:hAnsi="Arial" w:cs="Arial"/>
        </w:rPr>
        <w:br/>
      </w:r>
      <w:r w:rsidRPr="00AE0E17">
        <w:rPr>
          <w:rFonts w:ascii="Arial" w:hAnsi="Arial" w:cs="Arial"/>
        </w:rPr>
        <w:lastRenderedPageBreak/>
        <w:t>Legal factors are particularly important for multinational organisations such as Microsoft because labour laws and employment regulations vary significantly across countries. HR managers must ensure compliance with local employment legislation, including regulations on contracts, employee rights, working conditions, and equality laws. Failure to comply with national legal frameworks can result in legal penalties and reputational risks for the organisation. As a result, HR managers must develop policies that maintain global organisational standards while adapting to national legal requirements (Armstrong, 2020).</w:t>
      </w:r>
      <w:r w:rsidRPr="00AE0E17">
        <w:rPr>
          <w:rFonts w:ascii="Arial" w:hAnsi="Arial" w:cs="Arial"/>
        </w:rPr>
        <w:br/>
        <w:t>The environmental aspect of PESTLE has gained significant importance as organisations face increasing pressure to implement sustainable business practices. Microsoft has made a public commitment to initiatives focused on environmental sustainability, such as reducing carbon emissions and managing resources responsibly. These commitments influence HR practices by promoting the development of “green HR” policies, facilitating employee engagement in sustainability initiatives, and establishing organisational training programs centred on environmental responsibility (Renwick, Redman and Maguire, 2013).</w:t>
      </w:r>
      <w:r w:rsidRPr="00AE0E17">
        <w:rPr>
          <w:rFonts w:ascii="Arial" w:hAnsi="Arial" w:cs="Arial"/>
        </w:rPr>
        <w:br/>
        <w:t>In addition to these overarching influences, environmental factors can exert markedly different effects across various countries. Differences in national culture, legal frameworks, and economic conditions necessitate that HR managers customise HR policies to align with local contexts. For instance, labour laws in European nations typically offer more robust protections for employees and more effective collective bargaining frameworks than those found in other areas. HR managers operating in these contexts must therefore place greater emphasis on employee consultation and compliance with employment legislation.</w:t>
      </w:r>
      <w:r w:rsidRPr="00AE0E17">
        <w:rPr>
          <w:rFonts w:ascii="Arial" w:hAnsi="Arial" w:cs="Arial"/>
        </w:rPr>
        <w:br/>
        <w:t>HR practices across Microsoft’s global workforce are also shaped by cultural differences. There may be differences in how people in different countries feel about things like hierarchy, communication, and teamwork. This means that HR managers have to change the way they lead and involve employees in managing their success (Hofstede, 2001). Likewise, the economic landscape in emerging markets can influence salary structures, training expenditures, and workforce stability.</w:t>
      </w:r>
      <w:r w:rsidRPr="00AE0E17">
        <w:rPr>
          <w:rFonts w:ascii="Arial" w:hAnsi="Arial" w:cs="Arial"/>
        </w:rPr>
        <w:br/>
        <w:t>The PESTLE model illustrates that external environmental factors substantially impact Microsoft’s HR practices. HR managers must regularly analyse political, economic, social, technological, legal, and environmental trends to develop effective HR strategies that align with organisational objectives and account for local conditions. The ability of HR managers to strategically address environmental factors is essential for enhancing organisational performance in a complex global business landscape.</w:t>
      </w:r>
      <w:r w:rsidRPr="00AE0E17">
        <w:rPr>
          <w:rFonts w:ascii="Arial" w:hAnsi="Arial" w:cs="Arial"/>
        </w:rPr>
        <w:br/>
      </w:r>
      <w:r w:rsidRPr="0070206A">
        <w:rPr>
          <w:rFonts w:ascii="Arial" w:hAnsi="Arial" w:cs="Arial"/>
          <w:b/>
          <w:bCs/>
        </w:rPr>
        <w:t>Conclusion</w:t>
      </w:r>
      <w:r w:rsidRPr="0070206A">
        <w:rPr>
          <w:rFonts w:ascii="Arial" w:hAnsi="Arial" w:cs="Arial"/>
          <w:b/>
          <w:bCs/>
        </w:rPr>
        <w:br/>
      </w:r>
      <w:r w:rsidRPr="00823F76">
        <w:rPr>
          <w:rFonts w:ascii="Arial" w:hAnsi="Arial" w:cs="Arial"/>
        </w:rPr>
        <w:t xml:space="preserve">This report evaluates the impact of environmental factors on the effectiveness of HR managers in global organisations. The text highlights the key roles of Human Resource Management, including recruitment and selection, training and development, performance </w:t>
      </w:r>
      <w:r w:rsidRPr="00823F76">
        <w:rPr>
          <w:rFonts w:ascii="Arial" w:hAnsi="Arial" w:cs="Arial"/>
        </w:rPr>
        <w:lastRenderedPageBreak/>
        <w:t>management, and employee relations. These functions play a critical role in supporting organisational performance by ensuring that employees possess the necessary skills, motivation and support to achieve organisational objectives (Armstrong, 2020; Torrington et al., 2020).</w:t>
      </w:r>
      <w:r w:rsidRPr="00823F76">
        <w:rPr>
          <w:rFonts w:ascii="Arial" w:hAnsi="Arial" w:cs="Arial"/>
        </w:rPr>
        <w:br/>
        <w:t>The report then analysed the internal and external business environment through the PESTLE model. This framework facilitated the identification of how political, economic, social, technological, legal, and environmental factors influence organisational strategies and human resource practices. Political regulations, economic conditions, and legal requirements shape workforce planning and compliance, whereas social trends and technological advancements impact employee expectations, skill requirements, and organisational culture. The analysis underscored the limitations of the PESTLE model, specifically its emphasis on external environmental factors over internal organisational capabilities (Johnson, Scholes and Whittington, 2020).</w:t>
      </w:r>
      <w:r w:rsidRPr="00823F76">
        <w:rPr>
          <w:rFonts w:ascii="Arial" w:hAnsi="Arial" w:cs="Arial"/>
        </w:rPr>
        <w:br/>
        <w:t>The application of the model to Microsoft highlighted the need for global organisations to adapt their HR practices across countries. Legal regulations, economic conditions, and cultural expectations require HR managers to align global HR strategies with local adaptations. This demonstrates the complexity of managing human resources in a global business context.</w:t>
      </w:r>
      <w:r w:rsidRPr="00823F76">
        <w:rPr>
          <w:rFonts w:ascii="Arial" w:hAnsi="Arial" w:cs="Arial"/>
        </w:rPr>
        <w:br/>
        <w:t>In the future, HR managers will face greater challenges due to continuous technological advancements, global competition, and evolving workforce expectations. Digital transformation, remote work, and sustainability initiatives necessitate that HR managers consistently update workforce skills and organisational practices. Consequently, HR managers will continue to be critical in facilitating organisational success in a global environment that is becoming more dynamic (Boxall and Purcell, 2016) by possessing the capacity to analyse environmental factors and develop strategic responses.</w:t>
      </w:r>
    </w:p>
    <w:p w14:paraId="41CE41CC" w14:textId="77777777" w:rsidR="00823F76" w:rsidRDefault="00823F76" w:rsidP="002D7C8B">
      <w:pPr>
        <w:spacing w:line="360" w:lineRule="auto"/>
        <w:rPr>
          <w:rFonts w:ascii="Arial" w:hAnsi="Arial" w:cs="Arial"/>
          <w:b/>
          <w:bCs/>
        </w:rPr>
      </w:pPr>
    </w:p>
    <w:p w14:paraId="5D79306B" w14:textId="77777777" w:rsidR="00823F76" w:rsidRDefault="00823F76" w:rsidP="002D7C8B">
      <w:pPr>
        <w:spacing w:line="360" w:lineRule="auto"/>
        <w:rPr>
          <w:rFonts w:ascii="Arial" w:hAnsi="Arial" w:cs="Arial"/>
          <w:b/>
          <w:bCs/>
        </w:rPr>
      </w:pPr>
    </w:p>
    <w:p w14:paraId="6F328EF6" w14:textId="77777777" w:rsidR="00823F76" w:rsidRDefault="00823F76" w:rsidP="002D7C8B">
      <w:pPr>
        <w:spacing w:line="360" w:lineRule="auto"/>
        <w:rPr>
          <w:rFonts w:ascii="Arial" w:hAnsi="Arial" w:cs="Arial"/>
          <w:b/>
          <w:bCs/>
        </w:rPr>
      </w:pPr>
    </w:p>
    <w:p w14:paraId="754528FD" w14:textId="77777777" w:rsidR="00823F76" w:rsidRDefault="00823F76" w:rsidP="002D7C8B">
      <w:pPr>
        <w:spacing w:line="360" w:lineRule="auto"/>
        <w:rPr>
          <w:rFonts w:ascii="Arial" w:hAnsi="Arial" w:cs="Arial"/>
          <w:b/>
          <w:bCs/>
        </w:rPr>
      </w:pPr>
    </w:p>
    <w:p w14:paraId="04AAC50D" w14:textId="77777777" w:rsidR="00823F76" w:rsidRDefault="00823F76" w:rsidP="002D7C8B">
      <w:pPr>
        <w:spacing w:line="360" w:lineRule="auto"/>
        <w:rPr>
          <w:rFonts w:ascii="Arial" w:hAnsi="Arial" w:cs="Arial"/>
          <w:b/>
          <w:bCs/>
        </w:rPr>
      </w:pPr>
    </w:p>
    <w:p w14:paraId="56ACD8E3" w14:textId="77777777" w:rsidR="00823F76" w:rsidRDefault="00823F76" w:rsidP="002D7C8B">
      <w:pPr>
        <w:spacing w:line="360" w:lineRule="auto"/>
        <w:rPr>
          <w:rFonts w:ascii="Arial" w:hAnsi="Arial" w:cs="Arial"/>
          <w:b/>
          <w:bCs/>
        </w:rPr>
      </w:pPr>
    </w:p>
    <w:p w14:paraId="40100DB7" w14:textId="77777777" w:rsidR="00823F76" w:rsidRDefault="00823F76" w:rsidP="002D7C8B">
      <w:pPr>
        <w:spacing w:line="360" w:lineRule="auto"/>
        <w:rPr>
          <w:rFonts w:ascii="Arial" w:hAnsi="Arial" w:cs="Arial"/>
          <w:b/>
          <w:bCs/>
        </w:rPr>
      </w:pPr>
    </w:p>
    <w:p w14:paraId="4E79A5A1" w14:textId="77777777" w:rsidR="00823F76" w:rsidRDefault="00823F76" w:rsidP="002D7C8B">
      <w:pPr>
        <w:spacing w:line="360" w:lineRule="auto"/>
        <w:rPr>
          <w:rFonts w:ascii="Arial" w:hAnsi="Arial" w:cs="Arial"/>
          <w:b/>
          <w:bCs/>
        </w:rPr>
      </w:pPr>
    </w:p>
    <w:p w14:paraId="3F0C8678" w14:textId="2BD3F944" w:rsidR="00C35E62" w:rsidRPr="00420103" w:rsidRDefault="00C35E62" w:rsidP="002D7C8B">
      <w:pPr>
        <w:spacing w:line="360" w:lineRule="auto"/>
        <w:rPr>
          <w:rFonts w:ascii="Arial" w:hAnsi="Arial" w:cs="Arial"/>
          <w:b/>
          <w:bCs/>
        </w:rPr>
      </w:pPr>
      <w:r w:rsidRPr="00420103">
        <w:rPr>
          <w:rFonts w:ascii="Arial" w:hAnsi="Arial" w:cs="Arial"/>
          <w:b/>
          <w:bCs/>
        </w:rPr>
        <w:lastRenderedPageBreak/>
        <w:t>Refere</w:t>
      </w:r>
      <w:r w:rsidR="00D86033" w:rsidRPr="00420103">
        <w:rPr>
          <w:rFonts w:ascii="Arial" w:hAnsi="Arial" w:cs="Arial"/>
          <w:b/>
          <w:bCs/>
        </w:rPr>
        <w:t>nce</w:t>
      </w:r>
      <w:r w:rsidR="00420103" w:rsidRPr="00420103">
        <w:rPr>
          <w:rFonts w:ascii="Arial" w:hAnsi="Arial" w:cs="Arial"/>
          <w:b/>
          <w:bCs/>
        </w:rPr>
        <w:t xml:space="preserve"> List</w:t>
      </w:r>
      <w:r w:rsidR="00D86033" w:rsidRPr="00420103">
        <w:rPr>
          <w:rFonts w:ascii="Arial" w:hAnsi="Arial" w:cs="Arial"/>
          <w:b/>
          <w:bCs/>
        </w:rPr>
        <w:t>:</w:t>
      </w:r>
    </w:p>
    <w:p w14:paraId="79FC2F83" w14:textId="77777777" w:rsidR="00B22BFE" w:rsidRPr="00B22BFE" w:rsidRDefault="00B22BFE" w:rsidP="002D7C8B">
      <w:pPr>
        <w:spacing w:line="360" w:lineRule="auto"/>
        <w:rPr>
          <w:rFonts w:ascii="Arial" w:hAnsi="Arial" w:cs="Arial"/>
        </w:rPr>
      </w:pPr>
      <w:r w:rsidRPr="00B22BFE">
        <w:rPr>
          <w:rFonts w:ascii="Arial" w:hAnsi="Arial" w:cs="Arial"/>
        </w:rPr>
        <w:t xml:space="preserve">Armstrong, M. (2020) </w:t>
      </w:r>
      <w:r w:rsidRPr="00B22BFE">
        <w:rPr>
          <w:rFonts w:ascii="Arial" w:hAnsi="Arial" w:cs="Arial"/>
          <w:i/>
          <w:iCs/>
        </w:rPr>
        <w:t>Armstrong’s Handbook of Human Resource Management Practice</w:t>
      </w:r>
      <w:r w:rsidRPr="00B22BFE">
        <w:rPr>
          <w:rFonts w:ascii="Arial" w:hAnsi="Arial" w:cs="Arial"/>
        </w:rPr>
        <w:t xml:space="preserve">. 15th </w:t>
      </w:r>
      <w:proofErr w:type="spellStart"/>
      <w:r w:rsidRPr="00B22BFE">
        <w:rPr>
          <w:rFonts w:ascii="Arial" w:hAnsi="Arial" w:cs="Arial"/>
        </w:rPr>
        <w:t>edn</w:t>
      </w:r>
      <w:proofErr w:type="spellEnd"/>
      <w:r w:rsidRPr="00B22BFE">
        <w:rPr>
          <w:rFonts w:ascii="Arial" w:hAnsi="Arial" w:cs="Arial"/>
        </w:rPr>
        <w:t>. London: Kogan Page.</w:t>
      </w:r>
    </w:p>
    <w:p w14:paraId="5AB7B0D2" w14:textId="77777777" w:rsidR="00B22BFE" w:rsidRPr="00B22BFE" w:rsidRDefault="00B22BFE" w:rsidP="002D7C8B">
      <w:pPr>
        <w:spacing w:line="360" w:lineRule="auto"/>
        <w:rPr>
          <w:rFonts w:ascii="Arial" w:hAnsi="Arial" w:cs="Arial"/>
        </w:rPr>
      </w:pPr>
      <w:r w:rsidRPr="00B22BFE">
        <w:rPr>
          <w:rFonts w:ascii="Arial" w:hAnsi="Arial" w:cs="Arial"/>
        </w:rPr>
        <w:t xml:space="preserve">Bharadwaj, A., El </w:t>
      </w:r>
      <w:proofErr w:type="spellStart"/>
      <w:r w:rsidRPr="00B22BFE">
        <w:rPr>
          <w:rFonts w:ascii="Arial" w:hAnsi="Arial" w:cs="Arial"/>
        </w:rPr>
        <w:t>Sawy</w:t>
      </w:r>
      <w:proofErr w:type="spellEnd"/>
      <w:r w:rsidRPr="00B22BFE">
        <w:rPr>
          <w:rFonts w:ascii="Arial" w:hAnsi="Arial" w:cs="Arial"/>
        </w:rPr>
        <w:t xml:space="preserve">, O., Pavlou, P. and Venkatraman, N. (2013) ‘Digital business strategy: Toward a next generation of insights’, </w:t>
      </w:r>
      <w:r w:rsidRPr="00B22BFE">
        <w:rPr>
          <w:rFonts w:ascii="Arial" w:hAnsi="Arial" w:cs="Arial"/>
          <w:i/>
          <w:iCs/>
        </w:rPr>
        <w:t>MIS Quarterly</w:t>
      </w:r>
      <w:r w:rsidRPr="00B22BFE">
        <w:rPr>
          <w:rFonts w:ascii="Arial" w:hAnsi="Arial" w:cs="Arial"/>
        </w:rPr>
        <w:t>, 37(2), pp. 471–482.</w:t>
      </w:r>
    </w:p>
    <w:p w14:paraId="5407486C" w14:textId="77777777" w:rsidR="00B22BFE" w:rsidRPr="00B22BFE" w:rsidRDefault="00B22BFE" w:rsidP="002D7C8B">
      <w:pPr>
        <w:spacing w:line="360" w:lineRule="auto"/>
        <w:rPr>
          <w:rFonts w:ascii="Arial" w:hAnsi="Arial" w:cs="Arial"/>
        </w:rPr>
      </w:pPr>
      <w:r w:rsidRPr="00B22BFE">
        <w:rPr>
          <w:rFonts w:ascii="Arial" w:hAnsi="Arial" w:cs="Arial"/>
        </w:rPr>
        <w:t xml:space="preserve">Boxall, P. and Purcell, J. (2016) </w:t>
      </w:r>
      <w:r w:rsidRPr="00B22BFE">
        <w:rPr>
          <w:rFonts w:ascii="Arial" w:hAnsi="Arial" w:cs="Arial"/>
          <w:i/>
          <w:iCs/>
        </w:rPr>
        <w:t>Strategy and Human Resource Management</w:t>
      </w:r>
      <w:r w:rsidRPr="00B22BFE">
        <w:rPr>
          <w:rFonts w:ascii="Arial" w:hAnsi="Arial" w:cs="Arial"/>
        </w:rPr>
        <w:t xml:space="preserve">. 4th </w:t>
      </w:r>
      <w:proofErr w:type="spellStart"/>
      <w:r w:rsidRPr="00B22BFE">
        <w:rPr>
          <w:rFonts w:ascii="Arial" w:hAnsi="Arial" w:cs="Arial"/>
        </w:rPr>
        <w:t>edn</w:t>
      </w:r>
      <w:proofErr w:type="spellEnd"/>
      <w:r w:rsidRPr="00B22BFE">
        <w:rPr>
          <w:rFonts w:ascii="Arial" w:hAnsi="Arial" w:cs="Arial"/>
        </w:rPr>
        <w:t>. London: Palgrave Macmillan.</w:t>
      </w:r>
    </w:p>
    <w:p w14:paraId="367232CC" w14:textId="77777777" w:rsidR="00B22BFE" w:rsidRPr="00B22BFE" w:rsidRDefault="00B22BFE" w:rsidP="002D7C8B">
      <w:pPr>
        <w:spacing w:line="360" w:lineRule="auto"/>
        <w:rPr>
          <w:rFonts w:ascii="Arial" w:hAnsi="Arial" w:cs="Arial"/>
        </w:rPr>
      </w:pPr>
      <w:r w:rsidRPr="00B22BFE">
        <w:rPr>
          <w:rFonts w:ascii="Arial" w:hAnsi="Arial" w:cs="Arial"/>
        </w:rPr>
        <w:t xml:space="preserve">Hofstede, G. (2001) </w:t>
      </w:r>
      <w:r w:rsidRPr="00B22BFE">
        <w:rPr>
          <w:rFonts w:ascii="Arial" w:hAnsi="Arial" w:cs="Arial"/>
          <w:i/>
          <w:iCs/>
        </w:rPr>
        <w:t xml:space="preserve">Culture’s Consequences: Comparing Values, </w:t>
      </w:r>
      <w:proofErr w:type="spellStart"/>
      <w:r w:rsidRPr="00B22BFE">
        <w:rPr>
          <w:rFonts w:ascii="Arial" w:hAnsi="Arial" w:cs="Arial"/>
          <w:i/>
          <w:iCs/>
        </w:rPr>
        <w:t>Behaviors</w:t>
      </w:r>
      <w:proofErr w:type="spellEnd"/>
      <w:r w:rsidRPr="00B22BFE">
        <w:rPr>
          <w:rFonts w:ascii="Arial" w:hAnsi="Arial" w:cs="Arial"/>
          <w:i/>
          <w:iCs/>
        </w:rPr>
        <w:t>, Institutions and Organizations Across Nations</w:t>
      </w:r>
      <w:r w:rsidRPr="00B22BFE">
        <w:rPr>
          <w:rFonts w:ascii="Arial" w:hAnsi="Arial" w:cs="Arial"/>
        </w:rPr>
        <w:t xml:space="preserve">. 2nd </w:t>
      </w:r>
      <w:proofErr w:type="spellStart"/>
      <w:r w:rsidRPr="00B22BFE">
        <w:rPr>
          <w:rFonts w:ascii="Arial" w:hAnsi="Arial" w:cs="Arial"/>
        </w:rPr>
        <w:t>edn</w:t>
      </w:r>
      <w:proofErr w:type="spellEnd"/>
      <w:r w:rsidRPr="00B22BFE">
        <w:rPr>
          <w:rFonts w:ascii="Arial" w:hAnsi="Arial" w:cs="Arial"/>
        </w:rPr>
        <w:t>. Thousand Oaks, CA: Sage.</w:t>
      </w:r>
    </w:p>
    <w:p w14:paraId="56139499" w14:textId="77777777" w:rsidR="00B22BFE" w:rsidRPr="00B22BFE" w:rsidRDefault="00B22BFE" w:rsidP="002D7C8B">
      <w:pPr>
        <w:spacing w:line="360" w:lineRule="auto"/>
        <w:rPr>
          <w:rFonts w:ascii="Arial" w:hAnsi="Arial" w:cs="Arial"/>
        </w:rPr>
      </w:pPr>
      <w:r w:rsidRPr="00B22BFE">
        <w:rPr>
          <w:rFonts w:ascii="Arial" w:hAnsi="Arial" w:cs="Arial"/>
        </w:rPr>
        <w:t xml:space="preserve">Johnson, G., Scholes, K. and Whittington, R. (2020) </w:t>
      </w:r>
      <w:r w:rsidRPr="00B22BFE">
        <w:rPr>
          <w:rFonts w:ascii="Arial" w:hAnsi="Arial" w:cs="Arial"/>
          <w:i/>
          <w:iCs/>
        </w:rPr>
        <w:t>Exploring Corporate Strategy</w:t>
      </w:r>
      <w:r w:rsidRPr="00B22BFE">
        <w:rPr>
          <w:rFonts w:ascii="Arial" w:hAnsi="Arial" w:cs="Arial"/>
        </w:rPr>
        <w:t xml:space="preserve">. 12th </w:t>
      </w:r>
      <w:proofErr w:type="spellStart"/>
      <w:r w:rsidRPr="00B22BFE">
        <w:rPr>
          <w:rFonts w:ascii="Arial" w:hAnsi="Arial" w:cs="Arial"/>
        </w:rPr>
        <w:t>edn</w:t>
      </w:r>
      <w:proofErr w:type="spellEnd"/>
      <w:r w:rsidRPr="00B22BFE">
        <w:rPr>
          <w:rFonts w:ascii="Arial" w:hAnsi="Arial" w:cs="Arial"/>
        </w:rPr>
        <w:t>. Harlow: Pearson.</w:t>
      </w:r>
    </w:p>
    <w:p w14:paraId="48389F47" w14:textId="77777777" w:rsidR="00B22BFE" w:rsidRPr="00B22BFE" w:rsidRDefault="00B22BFE" w:rsidP="002D7C8B">
      <w:pPr>
        <w:spacing w:line="360" w:lineRule="auto"/>
        <w:rPr>
          <w:rFonts w:ascii="Arial" w:hAnsi="Arial" w:cs="Arial"/>
        </w:rPr>
      </w:pPr>
      <w:r w:rsidRPr="00B22BFE">
        <w:rPr>
          <w:rFonts w:ascii="Arial" w:hAnsi="Arial" w:cs="Arial"/>
        </w:rPr>
        <w:t xml:space="preserve">Kotter, J.P. (2012) </w:t>
      </w:r>
      <w:r w:rsidRPr="00B22BFE">
        <w:rPr>
          <w:rFonts w:ascii="Arial" w:hAnsi="Arial" w:cs="Arial"/>
          <w:i/>
          <w:iCs/>
        </w:rPr>
        <w:t>Leading Change</w:t>
      </w:r>
      <w:r w:rsidRPr="00B22BFE">
        <w:rPr>
          <w:rFonts w:ascii="Arial" w:hAnsi="Arial" w:cs="Arial"/>
        </w:rPr>
        <w:t>. Boston, MA: Harvard Business Review Press.</w:t>
      </w:r>
    </w:p>
    <w:p w14:paraId="3F433DA3" w14:textId="77777777" w:rsidR="00B22BFE" w:rsidRPr="00B22BFE" w:rsidRDefault="00B22BFE" w:rsidP="002D7C8B">
      <w:pPr>
        <w:spacing w:line="360" w:lineRule="auto"/>
        <w:rPr>
          <w:rFonts w:ascii="Arial" w:hAnsi="Arial" w:cs="Arial"/>
        </w:rPr>
      </w:pPr>
      <w:r w:rsidRPr="00B22BFE">
        <w:rPr>
          <w:rFonts w:ascii="Arial" w:hAnsi="Arial" w:cs="Arial"/>
        </w:rPr>
        <w:t xml:space="preserve">Microsoft (2025a) </w:t>
      </w:r>
      <w:r w:rsidRPr="00B22BFE">
        <w:rPr>
          <w:rFonts w:ascii="Arial" w:hAnsi="Arial" w:cs="Arial"/>
          <w:i/>
          <w:iCs/>
        </w:rPr>
        <w:t>Microsoft Annual Report 2025</w:t>
      </w:r>
      <w:r w:rsidRPr="00B22BFE">
        <w:rPr>
          <w:rFonts w:ascii="Arial" w:hAnsi="Arial" w:cs="Arial"/>
        </w:rPr>
        <w:t xml:space="preserve">. Available at: </w:t>
      </w:r>
      <w:hyperlink r:id="rId9" w:tgtFrame="_new" w:history="1">
        <w:r w:rsidRPr="00B22BFE">
          <w:rPr>
            <w:rStyle w:val="Hyperlink"/>
            <w:rFonts w:ascii="Arial" w:hAnsi="Arial" w:cs="Arial"/>
          </w:rPr>
          <w:t>https://www.microsoft.com/investor</w:t>
        </w:r>
      </w:hyperlink>
      <w:r w:rsidRPr="00B22BFE">
        <w:rPr>
          <w:rFonts w:ascii="Arial" w:hAnsi="Arial" w:cs="Arial"/>
        </w:rPr>
        <w:t xml:space="preserve"> (Accessed: 16 March 2026).</w:t>
      </w:r>
    </w:p>
    <w:p w14:paraId="11A05DB3" w14:textId="77777777" w:rsidR="00B22BFE" w:rsidRPr="00B22BFE" w:rsidRDefault="00B22BFE" w:rsidP="002D7C8B">
      <w:pPr>
        <w:spacing w:line="360" w:lineRule="auto"/>
        <w:rPr>
          <w:rFonts w:ascii="Arial" w:hAnsi="Arial" w:cs="Arial"/>
        </w:rPr>
      </w:pPr>
      <w:r w:rsidRPr="00B22BFE">
        <w:rPr>
          <w:rFonts w:ascii="Arial" w:hAnsi="Arial" w:cs="Arial"/>
        </w:rPr>
        <w:t xml:space="preserve">Microsoft (2025b) </w:t>
      </w:r>
      <w:r w:rsidRPr="00B22BFE">
        <w:rPr>
          <w:rFonts w:ascii="Arial" w:hAnsi="Arial" w:cs="Arial"/>
          <w:i/>
          <w:iCs/>
        </w:rPr>
        <w:t>Diversity and inclusion at Microsoft</w:t>
      </w:r>
      <w:r w:rsidRPr="00B22BFE">
        <w:rPr>
          <w:rFonts w:ascii="Arial" w:hAnsi="Arial" w:cs="Arial"/>
        </w:rPr>
        <w:t xml:space="preserve">. Available at: </w:t>
      </w:r>
      <w:hyperlink r:id="rId10" w:tgtFrame="_new" w:history="1">
        <w:r w:rsidRPr="00B22BFE">
          <w:rPr>
            <w:rStyle w:val="Hyperlink"/>
            <w:rFonts w:ascii="Arial" w:hAnsi="Arial" w:cs="Arial"/>
          </w:rPr>
          <w:t>https://careers.microsoft.com</w:t>
        </w:r>
      </w:hyperlink>
      <w:r w:rsidRPr="00B22BFE">
        <w:rPr>
          <w:rFonts w:ascii="Arial" w:hAnsi="Arial" w:cs="Arial"/>
        </w:rPr>
        <w:t xml:space="preserve"> (Accessed: 16 March 2026).</w:t>
      </w:r>
    </w:p>
    <w:p w14:paraId="50375A71" w14:textId="77777777" w:rsidR="00B22BFE" w:rsidRPr="00B22BFE" w:rsidRDefault="00B22BFE" w:rsidP="002D7C8B">
      <w:pPr>
        <w:spacing w:line="360" w:lineRule="auto"/>
        <w:rPr>
          <w:rFonts w:ascii="Arial" w:hAnsi="Arial" w:cs="Arial"/>
        </w:rPr>
      </w:pPr>
      <w:r w:rsidRPr="00B22BFE">
        <w:rPr>
          <w:rFonts w:ascii="Arial" w:hAnsi="Arial" w:cs="Arial"/>
        </w:rPr>
        <w:t xml:space="preserve">Microsoft (2026) </w:t>
      </w:r>
      <w:r w:rsidRPr="00B22BFE">
        <w:rPr>
          <w:rFonts w:ascii="Arial" w:hAnsi="Arial" w:cs="Arial"/>
          <w:i/>
          <w:iCs/>
        </w:rPr>
        <w:t>Empowering employees through learning and development</w:t>
      </w:r>
      <w:r w:rsidRPr="00B22BFE">
        <w:rPr>
          <w:rFonts w:ascii="Arial" w:hAnsi="Arial" w:cs="Arial"/>
        </w:rPr>
        <w:t xml:space="preserve">. Available at: </w:t>
      </w:r>
      <w:hyperlink r:id="rId11" w:tgtFrame="_new" w:history="1">
        <w:r w:rsidRPr="00B22BFE">
          <w:rPr>
            <w:rStyle w:val="Hyperlink"/>
            <w:rFonts w:ascii="Arial" w:hAnsi="Arial" w:cs="Arial"/>
          </w:rPr>
          <w:t>https://www.microsoft.com/corporate-responsibility</w:t>
        </w:r>
      </w:hyperlink>
      <w:r w:rsidRPr="00B22BFE">
        <w:rPr>
          <w:rFonts w:ascii="Arial" w:hAnsi="Arial" w:cs="Arial"/>
        </w:rPr>
        <w:t xml:space="preserve"> (Accessed: 16 March 2026).</w:t>
      </w:r>
    </w:p>
    <w:p w14:paraId="769586A7" w14:textId="77777777" w:rsidR="00B22BFE" w:rsidRPr="00B22BFE" w:rsidRDefault="00B22BFE" w:rsidP="002D7C8B">
      <w:pPr>
        <w:spacing w:line="360" w:lineRule="auto"/>
        <w:rPr>
          <w:rFonts w:ascii="Arial" w:hAnsi="Arial" w:cs="Arial"/>
        </w:rPr>
      </w:pPr>
      <w:r w:rsidRPr="00B22BFE">
        <w:rPr>
          <w:rFonts w:ascii="Arial" w:hAnsi="Arial" w:cs="Arial"/>
        </w:rPr>
        <w:t xml:space="preserve">Renwick, D., Redman, T. and Maguire, S. (2013) ‘Green human resource management: A review and research agenda’, </w:t>
      </w:r>
      <w:r w:rsidRPr="00B22BFE">
        <w:rPr>
          <w:rFonts w:ascii="Arial" w:hAnsi="Arial" w:cs="Arial"/>
          <w:i/>
          <w:iCs/>
        </w:rPr>
        <w:t>International Journal of Management Reviews</w:t>
      </w:r>
      <w:r w:rsidRPr="00B22BFE">
        <w:rPr>
          <w:rFonts w:ascii="Arial" w:hAnsi="Arial" w:cs="Arial"/>
        </w:rPr>
        <w:t>, 15(1), pp. 1–14.</w:t>
      </w:r>
    </w:p>
    <w:p w14:paraId="615B9A32" w14:textId="77777777" w:rsidR="00B22BFE" w:rsidRPr="00B22BFE" w:rsidRDefault="00B22BFE" w:rsidP="002D7C8B">
      <w:pPr>
        <w:spacing w:line="360" w:lineRule="auto"/>
        <w:rPr>
          <w:rFonts w:ascii="Arial" w:hAnsi="Arial" w:cs="Arial"/>
        </w:rPr>
      </w:pPr>
      <w:r w:rsidRPr="00B22BFE">
        <w:rPr>
          <w:rFonts w:ascii="Arial" w:hAnsi="Arial" w:cs="Arial"/>
        </w:rPr>
        <w:t xml:space="preserve">Torrington, D., Hall, L., Taylor, S. and Atkinson, C. (2020) </w:t>
      </w:r>
      <w:r w:rsidRPr="00B22BFE">
        <w:rPr>
          <w:rFonts w:ascii="Arial" w:hAnsi="Arial" w:cs="Arial"/>
          <w:i/>
          <w:iCs/>
        </w:rPr>
        <w:t>Human Resource Management</w:t>
      </w:r>
      <w:r w:rsidRPr="00B22BFE">
        <w:rPr>
          <w:rFonts w:ascii="Arial" w:hAnsi="Arial" w:cs="Arial"/>
        </w:rPr>
        <w:t xml:space="preserve">. 11th </w:t>
      </w:r>
      <w:proofErr w:type="spellStart"/>
      <w:r w:rsidRPr="00B22BFE">
        <w:rPr>
          <w:rFonts w:ascii="Arial" w:hAnsi="Arial" w:cs="Arial"/>
        </w:rPr>
        <w:t>edn</w:t>
      </w:r>
      <w:proofErr w:type="spellEnd"/>
      <w:r w:rsidRPr="00B22BFE">
        <w:rPr>
          <w:rFonts w:ascii="Arial" w:hAnsi="Arial" w:cs="Arial"/>
        </w:rPr>
        <w:t>. Harlow: Pearson.</w:t>
      </w:r>
    </w:p>
    <w:p w14:paraId="265D3CDD" w14:textId="77777777" w:rsidR="00D86033" w:rsidRDefault="00D86033" w:rsidP="002D7C8B">
      <w:pPr>
        <w:spacing w:line="360" w:lineRule="auto"/>
      </w:pPr>
    </w:p>
    <w:sectPr w:rsidR="00D86033" w:rsidSect="00B107B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4F"/>
    <w:rsid w:val="000245AC"/>
    <w:rsid w:val="000B6704"/>
    <w:rsid w:val="0012620C"/>
    <w:rsid w:val="001523A5"/>
    <w:rsid w:val="001C68F9"/>
    <w:rsid w:val="001E043F"/>
    <w:rsid w:val="002D7C8B"/>
    <w:rsid w:val="003132AE"/>
    <w:rsid w:val="00314B7C"/>
    <w:rsid w:val="0032004F"/>
    <w:rsid w:val="0034221C"/>
    <w:rsid w:val="00346E68"/>
    <w:rsid w:val="003F711D"/>
    <w:rsid w:val="00406AD0"/>
    <w:rsid w:val="00410838"/>
    <w:rsid w:val="0041609B"/>
    <w:rsid w:val="00420103"/>
    <w:rsid w:val="00425CA0"/>
    <w:rsid w:val="004709F8"/>
    <w:rsid w:val="00495282"/>
    <w:rsid w:val="004F2625"/>
    <w:rsid w:val="005312B6"/>
    <w:rsid w:val="00554898"/>
    <w:rsid w:val="0057520B"/>
    <w:rsid w:val="00597212"/>
    <w:rsid w:val="005B23FB"/>
    <w:rsid w:val="005E2BBA"/>
    <w:rsid w:val="00635146"/>
    <w:rsid w:val="006A1EC6"/>
    <w:rsid w:val="006B7A30"/>
    <w:rsid w:val="006C762D"/>
    <w:rsid w:val="006F5E9E"/>
    <w:rsid w:val="0070206A"/>
    <w:rsid w:val="00716BF1"/>
    <w:rsid w:val="007272A6"/>
    <w:rsid w:val="00762E88"/>
    <w:rsid w:val="007648CC"/>
    <w:rsid w:val="00767EF6"/>
    <w:rsid w:val="007774D3"/>
    <w:rsid w:val="0078299F"/>
    <w:rsid w:val="007850A0"/>
    <w:rsid w:val="007D449A"/>
    <w:rsid w:val="00823F76"/>
    <w:rsid w:val="0083272A"/>
    <w:rsid w:val="008B7A04"/>
    <w:rsid w:val="00931BB3"/>
    <w:rsid w:val="00987057"/>
    <w:rsid w:val="009C2D1A"/>
    <w:rsid w:val="009F3A93"/>
    <w:rsid w:val="009F4136"/>
    <w:rsid w:val="00A27EEC"/>
    <w:rsid w:val="00A45C61"/>
    <w:rsid w:val="00AE0E17"/>
    <w:rsid w:val="00AF1ED0"/>
    <w:rsid w:val="00B107BE"/>
    <w:rsid w:val="00B15CB9"/>
    <w:rsid w:val="00B22BFE"/>
    <w:rsid w:val="00BB21D1"/>
    <w:rsid w:val="00BE4BA3"/>
    <w:rsid w:val="00C2366B"/>
    <w:rsid w:val="00C35E62"/>
    <w:rsid w:val="00C44B0B"/>
    <w:rsid w:val="00CD266A"/>
    <w:rsid w:val="00D16E41"/>
    <w:rsid w:val="00D1734B"/>
    <w:rsid w:val="00D86033"/>
    <w:rsid w:val="00DA61D3"/>
    <w:rsid w:val="00DB5E07"/>
    <w:rsid w:val="00DD218C"/>
    <w:rsid w:val="00E02BB7"/>
    <w:rsid w:val="00E54111"/>
    <w:rsid w:val="00EC2B25"/>
    <w:rsid w:val="00F51462"/>
    <w:rsid w:val="00F826A8"/>
    <w:rsid w:val="00F86C40"/>
    <w:rsid w:val="00FB465F"/>
    <w:rsid w:val="00FF1E7F"/>
    <w:rsid w:val="00FF2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2DBC"/>
  <w15:chartTrackingRefBased/>
  <w15:docId w15:val="{1118FF77-95EB-40AC-AB31-0FB192F97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0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0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0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0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0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0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0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0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0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0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0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0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0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0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0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04F"/>
    <w:rPr>
      <w:rFonts w:eastAsiaTheme="majorEastAsia" w:cstheme="majorBidi"/>
      <w:color w:val="272727" w:themeColor="text1" w:themeTint="D8"/>
    </w:rPr>
  </w:style>
  <w:style w:type="paragraph" w:styleId="Title">
    <w:name w:val="Title"/>
    <w:basedOn w:val="Normal"/>
    <w:next w:val="Normal"/>
    <w:link w:val="TitleChar"/>
    <w:uiPriority w:val="10"/>
    <w:qFormat/>
    <w:rsid w:val="00320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0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0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0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04F"/>
    <w:pPr>
      <w:spacing w:before="160"/>
      <w:jc w:val="center"/>
    </w:pPr>
    <w:rPr>
      <w:i/>
      <w:iCs/>
      <w:color w:val="404040" w:themeColor="text1" w:themeTint="BF"/>
    </w:rPr>
  </w:style>
  <w:style w:type="character" w:customStyle="1" w:styleId="QuoteChar">
    <w:name w:val="Quote Char"/>
    <w:basedOn w:val="DefaultParagraphFont"/>
    <w:link w:val="Quote"/>
    <w:uiPriority w:val="29"/>
    <w:rsid w:val="0032004F"/>
    <w:rPr>
      <w:i/>
      <w:iCs/>
      <w:color w:val="404040" w:themeColor="text1" w:themeTint="BF"/>
    </w:rPr>
  </w:style>
  <w:style w:type="paragraph" w:styleId="ListParagraph">
    <w:name w:val="List Paragraph"/>
    <w:basedOn w:val="Normal"/>
    <w:uiPriority w:val="34"/>
    <w:qFormat/>
    <w:rsid w:val="0032004F"/>
    <w:pPr>
      <w:ind w:left="720"/>
      <w:contextualSpacing/>
    </w:pPr>
  </w:style>
  <w:style w:type="character" w:styleId="IntenseEmphasis">
    <w:name w:val="Intense Emphasis"/>
    <w:basedOn w:val="DefaultParagraphFont"/>
    <w:uiPriority w:val="21"/>
    <w:qFormat/>
    <w:rsid w:val="0032004F"/>
    <w:rPr>
      <w:i/>
      <w:iCs/>
      <w:color w:val="0F4761" w:themeColor="accent1" w:themeShade="BF"/>
    </w:rPr>
  </w:style>
  <w:style w:type="paragraph" w:styleId="IntenseQuote">
    <w:name w:val="Intense Quote"/>
    <w:basedOn w:val="Normal"/>
    <w:next w:val="Normal"/>
    <w:link w:val="IntenseQuoteChar"/>
    <w:uiPriority w:val="30"/>
    <w:qFormat/>
    <w:rsid w:val="003200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04F"/>
    <w:rPr>
      <w:i/>
      <w:iCs/>
      <w:color w:val="0F4761" w:themeColor="accent1" w:themeShade="BF"/>
    </w:rPr>
  </w:style>
  <w:style w:type="character" w:styleId="IntenseReference">
    <w:name w:val="Intense Reference"/>
    <w:basedOn w:val="DefaultParagraphFont"/>
    <w:uiPriority w:val="32"/>
    <w:qFormat/>
    <w:rsid w:val="0032004F"/>
    <w:rPr>
      <w:b/>
      <w:bCs/>
      <w:smallCaps/>
      <w:color w:val="0F4761" w:themeColor="accent1" w:themeShade="BF"/>
      <w:spacing w:val="5"/>
    </w:rPr>
  </w:style>
  <w:style w:type="character" w:styleId="Hyperlink">
    <w:name w:val="Hyperlink"/>
    <w:basedOn w:val="DefaultParagraphFont"/>
    <w:uiPriority w:val="99"/>
    <w:unhideWhenUsed/>
    <w:rsid w:val="00AF1ED0"/>
    <w:rPr>
      <w:color w:val="467886" w:themeColor="hyperlink"/>
      <w:u w:val="single"/>
    </w:rPr>
  </w:style>
  <w:style w:type="character" w:styleId="UnresolvedMention">
    <w:name w:val="Unresolved Mention"/>
    <w:basedOn w:val="DefaultParagraphFont"/>
    <w:uiPriority w:val="99"/>
    <w:semiHidden/>
    <w:unhideWhenUsed/>
    <w:rsid w:val="00AF1ED0"/>
    <w:rPr>
      <w:color w:val="605E5C"/>
      <w:shd w:val="clear" w:color="auto" w:fill="E1DFDD"/>
    </w:rPr>
  </w:style>
  <w:style w:type="paragraph" w:styleId="NoSpacing">
    <w:name w:val="No Spacing"/>
    <w:link w:val="NoSpacingChar"/>
    <w:uiPriority w:val="1"/>
    <w:qFormat/>
    <w:rsid w:val="00B107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07B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corporate-responsibility" TargetMode="External"/><Relationship Id="rId5" Type="http://schemas.openxmlformats.org/officeDocument/2006/relationships/settings" Target="settings.xml"/><Relationship Id="rId10" Type="http://schemas.openxmlformats.org/officeDocument/2006/relationships/hyperlink" Target="https://careers.microsoft.com" TargetMode="External"/><Relationship Id="rId4" Type="http://schemas.openxmlformats.org/officeDocument/2006/relationships/styles" Target="styles.xml"/><Relationship Id="rId9" Type="http://schemas.openxmlformats.org/officeDocument/2006/relationships/hyperlink" Target="https://www.microsoft.com/inves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2" ma:contentTypeDescription="Create a new document." ma:contentTypeScope="" ma:versionID="196a5595f6dc741e463b4eccadb32cfb">
  <xsd:schema xmlns:xsd="http://www.w3.org/2001/XMLSchema" xmlns:xs="http://www.w3.org/2001/XMLSchema" xmlns:p="http://schemas.microsoft.com/office/2006/metadata/properties" xmlns:ns3="2fb9b754-ff8e-487c-b2c9-9bb8e92e13c5" targetNamespace="http://schemas.microsoft.com/office/2006/metadata/properties" ma:root="true" ma:fieldsID="c7779987caf4ed23610f9715bf374c3d"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EFE902-F8B5-4590-A41F-4D8CD83E93DE}">
  <ds:schemaRefs>
    <ds:schemaRef ds:uri="http://schemas.microsoft.com/office/2006/metadata/properties"/>
    <ds:schemaRef ds:uri="http://schemas.microsoft.com/office/infopath/2007/PartnerControls"/>
    <ds:schemaRef ds:uri="2fb9b754-ff8e-487c-b2c9-9bb8e92e13c5"/>
  </ds:schemaRefs>
</ds:datastoreItem>
</file>

<file path=customXml/itemProps2.xml><?xml version="1.0" encoding="utf-8"?>
<ds:datastoreItem xmlns:ds="http://schemas.openxmlformats.org/officeDocument/2006/customXml" ds:itemID="{BB7FACD0-BD16-4560-8C0C-CDAA0A3447D0}">
  <ds:schemaRefs>
    <ds:schemaRef ds:uri="http://schemas.microsoft.com/sharepoint/v3/contenttype/forms"/>
  </ds:schemaRefs>
</ds:datastoreItem>
</file>

<file path=customXml/itemProps3.xml><?xml version="1.0" encoding="utf-8"?>
<ds:datastoreItem xmlns:ds="http://schemas.openxmlformats.org/officeDocument/2006/customXml" ds:itemID="{50C031C1-4A56-4EB9-9BFB-3333B6D55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4523</TotalTime>
  <Pages>8</Pages>
  <Words>2771</Words>
  <Characters>15795</Characters>
  <Application>Microsoft Office Word</Application>
  <DocSecurity>0</DocSecurity>
  <Lines>131</Lines>
  <Paragraphs>37</Paragraphs>
  <ScaleCrop>false</ScaleCrop>
  <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Liuba Furnica (2324363)</dc:creator>
  <cp:keywords/>
  <dc:description/>
  <cp:lastModifiedBy>Liuba Furnica (2324363)</cp:lastModifiedBy>
  <cp:revision>72</cp:revision>
  <dcterms:created xsi:type="dcterms:W3CDTF">2026-03-15T17:19:00Z</dcterms:created>
  <dcterms:modified xsi:type="dcterms:W3CDTF">2026-03-23T16:20:00Z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ff91a25b-ca2b-4e06-97d0-9d441af157d5</vt:lpwstr>
  </property>
  <property fmtid="{D5CDD505-2E9C-101B-9397-08002B2CF9AE}" pid="3" name="ContentTypeId">
    <vt:lpwstr>0x010100609FB0070A83184A8206E8AB722F60C7</vt:lpwstr>
  </property>
</Properties>
</file>