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C3CF5" w14:textId="0FE2CB8B" w:rsidR="00A22536" w:rsidRDefault="0093339C">
      <w:pPr>
        <w:rPr>
          <w:b/>
          <w:bCs/>
          <w:sz w:val="32"/>
          <w:szCs w:val="32"/>
        </w:rPr>
      </w:pPr>
      <w:r>
        <w:rPr>
          <w:noProof/>
        </w:rPr>
        <w:drawing>
          <wp:anchor distT="0" distB="0" distL="114300" distR="114300" simplePos="0" relativeHeight="251658240" behindDoc="0" locked="0" layoutInCell="1" allowOverlap="1" wp14:anchorId="2948184F" wp14:editId="0AA7512A">
            <wp:simplePos x="0" y="0"/>
            <wp:positionH relativeFrom="column">
              <wp:posOffset>1143000</wp:posOffset>
            </wp:positionH>
            <wp:positionV relativeFrom="paragraph">
              <wp:posOffset>447675</wp:posOffset>
            </wp:positionV>
            <wp:extent cx="3581400" cy="1495787"/>
            <wp:effectExtent l="0" t="0" r="0" b="9525"/>
            <wp:wrapNone/>
            <wp:docPr id="821226275"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81400" cy="1495787"/>
                    </a:xfrm>
                    <a:prstGeom prst="rect">
                      <a:avLst/>
                    </a:prstGeom>
                    <a:noFill/>
                    <a:ln>
                      <a:noFill/>
                    </a:ln>
                  </pic:spPr>
                </pic:pic>
              </a:graphicData>
            </a:graphic>
          </wp:anchor>
        </w:drawing>
      </w:r>
    </w:p>
    <w:p w14:paraId="3A6B3C53" w14:textId="7DB47B15" w:rsidR="00A22536" w:rsidRDefault="00A22536">
      <w:pPr>
        <w:rPr>
          <w:b/>
          <w:bCs/>
          <w:sz w:val="32"/>
          <w:szCs w:val="32"/>
        </w:rPr>
      </w:pPr>
    </w:p>
    <w:p w14:paraId="3EF61445" w14:textId="77777777" w:rsidR="00A22536" w:rsidRDefault="00A22536">
      <w:pPr>
        <w:rPr>
          <w:b/>
          <w:bCs/>
          <w:sz w:val="32"/>
          <w:szCs w:val="32"/>
        </w:rPr>
      </w:pPr>
    </w:p>
    <w:p w14:paraId="017465ED" w14:textId="77777777" w:rsidR="00A22536" w:rsidRDefault="00A22536">
      <w:pPr>
        <w:rPr>
          <w:b/>
          <w:bCs/>
          <w:sz w:val="32"/>
          <w:szCs w:val="32"/>
        </w:rPr>
      </w:pPr>
    </w:p>
    <w:p w14:paraId="6976D3D1" w14:textId="77777777" w:rsidR="00A22536" w:rsidRDefault="00A22536">
      <w:pPr>
        <w:rPr>
          <w:b/>
          <w:bCs/>
          <w:sz w:val="32"/>
          <w:szCs w:val="32"/>
        </w:rPr>
      </w:pPr>
    </w:p>
    <w:p w14:paraId="0EA8E4E7" w14:textId="77777777" w:rsidR="00A22536" w:rsidRDefault="00A22536">
      <w:pPr>
        <w:rPr>
          <w:b/>
          <w:bCs/>
          <w:sz w:val="32"/>
          <w:szCs w:val="32"/>
        </w:rPr>
      </w:pPr>
    </w:p>
    <w:p w14:paraId="0062270C" w14:textId="77777777" w:rsidR="00A22536" w:rsidRDefault="00E12291">
      <w:pPr>
        <w:jc w:val="center"/>
        <w:rPr>
          <w:b/>
          <w:bCs/>
          <w:sz w:val="32"/>
          <w:szCs w:val="32"/>
        </w:rPr>
      </w:pPr>
      <w:r>
        <w:rPr>
          <w:b/>
          <w:bCs/>
          <w:sz w:val="32"/>
          <w:szCs w:val="32"/>
        </w:rPr>
        <w:t>HUMAN CAPITAL MANAGEMENT</w:t>
      </w:r>
    </w:p>
    <w:p w14:paraId="5080A284" w14:textId="77777777" w:rsidR="00A22536" w:rsidRDefault="00A22536">
      <w:pPr>
        <w:jc w:val="center"/>
        <w:rPr>
          <w:b/>
          <w:bCs/>
          <w:sz w:val="32"/>
          <w:szCs w:val="32"/>
        </w:rPr>
      </w:pPr>
    </w:p>
    <w:p w14:paraId="71E793C5" w14:textId="77777777" w:rsidR="00A22536" w:rsidRDefault="00E12291">
      <w:pPr>
        <w:jc w:val="center"/>
        <w:rPr>
          <w:b/>
          <w:bCs/>
          <w:i/>
          <w:iCs/>
        </w:rPr>
      </w:pPr>
      <w:r>
        <w:rPr>
          <w:b/>
          <w:bCs/>
          <w:i/>
          <w:iCs/>
          <w:sz w:val="32"/>
          <w:szCs w:val="32"/>
        </w:rPr>
        <w:t>(</w:t>
      </w:r>
      <w:r>
        <w:rPr>
          <w:b/>
          <w:bCs/>
          <w:i/>
          <w:iCs/>
        </w:rPr>
        <w:t>THE INFLUENCE OF NATIONAL AND INTERNATIONAL LABOUR MARKETS ON IHRM AND HRM STRATEGIES)</w:t>
      </w:r>
    </w:p>
    <w:p w14:paraId="5C1CD16B" w14:textId="77777777" w:rsidR="00A22536" w:rsidRDefault="00A22536">
      <w:pPr>
        <w:jc w:val="center"/>
        <w:rPr>
          <w:b/>
          <w:bCs/>
          <w:i/>
          <w:iCs/>
        </w:rPr>
      </w:pPr>
    </w:p>
    <w:p w14:paraId="589AE297" w14:textId="77777777" w:rsidR="00A22536" w:rsidRDefault="00A22536">
      <w:pPr>
        <w:jc w:val="center"/>
        <w:rPr>
          <w:b/>
          <w:bCs/>
          <w:i/>
          <w:iCs/>
        </w:rPr>
      </w:pPr>
    </w:p>
    <w:p w14:paraId="48F3AA33" w14:textId="77777777" w:rsidR="00A22536" w:rsidRDefault="00A22536">
      <w:pPr>
        <w:jc w:val="center"/>
        <w:rPr>
          <w:b/>
          <w:bCs/>
          <w:i/>
          <w:iCs/>
        </w:rPr>
      </w:pPr>
    </w:p>
    <w:p w14:paraId="46D53D38" w14:textId="77777777" w:rsidR="00A22536" w:rsidRDefault="00A22536">
      <w:pPr>
        <w:jc w:val="center"/>
        <w:rPr>
          <w:b/>
          <w:bCs/>
          <w:i/>
          <w:iCs/>
        </w:rPr>
      </w:pPr>
    </w:p>
    <w:p w14:paraId="7D9A6D40" w14:textId="77777777" w:rsidR="00A22536" w:rsidRDefault="00A22536">
      <w:pPr>
        <w:jc w:val="center"/>
        <w:rPr>
          <w:b/>
          <w:bCs/>
          <w:i/>
          <w:iCs/>
        </w:rPr>
      </w:pPr>
    </w:p>
    <w:p w14:paraId="285E1D46" w14:textId="77777777" w:rsidR="00A22536" w:rsidRDefault="00A22536">
      <w:pPr>
        <w:jc w:val="center"/>
        <w:rPr>
          <w:b/>
          <w:bCs/>
          <w:i/>
          <w:iCs/>
        </w:rPr>
      </w:pPr>
    </w:p>
    <w:p w14:paraId="3D95C4FF" w14:textId="77777777" w:rsidR="00A22536" w:rsidRDefault="00A22536">
      <w:pPr>
        <w:jc w:val="center"/>
        <w:rPr>
          <w:b/>
          <w:bCs/>
          <w:i/>
          <w:iCs/>
        </w:rPr>
      </w:pPr>
    </w:p>
    <w:p w14:paraId="35B337D0" w14:textId="2D425623" w:rsidR="00A22536" w:rsidRDefault="00E12291">
      <w:pPr>
        <w:jc w:val="center"/>
        <w:rPr>
          <w:b/>
          <w:bCs/>
          <w:i/>
          <w:iCs/>
          <w:sz w:val="28"/>
          <w:szCs w:val="28"/>
        </w:rPr>
      </w:pPr>
      <w:r>
        <w:rPr>
          <w:b/>
          <w:bCs/>
          <w:i/>
          <w:iCs/>
          <w:sz w:val="28"/>
          <w:szCs w:val="28"/>
        </w:rPr>
        <w:t>STUDENT NAME:</w:t>
      </w:r>
      <w:r w:rsidR="00CF340F">
        <w:rPr>
          <w:b/>
          <w:bCs/>
          <w:i/>
          <w:iCs/>
          <w:sz w:val="28"/>
          <w:szCs w:val="28"/>
        </w:rPr>
        <w:t xml:space="preserve"> Maulik Poshiya</w:t>
      </w:r>
    </w:p>
    <w:p w14:paraId="29719F04" w14:textId="77777777" w:rsidR="00A935F4" w:rsidRDefault="00E12291">
      <w:pPr>
        <w:jc w:val="center"/>
        <w:rPr>
          <w:b/>
          <w:bCs/>
          <w:i/>
          <w:iCs/>
          <w:sz w:val="28"/>
          <w:szCs w:val="28"/>
        </w:rPr>
      </w:pPr>
      <w:r>
        <w:rPr>
          <w:b/>
          <w:bCs/>
          <w:i/>
          <w:iCs/>
          <w:sz w:val="28"/>
          <w:szCs w:val="28"/>
        </w:rPr>
        <w:t>STUDENT ID:</w:t>
      </w:r>
      <w:r w:rsidR="00CF340F">
        <w:rPr>
          <w:b/>
          <w:bCs/>
          <w:i/>
          <w:iCs/>
          <w:sz w:val="28"/>
          <w:szCs w:val="28"/>
        </w:rPr>
        <w:t xml:space="preserve"> 2511036</w:t>
      </w:r>
    </w:p>
    <w:p w14:paraId="377103D9" w14:textId="764FF1B4" w:rsidR="00A22536" w:rsidRDefault="00A935F4">
      <w:pPr>
        <w:jc w:val="center"/>
        <w:rPr>
          <w:b/>
          <w:bCs/>
          <w:i/>
          <w:iCs/>
        </w:rPr>
      </w:pPr>
      <w:r>
        <w:rPr>
          <w:b/>
          <w:bCs/>
          <w:i/>
          <w:iCs/>
          <w:sz w:val="28"/>
          <w:szCs w:val="28"/>
        </w:rPr>
        <w:t>Word Count: 2384</w:t>
      </w:r>
      <w:r w:rsidR="00E12291">
        <w:br w:type="page"/>
      </w:r>
    </w:p>
    <w:p w14:paraId="05AD7B25" w14:textId="77777777" w:rsidR="00A22536" w:rsidRDefault="00E12291">
      <w:pPr>
        <w:jc w:val="center"/>
        <w:rPr>
          <w:b/>
          <w:bCs/>
        </w:rPr>
      </w:pPr>
      <w:r>
        <w:rPr>
          <w:b/>
          <w:bCs/>
        </w:rPr>
        <w:lastRenderedPageBreak/>
        <w:t>Executive Summary</w:t>
      </w:r>
    </w:p>
    <w:p w14:paraId="6B59EFB7" w14:textId="77777777" w:rsidR="00A22536" w:rsidRDefault="00E12291">
      <w:r>
        <w:t xml:space="preserve">The rapid technological landscape, demographic shifts and globalisation are significantly reshaping labour markets. Redefining the strategic priorities of IHRM and HRM are evolving market dynamics that influence HR strategies at both international and national levels. This report has focused on exploring HR strategies and their influence at international and national levels. Technological advancements, social artificial intelligence, automation and the gig economy is driving job roles and increasing the demand for STEM literacy. Further, geopolitical instability, global health crises and trade protectionisms have increased the complexities of managing the cross-border workforce. In response to IHRM and HRM, effective strategies such as build, buy, borrow and bind approaches close skill gaps and ensure workforce adaptability. The reflective section highlights personal development in technological literacy, leadership and teamwork, underscoring competencies for navigating the HR landscape.   </w:t>
      </w:r>
      <w:r>
        <w:br w:type="page"/>
      </w:r>
    </w:p>
    <w:p w14:paraId="744E1EF0" w14:textId="77777777" w:rsidR="00A22536" w:rsidRDefault="00E12291">
      <w:pPr>
        <w:pStyle w:val="Heading1"/>
      </w:pPr>
      <w:bookmarkStart w:id="0" w:name="_93gtrqyvdetz" w:colFirst="0" w:colLast="0"/>
      <w:bookmarkEnd w:id="0"/>
      <w:r>
        <w:lastRenderedPageBreak/>
        <w:t>1. Introduction</w:t>
      </w:r>
    </w:p>
    <w:p w14:paraId="7405C6E9" w14:textId="77777777" w:rsidR="00A22536" w:rsidRDefault="00E12291">
      <w:r>
        <w:t xml:space="preserve">Rapid technological advancement and globalisation have profoundly reshaped both international and national labour markets, creating dynamic opportunities and challenges for Human Resource Management (HRM). A willingness to expand the workforce through remote workers around the world has ensured growth in several areas of business activities. The ability to quickly recruit qualified workers facilitates 30% of annual growth for 35% of its potential customers (Gibbons, 2023). On the other hand, Artificial Intelligence (AI) and Automation are redefining competencies and job roles, pushing an organisation to adopt innovative HR approaches. Consequently, International Human Resource Management (IHRM) and HRM are continuously evolving to manage diversity, ensure adaptability and align with people management practice. Hence, the study is going to focus on the influence of international and national labour markets on HRM and IHRM strategies. </w:t>
      </w:r>
    </w:p>
    <w:p w14:paraId="1CACBDE0" w14:textId="77777777" w:rsidR="00A22536" w:rsidRDefault="00E12291">
      <w:pPr>
        <w:pStyle w:val="Heading1"/>
      </w:pPr>
      <w:bookmarkStart w:id="1" w:name="_682f1anembzi" w:colFirst="0" w:colLast="0"/>
      <w:bookmarkEnd w:id="1"/>
      <w:r>
        <w:t xml:space="preserve">2. Main Body </w:t>
      </w:r>
    </w:p>
    <w:p w14:paraId="29FCFD23" w14:textId="77777777" w:rsidR="00A22536" w:rsidRDefault="00E12291">
      <w:pPr>
        <w:pStyle w:val="Heading2"/>
      </w:pPr>
      <w:bookmarkStart w:id="2" w:name="_skh4v3dclpee" w:colFirst="0" w:colLast="0"/>
      <w:bookmarkEnd w:id="2"/>
      <w:r>
        <w:t xml:space="preserve">2.1 Question 1: Technology &amp; Labour Markets </w:t>
      </w:r>
    </w:p>
    <w:p w14:paraId="6987FB7C" w14:textId="77777777" w:rsidR="00A22536" w:rsidRDefault="00E12291">
      <w:pPr>
        <w:pStyle w:val="Heading3"/>
      </w:pPr>
      <w:bookmarkStart w:id="3" w:name="_h44dyi357g4a" w:colFirst="0" w:colLast="0"/>
      <w:bookmarkEnd w:id="3"/>
      <w:r>
        <w:t>2.1.1 The Transforming of Labour Markets</w:t>
      </w:r>
    </w:p>
    <w:p w14:paraId="20C7A0BC" w14:textId="77777777" w:rsidR="00A22536" w:rsidRDefault="00E12291">
      <w:pPr>
        <w:rPr>
          <w:b/>
          <w:bCs/>
          <w:u w:val="single"/>
        </w:rPr>
      </w:pPr>
      <w:r>
        <w:rPr>
          <w:b/>
          <w:bCs/>
          <w:u w:val="single"/>
        </w:rPr>
        <w:t>Automation and AI:</w:t>
      </w:r>
    </w:p>
    <w:p w14:paraId="256E1A39" w14:textId="77777777" w:rsidR="00A22536" w:rsidRDefault="00E12291">
      <w:r>
        <w:t xml:space="preserve">In the changing landscape of the labour market, technological processes has significantly led to the digitalisation of economics and created a shift from industrial-based employment to service-oriented and knowledge-based work. The rise of AI and automation is transforming traditional employment roles. Technological advancement through the adoption of frontier technologies and increased access to digital facilities are expected to drive job growth in more than half of the companies, and offset by job displacement in more than one-fifth of the companies (World Economic Forum, 2023).  Organisation estimated that 34% of business tasks are performed by machines and rthe emaining 65% performed by humans. This represents that almost 47% of businesses would be automated within 5 years (World Economic Forum, 2023). However, this transformation is not solely destructive; it also stimulates job evolution and creation. Higher-than-average churn in transportation and media, entertainment and sports industries. This reflects an 83 million decline in jobs, which corresponds </w:t>
      </w:r>
      <w:r>
        <w:lastRenderedPageBreak/>
        <w:t xml:space="preserve">net decrease of 14 million jobs, and 2% decrease in current employment (World Economic Forum, 2023). </w:t>
      </w:r>
    </w:p>
    <w:p w14:paraId="0BF0D2F4" w14:textId="77777777" w:rsidR="00A22536" w:rsidRDefault="00E12291">
      <w:pPr>
        <w:rPr>
          <w:b/>
          <w:bCs/>
          <w:u w:val="single"/>
        </w:rPr>
      </w:pPr>
      <w:r>
        <w:rPr>
          <w:b/>
          <w:bCs/>
          <w:u w:val="single"/>
        </w:rPr>
        <w:t>The Gig Economy and  Digital Platforms:</w:t>
      </w:r>
    </w:p>
    <w:p w14:paraId="30D990BD" w14:textId="77777777" w:rsidR="00A22536" w:rsidRDefault="00E12291">
      <w:pPr>
        <w:rPr>
          <w:b/>
          <w:bCs/>
          <w:u w:val="single"/>
        </w:rPr>
      </w:pPr>
      <w:r>
        <w:t xml:space="preserve">Employment or labour markets refers to the demand and supply dynamics that govern job opportunities, workforce availability, wages and recruitment strategies (Brewster et al. 2016). For example, in the UK, employment is regulated through labour laws, such as Minimum Wage laws and employment rights (ILO, 2021). On the other hand, in the US, market-driven forces play a crucial role in identifying employment trends. A significant implication of the gig economy is the erosion of job security. For example, companies like Deliveroo and Uber faced legal disputes in the EU and UK regarding whether drivers would be classified as independent contractors or employees. In 2021, UK Supreme Court dismissed appeal of Uber against the landmark employment tribunal ruling, signifying that its drivers should be classified as workers with access to paid holidays and minimum wages (Butler, 2021). On the other hand, the rise of digital labour and the gig economy has disrupted traditional employment structures. Growth of digital labour platforms, for example, Uber has introduced digital tasks which pilot selecting drivers and couriers across US. This helps Uber to make money by conducting digital tasks directly through Driver app (Uber, 2025). </w:t>
      </w:r>
    </w:p>
    <w:p w14:paraId="2592820C" w14:textId="77777777" w:rsidR="00A22536" w:rsidRDefault="00E12291">
      <w:r>
        <w:rPr>
          <w:b/>
          <w:bCs/>
          <w:u w:val="single"/>
        </w:rPr>
        <w:t xml:space="preserve">Skills Churn: </w:t>
      </w:r>
      <w:r>
        <w:t xml:space="preserve">The concept of skill churn highlights the shifting balance between transferable human capabilities and job-specific technical skills. Long-term impact of generative AI results on the ongoing disruption of skills. Around 39% of core skills of workers are anticipated to change by 2030 (World Economic Forum, 2025). </w:t>
      </w:r>
    </w:p>
    <w:p w14:paraId="0093C29B" w14:textId="77777777" w:rsidR="00A22536" w:rsidRDefault="00E12291">
      <w:pPr>
        <w:jc w:val="center"/>
      </w:pPr>
      <w:r>
        <w:rPr>
          <w:noProof/>
          <w:lang w:val="en-IN"/>
        </w:rPr>
        <w:lastRenderedPageBreak/>
        <w:drawing>
          <wp:inline distT="114300" distB="114300" distL="114300" distR="114300" wp14:anchorId="0972851E" wp14:editId="096988B3">
            <wp:extent cx="5731200" cy="2857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857500"/>
                    </a:xfrm>
                    <a:prstGeom prst="rect">
                      <a:avLst/>
                    </a:prstGeom>
                    <a:ln w="12700">
                      <a:solidFill>
                        <a:srgbClr val="000000"/>
                      </a:solidFill>
                      <a:prstDash val="solid"/>
                    </a:ln>
                  </pic:spPr>
                </pic:pic>
              </a:graphicData>
            </a:graphic>
          </wp:inline>
        </w:drawing>
      </w:r>
    </w:p>
    <w:p w14:paraId="3F9D6949" w14:textId="77777777" w:rsidR="00A22536" w:rsidRDefault="00E12291">
      <w:pPr>
        <w:jc w:val="center"/>
        <w:rPr>
          <w:b/>
          <w:bCs/>
        </w:rPr>
      </w:pPr>
      <w:r>
        <w:rPr>
          <w:b/>
          <w:bCs/>
        </w:rPr>
        <w:t>Figure 1: Disruption in skills</w:t>
      </w:r>
    </w:p>
    <w:p w14:paraId="14DCD91C" w14:textId="77777777" w:rsidR="00A22536" w:rsidRDefault="00E12291">
      <w:pPr>
        <w:jc w:val="center"/>
      </w:pPr>
      <w:r>
        <w:t>(Source: World Economic Forum, 2025)</w:t>
      </w:r>
    </w:p>
    <w:p w14:paraId="7781BFF7" w14:textId="77777777" w:rsidR="00A22536" w:rsidRDefault="00E12291">
      <w:r>
        <w:t xml:space="preserve">Moreover, the rise of Industry 4.0 has intensified the demand for STEM competencies such as Science, Technology, Engineering, and Mathematics. For instance, organisations like Microsoft have launched a global skill initiative which has focused on bringing digital skills to around 20 to 25 million people by the end of the year (Smith, 2020). Hence, labour market now rewards adaptability and cross-disciplinary expertise more than static qualifications.  </w:t>
      </w:r>
    </w:p>
    <w:p w14:paraId="47AE5ACB" w14:textId="77777777" w:rsidR="00A22536" w:rsidRDefault="00E12291">
      <w:pPr>
        <w:pStyle w:val="Heading3"/>
      </w:pPr>
      <w:bookmarkStart w:id="4" w:name="_y7yf7i2stk74" w:colFirst="0" w:colLast="0"/>
      <w:bookmarkEnd w:id="4"/>
      <w:r>
        <w:t>2.1.2 Implications for HRM/IHRM Strategies</w:t>
      </w:r>
    </w:p>
    <w:p w14:paraId="06DE0587" w14:textId="77777777" w:rsidR="00A22536" w:rsidRDefault="00E12291">
      <w:r>
        <w:t xml:space="preserve">In terms of talent acquisition process use of digital analytics and AI has been widely used for screening, shortlisting and candidate sourcing. For instance, IBM implement AI in talent acquisitions, which refers to the use of hiring and sourcing of new employees. Additionally, 88% of respondents stated that AI has enhanced their jobs, whereas it is significantly encountered in job search process (IBM, 2024). Further, the declining half-life of skills has transformed Learning and Development (L&amp;D) into a strategic priority. Modern approaches, such as digital badges, allow employees to enhance new skills. For example, LinkedIn Learning deliver career development and personalised skills through real-time data. Strategically, HRM embed learning into organisational culture and ensures job security. </w:t>
      </w:r>
    </w:p>
    <w:p w14:paraId="0E86AF1D" w14:textId="77777777" w:rsidR="00A22536" w:rsidRDefault="00E12291">
      <w:r>
        <w:lastRenderedPageBreak/>
        <w:t xml:space="preserve">Technological shifts have compelled HR leaders to engage in strategic workforce forecasting. In managing a diverse workforce, flexible HR policies ensure collaboration and innovation. For IHRM, the digital transformation within the labour market has expanded. IHRM professionals must navigate multiple employment laws and GDPR to ensure ethical treatment (CIPD, 2023). </w:t>
      </w:r>
    </w:p>
    <w:p w14:paraId="5FF89F4F" w14:textId="77777777" w:rsidR="00A22536" w:rsidRDefault="00E12291">
      <w:pPr>
        <w:pStyle w:val="Heading2"/>
      </w:pPr>
      <w:bookmarkStart w:id="5" w:name="_rylzeo9e3c8g" w:colFirst="0" w:colLast="0"/>
      <w:bookmarkEnd w:id="5"/>
      <w:r>
        <w:t xml:space="preserve">2.2 Question 2: Demographic &amp; Geopolitical Factors </w:t>
      </w:r>
    </w:p>
    <w:p w14:paraId="6004873E" w14:textId="77777777" w:rsidR="00A22536" w:rsidRDefault="00E12291">
      <w:pPr>
        <w:rPr>
          <w:b/>
          <w:bCs/>
        </w:rPr>
      </w:pPr>
      <w:r>
        <w:rPr>
          <w:b/>
          <w:bCs/>
        </w:rPr>
        <w:t>Major Demographic Factors:</w:t>
      </w:r>
    </w:p>
    <w:p w14:paraId="28C544CB" w14:textId="77777777" w:rsidR="00A22536" w:rsidRDefault="00E12291">
      <w:pPr>
        <w:spacing w:line="278" w:lineRule="auto"/>
        <w:jc w:val="left"/>
        <w:rPr>
          <w:b/>
          <w:bCs/>
          <w:u w:val="single"/>
        </w:rPr>
      </w:pPr>
      <w:r>
        <w:rPr>
          <w:b/>
          <w:bCs/>
          <w:u w:val="single"/>
        </w:rPr>
        <w:t>Ageing Populations</w:t>
      </w:r>
    </w:p>
    <w:p w14:paraId="32ECEF79" w14:textId="77777777" w:rsidR="00A22536" w:rsidRDefault="00E12291">
      <w:r>
        <w:t xml:space="preserve">Global demographic and geopolitical changes are reshaping the expectations, availability of talents and composition across national and international labour markets. These macro-environmental forces include an ageing population, a most pressing demographic challenges for HRM in developed economies such as Germany, UK and Japan. Around 10 to 12 million Japanese people may disappear from the workforce of the country by 2040, whereas it is estimated to fall around 20% (Fleming, 2019). </w:t>
      </w:r>
    </w:p>
    <w:p w14:paraId="46ABB29F" w14:textId="77777777" w:rsidR="00A22536" w:rsidRDefault="00E12291">
      <w:pPr>
        <w:jc w:val="center"/>
      </w:pPr>
      <w:r>
        <w:rPr>
          <w:noProof/>
          <w:lang w:val="en-IN"/>
        </w:rPr>
        <w:drawing>
          <wp:inline distT="114300" distB="114300" distL="114300" distR="114300" wp14:anchorId="30ADE25E" wp14:editId="19D1F17D">
            <wp:extent cx="5734050" cy="3362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7349"/>
                    <a:stretch>
                      <a:fillRect/>
                    </a:stretch>
                  </pic:blipFill>
                  <pic:spPr>
                    <a:xfrm>
                      <a:off x="0" y="0"/>
                      <a:ext cx="5734050" cy="3362325"/>
                    </a:xfrm>
                    <a:prstGeom prst="rect">
                      <a:avLst/>
                    </a:prstGeom>
                    <a:ln/>
                  </pic:spPr>
                </pic:pic>
              </a:graphicData>
            </a:graphic>
          </wp:inline>
        </w:drawing>
      </w:r>
    </w:p>
    <w:p w14:paraId="43F06A68" w14:textId="77777777" w:rsidR="00A22536" w:rsidRDefault="00E12291">
      <w:pPr>
        <w:jc w:val="center"/>
        <w:rPr>
          <w:b/>
          <w:bCs/>
        </w:rPr>
      </w:pPr>
      <w:r>
        <w:rPr>
          <w:b/>
          <w:bCs/>
        </w:rPr>
        <w:t>Figure 2: Shrinking working-age population in Japan</w:t>
      </w:r>
    </w:p>
    <w:p w14:paraId="792F0027" w14:textId="77777777" w:rsidR="00A22536" w:rsidRDefault="00E12291">
      <w:pPr>
        <w:jc w:val="center"/>
      </w:pPr>
      <w:r>
        <w:t>(Source: Fleming, 2019)</w:t>
      </w:r>
    </w:p>
    <w:p w14:paraId="1B25D959" w14:textId="77777777" w:rsidR="00A22536" w:rsidRDefault="00E12291">
      <w:r>
        <w:lastRenderedPageBreak/>
        <w:t xml:space="preserve">This demographic imbalance leads to labour shortages and increased healthcare costs as older employees retire. Therefore, for an HR manager, challenges involve retaining experienced employees.  Consequently, organisations need to implement multi-generational workforce strategies. Flexibility within the workplace is suggested to promote employment among older workers. Older adults who combine paid work and caregiving utilise flexible work arrangements in comparison to older working adults  (Koreshi and Alpass, 2023). Additionally, knowledge transfer mechanisms are essential to prevent the erosion of organisational memory. For example, Toyota's “Spectrum’s Reverse Mentorship Program” offer reverse mentorship training to external companies that meet throughout and equally (Toyota, 2021). Hence, such strategies ensure tacit expertise for senior employees to support innovation and development. </w:t>
      </w:r>
    </w:p>
    <w:p w14:paraId="160FE481" w14:textId="77777777" w:rsidR="00A22536" w:rsidRDefault="00E12291">
      <w:pPr>
        <w:spacing w:line="278" w:lineRule="auto"/>
        <w:jc w:val="left"/>
        <w:rPr>
          <w:b/>
          <w:bCs/>
          <w:u w:val="single"/>
        </w:rPr>
      </w:pPr>
      <w:r>
        <w:rPr>
          <w:b/>
          <w:bCs/>
          <w:u w:val="single"/>
        </w:rPr>
        <w:t>Shifting Migration Trends and Growing Workforce Diversity:</w:t>
      </w:r>
    </w:p>
    <w:p w14:paraId="7ABDF30A" w14:textId="77777777" w:rsidR="00A22536" w:rsidRDefault="00E12291">
      <w:r>
        <w:t xml:space="preserve">Global migration patterns have become complex and influenced by political instability, economic disparities and immigration policies. For home countries, especially developing nations, the migration of skilled professionals results in brain drain. Conversely, receiving nations benefit from a “brain gain” and acquire global expertise to fill skill shortages, specifically in healthcare sectors and STEM. For instance, the point-based immigration system of the UK provides flexible arrangements for UK employers to recruit skilled professionals globally through several immigration routes (UK Government, 2020). Hence, HR professionals need to design inclusive onboarding to ensure compliance with international labour laws and maintain ethical recruitment practices. </w:t>
      </w:r>
    </w:p>
    <w:p w14:paraId="6421C017" w14:textId="77777777" w:rsidR="00A22536" w:rsidRDefault="00E12291">
      <w:r>
        <w:t xml:space="preserve">The increasing diversity of the global workforce encompassing gender, ethnicity, age, disability, and cultural background offers both opportunities and challenges for HRM. Diversity, Equity and Inclusion (DEI) has become a major priority for an organisation looking to create an equitable, diverse and inclusive work culture. DEI initiatives have a transformative impact on HR, whereas these ongoing efforts help HR to create diverse talent and improve organisational performance through effective inclusive practices. </w:t>
      </w:r>
    </w:p>
    <w:p w14:paraId="7DD31D20" w14:textId="77777777" w:rsidR="00A22536" w:rsidRDefault="00E12291">
      <w:r>
        <w:rPr>
          <w:b/>
          <w:bCs/>
        </w:rPr>
        <w:t>Major Geopolitical Drivers</w:t>
      </w:r>
      <w:r>
        <w:t>:</w:t>
      </w:r>
    </w:p>
    <w:p w14:paraId="27114E9C" w14:textId="77777777" w:rsidR="00A22536" w:rsidRDefault="00E12291">
      <w:r>
        <w:rPr>
          <w:b/>
          <w:bCs/>
          <w:u w:val="single"/>
        </w:rPr>
        <w:lastRenderedPageBreak/>
        <w:t xml:space="preserve">Trade Wars &amp; Protectionism: </w:t>
      </w:r>
      <w:r>
        <w:t xml:space="preserve">The resurgence of protectionist policies and trade wars has disrupted global supply chains. For instance, China-US trade tensions have shown a negative impact on consumers and producers of several countries. This resulted rise in US tariffs to 25% on $150 to 200 billion of Chinese imports annually (Cerutti et al. 2019). Hence, for HR designing flexible recruitment, ensure access to critical talent. </w:t>
      </w:r>
    </w:p>
    <w:p w14:paraId="5E01856C" w14:textId="77777777" w:rsidR="00A22536" w:rsidRDefault="00E12291">
      <w:r>
        <w:rPr>
          <w:b/>
          <w:bCs/>
          <w:u w:val="single"/>
        </w:rPr>
        <w:t xml:space="preserve">Political Instability &amp; Sanctions: </w:t>
      </w:r>
      <w:r>
        <w:t xml:space="preserve">Political instability, such as conflicts in the Middle East and Eastern Europe, along with economic sanctions against several countries, has posed severe human capital and operational challenges. Further, multinationals may face increased expatriate risk; therefore, the development of a risk management strategy for industry leaders would mitigate risks and manage challenges into competitive advantages (Forbes Councils, 2024). </w:t>
      </w:r>
    </w:p>
    <w:p w14:paraId="7B685666" w14:textId="77777777" w:rsidR="00A22536" w:rsidRDefault="00E12291">
      <w:r>
        <w:rPr>
          <w:b/>
          <w:bCs/>
          <w:u w:val="single"/>
        </w:rPr>
        <w:t xml:space="preserve"> Pandemics &amp; Global Health Crises: </w:t>
      </w:r>
      <w:r>
        <w:t xml:space="preserve">The COVID-19 pandemic demonstrated global health crisis can transform HRM practices. Thus, for IHRM and HRM, pandemic demand enhances health and safety protocols. For example, the digital transformation of Unilever is reducing complexities across the business and building capacity for growth. Unilever has made a 100% shift to cloud-based services, which help Unilever to be secure, resilient and connected (Unilever, 2025) </w:t>
      </w:r>
    </w:p>
    <w:p w14:paraId="6CC782E9" w14:textId="77777777" w:rsidR="00A22536" w:rsidRDefault="00E12291">
      <w:pPr>
        <w:spacing w:line="278" w:lineRule="auto"/>
        <w:jc w:val="left"/>
        <w:rPr>
          <w:b/>
          <w:bCs/>
          <w:i/>
          <w:iCs/>
        </w:rPr>
      </w:pPr>
      <w:r>
        <w:rPr>
          <w:b/>
          <w:bCs/>
          <w:i/>
          <w:iCs/>
        </w:rPr>
        <w:t>Challenges Facing HR Professionals:</w:t>
      </w:r>
    </w:p>
    <w:p w14:paraId="3CF6083A" w14:textId="77777777" w:rsidR="00A22536" w:rsidRDefault="00E12291">
      <w:r>
        <w:rPr>
          <w:b/>
          <w:bCs/>
          <w:u w:val="single"/>
        </w:rPr>
        <w:t xml:space="preserve">Talent Mobility: </w:t>
      </w:r>
      <w:r>
        <w:t xml:space="preserve">Navigating work permit regulations has become a challenge due to immigration restrictions and changing political climates. HRM and IHRM need to collaborate with legal experts to help maintain compliance and mitigate operational delays. </w:t>
      </w:r>
    </w:p>
    <w:p w14:paraId="45A65BFB" w14:textId="77777777" w:rsidR="00A22536" w:rsidRDefault="00E12291">
      <w:r>
        <w:rPr>
          <w:b/>
          <w:bCs/>
          <w:u w:val="single"/>
        </w:rPr>
        <w:t xml:space="preserve">Risk Management and Compliance: </w:t>
      </w:r>
      <w:r>
        <w:t xml:space="preserve">HR professionals are central to risk management strategies. However, global firms operating within labour laws across jurisdictions may face legal penalties. </w:t>
      </w:r>
    </w:p>
    <w:p w14:paraId="1A238DE5" w14:textId="77777777" w:rsidR="00A22536" w:rsidRDefault="00E12291">
      <w:r>
        <w:rPr>
          <w:b/>
          <w:bCs/>
          <w:u w:val="single"/>
        </w:rPr>
        <w:t xml:space="preserve">Cultural Integration: </w:t>
      </w:r>
      <w:r>
        <w:t>With dispersed, multicultural workforces, HR must focus on cultural integration and communication. Effective cultural coordination enhances collaboration and builds stronger global teams aligned with corporate goals.</w:t>
      </w:r>
    </w:p>
    <w:p w14:paraId="61073845" w14:textId="77777777" w:rsidR="00A22536" w:rsidRDefault="00E12291">
      <w:pPr>
        <w:pStyle w:val="Heading2"/>
      </w:pPr>
      <w:bookmarkStart w:id="6" w:name="_djzspb6uwqq1" w:colFirst="0" w:colLast="0"/>
      <w:bookmarkEnd w:id="6"/>
      <w:r>
        <w:t xml:space="preserve">2.3 Question 3: Skills Gaps &amp; Strategic HRM </w:t>
      </w:r>
    </w:p>
    <w:p w14:paraId="6D06A41A" w14:textId="77777777" w:rsidR="00A22536" w:rsidRDefault="00E12291">
      <w:pPr>
        <w:rPr>
          <w:b/>
          <w:bCs/>
          <w:u w:val="single"/>
        </w:rPr>
      </w:pPr>
      <w:r>
        <w:rPr>
          <w:b/>
          <w:bCs/>
          <w:u w:val="single"/>
        </w:rPr>
        <w:t>Grasping the Root Causes of Skills Deficits</w:t>
      </w:r>
    </w:p>
    <w:p w14:paraId="32D26F02" w14:textId="77777777" w:rsidR="00A22536" w:rsidRDefault="00E12291">
      <w:r>
        <w:lastRenderedPageBreak/>
        <w:t xml:space="preserve">Skill shortages have been a pressing challenge faced by international and national labour markets. Despite economic and technological progress, skill deficits persist. The rise of AI and digital transformation has created demand for new competencies where few workers are highly trained. Tee et al. (2024) opined that the inadequacy of the workforce and the change in skill demand have been seen due to the changing digital landscape. Further, changes in job requirements based on digital transformation have resulted in primary job loss. </w:t>
      </w:r>
    </w:p>
    <w:p w14:paraId="4DF9796A" w14:textId="77777777" w:rsidR="00A22536" w:rsidRDefault="00E12291">
      <w:pPr>
        <w:rPr>
          <w:b/>
          <w:bCs/>
          <w:u w:val="single"/>
        </w:rPr>
      </w:pPr>
      <w:r>
        <w:rPr>
          <w:b/>
          <w:bCs/>
          <w:u w:val="single"/>
        </w:rPr>
        <w:t xml:space="preserve">Strategic HRM “Build” Strategies and “Buy” Strategies </w:t>
      </w:r>
    </w:p>
    <w:p w14:paraId="76B3C19A" w14:textId="77777777" w:rsidR="00A22536" w:rsidRDefault="00E12291">
      <w:r>
        <w:t xml:space="preserve">In response, strategic HRM has increasingly focused on “build” strategies which emphasise talent acquisition and internal development. For instance, IBM has promoted the “SkillsBuild” program, which aims to provide free education and help adult learners, university, and faculty to develop valuable skills and access career goals. Around 1,000 courses are on IBM SkillsBuild, which includes 22 languages for online courses (IBM, 2025). </w:t>
      </w:r>
    </w:p>
    <w:p w14:paraId="691738F0" w14:textId="77777777" w:rsidR="00A22536" w:rsidRDefault="00E12291">
      <w:r>
        <w:t xml:space="preserve">When skill gaps are immediate and internal training is insufficient, organisations adopt “buy” strategies, recruiting externally to access specialised expertise. As per the statement of Cappelli (2008), the “Make vs. Buy” model strategically decides whether to develop talent in-house or acquire from the market. Modern recruitment relies on AI-driven talent analytics. In this context, around 90% of  Chief Human Resource Officers (CHROs) have begun integrating AI tools to enhance business practices (Ferrazzi, 2025). AI is evolving beyond a supporting role and is a driving force behind recruitment. </w:t>
      </w:r>
    </w:p>
    <w:p w14:paraId="3AF0431A" w14:textId="77777777" w:rsidR="00A22536" w:rsidRDefault="00E12291">
      <w:pPr>
        <w:rPr>
          <w:b/>
          <w:bCs/>
          <w:u w:val="single"/>
        </w:rPr>
      </w:pPr>
      <w:r>
        <w:rPr>
          <w:b/>
          <w:bCs/>
          <w:u w:val="single"/>
        </w:rPr>
        <w:t>Borrow and Bind Strategies</w:t>
      </w:r>
    </w:p>
    <w:p w14:paraId="2E4B1636" w14:textId="77777777" w:rsidR="00A22536" w:rsidRDefault="00E12291">
      <w:r>
        <w:t>In project-based skill shortages, firms are increasingly implementing borrowed talent by engaging contractors, freelancers and consultants. For instance, technology firms like KPMG offer opportunities to people who want to work independently. As a Freelancer at KPMG, an individual can be recognised as a trusted and valued part of the team (KPMG, 2025).</w:t>
      </w:r>
    </w:p>
    <w:p w14:paraId="119FE053" w14:textId="77777777" w:rsidR="00A22536" w:rsidRDefault="00E12291">
      <w:r>
        <w:t xml:space="preserve">On the other hand, HRM need to implement binding strategies such as mentorship programmes, job rotations and structured career paths to retain talent development. For example, the NHS in the  UK has promoted nurse attrition by providing </w:t>
      </w:r>
      <w:r>
        <w:lastRenderedPageBreak/>
        <w:t xml:space="preserve">professional development opportunities (NHS, 2025). Hence, this results in retention of existing staff and may ensure a well-functioning NHS. </w:t>
      </w:r>
    </w:p>
    <w:p w14:paraId="3D6D874D" w14:textId="77777777" w:rsidR="00A22536" w:rsidRDefault="00E12291">
      <w:pPr>
        <w:pStyle w:val="Heading2"/>
      </w:pPr>
      <w:bookmarkStart w:id="7" w:name="_kzoun7se4x81" w:colFirst="0" w:colLast="0"/>
      <w:bookmarkEnd w:id="7"/>
      <w:r>
        <w:t xml:space="preserve">2.4 Question 4: Reflective Report on Capabilities </w:t>
      </w:r>
    </w:p>
    <w:p w14:paraId="2DEC62D3" w14:textId="77777777" w:rsidR="00A22536" w:rsidRDefault="00E12291">
      <w:r>
        <w:t xml:space="preserve">In the changing business practices, a globally interconnected and technologically advanced business environment is essential for MBA graduates. Success in management and leadership depends on the ability to integrate digital literacy and global awareness. Reflecting on my experience throughout this MBA programme has enabled me to evaluate my development across technology, teamwork, leadership, self-directed learning and communication. Therefore, I have incorporated Gibbs’ reflective cycle to highlight my area of growth and achievement in developing employability skills. </w:t>
      </w:r>
    </w:p>
    <w:p w14:paraId="609807ED" w14:textId="77777777" w:rsidR="00A22536" w:rsidRDefault="00E12291">
      <w:r>
        <w:t xml:space="preserve">During the technology course, I have enhanced my technological competencies, especially using PowerPoint, Excel, Microsoft Teams and Learning Management System (LMS) for virtual collaboration. On the other hand, I have also implemented AI tools such as ChatGPT for idea generation and research support, which has helped me to enhance my analytical depth while writing assignments. However, I face difficulty on multiple online platforms. Therefore, I focused on a systematic approach in organising my coursework digitally. </w:t>
      </w:r>
    </w:p>
    <w:p w14:paraId="4374EFAE" w14:textId="77777777" w:rsidR="00A22536" w:rsidRDefault="00E12291">
      <w:r>
        <w:t xml:space="preserve">I found that effective communication would be a cornerstone of my MBA learning. Feedback from my group presentation has indicated that I have demonstrated clarity and confidence while explaining complex business concepts. Further, working with peers from diverse cultural backgrounds has efficiently helped me to improve my intercultural communication skills and empathy. </w:t>
      </w:r>
    </w:p>
    <w:p w14:paraId="781BC538" w14:textId="77777777" w:rsidR="00A22536" w:rsidRDefault="00E12291">
      <w:r>
        <w:t xml:space="preserve">On the other hand, throughout my group assignment, I have actively contributed to coordination, research and planning. I have learned to manage cultural differences and diverse opinions of team members constructively. This experience has effectively improved my conflict-resolution skills and taught me the value of emotional intelligence, which contributes to maintaining team harmony. </w:t>
      </w:r>
    </w:p>
    <w:p w14:paraId="5C69DB78" w14:textId="77777777" w:rsidR="00A22536" w:rsidRDefault="00E12291">
      <w:r>
        <w:t xml:space="preserve">Apart from teamwork, I exercised informal leadership by volunteering to handle challenging project parts. For example, in an individual assignment, I found that responsibility for final editing and data synthesis ensures quality as well as coherence. </w:t>
      </w:r>
      <w:r>
        <w:lastRenderedPageBreak/>
        <w:t xml:space="preserve">Further, I also supported my classmate facing difficulties with time management. I encourage them to prioritise their tasks and subdivide them based on their preferences.  </w:t>
      </w:r>
    </w:p>
    <w:p w14:paraId="64157A9C" w14:textId="77777777" w:rsidR="00A22536" w:rsidRDefault="00E12291">
      <w:r>
        <w:t>This module has strengthened my ability to manage time efficiently and take ownership of my personal and professional development. I have consistently focused on planning my study using digital planners and have explored academic journals related to HRM and IHRM.</w:t>
      </w:r>
    </w:p>
    <w:p w14:paraId="270DA1B8" w14:textId="77777777" w:rsidR="00A22536" w:rsidRDefault="00E12291">
      <w:r>
        <w:t xml:space="preserve">Leveraging strength, my self-directed learning has helped to adapt changing business landscape. I have expanded my area of knowledge associated with AI-based HR systems and HR analytics to stand out in the competitive job market </w:t>
      </w:r>
      <w:r>
        <w:rPr>
          <w:b/>
          <w:bCs/>
        </w:rPr>
        <w:t>[Refer to Appendix 1]</w:t>
      </w:r>
      <w:r>
        <w:t>.</w:t>
      </w:r>
    </w:p>
    <w:p w14:paraId="5101CAA9" w14:textId="77777777" w:rsidR="00A22536" w:rsidRDefault="00E12291">
      <w:r>
        <w:t xml:space="preserve">Apart from that, I have identified my weakness, which has limited my experience in managing multicultural teams. I focused on overcoming my weakness; therefore, I planned to volunteer to lead the next group project and seek feedback from peers and members.  </w:t>
      </w:r>
    </w:p>
    <w:p w14:paraId="4CC8A5C9" w14:textId="77777777" w:rsidR="00A22536" w:rsidRDefault="00E12291">
      <w:pPr>
        <w:pStyle w:val="Heading1"/>
      </w:pPr>
      <w:bookmarkStart w:id="8" w:name="_lf48du6pt7du" w:colFirst="0" w:colLast="0"/>
      <w:bookmarkEnd w:id="8"/>
      <w:r>
        <w:t>3. Conclusion</w:t>
      </w:r>
    </w:p>
    <w:p w14:paraId="488CFB8B" w14:textId="77777777" w:rsidR="00A22536" w:rsidRDefault="00E12291">
      <w:r>
        <w:t xml:space="preserve">Based on the above discussion, it has been concluded that the interplay between international and national labour markets demands data-driven and agile HR strategies. Demographic transformation, geopolitical volatility and technological disruption require HR leaders to balance automation with inclusivity, diversity and human capital development. Organisations integrating AI contribute to ensuring a continuous learning environment and embracing workforce diversity to achieve a sustainable competitive advantage. Based on personal development, the study has reinforced the effectiveness of digital proficiency and self-directed learning, which enable success in the business environment globally. </w:t>
      </w:r>
      <w:r>
        <w:br w:type="page"/>
      </w:r>
    </w:p>
    <w:p w14:paraId="639AD012" w14:textId="77777777" w:rsidR="00A22536" w:rsidRDefault="00E12291">
      <w:pPr>
        <w:pStyle w:val="Heading1"/>
      </w:pPr>
      <w:bookmarkStart w:id="9" w:name="_rndjc757lj4m" w:colFirst="0" w:colLast="0"/>
      <w:bookmarkEnd w:id="9"/>
      <w:r>
        <w:lastRenderedPageBreak/>
        <w:t>References</w:t>
      </w:r>
    </w:p>
    <w:p w14:paraId="452D34CE" w14:textId="77777777" w:rsidR="00A22536" w:rsidRDefault="00E12291">
      <w:pPr>
        <w:spacing w:before="240" w:after="240"/>
      </w:pPr>
      <w:r>
        <w:t xml:space="preserve">Brewster, C., Chung, C. and Sparrow, P. (2016). </w:t>
      </w:r>
      <w:r>
        <w:rPr>
          <w:i/>
          <w:iCs/>
        </w:rPr>
        <w:t>Globalizing Human Resource Management</w:t>
      </w:r>
      <w:r>
        <w:t>. London: Routledge [Accessed 9 Nov. 2025].</w:t>
      </w:r>
    </w:p>
    <w:p w14:paraId="724F9CBF" w14:textId="77777777" w:rsidR="00A22536" w:rsidRDefault="00E12291">
      <w:pPr>
        <w:spacing w:before="240" w:after="240"/>
      </w:pPr>
      <w:r>
        <w:t xml:space="preserve">Butler, S. (2021). </w:t>
      </w:r>
      <w:r>
        <w:rPr>
          <w:i/>
          <w:iCs/>
        </w:rPr>
        <w:t>Uber drivers entitled to workers’ rights, UK supreme court rules</w:t>
      </w:r>
      <w:r>
        <w:t>. [online] The Guardian. Available at:</w:t>
      </w:r>
      <w:hyperlink r:id="rId9">
        <w:r>
          <w:t xml:space="preserve"> https://www.theguardian.com/technology/2021/feb/19/uber-drivers-workers-uk-supreme-court-rules-rights</w:t>
        </w:r>
      </w:hyperlink>
      <w:r>
        <w:t xml:space="preserve"> [Accessed 11 Nov. 2025].</w:t>
      </w:r>
    </w:p>
    <w:p w14:paraId="733D4A63" w14:textId="77777777" w:rsidR="00A22536" w:rsidRDefault="00E12291">
      <w:pPr>
        <w:spacing w:before="240" w:after="240"/>
      </w:pPr>
      <w:r>
        <w:t xml:space="preserve">Cappelli, P. (2008). </w:t>
      </w:r>
      <w:r>
        <w:rPr>
          <w:i/>
          <w:iCs/>
        </w:rPr>
        <w:t>Talent on Demand</w:t>
      </w:r>
      <w:r>
        <w:t>. Harvard Business Review Press  [Accessed 9 Nov. 2025].</w:t>
      </w:r>
    </w:p>
    <w:p w14:paraId="115BB3AD" w14:textId="77777777" w:rsidR="00A22536" w:rsidRDefault="00E12291">
      <w:pPr>
        <w:spacing w:before="240" w:after="240"/>
      </w:pPr>
      <w:r>
        <w:t xml:space="preserve">Cerutti, E., Gopinath, G. and Mohommad, A. (2019). </w:t>
      </w:r>
      <w:r>
        <w:rPr>
          <w:i/>
          <w:iCs/>
        </w:rPr>
        <w:t>The Impact of US-China Trade Tensions</w:t>
      </w:r>
      <w:r>
        <w:t>. [online] International Monetary Fund. Available at:</w:t>
      </w:r>
      <w:hyperlink r:id="rId10">
        <w:r>
          <w:t xml:space="preserve"> https://www.imf.org/en/Blogs/Articles/2019/05/23/blog-the-impact-of-us-china-trade-tensions</w:t>
        </w:r>
      </w:hyperlink>
      <w:r>
        <w:t xml:space="preserve"> [Accessed 10 Nov. 2025].</w:t>
      </w:r>
    </w:p>
    <w:p w14:paraId="0608A322" w14:textId="77777777" w:rsidR="00A22536" w:rsidRDefault="00E12291">
      <w:pPr>
        <w:spacing w:before="240" w:after="240"/>
      </w:pPr>
      <w:r>
        <w:t xml:space="preserve">CIPD (2023). </w:t>
      </w:r>
      <w:r>
        <w:rPr>
          <w:i/>
          <w:iCs/>
        </w:rPr>
        <w:t xml:space="preserve"> Data Protection and GDPR in the Workplace </w:t>
      </w:r>
      <w:r>
        <w:t>. [online] CIPD. Available at:</w:t>
      </w:r>
      <w:hyperlink r:id="rId11">
        <w:r>
          <w:t xml:space="preserve"> https://www.cipd.org/uk/knowledge/factsheets/data-protection-factsheet/</w:t>
        </w:r>
      </w:hyperlink>
      <w:r>
        <w:t xml:space="preserve"> [Accessed 10 Nov. 2025].</w:t>
      </w:r>
    </w:p>
    <w:p w14:paraId="1466F412" w14:textId="77777777" w:rsidR="00A22536" w:rsidRDefault="00E12291">
      <w:pPr>
        <w:spacing w:before="240" w:after="240"/>
      </w:pPr>
      <w:r>
        <w:t xml:space="preserve">Ferrazzi, K. (2025). </w:t>
      </w:r>
      <w:r>
        <w:rPr>
          <w:i/>
          <w:iCs/>
        </w:rPr>
        <w:t>The AI Recruitment Takeover: Redefining Hiring In The Digital Age</w:t>
      </w:r>
      <w:r>
        <w:t>. [online] Forbes. Available at:</w:t>
      </w:r>
      <w:hyperlink r:id="rId12">
        <w:r>
          <w:t xml:space="preserve"> https://www.forbes.com/sites/keithferrazzi/2025/03/27/the-ai-recruitment-takeover-redefining-hiring-in-the-digital-age/</w:t>
        </w:r>
      </w:hyperlink>
      <w:r>
        <w:t xml:space="preserve"> [Accessed 8 Nov. 2025].</w:t>
      </w:r>
    </w:p>
    <w:p w14:paraId="4CAE0A2A" w14:textId="77777777" w:rsidR="00A22536" w:rsidRDefault="00E12291">
      <w:pPr>
        <w:spacing w:before="240" w:after="240"/>
      </w:pPr>
      <w:r>
        <w:t xml:space="preserve">Fleming, S. (2019). </w:t>
      </w:r>
      <w:r>
        <w:rPr>
          <w:i/>
          <w:iCs/>
        </w:rPr>
        <w:t>Japan’s Workforce Will Be 20% Smaller by 2040</w:t>
      </w:r>
      <w:r>
        <w:t>. [online] World Economic Forum. Available at:</w:t>
      </w:r>
      <w:hyperlink r:id="rId13">
        <w:r>
          <w:t xml:space="preserve"> https://www.weforum.org/stories/2019/02/japan-s-workforce-will-shrink-20-by-2040/</w:t>
        </w:r>
      </w:hyperlink>
      <w:r>
        <w:t xml:space="preserve"> [Accessed 10 Nov. 2025].</w:t>
      </w:r>
    </w:p>
    <w:p w14:paraId="4BC8CCDE" w14:textId="77777777" w:rsidR="00A22536" w:rsidRDefault="00E12291">
      <w:pPr>
        <w:spacing w:before="240" w:after="240"/>
      </w:pPr>
      <w:r>
        <w:t xml:space="preserve">Forbes Councils (2024). </w:t>
      </w:r>
      <w:r>
        <w:rPr>
          <w:i/>
          <w:iCs/>
        </w:rPr>
        <w:t>Risk Management Strategies for a Volatile Global Economy</w:t>
      </w:r>
      <w:r>
        <w:t>. [online] Forbes.com. Available at:</w:t>
      </w:r>
      <w:hyperlink r:id="rId14">
        <w:r>
          <w:t xml:space="preserve"> https://councils.forbes.com/blog/risk-management-strategies</w:t>
        </w:r>
      </w:hyperlink>
      <w:r>
        <w:t xml:space="preserve"> [Accessed 9 Nov. 2025].</w:t>
      </w:r>
    </w:p>
    <w:p w14:paraId="716831CB" w14:textId="77777777" w:rsidR="00A22536" w:rsidRDefault="00E12291">
      <w:pPr>
        <w:spacing w:before="240" w:after="240"/>
      </w:pPr>
      <w:r>
        <w:lastRenderedPageBreak/>
        <w:t xml:space="preserve">Gibbons, S. (2023). </w:t>
      </w:r>
      <w:r>
        <w:rPr>
          <w:i/>
          <w:iCs/>
        </w:rPr>
        <w:t>The Global Talent Pool Is Officially Open For Business</w:t>
      </w:r>
      <w:r>
        <w:t>. [online] Forbes. Available at:</w:t>
      </w:r>
      <w:hyperlink r:id="rId15">
        <w:r>
          <w:t xml:space="preserve"> https://www.forbes.com/sites/serenitygibbons/2023/03/07/the-global-talent-pool-is-officially-open-for-business/</w:t>
        </w:r>
      </w:hyperlink>
      <w:r>
        <w:t xml:space="preserve"> [Accessed 10 Nov. 2025].</w:t>
      </w:r>
    </w:p>
    <w:p w14:paraId="454B2E15" w14:textId="77777777" w:rsidR="00A22536" w:rsidRDefault="00E12291">
      <w:pPr>
        <w:spacing w:before="240" w:after="240"/>
      </w:pPr>
      <w:r>
        <w:t xml:space="preserve">IBM (2024). </w:t>
      </w:r>
      <w:r>
        <w:rPr>
          <w:i/>
          <w:iCs/>
        </w:rPr>
        <w:t>AI in Talent Acquisition | IBM</w:t>
      </w:r>
      <w:r>
        <w:t>. [online] Ibm.com. Available at:</w:t>
      </w:r>
      <w:hyperlink r:id="rId16">
        <w:r>
          <w:t xml:space="preserve"> https://www.ibm.com/think/topics/ai-talent-acquisition</w:t>
        </w:r>
      </w:hyperlink>
      <w:r>
        <w:t xml:space="preserve"> [Accessed 11 Nov. 2025].</w:t>
      </w:r>
    </w:p>
    <w:p w14:paraId="7033C6D9" w14:textId="77777777" w:rsidR="00A22536" w:rsidRDefault="00E12291">
      <w:pPr>
        <w:spacing w:before="240" w:after="240"/>
      </w:pPr>
      <w:r>
        <w:t xml:space="preserve">IBM (2025). </w:t>
      </w:r>
      <w:r>
        <w:rPr>
          <w:i/>
          <w:iCs/>
        </w:rPr>
        <w:t>About IBM SkillsBuild | Free Digital Learning</w:t>
      </w:r>
      <w:r>
        <w:t>. [online] skillsbuild.org. Available at:</w:t>
      </w:r>
      <w:hyperlink r:id="rId17">
        <w:r>
          <w:t xml:space="preserve"> https://skillsbuild.org/about</w:t>
        </w:r>
      </w:hyperlink>
      <w:r>
        <w:t xml:space="preserve"> [Accessed 11 Nov. 2025].</w:t>
      </w:r>
    </w:p>
    <w:p w14:paraId="0D607044" w14:textId="77777777" w:rsidR="00A22536" w:rsidRDefault="00E12291">
      <w:pPr>
        <w:spacing w:before="240" w:after="240"/>
      </w:pPr>
      <w:r>
        <w:t xml:space="preserve">ILO (2021). </w:t>
      </w:r>
      <w:r>
        <w:rPr>
          <w:i/>
          <w:iCs/>
        </w:rPr>
        <w:t>World Employment and Social Outlook</w:t>
      </w:r>
      <w:r>
        <w:t>. [online] Available at:</w:t>
      </w:r>
      <w:hyperlink r:id="rId18">
        <w:r>
          <w:t xml:space="preserve"> https://www.ilo.org/sites/default/files/wcmsp5/groups/public/@dgreports/@dcomm/@publ/documents/publication/wcms_795453.pdf</w:t>
        </w:r>
      </w:hyperlink>
      <w:r>
        <w:t xml:space="preserve"> [Accessed 11 Nov. 2025].</w:t>
      </w:r>
    </w:p>
    <w:p w14:paraId="47BF96E0" w14:textId="77777777" w:rsidR="00A22536" w:rsidRDefault="00E12291">
      <w:pPr>
        <w:spacing w:before="240" w:after="240"/>
      </w:pPr>
      <w:r>
        <w:t xml:space="preserve">Koreshi, S.Y. and Alpass, F. (2023). Understanding the use of Flexible Work Arrangements Among Older New Zealand Caregivers. </w:t>
      </w:r>
      <w:r>
        <w:rPr>
          <w:i/>
          <w:iCs/>
        </w:rPr>
        <w:t>Journal of Applied Gerontology</w:t>
      </w:r>
      <w:r>
        <w:t>, 42(5), p.073346482311521. doi:</w:t>
      </w:r>
      <w:hyperlink r:id="rId19">
        <w:r>
          <w:t>https://doi.org/10.1177/07334648231152153</w:t>
        </w:r>
      </w:hyperlink>
      <w:r>
        <w:t>.</w:t>
      </w:r>
    </w:p>
    <w:p w14:paraId="1C0BF5BB" w14:textId="77777777" w:rsidR="00A22536" w:rsidRDefault="00E12291">
      <w:pPr>
        <w:spacing w:before="240" w:after="240"/>
      </w:pPr>
      <w:r>
        <w:t xml:space="preserve">KPMG (2025). </w:t>
      </w:r>
      <w:r>
        <w:rPr>
          <w:i/>
          <w:iCs/>
        </w:rPr>
        <w:t>Freelancer</w:t>
      </w:r>
      <w:r>
        <w:t>. [online] KPMG. Available at:</w:t>
      </w:r>
      <w:hyperlink r:id="rId20">
        <w:r>
          <w:t xml:space="preserve"> https://kpmg.com/ch/en/careers/freelancer.html</w:t>
        </w:r>
      </w:hyperlink>
      <w:r>
        <w:t xml:space="preserve"> [Accessed 9 Nov. 2025].</w:t>
      </w:r>
    </w:p>
    <w:p w14:paraId="11DEBF0F" w14:textId="77777777" w:rsidR="00A22536" w:rsidRDefault="00E12291">
      <w:pPr>
        <w:spacing w:before="240" w:after="240"/>
      </w:pPr>
      <w:r>
        <w:t xml:space="preserve">NHS (2025). </w:t>
      </w:r>
      <w:r>
        <w:rPr>
          <w:i/>
          <w:iCs/>
        </w:rPr>
        <w:t>Evidence Brief: Nursing Attrition, Recruitment and Retention Contents</w:t>
      </w:r>
      <w:r>
        <w:t>. [online] Available at:</w:t>
      </w:r>
      <w:hyperlink r:id="rId21">
        <w:r>
          <w:t xml:space="preserve"> https://www.ewin.nhs.uk/sites/default/files/Nursing%20Attrition%2C%20Recruitment%20and%20Retention_Evidence%20Brief.pdf</w:t>
        </w:r>
      </w:hyperlink>
      <w:r>
        <w:t xml:space="preserve"> [Accessed 11 Nov. 2025].</w:t>
      </w:r>
    </w:p>
    <w:p w14:paraId="295457CD" w14:textId="77777777" w:rsidR="00A22536" w:rsidRDefault="00E12291">
      <w:pPr>
        <w:spacing w:before="240" w:after="240"/>
      </w:pPr>
      <w:r>
        <w:t xml:space="preserve">Singh, D. and Balu , L. (2023). </w:t>
      </w:r>
      <w:r>
        <w:rPr>
          <w:i/>
          <w:iCs/>
        </w:rPr>
        <w:t>Diversity, equity, and inclusion task of Human Resource Department Deepasha Singh 2 nd Year MBA</w:t>
      </w:r>
      <w:r>
        <w:t>. [online] Available at:</w:t>
      </w:r>
      <w:hyperlink r:id="rId22">
        <w:r>
          <w:t xml:space="preserve"> https://sdmimd.ac.in/hrconference2023/papers/IHR2312.pdf</w:t>
        </w:r>
      </w:hyperlink>
      <w:r>
        <w:t xml:space="preserve"> [Accessed 11 Nov. 2025].</w:t>
      </w:r>
    </w:p>
    <w:p w14:paraId="23B9138A" w14:textId="77777777" w:rsidR="00A22536" w:rsidRDefault="00E12291">
      <w:pPr>
        <w:spacing w:before="240" w:after="240"/>
      </w:pPr>
      <w:r>
        <w:t xml:space="preserve">Smith, B. (2020). </w:t>
      </w:r>
      <w:r>
        <w:rPr>
          <w:i/>
          <w:iCs/>
        </w:rPr>
        <w:t>Microsoft launches initiative to help 25 million people worldwide acquire the digital skills needed in a COVID-19 economy</w:t>
      </w:r>
      <w:r>
        <w:t>. [online] The Official Microsoft Blog. Available at:</w:t>
      </w:r>
      <w:hyperlink r:id="rId23">
        <w:r>
          <w:t xml:space="preserve"> https://blogs.microsoft.com/blog/2020/06/30/microsoft-launches-initiative-to-help-25-million-people-worldwide-acquire-the-digital-skills-needed-in-a-covid-19-economy/</w:t>
        </w:r>
      </w:hyperlink>
      <w:r>
        <w:t xml:space="preserve"> [Accessed 10 Nov. 2025].</w:t>
      </w:r>
    </w:p>
    <w:p w14:paraId="0E2F543A" w14:textId="77777777" w:rsidR="00A22536" w:rsidRDefault="00E12291">
      <w:pPr>
        <w:spacing w:before="240" w:after="240"/>
      </w:pPr>
      <w:r>
        <w:lastRenderedPageBreak/>
        <w:t xml:space="preserve">Tee, P.K., Wong, L.C., Dada, M., Song, B.L. and Ng, C.P. (2024). Demand for digital skills, skill gaps and graduate employability: Evidence from employers in Malaysia. </w:t>
      </w:r>
      <w:r>
        <w:rPr>
          <w:i/>
          <w:iCs/>
        </w:rPr>
        <w:t>F1000Research</w:t>
      </w:r>
      <w:r>
        <w:t>, 13, pp.389–389. doi:</w:t>
      </w:r>
      <w:hyperlink r:id="rId24">
        <w:r>
          <w:t>https://doi.org/10.12688/f1000research.148514.1</w:t>
        </w:r>
      </w:hyperlink>
      <w:r>
        <w:t xml:space="preserve">  [Accessed 9 Nov. 2025].</w:t>
      </w:r>
    </w:p>
    <w:p w14:paraId="48BEE64C" w14:textId="77777777" w:rsidR="00A22536" w:rsidRDefault="00E12291">
      <w:pPr>
        <w:spacing w:before="240" w:after="240"/>
      </w:pPr>
      <w:r>
        <w:t xml:space="preserve">Toyota (2021). </w:t>
      </w:r>
      <w:r>
        <w:rPr>
          <w:i/>
          <w:iCs/>
        </w:rPr>
        <w:t>Spectrum Reverse Mentorship</w:t>
      </w:r>
      <w:r>
        <w:t>. [online] Toyotaeffect.com. Available at:</w:t>
      </w:r>
      <w:hyperlink r:id="rId25">
        <w:r>
          <w:t xml:space="preserve"> https://www.toyotaeffect.com/stories-of-impact/spectrum-reverse-mentorship/</w:t>
        </w:r>
      </w:hyperlink>
      <w:r>
        <w:t xml:space="preserve"> [Accessed 9 Nov. 2025].</w:t>
      </w:r>
    </w:p>
    <w:p w14:paraId="5E95D869" w14:textId="77777777" w:rsidR="00A22536" w:rsidRDefault="00E12291">
      <w:pPr>
        <w:spacing w:before="240" w:after="240"/>
      </w:pPr>
      <w:r>
        <w:t xml:space="preserve">Uber (2025). </w:t>
      </w:r>
      <w:r>
        <w:rPr>
          <w:i/>
          <w:iCs/>
        </w:rPr>
        <w:t>Introducing digital tasks: a new way to earn</w:t>
      </w:r>
      <w:r>
        <w:t>. [online] Available at:</w:t>
      </w:r>
      <w:hyperlink r:id="rId26">
        <w:r>
          <w:t xml:space="preserve"> https://www.uber.com/blog/digital-tasks/</w:t>
        </w:r>
      </w:hyperlink>
      <w:r>
        <w:t xml:space="preserve"> [Accessed 11 Nov. 2025].</w:t>
      </w:r>
    </w:p>
    <w:p w14:paraId="359C1614" w14:textId="77777777" w:rsidR="00A22536" w:rsidRDefault="00E12291">
      <w:pPr>
        <w:spacing w:before="240" w:after="240"/>
      </w:pPr>
      <w:r>
        <w:t xml:space="preserve">UK Government (2020). </w:t>
      </w:r>
      <w:r>
        <w:rPr>
          <w:i/>
          <w:iCs/>
        </w:rPr>
        <w:t>The UK’s Points-Based Immigration System Further Details</w:t>
      </w:r>
      <w:r>
        <w:t>. [online] Available at:</w:t>
      </w:r>
      <w:hyperlink r:id="rId27">
        <w:r>
          <w:t xml:space="preserve"> https://assets.publishing.service.gov.uk/media/5f08a103e90e0712c5f221e0/UK_Points-Based_System_Further_Details_Web_Accessible.pdf</w:t>
        </w:r>
      </w:hyperlink>
      <w:r>
        <w:t xml:space="preserve"> [Accessed 11 Nov. 2025].</w:t>
      </w:r>
    </w:p>
    <w:p w14:paraId="4007C040" w14:textId="77777777" w:rsidR="00A22536" w:rsidRDefault="00E12291">
      <w:pPr>
        <w:spacing w:before="240" w:after="240"/>
      </w:pPr>
      <w:r>
        <w:t xml:space="preserve">Unilever (2025). </w:t>
      </w:r>
      <w:r>
        <w:rPr>
          <w:i/>
          <w:iCs/>
        </w:rPr>
        <w:t>How Unilever’s digital transformation is driving operational excellence</w:t>
      </w:r>
      <w:r>
        <w:t>. [online] Unilever. Available at:</w:t>
      </w:r>
      <w:hyperlink r:id="rId28">
        <w:r>
          <w:t xml:space="preserve"> https://www.unilever.com/news/news-search/2025/how-unilevers-digital-transformation-is-driving-operational-excellence/</w:t>
        </w:r>
      </w:hyperlink>
      <w:r>
        <w:t xml:space="preserve"> [Accessed 9 Nov. 2025].</w:t>
      </w:r>
    </w:p>
    <w:p w14:paraId="04673FEE" w14:textId="77777777" w:rsidR="00A22536" w:rsidRDefault="00E12291">
      <w:pPr>
        <w:spacing w:before="240" w:after="240"/>
      </w:pPr>
      <w:r>
        <w:t xml:space="preserve">World Economic Forum (2023). </w:t>
      </w:r>
      <w:r>
        <w:rPr>
          <w:i/>
          <w:iCs/>
        </w:rPr>
        <w:t>The Future of Jobs Report 2023</w:t>
      </w:r>
      <w:r>
        <w:t>. [online] World Economic Forum. Available at:</w:t>
      </w:r>
      <w:hyperlink r:id="rId29">
        <w:r>
          <w:t xml:space="preserve"> https://www.weforum.org/publications/the-future-of-jobs-report-2023/digest/</w:t>
        </w:r>
      </w:hyperlink>
      <w:r>
        <w:t xml:space="preserve"> [Accessed 10 Nov. 2025].</w:t>
      </w:r>
    </w:p>
    <w:p w14:paraId="080C376D" w14:textId="77777777" w:rsidR="00A22536" w:rsidRDefault="00E12291">
      <w:pPr>
        <w:spacing w:before="240" w:after="240"/>
      </w:pPr>
      <w:r>
        <w:t xml:space="preserve">World Economic Forum (2025). </w:t>
      </w:r>
      <w:r>
        <w:rPr>
          <w:i/>
          <w:iCs/>
        </w:rPr>
        <w:t>The Future of Jobs Report 2025</w:t>
      </w:r>
      <w:r>
        <w:t>. [online] World Economic Forum. Available at:</w:t>
      </w:r>
      <w:hyperlink r:id="rId30">
        <w:r>
          <w:t xml:space="preserve"> https://www.weforum.org/publications/the-future-of-jobs-report-2025/in-full/3-skills-outlook/</w:t>
        </w:r>
      </w:hyperlink>
      <w:r>
        <w:t xml:space="preserve"> [Accessed 11 Nov. 2025].</w:t>
      </w:r>
    </w:p>
    <w:p w14:paraId="57B6F948" w14:textId="77777777" w:rsidR="00A22536" w:rsidRDefault="00E12291">
      <w:pPr>
        <w:pStyle w:val="Heading1"/>
      </w:pPr>
      <w:bookmarkStart w:id="10" w:name="_rq1h6kvvdc3n" w:colFirst="0" w:colLast="0"/>
      <w:bookmarkEnd w:id="10"/>
      <w:r>
        <w:br w:type="page"/>
      </w:r>
    </w:p>
    <w:p w14:paraId="21863133" w14:textId="77777777" w:rsidR="00A22536" w:rsidRDefault="00A22536"/>
    <w:p w14:paraId="341A368A" w14:textId="77777777" w:rsidR="00A22536" w:rsidRDefault="00E12291">
      <w:pPr>
        <w:pStyle w:val="Heading1"/>
      </w:pPr>
      <w:bookmarkStart w:id="11" w:name="_ojq30yjwjt4p" w:colFirst="0" w:colLast="0"/>
      <w:bookmarkEnd w:id="11"/>
      <w:r>
        <w:t xml:space="preserve">Appendices </w:t>
      </w:r>
    </w:p>
    <w:p w14:paraId="6CAB0AC5" w14:textId="77777777" w:rsidR="00A22536" w:rsidRDefault="00E12291">
      <w:pPr>
        <w:pStyle w:val="Heading2"/>
      </w:pPr>
      <w:bookmarkStart w:id="12" w:name="_l3bldhvy32rw" w:colFirst="0" w:colLast="0"/>
      <w:bookmarkEnd w:id="12"/>
      <w:r>
        <w:t>Appendix 1: SWOT Analysis</w:t>
      </w:r>
    </w:p>
    <w:tbl>
      <w:tblPr>
        <w:tblStyle w:val="a"/>
        <w:tblW w:w="9025" w:type="dxa"/>
        <w:tblInd w:w="-1" w:type="dxa"/>
        <w:tblBorders>
          <w:top w:val="nil"/>
          <w:left w:val="nil"/>
          <w:bottom w:val="nil"/>
          <w:right w:val="nil"/>
          <w:insideH w:val="nil"/>
          <w:insideV w:val="nil"/>
        </w:tblBorders>
        <w:tblLayout w:type="fixed"/>
        <w:tblLook w:val="0600" w:firstRow="0" w:lastRow="0" w:firstColumn="0" w:lastColumn="0" w:noHBand="1" w:noVBand="1"/>
      </w:tblPr>
      <w:tblGrid>
        <w:gridCol w:w="2190"/>
        <w:gridCol w:w="2487"/>
        <w:gridCol w:w="2103"/>
        <w:gridCol w:w="2245"/>
      </w:tblGrid>
      <w:tr w:rsidR="00A22536" w14:paraId="7880D3BA" w14:textId="77777777">
        <w:trPr>
          <w:trHeight w:val="515"/>
        </w:trPr>
        <w:tc>
          <w:tcPr>
            <w:tcW w:w="2189"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78C92212" w14:textId="77777777" w:rsidR="00A22536" w:rsidRDefault="00E12291">
            <w:pPr>
              <w:jc w:val="center"/>
            </w:pPr>
            <w:r>
              <w:rPr>
                <w:b/>
                <w:bCs/>
              </w:rPr>
              <w:t>Strengths</w:t>
            </w:r>
          </w:p>
        </w:tc>
        <w:tc>
          <w:tcPr>
            <w:tcW w:w="2486"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572D0C24" w14:textId="77777777" w:rsidR="00A22536" w:rsidRDefault="00E12291">
            <w:pPr>
              <w:jc w:val="center"/>
            </w:pPr>
            <w:r>
              <w:rPr>
                <w:b/>
                <w:bCs/>
              </w:rPr>
              <w:t>Weaknesses</w:t>
            </w:r>
          </w:p>
        </w:tc>
        <w:tc>
          <w:tcPr>
            <w:tcW w:w="2103"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7637A7CD" w14:textId="77777777" w:rsidR="00A22536" w:rsidRDefault="00E12291">
            <w:pPr>
              <w:jc w:val="center"/>
            </w:pPr>
            <w:r>
              <w:rPr>
                <w:b/>
                <w:bCs/>
              </w:rPr>
              <w:t>Opportunities</w:t>
            </w:r>
          </w:p>
        </w:tc>
        <w:tc>
          <w:tcPr>
            <w:tcW w:w="2245"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502D64CC" w14:textId="77777777" w:rsidR="00A22536" w:rsidRDefault="00E12291">
            <w:pPr>
              <w:jc w:val="center"/>
            </w:pPr>
            <w:r>
              <w:rPr>
                <w:b/>
                <w:bCs/>
              </w:rPr>
              <w:t>Threats</w:t>
            </w:r>
          </w:p>
        </w:tc>
      </w:tr>
      <w:tr w:rsidR="00A22536" w14:paraId="5574F8DC" w14:textId="77777777">
        <w:trPr>
          <w:trHeight w:val="1070"/>
        </w:trPr>
        <w:tc>
          <w:tcPr>
            <w:tcW w:w="2189"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01477CD0" w14:textId="77777777" w:rsidR="00A22536" w:rsidRDefault="00E12291">
            <w:pPr>
              <w:rPr>
                <w:b/>
                <w:bCs/>
                <w:i/>
                <w:iCs/>
              </w:rPr>
            </w:pPr>
            <w:r>
              <w:rPr>
                <w:b/>
                <w:bCs/>
                <w:i/>
                <w:iCs/>
              </w:rPr>
              <w:t>Strong communication and writing skills</w:t>
            </w:r>
          </w:p>
        </w:tc>
        <w:tc>
          <w:tcPr>
            <w:tcW w:w="24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8BDCF4" w14:textId="77777777" w:rsidR="00A22536" w:rsidRDefault="00E12291">
            <w:r>
              <w:t>Limited experience managing multicultural teams</w:t>
            </w:r>
          </w:p>
        </w:tc>
        <w:tc>
          <w:tcPr>
            <w:tcW w:w="2103"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46A8489E" w14:textId="77777777" w:rsidR="00A22536" w:rsidRDefault="00E12291">
            <w:r>
              <w:t>Expanding HR analytics and AI fields</w:t>
            </w:r>
          </w:p>
        </w:tc>
        <w:tc>
          <w:tcPr>
            <w:tcW w:w="2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F6C1C8" w14:textId="77777777" w:rsidR="00A22536" w:rsidRDefault="00E12291">
            <w:r>
              <w:t>Rapid technological change may outpace learning</w:t>
            </w:r>
          </w:p>
        </w:tc>
      </w:tr>
      <w:tr w:rsidR="00A22536" w14:paraId="3BBF9CE2" w14:textId="77777777">
        <w:trPr>
          <w:trHeight w:val="1070"/>
        </w:trPr>
        <w:tc>
          <w:tcPr>
            <w:tcW w:w="2189"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037BFCA6" w14:textId="77777777" w:rsidR="00A22536" w:rsidRDefault="00E12291">
            <w:pPr>
              <w:rPr>
                <w:b/>
                <w:bCs/>
                <w:i/>
                <w:iCs/>
              </w:rPr>
            </w:pPr>
            <w:r>
              <w:rPr>
                <w:b/>
                <w:bCs/>
                <w:i/>
                <w:iCs/>
              </w:rPr>
              <w:t>High adaptability to digital tools</w:t>
            </w:r>
          </w:p>
        </w:tc>
        <w:tc>
          <w:tcPr>
            <w:tcW w:w="24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980EEC" w14:textId="77777777" w:rsidR="00A22536" w:rsidRDefault="00E12291">
            <w:r>
              <w:t>Occasional overcommitment to team tasks</w:t>
            </w:r>
          </w:p>
        </w:tc>
        <w:tc>
          <w:tcPr>
            <w:tcW w:w="2103"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52814A6D" w14:textId="77777777" w:rsidR="00A22536" w:rsidRDefault="00E12291">
            <w:r>
              <w:t>Online global learning and networking</w:t>
            </w:r>
          </w:p>
        </w:tc>
        <w:tc>
          <w:tcPr>
            <w:tcW w:w="2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111782" w14:textId="77777777" w:rsidR="00A22536" w:rsidRDefault="00E12291">
            <w:r>
              <w:t>Competitive job market for HR professionals</w:t>
            </w:r>
          </w:p>
        </w:tc>
      </w:tr>
    </w:tbl>
    <w:p w14:paraId="40F26EF5" w14:textId="77777777" w:rsidR="00A22536" w:rsidRDefault="00E12291">
      <w:pPr>
        <w:jc w:val="center"/>
      </w:pPr>
      <w:r>
        <w:t>Table 1: SWOT Analysis</w:t>
      </w:r>
    </w:p>
    <w:p w14:paraId="2F977337" w14:textId="77777777" w:rsidR="00A22536" w:rsidRDefault="00E12291">
      <w:pPr>
        <w:jc w:val="center"/>
      </w:pPr>
      <w:r>
        <w:t>(Source: Self-Developed)</w:t>
      </w:r>
    </w:p>
    <w:p w14:paraId="602BC006" w14:textId="77777777" w:rsidR="00A22536" w:rsidRDefault="00A22536">
      <w:pPr>
        <w:rPr>
          <w:b/>
          <w:bCs/>
          <w:sz w:val="32"/>
          <w:szCs w:val="32"/>
        </w:rPr>
      </w:pPr>
    </w:p>
    <w:sectPr w:rsidR="00A22536" w:rsidSect="00BA52B5">
      <w:footerReference w:type="default" r:id="rId31"/>
      <w:footerReference w:type="first" r:id="rId32"/>
      <w:pgSz w:w="11909" w:h="16834"/>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1A791" w14:textId="77777777" w:rsidR="00DE1D9A" w:rsidRDefault="00DE1D9A">
      <w:pPr>
        <w:spacing w:after="0" w:line="240" w:lineRule="auto"/>
      </w:pPr>
      <w:r>
        <w:separator/>
      </w:r>
    </w:p>
  </w:endnote>
  <w:endnote w:type="continuationSeparator" w:id="0">
    <w:p w14:paraId="48A9C930" w14:textId="77777777" w:rsidR="00DE1D9A" w:rsidRDefault="00DE1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FD62AF-355E-4985-AAC5-F6718134D7F3}"/>
  </w:font>
  <w:font w:name="Cambria">
    <w:panose1 w:val="02040503050406030204"/>
    <w:charset w:val="00"/>
    <w:family w:val="roman"/>
    <w:pitch w:val="variable"/>
    <w:sig w:usb0="E00006FF" w:usb1="420024FF" w:usb2="02000000" w:usb3="00000000" w:csb0="0000019F" w:csb1="00000000"/>
    <w:embedRegular r:id="rId2" w:fontKey="{321864EA-8ABA-43A4-B255-B1163166C8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F235B" w14:textId="77777777" w:rsidR="00A22536" w:rsidRDefault="00E12291">
    <w:pPr>
      <w:jc w:val="right"/>
    </w:pPr>
    <w:r>
      <w:fldChar w:fldCharType="begin"/>
    </w:r>
    <w:r>
      <w:instrText>PAGE</w:instrText>
    </w:r>
    <w:r>
      <w:fldChar w:fldCharType="separate"/>
    </w:r>
    <w:r w:rsidR="008B28CE">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C9343" w14:textId="77777777" w:rsidR="00A22536" w:rsidRDefault="00A225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81D73" w14:textId="77777777" w:rsidR="00DE1D9A" w:rsidRDefault="00DE1D9A">
      <w:pPr>
        <w:spacing w:after="0" w:line="240" w:lineRule="auto"/>
      </w:pPr>
      <w:r>
        <w:separator/>
      </w:r>
    </w:p>
  </w:footnote>
  <w:footnote w:type="continuationSeparator" w:id="0">
    <w:p w14:paraId="66064ED3" w14:textId="77777777" w:rsidR="00DE1D9A" w:rsidRDefault="00DE1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536"/>
    <w:rsid w:val="002A33F9"/>
    <w:rsid w:val="00630A0E"/>
    <w:rsid w:val="007B1BF9"/>
    <w:rsid w:val="008B28CE"/>
    <w:rsid w:val="0093339C"/>
    <w:rsid w:val="00A22536"/>
    <w:rsid w:val="00A935F4"/>
    <w:rsid w:val="00BA52B5"/>
    <w:rsid w:val="00CF340F"/>
    <w:rsid w:val="00D55105"/>
    <w:rsid w:val="00DB7F5F"/>
    <w:rsid w:val="00DE1D9A"/>
    <w:rsid w:val="00E122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1C24"/>
  <w15:docId w15:val="{F28B181A-27E0-407F-81A0-C85B36C90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weforum.org/stories/2019/02/japan-s-workforce-will-shrink-20-by-2040/" TargetMode="External"/><Relationship Id="rId18" Type="http://schemas.openxmlformats.org/officeDocument/2006/relationships/hyperlink" Target="https://www.ilo.org/sites/default/files/wcmsp5/groups/public/@dgreports/@dcomm/@publ/documents/publication/wcms_795453.pdf" TargetMode="External"/><Relationship Id="rId26" Type="http://schemas.openxmlformats.org/officeDocument/2006/relationships/hyperlink" Target="https://www.uber.com/blog/digital-tasks/" TargetMode="External"/><Relationship Id="rId3" Type="http://schemas.openxmlformats.org/officeDocument/2006/relationships/webSettings" Target="webSettings.xml"/><Relationship Id="rId21" Type="http://schemas.openxmlformats.org/officeDocument/2006/relationships/hyperlink" Target="https://www.ewin.nhs.uk/sites/default/files/Nursing%20Attrition%2C%20Recruitment%20and%20Retention_Evidence%20Brief.pdf"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forbes.com/sites/keithferrazzi/2025/03/27/the-ai-recruitment-takeover-redefining-hiring-in-the-digital-age/" TargetMode="External"/><Relationship Id="rId17" Type="http://schemas.openxmlformats.org/officeDocument/2006/relationships/hyperlink" Target="https://skillsbuild.org/about" TargetMode="External"/><Relationship Id="rId25" Type="http://schemas.openxmlformats.org/officeDocument/2006/relationships/hyperlink" Target="https://www.toyotaeffect.com/stories-of-impact/spectrum-reverse-mentorship/"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bm.com/think/topics/ai-talent-acquisition" TargetMode="External"/><Relationship Id="rId20" Type="http://schemas.openxmlformats.org/officeDocument/2006/relationships/hyperlink" Target="https://kpmg.com/ch/en/careers/freelancer.html" TargetMode="External"/><Relationship Id="rId29" Type="http://schemas.openxmlformats.org/officeDocument/2006/relationships/hyperlink" Target="https://www.weforum.org/publications/the-future-of-jobs-report-2023/diges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org/uk/knowledge/factsheets/data-protection-factsheet/" TargetMode="External"/><Relationship Id="rId24" Type="http://schemas.openxmlformats.org/officeDocument/2006/relationships/hyperlink" Target="https://doi.org/10.12688/f1000research.148514.1"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forbes.com/sites/serenitygibbons/2023/03/07/the-global-talent-pool-is-officially-open-for-business/" TargetMode="External"/><Relationship Id="rId23" Type="http://schemas.openxmlformats.org/officeDocument/2006/relationships/hyperlink" Target="https://blogs.microsoft.com/blog/2020/06/30/microsoft-launches-initiative-to-help-25-million-people-worldwide-acquire-the-digital-skills-needed-in-a-covid-19-economy/" TargetMode="External"/><Relationship Id="rId28" Type="http://schemas.openxmlformats.org/officeDocument/2006/relationships/hyperlink" Target="https://www.unilever.com/news/news-search/2025/how-unilevers-digital-transformation-is-driving-operational-excellence/" TargetMode="External"/><Relationship Id="rId10" Type="http://schemas.openxmlformats.org/officeDocument/2006/relationships/hyperlink" Target="https://www.imf.org/en/Blogs/Articles/2019/05/23/blog-the-impact-of-us-china-trade-tensions" TargetMode="External"/><Relationship Id="rId19" Type="http://schemas.openxmlformats.org/officeDocument/2006/relationships/hyperlink" Target="https://doi.org/10.1177/07334648231152153"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heguardian.com/technology/2021/feb/19/uber-drivers-workers-uk-supreme-court-rules-rights" TargetMode="External"/><Relationship Id="rId14" Type="http://schemas.openxmlformats.org/officeDocument/2006/relationships/hyperlink" Target="https://councils.forbes.com/blog/risk-management-strategies" TargetMode="External"/><Relationship Id="rId22" Type="http://schemas.openxmlformats.org/officeDocument/2006/relationships/hyperlink" Target="https://sdmimd.ac.in/hrconference2023/papers/IHR2312.pdf" TargetMode="External"/><Relationship Id="rId27" Type="http://schemas.openxmlformats.org/officeDocument/2006/relationships/hyperlink" Target="https://assets.publishing.service.gov.uk/media/5f08a103e90e0712c5f221e0/UK_Points-Based_System_Further_Details_Web_Accessible.pdf" TargetMode="External"/><Relationship Id="rId30" Type="http://schemas.openxmlformats.org/officeDocument/2006/relationships/hyperlink" Target="https://www.weforum.org/publications/the-future-of-jobs-report-2025/in-full/3-skills-outlook/" TargetMode="Externa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15</Pages>
  <Words>3891</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ENVY</dc:creator>
  <cp:lastModifiedBy>VAIDIK KOLADIYA</cp:lastModifiedBy>
  <cp:revision>4</cp:revision>
  <dcterms:created xsi:type="dcterms:W3CDTF">2025-11-13T11:35:00Z</dcterms:created>
  <dcterms:modified xsi:type="dcterms:W3CDTF">2025-11-13T12:12:00Z</dcterms:modified>
</cp:coreProperties>
</file>