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1FCF" w:rsidRDefault="00631FCF" w:rsidP="00631FC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b/>
          <w:bCs/>
          <w:sz w:val="28"/>
          <w:szCs w:val="28"/>
          <w:u w:val="single"/>
          <w:lang w:val="en-US"/>
        </w:rPr>
        <w:t>References</w:t>
      </w:r>
      <w:r>
        <w:rPr>
          <w:rStyle w:val="eop"/>
          <w:sz w:val="28"/>
          <w:szCs w:val="28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Anon, (n.d.). </w:t>
      </w:r>
      <w:r>
        <w:rPr>
          <w:rStyle w:val="normaltextrun"/>
          <w:i/>
          <w:iCs/>
          <w:lang w:val="en-US"/>
        </w:rPr>
        <w:t>Discover Early Childhood: Preschool and Early Childhood Education Guide</w:t>
      </w:r>
      <w:r>
        <w:rPr>
          <w:rStyle w:val="normaltextrun"/>
          <w:lang w:val="en-US"/>
        </w:rPr>
        <w:t xml:space="preserve">. [online] Available at: </w:t>
      </w:r>
      <w:hyperlink r:id="rId5" w:tgtFrame="_blank" w:history="1">
        <w:r>
          <w:rPr>
            <w:rStyle w:val="normaltextrun"/>
            <w:u w:val="single"/>
            <w:lang w:val="en-US"/>
          </w:rPr>
          <w:t>https://discoverearlychildhoodedu.org/</w:t>
        </w:r>
      </w:hyperlink>
      <w:r>
        <w:rPr>
          <w:rStyle w:val="normaltextrun"/>
          <w:lang w:val="en-US"/>
        </w:rPr>
        <w:t>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Baker, C. (2014). </w:t>
      </w:r>
      <w:r>
        <w:rPr>
          <w:rStyle w:val="normaltextrun"/>
          <w:i/>
          <w:iCs/>
          <w:lang w:val="en-US"/>
        </w:rPr>
        <w:t>A parents’ and teachers’ guide to bilingualism</w:t>
      </w:r>
      <w:r>
        <w:rPr>
          <w:rStyle w:val="normaltextrun"/>
          <w:lang w:val="en-US"/>
        </w:rPr>
        <w:t>. Bristol; Buffalo: Multilingual Matters.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Baker, C. and Wright, W.E. (2021). </w:t>
      </w:r>
      <w:r>
        <w:rPr>
          <w:rStyle w:val="normaltextrun"/>
          <w:i/>
          <w:iCs/>
          <w:lang w:val="en-US"/>
        </w:rPr>
        <w:t>Foundations of bilingual education and bilingualism</w:t>
      </w:r>
      <w:r>
        <w:rPr>
          <w:rStyle w:val="normaltextrun"/>
          <w:lang w:val="en-US"/>
        </w:rPr>
        <w:t>. Bristol; Blue Ridge Summit: Multilingual Matters.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Baker, C. (1988). </w:t>
      </w:r>
      <w:r>
        <w:rPr>
          <w:rStyle w:val="normaltextrun"/>
          <w:i/>
          <w:iCs/>
          <w:lang w:val="en-US"/>
        </w:rPr>
        <w:t>Key issues in bilingualism and bilingual education</w:t>
      </w:r>
      <w:r>
        <w:rPr>
          <w:rStyle w:val="normaltextrun"/>
          <w:lang w:val="en-US"/>
        </w:rPr>
        <w:t>. Clevedon</w:t>
      </w:r>
      <w:bookmarkStart w:id="0" w:name="_GoBack"/>
      <w:bookmarkEnd w:id="0"/>
      <w:r>
        <w:rPr>
          <w:rStyle w:val="normaltextrun"/>
          <w:lang w:val="en-US"/>
        </w:rPr>
        <w:t>, Angleterre: Multilingual Matters.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Bialystok, E. (2007). Acquisition of Literacy in Bilingual Children: A Framework for Research. </w:t>
      </w:r>
      <w:r>
        <w:rPr>
          <w:rStyle w:val="normaltextrun"/>
          <w:i/>
          <w:iCs/>
          <w:lang w:val="en-US"/>
        </w:rPr>
        <w:t>Language Learning</w:t>
      </w:r>
      <w:r>
        <w:rPr>
          <w:rStyle w:val="normaltextrun"/>
          <w:lang w:val="en-US"/>
        </w:rPr>
        <w:t>, 57, pp.45–77.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Booton, S.A., Hoicka, E., O’Grady, A.M., Chan, H.Y.N. and Murphy, V.A. (2021). Children’s divergent thinking and bilingualism. </w:t>
      </w:r>
      <w:r>
        <w:rPr>
          <w:rStyle w:val="normaltextrun"/>
          <w:i/>
          <w:iCs/>
          <w:lang w:val="en-US"/>
        </w:rPr>
        <w:t>Thinking Skills and Creativity</w:t>
      </w:r>
      <w:r>
        <w:rPr>
          <w:rStyle w:val="normaltextrun"/>
          <w:lang w:val="en-US"/>
        </w:rPr>
        <w:t>, 41, p.100918.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Dana Foundation. (n.d.). </w:t>
      </w:r>
      <w:r>
        <w:rPr>
          <w:rStyle w:val="normaltextrun"/>
          <w:i/>
          <w:iCs/>
          <w:lang w:val="en-US"/>
        </w:rPr>
        <w:t>Dana Foundation | Supporting Neuroscience &amp; Brain Research</w:t>
      </w:r>
      <w:r>
        <w:rPr>
          <w:rStyle w:val="normaltextrun"/>
          <w:lang w:val="en-US"/>
        </w:rPr>
        <w:t>. [</w:t>
      </w:r>
      <w:proofErr w:type="gramStart"/>
      <w:r>
        <w:rPr>
          <w:rStyle w:val="normaltextrun"/>
          <w:lang w:val="en-US"/>
        </w:rPr>
        <w:t>online</w:t>
      </w:r>
      <w:proofErr w:type="gramEnd"/>
      <w:r>
        <w:rPr>
          <w:rStyle w:val="normaltextrun"/>
          <w:lang w:val="en-US"/>
        </w:rPr>
        <w:t xml:space="preserve">] Available at: </w:t>
      </w:r>
      <w:hyperlink r:id="rId6" w:tgtFrame="_blank" w:history="1">
        <w:r>
          <w:rPr>
            <w:rStyle w:val="normaltextrun"/>
            <w:u w:val="single"/>
            <w:lang w:val="en-US"/>
          </w:rPr>
          <w:t>https://dana.org/</w:t>
        </w:r>
      </w:hyperlink>
      <w:r>
        <w:rPr>
          <w:rStyle w:val="normaltextrun"/>
          <w:lang w:val="en-US"/>
        </w:rPr>
        <w:t>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Freeman, R.D. (2004). </w:t>
      </w:r>
      <w:r>
        <w:rPr>
          <w:rStyle w:val="normaltextrun"/>
          <w:i/>
          <w:iCs/>
          <w:lang w:val="en-US"/>
        </w:rPr>
        <w:t>Building on community bilingualism</w:t>
      </w:r>
      <w:r>
        <w:rPr>
          <w:rStyle w:val="normaltextrun"/>
          <w:lang w:val="en-US"/>
        </w:rPr>
        <w:t>. Philadelphia, Pa.: Caslon Pub.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Garcia, O. (2019). </w:t>
      </w:r>
      <w:r>
        <w:rPr>
          <w:rStyle w:val="normaltextrun"/>
          <w:i/>
          <w:iCs/>
          <w:lang w:val="en-US"/>
        </w:rPr>
        <w:t>BILINGUAL EDUCATION IN THE 21ST CENTURY: a global perspective.</w:t>
      </w:r>
      <w:r>
        <w:rPr>
          <w:rStyle w:val="normaltextrun"/>
          <w:lang w:val="en-US"/>
        </w:rPr>
        <w:t xml:space="preserve"> S.L.: John Wiley.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GOV.WALES. (2019). </w:t>
      </w:r>
      <w:r>
        <w:rPr>
          <w:rStyle w:val="normaltextrun"/>
          <w:i/>
          <w:iCs/>
          <w:lang w:val="en-US"/>
        </w:rPr>
        <w:t>Home | GOV.WALES</w:t>
      </w:r>
      <w:r>
        <w:rPr>
          <w:rStyle w:val="normaltextrun"/>
          <w:lang w:val="en-US"/>
        </w:rPr>
        <w:t xml:space="preserve">. [online] Available at: </w:t>
      </w:r>
      <w:hyperlink r:id="rId7" w:tgtFrame="_blank" w:history="1">
        <w:r>
          <w:rPr>
            <w:rStyle w:val="normaltextrun"/>
            <w:u w:val="single"/>
            <w:lang w:val="en-US"/>
          </w:rPr>
          <w:t>https://gov.wales/</w:t>
        </w:r>
      </w:hyperlink>
      <w:r>
        <w:rPr>
          <w:rStyle w:val="normaltextrun"/>
          <w:lang w:val="en-US"/>
        </w:rPr>
        <w:t>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Hoffmann, C. (2014). </w:t>
      </w:r>
      <w:r>
        <w:rPr>
          <w:rStyle w:val="normaltextrun"/>
          <w:i/>
          <w:iCs/>
          <w:lang w:val="en-US"/>
        </w:rPr>
        <w:t>An introduction to bilingualism</w:t>
      </w:r>
      <w:r>
        <w:rPr>
          <w:rStyle w:val="normaltextrun"/>
          <w:lang w:val="en-US"/>
        </w:rPr>
        <w:t>. Oxon: Routledge.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Nassea. (n.d.). </w:t>
      </w:r>
      <w:r>
        <w:rPr>
          <w:rStyle w:val="normaltextrun"/>
          <w:i/>
          <w:iCs/>
          <w:lang w:val="en-US"/>
        </w:rPr>
        <w:t>Nassea</w:t>
      </w:r>
      <w:r>
        <w:rPr>
          <w:rStyle w:val="normaltextrun"/>
          <w:lang w:val="en-US"/>
        </w:rPr>
        <w:t>. [online] Available at: https://www.nassea.org.uk/ [Accessed 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Rhys, M., and Thomas, E.M. (2013). Bilingual Welsh–English children’s acquisition of vocabulary and reading: implications for bilingual education. </w:t>
      </w:r>
      <w:r>
        <w:rPr>
          <w:rStyle w:val="normaltextrun"/>
          <w:i/>
          <w:iCs/>
          <w:lang w:val="en-US"/>
        </w:rPr>
        <w:t>International Journal of Bilingual Education and Bilingualism</w:t>
      </w:r>
      <w:r>
        <w:rPr>
          <w:rStyle w:val="normaltextrun"/>
          <w:lang w:val="en-US"/>
        </w:rPr>
        <w:t>, 16(6), pp.633–656.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The Bell Foundation. (2017). </w:t>
      </w:r>
      <w:r>
        <w:rPr>
          <w:rStyle w:val="normaltextrun"/>
          <w:i/>
          <w:iCs/>
          <w:lang w:val="en-US"/>
        </w:rPr>
        <w:t>The Bell Foundation - Changing lives and overcoming exclusion through language education</w:t>
      </w:r>
      <w:r>
        <w:rPr>
          <w:rStyle w:val="normaltextrun"/>
          <w:lang w:val="en-US"/>
        </w:rPr>
        <w:t xml:space="preserve">. [online] Available at: </w:t>
      </w:r>
      <w:hyperlink r:id="rId8" w:tgtFrame="_blank" w:history="1">
        <w:r>
          <w:rPr>
            <w:rStyle w:val="normaltextrun"/>
            <w:u w:val="single"/>
            <w:lang w:val="en-US"/>
          </w:rPr>
          <w:t>https://www.bell-foundation.org.uk/</w:t>
        </w:r>
      </w:hyperlink>
      <w:r>
        <w:rPr>
          <w:rStyle w:val="normaltextrun"/>
          <w:lang w:val="en-US"/>
        </w:rPr>
        <w:t>.</w:t>
      </w:r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>www.booktrust.org.uk. (n.d.)</w:t>
      </w:r>
      <w:r>
        <w:rPr>
          <w:rStyle w:val="normaltextrun"/>
          <w:i/>
          <w:iCs/>
          <w:lang w:val="en-US"/>
        </w:rPr>
        <w:t xml:space="preserve"> BookTrust</w:t>
      </w:r>
      <w:r>
        <w:rPr>
          <w:rStyle w:val="normaltextrun"/>
          <w:lang w:val="en-US"/>
        </w:rPr>
        <w:t xml:space="preserve">. [online] Available at: </w:t>
      </w:r>
      <w:hyperlink r:id="rId9" w:tgtFrame="_blank" w:history="1">
        <w:r>
          <w:rPr>
            <w:rStyle w:val="normaltextrun"/>
            <w:u w:val="single"/>
            <w:lang w:val="en-US"/>
          </w:rPr>
          <w:t>https://cdn.booktrust.org.uk/</w:t>
        </w:r>
      </w:hyperlink>
      <w:r>
        <w:rPr>
          <w:rStyle w:val="eop"/>
        </w:rPr>
        <w:t> </w:t>
      </w:r>
    </w:p>
    <w:p w:rsidR="00631FCF" w:rsidRDefault="00631FCF" w:rsidP="00631FC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www.patos-dyslexia.org. (n.d.). </w:t>
      </w:r>
      <w:r>
        <w:rPr>
          <w:rStyle w:val="normaltextrun"/>
          <w:i/>
          <w:iCs/>
          <w:lang w:val="en-US"/>
        </w:rPr>
        <w:t>Welcome to the Patoss website</w:t>
      </w:r>
      <w:r>
        <w:rPr>
          <w:rStyle w:val="normaltextrun"/>
          <w:lang w:val="en-US"/>
        </w:rPr>
        <w:t xml:space="preserve">. [online] Available at: </w:t>
      </w:r>
      <w:hyperlink r:id="rId10" w:tgtFrame="_blank" w:history="1">
        <w:r>
          <w:rPr>
            <w:rStyle w:val="normaltextrun"/>
            <w:u w:val="single"/>
            <w:lang w:val="en-US"/>
          </w:rPr>
          <w:t>https://www.patoss-dyslexia.org/</w:t>
        </w:r>
      </w:hyperlink>
      <w:r>
        <w:rPr>
          <w:rStyle w:val="normaltextrun"/>
          <w:lang w:val="en-US"/>
        </w:rPr>
        <w:t>.</w:t>
      </w:r>
      <w:r>
        <w:rPr>
          <w:rStyle w:val="eop"/>
        </w:rPr>
        <w:t> </w:t>
      </w:r>
    </w:p>
    <w:p w:rsidR="000B4A03" w:rsidRDefault="00631FCF"/>
    <w:sectPr w:rsidR="000B4A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1FCF"/>
    <w:rsid w:val="00090ED7"/>
    <w:rsid w:val="00631FCF"/>
    <w:rsid w:val="00962F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631F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631FCF"/>
  </w:style>
  <w:style w:type="character" w:customStyle="1" w:styleId="eop">
    <w:name w:val="eop"/>
    <w:basedOn w:val="DefaultParagraphFont"/>
    <w:rsid w:val="00631FCF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631F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631FCF"/>
  </w:style>
  <w:style w:type="character" w:customStyle="1" w:styleId="eop">
    <w:name w:val="eop"/>
    <w:basedOn w:val="DefaultParagraphFont"/>
    <w:rsid w:val="00631F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6641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342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05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74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170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608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461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981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50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886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66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9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88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458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548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875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938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606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ll-foundation.org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gov.wales/" TargetMode="External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dana.org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iscoverearlychildhoodedu.org/" TargetMode="External"/><Relationship Id="rId10" Type="http://schemas.openxmlformats.org/officeDocument/2006/relationships/hyperlink" Target="https://www.patoss-dyslexia.or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dn.booktrust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351</Words>
  <Characters>2003</Characters>
  <Application>Microsoft Office Word</Application>
  <DocSecurity>0</DocSecurity>
  <Lines>16</Lines>
  <Paragraphs>4</Paragraphs>
  <ScaleCrop>false</ScaleCrop>
  <Company/>
  <LinksUpToDate>false</LinksUpToDate>
  <CharactersWithSpaces>2350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Samiya Alexander</dc:creator>
  <cp:lastModifiedBy>Samiya Alexander</cp:lastModifiedBy>
  <cp:revision>1</cp:revision>
  <dcterms:created xsi:type="dcterms:W3CDTF">2022-03-26T21:27:00Z</dcterms:created>
  <dcterms:modified xsi:type="dcterms:W3CDTF">2022-03-26T21:30:00Z</dcterms:modified>
</cp:coreProperties>
</file>