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AABC7" w14:textId="480D14C2" w:rsidR="00347F74" w:rsidRDefault="54DAFBE3" w:rsidP="532DFAFA">
      <w:pPr>
        <w:pStyle w:val="Heading2"/>
        <w:spacing w:before="299" w:after="299" w:line="360" w:lineRule="auto"/>
        <w:rPr>
          <w:rFonts w:ascii="Arial" w:eastAsia="Arial" w:hAnsi="Arial" w:cs="Arial"/>
          <w:color w:val="auto"/>
          <w:sz w:val="22"/>
          <w:szCs w:val="22"/>
        </w:rPr>
      </w:pPr>
      <w:r w:rsidRPr="532DFAFA">
        <w:rPr>
          <w:rFonts w:ascii="Arial" w:eastAsia="Arial" w:hAnsi="Arial" w:cs="Arial"/>
          <w:color w:val="auto"/>
          <w:sz w:val="22"/>
          <w:szCs w:val="22"/>
        </w:rPr>
        <w:t xml:space="preserve">Component 1: Written Assignment </w:t>
      </w:r>
    </w:p>
    <w:p w14:paraId="05D79D4C" w14:textId="1B79E42A" w:rsidR="00347F74" w:rsidRDefault="54DAFBE3" w:rsidP="532DFAFA">
      <w:pPr>
        <w:pStyle w:val="Heading2"/>
        <w:spacing w:before="299" w:after="299" w:line="360" w:lineRule="auto"/>
        <w:rPr>
          <w:rFonts w:ascii="Arial" w:eastAsia="Arial" w:hAnsi="Arial" w:cs="Arial"/>
          <w:color w:val="auto"/>
          <w:sz w:val="22"/>
          <w:szCs w:val="22"/>
        </w:rPr>
      </w:pPr>
      <w:r w:rsidRPr="532DFAFA">
        <w:rPr>
          <w:rFonts w:ascii="Arial" w:eastAsia="Arial" w:hAnsi="Arial" w:cs="Arial"/>
          <w:color w:val="auto"/>
          <w:sz w:val="22"/>
          <w:szCs w:val="22"/>
        </w:rPr>
        <w:t xml:space="preserve">Saima Sadiq </w:t>
      </w:r>
    </w:p>
    <w:p w14:paraId="271F06DB" w14:textId="38FE8456" w:rsidR="00347F74" w:rsidRDefault="54DAFBE3" w:rsidP="532DFAFA">
      <w:pPr>
        <w:pStyle w:val="Heading2"/>
        <w:spacing w:before="299" w:after="299" w:line="360" w:lineRule="auto"/>
        <w:rPr>
          <w:rFonts w:ascii="Arial" w:eastAsia="Arial" w:hAnsi="Arial" w:cs="Arial"/>
          <w:color w:val="auto"/>
          <w:sz w:val="22"/>
          <w:szCs w:val="22"/>
        </w:rPr>
      </w:pPr>
      <w:r w:rsidRPr="532DFAFA">
        <w:rPr>
          <w:rFonts w:ascii="Arial" w:eastAsia="Arial" w:hAnsi="Arial" w:cs="Arial"/>
          <w:color w:val="auto"/>
          <w:sz w:val="22"/>
          <w:szCs w:val="22"/>
        </w:rPr>
        <w:t xml:space="preserve">2410753 </w:t>
      </w:r>
    </w:p>
    <w:p w14:paraId="21626D26" w14:textId="4FA1B523" w:rsidR="00347F74" w:rsidRDefault="54DAFBE3" w:rsidP="532DFAFA">
      <w:pPr>
        <w:pStyle w:val="Heading2"/>
        <w:spacing w:before="299" w:after="299" w:line="360" w:lineRule="auto"/>
        <w:rPr>
          <w:rFonts w:ascii="Arial" w:eastAsia="Arial" w:hAnsi="Arial" w:cs="Arial"/>
          <w:color w:val="auto"/>
          <w:sz w:val="22"/>
          <w:szCs w:val="22"/>
        </w:rPr>
      </w:pPr>
      <w:r w:rsidRPr="532DFAFA">
        <w:rPr>
          <w:rFonts w:ascii="Arial" w:eastAsia="Arial" w:hAnsi="Arial" w:cs="Arial"/>
          <w:color w:val="auto"/>
          <w:sz w:val="22"/>
          <w:szCs w:val="22"/>
        </w:rPr>
        <w:t>Module – Principles of Health and Social Care Practice</w:t>
      </w:r>
    </w:p>
    <w:p w14:paraId="0CA256CA" w14:textId="15073FC0" w:rsidR="00347F74" w:rsidRDefault="54DAFBE3" w:rsidP="532DFAFA">
      <w:pPr>
        <w:pStyle w:val="Heading2"/>
        <w:spacing w:before="299" w:after="299" w:line="360" w:lineRule="auto"/>
        <w:rPr>
          <w:rFonts w:ascii="Arial" w:eastAsia="Arial" w:hAnsi="Arial" w:cs="Arial"/>
          <w:color w:val="auto"/>
          <w:sz w:val="22"/>
          <w:szCs w:val="22"/>
        </w:rPr>
      </w:pPr>
      <w:r w:rsidRPr="532DFAFA">
        <w:rPr>
          <w:rFonts w:ascii="Arial" w:eastAsia="Arial" w:hAnsi="Arial" w:cs="Arial"/>
          <w:color w:val="auto"/>
          <w:sz w:val="22"/>
          <w:szCs w:val="22"/>
        </w:rPr>
        <w:t>Module Code – BMHP5016</w:t>
      </w:r>
    </w:p>
    <w:p w14:paraId="47E2135C" w14:textId="2C6D31E7" w:rsidR="00347F74" w:rsidRDefault="54DAFBE3" w:rsidP="532DFAFA">
      <w:pPr>
        <w:pStyle w:val="Heading2"/>
        <w:spacing w:before="299" w:after="299" w:line="360" w:lineRule="auto"/>
        <w:rPr>
          <w:rFonts w:ascii="Arial" w:eastAsia="Arial" w:hAnsi="Arial" w:cs="Arial"/>
          <w:color w:val="auto"/>
          <w:sz w:val="22"/>
          <w:szCs w:val="22"/>
        </w:rPr>
      </w:pPr>
      <w:r w:rsidRPr="532DFAFA">
        <w:rPr>
          <w:rFonts w:ascii="Arial" w:eastAsia="Arial" w:hAnsi="Arial" w:cs="Arial"/>
          <w:color w:val="auto"/>
          <w:sz w:val="22"/>
          <w:szCs w:val="22"/>
        </w:rPr>
        <w:t>Lecture – Tsiwani Khumalo</w:t>
      </w:r>
    </w:p>
    <w:p w14:paraId="692C5EA9" w14:textId="7F7E3CC8" w:rsidR="00347F74" w:rsidRDefault="00347F74" w:rsidP="532DFAFA"/>
    <w:p w14:paraId="44BA51BE" w14:textId="1FB01C68" w:rsidR="00347F74" w:rsidRDefault="00347F74" w:rsidP="532DFAFA">
      <w:pPr>
        <w:pStyle w:val="Heading2"/>
        <w:spacing w:before="299" w:after="299" w:line="360" w:lineRule="auto"/>
        <w:rPr>
          <w:b/>
          <w:bCs/>
          <w:sz w:val="36"/>
          <w:szCs w:val="36"/>
        </w:rPr>
      </w:pPr>
    </w:p>
    <w:p w14:paraId="227523FB" w14:textId="73A90AB3" w:rsidR="00347F74" w:rsidRDefault="00347F74" w:rsidP="532DFAFA">
      <w:pPr>
        <w:pStyle w:val="Heading2"/>
        <w:spacing w:before="299" w:after="299" w:line="360" w:lineRule="auto"/>
        <w:rPr>
          <w:b/>
          <w:bCs/>
          <w:sz w:val="36"/>
          <w:szCs w:val="36"/>
        </w:rPr>
      </w:pPr>
    </w:p>
    <w:p w14:paraId="7A2BA576" w14:textId="74DE270E" w:rsidR="00347F74" w:rsidRDefault="00347F74" w:rsidP="532DFAFA">
      <w:pPr>
        <w:pStyle w:val="Heading2"/>
        <w:spacing w:before="299" w:after="299" w:line="360" w:lineRule="auto"/>
        <w:rPr>
          <w:b/>
          <w:bCs/>
          <w:sz w:val="36"/>
          <w:szCs w:val="36"/>
        </w:rPr>
      </w:pPr>
    </w:p>
    <w:p w14:paraId="2F74D174" w14:textId="50A405CC" w:rsidR="00347F74" w:rsidRDefault="00347F74" w:rsidP="532DFAFA">
      <w:pPr>
        <w:pStyle w:val="Heading2"/>
        <w:spacing w:before="299" w:after="299" w:line="360" w:lineRule="auto"/>
        <w:rPr>
          <w:b/>
          <w:bCs/>
          <w:sz w:val="36"/>
          <w:szCs w:val="36"/>
        </w:rPr>
      </w:pPr>
    </w:p>
    <w:p w14:paraId="6FCCE924" w14:textId="2D41F154" w:rsidR="00347F74" w:rsidRDefault="00347F74" w:rsidP="532DFAFA">
      <w:pPr>
        <w:pStyle w:val="Heading2"/>
        <w:spacing w:before="299" w:after="299" w:line="360" w:lineRule="auto"/>
        <w:rPr>
          <w:b/>
          <w:bCs/>
          <w:sz w:val="36"/>
          <w:szCs w:val="36"/>
        </w:rPr>
      </w:pPr>
    </w:p>
    <w:p w14:paraId="6B82DB5A" w14:textId="02AD1FFC" w:rsidR="00347F74" w:rsidRDefault="00347F74" w:rsidP="532DFAFA">
      <w:pPr>
        <w:pStyle w:val="Heading2"/>
        <w:spacing w:before="299" w:after="299" w:line="360" w:lineRule="auto"/>
        <w:rPr>
          <w:b/>
          <w:bCs/>
          <w:sz w:val="36"/>
          <w:szCs w:val="36"/>
        </w:rPr>
      </w:pPr>
    </w:p>
    <w:p w14:paraId="7CF18F90" w14:textId="65A836A1" w:rsidR="00347F74" w:rsidRDefault="00347F74" w:rsidP="532DFAFA">
      <w:pPr>
        <w:pStyle w:val="Heading2"/>
        <w:spacing w:before="299" w:after="299" w:line="360" w:lineRule="auto"/>
        <w:rPr>
          <w:b/>
          <w:bCs/>
          <w:sz w:val="36"/>
          <w:szCs w:val="36"/>
        </w:rPr>
      </w:pPr>
    </w:p>
    <w:p w14:paraId="28A4429C" w14:textId="492BA152" w:rsidR="00347F74" w:rsidRDefault="00347F74" w:rsidP="532DFAFA">
      <w:pPr>
        <w:pStyle w:val="Heading2"/>
        <w:spacing w:before="299" w:after="299" w:line="360" w:lineRule="auto"/>
        <w:rPr>
          <w:b/>
          <w:bCs/>
          <w:sz w:val="36"/>
          <w:szCs w:val="36"/>
        </w:rPr>
      </w:pPr>
    </w:p>
    <w:p w14:paraId="23B5FC95" w14:textId="671424B9" w:rsidR="00347F74" w:rsidRDefault="00347F74" w:rsidP="532DFAFA">
      <w:pPr>
        <w:pStyle w:val="Heading2"/>
        <w:spacing w:before="299" w:after="299" w:line="360" w:lineRule="auto"/>
        <w:ind w:firstLine="720"/>
        <w:rPr>
          <w:rFonts w:asciiTheme="minorHAnsi" w:eastAsiaTheme="minorEastAsia" w:hAnsiTheme="minorHAnsi" w:cstheme="minorBidi"/>
          <w:b/>
          <w:bCs/>
          <w:color w:val="auto"/>
          <w:sz w:val="24"/>
          <w:szCs w:val="24"/>
        </w:rPr>
      </w:pPr>
    </w:p>
    <w:p w14:paraId="157E554D" w14:textId="0C14C08B" w:rsidR="00347F74" w:rsidRDefault="7ADB3D61" w:rsidP="532DFAFA">
      <w:pPr>
        <w:pStyle w:val="Heading2"/>
        <w:pageBreakBefore/>
        <w:bidi/>
        <w:spacing w:before="299" w:after="299" w:line="360" w:lineRule="auto"/>
        <w:ind w:firstLine="720"/>
        <w:contextualSpacing/>
        <w:jc w:val="right"/>
        <w:rPr>
          <w:rFonts w:asciiTheme="minorHAnsi" w:eastAsiaTheme="minorEastAsia" w:hAnsiTheme="minorHAnsi" w:cstheme="minorBidi"/>
          <w:color w:val="auto"/>
          <w:sz w:val="22"/>
          <w:szCs w:val="22"/>
        </w:rPr>
      </w:pPr>
      <w:r w:rsidRPr="532DFAFA">
        <w:rPr>
          <w:rFonts w:asciiTheme="minorHAnsi" w:eastAsiaTheme="minorEastAsia" w:hAnsiTheme="minorHAnsi" w:cstheme="minorBidi"/>
          <w:color w:val="auto"/>
          <w:sz w:val="22"/>
          <w:szCs w:val="22"/>
        </w:rPr>
        <w:lastRenderedPageBreak/>
        <w:t>Table of Contents</w:t>
      </w:r>
    </w:p>
    <w:p w14:paraId="7FA8EBF2" w14:textId="53AAC440" w:rsidR="00347F74" w:rsidRDefault="7ADB3D61" w:rsidP="532DFAFA">
      <w:pPr>
        <w:pStyle w:val="ListParagraph"/>
        <w:numPr>
          <w:ilvl w:val="0"/>
          <w:numId w:val="1"/>
        </w:numPr>
        <w:spacing w:before="240" w:after="240" w:line="360" w:lineRule="auto"/>
        <w:rPr>
          <w:sz w:val="22"/>
          <w:szCs w:val="22"/>
        </w:rPr>
      </w:pPr>
      <w:r w:rsidRPr="532DFAFA">
        <w:rPr>
          <w:sz w:val="22"/>
          <w:szCs w:val="22"/>
        </w:rPr>
        <w:t xml:space="preserve">Introduction .................................................................................... </w:t>
      </w:r>
      <w:r w:rsidR="62BB2929" w:rsidRPr="532DFAFA">
        <w:rPr>
          <w:sz w:val="22"/>
          <w:szCs w:val="22"/>
        </w:rPr>
        <w:t>3</w:t>
      </w:r>
    </w:p>
    <w:p w14:paraId="1B71859D" w14:textId="3825A004" w:rsidR="00347F74" w:rsidRDefault="7ADB3D61" w:rsidP="532DFAFA">
      <w:pPr>
        <w:pStyle w:val="ListParagraph"/>
        <w:numPr>
          <w:ilvl w:val="0"/>
          <w:numId w:val="1"/>
        </w:numPr>
        <w:spacing w:before="240" w:after="240" w:line="360" w:lineRule="auto"/>
        <w:rPr>
          <w:sz w:val="22"/>
          <w:szCs w:val="22"/>
        </w:rPr>
      </w:pPr>
      <w:r w:rsidRPr="532DFAFA">
        <w:rPr>
          <w:sz w:val="22"/>
          <w:szCs w:val="22"/>
        </w:rPr>
        <w:t xml:space="preserve">Defining Person-Centered Care: Benefits and Limitations ............. </w:t>
      </w:r>
      <w:r w:rsidR="6E8A2012" w:rsidRPr="532DFAFA">
        <w:rPr>
          <w:sz w:val="22"/>
          <w:szCs w:val="22"/>
        </w:rPr>
        <w:t>4</w:t>
      </w:r>
      <w:r w:rsidR="00000000">
        <w:br/>
      </w:r>
      <w:r w:rsidRPr="532DFAFA">
        <w:rPr>
          <w:sz w:val="22"/>
          <w:szCs w:val="22"/>
        </w:rPr>
        <w:t xml:space="preserve"> 2.1 Benefits of Person-Centered Care .................................................</w:t>
      </w:r>
      <w:r w:rsidR="386B8177" w:rsidRPr="532DFAFA">
        <w:rPr>
          <w:sz w:val="22"/>
          <w:szCs w:val="22"/>
        </w:rPr>
        <w:t>4</w:t>
      </w:r>
      <w:r w:rsidR="00000000">
        <w:br/>
      </w:r>
      <w:r w:rsidRPr="532DFAFA">
        <w:rPr>
          <w:sz w:val="22"/>
          <w:szCs w:val="22"/>
        </w:rPr>
        <w:t xml:space="preserve"> 2.2 Limitations of Person-Centered Care .............................................. </w:t>
      </w:r>
      <w:r w:rsidR="3963B6B9" w:rsidRPr="532DFAFA">
        <w:rPr>
          <w:sz w:val="22"/>
          <w:szCs w:val="22"/>
        </w:rPr>
        <w:t xml:space="preserve">4 </w:t>
      </w:r>
      <w:r w:rsidR="6BA97632" w:rsidRPr="532DFAFA">
        <w:rPr>
          <w:sz w:val="22"/>
          <w:szCs w:val="22"/>
        </w:rPr>
        <w:t>&amp; 5</w:t>
      </w:r>
    </w:p>
    <w:p w14:paraId="5AADEB0C" w14:textId="5D496674" w:rsidR="00347F74" w:rsidRDefault="7ADB3D61" w:rsidP="532DFAFA">
      <w:pPr>
        <w:pStyle w:val="ListParagraph"/>
        <w:numPr>
          <w:ilvl w:val="0"/>
          <w:numId w:val="1"/>
        </w:numPr>
        <w:spacing w:before="240" w:after="240" w:line="360" w:lineRule="auto"/>
        <w:rPr>
          <w:sz w:val="22"/>
          <w:szCs w:val="22"/>
        </w:rPr>
      </w:pPr>
      <w:r w:rsidRPr="532DFAFA">
        <w:rPr>
          <w:sz w:val="22"/>
          <w:szCs w:val="22"/>
        </w:rPr>
        <w:t xml:space="preserve">Theoretical Model Underpinning Person-Centered Care ............... </w:t>
      </w:r>
      <w:r w:rsidR="3728B5F6" w:rsidRPr="532DFAFA">
        <w:rPr>
          <w:sz w:val="22"/>
          <w:szCs w:val="22"/>
        </w:rPr>
        <w:t>5</w:t>
      </w:r>
    </w:p>
    <w:p w14:paraId="1A420DAB" w14:textId="4758575D" w:rsidR="00347F74" w:rsidRDefault="7ADB3D61" w:rsidP="532DFAFA">
      <w:pPr>
        <w:pStyle w:val="ListParagraph"/>
        <w:numPr>
          <w:ilvl w:val="0"/>
          <w:numId w:val="1"/>
        </w:numPr>
        <w:spacing w:before="240" w:after="240" w:line="360" w:lineRule="auto"/>
        <w:rPr>
          <w:sz w:val="22"/>
          <w:szCs w:val="22"/>
        </w:rPr>
      </w:pPr>
      <w:r w:rsidRPr="532DFAFA">
        <w:rPr>
          <w:sz w:val="22"/>
          <w:szCs w:val="22"/>
        </w:rPr>
        <w:t xml:space="preserve">Ethical Fundamentals of Health and Social Care .......................... </w:t>
      </w:r>
      <w:r w:rsidR="2C570361" w:rsidRPr="532DFAFA">
        <w:rPr>
          <w:sz w:val="22"/>
          <w:szCs w:val="22"/>
        </w:rPr>
        <w:t>6</w:t>
      </w:r>
    </w:p>
    <w:p w14:paraId="107F90E2" w14:textId="01ED2C3F" w:rsidR="00347F74" w:rsidRDefault="7ADB3D61" w:rsidP="532DFAFA">
      <w:pPr>
        <w:pStyle w:val="ListParagraph"/>
        <w:numPr>
          <w:ilvl w:val="0"/>
          <w:numId w:val="1"/>
        </w:numPr>
        <w:spacing w:before="240" w:after="240" w:line="360" w:lineRule="auto"/>
        <w:rPr>
          <w:sz w:val="22"/>
          <w:szCs w:val="22"/>
        </w:rPr>
      </w:pPr>
      <w:r w:rsidRPr="532DFAFA">
        <w:rPr>
          <w:sz w:val="22"/>
          <w:szCs w:val="22"/>
        </w:rPr>
        <w:t xml:space="preserve">Evaluation of Partnership Working in Health and Social Care </w:t>
      </w:r>
      <w:r w:rsidR="45D17739" w:rsidRPr="532DFAFA">
        <w:rPr>
          <w:sz w:val="22"/>
          <w:szCs w:val="22"/>
        </w:rPr>
        <w:t>......</w:t>
      </w:r>
      <w:r w:rsidRPr="532DFAFA">
        <w:rPr>
          <w:sz w:val="22"/>
          <w:szCs w:val="22"/>
        </w:rPr>
        <w:t xml:space="preserve"> </w:t>
      </w:r>
      <w:r w:rsidR="26C05910" w:rsidRPr="532DFAFA">
        <w:rPr>
          <w:sz w:val="22"/>
          <w:szCs w:val="22"/>
        </w:rPr>
        <w:t>6</w:t>
      </w:r>
      <w:r w:rsidR="00000000">
        <w:br/>
      </w:r>
      <w:r w:rsidRPr="532DFAFA">
        <w:rPr>
          <w:sz w:val="22"/>
          <w:szCs w:val="22"/>
        </w:rPr>
        <w:t xml:space="preserve"> 5.1 Benefits of Partnership Working .................................................... </w:t>
      </w:r>
      <w:r w:rsidR="61640586" w:rsidRPr="532DFAFA">
        <w:rPr>
          <w:sz w:val="22"/>
          <w:szCs w:val="22"/>
        </w:rPr>
        <w:t xml:space="preserve">6 &amp; 7 </w:t>
      </w:r>
      <w:r w:rsidR="00000000">
        <w:br/>
      </w:r>
      <w:r w:rsidRPr="532DFAFA">
        <w:rPr>
          <w:sz w:val="22"/>
          <w:szCs w:val="22"/>
        </w:rPr>
        <w:t xml:space="preserve"> 5.2 </w:t>
      </w:r>
      <w:r w:rsidR="01592860" w:rsidRPr="532DFAFA">
        <w:rPr>
          <w:sz w:val="22"/>
          <w:szCs w:val="22"/>
        </w:rPr>
        <w:t>Challenges</w:t>
      </w:r>
      <w:r w:rsidRPr="532DFAFA">
        <w:rPr>
          <w:sz w:val="22"/>
          <w:szCs w:val="22"/>
        </w:rPr>
        <w:t xml:space="preserve"> Partnership Working ...............................................</w:t>
      </w:r>
      <w:r w:rsidR="0E95C03B" w:rsidRPr="532DFAFA">
        <w:rPr>
          <w:sz w:val="22"/>
          <w:szCs w:val="22"/>
        </w:rPr>
        <w:t xml:space="preserve"> 7</w:t>
      </w:r>
      <w:r w:rsidRPr="532DFAFA">
        <w:rPr>
          <w:sz w:val="22"/>
          <w:szCs w:val="22"/>
        </w:rPr>
        <w:t xml:space="preserve"> </w:t>
      </w:r>
    </w:p>
    <w:p w14:paraId="25F3BF5C" w14:textId="238E20CE" w:rsidR="00347F74" w:rsidRDefault="7ADB3D61" w:rsidP="532DFAFA">
      <w:pPr>
        <w:pStyle w:val="ListParagraph"/>
        <w:numPr>
          <w:ilvl w:val="0"/>
          <w:numId w:val="1"/>
        </w:numPr>
        <w:spacing w:before="240" w:after="240" w:line="360" w:lineRule="auto"/>
        <w:rPr>
          <w:sz w:val="22"/>
          <w:szCs w:val="22"/>
        </w:rPr>
      </w:pPr>
      <w:r w:rsidRPr="532DFAFA">
        <w:rPr>
          <w:sz w:val="22"/>
          <w:szCs w:val="22"/>
        </w:rPr>
        <w:t xml:space="preserve">Application in Practice: Integrated Care for Older Adults ............ </w:t>
      </w:r>
      <w:r w:rsidR="7ADCE3DC" w:rsidRPr="532DFAFA">
        <w:rPr>
          <w:sz w:val="22"/>
          <w:szCs w:val="22"/>
        </w:rPr>
        <w:t>7</w:t>
      </w:r>
    </w:p>
    <w:p w14:paraId="0556C85A" w14:textId="3059FC23" w:rsidR="00347F74" w:rsidRDefault="7ADB3D61" w:rsidP="532DFAFA">
      <w:pPr>
        <w:pStyle w:val="ListParagraph"/>
        <w:numPr>
          <w:ilvl w:val="0"/>
          <w:numId w:val="1"/>
        </w:numPr>
        <w:spacing w:before="240" w:after="240" w:line="360" w:lineRule="auto"/>
        <w:rPr>
          <w:sz w:val="22"/>
          <w:szCs w:val="22"/>
        </w:rPr>
      </w:pPr>
      <w:r w:rsidRPr="532DFAFA">
        <w:rPr>
          <w:sz w:val="22"/>
          <w:szCs w:val="22"/>
        </w:rPr>
        <w:t xml:space="preserve">Policy and Legislation Relating to Person-Centered Care and Partnership Working ......................................................................... </w:t>
      </w:r>
      <w:r w:rsidR="3DC74B2F" w:rsidRPr="532DFAFA">
        <w:rPr>
          <w:sz w:val="22"/>
          <w:szCs w:val="22"/>
        </w:rPr>
        <w:t>8</w:t>
      </w:r>
    </w:p>
    <w:p w14:paraId="5827BFBD" w14:textId="6A6FBBE1" w:rsidR="00347F74" w:rsidRDefault="7ADB3D61" w:rsidP="532DFAFA">
      <w:pPr>
        <w:pStyle w:val="ListParagraph"/>
        <w:numPr>
          <w:ilvl w:val="0"/>
          <w:numId w:val="1"/>
        </w:numPr>
        <w:spacing w:before="240" w:after="240" w:line="360" w:lineRule="auto"/>
        <w:rPr>
          <w:sz w:val="22"/>
          <w:szCs w:val="22"/>
        </w:rPr>
      </w:pPr>
      <w:r w:rsidRPr="532DFAFA">
        <w:rPr>
          <w:sz w:val="22"/>
          <w:szCs w:val="22"/>
        </w:rPr>
        <w:t>Recommendations for Future Development ..................................</w:t>
      </w:r>
      <w:r w:rsidR="44B20050" w:rsidRPr="532DFAFA">
        <w:rPr>
          <w:sz w:val="22"/>
          <w:szCs w:val="22"/>
        </w:rPr>
        <w:t>8</w:t>
      </w:r>
      <w:r w:rsidRPr="532DFAFA">
        <w:rPr>
          <w:sz w:val="22"/>
          <w:szCs w:val="22"/>
        </w:rPr>
        <w:t xml:space="preserve"> </w:t>
      </w:r>
    </w:p>
    <w:p w14:paraId="1BA4C57A" w14:textId="26C6E9C9" w:rsidR="00347F74" w:rsidRDefault="7ADB3D61" w:rsidP="532DFAFA">
      <w:pPr>
        <w:pStyle w:val="ListParagraph"/>
        <w:numPr>
          <w:ilvl w:val="0"/>
          <w:numId w:val="1"/>
        </w:numPr>
        <w:spacing w:before="240" w:after="240" w:line="360" w:lineRule="auto"/>
        <w:rPr>
          <w:sz w:val="22"/>
          <w:szCs w:val="22"/>
        </w:rPr>
      </w:pPr>
      <w:r w:rsidRPr="532DFAFA">
        <w:rPr>
          <w:sz w:val="22"/>
          <w:szCs w:val="22"/>
        </w:rPr>
        <w:t xml:space="preserve">Barriers to Implementing Person-Centered Care and Partnership Working ............................................................................................. </w:t>
      </w:r>
      <w:r w:rsidR="1415787E" w:rsidRPr="532DFAFA">
        <w:rPr>
          <w:sz w:val="22"/>
          <w:szCs w:val="22"/>
        </w:rPr>
        <w:t>8 &amp;9</w:t>
      </w:r>
    </w:p>
    <w:p w14:paraId="462218FC" w14:textId="488DC56D" w:rsidR="00347F74" w:rsidRDefault="7ADB3D61" w:rsidP="532DFAFA">
      <w:pPr>
        <w:pStyle w:val="ListParagraph"/>
        <w:numPr>
          <w:ilvl w:val="0"/>
          <w:numId w:val="1"/>
        </w:numPr>
        <w:spacing w:before="240" w:after="240" w:line="360" w:lineRule="auto"/>
        <w:rPr>
          <w:sz w:val="22"/>
          <w:szCs w:val="22"/>
        </w:rPr>
      </w:pPr>
      <w:r w:rsidRPr="532DFAFA">
        <w:rPr>
          <w:sz w:val="22"/>
          <w:szCs w:val="22"/>
        </w:rPr>
        <w:t>Conclusion .................................................................................. 1</w:t>
      </w:r>
      <w:r w:rsidR="512C3D07" w:rsidRPr="532DFAFA">
        <w:rPr>
          <w:sz w:val="22"/>
          <w:szCs w:val="22"/>
        </w:rPr>
        <w:t>0</w:t>
      </w:r>
    </w:p>
    <w:p w14:paraId="331B4EF2" w14:textId="39BDB77F" w:rsidR="00347F74" w:rsidRDefault="7ADB3D61" w:rsidP="532DFAFA">
      <w:pPr>
        <w:pStyle w:val="ListParagraph"/>
        <w:numPr>
          <w:ilvl w:val="0"/>
          <w:numId w:val="1"/>
        </w:numPr>
        <w:spacing w:before="240" w:after="240" w:line="360" w:lineRule="auto"/>
        <w:rPr>
          <w:sz w:val="22"/>
          <w:szCs w:val="22"/>
        </w:rPr>
      </w:pPr>
      <w:r w:rsidRPr="532DFAFA">
        <w:rPr>
          <w:sz w:val="22"/>
          <w:szCs w:val="22"/>
        </w:rPr>
        <w:t>References ................................................................................. 1</w:t>
      </w:r>
      <w:r w:rsidR="5B2EDC74" w:rsidRPr="532DFAFA">
        <w:rPr>
          <w:sz w:val="22"/>
          <w:szCs w:val="22"/>
        </w:rPr>
        <w:t>1 &amp; 12</w:t>
      </w:r>
    </w:p>
    <w:p w14:paraId="44B7298B" w14:textId="7F3D855C" w:rsidR="00347F74" w:rsidRDefault="00347F74" w:rsidP="532DFAFA"/>
    <w:p w14:paraId="48A3E200" w14:textId="3651101B" w:rsidR="00347F74" w:rsidRDefault="00347F74" w:rsidP="532DFAFA">
      <w:pPr>
        <w:pStyle w:val="Heading1"/>
        <w:spacing w:before="322" w:after="322" w:line="360" w:lineRule="auto"/>
        <w:rPr>
          <w:rFonts w:ascii="Arial" w:eastAsia="Arial" w:hAnsi="Arial" w:cs="Arial"/>
          <w:color w:val="auto"/>
          <w:sz w:val="22"/>
          <w:szCs w:val="22"/>
        </w:rPr>
      </w:pPr>
    </w:p>
    <w:p w14:paraId="4ED3B43E" w14:textId="27DF94E4" w:rsidR="00347F74" w:rsidRDefault="00347F74" w:rsidP="532DFAFA">
      <w:pPr>
        <w:pStyle w:val="Heading1"/>
        <w:spacing w:before="322" w:after="322" w:line="360" w:lineRule="auto"/>
        <w:rPr>
          <w:rFonts w:ascii="Arial" w:eastAsia="Arial" w:hAnsi="Arial" w:cs="Arial"/>
          <w:color w:val="auto"/>
          <w:sz w:val="22"/>
          <w:szCs w:val="22"/>
        </w:rPr>
      </w:pPr>
    </w:p>
    <w:p w14:paraId="449BFDFA" w14:textId="60BCC1C2" w:rsidR="00347F74" w:rsidRDefault="00347F74" w:rsidP="532DFAFA">
      <w:pPr>
        <w:pStyle w:val="Heading1"/>
        <w:spacing w:before="322" w:after="322" w:line="360" w:lineRule="auto"/>
        <w:rPr>
          <w:rFonts w:ascii="Arial" w:eastAsia="Arial" w:hAnsi="Arial" w:cs="Arial"/>
          <w:color w:val="auto"/>
          <w:sz w:val="22"/>
          <w:szCs w:val="22"/>
        </w:rPr>
      </w:pPr>
    </w:p>
    <w:p w14:paraId="1B2AFB33" w14:textId="2910D2E7" w:rsidR="00347F74" w:rsidRDefault="00347F74" w:rsidP="532DFAFA">
      <w:pPr>
        <w:pStyle w:val="Heading1"/>
        <w:spacing w:before="322" w:after="322" w:line="360" w:lineRule="auto"/>
        <w:rPr>
          <w:rFonts w:ascii="Arial" w:eastAsia="Arial" w:hAnsi="Arial" w:cs="Arial"/>
          <w:color w:val="auto"/>
          <w:sz w:val="22"/>
          <w:szCs w:val="22"/>
        </w:rPr>
      </w:pPr>
    </w:p>
    <w:p w14:paraId="064780AE" w14:textId="7E1CBEBB" w:rsidR="00347F74" w:rsidRDefault="00347F74" w:rsidP="532DFAFA">
      <w:pPr>
        <w:pStyle w:val="Heading1"/>
        <w:spacing w:before="322" w:after="322" w:line="360" w:lineRule="auto"/>
        <w:rPr>
          <w:rFonts w:ascii="Arial" w:eastAsia="Arial" w:hAnsi="Arial" w:cs="Arial"/>
          <w:color w:val="auto"/>
          <w:sz w:val="22"/>
          <w:szCs w:val="22"/>
        </w:rPr>
      </w:pPr>
    </w:p>
    <w:p w14:paraId="52CDFFA1" w14:textId="4B1BFBDC" w:rsidR="00347F74" w:rsidRDefault="00347F74" w:rsidP="532DFAFA">
      <w:pPr>
        <w:pStyle w:val="Heading1"/>
        <w:spacing w:before="322" w:after="322" w:line="360" w:lineRule="auto"/>
        <w:rPr>
          <w:rFonts w:ascii="Arial" w:eastAsia="Arial" w:hAnsi="Arial" w:cs="Arial"/>
          <w:color w:val="auto"/>
          <w:sz w:val="22"/>
          <w:szCs w:val="22"/>
        </w:rPr>
      </w:pPr>
    </w:p>
    <w:p w14:paraId="055E8F50" w14:textId="2A5E46F0" w:rsidR="00347F74" w:rsidRDefault="2261060E" w:rsidP="5237CBAA">
      <w:pPr>
        <w:pStyle w:val="Heading1"/>
        <w:pageBreakBefore/>
        <w:spacing w:before="322" w:after="322" w:line="360" w:lineRule="auto"/>
        <w:contextualSpacing/>
        <w:rPr>
          <w:rFonts w:ascii="Arial" w:eastAsia="Arial" w:hAnsi="Arial" w:cs="Arial"/>
          <w:color w:val="auto"/>
          <w:sz w:val="22"/>
          <w:szCs w:val="22"/>
          <w:u w:val="single"/>
        </w:rPr>
      </w:pPr>
      <w:r w:rsidRPr="5237CBAA">
        <w:rPr>
          <w:rFonts w:ascii="Arial" w:eastAsia="Arial" w:hAnsi="Arial" w:cs="Arial"/>
          <w:color w:val="auto"/>
          <w:sz w:val="22"/>
          <w:szCs w:val="22"/>
          <w:u w:val="single"/>
        </w:rPr>
        <w:lastRenderedPageBreak/>
        <w:t>Evaluation of Person-</w:t>
      </w:r>
      <w:r w:rsidR="2125BAB1" w:rsidRPr="5237CBAA">
        <w:rPr>
          <w:rFonts w:ascii="Arial" w:eastAsia="Arial" w:hAnsi="Arial" w:cs="Arial"/>
          <w:color w:val="auto"/>
          <w:sz w:val="22"/>
          <w:szCs w:val="22"/>
          <w:u w:val="single"/>
        </w:rPr>
        <w:t>Centered</w:t>
      </w:r>
      <w:r w:rsidRPr="5237CBAA">
        <w:rPr>
          <w:rFonts w:ascii="Arial" w:eastAsia="Arial" w:hAnsi="Arial" w:cs="Arial"/>
          <w:color w:val="auto"/>
          <w:sz w:val="22"/>
          <w:szCs w:val="22"/>
          <w:u w:val="single"/>
        </w:rPr>
        <w:t xml:space="preserve"> Care and Partnership Working in Health and Social Care</w:t>
      </w:r>
    </w:p>
    <w:p w14:paraId="1EF31382" w14:textId="77777777" w:rsidR="002843C2" w:rsidRPr="002843C2" w:rsidRDefault="002843C2" w:rsidP="002843C2">
      <w:pPr>
        <w:spacing w:before="100" w:beforeAutospacing="1" w:after="100" w:afterAutospacing="1" w:line="360" w:lineRule="auto"/>
        <w:outlineLvl w:val="2"/>
        <w:rPr>
          <w:rFonts w:eastAsia="Times New Roman" w:cstheme="minorHAnsi"/>
          <w:sz w:val="22"/>
          <w:szCs w:val="22"/>
          <w:u w:val="single"/>
          <w:lang w:val="en-GB" w:eastAsia="en-GB"/>
        </w:rPr>
      </w:pPr>
      <w:r w:rsidRPr="002843C2">
        <w:rPr>
          <w:rFonts w:eastAsia="Times New Roman" w:cstheme="minorHAnsi"/>
          <w:sz w:val="22"/>
          <w:szCs w:val="22"/>
          <w:u w:val="single"/>
          <w:lang w:val="en-GB" w:eastAsia="en-GB"/>
        </w:rPr>
        <w:t>Abstract</w:t>
      </w:r>
    </w:p>
    <w:p w14:paraId="6E4021EA" w14:textId="77777777" w:rsidR="002843C2" w:rsidRPr="002843C2" w:rsidRDefault="002843C2" w:rsidP="002843C2">
      <w:pPr>
        <w:spacing w:before="100" w:beforeAutospacing="1" w:after="100" w:afterAutospacing="1" w:line="360" w:lineRule="auto"/>
        <w:rPr>
          <w:rFonts w:eastAsia="Times New Roman" w:cstheme="minorHAnsi"/>
          <w:sz w:val="22"/>
          <w:szCs w:val="22"/>
          <w:lang w:val="en-GB" w:eastAsia="en-GB"/>
        </w:rPr>
      </w:pPr>
      <w:r w:rsidRPr="002843C2">
        <w:rPr>
          <w:rFonts w:eastAsia="Times New Roman" w:cstheme="minorHAnsi"/>
          <w:sz w:val="22"/>
          <w:szCs w:val="22"/>
          <w:lang w:val="en-GB" w:eastAsia="en-GB"/>
        </w:rPr>
        <w:t>Person-centred care (PCC) and partnership working (PW) are key approaches in UK health and social care, promoting autonomy, collaboration, and integrated service delivery. This report explores their theoretical foundations, policy context, benefits, and limitations. It highlights ongoing challenges such as workforce pressures and inequalities, and considers future developments needed to strengthen effective, person-focused care.</w:t>
      </w:r>
    </w:p>
    <w:p w14:paraId="06796E40" w14:textId="77777777" w:rsidR="002843C2" w:rsidRPr="002843C2" w:rsidRDefault="002843C2" w:rsidP="002843C2">
      <w:pPr>
        <w:spacing w:before="100" w:beforeAutospacing="1" w:after="100" w:afterAutospacing="1" w:line="360" w:lineRule="auto"/>
        <w:outlineLvl w:val="2"/>
        <w:rPr>
          <w:rFonts w:eastAsia="Times New Roman" w:cstheme="minorHAnsi"/>
          <w:sz w:val="22"/>
          <w:szCs w:val="22"/>
          <w:u w:val="single"/>
          <w:lang w:val="en-GB" w:eastAsia="en-GB"/>
        </w:rPr>
      </w:pPr>
      <w:r w:rsidRPr="002843C2">
        <w:rPr>
          <w:rFonts w:eastAsia="Times New Roman" w:cstheme="minorHAnsi"/>
          <w:sz w:val="22"/>
          <w:szCs w:val="22"/>
          <w:u w:val="single"/>
          <w:lang w:val="en-GB" w:eastAsia="en-GB"/>
        </w:rPr>
        <w:t>Introduction</w:t>
      </w:r>
    </w:p>
    <w:p w14:paraId="7B874571" w14:textId="77777777" w:rsidR="002843C2" w:rsidRPr="002843C2" w:rsidRDefault="002843C2" w:rsidP="002843C2">
      <w:pPr>
        <w:spacing w:before="100" w:beforeAutospacing="1" w:after="100" w:afterAutospacing="1" w:line="360" w:lineRule="auto"/>
        <w:rPr>
          <w:rFonts w:eastAsia="Times New Roman" w:cstheme="minorHAnsi"/>
          <w:sz w:val="22"/>
          <w:szCs w:val="22"/>
          <w:lang w:val="en-GB" w:eastAsia="en-GB"/>
        </w:rPr>
      </w:pPr>
      <w:r w:rsidRPr="002843C2">
        <w:rPr>
          <w:rFonts w:eastAsia="Times New Roman" w:cstheme="minorHAnsi"/>
          <w:sz w:val="22"/>
          <w:szCs w:val="22"/>
          <w:lang w:val="en-GB" w:eastAsia="en-GB"/>
        </w:rPr>
        <w:t xml:space="preserve">Person-centred care (PCC) and partnership working (PW) are central to modern UK health and social care. Practice has shifted from paternalistic models to approaches that emphasise autonomy, collaboration, and holistic wellbeing (Coulter </w:t>
      </w:r>
      <w:r w:rsidRPr="002843C2">
        <w:rPr>
          <w:rFonts w:eastAsia="Times New Roman" w:cstheme="minorHAnsi"/>
          <w:i/>
          <w:iCs/>
          <w:sz w:val="22"/>
          <w:szCs w:val="22"/>
          <w:lang w:val="en-GB" w:eastAsia="en-GB"/>
        </w:rPr>
        <w:t>et al.,</w:t>
      </w:r>
      <w:r w:rsidRPr="002843C2">
        <w:rPr>
          <w:rFonts w:eastAsia="Times New Roman" w:cstheme="minorHAnsi"/>
          <w:sz w:val="22"/>
          <w:szCs w:val="22"/>
          <w:lang w:val="en-GB" w:eastAsia="en-GB"/>
        </w:rPr>
        <w:t xml:space="preserve"> 2022). This reflects growing recognition of individuals as active participants in their care (National Voices and Think Local Act Personal, 2021), alongside rising demand linked to ageing populations and long-term conditions.</w:t>
      </w:r>
    </w:p>
    <w:p w14:paraId="0F800919" w14:textId="77777777" w:rsidR="002843C2" w:rsidRPr="002843C2" w:rsidRDefault="002843C2" w:rsidP="002843C2">
      <w:pPr>
        <w:spacing w:before="100" w:beforeAutospacing="1" w:after="100" w:afterAutospacing="1" w:line="360" w:lineRule="auto"/>
        <w:rPr>
          <w:rFonts w:eastAsia="Times New Roman" w:cstheme="minorHAnsi"/>
          <w:sz w:val="22"/>
          <w:szCs w:val="22"/>
          <w:lang w:val="en-GB" w:eastAsia="en-GB"/>
        </w:rPr>
      </w:pPr>
      <w:r w:rsidRPr="002843C2">
        <w:rPr>
          <w:rFonts w:eastAsia="Times New Roman" w:cstheme="minorHAnsi"/>
          <w:sz w:val="22"/>
          <w:szCs w:val="22"/>
          <w:lang w:val="en-GB" w:eastAsia="en-GB"/>
        </w:rPr>
        <w:t>PCC focuses on tailoring care to individual needs and values, while partnership working promotes collaboration between professionals, organisations, and service users to improve coordination (Goodwin, 2020). Together, they aim to enhance continuity and reduce fragmentation.</w:t>
      </w:r>
    </w:p>
    <w:p w14:paraId="3DE9C01A" w14:textId="77777777" w:rsidR="002843C2" w:rsidRPr="002843C2" w:rsidRDefault="002843C2" w:rsidP="002843C2">
      <w:pPr>
        <w:spacing w:before="100" w:beforeAutospacing="1" w:after="100" w:afterAutospacing="1" w:line="360" w:lineRule="auto"/>
        <w:rPr>
          <w:rFonts w:eastAsia="Times New Roman" w:cstheme="minorHAnsi"/>
          <w:sz w:val="22"/>
          <w:szCs w:val="22"/>
          <w:lang w:val="en-GB" w:eastAsia="en-GB"/>
        </w:rPr>
      </w:pPr>
      <w:r w:rsidRPr="002843C2">
        <w:rPr>
          <w:rFonts w:eastAsia="Times New Roman" w:cstheme="minorHAnsi"/>
          <w:sz w:val="22"/>
          <w:szCs w:val="22"/>
          <w:lang w:val="en-GB" w:eastAsia="en-GB"/>
        </w:rPr>
        <w:t>However, challenges such as workforce shortages, financial pressures, and inequalities can limit implementation. This report critically examines the theoretical, ethical, and practical dimensions of PCC and partnership working in the UK context.</w:t>
      </w:r>
    </w:p>
    <w:p w14:paraId="709C8F92" w14:textId="77777777" w:rsidR="002843C2" w:rsidRPr="002843C2" w:rsidRDefault="002843C2" w:rsidP="002843C2"/>
    <w:p w14:paraId="1FAFAD4E" w14:textId="5BD33411" w:rsidR="00347F74" w:rsidRPr="00E3723D" w:rsidRDefault="4411691B" w:rsidP="00E3723D">
      <w:pPr>
        <w:pStyle w:val="Heading2"/>
        <w:spacing w:before="299" w:after="299" w:line="360" w:lineRule="auto"/>
        <w:rPr>
          <w:rFonts w:asciiTheme="minorHAnsi" w:eastAsia="Arial" w:hAnsiTheme="minorHAnsi" w:cstheme="minorHAnsi"/>
          <w:color w:val="auto"/>
          <w:sz w:val="22"/>
          <w:szCs w:val="22"/>
          <w:u w:val="single"/>
        </w:rPr>
      </w:pPr>
      <w:r w:rsidRPr="00E3723D">
        <w:rPr>
          <w:rFonts w:asciiTheme="minorHAnsi" w:eastAsia="Arial" w:hAnsiTheme="minorHAnsi" w:cstheme="minorHAnsi"/>
          <w:color w:val="auto"/>
          <w:sz w:val="22"/>
          <w:szCs w:val="22"/>
          <w:u w:val="single"/>
        </w:rPr>
        <w:t>Defining Person-</w:t>
      </w:r>
      <w:r w:rsidR="3FF23E0F" w:rsidRPr="00E3723D">
        <w:rPr>
          <w:rFonts w:asciiTheme="minorHAnsi" w:eastAsia="Arial" w:hAnsiTheme="minorHAnsi" w:cstheme="minorHAnsi"/>
          <w:color w:val="auto"/>
          <w:sz w:val="22"/>
          <w:szCs w:val="22"/>
          <w:u w:val="single"/>
        </w:rPr>
        <w:t>Centered</w:t>
      </w:r>
      <w:r w:rsidRPr="00E3723D">
        <w:rPr>
          <w:rFonts w:asciiTheme="minorHAnsi" w:eastAsia="Arial" w:hAnsiTheme="minorHAnsi" w:cstheme="minorHAnsi"/>
          <w:color w:val="auto"/>
          <w:sz w:val="22"/>
          <w:szCs w:val="22"/>
          <w:u w:val="single"/>
        </w:rPr>
        <w:t xml:space="preserve"> Care: Benefits and Limitations</w:t>
      </w:r>
    </w:p>
    <w:p w14:paraId="674EB085" w14:textId="0F41D1E3" w:rsidR="00347F74" w:rsidRPr="00E3723D" w:rsidRDefault="4411691B" w:rsidP="00E3723D">
      <w:pPr>
        <w:spacing w:before="240" w:after="240" w:line="360" w:lineRule="auto"/>
        <w:rPr>
          <w:rFonts w:eastAsia="Arial" w:cstheme="minorHAnsi"/>
          <w:sz w:val="22"/>
          <w:szCs w:val="22"/>
        </w:rPr>
      </w:pPr>
      <w:r w:rsidRPr="00E3723D">
        <w:rPr>
          <w:rFonts w:eastAsia="Arial" w:cstheme="minorHAnsi"/>
          <w:sz w:val="22"/>
          <w:szCs w:val="22"/>
        </w:rPr>
        <w:t>Person-</w:t>
      </w:r>
      <w:r w:rsidR="0D8C484B" w:rsidRPr="00E3723D">
        <w:rPr>
          <w:rFonts w:eastAsia="Arial" w:cstheme="minorHAnsi"/>
          <w:sz w:val="22"/>
          <w:szCs w:val="22"/>
        </w:rPr>
        <w:t>centered</w:t>
      </w:r>
      <w:r w:rsidRPr="00E3723D">
        <w:rPr>
          <w:rFonts w:eastAsia="Arial" w:cstheme="minorHAnsi"/>
          <w:sz w:val="22"/>
          <w:szCs w:val="22"/>
        </w:rPr>
        <w:t xml:space="preserve"> care can be defined as an approach to planning and delivering care that respects and responds to individual preferences, needs and values, ensuring that the person guides all clinical decisions (Morgan and Yoder, 2022). It emphasises dignity, respect, shared decision-</w:t>
      </w:r>
      <w:r w:rsidR="03548757" w:rsidRPr="00E3723D">
        <w:rPr>
          <w:rFonts w:eastAsia="Arial" w:cstheme="minorHAnsi"/>
          <w:sz w:val="22"/>
          <w:szCs w:val="22"/>
        </w:rPr>
        <w:t>making,</w:t>
      </w:r>
      <w:r w:rsidRPr="00E3723D">
        <w:rPr>
          <w:rFonts w:eastAsia="Arial" w:cstheme="minorHAnsi"/>
          <w:sz w:val="22"/>
          <w:szCs w:val="22"/>
        </w:rPr>
        <w:t xml:space="preserve"> and empowerment (National Voices and Think Local Act Personal, 2021). </w:t>
      </w:r>
      <w:r w:rsidRPr="00E3723D">
        <w:rPr>
          <w:rFonts w:eastAsia="Arial" w:cstheme="minorHAnsi"/>
          <w:sz w:val="22"/>
          <w:szCs w:val="22"/>
        </w:rPr>
        <w:lastRenderedPageBreak/>
        <w:t>PCC recognises individuals as experts in their own lives and encourages professionals to work collaboratively rather than authoritatively.</w:t>
      </w:r>
    </w:p>
    <w:p w14:paraId="1EF5BC6B" w14:textId="01903185" w:rsidR="00347F74" w:rsidRPr="00E3723D" w:rsidRDefault="4411691B" w:rsidP="00E3723D">
      <w:pPr>
        <w:pStyle w:val="Heading3"/>
        <w:spacing w:before="281" w:after="281" w:line="360" w:lineRule="auto"/>
        <w:rPr>
          <w:rFonts w:eastAsia="Arial" w:cstheme="minorHAnsi"/>
          <w:color w:val="auto"/>
          <w:sz w:val="22"/>
          <w:szCs w:val="22"/>
          <w:u w:val="single"/>
        </w:rPr>
      </w:pPr>
      <w:r w:rsidRPr="00E3723D">
        <w:rPr>
          <w:rFonts w:eastAsia="Arial" w:cstheme="minorHAnsi"/>
          <w:color w:val="auto"/>
          <w:sz w:val="22"/>
          <w:szCs w:val="22"/>
          <w:u w:val="single"/>
        </w:rPr>
        <w:t>Benefits of Person-</w:t>
      </w:r>
      <w:r w:rsidR="2BA6FFAE" w:rsidRPr="00E3723D">
        <w:rPr>
          <w:rFonts w:eastAsia="Arial" w:cstheme="minorHAnsi"/>
          <w:color w:val="auto"/>
          <w:sz w:val="22"/>
          <w:szCs w:val="22"/>
          <w:u w:val="single"/>
        </w:rPr>
        <w:t>Centered</w:t>
      </w:r>
      <w:r w:rsidRPr="00E3723D">
        <w:rPr>
          <w:rFonts w:eastAsia="Arial" w:cstheme="minorHAnsi"/>
          <w:color w:val="auto"/>
          <w:sz w:val="22"/>
          <w:szCs w:val="22"/>
          <w:u w:val="single"/>
        </w:rPr>
        <w:t xml:space="preserve"> Care</w:t>
      </w:r>
    </w:p>
    <w:p w14:paraId="4508E0AB" w14:textId="1201E54F" w:rsidR="00347F74" w:rsidRPr="00E3723D" w:rsidRDefault="4411691B" w:rsidP="00E3723D">
      <w:pPr>
        <w:spacing w:before="240" w:after="240" w:line="360" w:lineRule="auto"/>
        <w:rPr>
          <w:rFonts w:eastAsia="Arial" w:cstheme="minorHAnsi"/>
          <w:sz w:val="22"/>
          <w:szCs w:val="22"/>
        </w:rPr>
      </w:pPr>
      <w:r w:rsidRPr="00E3723D">
        <w:rPr>
          <w:rFonts w:eastAsia="Arial" w:cstheme="minorHAnsi"/>
          <w:sz w:val="22"/>
          <w:szCs w:val="22"/>
        </w:rPr>
        <w:t xml:space="preserve">One significant benefit of PCC is improved health outcomes. When individuals are involved in decision-making, they are more likely to adhere to treatment plans and engage in self-management </w:t>
      </w:r>
      <w:r w:rsidR="77E94727" w:rsidRPr="00E3723D">
        <w:rPr>
          <w:rFonts w:eastAsia="Arial" w:cstheme="minorHAnsi"/>
          <w:sz w:val="22"/>
          <w:szCs w:val="22"/>
        </w:rPr>
        <w:t>behaviors</w:t>
      </w:r>
      <w:r w:rsidRPr="00E3723D">
        <w:rPr>
          <w:rFonts w:eastAsia="Arial" w:cstheme="minorHAnsi"/>
          <w:sz w:val="22"/>
          <w:szCs w:val="22"/>
        </w:rPr>
        <w:t>, particularly in long-term conditions (Dwamena</w:t>
      </w:r>
      <w:r w:rsidRPr="00E3723D">
        <w:rPr>
          <w:rFonts w:eastAsia="Arial" w:cstheme="minorHAnsi"/>
          <w:i/>
          <w:iCs/>
          <w:sz w:val="22"/>
          <w:szCs w:val="22"/>
        </w:rPr>
        <w:t xml:space="preserve"> et al.</w:t>
      </w:r>
      <w:r w:rsidRPr="00E3723D">
        <w:rPr>
          <w:rFonts w:eastAsia="Arial" w:cstheme="minorHAnsi"/>
          <w:sz w:val="22"/>
          <w:szCs w:val="22"/>
        </w:rPr>
        <w:t>, 2023). Active participation strengthens motivation and accountability.</w:t>
      </w:r>
    </w:p>
    <w:p w14:paraId="4C3F398C" w14:textId="1AE10774" w:rsidR="00347F74" w:rsidRPr="00E3723D" w:rsidRDefault="4411691B" w:rsidP="00E3723D">
      <w:pPr>
        <w:spacing w:before="240" w:after="240" w:line="360" w:lineRule="auto"/>
        <w:rPr>
          <w:rFonts w:eastAsia="Arial" w:cstheme="minorHAnsi"/>
          <w:sz w:val="22"/>
          <w:szCs w:val="22"/>
        </w:rPr>
      </w:pPr>
      <w:r w:rsidRPr="00E3723D">
        <w:rPr>
          <w:rFonts w:eastAsia="Arial" w:cstheme="minorHAnsi"/>
          <w:sz w:val="22"/>
          <w:szCs w:val="22"/>
        </w:rPr>
        <w:t>PCC also enhances satisfaction and trust. Service users who feel heard and respected report more positive experiences and greater confidence in professionals (Coulter</w:t>
      </w:r>
      <w:r w:rsidRPr="00E3723D">
        <w:rPr>
          <w:rFonts w:eastAsia="Arial" w:cstheme="minorHAnsi"/>
          <w:i/>
          <w:iCs/>
          <w:sz w:val="22"/>
          <w:szCs w:val="22"/>
        </w:rPr>
        <w:t xml:space="preserve"> et al.</w:t>
      </w:r>
      <w:r w:rsidRPr="00E3723D">
        <w:rPr>
          <w:rFonts w:eastAsia="Arial" w:cstheme="minorHAnsi"/>
          <w:sz w:val="22"/>
          <w:szCs w:val="22"/>
        </w:rPr>
        <w:t>, 2022). Strong therapeutic relationships contribute to better communication and reduced complaints.</w:t>
      </w:r>
    </w:p>
    <w:p w14:paraId="29018041" w14:textId="7A2EA99E" w:rsidR="00347F74" w:rsidRPr="00E3723D" w:rsidRDefault="42E94547" w:rsidP="00E3723D">
      <w:pPr>
        <w:spacing w:before="240" w:after="240" w:line="360" w:lineRule="auto"/>
        <w:rPr>
          <w:rFonts w:eastAsia="Arial" w:cstheme="minorHAnsi"/>
          <w:sz w:val="22"/>
          <w:szCs w:val="22"/>
        </w:rPr>
      </w:pPr>
      <w:r w:rsidRPr="00E3723D">
        <w:rPr>
          <w:rFonts w:eastAsia="Arial" w:cstheme="minorHAnsi"/>
          <w:sz w:val="22"/>
          <w:szCs w:val="22"/>
        </w:rPr>
        <w:t>Empowerment is another core benefit. By supporting individuals to articulate their goals and preferences, PCC promotes autonomy and independence (Morgan and Yoder, 2022). This aligns with human rights principles embedded in UK care legislation.</w:t>
      </w:r>
    </w:p>
    <w:p w14:paraId="52CC9FE1" w14:textId="4D3C737E" w:rsidR="00347F74" w:rsidRPr="00E3723D" w:rsidRDefault="1788FA10" w:rsidP="00E3723D">
      <w:pPr>
        <w:spacing w:before="240" w:after="240" w:line="360" w:lineRule="auto"/>
        <w:rPr>
          <w:rFonts w:eastAsia="Arial" w:cstheme="minorHAnsi"/>
          <w:sz w:val="22"/>
          <w:szCs w:val="22"/>
          <w:u w:val="single"/>
        </w:rPr>
      </w:pPr>
      <w:r w:rsidRPr="00E3723D">
        <w:rPr>
          <w:rFonts w:eastAsia="Arial" w:cstheme="minorHAnsi"/>
          <w:sz w:val="22"/>
          <w:szCs w:val="22"/>
        </w:rPr>
        <w:t>Additionally,</w:t>
      </w:r>
      <w:r w:rsidR="6D5F8547" w:rsidRPr="00E3723D">
        <w:rPr>
          <w:rFonts w:eastAsia="Arial" w:cstheme="minorHAnsi"/>
          <w:sz w:val="22"/>
          <w:szCs w:val="22"/>
        </w:rPr>
        <w:t xml:space="preserve"> Edvardsson, </w:t>
      </w:r>
      <w:r w:rsidR="3BE289DB" w:rsidRPr="00E3723D">
        <w:rPr>
          <w:rFonts w:eastAsia="Arial" w:cstheme="minorHAnsi"/>
          <w:sz w:val="22"/>
          <w:szCs w:val="22"/>
        </w:rPr>
        <w:t>Watt,</w:t>
      </w:r>
      <w:r w:rsidR="6D5F8547" w:rsidRPr="00E3723D">
        <w:rPr>
          <w:rFonts w:eastAsia="Arial" w:cstheme="minorHAnsi"/>
          <w:sz w:val="22"/>
          <w:szCs w:val="22"/>
        </w:rPr>
        <w:t xml:space="preserve"> and Pearce (2019) states that PCC</w:t>
      </w:r>
      <w:r w:rsidRPr="00E3723D">
        <w:rPr>
          <w:rFonts w:eastAsia="Arial" w:cstheme="minorHAnsi"/>
          <w:sz w:val="22"/>
          <w:szCs w:val="22"/>
        </w:rPr>
        <w:t xml:space="preserve"> encourages holistic assessment, considering psychological, </w:t>
      </w:r>
      <w:r w:rsidR="04DFE857" w:rsidRPr="00E3723D">
        <w:rPr>
          <w:rFonts w:eastAsia="Arial" w:cstheme="minorHAnsi"/>
          <w:sz w:val="22"/>
          <w:szCs w:val="22"/>
        </w:rPr>
        <w:t>social,</w:t>
      </w:r>
      <w:r w:rsidRPr="00E3723D">
        <w:rPr>
          <w:rFonts w:eastAsia="Arial" w:cstheme="minorHAnsi"/>
          <w:sz w:val="22"/>
          <w:szCs w:val="22"/>
        </w:rPr>
        <w:t xml:space="preserve"> and cultural dimensions of wellbeing rather than focusing solely on biomedical symptoms. This reduces fragmentation and improves continuity of care.</w:t>
      </w:r>
    </w:p>
    <w:p w14:paraId="43906A0A" w14:textId="29FEB09A" w:rsidR="00347F74" w:rsidRPr="00E3723D" w:rsidRDefault="4411691B" w:rsidP="00E3723D">
      <w:pPr>
        <w:pStyle w:val="Heading3"/>
        <w:spacing w:before="281" w:after="281" w:line="360" w:lineRule="auto"/>
        <w:rPr>
          <w:rFonts w:eastAsia="Arial" w:cstheme="minorHAnsi"/>
          <w:color w:val="auto"/>
          <w:sz w:val="22"/>
          <w:szCs w:val="22"/>
          <w:u w:val="single"/>
        </w:rPr>
      </w:pPr>
      <w:r w:rsidRPr="00E3723D">
        <w:rPr>
          <w:rFonts w:eastAsia="Arial" w:cstheme="minorHAnsi"/>
          <w:color w:val="auto"/>
          <w:sz w:val="22"/>
          <w:szCs w:val="22"/>
          <w:u w:val="single"/>
        </w:rPr>
        <w:t>Limitations of Person-</w:t>
      </w:r>
      <w:r w:rsidR="538A5E57" w:rsidRPr="00E3723D">
        <w:rPr>
          <w:rFonts w:eastAsia="Arial" w:cstheme="minorHAnsi"/>
          <w:color w:val="auto"/>
          <w:sz w:val="22"/>
          <w:szCs w:val="22"/>
          <w:u w:val="single"/>
        </w:rPr>
        <w:t>Centered</w:t>
      </w:r>
      <w:r w:rsidRPr="00E3723D">
        <w:rPr>
          <w:rFonts w:eastAsia="Arial" w:cstheme="minorHAnsi"/>
          <w:color w:val="auto"/>
          <w:sz w:val="22"/>
          <w:szCs w:val="22"/>
          <w:u w:val="single"/>
        </w:rPr>
        <w:t xml:space="preserve"> Care</w:t>
      </w:r>
    </w:p>
    <w:p w14:paraId="00761510" w14:textId="7DBA4355" w:rsidR="00347F74" w:rsidRPr="00E3723D" w:rsidRDefault="4411691B" w:rsidP="00E3723D">
      <w:pPr>
        <w:spacing w:before="240" w:after="240" w:line="360" w:lineRule="auto"/>
        <w:rPr>
          <w:rFonts w:eastAsia="Arial" w:cstheme="minorHAnsi"/>
          <w:sz w:val="22"/>
          <w:szCs w:val="22"/>
        </w:rPr>
      </w:pPr>
      <w:r w:rsidRPr="00E3723D">
        <w:rPr>
          <w:rFonts w:eastAsia="Arial" w:cstheme="minorHAnsi"/>
          <w:sz w:val="22"/>
          <w:szCs w:val="22"/>
        </w:rPr>
        <w:t xml:space="preserve">Despite its advantages, PCC faces implementation challenges. Workforce shortages and time pressures limit opportunities for meaningful dialogue and shared planning (Rivas </w:t>
      </w:r>
      <w:r w:rsidRPr="00E3723D">
        <w:rPr>
          <w:rFonts w:eastAsia="Arial" w:cstheme="minorHAnsi"/>
          <w:i/>
          <w:iCs/>
          <w:sz w:val="22"/>
          <w:szCs w:val="22"/>
        </w:rPr>
        <w:t>et al.</w:t>
      </w:r>
      <w:r w:rsidRPr="00E3723D">
        <w:rPr>
          <w:rFonts w:eastAsia="Arial" w:cstheme="minorHAnsi"/>
          <w:sz w:val="22"/>
          <w:szCs w:val="22"/>
        </w:rPr>
        <w:t>, 2025). In overstretched services, personalised care may be reduced to procedural tasks rather than genuine engagement.</w:t>
      </w:r>
    </w:p>
    <w:p w14:paraId="5BA04B83" w14:textId="546B1539" w:rsidR="00347F74" w:rsidRPr="00E3723D" w:rsidRDefault="4411691B" w:rsidP="00E3723D">
      <w:pPr>
        <w:spacing w:before="240" w:after="240" w:line="360" w:lineRule="auto"/>
        <w:rPr>
          <w:rFonts w:eastAsia="Arial" w:cstheme="minorHAnsi"/>
          <w:sz w:val="22"/>
          <w:szCs w:val="22"/>
        </w:rPr>
      </w:pPr>
      <w:r w:rsidRPr="00E3723D">
        <w:rPr>
          <w:rFonts w:eastAsia="Arial" w:cstheme="minorHAnsi"/>
          <w:sz w:val="22"/>
          <w:szCs w:val="22"/>
        </w:rPr>
        <w:t xml:space="preserve">Organisational culture can also hinder PCC. Traditional hierarchical systems may </w:t>
      </w:r>
      <w:r w:rsidR="76307E8B" w:rsidRPr="00E3723D">
        <w:rPr>
          <w:rFonts w:eastAsia="Arial" w:cstheme="minorHAnsi"/>
          <w:sz w:val="22"/>
          <w:szCs w:val="22"/>
        </w:rPr>
        <w:t>priorities</w:t>
      </w:r>
      <w:r w:rsidRPr="00E3723D">
        <w:rPr>
          <w:rFonts w:eastAsia="Arial" w:cstheme="minorHAnsi"/>
          <w:sz w:val="22"/>
          <w:szCs w:val="22"/>
        </w:rPr>
        <w:t xml:space="preserve"> efficiency and risk management over relational care (Brownie and Nancarrow, 2024). Without structural support, PCC risks becoming tokenistic.</w:t>
      </w:r>
    </w:p>
    <w:p w14:paraId="141A15FC" w14:textId="6B849042" w:rsidR="00347F74" w:rsidRPr="00E3723D" w:rsidRDefault="42E94547" w:rsidP="00E3723D">
      <w:pPr>
        <w:spacing w:before="240" w:after="240" w:line="360" w:lineRule="auto"/>
        <w:rPr>
          <w:rFonts w:eastAsia="Arial" w:cstheme="minorHAnsi"/>
          <w:sz w:val="22"/>
          <w:szCs w:val="22"/>
        </w:rPr>
      </w:pPr>
      <w:r w:rsidRPr="00E3723D">
        <w:rPr>
          <w:rFonts w:eastAsia="Arial" w:cstheme="minorHAnsi"/>
          <w:sz w:val="22"/>
          <w:szCs w:val="22"/>
        </w:rPr>
        <w:t>Ethical tensions may arise when respecting autonomy conflicts with safeguarding responsibilities. Balancing individual choice with professional duty of care can create dilemmas, particularly in situations involving risk (Thompson and Heron, 2021).</w:t>
      </w:r>
    </w:p>
    <w:p w14:paraId="5071701B" w14:textId="27BC4531" w:rsidR="00347F74" w:rsidRPr="00E3723D" w:rsidRDefault="4411691B" w:rsidP="00E3723D">
      <w:pPr>
        <w:spacing w:before="240" w:after="240" w:line="360" w:lineRule="auto"/>
        <w:rPr>
          <w:rFonts w:eastAsia="Arial" w:cstheme="minorHAnsi"/>
          <w:sz w:val="22"/>
          <w:szCs w:val="22"/>
        </w:rPr>
      </w:pPr>
      <w:r w:rsidRPr="00E3723D">
        <w:rPr>
          <w:rFonts w:eastAsia="Arial" w:cstheme="minorHAnsi"/>
          <w:sz w:val="22"/>
          <w:szCs w:val="22"/>
        </w:rPr>
        <w:lastRenderedPageBreak/>
        <w:t>Finally, inequalities may affect delivery. Individuals from marginalised communities may experience barriers to fully participating in care decisions due to language, cultural or socio-economic factors (Rivas</w:t>
      </w:r>
      <w:r w:rsidRPr="00E3723D">
        <w:rPr>
          <w:rFonts w:eastAsia="Arial" w:cstheme="minorHAnsi"/>
          <w:i/>
          <w:iCs/>
          <w:sz w:val="22"/>
          <w:szCs w:val="22"/>
        </w:rPr>
        <w:t xml:space="preserve"> et al.</w:t>
      </w:r>
      <w:r w:rsidRPr="00E3723D">
        <w:rPr>
          <w:rFonts w:eastAsia="Arial" w:cstheme="minorHAnsi"/>
          <w:sz w:val="22"/>
          <w:szCs w:val="22"/>
        </w:rPr>
        <w:t>, 2025). Therefore, equitable implementation requires cultural competence and inclusive practice.</w:t>
      </w:r>
    </w:p>
    <w:p w14:paraId="6873A7C8" w14:textId="6D75A892" w:rsidR="00347F74" w:rsidRPr="00E3723D" w:rsidRDefault="4411691B" w:rsidP="00E3723D">
      <w:pPr>
        <w:pStyle w:val="Heading2"/>
        <w:spacing w:before="299" w:after="299" w:line="360" w:lineRule="auto"/>
        <w:rPr>
          <w:rFonts w:asciiTheme="minorHAnsi" w:eastAsia="Arial" w:hAnsiTheme="minorHAnsi" w:cstheme="minorHAnsi"/>
          <w:color w:val="auto"/>
          <w:sz w:val="22"/>
          <w:szCs w:val="22"/>
          <w:u w:val="single"/>
        </w:rPr>
      </w:pPr>
      <w:r w:rsidRPr="00E3723D">
        <w:rPr>
          <w:rFonts w:asciiTheme="minorHAnsi" w:eastAsia="Arial" w:hAnsiTheme="minorHAnsi" w:cstheme="minorHAnsi"/>
          <w:color w:val="auto"/>
          <w:sz w:val="22"/>
          <w:szCs w:val="22"/>
          <w:u w:val="single"/>
        </w:rPr>
        <w:t>Theoretical Model Underpinning Person-</w:t>
      </w:r>
      <w:r w:rsidR="754C4CF5" w:rsidRPr="00E3723D">
        <w:rPr>
          <w:rFonts w:asciiTheme="minorHAnsi" w:eastAsia="Arial" w:hAnsiTheme="minorHAnsi" w:cstheme="minorHAnsi"/>
          <w:color w:val="auto"/>
          <w:sz w:val="22"/>
          <w:szCs w:val="22"/>
          <w:u w:val="single"/>
        </w:rPr>
        <w:t>Centered</w:t>
      </w:r>
      <w:r w:rsidRPr="00E3723D">
        <w:rPr>
          <w:rFonts w:asciiTheme="minorHAnsi" w:eastAsia="Arial" w:hAnsiTheme="minorHAnsi" w:cstheme="minorHAnsi"/>
          <w:color w:val="auto"/>
          <w:sz w:val="22"/>
          <w:szCs w:val="22"/>
          <w:u w:val="single"/>
        </w:rPr>
        <w:t xml:space="preserve"> Care</w:t>
      </w:r>
    </w:p>
    <w:p w14:paraId="07B21573" w14:textId="1D7080F2" w:rsidR="00347F74" w:rsidRPr="00E3723D" w:rsidRDefault="1788FA10" w:rsidP="00E3723D">
      <w:pPr>
        <w:spacing w:before="240" w:after="240" w:line="360" w:lineRule="auto"/>
        <w:rPr>
          <w:rFonts w:eastAsia="Arial" w:cstheme="minorHAnsi"/>
          <w:sz w:val="22"/>
          <w:szCs w:val="22"/>
        </w:rPr>
      </w:pPr>
      <w:r w:rsidRPr="00E3723D">
        <w:rPr>
          <w:rFonts w:eastAsia="Arial" w:cstheme="minorHAnsi"/>
          <w:sz w:val="22"/>
          <w:szCs w:val="22"/>
        </w:rPr>
        <w:t>The humanistic psychology of Carl Rogers provides a key theoretical foundation for PCC</w:t>
      </w:r>
      <w:r w:rsidR="613BB9AA" w:rsidRPr="00E3723D">
        <w:rPr>
          <w:rFonts w:eastAsia="Arial" w:cstheme="minorHAnsi"/>
          <w:sz w:val="22"/>
          <w:szCs w:val="22"/>
        </w:rPr>
        <w:t xml:space="preserve"> </w:t>
      </w:r>
      <w:r w:rsidR="000905AB" w:rsidRPr="00E3723D">
        <w:rPr>
          <w:rFonts w:cstheme="minorHAnsi"/>
          <w:sz w:val="22"/>
          <w:szCs w:val="22"/>
        </w:rPr>
        <w:t>(Rogers, 1951).</w:t>
      </w:r>
      <w:r w:rsidRPr="00E3723D">
        <w:rPr>
          <w:rFonts w:eastAsia="Arial" w:cstheme="minorHAnsi"/>
          <w:sz w:val="22"/>
          <w:szCs w:val="22"/>
        </w:rPr>
        <w:t xml:space="preserve"> Rogers argued that individuals have an inherent capacity for growth when supported by three core conditions: empathy, unconditional positive </w:t>
      </w:r>
      <w:r w:rsidR="5EA02ACA" w:rsidRPr="00E3723D">
        <w:rPr>
          <w:rFonts w:eastAsia="Arial" w:cstheme="minorHAnsi"/>
          <w:sz w:val="22"/>
          <w:szCs w:val="22"/>
        </w:rPr>
        <w:t>regard,</w:t>
      </w:r>
      <w:r w:rsidRPr="00E3723D">
        <w:rPr>
          <w:rFonts w:eastAsia="Arial" w:cstheme="minorHAnsi"/>
          <w:sz w:val="22"/>
          <w:szCs w:val="22"/>
        </w:rPr>
        <w:t xml:space="preserve"> and congruence. These principles underpin relational approaches in nursing and social work practice (Moore </w:t>
      </w:r>
      <w:r w:rsidRPr="00E3723D">
        <w:rPr>
          <w:rFonts w:eastAsia="Arial" w:cstheme="minorHAnsi"/>
          <w:i/>
          <w:iCs/>
          <w:sz w:val="22"/>
          <w:szCs w:val="22"/>
        </w:rPr>
        <w:t>et al</w:t>
      </w:r>
      <w:r w:rsidRPr="00E3723D">
        <w:rPr>
          <w:rFonts w:eastAsia="Arial" w:cstheme="minorHAnsi"/>
          <w:sz w:val="22"/>
          <w:szCs w:val="22"/>
        </w:rPr>
        <w:t>., 2023).</w:t>
      </w:r>
    </w:p>
    <w:p w14:paraId="6679CE68" w14:textId="5ED20834" w:rsidR="00347F74" w:rsidRPr="00E3723D" w:rsidRDefault="4411691B" w:rsidP="00E3723D">
      <w:pPr>
        <w:spacing w:before="240" w:after="240" w:line="360" w:lineRule="auto"/>
        <w:rPr>
          <w:rFonts w:eastAsia="Arial" w:cstheme="minorHAnsi"/>
          <w:sz w:val="22"/>
          <w:szCs w:val="22"/>
        </w:rPr>
      </w:pPr>
      <w:r w:rsidRPr="00E3723D">
        <w:rPr>
          <w:rFonts w:eastAsia="Arial" w:cstheme="minorHAnsi"/>
          <w:sz w:val="22"/>
          <w:szCs w:val="22"/>
        </w:rPr>
        <w:t xml:space="preserve">Empathy involves understanding experiences from the service user’s perspective. Unconditional positive regard reflects </w:t>
      </w:r>
      <w:r w:rsidR="10786363" w:rsidRPr="00E3723D">
        <w:rPr>
          <w:rFonts w:eastAsia="Arial" w:cstheme="minorHAnsi"/>
          <w:sz w:val="22"/>
          <w:szCs w:val="22"/>
        </w:rPr>
        <w:t>non-judgmental</w:t>
      </w:r>
      <w:r w:rsidRPr="00E3723D">
        <w:rPr>
          <w:rFonts w:eastAsia="Arial" w:cstheme="minorHAnsi"/>
          <w:sz w:val="22"/>
          <w:szCs w:val="22"/>
        </w:rPr>
        <w:t xml:space="preserve"> acceptance. Congruence requires authenticity and honesty within professional relationships. These elements align directly with person-</w:t>
      </w:r>
      <w:r w:rsidR="6FF77BCE" w:rsidRPr="00E3723D">
        <w:rPr>
          <w:rFonts w:eastAsia="Arial" w:cstheme="minorHAnsi"/>
          <w:sz w:val="22"/>
          <w:szCs w:val="22"/>
        </w:rPr>
        <w:t>centered</w:t>
      </w:r>
      <w:r w:rsidRPr="00E3723D">
        <w:rPr>
          <w:rFonts w:eastAsia="Arial" w:cstheme="minorHAnsi"/>
          <w:sz w:val="22"/>
          <w:szCs w:val="22"/>
        </w:rPr>
        <w:t xml:space="preserve"> practice, where professionals aim to collaborate, listen actively and respect personal narratives.</w:t>
      </w:r>
    </w:p>
    <w:p w14:paraId="2F129260" w14:textId="27225474" w:rsidR="00347F74" w:rsidRPr="00E3723D" w:rsidRDefault="4411691B" w:rsidP="00E3723D">
      <w:pPr>
        <w:spacing w:before="240" w:after="240" w:line="360" w:lineRule="auto"/>
        <w:rPr>
          <w:rFonts w:eastAsia="Arial" w:cstheme="minorHAnsi"/>
          <w:sz w:val="22"/>
          <w:szCs w:val="22"/>
        </w:rPr>
      </w:pPr>
      <w:r w:rsidRPr="00E3723D">
        <w:rPr>
          <w:rFonts w:eastAsia="Arial" w:cstheme="minorHAnsi"/>
          <w:sz w:val="22"/>
          <w:szCs w:val="22"/>
        </w:rPr>
        <w:t xml:space="preserve">However, Rogers’ model has limitations. While it emphasises interpersonal dynamics, it does not sufficiently address systemic factors such as funding constraints, organisational </w:t>
      </w:r>
      <w:r w:rsidR="4A59B724" w:rsidRPr="00E3723D">
        <w:rPr>
          <w:rFonts w:eastAsia="Arial" w:cstheme="minorHAnsi"/>
          <w:sz w:val="22"/>
          <w:szCs w:val="22"/>
        </w:rPr>
        <w:t>governance,</w:t>
      </w:r>
      <w:r w:rsidRPr="00E3723D">
        <w:rPr>
          <w:rFonts w:eastAsia="Arial" w:cstheme="minorHAnsi"/>
          <w:sz w:val="22"/>
          <w:szCs w:val="22"/>
        </w:rPr>
        <w:t xml:space="preserve"> or structural inequalities (Goodwin, 2020). Modern health systems are shaped by policy targets and accountability frameworks that may restrict flexibility.</w:t>
      </w:r>
    </w:p>
    <w:p w14:paraId="1B634C5F" w14:textId="162BFE14" w:rsidR="00347F74" w:rsidRPr="00E3723D" w:rsidRDefault="3C9E0954" w:rsidP="00E3723D">
      <w:pPr>
        <w:spacing w:before="240" w:after="240" w:line="360" w:lineRule="auto"/>
        <w:rPr>
          <w:rFonts w:eastAsia="Arial" w:cstheme="minorHAnsi"/>
          <w:sz w:val="22"/>
          <w:szCs w:val="22"/>
        </w:rPr>
      </w:pPr>
      <w:r w:rsidRPr="00E3723D">
        <w:rPr>
          <w:rFonts w:eastAsia="Arial" w:cstheme="minorHAnsi"/>
          <w:sz w:val="22"/>
          <w:szCs w:val="22"/>
        </w:rPr>
        <w:t>Furthermore, the emphasis on individual autonomy may reflect Western cultural norms and may require adaptation in collectivist contexts (Minkman, 2020). Despite these critiques, Rogers’ theory remains foundational in shaping the relational and ethical dimensions of PCC.</w:t>
      </w:r>
    </w:p>
    <w:p w14:paraId="6E5CFB2C" w14:textId="77777777" w:rsidR="007B702B" w:rsidRPr="00E3723D" w:rsidRDefault="007B702B" w:rsidP="00E3723D">
      <w:pPr>
        <w:pStyle w:val="NormalWeb"/>
        <w:spacing w:line="360" w:lineRule="auto"/>
        <w:rPr>
          <w:rFonts w:asciiTheme="minorHAnsi" w:hAnsiTheme="minorHAnsi" w:cstheme="minorHAnsi"/>
          <w:sz w:val="22"/>
          <w:szCs w:val="22"/>
        </w:rPr>
      </w:pPr>
      <w:r w:rsidRPr="00E3723D">
        <w:rPr>
          <w:rFonts w:asciiTheme="minorHAnsi" w:hAnsiTheme="minorHAnsi" w:cstheme="minorHAnsi"/>
          <w:sz w:val="22"/>
          <w:szCs w:val="22"/>
        </w:rPr>
        <w:t xml:space="preserve">The humanistic psychology of </w:t>
      </w:r>
      <w:r w:rsidRPr="00E3723D">
        <w:rPr>
          <w:rStyle w:val="whitespace-normal"/>
          <w:rFonts w:asciiTheme="minorHAnsi" w:hAnsiTheme="minorHAnsi" w:cstheme="minorHAnsi"/>
          <w:sz w:val="22"/>
          <w:szCs w:val="22"/>
        </w:rPr>
        <w:t>Carl Rogers</w:t>
      </w:r>
      <w:r w:rsidRPr="00E3723D">
        <w:rPr>
          <w:rFonts w:asciiTheme="minorHAnsi" w:hAnsiTheme="minorHAnsi" w:cstheme="minorHAnsi"/>
          <w:sz w:val="22"/>
          <w:szCs w:val="22"/>
        </w:rPr>
        <w:t xml:space="preserve"> focuses on empathy, unconditional positive regard, and seeing the </w:t>
      </w:r>
      <w:proofErr w:type="gramStart"/>
      <w:r w:rsidRPr="00E3723D">
        <w:rPr>
          <w:rFonts w:asciiTheme="minorHAnsi" w:hAnsiTheme="minorHAnsi" w:cstheme="minorHAnsi"/>
          <w:sz w:val="22"/>
          <w:szCs w:val="22"/>
        </w:rPr>
        <w:t>person as a whole, which</w:t>
      </w:r>
      <w:proofErr w:type="gramEnd"/>
      <w:r w:rsidRPr="00E3723D">
        <w:rPr>
          <w:rFonts w:asciiTheme="minorHAnsi" w:hAnsiTheme="minorHAnsi" w:cstheme="minorHAnsi"/>
          <w:sz w:val="22"/>
          <w:szCs w:val="22"/>
        </w:rPr>
        <w:t xml:space="preserve"> underpins person-centred care (Rogers, 1951). However, on its own, it can sometimes lack structure for assessing practical needs or managing complex care situations.</w:t>
      </w:r>
    </w:p>
    <w:p w14:paraId="001CCC5C" w14:textId="77777777" w:rsidR="007B702B" w:rsidRPr="00E3723D" w:rsidRDefault="007B702B" w:rsidP="00E3723D">
      <w:pPr>
        <w:pStyle w:val="NormalWeb"/>
        <w:spacing w:line="360" w:lineRule="auto"/>
        <w:rPr>
          <w:rFonts w:asciiTheme="minorHAnsi" w:hAnsiTheme="minorHAnsi" w:cstheme="minorHAnsi"/>
          <w:sz w:val="22"/>
          <w:szCs w:val="22"/>
        </w:rPr>
      </w:pPr>
      <w:r w:rsidRPr="00E3723D">
        <w:rPr>
          <w:rFonts w:asciiTheme="minorHAnsi" w:hAnsiTheme="minorHAnsi" w:cstheme="minorHAnsi"/>
          <w:sz w:val="22"/>
          <w:szCs w:val="22"/>
        </w:rPr>
        <w:t xml:space="preserve">One theory that can work alongside this is </w:t>
      </w:r>
      <w:r w:rsidRPr="00E3723D">
        <w:rPr>
          <w:rStyle w:val="whitespace-normal"/>
          <w:rFonts w:asciiTheme="minorHAnsi" w:hAnsiTheme="minorHAnsi" w:cstheme="minorHAnsi"/>
          <w:sz w:val="22"/>
          <w:szCs w:val="22"/>
        </w:rPr>
        <w:t>Abraham Maslow</w:t>
      </w:r>
      <w:r w:rsidRPr="00E3723D">
        <w:rPr>
          <w:rFonts w:asciiTheme="minorHAnsi" w:hAnsiTheme="minorHAnsi" w:cstheme="minorHAnsi"/>
          <w:sz w:val="22"/>
          <w:szCs w:val="22"/>
        </w:rPr>
        <w:t>’s Hierarchy of Needs, which provides a structured framework for identifying and prioritising human needs, from basic physiological requirements to self-actualisation (Maslow, 1943).</w:t>
      </w:r>
    </w:p>
    <w:p w14:paraId="59B4D94E" w14:textId="321AAE31" w:rsidR="3B3D411B" w:rsidRPr="00E3723D" w:rsidRDefault="007B702B" w:rsidP="00E3723D">
      <w:pPr>
        <w:pStyle w:val="NormalWeb"/>
        <w:spacing w:line="360" w:lineRule="auto"/>
        <w:rPr>
          <w:rFonts w:asciiTheme="minorHAnsi" w:hAnsiTheme="minorHAnsi" w:cstheme="minorHAnsi"/>
          <w:sz w:val="22"/>
          <w:szCs w:val="22"/>
        </w:rPr>
      </w:pPr>
      <w:r w:rsidRPr="00E3723D">
        <w:rPr>
          <w:rFonts w:asciiTheme="minorHAnsi" w:hAnsiTheme="minorHAnsi" w:cstheme="minorHAnsi"/>
          <w:sz w:val="22"/>
          <w:szCs w:val="22"/>
        </w:rPr>
        <w:lastRenderedPageBreak/>
        <w:t>When combined, these theories complement each other. Rogers’ approach ensures care is empathetic and centred on the individual’s lived experience (Rogers, 1951), while Maslow’s theory helps practitioners systematically assess and meet different levels of need (Maslow, 1943). Together, they help close the gap between emotional understanding and practical care delivery.</w:t>
      </w:r>
    </w:p>
    <w:p w14:paraId="194BF366" w14:textId="4330885A" w:rsidR="00347F74" w:rsidRPr="00E3723D" w:rsidRDefault="420EA389" w:rsidP="00E3723D">
      <w:pPr>
        <w:pStyle w:val="Heading2"/>
        <w:spacing w:before="299" w:after="299" w:line="360" w:lineRule="auto"/>
        <w:rPr>
          <w:rFonts w:asciiTheme="minorHAnsi" w:eastAsia="Arial" w:hAnsiTheme="minorHAnsi" w:cstheme="minorHAnsi"/>
          <w:color w:val="auto"/>
          <w:sz w:val="22"/>
          <w:szCs w:val="22"/>
          <w:u w:val="single"/>
        </w:rPr>
      </w:pPr>
      <w:r w:rsidRPr="00E3723D">
        <w:rPr>
          <w:rFonts w:asciiTheme="minorHAnsi" w:eastAsia="Arial" w:hAnsiTheme="minorHAnsi" w:cstheme="minorHAnsi"/>
          <w:color w:val="auto"/>
          <w:sz w:val="22"/>
          <w:szCs w:val="22"/>
          <w:u w:val="single"/>
        </w:rPr>
        <w:t>Ethical Fundamentals of Health and Social Care</w:t>
      </w:r>
    </w:p>
    <w:p w14:paraId="66A468AA" w14:textId="76F7ECB1" w:rsidR="00347F74" w:rsidRPr="00E3723D" w:rsidRDefault="42E94547" w:rsidP="00E3723D">
      <w:pPr>
        <w:spacing w:before="240" w:after="240" w:line="360" w:lineRule="auto"/>
        <w:rPr>
          <w:rFonts w:eastAsia="Arial" w:cstheme="minorHAnsi"/>
          <w:sz w:val="22"/>
          <w:szCs w:val="22"/>
        </w:rPr>
      </w:pPr>
      <w:r w:rsidRPr="00E3723D">
        <w:rPr>
          <w:rFonts w:eastAsia="Arial" w:cstheme="minorHAnsi"/>
          <w:sz w:val="22"/>
          <w:szCs w:val="22"/>
        </w:rPr>
        <w:t>Ethical practice in health and social care is commonly guided by four core principles: autonomy, beneficence, non-maleficence and justice (Beauchamp and Childress, 2019).</w:t>
      </w:r>
    </w:p>
    <w:p w14:paraId="7942E353" w14:textId="5D522D93" w:rsidR="00347F74" w:rsidRPr="00E3723D" w:rsidRDefault="42E94547" w:rsidP="00E3723D">
      <w:pPr>
        <w:spacing w:before="240" w:after="240" w:line="360" w:lineRule="auto"/>
        <w:rPr>
          <w:rFonts w:eastAsia="Arial" w:cstheme="minorHAnsi"/>
          <w:sz w:val="22"/>
          <w:szCs w:val="22"/>
        </w:rPr>
      </w:pPr>
      <w:r w:rsidRPr="00E3723D">
        <w:rPr>
          <w:rFonts w:eastAsia="Arial" w:cstheme="minorHAnsi"/>
          <w:sz w:val="22"/>
          <w:szCs w:val="22"/>
        </w:rPr>
        <w:t>Autonomy requires respecting individuals’ rights to make informed choices about their care. PCC strongly supports this principle through shared decision-making. Beneficence and non-maleficence require professionals to act in the best interests of service users while avoiding harm. Justice demands fairness and equitable access to services.</w:t>
      </w:r>
    </w:p>
    <w:p w14:paraId="08445837" w14:textId="70CA69CA" w:rsidR="00347F74" w:rsidRPr="00E3723D" w:rsidRDefault="42E94547" w:rsidP="00E3723D">
      <w:pPr>
        <w:spacing w:before="240" w:after="240" w:line="360" w:lineRule="auto"/>
        <w:rPr>
          <w:rFonts w:eastAsia="Arial" w:cstheme="minorHAnsi"/>
          <w:sz w:val="22"/>
          <w:szCs w:val="22"/>
        </w:rPr>
      </w:pPr>
      <w:r w:rsidRPr="00E3723D">
        <w:rPr>
          <w:rFonts w:eastAsia="Arial" w:cstheme="minorHAnsi"/>
          <w:sz w:val="22"/>
          <w:szCs w:val="22"/>
        </w:rPr>
        <w:t>Ethical tensions frequently arise in practice. For example, a service user may choose to decline treatment that professionals believe is beneficial. In such cases, practitioners must assess decision-making capacity and balance respect for autonomy with duty of care (Thompson and Heron, 2021).</w:t>
      </w:r>
    </w:p>
    <w:p w14:paraId="54FD3C7B" w14:textId="423C221C" w:rsidR="00347F74" w:rsidRPr="00E3723D" w:rsidRDefault="4411691B" w:rsidP="00E3723D">
      <w:pPr>
        <w:spacing w:before="240" w:after="240" w:line="360" w:lineRule="auto"/>
        <w:rPr>
          <w:rFonts w:eastAsia="Arial" w:cstheme="minorHAnsi"/>
          <w:sz w:val="22"/>
          <w:szCs w:val="22"/>
        </w:rPr>
      </w:pPr>
      <w:r w:rsidRPr="00E3723D">
        <w:rPr>
          <w:rFonts w:eastAsia="Arial" w:cstheme="minorHAnsi"/>
          <w:sz w:val="22"/>
          <w:szCs w:val="22"/>
        </w:rPr>
        <w:t xml:space="preserve">Confidentiality, </w:t>
      </w:r>
      <w:r w:rsidR="69B36CCD" w:rsidRPr="00E3723D">
        <w:rPr>
          <w:rFonts w:eastAsia="Arial" w:cstheme="minorHAnsi"/>
          <w:sz w:val="22"/>
          <w:szCs w:val="22"/>
        </w:rPr>
        <w:t>accountability,</w:t>
      </w:r>
      <w:r w:rsidRPr="00E3723D">
        <w:rPr>
          <w:rFonts w:eastAsia="Arial" w:cstheme="minorHAnsi"/>
          <w:sz w:val="22"/>
          <w:szCs w:val="22"/>
        </w:rPr>
        <w:t xml:space="preserve"> and safeguarding are also key ethical considerations. Ethical frameworks and reflective supervision support practitioners in navigating complex decisions. PCC enhances ethical integrity by foregrounding dignity and participation but must operate within legal and professional boundaries.</w:t>
      </w:r>
    </w:p>
    <w:p w14:paraId="47BC6E27" w14:textId="150B4945" w:rsidR="00347F74" w:rsidRPr="00E3723D" w:rsidRDefault="420EA389" w:rsidP="00E3723D">
      <w:pPr>
        <w:pStyle w:val="Heading2"/>
        <w:spacing w:before="299" w:after="299" w:line="360" w:lineRule="auto"/>
        <w:rPr>
          <w:rFonts w:asciiTheme="minorHAnsi" w:eastAsia="Arial" w:hAnsiTheme="minorHAnsi" w:cstheme="minorHAnsi"/>
          <w:color w:val="auto"/>
          <w:sz w:val="22"/>
          <w:szCs w:val="22"/>
          <w:u w:val="single"/>
        </w:rPr>
      </w:pPr>
      <w:r w:rsidRPr="00E3723D">
        <w:rPr>
          <w:rFonts w:asciiTheme="minorHAnsi" w:eastAsia="Arial" w:hAnsiTheme="minorHAnsi" w:cstheme="minorHAnsi"/>
          <w:color w:val="auto"/>
          <w:sz w:val="22"/>
          <w:szCs w:val="22"/>
          <w:u w:val="single"/>
        </w:rPr>
        <w:t>Evaluation of Partnership Working in Health and Social Care</w:t>
      </w:r>
    </w:p>
    <w:p w14:paraId="61791258" w14:textId="77FB78AA" w:rsidR="00347F74" w:rsidRPr="00E3723D" w:rsidRDefault="007B702B" w:rsidP="00E3723D">
      <w:pPr>
        <w:spacing w:before="240" w:after="240" w:line="360" w:lineRule="auto"/>
        <w:rPr>
          <w:rFonts w:eastAsia="Arial" w:cstheme="minorHAnsi"/>
          <w:sz w:val="22"/>
          <w:szCs w:val="22"/>
        </w:rPr>
      </w:pPr>
      <w:r w:rsidRPr="00E3723D">
        <w:rPr>
          <w:rFonts w:eastAsia="Arial" w:cstheme="minorHAnsi"/>
          <w:sz w:val="22"/>
          <w:szCs w:val="22"/>
        </w:rPr>
        <w:t>Partnership</w:t>
      </w:r>
      <w:r w:rsidR="1788FA10" w:rsidRPr="00E3723D">
        <w:rPr>
          <w:rFonts w:eastAsia="Arial" w:cstheme="minorHAnsi"/>
          <w:sz w:val="22"/>
          <w:szCs w:val="22"/>
        </w:rPr>
        <w:t xml:space="preserve"> involves collaborative relationships between professionals, agencies, service </w:t>
      </w:r>
      <w:r w:rsidR="0BC97AAD" w:rsidRPr="00E3723D">
        <w:rPr>
          <w:rFonts w:eastAsia="Arial" w:cstheme="minorHAnsi"/>
          <w:sz w:val="22"/>
          <w:szCs w:val="22"/>
        </w:rPr>
        <w:t>users,</w:t>
      </w:r>
      <w:r w:rsidR="1788FA10" w:rsidRPr="00E3723D">
        <w:rPr>
          <w:rFonts w:eastAsia="Arial" w:cstheme="minorHAnsi"/>
          <w:sz w:val="22"/>
          <w:szCs w:val="22"/>
        </w:rPr>
        <w:t xml:space="preserve"> and carers to improve coordination and outcomes (Goodwin, 2020)</w:t>
      </w:r>
      <w:r w:rsidR="23B8DFDC" w:rsidRPr="00E3723D">
        <w:rPr>
          <w:rFonts w:eastAsia="Arial" w:cstheme="minorHAnsi"/>
          <w:sz w:val="22"/>
          <w:szCs w:val="22"/>
        </w:rPr>
        <w:t>. Goodwin (2020) also stated that partnership working</w:t>
      </w:r>
      <w:r w:rsidR="1788FA10" w:rsidRPr="00E3723D">
        <w:rPr>
          <w:rFonts w:eastAsia="Arial" w:cstheme="minorHAnsi"/>
          <w:sz w:val="22"/>
          <w:szCs w:val="22"/>
        </w:rPr>
        <w:t xml:space="preserve"> functions at micro (individual), meso (team) and macro (system) levels.</w:t>
      </w:r>
    </w:p>
    <w:p w14:paraId="6E83802D" w14:textId="7DD3D577" w:rsidR="00347F74" w:rsidRPr="00E3723D" w:rsidRDefault="4411691B" w:rsidP="00E3723D">
      <w:pPr>
        <w:pStyle w:val="Heading3"/>
        <w:spacing w:before="281" w:after="281" w:line="360" w:lineRule="auto"/>
        <w:rPr>
          <w:rFonts w:eastAsia="Arial" w:cstheme="minorHAnsi"/>
          <w:color w:val="auto"/>
          <w:sz w:val="22"/>
          <w:szCs w:val="22"/>
          <w:u w:val="single"/>
        </w:rPr>
      </w:pPr>
      <w:r w:rsidRPr="00E3723D">
        <w:rPr>
          <w:rFonts w:eastAsia="Arial" w:cstheme="minorHAnsi"/>
          <w:color w:val="auto"/>
          <w:sz w:val="22"/>
          <w:szCs w:val="22"/>
          <w:u w:val="single"/>
        </w:rPr>
        <w:lastRenderedPageBreak/>
        <w:t>Benefits of Partnership Working</w:t>
      </w:r>
    </w:p>
    <w:p w14:paraId="096FCBC2" w14:textId="30AD092E" w:rsidR="00347F74" w:rsidRPr="00E3723D" w:rsidRDefault="42E94547" w:rsidP="00E3723D">
      <w:pPr>
        <w:spacing w:before="240" w:after="240" w:line="360" w:lineRule="auto"/>
        <w:rPr>
          <w:rFonts w:eastAsia="Arial" w:cstheme="minorHAnsi"/>
          <w:sz w:val="22"/>
          <w:szCs w:val="22"/>
        </w:rPr>
      </w:pPr>
      <w:r w:rsidRPr="00E3723D">
        <w:rPr>
          <w:rFonts w:eastAsia="Arial" w:cstheme="minorHAnsi"/>
          <w:sz w:val="22"/>
          <w:szCs w:val="22"/>
        </w:rPr>
        <w:t>Partnership working improves service coordination, particularly for individuals with complex needs requiring input from multiple services (Thomson and Chatterjee, 2023). Multidisciplinary teams reduce duplication and promote continuity.</w:t>
      </w:r>
    </w:p>
    <w:p w14:paraId="5FE73E9A" w14:textId="0F159B55" w:rsidR="00347F74" w:rsidRPr="00E3723D" w:rsidRDefault="4411691B" w:rsidP="00E3723D">
      <w:pPr>
        <w:spacing w:before="240" w:after="240" w:line="360" w:lineRule="auto"/>
        <w:rPr>
          <w:rFonts w:eastAsia="Arial" w:cstheme="minorHAnsi"/>
          <w:sz w:val="22"/>
          <w:szCs w:val="22"/>
        </w:rPr>
      </w:pPr>
      <w:r w:rsidRPr="00E3723D">
        <w:rPr>
          <w:rFonts w:eastAsia="Arial" w:cstheme="minorHAnsi"/>
          <w:sz w:val="22"/>
          <w:szCs w:val="22"/>
        </w:rPr>
        <w:t xml:space="preserve">Collaboration supports holistic care, integrating health, social </w:t>
      </w:r>
      <w:r w:rsidR="3BA1CEE1" w:rsidRPr="00E3723D">
        <w:rPr>
          <w:rFonts w:eastAsia="Arial" w:cstheme="minorHAnsi"/>
          <w:sz w:val="22"/>
          <w:szCs w:val="22"/>
        </w:rPr>
        <w:t>care,</w:t>
      </w:r>
      <w:r w:rsidRPr="00E3723D">
        <w:rPr>
          <w:rFonts w:eastAsia="Arial" w:cstheme="minorHAnsi"/>
          <w:sz w:val="22"/>
          <w:szCs w:val="22"/>
        </w:rPr>
        <w:t xml:space="preserve"> and voluntary sector services (Minkman, 2020). Shared expertise enhances assessment and planning, resulting in more comprehensive interventions.</w:t>
      </w:r>
    </w:p>
    <w:p w14:paraId="69ACF539" w14:textId="0BA559A0" w:rsidR="00971D02" w:rsidRPr="00E3723D" w:rsidRDefault="00971D02" w:rsidP="00E3723D">
      <w:pPr>
        <w:spacing w:before="240" w:after="240" w:line="360" w:lineRule="auto"/>
        <w:rPr>
          <w:rFonts w:eastAsia="Arial" w:cstheme="minorHAnsi"/>
          <w:sz w:val="22"/>
          <w:szCs w:val="22"/>
        </w:rPr>
      </w:pPr>
      <w:r w:rsidRPr="00E3723D">
        <w:rPr>
          <w:rFonts w:cstheme="minorHAnsi"/>
          <w:sz w:val="22"/>
          <w:szCs w:val="22"/>
        </w:rPr>
        <w:t xml:space="preserve">Partnerships in health and social care improve efficiency by enabling </w:t>
      </w:r>
      <w:proofErr w:type="spellStart"/>
      <w:r w:rsidRPr="00E3723D">
        <w:rPr>
          <w:rFonts w:cstheme="minorHAnsi"/>
          <w:sz w:val="22"/>
          <w:szCs w:val="22"/>
        </w:rPr>
        <w:t>organisations</w:t>
      </w:r>
      <w:proofErr w:type="spellEnd"/>
      <w:r w:rsidRPr="00E3723D">
        <w:rPr>
          <w:rFonts w:cstheme="minorHAnsi"/>
          <w:sz w:val="22"/>
          <w:szCs w:val="22"/>
        </w:rPr>
        <w:t xml:space="preserve"> to share resources, knowledge, and responsibilities, reducing duplication of services (Goodwin, 2020). Collaborative working between professionals such as GPs, nurses, and social workers allows for coordinated care planning and better communication. This helps identify patient needs earlier and provides timely interventions, preventing conditions from worsening. As a result, unnecessary hospital admissions can be reduced. Partnerships also support smoother hospital discharges and ongoing community care, lowering readmission rates. Overall, integrated working creates a more efficient system while improving patient outcomes and continuity of care (Goodwin, 2020).</w:t>
      </w:r>
    </w:p>
    <w:p w14:paraId="322D8ACF" w14:textId="539756F8" w:rsidR="00347F74" w:rsidRPr="00E3723D" w:rsidRDefault="4411691B" w:rsidP="00E3723D">
      <w:pPr>
        <w:pStyle w:val="Heading3"/>
        <w:spacing w:before="281" w:after="281" w:line="360" w:lineRule="auto"/>
        <w:rPr>
          <w:rFonts w:eastAsia="Arial" w:cstheme="minorHAnsi"/>
          <w:color w:val="auto"/>
          <w:sz w:val="22"/>
          <w:szCs w:val="22"/>
          <w:u w:val="single"/>
        </w:rPr>
      </w:pPr>
      <w:r w:rsidRPr="00E3723D">
        <w:rPr>
          <w:rFonts w:eastAsia="Arial" w:cstheme="minorHAnsi"/>
          <w:color w:val="auto"/>
          <w:sz w:val="22"/>
          <w:szCs w:val="22"/>
          <w:u w:val="single"/>
        </w:rPr>
        <w:t>Challenges of Partnership Working</w:t>
      </w:r>
    </w:p>
    <w:p w14:paraId="44394CAC" w14:textId="5823E4B3" w:rsidR="00347F74" w:rsidRPr="00E3723D" w:rsidRDefault="4411691B" w:rsidP="00E3723D">
      <w:pPr>
        <w:spacing w:before="240" w:after="240" w:line="360" w:lineRule="auto"/>
        <w:rPr>
          <w:rFonts w:eastAsia="Arial" w:cstheme="minorHAnsi"/>
          <w:sz w:val="22"/>
          <w:szCs w:val="22"/>
        </w:rPr>
      </w:pPr>
      <w:r w:rsidRPr="00E3723D">
        <w:rPr>
          <w:rFonts w:eastAsia="Arial" w:cstheme="minorHAnsi"/>
          <w:sz w:val="22"/>
          <w:szCs w:val="22"/>
        </w:rPr>
        <w:t xml:space="preserve">However, </w:t>
      </w:r>
      <w:r w:rsidR="49DF312A" w:rsidRPr="00E3723D">
        <w:rPr>
          <w:rFonts w:eastAsia="Arial" w:cstheme="minorHAnsi"/>
          <w:sz w:val="22"/>
          <w:szCs w:val="22"/>
        </w:rPr>
        <w:t>partnership-working</w:t>
      </w:r>
      <w:r w:rsidRPr="00E3723D">
        <w:rPr>
          <w:rFonts w:eastAsia="Arial" w:cstheme="minorHAnsi"/>
          <w:sz w:val="22"/>
          <w:szCs w:val="22"/>
        </w:rPr>
        <w:t xml:space="preserve"> presents challenges. Professional boundaries and differing organisational cultures may create conflict (Goodwin, 2020). Separate funding streams and accountability systems can impede integration.</w:t>
      </w:r>
    </w:p>
    <w:p w14:paraId="2A8DBBB5" w14:textId="5C94906C" w:rsidR="00347F74" w:rsidRPr="00E3723D" w:rsidRDefault="42E94547" w:rsidP="00E3723D">
      <w:pPr>
        <w:spacing w:before="240" w:after="240" w:line="360" w:lineRule="auto"/>
        <w:rPr>
          <w:rFonts w:eastAsia="Arial" w:cstheme="minorHAnsi"/>
          <w:sz w:val="22"/>
          <w:szCs w:val="22"/>
        </w:rPr>
      </w:pPr>
      <w:r w:rsidRPr="00E3723D">
        <w:rPr>
          <w:rFonts w:eastAsia="Arial" w:cstheme="minorHAnsi"/>
          <w:sz w:val="22"/>
          <w:szCs w:val="22"/>
        </w:rPr>
        <w:t>Communication barriers, including incompatible IT systems, limit information sharing (Thomson and Chatterjee, 2023). Power imbalances may also marginalise smaller organisations or service user voices.</w:t>
      </w:r>
    </w:p>
    <w:p w14:paraId="50AF51AF" w14:textId="3D0C83EE" w:rsidR="00347F74" w:rsidRPr="00E3723D" w:rsidRDefault="42E94547" w:rsidP="00E3723D">
      <w:pPr>
        <w:spacing w:before="240" w:after="240" w:line="360" w:lineRule="auto"/>
        <w:rPr>
          <w:rFonts w:eastAsia="Arial" w:cstheme="minorHAnsi"/>
          <w:sz w:val="22"/>
          <w:szCs w:val="22"/>
        </w:rPr>
      </w:pPr>
      <w:r w:rsidRPr="00E3723D">
        <w:rPr>
          <w:rFonts w:eastAsia="Arial" w:cstheme="minorHAnsi"/>
          <w:sz w:val="22"/>
          <w:szCs w:val="22"/>
        </w:rPr>
        <w:t xml:space="preserve">Successful </w:t>
      </w:r>
      <w:r w:rsidR="00971D02" w:rsidRPr="00E3723D">
        <w:rPr>
          <w:rFonts w:eastAsia="Arial" w:cstheme="minorHAnsi"/>
          <w:sz w:val="22"/>
          <w:szCs w:val="22"/>
        </w:rPr>
        <w:t>partnership</w:t>
      </w:r>
      <w:r w:rsidRPr="00E3723D">
        <w:rPr>
          <w:rFonts w:eastAsia="Arial" w:cstheme="minorHAnsi"/>
          <w:sz w:val="22"/>
          <w:szCs w:val="22"/>
        </w:rPr>
        <w:t xml:space="preserve"> therefore requires trust, shared goals, strong leadership and clear governance structures.</w:t>
      </w:r>
    </w:p>
    <w:p w14:paraId="03E11145" w14:textId="35818257" w:rsidR="00347F74" w:rsidRPr="00E3723D" w:rsidRDefault="420EA389" w:rsidP="00E3723D">
      <w:pPr>
        <w:pStyle w:val="Heading2"/>
        <w:spacing w:before="299" w:after="299" w:line="360" w:lineRule="auto"/>
        <w:rPr>
          <w:rFonts w:asciiTheme="minorHAnsi" w:eastAsia="Arial" w:hAnsiTheme="minorHAnsi" w:cstheme="minorHAnsi"/>
          <w:color w:val="auto"/>
          <w:sz w:val="22"/>
          <w:szCs w:val="22"/>
          <w:u w:val="single"/>
        </w:rPr>
      </w:pPr>
      <w:r w:rsidRPr="00E3723D">
        <w:rPr>
          <w:rFonts w:asciiTheme="minorHAnsi" w:eastAsia="Arial" w:hAnsiTheme="minorHAnsi" w:cstheme="minorHAnsi"/>
          <w:color w:val="auto"/>
          <w:sz w:val="22"/>
          <w:szCs w:val="22"/>
          <w:u w:val="single"/>
        </w:rPr>
        <w:t>Application in Practice: Integrated Care for Older Adults</w:t>
      </w:r>
    </w:p>
    <w:p w14:paraId="3DE39EAE" w14:textId="33108BB0" w:rsidR="00347F74" w:rsidRPr="00E3723D" w:rsidRDefault="42E94547" w:rsidP="00E3723D">
      <w:pPr>
        <w:spacing w:before="240" w:after="240" w:line="360" w:lineRule="auto"/>
        <w:rPr>
          <w:rFonts w:eastAsia="Arial" w:cstheme="minorHAnsi"/>
          <w:sz w:val="22"/>
          <w:szCs w:val="22"/>
        </w:rPr>
      </w:pPr>
      <w:r w:rsidRPr="00E3723D">
        <w:rPr>
          <w:rFonts w:eastAsia="Arial" w:cstheme="minorHAnsi"/>
          <w:sz w:val="22"/>
          <w:szCs w:val="22"/>
        </w:rPr>
        <w:t>Integrated care for older adults illustrates how PCC and PW operate together. Older individuals often experience multimorbidity and social vulnerability requiring coordinated intervention.</w:t>
      </w:r>
    </w:p>
    <w:p w14:paraId="58157B0D" w14:textId="12019B58" w:rsidR="00347F74" w:rsidRPr="00E3723D" w:rsidRDefault="4411691B" w:rsidP="00E3723D">
      <w:pPr>
        <w:spacing w:before="240" w:after="240" w:line="360" w:lineRule="auto"/>
        <w:rPr>
          <w:rFonts w:eastAsia="Arial" w:cstheme="minorHAnsi"/>
          <w:sz w:val="22"/>
          <w:szCs w:val="22"/>
        </w:rPr>
      </w:pPr>
      <w:r w:rsidRPr="00E3723D">
        <w:rPr>
          <w:rFonts w:eastAsia="Arial" w:cstheme="minorHAnsi"/>
          <w:sz w:val="22"/>
          <w:szCs w:val="22"/>
        </w:rPr>
        <w:lastRenderedPageBreak/>
        <w:t>Multidisciplinary teams collaborate to conduct holistic assessments and develop shared care plans (Rivas</w:t>
      </w:r>
      <w:r w:rsidRPr="00E3723D">
        <w:rPr>
          <w:rFonts w:eastAsia="Arial" w:cstheme="minorHAnsi"/>
          <w:i/>
          <w:iCs/>
          <w:sz w:val="22"/>
          <w:szCs w:val="22"/>
        </w:rPr>
        <w:t xml:space="preserve"> et al.</w:t>
      </w:r>
      <w:r w:rsidRPr="00E3723D">
        <w:rPr>
          <w:rFonts w:eastAsia="Arial" w:cstheme="minorHAnsi"/>
          <w:sz w:val="22"/>
          <w:szCs w:val="22"/>
        </w:rPr>
        <w:t>, 2025). Person-</w:t>
      </w:r>
      <w:r w:rsidR="07186DB7" w:rsidRPr="00E3723D">
        <w:rPr>
          <w:rFonts w:eastAsia="Arial" w:cstheme="minorHAnsi"/>
          <w:sz w:val="22"/>
          <w:szCs w:val="22"/>
        </w:rPr>
        <w:t>centered</w:t>
      </w:r>
      <w:r w:rsidRPr="00E3723D">
        <w:rPr>
          <w:rFonts w:eastAsia="Arial" w:cstheme="minorHAnsi"/>
          <w:sz w:val="22"/>
          <w:szCs w:val="22"/>
        </w:rPr>
        <w:t xml:space="preserve"> principles ensure that older adults’ preferences</w:t>
      </w:r>
      <w:r w:rsidR="5AF8A897" w:rsidRPr="00E3723D">
        <w:rPr>
          <w:rFonts w:eastAsia="Arial" w:cstheme="minorHAnsi"/>
          <w:sz w:val="22"/>
          <w:szCs w:val="22"/>
        </w:rPr>
        <w:t xml:space="preserve"> </w:t>
      </w:r>
      <w:r w:rsidRPr="00E3723D">
        <w:rPr>
          <w:rFonts w:eastAsia="Arial" w:cstheme="minorHAnsi"/>
          <w:sz w:val="22"/>
          <w:szCs w:val="22"/>
        </w:rPr>
        <w:t>such as remaining at home</w:t>
      </w:r>
      <w:r w:rsidR="4892C9D7" w:rsidRPr="00E3723D">
        <w:rPr>
          <w:rFonts w:eastAsia="Arial" w:cstheme="minorHAnsi"/>
          <w:sz w:val="22"/>
          <w:szCs w:val="22"/>
        </w:rPr>
        <w:t xml:space="preserve"> </w:t>
      </w:r>
      <w:r w:rsidRPr="00E3723D">
        <w:rPr>
          <w:rFonts w:eastAsia="Arial" w:cstheme="minorHAnsi"/>
          <w:sz w:val="22"/>
          <w:szCs w:val="22"/>
        </w:rPr>
        <w:t>are prioritised.</w:t>
      </w:r>
    </w:p>
    <w:p w14:paraId="44DD8648" w14:textId="47C17B89" w:rsidR="00347F74" w:rsidRPr="00E3723D" w:rsidRDefault="42E94547" w:rsidP="00E3723D">
      <w:pPr>
        <w:spacing w:before="240" w:after="240" w:line="360" w:lineRule="auto"/>
        <w:rPr>
          <w:rFonts w:eastAsia="Arial" w:cstheme="minorHAnsi"/>
          <w:sz w:val="22"/>
          <w:szCs w:val="22"/>
        </w:rPr>
      </w:pPr>
      <w:r w:rsidRPr="00E3723D">
        <w:rPr>
          <w:rFonts w:eastAsia="Arial" w:cstheme="minorHAnsi"/>
          <w:sz w:val="22"/>
          <w:szCs w:val="22"/>
        </w:rPr>
        <w:t>Evidence indicates that integrated, relational approaches improve satisfaction and continuity (Morgan and Yoder, 2022). However, barriers including workforce shortages and service fragmentation remain (Thomson and Chatterjee, 2023).</w:t>
      </w:r>
    </w:p>
    <w:p w14:paraId="317838F3" w14:textId="54B8A062" w:rsidR="00347F74" w:rsidRPr="00E3723D" w:rsidRDefault="42E94547" w:rsidP="00E3723D">
      <w:pPr>
        <w:spacing w:before="240" w:after="240" w:line="360" w:lineRule="auto"/>
        <w:rPr>
          <w:rFonts w:eastAsia="Arial" w:cstheme="minorHAnsi"/>
          <w:sz w:val="22"/>
          <w:szCs w:val="22"/>
        </w:rPr>
      </w:pPr>
      <w:r w:rsidRPr="00E3723D">
        <w:rPr>
          <w:rFonts w:eastAsia="Arial" w:cstheme="minorHAnsi"/>
          <w:sz w:val="22"/>
          <w:szCs w:val="22"/>
        </w:rPr>
        <w:t>Integrated care demonstrates that PCC provides the philosophical foundation, while partnership working provides the structural mechanism for delivering coordinated support.</w:t>
      </w:r>
    </w:p>
    <w:p w14:paraId="50C39931" w14:textId="616565B6" w:rsidR="00347F74" w:rsidRPr="00E3723D" w:rsidRDefault="00347F74" w:rsidP="00E3723D">
      <w:pPr>
        <w:spacing w:line="360" w:lineRule="auto"/>
        <w:rPr>
          <w:rFonts w:cstheme="minorHAnsi"/>
          <w:sz w:val="22"/>
          <w:szCs w:val="22"/>
        </w:rPr>
      </w:pPr>
    </w:p>
    <w:p w14:paraId="6D1D737B" w14:textId="04273CF0" w:rsidR="00347F74" w:rsidRPr="00E3723D" w:rsidRDefault="4411691B" w:rsidP="00E3723D">
      <w:pPr>
        <w:pStyle w:val="Heading2"/>
        <w:spacing w:before="299" w:after="299" w:line="360" w:lineRule="auto"/>
        <w:rPr>
          <w:rFonts w:asciiTheme="minorHAnsi" w:eastAsia="Arial" w:hAnsiTheme="minorHAnsi" w:cstheme="minorHAnsi"/>
          <w:color w:val="auto"/>
          <w:sz w:val="22"/>
          <w:szCs w:val="22"/>
          <w:u w:val="single"/>
        </w:rPr>
      </w:pPr>
      <w:r w:rsidRPr="00E3723D">
        <w:rPr>
          <w:rFonts w:asciiTheme="minorHAnsi" w:eastAsia="Arial" w:hAnsiTheme="minorHAnsi" w:cstheme="minorHAnsi"/>
          <w:color w:val="auto"/>
          <w:sz w:val="22"/>
          <w:szCs w:val="22"/>
          <w:u w:val="single"/>
        </w:rPr>
        <w:t>Policy and Legislation Relating to PCC and PW</w:t>
      </w:r>
    </w:p>
    <w:p w14:paraId="3A16D11E" w14:textId="715F655D" w:rsidR="00347F74" w:rsidRPr="00E3723D" w:rsidRDefault="1788FA10" w:rsidP="00E3723D">
      <w:pPr>
        <w:spacing w:before="240" w:after="240" w:line="360" w:lineRule="auto"/>
        <w:rPr>
          <w:rFonts w:eastAsia="Arial" w:cstheme="minorHAnsi"/>
          <w:sz w:val="22"/>
          <w:szCs w:val="22"/>
        </w:rPr>
      </w:pPr>
      <w:r w:rsidRPr="00E3723D">
        <w:rPr>
          <w:rFonts w:eastAsia="Arial" w:cstheme="minorHAnsi"/>
          <w:sz w:val="22"/>
          <w:szCs w:val="22"/>
        </w:rPr>
        <w:t xml:space="preserve">UK legislation strongly embeds PCC and partnership </w:t>
      </w:r>
      <w:r w:rsidR="190E8167" w:rsidRPr="00E3723D">
        <w:rPr>
          <w:rFonts w:eastAsia="Arial" w:cstheme="minorHAnsi"/>
          <w:sz w:val="22"/>
          <w:szCs w:val="22"/>
        </w:rPr>
        <w:t>work</w:t>
      </w:r>
      <w:r w:rsidRPr="00E3723D">
        <w:rPr>
          <w:rFonts w:eastAsia="Arial" w:cstheme="minorHAnsi"/>
          <w:sz w:val="22"/>
          <w:szCs w:val="22"/>
        </w:rPr>
        <w:t xml:space="preserve">. The Care Act 2014 places wellbeing and personalisation at the </w:t>
      </w:r>
      <w:r w:rsidR="2DB287F9" w:rsidRPr="00E3723D">
        <w:rPr>
          <w:rFonts w:eastAsia="Arial" w:cstheme="minorHAnsi"/>
          <w:sz w:val="22"/>
          <w:szCs w:val="22"/>
        </w:rPr>
        <w:t>center</w:t>
      </w:r>
      <w:r w:rsidRPr="00E3723D">
        <w:rPr>
          <w:rFonts w:eastAsia="Arial" w:cstheme="minorHAnsi"/>
          <w:sz w:val="22"/>
          <w:szCs w:val="22"/>
        </w:rPr>
        <w:t xml:space="preserve"> of adult social care. The Health and Social Care Act 2012 emphasised integration and patient choice. The Mental Capacity Act 2005 provides a framework for supporting decision-making while safeguarding individuals who lack capacity. </w:t>
      </w:r>
    </w:p>
    <w:p w14:paraId="24B68BB9" w14:textId="77777777" w:rsidR="00655E60" w:rsidRPr="00E3723D" w:rsidRDefault="00655E60" w:rsidP="00E3723D">
      <w:pPr>
        <w:pStyle w:val="NormalWeb"/>
        <w:spacing w:line="360" w:lineRule="auto"/>
        <w:rPr>
          <w:rFonts w:asciiTheme="minorHAnsi" w:hAnsiTheme="minorHAnsi" w:cstheme="minorHAnsi"/>
          <w:sz w:val="22"/>
          <w:szCs w:val="22"/>
        </w:rPr>
      </w:pPr>
      <w:r w:rsidRPr="00E3723D">
        <w:rPr>
          <w:rFonts w:asciiTheme="minorHAnsi" w:hAnsiTheme="minorHAnsi" w:cstheme="minorHAnsi"/>
          <w:sz w:val="22"/>
          <w:szCs w:val="22"/>
        </w:rPr>
        <w:t xml:space="preserve">The </w:t>
      </w:r>
      <w:r w:rsidRPr="00E3723D">
        <w:rPr>
          <w:rStyle w:val="whitespace-normal"/>
          <w:rFonts w:asciiTheme="minorHAnsi" w:hAnsiTheme="minorHAnsi" w:cstheme="minorHAnsi"/>
          <w:sz w:val="22"/>
          <w:szCs w:val="22"/>
        </w:rPr>
        <w:t>Equality Act 2010</w:t>
      </w:r>
      <w:r w:rsidRPr="00E3723D">
        <w:rPr>
          <w:rFonts w:asciiTheme="minorHAnsi" w:hAnsiTheme="minorHAnsi" w:cstheme="minorHAnsi"/>
          <w:sz w:val="22"/>
          <w:szCs w:val="22"/>
        </w:rPr>
        <w:t xml:space="preserve"> promotes equitable access to services by protecting individuals from discrimination based on characteristics such as age, disability, gender, and race (Equality Act, 2010). It requires service providers to make reasonable adjustments, ensuring fair, inclusive, and accessible care for all individuals (Equality Act, 2010).</w:t>
      </w:r>
    </w:p>
    <w:p w14:paraId="33297895" w14:textId="77777777" w:rsidR="00655E60" w:rsidRPr="00E3723D" w:rsidRDefault="00655E60" w:rsidP="00E3723D">
      <w:pPr>
        <w:spacing w:before="240" w:after="240" w:line="360" w:lineRule="auto"/>
        <w:rPr>
          <w:rFonts w:eastAsia="Arial" w:cstheme="minorHAnsi"/>
          <w:color w:val="FF0000"/>
          <w:sz w:val="22"/>
          <w:szCs w:val="22"/>
        </w:rPr>
      </w:pPr>
    </w:p>
    <w:p w14:paraId="14A57E48" w14:textId="78CB3E04" w:rsidR="00347F74" w:rsidRPr="00E3723D" w:rsidRDefault="42E94547" w:rsidP="00E3723D">
      <w:pPr>
        <w:spacing w:before="240" w:after="240" w:line="360" w:lineRule="auto"/>
        <w:rPr>
          <w:rFonts w:eastAsia="Arial" w:cstheme="minorHAnsi"/>
          <w:sz w:val="22"/>
          <w:szCs w:val="22"/>
        </w:rPr>
      </w:pPr>
      <w:r w:rsidRPr="00E3723D">
        <w:rPr>
          <w:rFonts w:eastAsia="Arial" w:cstheme="minorHAnsi"/>
          <w:sz w:val="22"/>
          <w:szCs w:val="22"/>
        </w:rPr>
        <w:t>Policy frameworks such as the NHS Long Term Plan prioritise personalised care and integrated systems (National Voices and Think Local Act Personal, 2021). Despite supportive legislation, implementation varies due to financial and workforce pressures (Minkman, 2020).</w:t>
      </w:r>
    </w:p>
    <w:p w14:paraId="4024115D" w14:textId="3E6D7A1A" w:rsidR="00347F74" w:rsidRPr="00E3723D" w:rsidRDefault="420EA389" w:rsidP="00E3723D">
      <w:pPr>
        <w:pStyle w:val="Heading2"/>
        <w:spacing w:before="299" w:after="299" w:line="360" w:lineRule="auto"/>
        <w:rPr>
          <w:rFonts w:asciiTheme="minorHAnsi" w:eastAsia="Arial" w:hAnsiTheme="minorHAnsi" w:cstheme="minorHAnsi"/>
          <w:color w:val="auto"/>
          <w:sz w:val="22"/>
          <w:szCs w:val="22"/>
          <w:u w:val="single"/>
        </w:rPr>
      </w:pPr>
      <w:r w:rsidRPr="00E3723D">
        <w:rPr>
          <w:rFonts w:asciiTheme="minorHAnsi" w:eastAsia="Arial" w:hAnsiTheme="minorHAnsi" w:cstheme="minorHAnsi"/>
          <w:color w:val="auto"/>
          <w:sz w:val="22"/>
          <w:szCs w:val="22"/>
          <w:u w:val="single"/>
        </w:rPr>
        <w:t>Recommendations for Future Development</w:t>
      </w:r>
    </w:p>
    <w:p w14:paraId="4403921E" w14:textId="77777777" w:rsidR="000D6AAC" w:rsidRPr="000D6AAC" w:rsidRDefault="000D6AAC" w:rsidP="00E3723D">
      <w:pPr>
        <w:spacing w:before="100" w:beforeAutospacing="1" w:after="100" w:afterAutospacing="1" w:line="360" w:lineRule="auto"/>
        <w:outlineLvl w:val="2"/>
        <w:rPr>
          <w:rFonts w:eastAsia="Times New Roman" w:cstheme="minorHAnsi"/>
          <w:sz w:val="22"/>
          <w:szCs w:val="22"/>
          <w:lang w:val="en-GB" w:eastAsia="en-GB"/>
        </w:rPr>
      </w:pPr>
      <w:r w:rsidRPr="000D6AAC">
        <w:rPr>
          <w:rFonts w:eastAsia="Times New Roman" w:cstheme="minorHAnsi"/>
          <w:sz w:val="22"/>
          <w:szCs w:val="22"/>
          <w:lang w:val="en-GB" w:eastAsia="en-GB"/>
        </w:rPr>
        <w:t>Recommendations for Person-Centred Care (PCC)</w:t>
      </w:r>
    </w:p>
    <w:p w14:paraId="580967C2" w14:textId="77777777" w:rsidR="000D6AAC" w:rsidRPr="000D6AAC" w:rsidRDefault="000D6AAC" w:rsidP="00E3723D">
      <w:pPr>
        <w:spacing w:before="100" w:beforeAutospacing="1" w:after="100" w:afterAutospacing="1" w:line="360" w:lineRule="auto"/>
        <w:rPr>
          <w:rFonts w:eastAsia="Times New Roman" w:cstheme="minorHAnsi"/>
          <w:sz w:val="22"/>
          <w:szCs w:val="22"/>
          <w:lang w:val="en-GB" w:eastAsia="en-GB"/>
        </w:rPr>
      </w:pPr>
      <w:r w:rsidRPr="000D6AAC">
        <w:rPr>
          <w:rFonts w:eastAsia="Times New Roman" w:cstheme="minorHAnsi"/>
          <w:sz w:val="22"/>
          <w:szCs w:val="22"/>
          <w:lang w:val="en-GB" w:eastAsia="en-GB"/>
        </w:rPr>
        <w:t xml:space="preserve">To strengthen person-centred care, workforce investment is essential to ensure adequate staffing levels that enable meaningful engagement with individuals. In addition, co-production, </w:t>
      </w:r>
      <w:r w:rsidRPr="000D6AAC">
        <w:rPr>
          <w:rFonts w:eastAsia="Times New Roman" w:cstheme="minorHAnsi"/>
          <w:sz w:val="22"/>
          <w:szCs w:val="22"/>
          <w:lang w:val="en-GB" w:eastAsia="en-GB"/>
        </w:rPr>
        <w:lastRenderedPageBreak/>
        <w:t>where service users are actively involved in the design and evaluation of care, enhances relevance and improves outcomes (National Voices and Think Local Act Personal, 2021). Addressing inequalities is also crucial, and this can be achieved through culturally competent practice that supports equitable delivery of PCC (Rivas et al., 2025).</w:t>
      </w:r>
    </w:p>
    <w:p w14:paraId="7BDE55AA" w14:textId="77777777" w:rsidR="000D6AAC" w:rsidRPr="000D6AAC" w:rsidRDefault="000D6AAC" w:rsidP="00E3723D">
      <w:pPr>
        <w:spacing w:before="100" w:beforeAutospacing="1" w:after="100" w:afterAutospacing="1" w:line="360" w:lineRule="auto"/>
        <w:outlineLvl w:val="2"/>
        <w:rPr>
          <w:rFonts w:eastAsia="Times New Roman" w:cstheme="minorHAnsi"/>
          <w:sz w:val="22"/>
          <w:szCs w:val="22"/>
          <w:lang w:val="en-GB" w:eastAsia="en-GB"/>
        </w:rPr>
      </w:pPr>
      <w:r w:rsidRPr="000D6AAC">
        <w:rPr>
          <w:rFonts w:eastAsia="Times New Roman" w:cstheme="minorHAnsi"/>
          <w:sz w:val="22"/>
          <w:szCs w:val="22"/>
          <w:lang w:val="en-GB" w:eastAsia="en-GB"/>
        </w:rPr>
        <w:t>Recommendations for Partnership Working</w:t>
      </w:r>
    </w:p>
    <w:p w14:paraId="1B8952F2" w14:textId="77777777" w:rsidR="000D6AAC" w:rsidRPr="000D6AAC" w:rsidRDefault="000D6AAC" w:rsidP="00E3723D">
      <w:pPr>
        <w:spacing w:before="100" w:beforeAutospacing="1" w:after="100" w:afterAutospacing="1" w:line="360" w:lineRule="auto"/>
        <w:rPr>
          <w:rFonts w:eastAsia="Times New Roman" w:cstheme="minorHAnsi"/>
          <w:sz w:val="22"/>
          <w:szCs w:val="22"/>
          <w:lang w:val="en-GB" w:eastAsia="en-GB"/>
        </w:rPr>
      </w:pPr>
      <w:r w:rsidRPr="000D6AAC">
        <w:rPr>
          <w:rFonts w:eastAsia="Times New Roman" w:cstheme="minorHAnsi"/>
          <w:sz w:val="22"/>
          <w:szCs w:val="22"/>
          <w:lang w:val="en-GB" w:eastAsia="en-GB"/>
        </w:rPr>
        <w:t>To enhance partnership working, interprofessional education is important in developing communication and collaboration skills among professionals, supporting integrated care (Moore et al., 2023). Digital integration also plays a key role, as interoperable systems improve information sharing across services. Furthermore, sustainable funding is necessary to ensure the long-term success and stability of integrated care systems.</w:t>
      </w:r>
    </w:p>
    <w:p w14:paraId="3A25202C" w14:textId="36DAA049" w:rsidR="00347F74" w:rsidRPr="00E3723D" w:rsidRDefault="1784B0EB" w:rsidP="00E3723D">
      <w:pPr>
        <w:pStyle w:val="Heading3"/>
        <w:spacing w:before="281" w:after="281" w:line="360" w:lineRule="auto"/>
        <w:rPr>
          <w:rFonts w:eastAsia="Arial" w:cstheme="minorHAnsi"/>
          <w:color w:val="auto"/>
          <w:sz w:val="22"/>
          <w:szCs w:val="22"/>
          <w:u w:val="single"/>
        </w:rPr>
      </w:pPr>
      <w:r w:rsidRPr="00E3723D">
        <w:rPr>
          <w:rFonts w:eastAsia="Arial" w:cstheme="minorHAnsi"/>
          <w:color w:val="auto"/>
          <w:sz w:val="22"/>
          <w:szCs w:val="22"/>
          <w:u w:val="single"/>
        </w:rPr>
        <w:t>Barriers to Implementing Person-Centered Care and Partnership Working</w:t>
      </w:r>
    </w:p>
    <w:p w14:paraId="02E67732" w14:textId="3F05E816" w:rsidR="00347F74" w:rsidRPr="00E3723D" w:rsidRDefault="1784B0EB" w:rsidP="00E3723D">
      <w:pPr>
        <w:spacing w:before="240" w:after="240" w:line="360" w:lineRule="auto"/>
        <w:rPr>
          <w:rFonts w:eastAsia="Arial" w:cstheme="minorHAnsi"/>
          <w:sz w:val="22"/>
          <w:szCs w:val="22"/>
        </w:rPr>
      </w:pPr>
      <w:r w:rsidRPr="00E3723D">
        <w:rPr>
          <w:rFonts w:eastAsia="Arial" w:cstheme="minorHAnsi"/>
          <w:sz w:val="22"/>
          <w:szCs w:val="22"/>
        </w:rPr>
        <w:t>Although person-centered care (PCC) and partnership working are widely recognised as best practice within UK health and social care, several structural and organisational barriers continue to limit their consistent implementation. One of the most significant challenges relates to workforce pressures. Health and social care systems frequently experience staffing shortages, high workloads, and time constraints, which can reduce opportunities for meaningful communication between professionals and service users. Effective PCC requires time to build relationships, understand individual preferences, and engage in shared decision-making; however, in overstretched services these interactions may be shortened or prioritised around clinical tasks (Rivas</w:t>
      </w:r>
      <w:r w:rsidRPr="00E3723D">
        <w:rPr>
          <w:rFonts w:eastAsia="Arial" w:cstheme="minorHAnsi"/>
          <w:i/>
          <w:iCs/>
          <w:sz w:val="22"/>
          <w:szCs w:val="22"/>
        </w:rPr>
        <w:t xml:space="preserve"> et al</w:t>
      </w:r>
      <w:r w:rsidRPr="00E3723D">
        <w:rPr>
          <w:rFonts w:eastAsia="Arial" w:cstheme="minorHAnsi"/>
          <w:sz w:val="22"/>
          <w:szCs w:val="22"/>
        </w:rPr>
        <w:t>., 2025). As a result, person-centered approaches risk becoming procedural rather than genuinely relational.</w:t>
      </w:r>
    </w:p>
    <w:p w14:paraId="75CB5980" w14:textId="27438902" w:rsidR="00347F74" w:rsidRPr="00E3723D" w:rsidRDefault="1784B0EB" w:rsidP="00E3723D">
      <w:pPr>
        <w:spacing w:before="240" w:after="240" w:line="360" w:lineRule="auto"/>
        <w:rPr>
          <w:rFonts w:eastAsia="Arial" w:cstheme="minorHAnsi"/>
          <w:sz w:val="22"/>
          <w:szCs w:val="22"/>
        </w:rPr>
      </w:pPr>
      <w:r w:rsidRPr="00E3723D">
        <w:rPr>
          <w:rFonts w:eastAsia="Arial" w:cstheme="minorHAnsi"/>
          <w:sz w:val="22"/>
          <w:szCs w:val="22"/>
        </w:rPr>
        <w:t xml:space="preserve">Organisational culture also plays a critical role in determining whether PCC and partnership working are successfully embedded. Traditional hierarchical structures within healthcare organisations may prioritise efficiency, risk management and performance targets over collaborative and relational care practices (Brownie and Nancarrow, 2024). In such environments, professionals may feel constrained by organisational expectations, limiting their ability to fully involve service users in decision-making processes. Similarly, partnership working between agencies can be hindered when organisations operate with different priorities, governance </w:t>
      </w:r>
      <w:r w:rsidR="5D15B449" w:rsidRPr="00E3723D">
        <w:rPr>
          <w:rFonts w:eastAsia="Arial" w:cstheme="minorHAnsi"/>
          <w:sz w:val="22"/>
          <w:szCs w:val="22"/>
        </w:rPr>
        <w:t>structures,</w:t>
      </w:r>
      <w:r w:rsidRPr="00E3723D">
        <w:rPr>
          <w:rFonts w:eastAsia="Arial" w:cstheme="minorHAnsi"/>
          <w:sz w:val="22"/>
          <w:szCs w:val="22"/>
        </w:rPr>
        <w:t xml:space="preserve"> or funding arrangements. These differences may lead to fragmented service delivery and difficulties in coordinating care across sectors (Goodwin, 2020).</w:t>
      </w:r>
    </w:p>
    <w:p w14:paraId="7435F8C5" w14:textId="1011A2EC" w:rsidR="00347F74" w:rsidRPr="00E3723D" w:rsidRDefault="1784B0EB" w:rsidP="00E3723D">
      <w:pPr>
        <w:spacing w:before="240" w:after="240" w:line="360" w:lineRule="auto"/>
        <w:rPr>
          <w:rFonts w:eastAsia="Arial" w:cstheme="minorHAnsi"/>
          <w:sz w:val="22"/>
          <w:szCs w:val="22"/>
        </w:rPr>
      </w:pPr>
      <w:r w:rsidRPr="00E3723D">
        <w:rPr>
          <w:rFonts w:eastAsia="Arial" w:cstheme="minorHAnsi"/>
          <w:sz w:val="22"/>
          <w:szCs w:val="22"/>
        </w:rPr>
        <w:lastRenderedPageBreak/>
        <w:t xml:space="preserve">Communication and </w:t>
      </w:r>
      <w:r w:rsidR="11745A70" w:rsidRPr="00E3723D">
        <w:rPr>
          <w:rFonts w:eastAsia="Arial" w:cstheme="minorHAnsi"/>
          <w:sz w:val="22"/>
          <w:szCs w:val="22"/>
        </w:rPr>
        <w:t>information sharing</w:t>
      </w:r>
      <w:r w:rsidRPr="00E3723D">
        <w:rPr>
          <w:rFonts w:eastAsia="Arial" w:cstheme="minorHAnsi"/>
          <w:sz w:val="22"/>
          <w:szCs w:val="22"/>
        </w:rPr>
        <w:t xml:space="preserve"> challenges represent another important barrier. Effective </w:t>
      </w:r>
      <w:r w:rsidR="43F0EE08" w:rsidRPr="00E3723D">
        <w:rPr>
          <w:rFonts w:eastAsia="Arial" w:cstheme="minorHAnsi"/>
          <w:sz w:val="22"/>
          <w:szCs w:val="22"/>
        </w:rPr>
        <w:t>partnership</w:t>
      </w:r>
      <w:r w:rsidRPr="00E3723D">
        <w:rPr>
          <w:rFonts w:eastAsia="Arial" w:cstheme="minorHAnsi"/>
          <w:sz w:val="22"/>
          <w:szCs w:val="22"/>
        </w:rPr>
        <w:t xml:space="preserve"> relies on clear communication between multidisciplinary teams and organisations. However, incompatible digital systems and data protection concerns can restrict the sharing of information between services, particularly between health and social care providers (Thomson and Chatterjee, 2023). Limited access to shared records may result in duplicated assessments, delayed </w:t>
      </w:r>
      <w:r w:rsidR="14A0D3CF" w:rsidRPr="00E3723D">
        <w:rPr>
          <w:rFonts w:eastAsia="Arial" w:cstheme="minorHAnsi"/>
          <w:sz w:val="22"/>
          <w:szCs w:val="22"/>
        </w:rPr>
        <w:t>interventions,</w:t>
      </w:r>
      <w:r w:rsidRPr="00E3723D">
        <w:rPr>
          <w:rFonts w:eastAsia="Arial" w:cstheme="minorHAnsi"/>
          <w:sz w:val="22"/>
          <w:szCs w:val="22"/>
        </w:rPr>
        <w:t xml:space="preserve"> and gaps in care coordination.</w:t>
      </w:r>
    </w:p>
    <w:p w14:paraId="0807C603" w14:textId="04D9D4A0" w:rsidR="00347F74" w:rsidRPr="00E3723D" w:rsidRDefault="1784B0EB" w:rsidP="00E3723D">
      <w:pPr>
        <w:spacing w:before="240" w:after="240" w:line="360" w:lineRule="auto"/>
        <w:rPr>
          <w:rFonts w:eastAsia="Arial" w:cstheme="minorHAnsi"/>
          <w:sz w:val="22"/>
          <w:szCs w:val="22"/>
        </w:rPr>
      </w:pPr>
      <w:r w:rsidRPr="00E3723D">
        <w:rPr>
          <w:rFonts w:eastAsia="Arial" w:cstheme="minorHAnsi"/>
          <w:sz w:val="22"/>
          <w:szCs w:val="22"/>
        </w:rPr>
        <w:t>In addition to organisational barriers, wider social inequalities can affect the ability of individuals to participate fully in person-</w:t>
      </w:r>
      <w:r w:rsidR="58780FA7" w:rsidRPr="00E3723D">
        <w:rPr>
          <w:rFonts w:eastAsia="Arial" w:cstheme="minorHAnsi"/>
          <w:sz w:val="22"/>
          <w:szCs w:val="22"/>
        </w:rPr>
        <w:t>centered</w:t>
      </w:r>
      <w:r w:rsidRPr="00E3723D">
        <w:rPr>
          <w:rFonts w:eastAsia="Arial" w:cstheme="minorHAnsi"/>
          <w:sz w:val="22"/>
          <w:szCs w:val="22"/>
        </w:rPr>
        <w:t xml:space="preserve"> care. Factors such as language barriers, cultural differences, low health literacy and socio-economic disadvantage may reduce individuals’ confidence or ability to engage in decision-making about their care (Rivas</w:t>
      </w:r>
      <w:r w:rsidRPr="00E3723D">
        <w:rPr>
          <w:rFonts w:eastAsia="Arial" w:cstheme="minorHAnsi"/>
          <w:i/>
          <w:iCs/>
          <w:sz w:val="22"/>
          <w:szCs w:val="22"/>
        </w:rPr>
        <w:t xml:space="preserve"> et al</w:t>
      </w:r>
      <w:r w:rsidRPr="00E3723D">
        <w:rPr>
          <w:rFonts w:eastAsia="Arial" w:cstheme="minorHAnsi"/>
          <w:sz w:val="22"/>
          <w:szCs w:val="22"/>
        </w:rPr>
        <w:t xml:space="preserve">., 2025). Without culturally competent and inclusive practice, PCC may unintentionally </w:t>
      </w:r>
      <w:r w:rsidR="1E1F4B78" w:rsidRPr="00E3723D">
        <w:rPr>
          <w:rFonts w:eastAsia="Arial" w:cstheme="minorHAnsi"/>
          <w:sz w:val="22"/>
          <w:szCs w:val="22"/>
        </w:rPr>
        <w:t>favor</w:t>
      </w:r>
      <w:r w:rsidRPr="00E3723D">
        <w:rPr>
          <w:rFonts w:eastAsia="Arial" w:cstheme="minorHAnsi"/>
          <w:sz w:val="22"/>
          <w:szCs w:val="22"/>
        </w:rPr>
        <w:t xml:space="preserve"> individuals who are already more able to articulate their preferences and navigate complex service systems.</w:t>
      </w:r>
    </w:p>
    <w:p w14:paraId="255A0B35" w14:textId="3E0A56BF" w:rsidR="00347F74" w:rsidRPr="00E3723D" w:rsidRDefault="1784B0EB" w:rsidP="00E3723D">
      <w:pPr>
        <w:spacing w:before="240" w:after="240" w:line="360" w:lineRule="auto"/>
        <w:rPr>
          <w:rFonts w:eastAsia="Arial" w:cstheme="minorHAnsi"/>
          <w:sz w:val="22"/>
          <w:szCs w:val="22"/>
        </w:rPr>
      </w:pPr>
      <w:r w:rsidRPr="00E3723D">
        <w:rPr>
          <w:rFonts w:eastAsia="Arial" w:cstheme="minorHAnsi"/>
          <w:sz w:val="22"/>
          <w:szCs w:val="22"/>
        </w:rPr>
        <w:t xml:space="preserve">Addressing these barriers requires systemic change rather than solely focusing on individual professional </w:t>
      </w:r>
      <w:r w:rsidR="1006F210" w:rsidRPr="00E3723D">
        <w:rPr>
          <w:rFonts w:eastAsia="Arial" w:cstheme="minorHAnsi"/>
          <w:sz w:val="22"/>
          <w:szCs w:val="22"/>
        </w:rPr>
        <w:t>behavior</w:t>
      </w:r>
      <w:r w:rsidRPr="00E3723D">
        <w:rPr>
          <w:rFonts w:eastAsia="Arial" w:cstheme="minorHAnsi"/>
          <w:sz w:val="22"/>
          <w:szCs w:val="22"/>
        </w:rPr>
        <w:t xml:space="preserve">. Investment in workforce development, improved digital integration, stronger </w:t>
      </w:r>
      <w:r w:rsidR="76167A55" w:rsidRPr="00E3723D">
        <w:rPr>
          <w:rFonts w:eastAsia="Arial" w:cstheme="minorHAnsi"/>
          <w:sz w:val="22"/>
          <w:szCs w:val="22"/>
        </w:rPr>
        <w:t>leadership,</w:t>
      </w:r>
      <w:r w:rsidRPr="00E3723D">
        <w:rPr>
          <w:rFonts w:eastAsia="Arial" w:cstheme="minorHAnsi"/>
          <w:sz w:val="22"/>
          <w:szCs w:val="22"/>
        </w:rPr>
        <w:t xml:space="preserve"> and greater involvement of service users in service design are all essential for strengthening the implementation of PCC and partnership working. By tackling these structural challenges, health and social care systems can move closer to achieving genuinely integrated and person-focused services.</w:t>
      </w:r>
    </w:p>
    <w:p w14:paraId="1C4A6C3A" w14:textId="45F8490B" w:rsidR="00347F74" w:rsidRPr="00E3723D" w:rsidRDefault="4411691B" w:rsidP="00E3723D">
      <w:pPr>
        <w:pStyle w:val="Heading2"/>
        <w:spacing w:before="240" w:after="240" w:line="360" w:lineRule="auto"/>
        <w:rPr>
          <w:rFonts w:asciiTheme="minorHAnsi" w:eastAsia="Arial" w:hAnsiTheme="minorHAnsi" w:cstheme="minorHAnsi"/>
          <w:color w:val="auto"/>
          <w:sz w:val="22"/>
          <w:szCs w:val="22"/>
          <w:u w:val="single"/>
        </w:rPr>
      </w:pPr>
      <w:r w:rsidRPr="00E3723D">
        <w:rPr>
          <w:rFonts w:asciiTheme="minorHAnsi" w:eastAsia="Arial" w:hAnsiTheme="minorHAnsi" w:cstheme="minorHAnsi"/>
          <w:color w:val="auto"/>
          <w:sz w:val="22"/>
          <w:szCs w:val="22"/>
          <w:u w:val="single"/>
        </w:rPr>
        <w:t>Conclusion</w:t>
      </w:r>
    </w:p>
    <w:p w14:paraId="21A9878E" w14:textId="67F21756" w:rsidR="006270A2" w:rsidRPr="00E3723D" w:rsidRDefault="006270A2" w:rsidP="00E3723D">
      <w:pPr>
        <w:spacing w:line="360" w:lineRule="auto"/>
        <w:rPr>
          <w:rFonts w:cstheme="minorHAnsi"/>
          <w:sz w:val="22"/>
          <w:szCs w:val="22"/>
        </w:rPr>
      </w:pPr>
      <w:r w:rsidRPr="00E3723D">
        <w:rPr>
          <w:rFonts w:cstheme="minorHAnsi"/>
          <w:sz w:val="22"/>
          <w:szCs w:val="22"/>
        </w:rPr>
        <w:t>Person-</w:t>
      </w:r>
      <w:r w:rsidR="00A22AF3" w:rsidRPr="00E3723D">
        <w:rPr>
          <w:rFonts w:cstheme="minorHAnsi"/>
          <w:sz w:val="22"/>
          <w:szCs w:val="22"/>
        </w:rPr>
        <w:t>centered</w:t>
      </w:r>
      <w:r w:rsidRPr="00E3723D">
        <w:rPr>
          <w:rFonts w:cstheme="minorHAnsi"/>
          <w:sz w:val="22"/>
          <w:szCs w:val="22"/>
        </w:rPr>
        <w:t xml:space="preserve"> care (PCC) and partnership working are central to UK health and social care, promoting dignity, autonomy, and coordinated support. Together, they shift practice from fragmented systems to integrated, collaborative approaches. However, challenges such as workforce pressures, poor communication, and systemic inequalities can limit effective implementation. Ethical tensions around autonomy and safeguarding also require careful decision-making. Strengthening these approaches requires investment in staffing, training, and digital systems, alongside improved collaboration across services. Meaningful co-production with service users is also essential to ensure care remains responsive, equitable, and sustainable in meeting growing demands within the UK healthcare system.</w:t>
      </w:r>
    </w:p>
    <w:p w14:paraId="26D35E83" w14:textId="5BEC4EF6" w:rsidR="1E05BB65" w:rsidRDefault="6B717C79" w:rsidP="532DFAFA">
      <w:pPr>
        <w:pStyle w:val="Heading1"/>
        <w:spacing w:before="240" w:after="240" w:line="360" w:lineRule="auto"/>
        <w:rPr>
          <w:rFonts w:ascii="Arial" w:eastAsia="Arial" w:hAnsi="Arial" w:cs="Arial"/>
          <w:b/>
          <w:bCs/>
          <w:color w:val="auto"/>
          <w:sz w:val="22"/>
          <w:szCs w:val="22"/>
        </w:rPr>
      </w:pPr>
      <w:r w:rsidRPr="5237CBAA">
        <w:rPr>
          <w:rFonts w:ascii="Arial" w:eastAsia="Arial" w:hAnsi="Arial" w:cs="Arial"/>
          <w:b/>
          <w:bCs/>
          <w:color w:val="auto"/>
          <w:sz w:val="22"/>
          <w:szCs w:val="22"/>
        </w:rPr>
        <w:lastRenderedPageBreak/>
        <w:t>References</w:t>
      </w:r>
    </w:p>
    <w:p w14:paraId="583E9668"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Beauchamp, T.L. and Childress, J.F., 2019. </w:t>
      </w:r>
      <w:r w:rsidRPr="0088756D">
        <w:rPr>
          <w:rStyle w:val="Emphasis"/>
          <w:rFonts w:asciiTheme="minorHAnsi" w:hAnsiTheme="minorHAnsi" w:cstheme="minorHAnsi"/>
          <w:sz w:val="22"/>
          <w:szCs w:val="22"/>
        </w:rPr>
        <w:t>Principles of biomedical ethics</w:t>
      </w:r>
      <w:r w:rsidRPr="0088756D">
        <w:rPr>
          <w:rFonts w:asciiTheme="minorHAnsi" w:hAnsiTheme="minorHAnsi" w:cstheme="minorHAnsi"/>
          <w:sz w:val="22"/>
          <w:szCs w:val="22"/>
        </w:rPr>
        <w:t>. 8th ed. New York: Oxford University Press.</w:t>
      </w:r>
    </w:p>
    <w:p w14:paraId="741CFDBA"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Brownie, S. and Nancarrow, S., 2024. Effects of person-centred care on organisational culture in health systems. </w:t>
      </w:r>
      <w:r w:rsidRPr="0088756D">
        <w:rPr>
          <w:rStyle w:val="Emphasis"/>
          <w:rFonts w:asciiTheme="minorHAnsi" w:hAnsiTheme="minorHAnsi" w:cstheme="minorHAnsi"/>
          <w:sz w:val="22"/>
          <w:szCs w:val="22"/>
        </w:rPr>
        <w:t>Journal of Health Organization and Management</w:t>
      </w:r>
      <w:r w:rsidRPr="0088756D">
        <w:rPr>
          <w:rFonts w:asciiTheme="minorHAnsi" w:hAnsiTheme="minorHAnsi" w:cstheme="minorHAnsi"/>
          <w:sz w:val="22"/>
          <w:szCs w:val="22"/>
        </w:rPr>
        <w:t>, 38(2), pp.145–160.</w:t>
      </w:r>
    </w:p>
    <w:p w14:paraId="173EC2A2"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Coulter, A., Entwistle, V.A., Eccles, A., Ryan, S., Shepperd, S. and Perera, R., 2022. Personalised care planning for adults with chronic or long-term health conditions. </w:t>
      </w:r>
      <w:r w:rsidRPr="0088756D">
        <w:rPr>
          <w:rStyle w:val="Emphasis"/>
          <w:rFonts w:asciiTheme="minorHAnsi" w:hAnsiTheme="minorHAnsi" w:cstheme="minorHAnsi"/>
          <w:sz w:val="22"/>
          <w:szCs w:val="22"/>
        </w:rPr>
        <w:t>Cochrane Database of Systematic Reviews</w:t>
      </w:r>
      <w:r w:rsidRPr="0088756D">
        <w:rPr>
          <w:rFonts w:asciiTheme="minorHAnsi" w:hAnsiTheme="minorHAnsi" w:cstheme="minorHAnsi"/>
          <w:sz w:val="22"/>
          <w:szCs w:val="22"/>
        </w:rPr>
        <w:t>, 2022(3).</w:t>
      </w:r>
    </w:p>
    <w:p w14:paraId="5DBD7048"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Dwamena, F., Holmes-Rovner, M., Gaulden, C.M., Jorgenson, S., Sadigh, G., Sikorskii, A., Lewin, S., Smith, R.C., Coffey, J. and Olomu, A., 2023. Interventions for providers to promote a patient-centred approach in clinical consultations. </w:t>
      </w:r>
      <w:r w:rsidRPr="0088756D">
        <w:rPr>
          <w:rStyle w:val="Emphasis"/>
          <w:rFonts w:asciiTheme="minorHAnsi" w:hAnsiTheme="minorHAnsi" w:cstheme="minorHAnsi"/>
          <w:sz w:val="22"/>
          <w:szCs w:val="22"/>
        </w:rPr>
        <w:t xml:space="preserve">Patient Education and </w:t>
      </w:r>
      <w:proofErr w:type="spellStart"/>
      <w:r w:rsidRPr="0088756D">
        <w:rPr>
          <w:rStyle w:val="Emphasis"/>
          <w:rFonts w:asciiTheme="minorHAnsi" w:hAnsiTheme="minorHAnsi" w:cstheme="minorHAnsi"/>
          <w:sz w:val="22"/>
          <w:szCs w:val="22"/>
        </w:rPr>
        <w:t>Counseling</w:t>
      </w:r>
      <w:proofErr w:type="spellEnd"/>
      <w:r w:rsidRPr="0088756D">
        <w:rPr>
          <w:rFonts w:asciiTheme="minorHAnsi" w:hAnsiTheme="minorHAnsi" w:cstheme="minorHAnsi"/>
          <w:sz w:val="22"/>
          <w:szCs w:val="22"/>
        </w:rPr>
        <w:t>, 116, pp.78–89.</w:t>
      </w:r>
    </w:p>
    <w:p w14:paraId="4789532C"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Edvardsson, D., Watt, E. and Pearce, F., 2019. Patient experiences of caring and person-centredness are associated with perceived nursing care quality. </w:t>
      </w:r>
      <w:r w:rsidRPr="0088756D">
        <w:rPr>
          <w:rStyle w:val="Emphasis"/>
          <w:rFonts w:asciiTheme="minorHAnsi" w:hAnsiTheme="minorHAnsi" w:cstheme="minorHAnsi"/>
          <w:sz w:val="22"/>
          <w:szCs w:val="22"/>
        </w:rPr>
        <w:t>Journal of Advanced Nursing</w:t>
      </w:r>
      <w:r w:rsidRPr="0088756D">
        <w:rPr>
          <w:rFonts w:asciiTheme="minorHAnsi" w:hAnsiTheme="minorHAnsi" w:cstheme="minorHAnsi"/>
          <w:sz w:val="22"/>
          <w:szCs w:val="22"/>
        </w:rPr>
        <w:t>, 75(1), pp.217–226.</w:t>
      </w:r>
    </w:p>
    <w:p w14:paraId="7A4890BA"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Goodwin, N., 2020. Improving integrated care: Can implementation science unlock the ‘black box’ of complexities? </w:t>
      </w:r>
      <w:r w:rsidRPr="0088756D">
        <w:rPr>
          <w:rStyle w:val="Emphasis"/>
          <w:rFonts w:asciiTheme="minorHAnsi" w:hAnsiTheme="minorHAnsi" w:cstheme="minorHAnsi"/>
          <w:sz w:val="22"/>
          <w:szCs w:val="22"/>
        </w:rPr>
        <w:t>International Journal of Integrated Care</w:t>
      </w:r>
      <w:r w:rsidRPr="0088756D">
        <w:rPr>
          <w:rFonts w:asciiTheme="minorHAnsi" w:hAnsiTheme="minorHAnsi" w:cstheme="minorHAnsi"/>
          <w:sz w:val="22"/>
          <w:szCs w:val="22"/>
        </w:rPr>
        <w:t>, 20(3), pp.1–9.</w:t>
      </w:r>
    </w:p>
    <w:p w14:paraId="4CE5364A"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Maslow, A.H., 1943. A theory of human motivation. </w:t>
      </w:r>
      <w:r w:rsidRPr="0088756D">
        <w:rPr>
          <w:rStyle w:val="Emphasis"/>
          <w:rFonts w:asciiTheme="minorHAnsi" w:hAnsiTheme="minorHAnsi" w:cstheme="minorHAnsi"/>
          <w:sz w:val="22"/>
          <w:szCs w:val="22"/>
        </w:rPr>
        <w:t>Psychological Review</w:t>
      </w:r>
      <w:r w:rsidRPr="0088756D">
        <w:rPr>
          <w:rFonts w:asciiTheme="minorHAnsi" w:hAnsiTheme="minorHAnsi" w:cstheme="minorHAnsi"/>
          <w:sz w:val="22"/>
          <w:szCs w:val="22"/>
        </w:rPr>
        <w:t>, 50(4), pp.370–396.</w:t>
      </w:r>
    </w:p>
    <w:p w14:paraId="1060A581" w14:textId="77777777" w:rsidR="0088756D" w:rsidRPr="0088756D" w:rsidRDefault="0088756D" w:rsidP="0088756D">
      <w:pPr>
        <w:pStyle w:val="NormalWeb"/>
        <w:spacing w:line="360" w:lineRule="auto"/>
        <w:rPr>
          <w:rFonts w:asciiTheme="minorHAnsi" w:hAnsiTheme="minorHAnsi" w:cstheme="minorHAnsi"/>
          <w:sz w:val="22"/>
          <w:szCs w:val="22"/>
        </w:rPr>
      </w:pPr>
      <w:proofErr w:type="spellStart"/>
      <w:r w:rsidRPr="0088756D">
        <w:rPr>
          <w:rFonts w:asciiTheme="minorHAnsi" w:hAnsiTheme="minorHAnsi" w:cstheme="minorHAnsi"/>
          <w:sz w:val="22"/>
          <w:szCs w:val="22"/>
        </w:rPr>
        <w:t>Minkman</w:t>
      </w:r>
      <w:proofErr w:type="spellEnd"/>
      <w:r w:rsidRPr="0088756D">
        <w:rPr>
          <w:rFonts w:asciiTheme="minorHAnsi" w:hAnsiTheme="minorHAnsi" w:cstheme="minorHAnsi"/>
          <w:sz w:val="22"/>
          <w:szCs w:val="22"/>
        </w:rPr>
        <w:t xml:space="preserve">, M., 2020. Long-term integrated care: Towards a better understanding of how to develop and sustain integration. </w:t>
      </w:r>
      <w:r w:rsidRPr="0088756D">
        <w:rPr>
          <w:rStyle w:val="Emphasis"/>
          <w:rFonts w:asciiTheme="minorHAnsi" w:hAnsiTheme="minorHAnsi" w:cstheme="minorHAnsi"/>
          <w:sz w:val="22"/>
          <w:szCs w:val="22"/>
        </w:rPr>
        <w:t>International Journal of Integrated Care</w:t>
      </w:r>
      <w:r w:rsidRPr="0088756D">
        <w:rPr>
          <w:rFonts w:asciiTheme="minorHAnsi" w:hAnsiTheme="minorHAnsi" w:cstheme="minorHAnsi"/>
          <w:sz w:val="22"/>
          <w:szCs w:val="22"/>
        </w:rPr>
        <w:t>, 20(3), pp.1–4.</w:t>
      </w:r>
    </w:p>
    <w:p w14:paraId="66B9F990"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Moore, L., Britten, N., Lydahl, D. and </w:t>
      </w:r>
      <w:proofErr w:type="spellStart"/>
      <w:r w:rsidRPr="0088756D">
        <w:rPr>
          <w:rFonts w:asciiTheme="minorHAnsi" w:hAnsiTheme="minorHAnsi" w:cstheme="minorHAnsi"/>
          <w:sz w:val="22"/>
          <w:szCs w:val="22"/>
        </w:rPr>
        <w:t>Naldemirci</w:t>
      </w:r>
      <w:proofErr w:type="spellEnd"/>
      <w:r w:rsidRPr="0088756D">
        <w:rPr>
          <w:rFonts w:asciiTheme="minorHAnsi" w:hAnsiTheme="minorHAnsi" w:cstheme="minorHAnsi"/>
          <w:sz w:val="22"/>
          <w:szCs w:val="22"/>
        </w:rPr>
        <w:t xml:space="preserve">, Ö., 2023. Theories of person-centred care in health and social care: A systematic review. </w:t>
      </w:r>
      <w:r w:rsidRPr="0088756D">
        <w:rPr>
          <w:rStyle w:val="Emphasis"/>
          <w:rFonts w:asciiTheme="minorHAnsi" w:hAnsiTheme="minorHAnsi" w:cstheme="minorHAnsi"/>
          <w:sz w:val="22"/>
          <w:szCs w:val="22"/>
        </w:rPr>
        <w:t>Health Expectations</w:t>
      </w:r>
      <w:r w:rsidRPr="0088756D">
        <w:rPr>
          <w:rFonts w:asciiTheme="minorHAnsi" w:hAnsiTheme="minorHAnsi" w:cstheme="minorHAnsi"/>
          <w:sz w:val="22"/>
          <w:szCs w:val="22"/>
        </w:rPr>
        <w:t>, 26(4), pp.1450–1463.</w:t>
      </w:r>
    </w:p>
    <w:p w14:paraId="07A7EFE5"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Morgan, S. and Yoder, L.H., 2022. A concept analysis of person-centred care. </w:t>
      </w:r>
      <w:r w:rsidRPr="0088756D">
        <w:rPr>
          <w:rStyle w:val="Emphasis"/>
          <w:rFonts w:asciiTheme="minorHAnsi" w:hAnsiTheme="minorHAnsi" w:cstheme="minorHAnsi"/>
          <w:sz w:val="22"/>
          <w:szCs w:val="22"/>
        </w:rPr>
        <w:t>Journal of Holistic Nursing</w:t>
      </w:r>
      <w:r w:rsidRPr="0088756D">
        <w:rPr>
          <w:rFonts w:asciiTheme="minorHAnsi" w:hAnsiTheme="minorHAnsi" w:cstheme="minorHAnsi"/>
          <w:sz w:val="22"/>
          <w:szCs w:val="22"/>
        </w:rPr>
        <w:t>, 40(1), pp.6–16.</w:t>
      </w:r>
    </w:p>
    <w:p w14:paraId="50AACADB"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National Voices and Think Local Act Personal, 2021. </w:t>
      </w:r>
      <w:r w:rsidRPr="0088756D">
        <w:rPr>
          <w:rStyle w:val="Emphasis"/>
          <w:rFonts w:asciiTheme="minorHAnsi" w:hAnsiTheme="minorHAnsi" w:cstheme="minorHAnsi"/>
          <w:sz w:val="22"/>
          <w:szCs w:val="22"/>
        </w:rPr>
        <w:t>The personalised care framework: Shifting to person-centred services</w:t>
      </w:r>
      <w:r w:rsidRPr="0088756D">
        <w:rPr>
          <w:rFonts w:asciiTheme="minorHAnsi" w:hAnsiTheme="minorHAnsi" w:cstheme="minorHAnsi"/>
          <w:sz w:val="22"/>
          <w:szCs w:val="22"/>
        </w:rPr>
        <w:t>. London: National Voices.</w:t>
      </w:r>
    </w:p>
    <w:p w14:paraId="433502E8"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lastRenderedPageBreak/>
        <w:t xml:space="preserve">Rivas, C., Wykes, T., Razavi, M. and Evans, J., 2025. Addressing inequalities in person-centred care delivery within integrated health systems. </w:t>
      </w:r>
      <w:r w:rsidRPr="0088756D">
        <w:rPr>
          <w:rStyle w:val="Emphasis"/>
          <w:rFonts w:asciiTheme="minorHAnsi" w:hAnsiTheme="minorHAnsi" w:cstheme="minorHAnsi"/>
          <w:sz w:val="22"/>
          <w:szCs w:val="22"/>
        </w:rPr>
        <w:t>Health &amp; Social Care in the Community</w:t>
      </w:r>
      <w:r w:rsidRPr="0088756D">
        <w:rPr>
          <w:rFonts w:asciiTheme="minorHAnsi" w:hAnsiTheme="minorHAnsi" w:cstheme="minorHAnsi"/>
          <w:sz w:val="22"/>
          <w:szCs w:val="22"/>
        </w:rPr>
        <w:t>, 33(1), pp.45–58.</w:t>
      </w:r>
    </w:p>
    <w:p w14:paraId="63BD65D5"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Rogers, C.R., 1951. </w:t>
      </w:r>
      <w:r w:rsidRPr="0088756D">
        <w:rPr>
          <w:rStyle w:val="Emphasis"/>
          <w:rFonts w:asciiTheme="minorHAnsi" w:hAnsiTheme="minorHAnsi" w:cstheme="minorHAnsi"/>
          <w:sz w:val="22"/>
          <w:szCs w:val="22"/>
        </w:rPr>
        <w:t>Client-</w:t>
      </w:r>
      <w:proofErr w:type="spellStart"/>
      <w:r w:rsidRPr="0088756D">
        <w:rPr>
          <w:rStyle w:val="Emphasis"/>
          <w:rFonts w:asciiTheme="minorHAnsi" w:hAnsiTheme="minorHAnsi" w:cstheme="minorHAnsi"/>
          <w:sz w:val="22"/>
          <w:szCs w:val="22"/>
        </w:rPr>
        <w:t>centered</w:t>
      </w:r>
      <w:proofErr w:type="spellEnd"/>
      <w:r w:rsidRPr="0088756D">
        <w:rPr>
          <w:rStyle w:val="Emphasis"/>
          <w:rFonts w:asciiTheme="minorHAnsi" w:hAnsiTheme="minorHAnsi" w:cstheme="minorHAnsi"/>
          <w:sz w:val="22"/>
          <w:szCs w:val="22"/>
        </w:rPr>
        <w:t xml:space="preserve"> therapy: Its current practice, implications and theory</w:t>
      </w:r>
      <w:r w:rsidRPr="0088756D">
        <w:rPr>
          <w:rFonts w:asciiTheme="minorHAnsi" w:hAnsiTheme="minorHAnsi" w:cstheme="minorHAnsi"/>
          <w:sz w:val="22"/>
          <w:szCs w:val="22"/>
        </w:rPr>
        <w:t>. Boston: Houghton Mifflin.</w:t>
      </w:r>
    </w:p>
    <w:p w14:paraId="73F87744"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Thompson, I. and Heron, P., 2021. Ethical decision-making in health and social care practice. </w:t>
      </w:r>
      <w:r w:rsidRPr="0088756D">
        <w:rPr>
          <w:rStyle w:val="Emphasis"/>
          <w:rFonts w:asciiTheme="minorHAnsi" w:hAnsiTheme="minorHAnsi" w:cstheme="minorHAnsi"/>
          <w:sz w:val="22"/>
          <w:szCs w:val="22"/>
        </w:rPr>
        <w:t>Nursing Ethics</w:t>
      </w:r>
      <w:r w:rsidRPr="0088756D">
        <w:rPr>
          <w:rFonts w:asciiTheme="minorHAnsi" w:hAnsiTheme="minorHAnsi" w:cstheme="minorHAnsi"/>
          <w:sz w:val="22"/>
          <w:szCs w:val="22"/>
        </w:rPr>
        <w:t>, 28(6), pp.839–850.</w:t>
      </w:r>
    </w:p>
    <w:p w14:paraId="1E045235" w14:textId="77777777" w:rsidR="0088756D" w:rsidRPr="0088756D" w:rsidRDefault="0088756D" w:rsidP="0088756D">
      <w:pPr>
        <w:pStyle w:val="NormalWeb"/>
        <w:spacing w:line="360" w:lineRule="auto"/>
        <w:rPr>
          <w:rFonts w:asciiTheme="minorHAnsi" w:hAnsiTheme="minorHAnsi" w:cstheme="minorHAnsi"/>
          <w:sz w:val="22"/>
          <w:szCs w:val="22"/>
        </w:rPr>
      </w:pPr>
      <w:r w:rsidRPr="0088756D">
        <w:rPr>
          <w:rFonts w:asciiTheme="minorHAnsi" w:hAnsiTheme="minorHAnsi" w:cstheme="minorHAnsi"/>
          <w:sz w:val="22"/>
          <w:szCs w:val="22"/>
        </w:rPr>
        <w:t xml:space="preserve">Thomson, K. and Chatterjee, H., 2023. Collaborative working in health and social care: Opportunities and barriers to integration. </w:t>
      </w:r>
      <w:r w:rsidRPr="0088756D">
        <w:rPr>
          <w:rStyle w:val="Emphasis"/>
          <w:rFonts w:asciiTheme="minorHAnsi" w:hAnsiTheme="minorHAnsi" w:cstheme="minorHAnsi"/>
          <w:sz w:val="22"/>
          <w:szCs w:val="22"/>
        </w:rPr>
        <w:t>Journal of Integrated Care</w:t>
      </w:r>
      <w:r w:rsidRPr="0088756D">
        <w:rPr>
          <w:rFonts w:asciiTheme="minorHAnsi" w:hAnsiTheme="minorHAnsi" w:cstheme="minorHAnsi"/>
          <w:sz w:val="22"/>
          <w:szCs w:val="22"/>
        </w:rPr>
        <w:t>, 31(2), pp.98–110.</w:t>
      </w:r>
    </w:p>
    <w:p w14:paraId="4027203A" w14:textId="77777777" w:rsidR="0088756D" w:rsidRPr="0088756D" w:rsidRDefault="0088756D" w:rsidP="0088756D"/>
    <w:p w14:paraId="2D714BEF" w14:textId="31058659" w:rsidR="1E05BB65" w:rsidRDefault="1E05BB65" w:rsidP="532DFAFA">
      <w:pPr>
        <w:spacing w:line="360" w:lineRule="auto"/>
        <w:rPr>
          <w:sz w:val="22"/>
          <w:szCs w:val="22"/>
        </w:rPr>
      </w:pPr>
    </w:p>
    <w:p w14:paraId="43195E4B" w14:textId="3A5CDC32" w:rsidR="1E05BB65" w:rsidRDefault="1E05BB65" w:rsidP="532DFAFA">
      <w:pPr>
        <w:spacing w:line="360" w:lineRule="auto"/>
        <w:rPr>
          <w:sz w:val="22"/>
          <w:szCs w:val="22"/>
        </w:rPr>
      </w:pPr>
    </w:p>
    <w:p w14:paraId="305E68C5" w14:textId="04EDC579" w:rsidR="1E05BB65" w:rsidRDefault="1E05BB65" w:rsidP="532DFAFA">
      <w:pPr>
        <w:spacing w:line="360" w:lineRule="auto"/>
      </w:pPr>
    </w:p>
    <w:p w14:paraId="287E4A75" w14:textId="1B2B51FE" w:rsidR="1E05BB65" w:rsidRDefault="1E05BB65"/>
    <w:p w14:paraId="3AA0DBEB" w14:textId="142752FB" w:rsidR="1E05BB65" w:rsidRDefault="1E05BB65"/>
    <w:p w14:paraId="3D26EC22" w14:textId="425C1122" w:rsidR="1E05BB65" w:rsidRDefault="1E05BB65"/>
    <w:p w14:paraId="56346601" w14:textId="53A2ED5F" w:rsidR="1E05BB65" w:rsidRDefault="1E05BB65"/>
    <w:p w14:paraId="4DCA96E3" w14:textId="2318D8A6" w:rsidR="1E05BB65" w:rsidRDefault="1E05BB65"/>
    <w:p w14:paraId="07388995" w14:textId="337A4704" w:rsidR="1E05BB65" w:rsidRDefault="1E05BB65" w:rsidP="1E05BB65"/>
    <w:sectPr w:rsidR="1E05BB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hN6B5b8f/AaH/i" int2:id="Xt27ynvG">
      <int2:state int2:value="Rejected" int2:type="spell"/>
    </int2:textHash>
    <int2:textHash int2:hashCode="jf+rJqVlrR1FG/" int2:id="oXclK6l5">
      <int2:state int2:value="Rejected" int2:type="spell"/>
    </int2:textHash>
    <int2:textHash int2:hashCode="aG+z44WpgrTp0l" int2:id="tiVvsca2">
      <int2:state int2:value="Rejected" int2:type="spell"/>
    </int2:textHash>
    <int2:textHash int2:hashCode="IknMeE5XC/atct" int2:id="LCsnTYz1">
      <int2:state int2:value="Rejected" int2:type="spell"/>
    </int2:textHash>
    <int2:textHash int2:hashCode="+pOqN1ZKhZqaJe" int2:id="lcTlkGvf">
      <int2:state int2:value="Rejected" int2:type="spell"/>
    </int2:textHash>
    <int2:textHash int2:hashCode="KQ43uEc68A4Ek8" int2:id="mgTlx7K8">
      <int2:state int2:value="Rejected" int2:type="spell"/>
    </int2:textHash>
    <int2:textHash int2:hashCode="ChLpHS0UrZbNau" int2:id="f734HJWS">
      <int2:state int2:value="Rejected" int2:type="spell"/>
    </int2:textHash>
    <int2:textHash int2:hashCode="63rDgfzL/hb6ty" int2:id="fT1d9Vdr">
      <int2:state int2:value="Rejected" int2:type="spell"/>
    </int2:textHash>
    <int2:textHash int2:hashCode="SlYFDncvjWIs3o" int2:id="1YFlShDO">
      <int2:state int2:value="Rejected" int2:type="spell"/>
    </int2:textHash>
    <int2:textHash int2:hashCode="NT12h6See3qwhk" int2:id="c8jqwsA1">
      <int2:state int2:value="Rejected" int2:type="spell"/>
    </int2:textHash>
    <int2:textHash int2:hashCode="kv4UVae7TQCfC0" int2:id="eRuHf5SI">
      <int2:state int2:value="Rejected" int2:type="spell"/>
    </int2:textHash>
    <int2:textHash int2:hashCode="OiruTVC2kgzi5a" int2:id="ZCWVijqY">
      <int2:state int2:value="Rejected" int2:type="spell"/>
    </int2:textHash>
    <int2:textHash int2:hashCode="kByidkXaRxGvMx" int2:id="2i174poy">
      <int2:state int2:value="Rejected" int2:type="spell"/>
    </int2:textHash>
    <int2:textHash int2:hashCode="gOigg3B4VG+1IR" int2:id="m7cgblt2">
      <int2:state int2:value="Rejected" int2:type="spell"/>
    </int2:textHash>
    <int2:textHash int2:hashCode="xQy+KnIliT8rxm" int2:id="v4jZfN6M">
      <int2:state int2:value="Rejected" int2:type="spell"/>
    </int2:textHash>
    <int2:textHash int2:hashCode="7OmYag+MLKaTRs" int2:id="2DnD2gx3">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8C10D"/>
    <w:multiLevelType w:val="hybridMultilevel"/>
    <w:tmpl w:val="2DEE52D2"/>
    <w:lvl w:ilvl="0" w:tplc="CCC429E4">
      <w:start w:val="1"/>
      <w:numFmt w:val="bullet"/>
      <w:lvlText w:val=""/>
      <w:lvlJc w:val="left"/>
      <w:pPr>
        <w:ind w:left="720" w:hanging="360"/>
      </w:pPr>
      <w:rPr>
        <w:rFonts w:ascii="Symbol" w:hAnsi="Symbol" w:hint="default"/>
      </w:rPr>
    </w:lvl>
    <w:lvl w:ilvl="1" w:tplc="81703E7A">
      <w:start w:val="1"/>
      <w:numFmt w:val="bullet"/>
      <w:lvlText w:val="o"/>
      <w:lvlJc w:val="left"/>
      <w:pPr>
        <w:ind w:left="1440" w:hanging="360"/>
      </w:pPr>
      <w:rPr>
        <w:rFonts w:ascii="Courier New" w:hAnsi="Courier New" w:hint="default"/>
      </w:rPr>
    </w:lvl>
    <w:lvl w:ilvl="2" w:tplc="468260CA">
      <w:start w:val="1"/>
      <w:numFmt w:val="bullet"/>
      <w:lvlText w:val=""/>
      <w:lvlJc w:val="left"/>
      <w:pPr>
        <w:ind w:left="2160" w:hanging="360"/>
      </w:pPr>
      <w:rPr>
        <w:rFonts w:ascii="Wingdings" w:hAnsi="Wingdings" w:hint="default"/>
      </w:rPr>
    </w:lvl>
    <w:lvl w:ilvl="3" w:tplc="ADA29B00">
      <w:start w:val="1"/>
      <w:numFmt w:val="bullet"/>
      <w:lvlText w:val=""/>
      <w:lvlJc w:val="left"/>
      <w:pPr>
        <w:ind w:left="2880" w:hanging="360"/>
      </w:pPr>
      <w:rPr>
        <w:rFonts w:ascii="Symbol" w:hAnsi="Symbol" w:hint="default"/>
      </w:rPr>
    </w:lvl>
    <w:lvl w:ilvl="4" w:tplc="D902C196">
      <w:start w:val="1"/>
      <w:numFmt w:val="bullet"/>
      <w:lvlText w:val="o"/>
      <w:lvlJc w:val="left"/>
      <w:pPr>
        <w:ind w:left="3600" w:hanging="360"/>
      </w:pPr>
      <w:rPr>
        <w:rFonts w:ascii="Courier New" w:hAnsi="Courier New" w:hint="default"/>
      </w:rPr>
    </w:lvl>
    <w:lvl w:ilvl="5" w:tplc="4DA2AA70">
      <w:start w:val="1"/>
      <w:numFmt w:val="bullet"/>
      <w:lvlText w:val=""/>
      <w:lvlJc w:val="left"/>
      <w:pPr>
        <w:ind w:left="4320" w:hanging="360"/>
      </w:pPr>
      <w:rPr>
        <w:rFonts w:ascii="Wingdings" w:hAnsi="Wingdings" w:hint="default"/>
      </w:rPr>
    </w:lvl>
    <w:lvl w:ilvl="6" w:tplc="27F685D6">
      <w:start w:val="1"/>
      <w:numFmt w:val="bullet"/>
      <w:lvlText w:val=""/>
      <w:lvlJc w:val="left"/>
      <w:pPr>
        <w:ind w:left="5040" w:hanging="360"/>
      </w:pPr>
      <w:rPr>
        <w:rFonts w:ascii="Symbol" w:hAnsi="Symbol" w:hint="default"/>
      </w:rPr>
    </w:lvl>
    <w:lvl w:ilvl="7" w:tplc="0CEE6F22">
      <w:start w:val="1"/>
      <w:numFmt w:val="bullet"/>
      <w:lvlText w:val="o"/>
      <w:lvlJc w:val="left"/>
      <w:pPr>
        <w:ind w:left="5760" w:hanging="360"/>
      </w:pPr>
      <w:rPr>
        <w:rFonts w:ascii="Courier New" w:hAnsi="Courier New" w:hint="default"/>
      </w:rPr>
    </w:lvl>
    <w:lvl w:ilvl="8" w:tplc="D42410B6">
      <w:start w:val="1"/>
      <w:numFmt w:val="bullet"/>
      <w:lvlText w:val=""/>
      <w:lvlJc w:val="left"/>
      <w:pPr>
        <w:ind w:left="6480" w:hanging="360"/>
      </w:pPr>
      <w:rPr>
        <w:rFonts w:ascii="Wingdings" w:hAnsi="Wingdings" w:hint="default"/>
      </w:rPr>
    </w:lvl>
  </w:abstractNum>
  <w:abstractNum w:abstractNumId="1" w15:restartNumberingAfterBreak="0">
    <w:nsid w:val="29A64148"/>
    <w:multiLevelType w:val="hybridMultilevel"/>
    <w:tmpl w:val="EC96DEB8"/>
    <w:lvl w:ilvl="0" w:tplc="FCC4A45E">
      <w:start w:val="1"/>
      <w:numFmt w:val="bullet"/>
      <w:lvlText w:val=""/>
      <w:lvlJc w:val="left"/>
      <w:pPr>
        <w:ind w:left="720" w:hanging="360"/>
      </w:pPr>
      <w:rPr>
        <w:rFonts w:ascii="Symbol" w:hAnsi="Symbol" w:hint="default"/>
      </w:rPr>
    </w:lvl>
    <w:lvl w:ilvl="1" w:tplc="3A26106A">
      <w:start w:val="1"/>
      <w:numFmt w:val="bullet"/>
      <w:lvlText w:val="o"/>
      <w:lvlJc w:val="left"/>
      <w:pPr>
        <w:ind w:left="1440" w:hanging="360"/>
      </w:pPr>
      <w:rPr>
        <w:rFonts w:ascii="Courier New" w:hAnsi="Courier New" w:hint="default"/>
      </w:rPr>
    </w:lvl>
    <w:lvl w:ilvl="2" w:tplc="14FC48EE">
      <w:start w:val="1"/>
      <w:numFmt w:val="bullet"/>
      <w:lvlText w:val=""/>
      <w:lvlJc w:val="left"/>
      <w:pPr>
        <w:ind w:left="2160" w:hanging="360"/>
      </w:pPr>
      <w:rPr>
        <w:rFonts w:ascii="Wingdings" w:hAnsi="Wingdings" w:hint="default"/>
      </w:rPr>
    </w:lvl>
    <w:lvl w:ilvl="3" w:tplc="51E05AF0">
      <w:start w:val="1"/>
      <w:numFmt w:val="bullet"/>
      <w:lvlText w:val=""/>
      <w:lvlJc w:val="left"/>
      <w:pPr>
        <w:ind w:left="2880" w:hanging="360"/>
      </w:pPr>
      <w:rPr>
        <w:rFonts w:ascii="Symbol" w:hAnsi="Symbol" w:hint="default"/>
      </w:rPr>
    </w:lvl>
    <w:lvl w:ilvl="4" w:tplc="2C96CD1E">
      <w:start w:val="1"/>
      <w:numFmt w:val="bullet"/>
      <w:lvlText w:val="o"/>
      <w:lvlJc w:val="left"/>
      <w:pPr>
        <w:ind w:left="3600" w:hanging="360"/>
      </w:pPr>
      <w:rPr>
        <w:rFonts w:ascii="Courier New" w:hAnsi="Courier New" w:hint="default"/>
      </w:rPr>
    </w:lvl>
    <w:lvl w:ilvl="5" w:tplc="AB509366">
      <w:start w:val="1"/>
      <w:numFmt w:val="bullet"/>
      <w:lvlText w:val=""/>
      <w:lvlJc w:val="left"/>
      <w:pPr>
        <w:ind w:left="4320" w:hanging="360"/>
      </w:pPr>
      <w:rPr>
        <w:rFonts w:ascii="Wingdings" w:hAnsi="Wingdings" w:hint="default"/>
      </w:rPr>
    </w:lvl>
    <w:lvl w:ilvl="6" w:tplc="1A5C9814">
      <w:start w:val="1"/>
      <w:numFmt w:val="bullet"/>
      <w:lvlText w:val=""/>
      <w:lvlJc w:val="left"/>
      <w:pPr>
        <w:ind w:left="5040" w:hanging="360"/>
      </w:pPr>
      <w:rPr>
        <w:rFonts w:ascii="Symbol" w:hAnsi="Symbol" w:hint="default"/>
      </w:rPr>
    </w:lvl>
    <w:lvl w:ilvl="7" w:tplc="B2028592">
      <w:start w:val="1"/>
      <w:numFmt w:val="bullet"/>
      <w:lvlText w:val="o"/>
      <w:lvlJc w:val="left"/>
      <w:pPr>
        <w:ind w:left="5760" w:hanging="360"/>
      </w:pPr>
      <w:rPr>
        <w:rFonts w:ascii="Courier New" w:hAnsi="Courier New" w:hint="default"/>
      </w:rPr>
    </w:lvl>
    <w:lvl w:ilvl="8" w:tplc="B68460A2">
      <w:start w:val="1"/>
      <w:numFmt w:val="bullet"/>
      <w:lvlText w:val=""/>
      <w:lvlJc w:val="left"/>
      <w:pPr>
        <w:ind w:left="6480" w:hanging="360"/>
      </w:pPr>
      <w:rPr>
        <w:rFonts w:ascii="Wingdings" w:hAnsi="Wingdings" w:hint="default"/>
      </w:rPr>
    </w:lvl>
  </w:abstractNum>
  <w:abstractNum w:abstractNumId="2" w15:restartNumberingAfterBreak="0">
    <w:nsid w:val="46B9F217"/>
    <w:multiLevelType w:val="hybridMultilevel"/>
    <w:tmpl w:val="89E6CFFE"/>
    <w:lvl w:ilvl="0" w:tplc="C4C2F57A">
      <w:start w:val="1"/>
      <w:numFmt w:val="decimal"/>
      <w:lvlText w:val="%1."/>
      <w:lvlJc w:val="left"/>
      <w:pPr>
        <w:ind w:left="720" w:hanging="360"/>
      </w:pPr>
    </w:lvl>
    <w:lvl w:ilvl="1" w:tplc="CD3CF688">
      <w:start w:val="1"/>
      <w:numFmt w:val="lowerLetter"/>
      <w:lvlText w:val="%2."/>
      <w:lvlJc w:val="left"/>
      <w:pPr>
        <w:ind w:left="1440" w:hanging="360"/>
      </w:pPr>
    </w:lvl>
    <w:lvl w:ilvl="2" w:tplc="458C7FD4">
      <w:start w:val="1"/>
      <w:numFmt w:val="lowerRoman"/>
      <w:lvlText w:val="%3."/>
      <w:lvlJc w:val="right"/>
      <w:pPr>
        <w:ind w:left="2160" w:hanging="180"/>
      </w:pPr>
    </w:lvl>
    <w:lvl w:ilvl="3" w:tplc="465EE47A">
      <w:start w:val="1"/>
      <w:numFmt w:val="decimal"/>
      <w:lvlText w:val="%4."/>
      <w:lvlJc w:val="left"/>
      <w:pPr>
        <w:ind w:left="2880" w:hanging="360"/>
      </w:pPr>
    </w:lvl>
    <w:lvl w:ilvl="4" w:tplc="9C12CA72">
      <w:start w:val="1"/>
      <w:numFmt w:val="lowerLetter"/>
      <w:lvlText w:val="%5."/>
      <w:lvlJc w:val="left"/>
      <w:pPr>
        <w:ind w:left="3600" w:hanging="360"/>
      </w:pPr>
    </w:lvl>
    <w:lvl w:ilvl="5" w:tplc="EC622966">
      <w:start w:val="1"/>
      <w:numFmt w:val="lowerRoman"/>
      <w:lvlText w:val="%6."/>
      <w:lvlJc w:val="right"/>
      <w:pPr>
        <w:ind w:left="4320" w:hanging="180"/>
      </w:pPr>
    </w:lvl>
    <w:lvl w:ilvl="6" w:tplc="924271D2">
      <w:start w:val="1"/>
      <w:numFmt w:val="decimal"/>
      <w:lvlText w:val="%7."/>
      <w:lvlJc w:val="left"/>
      <w:pPr>
        <w:ind w:left="5040" w:hanging="360"/>
      </w:pPr>
    </w:lvl>
    <w:lvl w:ilvl="7" w:tplc="E2F0CB24">
      <w:start w:val="1"/>
      <w:numFmt w:val="lowerLetter"/>
      <w:lvlText w:val="%8."/>
      <w:lvlJc w:val="left"/>
      <w:pPr>
        <w:ind w:left="5760" w:hanging="360"/>
      </w:pPr>
    </w:lvl>
    <w:lvl w:ilvl="8" w:tplc="B30C5F1A">
      <w:start w:val="1"/>
      <w:numFmt w:val="lowerRoman"/>
      <w:lvlText w:val="%9."/>
      <w:lvlJc w:val="right"/>
      <w:pPr>
        <w:ind w:left="6480" w:hanging="180"/>
      </w:pPr>
    </w:lvl>
  </w:abstractNum>
  <w:abstractNum w:abstractNumId="3" w15:restartNumberingAfterBreak="0">
    <w:nsid w:val="50EF8BE3"/>
    <w:multiLevelType w:val="hybridMultilevel"/>
    <w:tmpl w:val="1482020A"/>
    <w:lvl w:ilvl="0" w:tplc="870406BC">
      <w:start w:val="1"/>
      <w:numFmt w:val="decimal"/>
      <w:lvlText w:val="%1."/>
      <w:lvlJc w:val="left"/>
      <w:pPr>
        <w:ind w:left="720" w:hanging="360"/>
      </w:pPr>
    </w:lvl>
    <w:lvl w:ilvl="1" w:tplc="BA18BA84">
      <w:start w:val="1"/>
      <w:numFmt w:val="lowerLetter"/>
      <w:lvlText w:val="%2."/>
      <w:lvlJc w:val="left"/>
      <w:pPr>
        <w:ind w:left="1440" w:hanging="360"/>
      </w:pPr>
    </w:lvl>
    <w:lvl w:ilvl="2" w:tplc="FFE8EF6C">
      <w:start w:val="1"/>
      <w:numFmt w:val="lowerRoman"/>
      <w:lvlText w:val="%3."/>
      <w:lvlJc w:val="right"/>
      <w:pPr>
        <w:ind w:left="2160" w:hanging="180"/>
      </w:pPr>
    </w:lvl>
    <w:lvl w:ilvl="3" w:tplc="80A00B1E">
      <w:start w:val="1"/>
      <w:numFmt w:val="decimal"/>
      <w:lvlText w:val="%4."/>
      <w:lvlJc w:val="left"/>
      <w:pPr>
        <w:ind w:left="2880" w:hanging="360"/>
      </w:pPr>
    </w:lvl>
    <w:lvl w:ilvl="4" w:tplc="FBA20D86">
      <w:start w:val="1"/>
      <w:numFmt w:val="lowerLetter"/>
      <w:lvlText w:val="%5."/>
      <w:lvlJc w:val="left"/>
      <w:pPr>
        <w:ind w:left="3600" w:hanging="360"/>
      </w:pPr>
    </w:lvl>
    <w:lvl w:ilvl="5" w:tplc="48344542">
      <w:start w:val="1"/>
      <w:numFmt w:val="lowerRoman"/>
      <w:lvlText w:val="%6."/>
      <w:lvlJc w:val="right"/>
      <w:pPr>
        <w:ind w:left="4320" w:hanging="180"/>
      </w:pPr>
    </w:lvl>
    <w:lvl w:ilvl="6" w:tplc="4E5ECBE6">
      <w:start w:val="1"/>
      <w:numFmt w:val="decimal"/>
      <w:lvlText w:val="%7."/>
      <w:lvlJc w:val="left"/>
      <w:pPr>
        <w:ind w:left="5040" w:hanging="360"/>
      </w:pPr>
    </w:lvl>
    <w:lvl w:ilvl="7" w:tplc="AE404EA0">
      <w:start w:val="1"/>
      <w:numFmt w:val="lowerLetter"/>
      <w:lvlText w:val="%8."/>
      <w:lvlJc w:val="left"/>
      <w:pPr>
        <w:ind w:left="5760" w:hanging="360"/>
      </w:pPr>
    </w:lvl>
    <w:lvl w:ilvl="8" w:tplc="BCE8A990">
      <w:start w:val="1"/>
      <w:numFmt w:val="lowerRoman"/>
      <w:lvlText w:val="%9."/>
      <w:lvlJc w:val="right"/>
      <w:pPr>
        <w:ind w:left="6480" w:hanging="180"/>
      </w:pPr>
    </w:lvl>
  </w:abstractNum>
  <w:abstractNum w:abstractNumId="4" w15:restartNumberingAfterBreak="0">
    <w:nsid w:val="57B04EBA"/>
    <w:multiLevelType w:val="hybridMultilevel"/>
    <w:tmpl w:val="19C84E40"/>
    <w:lvl w:ilvl="0" w:tplc="76D40704">
      <w:start w:val="1"/>
      <w:numFmt w:val="bullet"/>
      <w:lvlText w:val=""/>
      <w:lvlJc w:val="left"/>
      <w:pPr>
        <w:ind w:left="720" w:hanging="360"/>
      </w:pPr>
      <w:rPr>
        <w:rFonts w:ascii="Symbol" w:hAnsi="Symbol" w:hint="default"/>
      </w:rPr>
    </w:lvl>
    <w:lvl w:ilvl="1" w:tplc="732238EE">
      <w:start w:val="1"/>
      <w:numFmt w:val="bullet"/>
      <w:lvlText w:val="o"/>
      <w:lvlJc w:val="left"/>
      <w:pPr>
        <w:ind w:left="1440" w:hanging="360"/>
      </w:pPr>
      <w:rPr>
        <w:rFonts w:ascii="Courier New" w:hAnsi="Courier New" w:hint="default"/>
      </w:rPr>
    </w:lvl>
    <w:lvl w:ilvl="2" w:tplc="65528FBA">
      <w:start w:val="1"/>
      <w:numFmt w:val="bullet"/>
      <w:lvlText w:val=""/>
      <w:lvlJc w:val="left"/>
      <w:pPr>
        <w:ind w:left="2160" w:hanging="360"/>
      </w:pPr>
      <w:rPr>
        <w:rFonts w:ascii="Wingdings" w:hAnsi="Wingdings" w:hint="default"/>
      </w:rPr>
    </w:lvl>
    <w:lvl w:ilvl="3" w:tplc="42620C62">
      <w:start w:val="1"/>
      <w:numFmt w:val="bullet"/>
      <w:lvlText w:val=""/>
      <w:lvlJc w:val="left"/>
      <w:pPr>
        <w:ind w:left="2880" w:hanging="360"/>
      </w:pPr>
      <w:rPr>
        <w:rFonts w:ascii="Symbol" w:hAnsi="Symbol" w:hint="default"/>
      </w:rPr>
    </w:lvl>
    <w:lvl w:ilvl="4" w:tplc="8912F3D8">
      <w:start w:val="1"/>
      <w:numFmt w:val="bullet"/>
      <w:lvlText w:val="o"/>
      <w:lvlJc w:val="left"/>
      <w:pPr>
        <w:ind w:left="3600" w:hanging="360"/>
      </w:pPr>
      <w:rPr>
        <w:rFonts w:ascii="Courier New" w:hAnsi="Courier New" w:hint="default"/>
      </w:rPr>
    </w:lvl>
    <w:lvl w:ilvl="5" w:tplc="2D60204A">
      <w:start w:val="1"/>
      <w:numFmt w:val="bullet"/>
      <w:lvlText w:val=""/>
      <w:lvlJc w:val="left"/>
      <w:pPr>
        <w:ind w:left="4320" w:hanging="360"/>
      </w:pPr>
      <w:rPr>
        <w:rFonts w:ascii="Wingdings" w:hAnsi="Wingdings" w:hint="default"/>
      </w:rPr>
    </w:lvl>
    <w:lvl w:ilvl="6" w:tplc="0D8ABE3C">
      <w:start w:val="1"/>
      <w:numFmt w:val="bullet"/>
      <w:lvlText w:val=""/>
      <w:lvlJc w:val="left"/>
      <w:pPr>
        <w:ind w:left="5040" w:hanging="360"/>
      </w:pPr>
      <w:rPr>
        <w:rFonts w:ascii="Symbol" w:hAnsi="Symbol" w:hint="default"/>
      </w:rPr>
    </w:lvl>
    <w:lvl w:ilvl="7" w:tplc="AEBAB592">
      <w:start w:val="1"/>
      <w:numFmt w:val="bullet"/>
      <w:lvlText w:val="o"/>
      <w:lvlJc w:val="left"/>
      <w:pPr>
        <w:ind w:left="5760" w:hanging="360"/>
      </w:pPr>
      <w:rPr>
        <w:rFonts w:ascii="Courier New" w:hAnsi="Courier New" w:hint="default"/>
      </w:rPr>
    </w:lvl>
    <w:lvl w:ilvl="8" w:tplc="3D86D108">
      <w:start w:val="1"/>
      <w:numFmt w:val="bullet"/>
      <w:lvlText w:val=""/>
      <w:lvlJc w:val="left"/>
      <w:pPr>
        <w:ind w:left="6480" w:hanging="360"/>
      </w:pPr>
      <w:rPr>
        <w:rFonts w:ascii="Wingdings" w:hAnsi="Wingdings" w:hint="default"/>
      </w:rPr>
    </w:lvl>
  </w:abstractNum>
  <w:abstractNum w:abstractNumId="5" w15:restartNumberingAfterBreak="0">
    <w:nsid w:val="5A07F803"/>
    <w:multiLevelType w:val="hybridMultilevel"/>
    <w:tmpl w:val="4C8019BC"/>
    <w:lvl w:ilvl="0" w:tplc="AC88616C">
      <w:start w:val="1"/>
      <w:numFmt w:val="decimal"/>
      <w:lvlText w:val="%1."/>
      <w:lvlJc w:val="left"/>
      <w:pPr>
        <w:ind w:left="720" w:hanging="360"/>
      </w:pPr>
    </w:lvl>
    <w:lvl w:ilvl="1" w:tplc="D196EFF4">
      <w:start w:val="1"/>
      <w:numFmt w:val="lowerLetter"/>
      <w:lvlText w:val="%2."/>
      <w:lvlJc w:val="left"/>
      <w:pPr>
        <w:ind w:left="1440" w:hanging="360"/>
      </w:pPr>
    </w:lvl>
    <w:lvl w:ilvl="2" w:tplc="E1E22B24">
      <w:start w:val="1"/>
      <w:numFmt w:val="lowerRoman"/>
      <w:lvlText w:val="%3."/>
      <w:lvlJc w:val="right"/>
      <w:pPr>
        <w:ind w:left="2160" w:hanging="180"/>
      </w:pPr>
    </w:lvl>
    <w:lvl w:ilvl="3" w:tplc="607878C6">
      <w:start w:val="1"/>
      <w:numFmt w:val="decimal"/>
      <w:lvlText w:val="%4."/>
      <w:lvlJc w:val="left"/>
      <w:pPr>
        <w:ind w:left="2880" w:hanging="360"/>
      </w:pPr>
    </w:lvl>
    <w:lvl w:ilvl="4" w:tplc="C2364112">
      <w:start w:val="1"/>
      <w:numFmt w:val="lowerLetter"/>
      <w:lvlText w:val="%5."/>
      <w:lvlJc w:val="left"/>
      <w:pPr>
        <w:ind w:left="3600" w:hanging="360"/>
      </w:pPr>
    </w:lvl>
    <w:lvl w:ilvl="5" w:tplc="CB9E0492">
      <w:start w:val="1"/>
      <w:numFmt w:val="lowerRoman"/>
      <w:lvlText w:val="%6."/>
      <w:lvlJc w:val="right"/>
      <w:pPr>
        <w:ind w:left="4320" w:hanging="180"/>
      </w:pPr>
    </w:lvl>
    <w:lvl w:ilvl="6" w:tplc="D174F74E">
      <w:start w:val="1"/>
      <w:numFmt w:val="decimal"/>
      <w:lvlText w:val="%7."/>
      <w:lvlJc w:val="left"/>
      <w:pPr>
        <w:ind w:left="5040" w:hanging="360"/>
      </w:pPr>
    </w:lvl>
    <w:lvl w:ilvl="7" w:tplc="F4FAE3F6">
      <w:start w:val="1"/>
      <w:numFmt w:val="lowerLetter"/>
      <w:lvlText w:val="%8."/>
      <w:lvlJc w:val="left"/>
      <w:pPr>
        <w:ind w:left="5760" w:hanging="360"/>
      </w:pPr>
    </w:lvl>
    <w:lvl w:ilvl="8" w:tplc="06263286">
      <w:start w:val="1"/>
      <w:numFmt w:val="lowerRoman"/>
      <w:lvlText w:val="%9."/>
      <w:lvlJc w:val="right"/>
      <w:pPr>
        <w:ind w:left="6480" w:hanging="180"/>
      </w:pPr>
    </w:lvl>
  </w:abstractNum>
  <w:abstractNum w:abstractNumId="6" w15:restartNumberingAfterBreak="0">
    <w:nsid w:val="620945B8"/>
    <w:multiLevelType w:val="multilevel"/>
    <w:tmpl w:val="DDD23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231405">
    <w:abstractNumId w:val="2"/>
  </w:num>
  <w:num w:numId="2" w16cid:durableId="1354650974">
    <w:abstractNumId w:val="5"/>
  </w:num>
  <w:num w:numId="3" w16cid:durableId="217938973">
    <w:abstractNumId w:val="3"/>
  </w:num>
  <w:num w:numId="4" w16cid:durableId="1218592379">
    <w:abstractNumId w:val="0"/>
  </w:num>
  <w:num w:numId="5" w16cid:durableId="980571205">
    <w:abstractNumId w:val="1"/>
  </w:num>
  <w:num w:numId="6" w16cid:durableId="1861819715">
    <w:abstractNumId w:val="4"/>
  </w:num>
  <w:num w:numId="7" w16cid:durableId="10964403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FEDC4E"/>
    <w:rsid w:val="00008C97"/>
    <w:rsid w:val="000905AB"/>
    <w:rsid w:val="000D6AAC"/>
    <w:rsid w:val="00200606"/>
    <w:rsid w:val="00231EFF"/>
    <w:rsid w:val="002843C2"/>
    <w:rsid w:val="002B629B"/>
    <w:rsid w:val="00340BB4"/>
    <w:rsid w:val="00347F74"/>
    <w:rsid w:val="003F7B47"/>
    <w:rsid w:val="00402FC1"/>
    <w:rsid w:val="00534675"/>
    <w:rsid w:val="00575FFA"/>
    <w:rsid w:val="006270A2"/>
    <w:rsid w:val="00655E60"/>
    <w:rsid w:val="006F2D0C"/>
    <w:rsid w:val="007B702B"/>
    <w:rsid w:val="0088756D"/>
    <w:rsid w:val="00971D02"/>
    <w:rsid w:val="00A02F0D"/>
    <w:rsid w:val="00A22AF3"/>
    <w:rsid w:val="00BA7118"/>
    <w:rsid w:val="00D860DF"/>
    <w:rsid w:val="00D90EA7"/>
    <w:rsid w:val="00E3723D"/>
    <w:rsid w:val="01592860"/>
    <w:rsid w:val="03548757"/>
    <w:rsid w:val="03DEAABB"/>
    <w:rsid w:val="0467C649"/>
    <w:rsid w:val="04DFE857"/>
    <w:rsid w:val="0542F808"/>
    <w:rsid w:val="07186DB7"/>
    <w:rsid w:val="0ABE3807"/>
    <w:rsid w:val="0BC97AAD"/>
    <w:rsid w:val="0C60A969"/>
    <w:rsid w:val="0CD9E01B"/>
    <w:rsid w:val="0D8C484B"/>
    <w:rsid w:val="0E95C03B"/>
    <w:rsid w:val="1006F210"/>
    <w:rsid w:val="10786363"/>
    <w:rsid w:val="108CBB6A"/>
    <w:rsid w:val="10E81277"/>
    <w:rsid w:val="11745A70"/>
    <w:rsid w:val="12D4FFC3"/>
    <w:rsid w:val="13251C69"/>
    <w:rsid w:val="1415787E"/>
    <w:rsid w:val="141F4FEB"/>
    <w:rsid w:val="14A0D3CF"/>
    <w:rsid w:val="1508024C"/>
    <w:rsid w:val="16109B30"/>
    <w:rsid w:val="161FCCCB"/>
    <w:rsid w:val="16823A21"/>
    <w:rsid w:val="16DFC6FA"/>
    <w:rsid w:val="170EEB10"/>
    <w:rsid w:val="1784B0EB"/>
    <w:rsid w:val="1788FA10"/>
    <w:rsid w:val="18A60498"/>
    <w:rsid w:val="18AE291D"/>
    <w:rsid w:val="190E8167"/>
    <w:rsid w:val="1C0FFD93"/>
    <w:rsid w:val="1DF2DA4B"/>
    <w:rsid w:val="1E05BB65"/>
    <w:rsid w:val="1E1F4B78"/>
    <w:rsid w:val="1ED1D3C7"/>
    <w:rsid w:val="1F0BA0FF"/>
    <w:rsid w:val="1FD0B837"/>
    <w:rsid w:val="2125BAB1"/>
    <w:rsid w:val="2170A39E"/>
    <w:rsid w:val="22178019"/>
    <w:rsid w:val="2261060E"/>
    <w:rsid w:val="23B8DFDC"/>
    <w:rsid w:val="24039549"/>
    <w:rsid w:val="24043EE5"/>
    <w:rsid w:val="24DC6814"/>
    <w:rsid w:val="25443522"/>
    <w:rsid w:val="25983A5C"/>
    <w:rsid w:val="26783712"/>
    <w:rsid w:val="2679636F"/>
    <w:rsid w:val="26C05910"/>
    <w:rsid w:val="26CBCC66"/>
    <w:rsid w:val="26F9F53B"/>
    <w:rsid w:val="27066974"/>
    <w:rsid w:val="29D891D9"/>
    <w:rsid w:val="2B968903"/>
    <w:rsid w:val="2BA6FFAE"/>
    <w:rsid w:val="2C5022EA"/>
    <w:rsid w:val="2C54E07C"/>
    <w:rsid w:val="2C570361"/>
    <w:rsid w:val="2CB01E4B"/>
    <w:rsid w:val="2DB287F9"/>
    <w:rsid w:val="2E6D0AEA"/>
    <w:rsid w:val="2F176B4C"/>
    <w:rsid w:val="3013761C"/>
    <w:rsid w:val="31EC9A60"/>
    <w:rsid w:val="31FEDC4E"/>
    <w:rsid w:val="3251A6D1"/>
    <w:rsid w:val="32C03B27"/>
    <w:rsid w:val="332B2353"/>
    <w:rsid w:val="333D7CA9"/>
    <w:rsid w:val="351CC50B"/>
    <w:rsid w:val="35B8E1DF"/>
    <w:rsid w:val="370F42E1"/>
    <w:rsid w:val="3728B5F6"/>
    <w:rsid w:val="37747A16"/>
    <w:rsid w:val="38070B16"/>
    <w:rsid w:val="386B8177"/>
    <w:rsid w:val="38A62B26"/>
    <w:rsid w:val="38FA45E1"/>
    <w:rsid w:val="38FFCBB3"/>
    <w:rsid w:val="3963B6B9"/>
    <w:rsid w:val="3A1877C3"/>
    <w:rsid w:val="3A1F209B"/>
    <w:rsid w:val="3A3B85B4"/>
    <w:rsid w:val="3A9D07A9"/>
    <w:rsid w:val="3B3D411B"/>
    <w:rsid w:val="3BA1CEE1"/>
    <w:rsid w:val="3BE289DB"/>
    <w:rsid w:val="3C9E0954"/>
    <w:rsid w:val="3DC74B2F"/>
    <w:rsid w:val="3F2D90D7"/>
    <w:rsid w:val="3FF23E0F"/>
    <w:rsid w:val="420EA389"/>
    <w:rsid w:val="4230F3D3"/>
    <w:rsid w:val="425BCA7C"/>
    <w:rsid w:val="427EAE91"/>
    <w:rsid w:val="42908A3E"/>
    <w:rsid w:val="42E94547"/>
    <w:rsid w:val="43F0EE08"/>
    <w:rsid w:val="4411691B"/>
    <w:rsid w:val="44476477"/>
    <w:rsid w:val="44B20050"/>
    <w:rsid w:val="45D17739"/>
    <w:rsid w:val="45F18EA2"/>
    <w:rsid w:val="47EDD764"/>
    <w:rsid w:val="4892C9D7"/>
    <w:rsid w:val="49DF312A"/>
    <w:rsid w:val="4A59B724"/>
    <w:rsid w:val="4A83F9F6"/>
    <w:rsid w:val="4AA5BE19"/>
    <w:rsid w:val="4C3D66D0"/>
    <w:rsid w:val="4C7873A7"/>
    <w:rsid w:val="4EF93F47"/>
    <w:rsid w:val="50D26E68"/>
    <w:rsid w:val="512C3D07"/>
    <w:rsid w:val="5237CBAA"/>
    <w:rsid w:val="532DFAFA"/>
    <w:rsid w:val="538A5E57"/>
    <w:rsid w:val="5399B05E"/>
    <w:rsid w:val="53F6BD12"/>
    <w:rsid w:val="54DAFBE3"/>
    <w:rsid w:val="557F4E1E"/>
    <w:rsid w:val="57854073"/>
    <w:rsid w:val="587149B7"/>
    <w:rsid w:val="58780FA7"/>
    <w:rsid w:val="592D9C43"/>
    <w:rsid w:val="59562882"/>
    <w:rsid w:val="5AF8A897"/>
    <w:rsid w:val="5B2EDC74"/>
    <w:rsid w:val="5BFFD0E5"/>
    <w:rsid w:val="5D15B449"/>
    <w:rsid w:val="5DF3DEF6"/>
    <w:rsid w:val="5E7084CA"/>
    <w:rsid w:val="5EA02ACA"/>
    <w:rsid w:val="5EF13EF6"/>
    <w:rsid w:val="6003278E"/>
    <w:rsid w:val="613BB9AA"/>
    <w:rsid w:val="61640586"/>
    <w:rsid w:val="62BB2929"/>
    <w:rsid w:val="631E0426"/>
    <w:rsid w:val="63A69F64"/>
    <w:rsid w:val="63C29A00"/>
    <w:rsid w:val="63DA9176"/>
    <w:rsid w:val="645010CF"/>
    <w:rsid w:val="65C8F3D3"/>
    <w:rsid w:val="67521D4B"/>
    <w:rsid w:val="698A15A2"/>
    <w:rsid w:val="69B36CCD"/>
    <w:rsid w:val="6B717C79"/>
    <w:rsid w:val="6B964994"/>
    <w:rsid w:val="6BA97632"/>
    <w:rsid w:val="6D5F8547"/>
    <w:rsid w:val="6DC47F5B"/>
    <w:rsid w:val="6E39E9F0"/>
    <w:rsid w:val="6E8A2012"/>
    <w:rsid w:val="6ED494DC"/>
    <w:rsid w:val="6FF77BCE"/>
    <w:rsid w:val="70941C61"/>
    <w:rsid w:val="7162BB15"/>
    <w:rsid w:val="71EF44E6"/>
    <w:rsid w:val="733219F7"/>
    <w:rsid w:val="736B5CD8"/>
    <w:rsid w:val="73C4062D"/>
    <w:rsid w:val="73C642A5"/>
    <w:rsid w:val="7405CFA1"/>
    <w:rsid w:val="754C4CF5"/>
    <w:rsid w:val="75942E71"/>
    <w:rsid w:val="75945074"/>
    <w:rsid w:val="76167A55"/>
    <w:rsid w:val="76307E8B"/>
    <w:rsid w:val="77345E92"/>
    <w:rsid w:val="77E94727"/>
    <w:rsid w:val="793A9BF5"/>
    <w:rsid w:val="7ADB3D61"/>
    <w:rsid w:val="7ADCE3DC"/>
    <w:rsid w:val="7C27201C"/>
    <w:rsid w:val="7E57E24C"/>
    <w:rsid w:val="7FD3B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EDC4E"/>
  <w15:chartTrackingRefBased/>
  <w15:docId w15:val="{DEB0CA89-0911-40AC-AC46-638E800AE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E05BB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E05BB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1E05BB65"/>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E05BB65"/>
    <w:pPr>
      <w:ind w:left="720"/>
      <w:contextualSpacing/>
    </w:pPr>
  </w:style>
  <w:style w:type="character" w:styleId="Hyperlink">
    <w:name w:val="Hyperlink"/>
    <w:basedOn w:val="DefaultParagraphFont"/>
    <w:uiPriority w:val="99"/>
    <w:unhideWhenUsed/>
    <w:rsid w:val="532DFAFA"/>
    <w:rPr>
      <w:color w:val="467886"/>
      <w:u w:val="single"/>
    </w:rPr>
  </w:style>
  <w:style w:type="paragraph" w:styleId="TOC1">
    <w:name w:val="toc 1"/>
    <w:basedOn w:val="Normal"/>
    <w:next w:val="Normal"/>
    <w:uiPriority w:val="39"/>
    <w:unhideWhenUsed/>
    <w:rsid w:val="532DFAFA"/>
    <w:pPr>
      <w:spacing w:after="100"/>
    </w:pPr>
  </w:style>
  <w:style w:type="paragraph" w:styleId="TOC2">
    <w:name w:val="toc 2"/>
    <w:basedOn w:val="Normal"/>
    <w:next w:val="Normal"/>
    <w:uiPriority w:val="39"/>
    <w:unhideWhenUsed/>
    <w:rsid w:val="532DFAFA"/>
    <w:pPr>
      <w:spacing w:after="100"/>
      <w:ind w:left="220"/>
    </w:pPr>
  </w:style>
  <w:style w:type="paragraph" w:styleId="TOC3">
    <w:name w:val="toc 3"/>
    <w:basedOn w:val="Normal"/>
    <w:next w:val="Normal"/>
    <w:uiPriority w:val="39"/>
    <w:unhideWhenUsed/>
    <w:rsid w:val="532DFAFA"/>
    <w:pPr>
      <w:spacing w:after="100"/>
      <w:ind w:left="440"/>
    </w:pPr>
  </w:style>
  <w:style w:type="paragraph" w:styleId="NormalWeb">
    <w:name w:val="Normal (Web)"/>
    <w:basedOn w:val="Normal"/>
    <w:uiPriority w:val="99"/>
    <w:unhideWhenUsed/>
    <w:rsid w:val="007B702B"/>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whitespace-normal">
    <w:name w:val="whitespace-normal"/>
    <w:basedOn w:val="DefaultParagraphFont"/>
    <w:rsid w:val="007B702B"/>
  </w:style>
  <w:style w:type="character" w:styleId="Emphasis">
    <w:name w:val="Emphasis"/>
    <w:basedOn w:val="DefaultParagraphFont"/>
    <w:uiPriority w:val="20"/>
    <w:qFormat/>
    <w:rsid w:val="00575F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12</Pages>
  <Words>3181</Words>
  <Characters>18136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Sadiq (2410753)</dc:creator>
  <cp:keywords/>
  <dc:description/>
  <cp:lastModifiedBy>Saima Sadiq (2410753)</cp:lastModifiedBy>
  <cp:revision>21</cp:revision>
  <dcterms:created xsi:type="dcterms:W3CDTF">2026-02-20T12:41:00Z</dcterms:created>
  <dcterms:modified xsi:type="dcterms:W3CDTF">2026-03-23T20:16:00Z</dcterms:modified>
</cp:coreProperties>
</file>