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F0C2E" w14:textId="7CC2C837" w:rsidR="00EF0AEF" w:rsidRPr="002E6D21" w:rsidRDefault="004E0681" w:rsidP="00422685">
      <w:pPr>
        <w:spacing w:line="360" w:lineRule="auto"/>
        <w:ind w:left="720" w:hanging="360"/>
        <w:jc w:val="center"/>
        <w:rPr>
          <w:rFonts w:ascii="Times New Roman" w:hAnsi="Times New Roman" w:cs="Times New Roman"/>
          <w:sz w:val="40"/>
          <w:szCs w:val="40"/>
        </w:rPr>
      </w:pPr>
      <w:r w:rsidRPr="002E6D21">
        <w:rPr>
          <w:rFonts w:ascii="Times New Roman" w:hAnsi="Times New Roman" w:cs="Times New Roman"/>
          <w:sz w:val="40"/>
          <w:szCs w:val="40"/>
        </w:rPr>
        <w:t>BA</w:t>
      </w:r>
      <w:r w:rsidR="00EF0AEF" w:rsidRPr="002E6D21">
        <w:rPr>
          <w:rFonts w:ascii="Times New Roman" w:hAnsi="Times New Roman" w:cs="Times New Roman"/>
          <w:sz w:val="40"/>
          <w:szCs w:val="40"/>
        </w:rPr>
        <w:t xml:space="preserve"> (Hons) Leadership and Management Skills for the Workplace</w:t>
      </w:r>
    </w:p>
    <w:p w14:paraId="6C4F13A5" w14:textId="77777777" w:rsidR="004E0681" w:rsidRPr="002E6D21" w:rsidRDefault="004E0681" w:rsidP="00422685">
      <w:pPr>
        <w:spacing w:line="360" w:lineRule="auto"/>
        <w:ind w:left="720" w:hanging="360"/>
        <w:jc w:val="center"/>
        <w:rPr>
          <w:rFonts w:ascii="Times New Roman" w:hAnsi="Times New Roman" w:cs="Times New Roman"/>
          <w:sz w:val="40"/>
          <w:szCs w:val="40"/>
        </w:rPr>
      </w:pPr>
    </w:p>
    <w:p w14:paraId="335A9AD0" w14:textId="4FEE1C5C" w:rsidR="004E0681" w:rsidRPr="00270B55" w:rsidRDefault="004E0681" w:rsidP="00422685">
      <w:pPr>
        <w:spacing w:line="360" w:lineRule="auto"/>
        <w:ind w:left="720" w:hanging="360"/>
        <w:jc w:val="center"/>
        <w:rPr>
          <w:rFonts w:ascii="Times New Roman" w:hAnsi="Times New Roman" w:cs="Times New Roman"/>
          <w:sz w:val="32"/>
          <w:szCs w:val="32"/>
        </w:rPr>
      </w:pPr>
      <w:r w:rsidRPr="00270B55">
        <w:rPr>
          <w:rFonts w:ascii="Times New Roman" w:hAnsi="Times New Roman" w:cs="Times New Roman"/>
          <w:sz w:val="32"/>
          <w:szCs w:val="32"/>
        </w:rPr>
        <w:t>A Stakeholder Management Strategy for the Implementation of ConnectPlus at ASOS</w:t>
      </w:r>
    </w:p>
    <w:p w14:paraId="25F0A343" w14:textId="6416CCD3" w:rsidR="004E0681" w:rsidRPr="002E6D21" w:rsidRDefault="004E0681" w:rsidP="00422685">
      <w:pPr>
        <w:spacing w:line="360" w:lineRule="auto"/>
        <w:ind w:left="720" w:hanging="360"/>
        <w:jc w:val="center"/>
        <w:rPr>
          <w:rFonts w:ascii="Times New Roman" w:hAnsi="Times New Roman" w:cs="Times New Roman"/>
          <w:sz w:val="40"/>
          <w:szCs w:val="40"/>
        </w:rPr>
      </w:pPr>
    </w:p>
    <w:p w14:paraId="41AA22BB"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1050C3AD"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2138B1B4"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5F9F59A8"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40F2DACC"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5DABAB9A" w14:textId="77777777" w:rsidR="00930E41" w:rsidRPr="002E6D21" w:rsidRDefault="00930E41" w:rsidP="00422685">
      <w:pPr>
        <w:spacing w:line="360" w:lineRule="auto"/>
        <w:ind w:left="720" w:hanging="360"/>
        <w:jc w:val="center"/>
        <w:rPr>
          <w:rFonts w:ascii="Times New Roman" w:hAnsi="Times New Roman" w:cs="Times New Roman"/>
          <w:b/>
          <w:bCs/>
          <w:sz w:val="32"/>
          <w:szCs w:val="32"/>
        </w:rPr>
      </w:pPr>
    </w:p>
    <w:p w14:paraId="370A115E" w14:textId="77777777" w:rsidR="0068729E" w:rsidRPr="002E6D21" w:rsidRDefault="0068729E" w:rsidP="00422685">
      <w:pPr>
        <w:spacing w:line="360" w:lineRule="auto"/>
        <w:rPr>
          <w:rFonts w:ascii="Times New Roman" w:hAnsi="Times New Roman" w:cs="Times New Roman"/>
          <w:b/>
          <w:bCs/>
          <w:sz w:val="32"/>
          <w:szCs w:val="32"/>
        </w:rPr>
      </w:pPr>
    </w:p>
    <w:p w14:paraId="368F4344" w14:textId="1845563D" w:rsidR="00930E41" w:rsidRPr="002E6D21" w:rsidRDefault="00930E41" w:rsidP="00422685">
      <w:pPr>
        <w:spacing w:line="360" w:lineRule="auto"/>
        <w:jc w:val="center"/>
        <w:rPr>
          <w:rFonts w:ascii="Times New Roman" w:hAnsi="Times New Roman" w:cs="Times New Roman"/>
          <w:sz w:val="32"/>
          <w:szCs w:val="32"/>
        </w:rPr>
      </w:pPr>
      <w:r w:rsidRPr="002E6D21">
        <w:rPr>
          <w:rFonts w:ascii="Times New Roman" w:hAnsi="Times New Roman" w:cs="Times New Roman"/>
          <w:b/>
          <w:bCs/>
          <w:sz w:val="32"/>
          <w:szCs w:val="32"/>
        </w:rPr>
        <w:t>Student name:</w:t>
      </w:r>
      <w:r w:rsidRPr="002E6D21">
        <w:rPr>
          <w:rFonts w:ascii="Times New Roman" w:hAnsi="Times New Roman" w:cs="Times New Roman"/>
          <w:sz w:val="32"/>
          <w:szCs w:val="32"/>
        </w:rPr>
        <w:t xml:space="preserve"> Martha Andrade Souza Carvalho Assis</w:t>
      </w:r>
    </w:p>
    <w:p w14:paraId="3114660A" w14:textId="77777777" w:rsidR="00930E41" w:rsidRPr="002E6D21" w:rsidRDefault="00930E41" w:rsidP="00422685">
      <w:pPr>
        <w:spacing w:line="360" w:lineRule="auto"/>
        <w:ind w:left="720" w:hanging="360"/>
        <w:jc w:val="center"/>
        <w:rPr>
          <w:rFonts w:ascii="Times New Roman" w:hAnsi="Times New Roman" w:cs="Times New Roman"/>
          <w:sz w:val="32"/>
          <w:szCs w:val="32"/>
        </w:rPr>
      </w:pPr>
      <w:r w:rsidRPr="002E6D21">
        <w:rPr>
          <w:rFonts w:ascii="Times New Roman" w:hAnsi="Times New Roman" w:cs="Times New Roman"/>
          <w:b/>
          <w:bCs/>
          <w:sz w:val="32"/>
          <w:szCs w:val="32"/>
        </w:rPr>
        <w:t>Student ID:</w:t>
      </w:r>
      <w:r w:rsidRPr="002E6D21">
        <w:rPr>
          <w:rFonts w:ascii="Times New Roman" w:hAnsi="Times New Roman" w:cs="Times New Roman"/>
          <w:sz w:val="32"/>
          <w:szCs w:val="32"/>
        </w:rPr>
        <w:t xml:space="preserve"> 2440395</w:t>
      </w:r>
    </w:p>
    <w:p w14:paraId="769B5B68" w14:textId="0C3521EA" w:rsidR="00930E41" w:rsidRPr="002E6D21" w:rsidRDefault="00930E41" w:rsidP="00422685">
      <w:pPr>
        <w:spacing w:line="360" w:lineRule="auto"/>
        <w:ind w:left="720" w:hanging="360"/>
        <w:jc w:val="center"/>
        <w:rPr>
          <w:rFonts w:ascii="Times New Roman" w:hAnsi="Times New Roman" w:cs="Times New Roman"/>
          <w:sz w:val="32"/>
          <w:szCs w:val="32"/>
        </w:rPr>
      </w:pPr>
      <w:r w:rsidRPr="002E6D21">
        <w:rPr>
          <w:rFonts w:ascii="Times New Roman" w:hAnsi="Times New Roman" w:cs="Times New Roman"/>
          <w:b/>
          <w:bCs/>
          <w:sz w:val="32"/>
          <w:szCs w:val="32"/>
        </w:rPr>
        <w:t>Module Code:</w:t>
      </w:r>
      <w:r w:rsidRPr="002E6D21">
        <w:rPr>
          <w:rFonts w:ascii="Times New Roman" w:hAnsi="Times New Roman" w:cs="Times New Roman"/>
          <w:sz w:val="32"/>
          <w:szCs w:val="32"/>
        </w:rPr>
        <w:t xml:space="preserve"> LCLM5001</w:t>
      </w:r>
    </w:p>
    <w:p w14:paraId="410E9373" w14:textId="263B7794" w:rsidR="00930E41" w:rsidRPr="002E6D21" w:rsidRDefault="00930E41" w:rsidP="00422685">
      <w:pPr>
        <w:spacing w:line="360" w:lineRule="auto"/>
        <w:ind w:left="720" w:hanging="360"/>
        <w:jc w:val="center"/>
        <w:rPr>
          <w:rFonts w:ascii="Times New Roman" w:hAnsi="Times New Roman" w:cs="Times New Roman"/>
          <w:sz w:val="32"/>
          <w:szCs w:val="32"/>
        </w:rPr>
      </w:pPr>
      <w:r w:rsidRPr="002E6D21">
        <w:rPr>
          <w:rFonts w:ascii="Times New Roman" w:hAnsi="Times New Roman" w:cs="Times New Roman"/>
          <w:b/>
          <w:bCs/>
          <w:sz w:val="32"/>
          <w:szCs w:val="32"/>
        </w:rPr>
        <w:t>Module:</w:t>
      </w:r>
      <w:r w:rsidRPr="002E6D21">
        <w:rPr>
          <w:rFonts w:ascii="Times New Roman" w:hAnsi="Times New Roman" w:cs="Times New Roman"/>
          <w:sz w:val="32"/>
          <w:szCs w:val="32"/>
        </w:rPr>
        <w:t xml:space="preserve"> </w:t>
      </w:r>
      <w:r w:rsidR="000E62FD" w:rsidRPr="002E6D21">
        <w:rPr>
          <w:rFonts w:ascii="Times New Roman" w:hAnsi="Times New Roman" w:cs="Times New Roman"/>
          <w:sz w:val="32"/>
          <w:szCs w:val="32"/>
        </w:rPr>
        <w:t>Understanding and Engaging Stakeholders  </w:t>
      </w:r>
    </w:p>
    <w:p w14:paraId="673B878E" w14:textId="43F25A0C" w:rsidR="00930E41" w:rsidRPr="002E6D21" w:rsidRDefault="00930E41" w:rsidP="00422685">
      <w:pPr>
        <w:spacing w:line="360" w:lineRule="auto"/>
        <w:ind w:left="720" w:hanging="360"/>
        <w:jc w:val="center"/>
        <w:rPr>
          <w:rFonts w:ascii="Times New Roman" w:hAnsi="Times New Roman" w:cs="Times New Roman"/>
          <w:sz w:val="32"/>
          <w:szCs w:val="32"/>
        </w:rPr>
      </w:pPr>
      <w:r w:rsidRPr="002E6D21">
        <w:rPr>
          <w:rFonts w:ascii="Times New Roman" w:hAnsi="Times New Roman" w:cs="Times New Roman"/>
          <w:b/>
          <w:bCs/>
          <w:sz w:val="32"/>
          <w:szCs w:val="32"/>
        </w:rPr>
        <w:t>Lecturer:</w:t>
      </w:r>
      <w:r w:rsidRPr="002E6D21">
        <w:rPr>
          <w:rFonts w:ascii="Times New Roman" w:hAnsi="Times New Roman" w:cs="Times New Roman"/>
          <w:sz w:val="32"/>
          <w:szCs w:val="32"/>
        </w:rPr>
        <w:t xml:space="preserve"> </w:t>
      </w:r>
      <w:r w:rsidR="006A1FFD" w:rsidRPr="002E6D21">
        <w:rPr>
          <w:rFonts w:ascii="Times New Roman" w:hAnsi="Times New Roman" w:cs="Times New Roman"/>
          <w:sz w:val="32"/>
          <w:szCs w:val="32"/>
        </w:rPr>
        <w:t xml:space="preserve">Lakshani </w:t>
      </w:r>
      <w:r w:rsidR="00EF2481" w:rsidRPr="002E6D21">
        <w:rPr>
          <w:rFonts w:ascii="Times New Roman" w:hAnsi="Times New Roman" w:cs="Times New Roman"/>
          <w:sz w:val="32"/>
          <w:szCs w:val="32"/>
        </w:rPr>
        <w:t>Nissanga Mendis</w:t>
      </w:r>
    </w:p>
    <w:p w14:paraId="20D2C12C" w14:textId="77777777" w:rsidR="00D459AA" w:rsidRPr="002E6D21" w:rsidRDefault="00D459AA" w:rsidP="00422685">
      <w:pPr>
        <w:spacing w:line="360" w:lineRule="auto"/>
        <w:jc w:val="center"/>
        <w:rPr>
          <w:rFonts w:ascii="Times New Roman" w:hAnsi="Times New Roman" w:cs="Times New Roman"/>
          <w:b/>
          <w:bCs/>
          <w:sz w:val="24"/>
          <w:szCs w:val="24"/>
        </w:rPr>
      </w:pPr>
    </w:p>
    <w:p w14:paraId="0E8088E4" w14:textId="77777777" w:rsidR="00270B55" w:rsidRDefault="00270B55" w:rsidP="00422685">
      <w:pPr>
        <w:spacing w:line="360" w:lineRule="auto"/>
        <w:jc w:val="both"/>
        <w:rPr>
          <w:rFonts w:ascii="Times New Roman" w:hAnsi="Times New Roman" w:cs="Times New Roman"/>
          <w:b/>
          <w:bCs/>
          <w:sz w:val="24"/>
          <w:szCs w:val="24"/>
        </w:rPr>
      </w:pPr>
    </w:p>
    <w:p w14:paraId="2E4D253E" w14:textId="78A5DF9D" w:rsidR="00171230" w:rsidRPr="002E6D21" w:rsidRDefault="00171230"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Table of Contents</w:t>
      </w:r>
    </w:p>
    <w:p w14:paraId="609A833A" w14:textId="5ABDD9B0"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Executive Summary ................................................................</w:t>
      </w:r>
      <w:r w:rsidR="007F6D07" w:rsidRPr="002E6D21">
        <w:rPr>
          <w:rFonts w:ascii="Times New Roman" w:hAnsi="Times New Roman" w:cs="Times New Roman"/>
          <w:sz w:val="24"/>
          <w:szCs w:val="24"/>
        </w:rPr>
        <w:t>........................</w:t>
      </w:r>
      <w:r w:rsidRPr="002E6D21">
        <w:rPr>
          <w:rFonts w:ascii="Times New Roman" w:hAnsi="Times New Roman" w:cs="Times New Roman"/>
          <w:sz w:val="24"/>
          <w:szCs w:val="24"/>
        </w:rPr>
        <w:t>...........</w:t>
      </w:r>
      <w:r w:rsidR="00C32333" w:rsidRPr="002E6D21">
        <w:rPr>
          <w:rFonts w:ascii="Times New Roman" w:hAnsi="Times New Roman" w:cs="Times New Roman"/>
          <w:sz w:val="24"/>
          <w:szCs w:val="24"/>
        </w:rPr>
        <w:t>3</w:t>
      </w:r>
    </w:p>
    <w:p w14:paraId="22A941C2" w14:textId="635926B6"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1. Introduction ........................................................................</w:t>
      </w:r>
      <w:r w:rsidR="007F6D07" w:rsidRPr="002E6D21">
        <w:rPr>
          <w:rFonts w:ascii="Times New Roman" w:hAnsi="Times New Roman" w:cs="Times New Roman"/>
          <w:sz w:val="24"/>
          <w:szCs w:val="24"/>
        </w:rPr>
        <w:t>...........................</w:t>
      </w:r>
      <w:r w:rsidRPr="002E6D21">
        <w:rPr>
          <w:rFonts w:ascii="Times New Roman" w:hAnsi="Times New Roman" w:cs="Times New Roman"/>
          <w:sz w:val="24"/>
          <w:szCs w:val="24"/>
        </w:rPr>
        <w:t>.........</w:t>
      </w:r>
      <w:r w:rsidR="00B206D4">
        <w:rPr>
          <w:rFonts w:ascii="Times New Roman" w:hAnsi="Times New Roman" w:cs="Times New Roman"/>
          <w:sz w:val="24"/>
          <w:szCs w:val="24"/>
        </w:rPr>
        <w:t>3</w:t>
      </w:r>
    </w:p>
    <w:p w14:paraId="524C625A" w14:textId="5B1EF8E3"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2. SMART Objectives .....................................................................</w:t>
      </w:r>
      <w:r w:rsidR="007F6D07" w:rsidRPr="002E6D21">
        <w:rPr>
          <w:rFonts w:ascii="Times New Roman" w:hAnsi="Times New Roman" w:cs="Times New Roman"/>
          <w:sz w:val="24"/>
          <w:szCs w:val="24"/>
        </w:rPr>
        <w:t>.......................</w:t>
      </w:r>
      <w:r w:rsidRPr="002E6D21">
        <w:rPr>
          <w:rFonts w:ascii="Times New Roman" w:hAnsi="Times New Roman" w:cs="Times New Roman"/>
          <w:sz w:val="24"/>
          <w:szCs w:val="24"/>
        </w:rPr>
        <w:t>....</w:t>
      </w:r>
      <w:r w:rsidR="00B72A8F">
        <w:rPr>
          <w:rFonts w:ascii="Times New Roman" w:hAnsi="Times New Roman" w:cs="Times New Roman"/>
          <w:sz w:val="24"/>
          <w:szCs w:val="24"/>
        </w:rPr>
        <w:t>4</w:t>
      </w:r>
    </w:p>
    <w:p w14:paraId="5765FD59" w14:textId="3CB6A3D4"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3. Identifying and Grouping Key Stakeholders ....................................</w:t>
      </w:r>
      <w:r w:rsidR="007B21F9" w:rsidRPr="002E6D21">
        <w:rPr>
          <w:rFonts w:ascii="Times New Roman" w:hAnsi="Times New Roman" w:cs="Times New Roman"/>
          <w:sz w:val="24"/>
          <w:szCs w:val="24"/>
        </w:rPr>
        <w:t>................</w:t>
      </w:r>
      <w:r w:rsidRPr="002E6D21">
        <w:rPr>
          <w:rFonts w:ascii="Times New Roman" w:hAnsi="Times New Roman" w:cs="Times New Roman"/>
          <w:sz w:val="24"/>
          <w:szCs w:val="24"/>
        </w:rPr>
        <w:t>.</w:t>
      </w:r>
      <w:r w:rsidR="00B72A8F">
        <w:rPr>
          <w:rFonts w:ascii="Times New Roman" w:hAnsi="Times New Roman" w:cs="Times New Roman"/>
          <w:sz w:val="24"/>
          <w:szCs w:val="24"/>
        </w:rPr>
        <w:t>..</w:t>
      </w:r>
      <w:r w:rsidRPr="002E6D21">
        <w:rPr>
          <w:rFonts w:ascii="Times New Roman" w:hAnsi="Times New Roman" w:cs="Times New Roman"/>
          <w:sz w:val="24"/>
          <w:szCs w:val="24"/>
        </w:rPr>
        <w:t>..4</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3.1 Stakeholder Identification ..........................................</w:t>
      </w:r>
      <w:r w:rsidR="007B21F9" w:rsidRPr="002E6D21">
        <w:rPr>
          <w:rFonts w:ascii="Times New Roman" w:hAnsi="Times New Roman" w:cs="Times New Roman"/>
          <w:sz w:val="24"/>
          <w:szCs w:val="24"/>
        </w:rPr>
        <w:t>...............................</w:t>
      </w:r>
      <w:r w:rsidRPr="002E6D21">
        <w:rPr>
          <w:rFonts w:ascii="Times New Roman" w:hAnsi="Times New Roman" w:cs="Times New Roman"/>
          <w:sz w:val="24"/>
          <w:szCs w:val="24"/>
        </w:rPr>
        <w:t>....</w:t>
      </w:r>
      <w:r w:rsidR="00750E4D">
        <w:rPr>
          <w:rFonts w:ascii="Times New Roman" w:hAnsi="Times New Roman" w:cs="Times New Roman"/>
          <w:sz w:val="24"/>
          <w:szCs w:val="24"/>
        </w:rPr>
        <w:t>.</w:t>
      </w:r>
      <w:r w:rsidRPr="002E6D21">
        <w:rPr>
          <w:rFonts w:ascii="Times New Roman" w:hAnsi="Times New Roman" w:cs="Times New Roman"/>
          <w:sz w:val="24"/>
          <w:szCs w:val="24"/>
        </w:rPr>
        <w:t>.</w:t>
      </w:r>
      <w:r w:rsidR="00750E4D">
        <w:rPr>
          <w:rFonts w:ascii="Times New Roman" w:hAnsi="Times New Roman" w:cs="Times New Roman"/>
          <w:sz w:val="24"/>
          <w:szCs w:val="24"/>
        </w:rPr>
        <w:tab/>
      </w:r>
      <w:r w:rsidRPr="002E6D21">
        <w:rPr>
          <w:rFonts w:ascii="Times New Roman" w:hAnsi="Times New Roman" w:cs="Times New Roman"/>
          <w:sz w:val="24"/>
          <w:szCs w:val="24"/>
        </w:rPr>
        <w:t>4</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 xml:space="preserve">3.2 Stakeholder Prioritisation Using Mendelow's Power-Interest Matrix </w:t>
      </w:r>
      <w:r w:rsidR="00750E4D">
        <w:rPr>
          <w:rFonts w:ascii="Times New Roman" w:hAnsi="Times New Roman" w:cs="Times New Roman"/>
          <w:sz w:val="24"/>
          <w:szCs w:val="24"/>
        </w:rPr>
        <w:t>………</w:t>
      </w:r>
      <w:r w:rsidR="00790DE9" w:rsidRPr="002E6D21">
        <w:rPr>
          <w:rFonts w:ascii="Times New Roman" w:hAnsi="Times New Roman" w:cs="Times New Roman"/>
          <w:sz w:val="24"/>
          <w:szCs w:val="24"/>
        </w:rPr>
        <w:tab/>
      </w:r>
      <w:r w:rsidRPr="002E6D21">
        <w:rPr>
          <w:rFonts w:ascii="Times New Roman" w:hAnsi="Times New Roman" w:cs="Times New Roman"/>
          <w:sz w:val="24"/>
          <w:szCs w:val="24"/>
        </w:rPr>
        <w:t>5</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3.3 Limitations of Mendelow's Matrix ........................................</w:t>
      </w:r>
      <w:r w:rsidR="009872AA" w:rsidRPr="002E6D21">
        <w:rPr>
          <w:rFonts w:ascii="Times New Roman" w:hAnsi="Times New Roman" w:cs="Times New Roman"/>
          <w:sz w:val="24"/>
          <w:szCs w:val="24"/>
        </w:rPr>
        <w:t>.....................</w:t>
      </w:r>
      <w:r w:rsidRPr="002E6D21">
        <w:rPr>
          <w:rFonts w:ascii="Times New Roman" w:hAnsi="Times New Roman" w:cs="Times New Roman"/>
          <w:sz w:val="24"/>
          <w:szCs w:val="24"/>
        </w:rPr>
        <w:t xml:space="preserve">.... </w:t>
      </w:r>
      <w:r w:rsidR="00C0288C">
        <w:rPr>
          <w:rFonts w:ascii="Times New Roman" w:hAnsi="Times New Roman" w:cs="Times New Roman"/>
          <w:sz w:val="24"/>
          <w:szCs w:val="24"/>
        </w:rPr>
        <w:t>5</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3.4 Stakeholder Salience Model ............................................</w:t>
      </w:r>
      <w:r w:rsidR="009872AA" w:rsidRPr="002E6D21">
        <w:rPr>
          <w:rFonts w:ascii="Times New Roman" w:hAnsi="Times New Roman" w:cs="Times New Roman"/>
          <w:sz w:val="24"/>
          <w:szCs w:val="24"/>
        </w:rPr>
        <w:t>......................</w:t>
      </w:r>
      <w:r w:rsidRPr="002E6D21">
        <w:rPr>
          <w:rFonts w:ascii="Times New Roman" w:hAnsi="Times New Roman" w:cs="Times New Roman"/>
          <w:sz w:val="24"/>
          <w:szCs w:val="24"/>
        </w:rPr>
        <w:t>.....</w:t>
      </w:r>
      <w:r w:rsidR="00C0288C">
        <w:rPr>
          <w:rFonts w:ascii="Times New Roman" w:hAnsi="Times New Roman" w:cs="Times New Roman"/>
          <w:sz w:val="24"/>
          <w:szCs w:val="24"/>
        </w:rPr>
        <w:t>...</w:t>
      </w:r>
      <w:r w:rsidRPr="002E6D21">
        <w:rPr>
          <w:rFonts w:ascii="Times New Roman" w:hAnsi="Times New Roman" w:cs="Times New Roman"/>
          <w:sz w:val="24"/>
          <w:szCs w:val="24"/>
        </w:rPr>
        <w:t>. 6</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3.5 Critical Comparison of the Frameworks ..................................</w:t>
      </w:r>
      <w:r w:rsidR="009872AA" w:rsidRPr="002E6D21">
        <w:rPr>
          <w:rFonts w:ascii="Times New Roman" w:hAnsi="Times New Roman" w:cs="Times New Roman"/>
          <w:sz w:val="24"/>
          <w:szCs w:val="24"/>
        </w:rPr>
        <w:t>.....................</w:t>
      </w:r>
      <w:r w:rsidR="004D778C" w:rsidRPr="002E6D21">
        <w:rPr>
          <w:rFonts w:ascii="Times New Roman" w:hAnsi="Times New Roman" w:cs="Times New Roman"/>
          <w:sz w:val="24"/>
          <w:szCs w:val="24"/>
        </w:rPr>
        <w:tab/>
      </w:r>
      <w:r w:rsidR="00C0288C">
        <w:rPr>
          <w:rFonts w:ascii="Times New Roman" w:hAnsi="Times New Roman" w:cs="Times New Roman"/>
          <w:sz w:val="24"/>
          <w:szCs w:val="24"/>
        </w:rPr>
        <w:t>6</w:t>
      </w:r>
    </w:p>
    <w:p w14:paraId="7EB51353" w14:textId="1EA9B68B"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 xml:space="preserve">4. What Each Group Does, What They Get, and What Stands in Their Way ......... </w:t>
      </w:r>
      <w:r w:rsidR="004D778C" w:rsidRPr="002E6D21">
        <w:rPr>
          <w:rFonts w:ascii="Times New Roman" w:hAnsi="Times New Roman" w:cs="Times New Roman"/>
          <w:sz w:val="24"/>
          <w:szCs w:val="24"/>
        </w:rPr>
        <w:tab/>
      </w:r>
      <w:r w:rsidR="00870B96">
        <w:rPr>
          <w:rFonts w:ascii="Times New Roman" w:hAnsi="Times New Roman" w:cs="Times New Roman"/>
          <w:sz w:val="24"/>
          <w:szCs w:val="24"/>
        </w:rPr>
        <w:t>6</w:t>
      </w:r>
    </w:p>
    <w:p w14:paraId="03B348BF" w14:textId="335E933A"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5. How I Will Keep People Involved and Fix Disagreements ..........................</w:t>
      </w:r>
      <w:r w:rsidR="00870B96">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00870B96">
        <w:rPr>
          <w:rFonts w:ascii="Times New Roman" w:hAnsi="Times New Roman" w:cs="Times New Roman"/>
          <w:sz w:val="24"/>
          <w:szCs w:val="24"/>
        </w:rPr>
        <w:t>8</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5.1 Communication .................................................................</w:t>
      </w:r>
      <w:r w:rsidR="00870B96">
        <w:rPr>
          <w:rFonts w:ascii="Times New Roman" w:hAnsi="Times New Roman" w:cs="Times New Roman"/>
          <w:sz w:val="24"/>
          <w:szCs w:val="24"/>
        </w:rPr>
        <w:t>............................</w:t>
      </w:r>
      <w:r w:rsidRPr="002E6D21">
        <w:rPr>
          <w:rFonts w:ascii="Times New Roman" w:hAnsi="Times New Roman" w:cs="Times New Roman"/>
          <w:sz w:val="24"/>
          <w:szCs w:val="24"/>
        </w:rPr>
        <w:t xml:space="preserve"> </w:t>
      </w:r>
      <w:r w:rsidR="00F9216E">
        <w:rPr>
          <w:rFonts w:ascii="Times New Roman" w:hAnsi="Times New Roman" w:cs="Times New Roman"/>
          <w:sz w:val="24"/>
          <w:szCs w:val="24"/>
        </w:rPr>
        <w:t xml:space="preserve"> 9</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5.2 Consultation ...................................................................</w:t>
      </w:r>
      <w:r w:rsidR="00F9216E">
        <w:rPr>
          <w:rFonts w:ascii="Times New Roman" w:hAnsi="Times New Roman" w:cs="Times New Roman"/>
          <w:sz w:val="24"/>
          <w:szCs w:val="24"/>
        </w:rPr>
        <w:t>.........</w:t>
      </w:r>
      <w:r w:rsidRPr="002E6D21">
        <w:rPr>
          <w:rFonts w:ascii="Times New Roman" w:hAnsi="Times New Roman" w:cs="Times New Roman"/>
          <w:sz w:val="24"/>
          <w:szCs w:val="24"/>
        </w:rPr>
        <w:t>..</w:t>
      </w:r>
      <w:r w:rsidR="00F9216E">
        <w:rPr>
          <w:rFonts w:ascii="Times New Roman" w:hAnsi="Times New Roman" w:cs="Times New Roman"/>
          <w:sz w:val="24"/>
          <w:szCs w:val="24"/>
        </w:rPr>
        <w:t>.............</w:t>
      </w:r>
      <w:r w:rsidRPr="002E6D21">
        <w:rPr>
          <w:rFonts w:ascii="Times New Roman" w:hAnsi="Times New Roman" w:cs="Times New Roman"/>
          <w:sz w:val="24"/>
          <w:szCs w:val="24"/>
        </w:rPr>
        <w:t xml:space="preserve"> </w:t>
      </w:r>
      <w:r w:rsidR="003D4059">
        <w:rPr>
          <w:rFonts w:ascii="Times New Roman" w:hAnsi="Times New Roman" w:cs="Times New Roman"/>
          <w:sz w:val="24"/>
          <w:szCs w:val="24"/>
        </w:rPr>
        <w:t>…</w:t>
      </w:r>
      <w:r w:rsidR="00B029D3">
        <w:rPr>
          <w:rFonts w:ascii="Times New Roman" w:hAnsi="Times New Roman" w:cs="Times New Roman"/>
          <w:sz w:val="24"/>
          <w:szCs w:val="24"/>
        </w:rPr>
        <w:tab/>
      </w:r>
      <w:r w:rsidRPr="002E6D21">
        <w:rPr>
          <w:rFonts w:ascii="Times New Roman" w:hAnsi="Times New Roman" w:cs="Times New Roman"/>
          <w:sz w:val="24"/>
          <w:szCs w:val="24"/>
        </w:rPr>
        <w:t>1</w:t>
      </w:r>
      <w:r w:rsidR="003D4059">
        <w:rPr>
          <w:rFonts w:ascii="Times New Roman" w:hAnsi="Times New Roman" w:cs="Times New Roman"/>
          <w:sz w:val="24"/>
          <w:szCs w:val="24"/>
        </w:rPr>
        <w:t>0</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5.3 Collaboration ....................................................................</w:t>
      </w:r>
      <w:r w:rsidR="003D4059">
        <w:rPr>
          <w:rFonts w:ascii="Times New Roman" w:hAnsi="Times New Roman" w:cs="Times New Roman"/>
          <w:sz w:val="24"/>
          <w:szCs w:val="24"/>
        </w:rPr>
        <w:t>............................</w:t>
      </w:r>
      <w:r w:rsidR="003D4059">
        <w:rPr>
          <w:rFonts w:ascii="Times New Roman" w:hAnsi="Times New Roman" w:cs="Times New Roman"/>
          <w:sz w:val="24"/>
          <w:szCs w:val="24"/>
        </w:rPr>
        <w:tab/>
      </w:r>
      <w:r w:rsidRPr="002E6D21">
        <w:rPr>
          <w:rFonts w:ascii="Times New Roman" w:hAnsi="Times New Roman" w:cs="Times New Roman"/>
          <w:sz w:val="24"/>
          <w:szCs w:val="24"/>
        </w:rPr>
        <w:t>1</w:t>
      </w:r>
      <w:r w:rsidR="008908B2">
        <w:rPr>
          <w:rFonts w:ascii="Times New Roman" w:hAnsi="Times New Roman" w:cs="Times New Roman"/>
          <w:sz w:val="24"/>
          <w:szCs w:val="24"/>
        </w:rPr>
        <w:t>1</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5.4 Commitment ......................................................................</w:t>
      </w:r>
      <w:r w:rsidR="008908B2">
        <w:rPr>
          <w:rFonts w:ascii="Times New Roman" w:hAnsi="Times New Roman" w:cs="Times New Roman"/>
          <w:sz w:val="24"/>
          <w:szCs w:val="24"/>
        </w:rPr>
        <w:t>.................</w:t>
      </w:r>
      <w:r w:rsidRPr="002E6D21">
        <w:rPr>
          <w:rFonts w:ascii="Times New Roman" w:hAnsi="Times New Roman" w:cs="Times New Roman"/>
          <w:sz w:val="24"/>
          <w:szCs w:val="24"/>
        </w:rPr>
        <w:t xml:space="preserve"> </w:t>
      </w:r>
      <w:r w:rsidR="008908B2">
        <w:rPr>
          <w:rFonts w:ascii="Times New Roman" w:hAnsi="Times New Roman" w:cs="Times New Roman"/>
          <w:sz w:val="24"/>
          <w:szCs w:val="24"/>
        </w:rPr>
        <w:t>…….</w:t>
      </w:r>
      <w:r w:rsidR="004D778C" w:rsidRPr="002E6D21">
        <w:rPr>
          <w:rFonts w:ascii="Times New Roman" w:hAnsi="Times New Roman" w:cs="Times New Roman"/>
          <w:sz w:val="24"/>
          <w:szCs w:val="24"/>
        </w:rPr>
        <w:tab/>
      </w:r>
      <w:r w:rsidRPr="002E6D21">
        <w:rPr>
          <w:rFonts w:ascii="Times New Roman" w:hAnsi="Times New Roman" w:cs="Times New Roman"/>
          <w:sz w:val="24"/>
          <w:szCs w:val="24"/>
        </w:rPr>
        <w:t>1</w:t>
      </w:r>
      <w:r w:rsidR="008908B2">
        <w:rPr>
          <w:rFonts w:ascii="Times New Roman" w:hAnsi="Times New Roman" w:cs="Times New Roman"/>
          <w:sz w:val="24"/>
          <w:szCs w:val="24"/>
        </w:rPr>
        <w:t>1</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5.5 Conflict Management ..........................................................</w:t>
      </w:r>
      <w:r w:rsidR="00B029D3">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Pr="002E6D21">
        <w:rPr>
          <w:rFonts w:ascii="Times New Roman" w:hAnsi="Times New Roman" w:cs="Times New Roman"/>
          <w:sz w:val="24"/>
          <w:szCs w:val="24"/>
        </w:rPr>
        <w:t>1</w:t>
      </w:r>
      <w:r w:rsidR="00B029D3">
        <w:rPr>
          <w:rFonts w:ascii="Times New Roman" w:hAnsi="Times New Roman" w:cs="Times New Roman"/>
          <w:sz w:val="24"/>
          <w:szCs w:val="24"/>
        </w:rPr>
        <w:t>2</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5.6 International and Ethical Considerations ..................................</w:t>
      </w:r>
      <w:r w:rsidR="004F6A42">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Pr="002E6D21">
        <w:rPr>
          <w:rFonts w:ascii="Times New Roman" w:hAnsi="Times New Roman" w:cs="Times New Roman"/>
          <w:sz w:val="24"/>
          <w:szCs w:val="24"/>
        </w:rPr>
        <w:t>1</w:t>
      </w:r>
      <w:r w:rsidR="004F6A42">
        <w:rPr>
          <w:rFonts w:ascii="Times New Roman" w:hAnsi="Times New Roman" w:cs="Times New Roman"/>
          <w:sz w:val="24"/>
          <w:szCs w:val="24"/>
        </w:rPr>
        <w:t>3</w:t>
      </w:r>
    </w:p>
    <w:p w14:paraId="0FFA88F4" w14:textId="788C71B8"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 xml:space="preserve">6. How Good Engagement Helps ASOS Do Better Long-Term ............................ </w:t>
      </w:r>
      <w:r w:rsidR="004D778C" w:rsidRPr="002E6D21">
        <w:rPr>
          <w:rFonts w:ascii="Times New Roman" w:hAnsi="Times New Roman" w:cs="Times New Roman"/>
          <w:sz w:val="24"/>
          <w:szCs w:val="24"/>
        </w:rPr>
        <w:tab/>
      </w:r>
      <w:r w:rsidRPr="002E6D21">
        <w:rPr>
          <w:rFonts w:ascii="Times New Roman" w:hAnsi="Times New Roman" w:cs="Times New Roman"/>
          <w:sz w:val="24"/>
          <w:szCs w:val="24"/>
        </w:rPr>
        <w:t>1</w:t>
      </w:r>
      <w:r w:rsidR="004F6A42">
        <w:rPr>
          <w:rFonts w:ascii="Times New Roman" w:hAnsi="Times New Roman" w:cs="Times New Roman"/>
          <w:sz w:val="24"/>
          <w:szCs w:val="24"/>
        </w:rPr>
        <w:t>4</w:t>
      </w:r>
    </w:p>
    <w:p w14:paraId="0EEE920D" w14:textId="77777777" w:rsidR="00D4312A"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7. Recommendations and Conclusion .....................................................</w:t>
      </w:r>
      <w:r w:rsidR="00A77E6C">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00AC52E4">
        <w:rPr>
          <w:rFonts w:ascii="Times New Roman" w:hAnsi="Times New Roman" w:cs="Times New Roman"/>
          <w:sz w:val="24"/>
          <w:szCs w:val="24"/>
        </w:rPr>
        <w:t>17</w:t>
      </w:r>
      <w:r w:rsidRPr="002E6D21">
        <w:rPr>
          <w:rFonts w:ascii="Times New Roman" w:hAnsi="Times New Roman" w:cs="Times New Roman"/>
          <w:sz w:val="24"/>
          <w:szCs w:val="24"/>
        </w:rPr>
        <w:br/>
      </w:r>
      <w:r w:rsidRPr="002E6D21">
        <w:rPr>
          <w:rFonts w:ascii="Times New Roman" w:hAnsi="Times New Roman" w:cs="Times New Roman"/>
          <w:sz w:val="24"/>
          <w:szCs w:val="24"/>
        </w:rPr>
        <w:t> </w:t>
      </w:r>
    </w:p>
    <w:p w14:paraId="32628D9C" w14:textId="2B55A02C" w:rsidR="00270B55"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Appendi</w:t>
      </w:r>
      <w:r w:rsidR="00AC52E4">
        <w:rPr>
          <w:rFonts w:ascii="Times New Roman" w:hAnsi="Times New Roman" w:cs="Times New Roman"/>
          <w:sz w:val="24"/>
          <w:szCs w:val="24"/>
        </w:rPr>
        <w:t>x</w:t>
      </w:r>
      <w:r w:rsidRPr="002E6D21">
        <w:rPr>
          <w:rFonts w:ascii="Times New Roman" w:hAnsi="Times New Roman" w:cs="Times New Roman"/>
          <w:sz w:val="24"/>
          <w:szCs w:val="24"/>
        </w:rPr>
        <w:t xml:space="preserve"> .......................................................................................</w:t>
      </w:r>
      <w:r w:rsidR="00A77E6C">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00A77E6C">
        <w:rPr>
          <w:rFonts w:ascii="Times New Roman" w:hAnsi="Times New Roman" w:cs="Times New Roman"/>
          <w:sz w:val="24"/>
          <w:szCs w:val="24"/>
        </w:rPr>
        <w:t>18</w:t>
      </w:r>
      <w:r w:rsidRPr="002E6D21">
        <w:rPr>
          <w:rFonts w:ascii="Times New Roman" w:hAnsi="Times New Roman" w:cs="Times New Roman"/>
          <w:sz w:val="24"/>
          <w:szCs w:val="24"/>
        </w:rPr>
        <w:br/>
      </w:r>
      <w:r w:rsidRPr="002E6D21">
        <w:rPr>
          <w:rFonts w:ascii="Times New Roman" w:hAnsi="Times New Roman" w:cs="Times New Roman"/>
          <w:sz w:val="24"/>
          <w:szCs w:val="24"/>
        </w:rPr>
        <w:t> </w:t>
      </w:r>
      <w:r w:rsidRPr="002E6D21">
        <w:rPr>
          <w:rFonts w:ascii="Times New Roman" w:hAnsi="Times New Roman" w:cs="Times New Roman"/>
          <w:sz w:val="24"/>
          <w:szCs w:val="24"/>
        </w:rPr>
        <w:t xml:space="preserve">Appendix A: Mendelow's Power-Interest Matrix ............................... </w:t>
      </w:r>
      <w:r w:rsidR="00D4312A">
        <w:rPr>
          <w:rFonts w:ascii="Times New Roman" w:hAnsi="Times New Roman" w:cs="Times New Roman"/>
          <w:sz w:val="24"/>
          <w:szCs w:val="24"/>
        </w:rPr>
        <w:t>……….</w:t>
      </w:r>
      <w:r w:rsidR="004D778C" w:rsidRPr="002E6D21">
        <w:rPr>
          <w:rFonts w:ascii="Times New Roman" w:hAnsi="Times New Roman" w:cs="Times New Roman"/>
          <w:sz w:val="24"/>
          <w:szCs w:val="24"/>
        </w:rPr>
        <w:tab/>
      </w:r>
      <w:r w:rsidR="00A77E6C">
        <w:rPr>
          <w:rFonts w:ascii="Times New Roman" w:hAnsi="Times New Roman" w:cs="Times New Roman"/>
          <w:sz w:val="24"/>
          <w:szCs w:val="24"/>
        </w:rPr>
        <w:t>18</w:t>
      </w:r>
      <w:r w:rsidRPr="002E6D21">
        <w:rPr>
          <w:rFonts w:ascii="Times New Roman" w:hAnsi="Times New Roman" w:cs="Times New Roman"/>
          <w:sz w:val="24"/>
          <w:szCs w:val="24"/>
        </w:rPr>
        <w:br/>
      </w:r>
      <w:r w:rsidRPr="002E6D21">
        <w:rPr>
          <w:rFonts w:ascii="Times New Roman" w:hAnsi="Times New Roman" w:cs="Times New Roman"/>
          <w:sz w:val="24"/>
          <w:szCs w:val="24"/>
        </w:rPr>
        <w:t> </w:t>
      </w:r>
    </w:p>
    <w:p w14:paraId="62403009" w14:textId="105B1466" w:rsidR="00171230" w:rsidRPr="002E6D21" w:rsidRDefault="00171230" w:rsidP="00422685">
      <w:pPr>
        <w:spacing w:line="360" w:lineRule="auto"/>
        <w:rPr>
          <w:rFonts w:ascii="Times New Roman" w:hAnsi="Times New Roman" w:cs="Times New Roman"/>
          <w:sz w:val="24"/>
          <w:szCs w:val="24"/>
        </w:rPr>
      </w:pPr>
      <w:r w:rsidRPr="002E6D21">
        <w:rPr>
          <w:rFonts w:ascii="Times New Roman" w:hAnsi="Times New Roman" w:cs="Times New Roman"/>
          <w:sz w:val="24"/>
          <w:szCs w:val="24"/>
        </w:rPr>
        <w:t>References ...................................................................................</w:t>
      </w:r>
      <w:r w:rsidR="00D4312A">
        <w:rPr>
          <w:rFonts w:ascii="Times New Roman" w:hAnsi="Times New Roman" w:cs="Times New Roman"/>
          <w:sz w:val="24"/>
          <w:szCs w:val="24"/>
        </w:rPr>
        <w:t>............</w:t>
      </w:r>
      <w:r w:rsidR="009C4CF1">
        <w:rPr>
          <w:rFonts w:ascii="Times New Roman" w:hAnsi="Times New Roman" w:cs="Times New Roman"/>
          <w:sz w:val="24"/>
          <w:szCs w:val="24"/>
        </w:rPr>
        <w:t>...............</w:t>
      </w:r>
      <w:r w:rsidRPr="002E6D21">
        <w:rPr>
          <w:rFonts w:ascii="Times New Roman" w:hAnsi="Times New Roman" w:cs="Times New Roman"/>
          <w:sz w:val="24"/>
          <w:szCs w:val="24"/>
        </w:rPr>
        <w:t xml:space="preserve"> </w:t>
      </w:r>
      <w:r w:rsidR="004D778C" w:rsidRPr="002E6D21">
        <w:rPr>
          <w:rFonts w:ascii="Times New Roman" w:hAnsi="Times New Roman" w:cs="Times New Roman"/>
          <w:sz w:val="24"/>
          <w:szCs w:val="24"/>
        </w:rPr>
        <w:tab/>
      </w:r>
      <w:r w:rsidR="00D4312A">
        <w:rPr>
          <w:rFonts w:ascii="Times New Roman" w:hAnsi="Times New Roman" w:cs="Times New Roman"/>
          <w:sz w:val="24"/>
          <w:szCs w:val="24"/>
        </w:rPr>
        <w:t>19</w:t>
      </w:r>
    </w:p>
    <w:p w14:paraId="3C8E8F0E" w14:textId="77777777" w:rsidR="00D459AA" w:rsidRPr="002E6D21" w:rsidRDefault="00D459AA" w:rsidP="00422685">
      <w:pPr>
        <w:spacing w:line="360" w:lineRule="auto"/>
        <w:jc w:val="both"/>
        <w:rPr>
          <w:rFonts w:ascii="Times New Roman" w:hAnsi="Times New Roman" w:cs="Times New Roman"/>
          <w:b/>
          <w:bCs/>
          <w:sz w:val="24"/>
          <w:szCs w:val="24"/>
        </w:rPr>
      </w:pPr>
    </w:p>
    <w:p w14:paraId="2447F271" w14:textId="77777777" w:rsidR="00D459AA" w:rsidRPr="002E6D21" w:rsidRDefault="00D459AA" w:rsidP="00422685">
      <w:pPr>
        <w:spacing w:line="360" w:lineRule="auto"/>
        <w:jc w:val="both"/>
        <w:rPr>
          <w:rFonts w:ascii="Times New Roman" w:hAnsi="Times New Roman" w:cs="Times New Roman"/>
          <w:b/>
          <w:bCs/>
          <w:sz w:val="24"/>
          <w:szCs w:val="24"/>
        </w:rPr>
      </w:pPr>
    </w:p>
    <w:p w14:paraId="0695E080" w14:textId="77777777" w:rsidR="00D459AA" w:rsidRPr="002E6D21" w:rsidRDefault="00D459AA" w:rsidP="00422685">
      <w:pPr>
        <w:spacing w:line="360" w:lineRule="auto"/>
        <w:jc w:val="both"/>
        <w:rPr>
          <w:rFonts w:ascii="Times New Roman" w:hAnsi="Times New Roman" w:cs="Times New Roman"/>
          <w:b/>
          <w:bCs/>
          <w:sz w:val="24"/>
          <w:szCs w:val="24"/>
        </w:rPr>
      </w:pPr>
    </w:p>
    <w:p w14:paraId="5E261202" w14:textId="77777777" w:rsidR="00C32333" w:rsidRPr="002E6D21" w:rsidRDefault="00C32333" w:rsidP="00422685">
      <w:pPr>
        <w:spacing w:line="360" w:lineRule="auto"/>
        <w:jc w:val="both"/>
        <w:rPr>
          <w:rFonts w:ascii="Times New Roman" w:hAnsi="Times New Roman" w:cs="Times New Roman"/>
          <w:b/>
          <w:bCs/>
          <w:sz w:val="24"/>
          <w:szCs w:val="24"/>
        </w:rPr>
      </w:pPr>
    </w:p>
    <w:p w14:paraId="7DA77B2C" w14:textId="7104BF26" w:rsidR="00F95388" w:rsidRPr="002E6D21" w:rsidRDefault="00F95388" w:rsidP="00422685">
      <w:pPr>
        <w:spacing w:line="360" w:lineRule="auto"/>
        <w:jc w:val="both"/>
        <w:rPr>
          <w:rFonts w:ascii="Times New Roman" w:hAnsi="Times New Roman" w:cs="Times New Roman"/>
          <w:b/>
          <w:bCs/>
          <w:caps/>
          <w:sz w:val="24"/>
          <w:szCs w:val="24"/>
        </w:rPr>
      </w:pPr>
      <w:r w:rsidRPr="002E6D21">
        <w:rPr>
          <w:rFonts w:ascii="Times New Roman" w:hAnsi="Times New Roman" w:cs="Times New Roman"/>
          <w:b/>
          <w:bCs/>
          <w:caps/>
          <w:sz w:val="24"/>
          <w:szCs w:val="24"/>
        </w:rPr>
        <w:t>Executive Summary</w:t>
      </w:r>
    </w:p>
    <w:p w14:paraId="1D2D4564" w14:textId="0CEF8F2F" w:rsidR="00F95388" w:rsidRPr="002E6D21" w:rsidRDefault="00F9538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This report examines how stakeholder engagement can support the successful implementation of ConnectPlus, ASOS's AI-enabled loyalty and personalisation platform. Key stakeholders were identified and analysed using Mendelow's Power-Interest Matrix and the Stakeholder Salience Model to evaluate their influence, </w:t>
      </w:r>
      <w:r w:rsidR="008C1028" w:rsidRPr="002E6D21">
        <w:rPr>
          <w:rFonts w:ascii="Times New Roman" w:hAnsi="Times New Roman" w:cs="Times New Roman"/>
          <w:sz w:val="24"/>
          <w:szCs w:val="24"/>
        </w:rPr>
        <w:t>legitimacy,</w:t>
      </w:r>
      <w:r w:rsidRPr="002E6D21">
        <w:rPr>
          <w:rFonts w:ascii="Times New Roman" w:hAnsi="Times New Roman" w:cs="Times New Roman"/>
          <w:sz w:val="24"/>
          <w:szCs w:val="24"/>
        </w:rPr>
        <w:t xml:space="preserve"> and urgency. The report found that customers, regulators, </w:t>
      </w:r>
      <w:r w:rsidR="008C1028" w:rsidRPr="002E6D21">
        <w:rPr>
          <w:rFonts w:ascii="Times New Roman" w:hAnsi="Times New Roman" w:cs="Times New Roman"/>
          <w:sz w:val="24"/>
          <w:szCs w:val="24"/>
        </w:rPr>
        <w:t>employees,</w:t>
      </w:r>
      <w:r w:rsidRPr="002E6D21">
        <w:rPr>
          <w:rFonts w:ascii="Times New Roman" w:hAnsi="Times New Roman" w:cs="Times New Roman"/>
          <w:sz w:val="24"/>
          <w:szCs w:val="24"/>
        </w:rPr>
        <w:t xml:space="preserve"> and senior leaders play critical roles in project success. To support engagement and manage conflict, the 4C's framework, SWANS, </w:t>
      </w:r>
      <w:r w:rsidR="008C1028" w:rsidRPr="002E6D21">
        <w:rPr>
          <w:rFonts w:ascii="Times New Roman" w:hAnsi="Times New Roman" w:cs="Times New Roman"/>
          <w:sz w:val="24"/>
          <w:szCs w:val="24"/>
        </w:rPr>
        <w:t>OWANS,</w:t>
      </w:r>
      <w:r w:rsidRPr="002E6D21">
        <w:rPr>
          <w:rFonts w:ascii="Times New Roman" w:hAnsi="Times New Roman" w:cs="Times New Roman"/>
          <w:sz w:val="24"/>
          <w:szCs w:val="24"/>
        </w:rPr>
        <w:t xml:space="preserve"> and a RACI matrix were applied. The report concludes that effective stakeholder engagement will strengthen trust, encourage platform adoption, support regulatory </w:t>
      </w:r>
      <w:r w:rsidR="008C1028" w:rsidRPr="002E6D21">
        <w:rPr>
          <w:rFonts w:ascii="Times New Roman" w:hAnsi="Times New Roman" w:cs="Times New Roman"/>
          <w:sz w:val="24"/>
          <w:szCs w:val="24"/>
        </w:rPr>
        <w:t>compliance,</w:t>
      </w:r>
      <w:r w:rsidRPr="002E6D21">
        <w:rPr>
          <w:rFonts w:ascii="Times New Roman" w:hAnsi="Times New Roman" w:cs="Times New Roman"/>
          <w:sz w:val="24"/>
          <w:szCs w:val="24"/>
        </w:rPr>
        <w:t xml:space="preserve"> and contribute to ASOS's long-term business performance.</w:t>
      </w:r>
    </w:p>
    <w:p w14:paraId="2564E82D" w14:textId="77777777" w:rsidR="000372D5" w:rsidRPr="002E6D21" w:rsidRDefault="000372D5" w:rsidP="00422685">
      <w:pPr>
        <w:spacing w:line="360" w:lineRule="auto"/>
        <w:jc w:val="both"/>
        <w:rPr>
          <w:rFonts w:ascii="Times New Roman" w:hAnsi="Times New Roman" w:cs="Times New Roman"/>
          <w:sz w:val="24"/>
          <w:szCs w:val="24"/>
        </w:rPr>
      </w:pPr>
    </w:p>
    <w:p w14:paraId="09E1FFAD" w14:textId="19211665" w:rsidR="00906634" w:rsidRPr="002E6D21" w:rsidRDefault="0090663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1. INTRODUCTION</w:t>
      </w:r>
    </w:p>
    <w:p w14:paraId="5192D6CD" w14:textId="3B94264C" w:rsidR="00C1047B" w:rsidRPr="002E6D21" w:rsidRDefault="00C1047B"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ASOS is one of the UK's leading online fashion and beauty retailers, operating across international markets through a digital-first business model. According to ASOS plc (2024), innovation, customer </w:t>
      </w:r>
      <w:r w:rsidR="008C1028" w:rsidRPr="002E6D21">
        <w:rPr>
          <w:rFonts w:ascii="Times New Roman" w:hAnsi="Times New Roman" w:cs="Times New Roman"/>
          <w:sz w:val="24"/>
          <w:szCs w:val="24"/>
        </w:rPr>
        <w:t>engagement,</w:t>
      </w:r>
      <w:r w:rsidRPr="002E6D21">
        <w:rPr>
          <w:rFonts w:ascii="Times New Roman" w:hAnsi="Times New Roman" w:cs="Times New Roman"/>
          <w:sz w:val="24"/>
          <w:szCs w:val="24"/>
        </w:rPr>
        <w:t xml:space="preserve"> and data-driven decision-making are central to the company's growth strategy. To strengthen customer loyalty and retention, ASOS plans to launch ConnectPlus, an AI-enabled platform designed to provide personalised recommendations, loyalty </w:t>
      </w:r>
      <w:r w:rsidR="008C1028" w:rsidRPr="002E6D21">
        <w:rPr>
          <w:rFonts w:ascii="Times New Roman" w:hAnsi="Times New Roman" w:cs="Times New Roman"/>
          <w:sz w:val="24"/>
          <w:szCs w:val="24"/>
        </w:rPr>
        <w:t>rewards,</w:t>
      </w:r>
      <w:r w:rsidRPr="002E6D21">
        <w:rPr>
          <w:rFonts w:ascii="Times New Roman" w:hAnsi="Times New Roman" w:cs="Times New Roman"/>
          <w:sz w:val="24"/>
          <w:szCs w:val="24"/>
        </w:rPr>
        <w:t xml:space="preserve"> and enhanced customer insights.</w:t>
      </w:r>
    </w:p>
    <w:p w14:paraId="0FCA0DDC" w14:textId="2BD7F140" w:rsidR="00FD7083" w:rsidRPr="002E6D21" w:rsidRDefault="00FD7083"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As Project Manager, I am responsible for overseeing the successful delivery of this six-month project while ensuring that stakeholder expectations are effectively managed throughout the project lifecycle. Freeman (1984) defines stakeholders as individuals or groups who can affect or be affected by organisational activities, while Harrison, Freeman and Abreu (2023) argue that considering stakeholder interests supports stronger organisational outcomes. Given ConnectPlus's reliance on artificial intelligence and customer data, stakeholder engagement is essential for building trust, supporting regulatory </w:t>
      </w:r>
      <w:r w:rsidR="008C1028" w:rsidRPr="002E6D21">
        <w:rPr>
          <w:rFonts w:ascii="Times New Roman" w:hAnsi="Times New Roman" w:cs="Times New Roman"/>
          <w:sz w:val="24"/>
          <w:szCs w:val="24"/>
        </w:rPr>
        <w:t>compliance,</w:t>
      </w:r>
      <w:r w:rsidRPr="002E6D21">
        <w:rPr>
          <w:rFonts w:ascii="Times New Roman" w:hAnsi="Times New Roman" w:cs="Times New Roman"/>
          <w:sz w:val="24"/>
          <w:szCs w:val="24"/>
        </w:rPr>
        <w:t xml:space="preserve"> and encouraging platform adoption. This report identifies and analyses key stakeholders, evaluates stakeholder engagement and conflict management approaches, and assesses how effective stakeholder engagement can contribute to the long-term success of ConnectPlus and ASOS.</w:t>
      </w:r>
    </w:p>
    <w:p w14:paraId="2305BDEF" w14:textId="77777777" w:rsidR="0067419E" w:rsidRDefault="0067419E" w:rsidP="00422685">
      <w:pPr>
        <w:spacing w:line="360" w:lineRule="auto"/>
        <w:jc w:val="both"/>
        <w:rPr>
          <w:rFonts w:ascii="Times New Roman" w:hAnsi="Times New Roman" w:cs="Times New Roman"/>
          <w:b/>
          <w:bCs/>
          <w:sz w:val="24"/>
          <w:szCs w:val="24"/>
        </w:rPr>
      </w:pPr>
    </w:p>
    <w:p w14:paraId="16E5C46D" w14:textId="2A23306E" w:rsidR="000372D5" w:rsidRPr="002E6D21" w:rsidRDefault="007B2593"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 xml:space="preserve">2. SMART Objectives </w:t>
      </w:r>
    </w:p>
    <w:tbl>
      <w:tblPr>
        <w:tblStyle w:val="TableGrid"/>
        <w:tblW w:w="0" w:type="auto"/>
        <w:tblLook w:val="04A0" w:firstRow="1" w:lastRow="0" w:firstColumn="1" w:lastColumn="0" w:noHBand="0" w:noVBand="1"/>
      </w:tblPr>
      <w:tblGrid>
        <w:gridCol w:w="4508"/>
        <w:gridCol w:w="4508"/>
      </w:tblGrid>
      <w:tr w:rsidR="004C15C1" w:rsidRPr="002E6D21" w14:paraId="4F975568" w14:textId="77777777" w:rsidTr="004C15C1">
        <w:tc>
          <w:tcPr>
            <w:tcW w:w="4508" w:type="dxa"/>
          </w:tcPr>
          <w:p w14:paraId="6C12F02F" w14:textId="35CD6F50" w:rsidR="004C15C1" w:rsidRPr="002E6D21" w:rsidRDefault="004C15C1"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SMART ELEMENTS</w:t>
            </w:r>
          </w:p>
        </w:tc>
        <w:tc>
          <w:tcPr>
            <w:tcW w:w="4508" w:type="dxa"/>
          </w:tcPr>
          <w:p w14:paraId="2D953176" w14:textId="18B853A0" w:rsidR="004C15C1" w:rsidRPr="002E6D21" w:rsidRDefault="004C15C1"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OBJECTIVE</w:t>
            </w:r>
          </w:p>
        </w:tc>
      </w:tr>
      <w:tr w:rsidR="004C15C1" w:rsidRPr="002E6D21" w14:paraId="32150F66" w14:textId="77777777" w:rsidTr="004C15C1">
        <w:tc>
          <w:tcPr>
            <w:tcW w:w="4508" w:type="dxa"/>
          </w:tcPr>
          <w:p w14:paraId="7BB452F1" w14:textId="617F5FCD" w:rsidR="008A00AF" w:rsidRPr="002E6D21" w:rsidRDefault="004C15C1"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Specific</w:t>
            </w:r>
          </w:p>
        </w:tc>
        <w:tc>
          <w:tcPr>
            <w:tcW w:w="4508" w:type="dxa"/>
          </w:tcPr>
          <w:p w14:paraId="4FDED16C" w14:textId="519CC358" w:rsidR="004C15C1" w:rsidRPr="002E6D21" w:rsidRDefault="008A00A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Lau</w:t>
            </w:r>
            <w:r w:rsidR="00BC3F96" w:rsidRPr="002E6D21">
              <w:rPr>
                <w:rFonts w:ascii="Times New Roman" w:hAnsi="Times New Roman" w:cs="Times New Roman"/>
                <w:sz w:val="24"/>
                <w:szCs w:val="24"/>
              </w:rPr>
              <w:t>nch</w:t>
            </w:r>
            <w:r w:rsidRPr="002E6D21">
              <w:rPr>
                <w:rFonts w:ascii="Times New Roman" w:hAnsi="Times New Roman" w:cs="Times New Roman"/>
                <w:sz w:val="24"/>
                <w:szCs w:val="24"/>
              </w:rPr>
              <w:t xml:space="preserve"> ConnectPlus across UK, France, </w:t>
            </w:r>
            <w:r w:rsidR="008C1028" w:rsidRPr="002E6D21">
              <w:rPr>
                <w:rFonts w:ascii="Times New Roman" w:hAnsi="Times New Roman" w:cs="Times New Roman"/>
                <w:sz w:val="24"/>
                <w:szCs w:val="24"/>
              </w:rPr>
              <w:t>Germany,</w:t>
            </w:r>
            <w:r w:rsidRPr="002E6D21">
              <w:rPr>
                <w:rFonts w:ascii="Times New Roman" w:hAnsi="Times New Roman" w:cs="Times New Roman"/>
                <w:sz w:val="24"/>
                <w:szCs w:val="24"/>
              </w:rPr>
              <w:t xml:space="preserve"> and Italy</w:t>
            </w:r>
          </w:p>
        </w:tc>
      </w:tr>
      <w:tr w:rsidR="004C15C1" w:rsidRPr="002E6D21" w14:paraId="413FC695" w14:textId="77777777" w:rsidTr="004C15C1">
        <w:tc>
          <w:tcPr>
            <w:tcW w:w="4508" w:type="dxa"/>
          </w:tcPr>
          <w:p w14:paraId="6CFC9CDC" w14:textId="77471B69" w:rsidR="004C15C1" w:rsidRPr="002E6D21" w:rsidRDefault="008A00A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Measurable</w:t>
            </w:r>
          </w:p>
        </w:tc>
        <w:tc>
          <w:tcPr>
            <w:tcW w:w="4508" w:type="dxa"/>
          </w:tcPr>
          <w:p w14:paraId="321A97D6" w14:textId="2941FBA6" w:rsidR="004C15C1" w:rsidRPr="002E6D21" w:rsidRDefault="008A00A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Increase customer engagement and retention</w:t>
            </w:r>
          </w:p>
        </w:tc>
      </w:tr>
      <w:tr w:rsidR="004C15C1" w:rsidRPr="002E6D21" w14:paraId="185F8483" w14:textId="77777777" w:rsidTr="004C15C1">
        <w:tc>
          <w:tcPr>
            <w:tcW w:w="4508" w:type="dxa"/>
          </w:tcPr>
          <w:p w14:paraId="46B213CD" w14:textId="7F52A6BD" w:rsidR="004C15C1" w:rsidRPr="002E6D21" w:rsidRDefault="008A00A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Achievable</w:t>
            </w:r>
          </w:p>
        </w:tc>
        <w:tc>
          <w:tcPr>
            <w:tcW w:w="4508" w:type="dxa"/>
          </w:tcPr>
          <w:p w14:paraId="38AE78DD" w14:textId="6A489AF1" w:rsidR="004C15C1" w:rsidRPr="002E6D21" w:rsidRDefault="0080269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Use existing ASOS digital capabilities and resources</w:t>
            </w:r>
            <w:r w:rsidR="00B31935" w:rsidRPr="002E6D21">
              <w:rPr>
                <w:rFonts w:ascii="Times New Roman" w:hAnsi="Times New Roman" w:cs="Times New Roman"/>
                <w:sz w:val="24"/>
                <w:szCs w:val="24"/>
              </w:rPr>
              <w:t>.</w:t>
            </w:r>
          </w:p>
        </w:tc>
      </w:tr>
      <w:tr w:rsidR="004C15C1" w:rsidRPr="002E6D21" w14:paraId="43CF7CCC" w14:textId="77777777" w:rsidTr="004C15C1">
        <w:tc>
          <w:tcPr>
            <w:tcW w:w="4508" w:type="dxa"/>
          </w:tcPr>
          <w:p w14:paraId="236B6158" w14:textId="43FB52A9" w:rsidR="004C15C1" w:rsidRPr="002E6D21" w:rsidRDefault="008A00A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Relevant</w:t>
            </w:r>
          </w:p>
        </w:tc>
        <w:tc>
          <w:tcPr>
            <w:tcW w:w="4508" w:type="dxa"/>
          </w:tcPr>
          <w:p w14:paraId="698238F2" w14:textId="0687864E" w:rsidR="004C15C1" w:rsidRPr="002E6D21" w:rsidRDefault="00B3193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Support customer loyalty and business growth </w:t>
            </w:r>
            <w:r w:rsidR="004F1C30" w:rsidRPr="002E6D21">
              <w:rPr>
                <w:rFonts w:ascii="Times New Roman" w:hAnsi="Times New Roman" w:cs="Times New Roman"/>
                <w:sz w:val="24"/>
                <w:szCs w:val="24"/>
              </w:rPr>
              <w:t>(ASOS plc, 2024)</w:t>
            </w:r>
          </w:p>
        </w:tc>
      </w:tr>
      <w:tr w:rsidR="004C15C1" w:rsidRPr="002E6D21" w14:paraId="0D51C36F" w14:textId="77777777" w:rsidTr="004C15C1">
        <w:tc>
          <w:tcPr>
            <w:tcW w:w="4508" w:type="dxa"/>
          </w:tcPr>
          <w:p w14:paraId="09F372A2" w14:textId="42021741" w:rsidR="004C15C1" w:rsidRPr="002E6D21" w:rsidRDefault="008A00A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Time-bound</w:t>
            </w:r>
          </w:p>
        </w:tc>
        <w:tc>
          <w:tcPr>
            <w:tcW w:w="4508" w:type="dxa"/>
          </w:tcPr>
          <w:p w14:paraId="5B816021" w14:textId="4B3F44A4" w:rsidR="004C15C1" w:rsidRPr="002E6D21" w:rsidRDefault="004F1C30"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Complete implementation within six months </w:t>
            </w:r>
          </w:p>
        </w:tc>
      </w:tr>
    </w:tbl>
    <w:p w14:paraId="4F19E261" w14:textId="77777777" w:rsidR="0057362C" w:rsidRPr="002E6D21" w:rsidRDefault="0057362C" w:rsidP="00422685">
      <w:pPr>
        <w:spacing w:line="360" w:lineRule="auto"/>
        <w:jc w:val="both"/>
        <w:rPr>
          <w:rFonts w:ascii="Times New Roman" w:hAnsi="Times New Roman" w:cs="Times New Roman"/>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Author's adaptation based on Kerzner (2022) and the ConnectPlus project requirements.</w:t>
      </w:r>
    </w:p>
    <w:p w14:paraId="012DC3B3" w14:textId="77777777" w:rsidR="00A33007" w:rsidRDefault="00A33007" w:rsidP="00422685">
      <w:pPr>
        <w:spacing w:line="360" w:lineRule="auto"/>
        <w:rPr>
          <w:rFonts w:ascii="Times New Roman" w:hAnsi="Times New Roman" w:cs="Times New Roman"/>
          <w:b/>
          <w:bCs/>
          <w:smallCaps/>
          <w:sz w:val="24"/>
          <w:szCs w:val="24"/>
        </w:rPr>
      </w:pPr>
    </w:p>
    <w:p w14:paraId="043BD0FC" w14:textId="4B2C650F" w:rsidR="00313127" w:rsidRPr="00422685" w:rsidRDefault="00B10E78" w:rsidP="00422685">
      <w:pPr>
        <w:spacing w:line="360" w:lineRule="auto"/>
        <w:rPr>
          <w:rFonts w:ascii="Times New Roman" w:hAnsi="Times New Roman" w:cs="Times New Roman"/>
          <w:b/>
          <w:bCs/>
          <w:smallCaps/>
          <w:sz w:val="24"/>
          <w:szCs w:val="24"/>
        </w:rPr>
      </w:pPr>
      <w:r w:rsidRPr="00422685">
        <w:rPr>
          <w:rFonts w:ascii="Times New Roman" w:hAnsi="Times New Roman" w:cs="Times New Roman"/>
          <w:b/>
          <w:bCs/>
          <w:smallCaps/>
          <w:sz w:val="24"/>
          <w:szCs w:val="24"/>
        </w:rPr>
        <w:t>Project</w:t>
      </w:r>
      <w:r w:rsidR="00313127" w:rsidRPr="00422685">
        <w:rPr>
          <w:rFonts w:ascii="Times New Roman" w:hAnsi="Times New Roman" w:cs="Times New Roman"/>
          <w:b/>
          <w:bCs/>
          <w:smallCaps/>
          <w:sz w:val="24"/>
          <w:szCs w:val="24"/>
        </w:rPr>
        <w:t xml:space="preserve"> </w:t>
      </w:r>
      <w:r w:rsidRPr="00422685">
        <w:rPr>
          <w:rFonts w:ascii="Times New Roman" w:hAnsi="Times New Roman" w:cs="Times New Roman"/>
          <w:b/>
          <w:bCs/>
          <w:smallCaps/>
          <w:sz w:val="24"/>
          <w:szCs w:val="24"/>
        </w:rPr>
        <w:t>Objective:</w:t>
      </w:r>
    </w:p>
    <w:p w14:paraId="79838023" w14:textId="0CBB3062" w:rsidR="00B10E78" w:rsidRPr="002E6D21" w:rsidRDefault="00B10E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According to Kerzner (2022), clearly defined objectives support project performance and control. Therefore, the objective of ConnectPlus is to launch an AI-enabled loyalty and personalisation platform within six months while increasing customer engagement, improving retention and maintaining compliance with data protection and AI regulations.</w:t>
      </w:r>
    </w:p>
    <w:p w14:paraId="68865CE8" w14:textId="77777777" w:rsidR="00DD2312" w:rsidRPr="002E6D21" w:rsidRDefault="00DD2312" w:rsidP="00422685">
      <w:pPr>
        <w:spacing w:line="360" w:lineRule="auto"/>
        <w:jc w:val="both"/>
        <w:rPr>
          <w:rFonts w:ascii="Times New Roman" w:hAnsi="Times New Roman" w:cs="Times New Roman"/>
          <w:sz w:val="24"/>
          <w:szCs w:val="24"/>
        </w:rPr>
      </w:pPr>
    </w:p>
    <w:p w14:paraId="402F79F4" w14:textId="30A5ED1E" w:rsidR="00DD2312" w:rsidRPr="002E6D21" w:rsidRDefault="00DD2312"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3. IDENTIFYING AND GROUPING KEY STAKEHOLDERS</w:t>
      </w:r>
    </w:p>
    <w:p w14:paraId="509FD034" w14:textId="61D8A0FB" w:rsidR="00410C71" w:rsidRPr="002E6D21" w:rsidRDefault="00410C71"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 xml:space="preserve">3.1 </w:t>
      </w:r>
      <w:r w:rsidR="00E427EF">
        <w:rPr>
          <w:rFonts w:ascii="Times New Roman" w:hAnsi="Times New Roman" w:cs="Times New Roman"/>
          <w:b/>
          <w:bCs/>
          <w:sz w:val="24"/>
          <w:szCs w:val="24"/>
        </w:rPr>
        <w:t xml:space="preserve">Stakeholders Identification </w:t>
      </w:r>
    </w:p>
    <w:p w14:paraId="4693DD82" w14:textId="5C16D4D2" w:rsidR="00562D05" w:rsidRPr="002E6D21" w:rsidRDefault="00562D0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identification is important because different stakeholder groups can influence project outcomes in </w:t>
      </w:r>
      <w:r w:rsidR="004C72F3" w:rsidRPr="002E6D21">
        <w:rPr>
          <w:rFonts w:ascii="Times New Roman" w:hAnsi="Times New Roman" w:cs="Times New Roman"/>
          <w:sz w:val="24"/>
          <w:szCs w:val="24"/>
        </w:rPr>
        <w:t>diverse ways</w:t>
      </w:r>
      <w:r w:rsidRPr="002E6D21">
        <w:rPr>
          <w:rFonts w:ascii="Times New Roman" w:hAnsi="Times New Roman" w:cs="Times New Roman"/>
          <w:sz w:val="24"/>
          <w:szCs w:val="24"/>
        </w:rPr>
        <w:t>. Freeman (1984) defines stakeholders as individuals or groups who can affect or be affected by organisational activities, while Harrison, Freeman and Abreu (2023) argue that considering stakeholder interests can improve organisational performance and decision-making. For ConnectPlus, stakeholders can be grouped into internal and external categories, as shown in Table 1.</w:t>
      </w:r>
    </w:p>
    <w:p w14:paraId="0D9367AF" w14:textId="0BE8DA2F" w:rsidR="00A22D69" w:rsidRPr="002E6D21" w:rsidRDefault="00A22D69" w:rsidP="00422685">
      <w:pPr>
        <w:spacing w:line="360" w:lineRule="auto"/>
        <w:jc w:val="both"/>
        <w:rPr>
          <w:rFonts w:ascii="Times New Roman" w:hAnsi="Times New Roman" w:cs="Times New Roman"/>
          <w:sz w:val="24"/>
          <w:szCs w:val="24"/>
        </w:rPr>
      </w:pPr>
    </w:p>
    <w:p w14:paraId="669C657F" w14:textId="77777777" w:rsidR="00FD4966" w:rsidRDefault="00FD4966" w:rsidP="00422685">
      <w:pPr>
        <w:spacing w:line="360" w:lineRule="auto"/>
        <w:jc w:val="both"/>
        <w:rPr>
          <w:rFonts w:ascii="Times New Roman" w:hAnsi="Times New Roman" w:cs="Times New Roman"/>
          <w:b/>
          <w:bCs/>
          <w:sz w:val="24"/>
          <w:szCs w:val="24"/>
        </w:rPr>
      </w:pPr>
    </w:p>
    <w:p w14:paraId="384D7386" w14:textId="030B6132" w:rsidR="00F86B60" w:rsidRPr="002E6D21" w:rsidRDefault="00F86B60"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Table 1: Key Internal and External Stakeholders of ConnectPlus</w:t>
      </w:r>
    </w:p>
    <w:tbl>
      <w:tblPr>
        <w:tblStyle w:val="TableGrid"/>
        <w:tblW w:w="0" w:type="auto"/>
        <w:tblLook w:val="04A0" w:firstRow="1" w:lastRow="0" w:firstColumn="1" w:lastColumn="0" w:noHBand="0" w:noVBand="1"/>
      </w:tblPr>
      <w:tblGrid>
        <w:gridCol w:w="4508"/>
        <w:gridCol w:w="4508"/>
      </w:tblGrid>
      <w:tr w:rsidR="005B269D" w:rsidRPr="002E6D21" w14:paraId="4BD0E608" w14:textId="77777777" w:rsidTr="005B269D">
        <w:tc>
          <w:tcPr>
            <w:tcW w:w="4508" w:type="dxa"/>
          </w:tcPr>
          <w:p w14:paraId="14E9B663" w14:textId="365D1017" w:rsidR="005B269D" w:rsidRPr="002E6D21" w:rsidRDefault="005B269D"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Internal Stakeholders</w:t>
            </w:r>
          </w:p>
        </w:tc>
        <w:tc>
          <w:tcPr>
            <w:tcW w:w="4508" w:type="dxa"/>
          </w:tcPr>
          <w:p w14:paraId="6506AABC" w14:textId="37BC94E3" w:rsidR="005B269D" w:rsidRPr="002E6D21" w:rsidRDefault="005B269D"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External Stakeholders</w:t>
            </w:r>
          </w:p>
        </w:tc>
      </w:tr>
      <w:tr w:rsidR="005B269D" w:rsidRPr="002E6D21" w14:paraId="2A667D30" w14:textId="77777777" w:rsidTr="005B269D">
        <w:tc>
          <w:tcPr>
            <w:tcW w:w="4508" w:type="dxa"/>
          </w:tcPr>
          <w:p w14:paraId="2815A4CA" w14:textId="19BBF75F" w:rsidR="005B269D" w:rsidRPr="002E6D21" w:rsidRDefault="005B269D"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Executive Leadership</w:t>
            </w:r>
          </w:p>
        </w:tc>
        <w:tc>
          <w:tcPr>
            <w:tcW w:w="4508" w:type="dxa"/>
          </w:tcPr>
          <w:p w14:paraId="615F91BA" w14:textId="4B40EA95" w:rsidR="005B269D" w:rsidRPr="002E6D21" w:rsidRDefault="00E70FF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Customers</w:t>
            </w:r>
          </w:p>
        </w:tc>
      </w:tr>
      <w:tr w:rsidR="005B269D" w:rsidRPr="002E6D21" w14:paraId="6959814A" w14:textId="77777777" w:rsidTr="005B269D">
        <w:tc>
          <w:tcPr>
            <w:tcW w:w="4508" w:type="dxa"/>
          </w:tcPr>
          <w:p w14:paraId="38DD7481" w14:textId="44EE0BEC" w:rsidR="005B269D" w:rsidRPr="002E6D21" w:rsidRDefault="00E70FF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Project Sponsor</w:t>
            </w:r>
          </w:p>
        </w:tc>
        <w:tc>
          <w:tcPr>
            <w:tcW w:w="4508" w:type="dxa"/>
          </w:tcPr>
          <w:p w14:paraId="22CB3914" w14:textId="66249113" w:rsidR="005B269D" w:rsidRPr="002E6D21" w:rsidRDefault="00E70FF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Regulators (ICO and EU authorities)</w:t>
            </w:r>
          </w:p>
        </w:tc>
      </w:tr>
      <w:tr w:rsidR="005B269D" w:rsidRPr="002E6D21" w14:paraId="0C398775" w14:textId="77777777" w:rsidTr="005B269D">
        <w:tc>
          <w:tcPr>
            <w:tcW w:w="4508" w:type="dxa"/>
          </w:tcPr>
          <w:p w14:paraId="29C1E999" w14:textId="3DC2D437" w:rsidR="005B269D" w:rsidRPr="002E6D21" w:rsidRDefault="00E70FF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Developers &amp; Data Teams</w:t>
            </w:r>
          </w:p>
        </w:tc>
        <w:tc>
          <w:tcPr>
            <w:tcW w:w="4508" w:type="dxa"/>
          </w:tcPr>
          <w:p w14:paraId="0F2B53C6" w14:textId="2723226D" w:rsidR="005B269D" w:rsidRPr="002E6D21" w:rsidRDefault="0019757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Investors</w:t>
            </w:r>
          </w:p>
        </w:tc>
      </w:tr>
      <w:tr w:rsidR="005B269D" w:rsidRPr="002E6D21" w14:paraId="5A327E78" w14:textId="77777777" w:rsidTr="005B269D">
        <w:tc>
          <w:tcPr>
            <w:tcW w:w="4508" w:type="dxa"/>
          </w:tcPr>
          <w:p w14:paraId="160E53A5" w14:textId="474BDF78" w:rsidR="005B269D" w:rsidRPr="002E6D21" w:rsidRDefault="0019757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Cybersecurity &amp; Compliance Teams</w:t>
            </w:r>
          </w:p>
        </w:tc>
        <w:tc>
          <w:tcPr>
            <w:tcW w:w="4508" w:type="dxa"/>
          </w:tcPr>
          <w:p w14:paraId="3EABA700" w14:textId="3228721A" w:rsidR="005B269D" w:rsidRPr="002E6D21" w:rsidRDefault="0019757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Suppliers &amp; Technology Partners</w:t>
            </w:r>
          </w:p>
        </w:tc>
      </w:tr>
      <w:tr w:rsidR="005B269D" w:rsidRPr="002E6D21" w14:paraId="09D02A91" w14:textId="77777777" w:rsidTr="005B269D">
        <w:tc>
          <w:tcPr>
            <w:tcW w:w="4508" w:type="dxa"/>
          </w:tcPr>
          <w:p w14:paraId="5E2AA8C5" w14:textId="4C256988" w:rsidR="005B269D" w:rsidRPr="002E6D21" w:rsidRDefault="0019757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Marketing &amp; Sales Teams</w:t>
            </w:r>
          </w:p>
        </w:tc>
        <w:tc>
          <w:tcPr>
            <w:tcW w:w="4508" w:type="dxa"/>
          </w:tcPr>
          <w:p w14:paraId="25996BFA" w14:textId="10AC4683" w:rsidR="005B269D" w:rsidRPr="002E6D21" w:rsidRDefault="008850BB"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Media &amp; Consumer Groups</w:t>
            </w:r>
          </w:p>
        </w:tc>
      </w:tr>
      <w:tr w:rsidR="008850BB" w:rsidRPr="002E6D21" w14:paraId="12A6D3C4" w14:textId="77777777" w:rsidTr="005B269D">
        <w:tc>
          <w:tcPr>
            <w:tcW w:w="4508" w:type="dxa"/>
          </w:tcPr>
          <w:p w14:paraId="429F6AFB" w14:textId="4343FF3B" w:rsidR="008850BB" w:rsidRPr="002E6D21" w:rsidRDefault="008850BB"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Customer Service Team</w:t>
            </w:r>
          </w:p>
        </w:tc>
        <w:tc>
          <w:tcPr>
            <w:tcW w:w="4508" w:type="dxa"/>
          </w:tcPr>
          <w:p w14:paraId="78D8078E" w14:textId="77777777" w:rsidR="008850BB" w:rsidRPr="002E6D21" w:rsidRDefault="008850BB" w:rsidP="00422685">
            <w:pPr>
              <w:spacing w:line="360" w:lineRule="auto"/>
              <w:jc w:val="both"/>
              <w:rPr>
                <w:rFonts w:ascii="Times New Roman" w:hAnsi="Times New Roman" w:cs="Times New Roman"/>
                <w:sz w:val="24"/>
                <w:szCs w:val="24"/>
              </w:rPr>
            </w:pPr>
          </w:p>
        </w:tc>
      </w:tr>
    </w:tbl>
    <w:p w14:paraId="0325243C" w14:textId="7E43C676" w:rsidR="00FC7A84" w:rsidRPr="002E6D21" w:rsidRDefault="00FC7A84" w:rsidP="00422685">
      <w:pPr>
        <w:spacing w:line="360" w:lineRule="auto"/>
        <w:jc w:val="both"/>
        <w:rPr>
          <w:rFonts w:ascii="Times New Roman" w:hAnsi="Times New Roman" w:cs="Times New Roman"/>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 xml:space="preserve">Author's analysis based on Freeman (1984), Harrison, </w:t>
      </w:r>
      <w:r w:rsidR="008C1028"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and the ConnectPlus project scenario.</w:t>
      </w:r>
    </w:p>
    <w:p w14:paraId="7A52F816" w14:textId="77777777" w:rsidR="00624CA5" w:rsidRPr="002E6D21" w:rsidRDefault="00624CA5"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3.2 Stakeholder Prioritisation Using Mendelow's Power-Interest Matrix</w:t>
      </w:r>
    </w:p>
    <w:p w14:paraId="2E4797CA" w14:textId="217D8147" w:rsidR="00E31343" w:rsidRPr="002E6D21" w:rsidRDefault="00E31343"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prioritisation is important because stakeholder groups vary in their ability to influence project outcomes. Kerzner (2022) argues that prioritisation helps project managers allocate resources more effectively. Mendelow's Power-Interest Matrix categorises stakeholders according to their levels of power and interest (Johnson, </w:t>
      </w:r>
      <w:r w:rsidR="008C1028" w:rsidRPr="002E6D21">
        <w:rPr>
          <w:rFonts w:ascii="Times New Roman" w:hAnsi="Times New Roman" w:cs="Times New Roman"/>
          <w:sz w:val="24"/>
          <w:szCs w:val="24"/>
        </w:rPr>
        <w:t>Whittington,</w:t>
      </w:r>
      <w:r w:rsidRPr="002E6D21">
        <w:rPr>
          <w:rFonts w:ascii="Times New Roman" w:hAnsi="Times New Roman" w:cs="Times New Roman"/>
          <w:sz w:val="24"/>
          <w:szCs w:val="24"/>
        </w:rPr>
        <w:t xml:space="preserve"> and Scholes, 2020) (see Appendix A).</w:t>
      </w:r>
    </w:p>
    <w:p w14:paraId="0B96F2BC" w14:textId="77777777" w:rsidR="00E31343" w:rsidRPr="002E6D21" w:rsidRDefault="00E31343"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Within ConnectPlus, executive leadership, the project sponsor and cybersecurity teams require close management due to their high power and interest. Regulators and investors should be kept satisfied, while customers and customer service teams require regular consultation and communication. In my view, Mendelow's Matrix provides a practical tool for stakeholder prioritisation and engagement planning.</w:t>
      </w:r>
    </w:p>
    <w:p w14:paraId="61D99BAD" w14:textId="77777777" w:rsidR="00624CA5" w:rsidRPr="002E6D21" w:rsidRDefault="00624CA5"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3.3 Limitations of Mendelow's Matrix</w:t>
      </w:r>
    </w:p>
    <w:p w14:paraId="15038C86" w14:textId="77777777" w:rsidR="00251618" w:rsidRPr="002E6D21" w:rsidRDefault="0025161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Although Mendelow's Matrix is useful, Aaltonen and Kujala (2010) argue that stakeholder importance cannot always be explained through power and interest alone. Similarly, Kujala, Sachs and Leinonen (2022) suggest that legitimacy and stakeholder expectations have become increasingly important in stakeholder management. This limitation is evident within ConnectPlus because customers have limited formal power but remain critical to project success. Therefore, a broader approach to stakeholder assessment is required.</w:t>
      </w:r>
    </w:p>
    <w:p w14:paraId="39A2433F" w14:textId="77777777" w:rsidR="00983B24" w:rsidRPr="002E6D21" w:rsidRDefault="00983B24" w:rsidP="00422685">
      <w:pPr>
        <w:spacing w:line="360" w:lineRule="auto"/>
        <w:jc w:val="both"/>
        <w:rPr>
          <w:rFonts w:ascii="Times New Roman" w:hAnsi="Times New Roman" w:cs="Times New Roman"/>
          <w:b/>
          <w:bCs/>
          <w:sz w:val="24"/>
          <w:szCs w:val="24"/>
        </w:rPr>
      </w:pPr>
    </w:p>
    <w:p w14:paraId="30D55738" w14:textId="77777777" w:rsidR="00F45235" w:rsidRDefault="00F45235" w:rsidP="00422685">
      <w:pPr>
        <w:spacing w:line="360" w:lineRule="auto"/>
        <w:jc w:val="both"/>
        <w:rPr>
          <w:rFonts w:ascii="Times New Roman" w:hAnsi="Times New Roman" w:cs="Times New Roman"/>
          <w:b/>
          <w:bCs/>
          <w:sz w:val="24"/>
          <w:szCs w:val="24"/>
        </w:rPr>
      </w:pPr>
    </w:p>
    <w:p w14:paraId="5D436C12" w14:textId="031752EF" w:rsidR="00624CA5" w:rsidRPr="002E6D21" w:rsidRDefault="00624CA5"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3.4 Stakeholder Salience Model</w:t>
      </w:r>
    </w:p>
    <w:p w14:paraId="3C59C587" w14:textId="330A2DB1" w:rsidR="00B42966" w:rsidRPr="002E6D21" w:rsidRDefault="00B42966"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To address this limitation, the Stakeholder Salience Model was applied</w:t>
      </w:r>
      <w:r w:rsidR="00C32333" w:rsidRPr="002E6D21">
        <w:rPr>
          <w:rFonts w:ascii="Times New Roman" w:hAnsi="Times New Roman" w:cs="Times New Roman"/>
          <w:sz w:val="24"/>
          <w:szCs w:val="24"/>
        </w:rPr>
        <w:t xml:space="preserve">. </w:t>
      </w:r>
      <w:r w:rsidRPr="002E6D21">
        <w:rPr>
          <w:rFonts w:ascii="Times New Roman" w:hAnsi="Times New Roman" w:cs="Times New Roman"/>
          <w:sz w:val="24"/>
          <w:szCs w:val="24"/>
        </w:rPr>
        <w:t xml:space="preserve">Mitchell, Agle and Wood (1997) argue that stakeholder importance should be assessed through power, </w:t>
      </w:r>
      <w:r w:rsidR="008C1028" w:rsidRPr="002E6D21">
        <w:rPr>
          <w:rFonts w:ascii="Times New Roman" w:hAnsi="Times New Roman" w:cs="Times New Roman"/>
          <w:sz w:val="24"/>
          <w:szCs w:val="24"/>
        </w:rPr>
        <w:t>legitimacy,</w:t>
      </w:r>
      <w:r w:rsidRPr="002E6D21">
        <w:rPr>
          <w:rFonts w:ascii="Times New Roman" w:hAnsi="Times New Roman" w:cs="Times New Roman"/>
          <w:sz w:val="24"/>
          <w:szCs w:val="24"/>
        </w:rPr>
        <w:t xml:space="preserve"> and urgency. Supporting this perspective, Kujala, Sachs and Leinonen (2022) suggest that legitimacy has become increasingly important as organisations balance commercial, </w:t>
      </w:r>
      <w:r w:rsidR="008C1028" w:rsidRPr="002E6D21">
        <w:rPr>
          <w:rFonts w:ascii="Times New Roman" w:hAnsi="Times New Roman" w:cs="Times New Roman"/>
          <w:sz w:val="24"/>
          <w:szCs w:val="24"/>
        </w:rPr>
        <w:t>ethical,</w:t>
      </w:r>
      <w:r w:rsidRPr="002E6D21">
        <w:rPr>
          <w:rFonts w:ascii="Times New Roman" w:hAnsi="Times New Roman" w:cs="Times New Roman"/>
          <w:sz w:val="24"/>
          <w:szCs w:val="24"/>
        </w:rPr>
        <w:t xml:space="preserve"> and social responsibilities.</w:t>
      </w:r>
    </w:p>
    <w:p w14:paraId="5AFBB16B" w14:textId="2A54EDE3" w:rsidR="00B42966" w:rsidRPr="002E6D21" w:rsidRDefault="00B42966"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Within ConnectPlus, regulators demonstrate all three attributes because they influence compliance and accountability. Customers possess less formal power but maintain strong legitimacy because they are directly affected by decisions regarding data collection, </w:t>
      </w:r>
      <w:r w:rsidR="008C1028" w:rsidRPr="002E6D21">
        <w:rPr>
          <w:rFonts w:ascii="Times New Roman" w:hAnsi="Times New Roman" w:cs="Times New Roman"/>
          <w:sz w:val="24"/>
          <w:szCs w:val="24"/>
        </w:rPr>
        <w:t>privacy,</w:t>
      </w:r>
      <w:r w:rsidRPr="002E6D21">
        <w:rPr>
          <w:rFonts w:ascii="Times New Roman" w:hAnsi="Times New Roman" w:cs="Times New Roman"/>
          <w:sz w:val="24"/>
          <w:szCs w:val="24"/>
        </w:rPr>
        <w:t xml:space="preserve"> and AI-driven personalisation. According to Dwivedi et al. (2020), concerns relating to privacy and data management can significantly influence stakeholder trust and engagement.</w:t>
      </w:r>
    </w:p>
    <w:p w14:paraId="08708780" w14:textId="77777777" w:rsidR="00624CA5" w:rsidRPr="002E6D21" w:rsidRDefault="00624CA5"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3.5 Critical Comparison of the Frameworks</w:t>
      </w:r>
    </w:p>
    <w:p w14:paraId="4048B541" w14:textId="77777777" w:rsidR="00D341A8" w:rsidRPr="002E6D21" w:rsidRDefault="00D341A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Both frameworks provide valuable but different perspectives on stakeholder analysis. Johnson, Whittington and Scholes (2020) present Mendelow's Matrix as a practical tool for stakeholder prioritisation and communication planning, whereas Mitchell, Agle and Wood (1997) argue that stakeholder importance should also consider legitimacy and urgency. While Mendelow's Matrix is particularly useful for operational planning, the Salience Model provides a broader assessment of stakeholder significance. In my view, using both frameworks provides a more balanced approach to stakeholder assessment and supports more effective decision-making throughout the ConnectPlus project.</w:t>
      </w:r>
    </w:p>
    <w:p w14:paraId="5E99EF8E" w14:textId="77777777" w:rsidR="003D7C9A" w:rsidRPr="002E6D21" w:rsidRDefault="003D7C9A" w:rsidP="00422685">
      <w:pPr>
        <w:spacing w:line="360" w:lineRule="auto"/>
        <w:jc w:val="both"/>
        <w:rPr>
          <w:rFonts w:ascii="Times New Roman" w:hAnsi="Times New Roman" w:cs="Times New Roman"/>
          <w:b/>
          <w:bCs/>
          <w:sz w:val="24"/>
          <w:szCs w:val="24"/>
        </w:rPr>
      </w:pPr>
    </w:p>
    <w:p w14:paraId="5DBAC467" w14:textId="42D7746A" w:rsidR="00582AED" w:rsidRPr="002E6D21" w:rsidRDefault="00582AED"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4. WHAT EACH GROUP DOES, WHAT THEY GET, AND WHAT STANDS IN THEIR WAY</w:t>
      </w:r>
    </w:p>
    <w:p w14:paraId="5C93C82A" w14:textId="43FDA802" w:rsidR="00104011" w:rsidRPr="002E6D21" w:rsidRDefault="00104011"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Understanding stakeholder roles, responsibilities, </w:t>
      </w:r>
      <w:r w:rsidR="008C1028" w:rsidRPr="002E6D21">
        <w:rPr>
          <w:rFonts w:ascii="Times New Roman" w:hAnsi="Times New Roman" w:cs="Times New Roman"/>
          <w:sz w:val="24"/>
          <w:szCs w:val="24"/>
        </w:rPr>
        <w:t>benefits,</w:t>
      </w:r>
      <w:r w:rsidRPr="002E6D21">
        <w:rPr>
          <w:rFonts w:ascii="Times New Roman" w:hAnsi="Times New Roman" w:cs="Times New Roman"/>
          <w:sz w:val="24"/>
          <w:szCs w:val="24"/>
        </w:rPr>
        <w:t xml:space="preserve"> and challenges is important because different stakeholder groups influence project outcomes in </w:t>
      </w:r>
      <w:r w:rsidR="0052086C" w:rsidRPr="002E6D21">
        <w:rPr>
          <w:rFonts w:ascii="Times New Roman" w:hAnsi="Times New Roman" w:cs="Times New Roman"/>
          <w:sz w:val="24"/>
          <w:szCs w:val="24"/>
        </w:rPr>
        <w:t>unusual ways</w:t>
      </w:r>
      <w:r w:rsidRPr="002E6D21">
        <w:rPr>
          <w:rFonts w:ascii="Times New Roman" w:hAnsi="Times New Roman" w:cs="Times New Roman"/>
          <w:sz w:val="24"/>
          <w:szCs w:val="24"/>
        </w:rPr>
        <w:t xml:space="preserve">. Harrison, </w:t>
      </w:r>
      <w:r w:rsidR="008C1028"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argue that organisations achieve stronger outcomes when stakeholder expectations are recognised and incorporated into decision-making processes. Table 2 summarises the responsibilities, contribution and challenges associated with the key stakeholder groups involved in ConnectPlus.</w:t>
      </w:r>
    </w:p>
    <w:p w14:paraId="5AC60AC4" w14:textId="77777777" w:rsidR="004362AD" w:rsidRDefault="004362AD" w:rsidP="00422685">
      <w:pPr>
        <w:spacing w:line="360" w:lineRule="auto"/>
        <w:jc w:val="both"/>
        <w:rPr>
          <w:rFonts w:ascii="Times New Roman" w:hAnsi="Times New Roman" w:cs="Times New Roman"/>
          <w:sz w:val="24"/>
          <w:szCs w:val="24"/>
        </w:rPr>
      </w:pPr>
    </w:p>
    <w:p w14:paraId="0AFB6A19" w14:textId="59A2EF60" w:rsidR="00BB16C8" w:rsidRPr="002E6D21" w:rsidRDefault="00BB16C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Table 2: Stakeholder Roles, Benefits and Challenges in ConnectPlus</w:t>
      </w:r>
    </w:p>
    <w:tbl>
      <w:tblPr>
        <w:tblStyle w:val="TableGrid"/>
        <w:tblW w:w="9923" w:type="dxa"/>
        <w:tblInd w:w="-572" w:type="dxa"/>
        <w:tblLook w:val="04A0" w:firstRow="1" w:lastRow="0" w:firstColumn="1" w:lastColumn="0" w:noHBand="0" w:noVBand="1"/>
      </w:tblPr>
      <w:tblGrid>
        <w:gridCol w:w="2052"/>
        <w:gridCol w:w="3217"/>
        <w:gridCol w:w="2244"/>
        <w:gridCol w:w="2410"/>
      </w:tblGrid>
      <w:tr w:rsidR="00F77E24" w:rsidRPr="002E6D21" w14:paraId="5F79F56E" w14:textId="77777777" w:rsidTr="00AD6767">
        <w:tc>
          <w:tcPr>
            <w:tcW w:w="2052" w:type="dxa"/>
          </w:tcPr>
          <w:p w14:paraId="333E2992" w14:textId="77777777"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STAKEHOLDER</w:t>
            </w:r>
          </w:p>
          <w:p w14:paraId="0C6D8022" w14:textId="7770C7BA"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GROUP</w:t>
            </w:r>
          </w:p>
        </w:tc>
        <w:tc>
          <w:tcPr>
            <w:tcW w:w="3217" w:type="dxa"/>
          </w:tcPr>
          <w:p w14:paraId="30C2B8B8" w14:textId="77777777"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ROLE&amp;RESPONSABILITY</w:t>
            </w:r>
          </w:p>
        </w:tc>
        <w:tc>
          <w:tcPr>
            <w:tcW w:w="2244" w:type="dxa"/>
          </w:tcPr>
          <w:p w14:paraId="393541D6" w14:textId="797343C0"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BENEFIT TO CONNECTPLUS</w:t>
            </w:r>
          </w:p>
        </w:tc>
        <w:tc>
          <w:tcPr>
            <w:tcW w:w="2410" w:type="dxa"/>
          </w:tcPr>
          <w:p w14:paraId="4B2B8429" w14:textId="44BA730A"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KEY CHALLENGE</w:t>
            </w:r>
          </w:p>
        </w:tc>
      </w:tr>
      <w:tr w:rsidR="00F77E24" w:rsidRPr="002E6D21" w14:paraId="4E8B822A" w14:textId="77777777" w:rsidTr="00AD6767">
        <w:tc>
          <w:tcPr>
            <w:tcW w:w="2052" w:type="dxa"/>
          </w:tcPr>
          <w:p w14:paraId="64C96350" w14:textId="466CF041"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Executive Leadership</w:t>
            </w:r>
            <w:r w:rsidR="0056058F" w:rsidRPr="002E6D21">
              <w:rPr>
                <w:rFonts w:ascii="Times New Roman" w:hAnsi="Times New Roman" w:cs="Times New Roman"/>
                <w:b/>
                <w:bCs/>
                <w:sz w:val="24"/>
                <w:szCs w:val="24"/>
              </w:rPr>
              <w:t xml:space="preserve"> &amp; Project Sponsor</w:t>
            </w:r>
          </w:p>
        </w:tc>
        <w:tc>
          <w:tcPr>
            <w:tcW w:w="3217" w:type="dxa"/>
          </w:tcPr>
          <w:p w14:paraId="50E12092" w14:textId="610729AA"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Approve </w:t>
            </w:r>
            <w:r w:rsidR="00F13D3B" w:rsidRPr="002E6D21">
              <w:rPr>
                <w:rFonts w:ascii="Times New Roman" w:hAnsi="Times New Roman" w:cs="Times New Roman"/>
                <w:sz w:val="24"/>
                <w:szCs w:val="24"/>
              </w:rPr>
              <w:t>strategy,</w:t>
            </w:r>
            <w:r w:rsidR="0005710F" w:rsidRPr="002E6D21">
              <w:rPr>
                <w:rFonts w:ascii="Times New Roman" w:hAnsi="Times New Roman" w:cs="Times New Roman"/>
                <w:sz w:val="24"/>
                <w:szCs w:val="24"/>
              </w:rPr>
              <w:t xml:space="preserve"> </w:t>
            </w:r>
            <w:r w:rsidR="008C1028" w:rsidRPr="002E6D21">
              <w:rPr>
                <w:rFonts w:ascii="Times New Roman" w:hAnsi="Times New Roman" w:cs="Times New Roman"/>
                <w:sz w:val="24"/>
                <w:szCs w:val="24"/>
              </w:rPr>
              <w:t>funding,</w:t>
            </w:r>
            <w:r w:rsidR="0005710F" w:rsidRPr="002E6D21">
              <w:rPr>
                <w:rFonts w:ascii="Times New Roman" w:hAnsi="Times New Roman" w:cs="Times New Roman"/>
                <w:sz w:val="24"/>
                <w:szCs w:val="24"/>
              </w:rPr>
              <w:t xml:space="preserve"> </w:t>
            </w:r>
            <w:r w:rsidRPr="002E6D21">
              <w:rPr>
                <w:rFonts w:ascii="Times New Roman" w:hAnsi="Times New Roman" w:cs="Times New Roman"/>
                <w:sz w:val="24"/>
                <w:szCs w:val="24"/>
              </w:rPr>
              <w:t xml:space="preserve">and </w:t>
            </w:r>
            <w:r w:rsidR="0005710F" w:rsidRPr="002E6D21">
              <w:rPr>
                <w:rFonts w:ascii="Times New Roman" w:hAnsi="Times New Roman" w:cs="Times New Roman"/>
                <w:sz w:val="24"/>
                <w:szCs w:val="24"/>
              </w:rPr>
              <w:t xml:space="preserve">Key decisions </w:t>
            </w:r>
          </w:p>
        </w:tc>
        <w:tc>
          <w:tcPr>
            <w:tcW w:w="2244" w:type="dxa"/>
          </w:tcPr>
          <w:p w14:paraId="67AB6777" w14:textId="30C7616D"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Strategic direction and </w:t>
            </w:r>
            <w:r w:rsidR="00940085" w:rsidRPr="002E6D21">
              <w:rPr>
                <w:rFonts w:ascii="Times New Roman" w:hAnsi="Times New Roman" w:cs="Times New Roman"/>
                <w:sz w:val="24"/>
                <w:szCs w:val="24"/>
              </w:rPr>
              <w:t xml:space="preserve">organisational </w:t>
            </w:r>
            <w:r w:rsidRPr="002E6D21">
              <w:rPr>
                <w:rFonts w:ascii="Times New Roman" w:hAnsi="Times New Roman" w:cs="Times New Roman"/>
                <w:sz w:val="24"/>
                <w:szCs w:val="24"/>
              </w:rPr>
              <w:t>support</w:t>
            </w:r>
          </w:p>
        </w:tc>
        <w:tc>
          <w:tcPr>
            <w:tcW w:w="2410" w:type="dxa"/>
          </w:tcPr>
          <w:p w14:paraId="35AD25AF" w14:textId="007163CB"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Pressure</w:t>
            </w:r>
            <w:r w:rsidR="00940085" w:rsidRPr="002E6D21">
              <w:rPr>
                <w:rFonts w:ascii="Times New Roman" w:hAnsi="Times New Roman" w:cs="Times New Roman"/>
                <w:sz w:val="24"/>
                <w:szCs w:val="24"/>
              </w:rPr>
              <w:t xml:space="preserve"> to achieve project targets </w:t>
            </w:r>
          </w:p>
        </w:tc>
      </w:tr>
      <w:tr w:rsidR="00F77E24" w:rsidRPr="002E6D21" w14:paraId="56C41F5A" w14:textId="77777777" w:rsidTr="00AD6767">
        <w:tc>
          <w:tcPr>
            <w:tcW w:w="2052" w:type="dxa"/>
          </w:tcPr>
          <w:p w14:paraId="43011CE3" w14:textId="71B62E38" w:rsidR="00F77E24" w:rsidRPr="002E6D21" w:rsidRDefault="00632EA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IT, Data &amp; Cybersecurit</w:t>
            </w:r>
            <w:r w:rsidR="00CC3363" w:rsidRPr="002E6D21">
              <w:rPr>
                <w:rFonts w:ascii="Times New Roman" w:hAnsi="Times New Roman" w:cs="Times New Roman"/>
                <w:b/>
                <w:bCs/>
                <w:sz w:val="24"/>
                <w:szCs w:val="24"/>
              </w:rPr>
              <w:t xml:space="preserve">y Teams </w:t>
            </w:r>
          </w:p>
        </w:tc>
        <w:tc>
          <w:tcPr>
            <w:tcW w:w="3217" w:type="dxa"/>
          </w:tcPr>
          <w:p w14:paraId="443BE5E0" w14:textId="363EFED9"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Develop</w:t>
            </w:r>
            <w:r w:rsidR="00A62CF5" w:rsidRPr="002E6D21">
              <w:rPr>
                <w:rFonts w:ascii="Times New Roman" w:hAnsi="Times New Roman" w:cs="Times New Roman"/>
                <w:sz w:val="24"/>
                <w:szCs w:val="24"/>
              </w:rPr>
              <w:t xml:space="preserve">, </w:t>
            </w:r>
            <w:r w:rsidR="008C1028" w:rsidRPr="002E6D21">
              <w:rPr>
                <w:rFonts w:ascii="Times New Roman" w:hAnsi="Times New Roman" w:cs="Times New Roman"/>
                <w:sz w:val="24"/>
                <w:szCs w:val="24"/>
              </w:rPr>
              <w:t>maintain,</w:t>
            </w:r>
            <w:r w:rsidR="00A62CF5" w:rsidRPr="002E6D21">
              <w:rPr>
                <w:rFonts w:ascii="Times New Roman" w:hAnsi="Times New Roman" w:cs="Times New Roman"/>
                <w:sz w:val="24"/>
                <w:szCs w:val="24"/>
              </w:rPr>
              <w:t xml:space="preserve"> and secure the platform </w:t>
            </w:r>
            <w:r w:rsidRPr="002E6D21">
              <w:rPr>
                <w:rFonts w:ascii="Times New Roman" w:hAnsi="Times New Roman" w:cs="Times New Roman"/>
                <w:sz w:val="24"/>
                <w:szCs w:val="24"/>
              </w:rPr>
              <w:t xml:space="preserve"> </w:t>
            </w:r>
          </w:p>
        </w:tc>
        <w:tc>
          <w:tcPr>
            <w:tcW w:w="2244" w:type="dxa"/>
          </w:tcPr>
          <w:p w14:paraId="48EE9AA4" w14:textId="23DEA689"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Technical </w:t>
            </w:r>
            <w:r w:rsidR="00472E8A" w:rsidRPr="002E6D21">
              <w:rPr>
                <w:rFonts w:ascii="Times New Roman" w:hAnsi="Times New Roman" w:cs="Times New Roman"/>
                <w:sz w:val="24"/>
                <w:szCs w:val="24"/>
              </w:rPr>
              <w:t xml:space="preserve">expertise, </w:t>
            </w:r>
            <w:r w:rsidR="008C1028" w:rsidRPr="002E6D21">
              <w:rPr>
                <w:rFonts w:ascii="Times New Roman" w:hAnsi="Times New Roman" w:cs="Times New Roman"/>
                <w:sz w:val="24"/>
                <w:szCs w:val="24"/>
              </w:rPr>
              <w:t>innovation,</w:t>
            </w:r>
            <w:r w:rsidR="00FA25D8" w:rsidRPr="002E6D21">
              <w:rPr>
                <w:rFonts w:ascii="Times New Roman" w:hAnsi="Times New Roman" w:cs="Times New Roman"/>
                <w:sz w:val="24"/>
                <w:szCs w:val="24"/>
              </w:rPr>
              <w:t xml:space="preserve"> and compliance support</w:t>
            </w:r>
          </w:p>
        </w:tc>
        <w:tc>
          <w:tcPr>
            <w:tcW w:w="2410" w:type="dxa"/>
          </w:tcPr>
          <w:p w14:paraId="04AF5E5F" w14:textId="11B3D258" w:rsidR="00F77E24" w:rsidRPr="002E6D21" w:rsidRDefault="00944F36"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Balancing delivery speed, </w:t>
            </w:r>
            <w:r w:rsidR="008C1028" w:rsidRPr="002E6D21">
              <w:rPr>
                <w:rFonts w:ascii="Times New Roman" w:hAnsi="Times New Roman" w:cs="Times New Roman"/>
                <w:sz w:val="24"/>
                <w:szCs w:val="24"/>
              </w:rPr>
              <w:t>security,</w:t>
            </w:r>
            <w:r w:rsidRPr="002E6D21">
              <w:rPr>
                <w:rFonts w:ascii="Times New Roman" w:hAnsi="Times New Roman" w:cs="Times New Roman"/>
                <w:sz w:val="24"/>
                <w:szCs w:val="24"/>
              </w:rPr>
              <w:t xml:space="preserve"> and </w:t>
            </w:r>
            <w:r w:rsidR="008604A5" w:rsidRPr="002E6D21">
              <w:rPr>
                <w:rFonts w:ascii="Times New Roman" w:hAnsi="Times New Roman" w:cs="Times New Roman"/>
                <w:sz w:val="24"/>
                <w:szCs w:val="24"/>
              </w:rPr>
              <w:t>compliance</w:t>
            </w:r>
          </w:p>
        </w:tc>
      </w:tr>
      <w:tr w:rsidR="00F77E24" w:rsidRPr="002E6D21" w14:paraId="033690E8" w14:textId="77777777" w:rsidTr="00AD6767">
        <w:tc>
          <w:tcPr>
            <w:tcW w:w="2052" w:type="dxa"/>
          </w:tcPr>
          <w:p w14:paraId="2842CDC1" w14:textId="1FBA86BF"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Marketing</w:t>
            </w:r>
            <w:r w:rsidR="00472E8A" w:rsidRPr="002E6D21">
              <w:rPr>
                <w:rFonts w:ascii="Times New Roman" w:hAnsi="Times New Roman" w:cs="Times New Roman"/>
                <w:b/>
                <w:bCs/>
                <w:sz w:val="24"/>
                <w:szCs w:val="24"/>
              </w:rPr>
              <w:t xml:space="preserve"> &amp; </w:t>
            </w:r>
            <w:r w:rsidR="007275CD" w:rsidRPr="002E6D21">
              <w:rPr>
                <w:rFonts w:ascii="Times New Roman" w:hAnsi="Times New Roman" w:cs="Times New Roman"/>
                <w:b/>
                <w:bCs/>
                <w:sz w:val="24"/>
                <w:szCs w:val="24"/>
              </w:rPr>
              <w:t xml:space="preserve">Sales </w:t>
            </w:r>
            <w:r w:rsidRPr="002E6D21">
              <w:rPr>
                <w:rFonts w:ascii="Times New Roman" w:hAnsi="Times New Roman" w:cs="Times New Roman"/>
                <w:b/>
                <w:bCs/>
                <w:sz w:val="24"/>
                <w:szCs w:val="24"/>
              </w:rPr>
              <w:t>Team</w:t>
            </w:r>
            <w:r w:rsidR="004E3ABD" w:rsidRPr="002E6D21">
              <w:rPr>
                <w:rFonts w:ascii="Times New Roman" w:hAnsi="Times New Roman" w:cs="Times New Roman"/>
                <w:b/>
                <w:bCs/>
                <w:sz w:val="24"/>
                <w:szCs w:val="24"/>
              </w:rPr>
              <w:t>s</w:t>
            </w:r>
            <w:r w:rsidRPr="002E6D21">
              <w:rPr>
                <w:rFonts w:ascii="Times New Roman" w:hAnsi="Times New Roman" w:cs="Times New Roman"/>
                <w:b/>
                <w:bCs/>
                <w:sz w:val="24"/>
                <w:szCs w:val="24"/>
              </w:rPr>
              <w:t xml:space="preserve"> </w:t>
            </w:r>
          </w:p>
        </w:tc>
        <w:tc>
          <w:tcPr>
            <w:tcW w:w="3217" w:type="dxa"/>
          </w:tcPr>
          <w:p w14:paraId="0843638C" w14:textId="700B7381"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Promote adoption</w:t>
            </w:r>
            <w:r w:rsidR="004E3ABD" w:rsidRPr="002E6D21">
              <w:rPr>
                <w:rFonts w:ascii="Times New Roman" w:hAnsi="Times New Roman" w:cs="Times New Roman"/>
                <w:sz w:val="24"/>
                <w:szCs w:val="24"/>
              </w:rPr>
              <w:t xml:space="preserve"> and customers</w:t>
            </w:r>
            <w:r w:rsidR="007275CD" w:rsidRPr="002E6D21">
              <w:rPr>
                <w:rFonts w:ascii="Times New Roman" w:hAnsi="Times New Roman" w:cs="Times New Roman"/>
                <w:sz w:val="24"/>
                <w:szCs w:val="24"/>
              </w:rPr>
              <w:t xml:space="preserve"> engagement</w:t>
            </w:r>
          </w:p>
        </w:tc>
        <w:tc>
          <w:tcPr>
            <w:tcW w:w="2244" w:type="dxa"/>
          </w:tcPr>
          <w:p w14:paraId="1C4EAC88" w14:textId="252A61D7" w:rsidR="00F77E24" w:rsidRPr="002E6D21" w:rsidRDefault="007275CD"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Increase platform awar</w:t>
            </w:r>
            <w:r w:rsidR="00600FAF" w:rsidRPr="002E6D21">
              <w:rPr>
                <w:rFonts w:ascii="Times New Roman" w:hAnsi="Times New Roman" w:cs="Times New Roman"/>
                <w:sz w:val="24"/>
                <w:szCs w:val="24"/>
              </w:rPr>
              <w:t>eness and loyalty</w:t>
            </w:r>
          </w:p>
        </w:tc>
        <w:tc>
          <w:tcPr>
            <w:tcW w:w="2410" w:type="dxa"/>
          </w:tcPr>
          <w:p w14:paraId="113D9980" w14:textId="3AE852DC" w:rsidR="00F77E24" w:rsidRPr="002E6D21" w:rsidRDefault="00332B0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Balancing personalisation and privacy</w:t>
            </w:r>
          </w:p>
        </w:tc>
      </w:tr>
      <w:tr w:rsidR="009D5641" w:rsidRPr="002E6D21" w14:paraId="179740C2" w14:textId="77777777" w:rsidTr="00AD6767">
        <w:tc>
          <w:tcPr>
            <w:tcW w:w="2052" w:type="dxa"/>
          </w:tcPr>
          <w:p w14:paraId="7BE05FCD" w14:textId="7E20FC48" w:rsidR="009D5641" w:rsidRPr="002E6D21" w:rsidRDefault="00BE310C"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Customer Service</w:t>
            </w:r>
            <w:r w:rsidR="009D5641" w:rsidRPr="002E6D21">
              <w:rPr>
                <w:rFonts w:ascii="Times New Roman" w:hAnsi="Times New Roman" w:cs="Times New Roman"/>
                <w:b/>
                <w:bCs/>
                <w:sz w:val="24"/>
                <w:szCs w:val="24"/>
              </w:rPr>
              <w:t xml:space="preserve"> Team</w:t>
            </w:r>
          </w:p>
        </w:tc>
        <w:tc>
          <w:tcPr>
            <w:tcW w:w="3217" w:type="dxa"/>
          </w:tcPr>
          <w:p w14:paraId="69C83322" w14:textId="116BB754" w:rsidR="009D5641" w:rsidRPr="002E6D21" w:rsidRDefault="009D5641"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Support customers and collect feedback</w:t>
            </w:r>
          </w:p>
        </w:tc>
        <w:tc>
          <w:tcPr>
            <w:tcW w:w="2244" w:type="dxa"/>
          </w:tcPr>
          <w:p w14:paraId="405E7C56" w14:textId="1C3B9407" w:rsidR="009D5641" w:rsidRPr="002E6D21" w:rsidRDefault="007D72B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Improve customer experience and insight</w:t>
            </w:r>
          </w:p>
        </w:tc>
        <w:tc>
          <w:tcPr>
            <w:tcW w:w="2410" w:type="dxa"/>
          </w:tcPr>
          <w:p w14:paraId="03D4D90C" w14:textId="6A9D27FA" w:rsidR="009D5641" w:rsidRPr="002E6D21" w:rsidRDefault="007D72B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Managing customer concerns</w:t>
            </w:r>
          </w:p>
        </w:tc>
      </w:tr>
      <w:tr w:rsidR="00F77E24" w:rsidRPr="002E6D21" w14:paraId="44A9C82B" w14:textId="77777777" w:rsidTr="00AD6767">
        <w:tc>
          <w:tcPr>
            <w:tcW w:w="2052" w:type="dxa"/>
          </w:tcPr>
          <w:p w14:paraId="5933F375" w14:textId="77777777"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Customers</w:t>
            </w:r>
          </w:p>
        </w:tc>
        <w:tc>
          <w:tcPr>
            <w:tcW w:w="3217" w:type="dxa"/>
          </w:tcPr>
          <w:p w14:paraId="2CD9F8DC" w14:textId="77777777"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Use the platform and provide feedback</w:t>
            </w:r>
          </w:p>
        </w:tc>
        <w:tc>
          <w:tcPr>
            <w:tcW w:w="2244" w:type="dxa"/>
          </w:tcPr>
          <w:p w14:paraId="412CE843" w14:textId="4C124854"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Adoption</w:t>
            </w:r>
            <w:r w:rsidR="007B7804" w:rsidRPr="002E6D21">
              <w:rPr>
                <w:rFonts w:ascii="Times New Roman" w:hAnsi="Times New Roman" w:cs="Times New Roman"/>
                <w:sz w:val="24"/>
                <w:szCs w:val="24"/>
              </w:rPr>
              <w:t xml:space="preserve">, </w:t>
            </w:r>
            <w:r w:rsidR="008C1028" w:rsidRPr="002E6D21">
              <w:rPr>
                <w:rFonts w:ascii="Times New Roman" w:hAnsi="Times New Roman" w:cs="Times New Roman"/>
                <w:sz w:val="24"/>
                <w:szCs w:val="24"/>
              </w:rPr>
              <w:t>retention,</w:t>
            </w:r>
            <w:r w:rsidR="007320BB" w:rsidRPr="002E6D21">
              <w:rPr>
                <w:rFonts w:ascii="Times New Roman" w:hAnsi="Times New Roman" w:cs="Times New Roman"/>
                <w:sz w:val="24"/>
                <w:szCs w:val="24"/>
              </w:rPr>
              <w:t xml:space="preserve"> and </w:t>
            </w:r>
            <w:r w:rsidR="00FB7061" w:rsidRPr="002E6D21">
              <w:rPr>
                <w:rFonts w:ascii="Times New Roman" w:hAnsi="Times New Roman" w:cs="Times New Roman"/>
                <w:sz w:val="24"/>
                <w:szCs w:val="24"/>
              </w:rPr>
              <w:t>customer insights</w:t>
            </w:r>
          </w:p>
        </w:tc>
        <w:tc>
          <w:tcPr>
            <w:tcW w:w="2410" w:type="dxa"/>
          </w:tcPr>
          <w:p w14:paraId="72D73218" w14:textId="3A2EA5B2" w:rsidR="00F77E24" w:rsidRPr="002E6D21" w:rsidRDefault="008F4886"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Trus</w:t>
            </w:r>
            <w:r w:rsidR="00FB7061" w:rsidRPr="002E6D21">
              <w:rPr>
                <w:rFonts w:ascii="Times New Roman" w:hAnsi="Times New Roman" w:cs="Times New Roman"/>
                <w:sz w:val="24"/>
                <w:szCs w:val="24"/>
              </w:rPr>
              <w:t xml:space="preserve">t and </w:t>
            </w:r>
            <w:r w:rsidR="007B7804" w:rsidRPr="002E6D21">
              <w:rPr>
                <w:rFonts w:ascii="Times New Roman" w:hAnsi="Times New Roman" w:cs="Times New Roman"/>
                <w:sz w:val="24"/>
                <w:szCs w:val="24"/>
              </w:rPr>
              <w:t>privacy concerns</w:t>
            </w:r>
          </w:p>
        </w:tc>
      </w:tr>
      <w:tr w:rsidR="00F77E24" w:rsidRPr="002E6D21" w14:paraId="13759F04" w14:textId="77777777" w:rsidTr="00AD6767">
        <w:tc>
          <w:tcPr>
            <w:tcW w:w="2052" w:type="dxa"/>
          </w:tcPr>
          <w:p w14:paraId="4070E06E" w14:textId="6DA764FD"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 xml:space="preserve">Regulators </w:t>
            </w:r>
          </w:p>
        </w:tc>
        <w:tc>
          <w:tcPr>
            <w:tcW w:w="3217" w:type="dxa"/>
          </w:tcPr>
          <w:p w14:paraId="5B6EC24B" w14:textId="77777777"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Monitor compliance and AI governance</w:t>
            </w:r>
          </w:p>
        </w:tc>
        <w:tc>
          <w:tcPr>
            <w:tcW w:w="2244" w:type="dxa"/>
          </w:tcPr>
          <w:p w14:paraId="43209967" w14:textId="77777777"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Legal and ethical guidance</w:t>
            </w:r>
          </w:p>
        </w:tc>
        <w:tc>
          <w:tcPr>
            <w:tcW w:w="2410" w:type="dxa"/>
          </w:tcPr>
          <w:p w14:paraId="54A9DC4F" w14:textId="77777777"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Strict compliance obligations</w:t>
            </w:r>
          </w:p>
        </w:tc>
      </w:tr>
      <w:tr w:rsidR="00F77E24" w:rsidRPr="002E6D21" w14:paraId="4ADE36E5" w14:textId="77777777" w:rsidTr="00AD6767">
        <w:tc>
          <w:tcPr>
            <w:tcW w:w="2052" w:type="dxa"/>
          </w:tcPr>
          <w:p w14:paraId="2262078A" w14:textId="77777777"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Investors</w:t>
            </w:r>
          </w:p>
        </w:tc>
        <w:tc>
          <w:tcPr>
            <w:tcW w:w="3217" w:type="dxa"/>
          </w:tcPr>
          <w:p w14:paraId="045970FE" w14:textId="6DE32C61" w:rsidR="00F77E24" w:rsidRPr="002E6D21" w:rsidRDefault="00DF0AC7"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Provide financial support</w:t>
            </w:r>
          </w:p>
        </w:tc>
        <w:tc>
          <w:tcPr>
            <w:tcW w:w="2244" w:type="dxa"/>
          </w:tcPr>
          <w:p w14:paraId="76506489" w14:textId="6AF732CC" w:rsidR="00F77E24" w:rsidRPr="002E6D21" w:rsidRDefault="000F20B2"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Funding and business confidence</w:t>
            </w:r>
          </w:p>
        </w:tc>
        <w:tc>
          <w:tcPr>
            <w:tcW w:w="2410" w:type="dxa"/>
          </w:tcPr>
          <w:p w14:paraId="052DD8AE" w14:textId="77777777"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Expectations about returns</w:t>
            </w:r>
          </w:p>
        </w:tc>
      </w:tr>
      <w:tr w:rsidR="00F77E24" w:rsidRPr="002E6D21" w14:paraId="5F7822DF" w14:textId="77777777" w:rsidTr="00AD6767">
        <w:tc>
          <w:tcPr>
            <w:tcW w:w="2052" w:type="dxa"/>
          </w:tcPr>
          <w:p w14:paraId="49ECC50F" w14:textId="77777777" w:rsidR="00F77E24" w:rsidRPr="002E6D21" w:rsidRDefault="00F77E2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Suppliers &amp; Technology Partners</w:t>
            </w:r>
          </w:p>
        </w:tc>
        <w:tc>
          <w:tcPr>
            <w:tcW w:w="3217" w:type="dxa"/>
          </w:tcPr>
          <w:p w14:paraId="018D5FF4" w14:textId="14D832AB"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Provide technical support and</w:t>
            </w:r>
            <w:r w:rsidR="003136D3" w:rsidRPr="002E6D21">
              <w:rPr>
                <w:rFonts w:ascii="Times New Roman" w:hAnsi="Times New Roman" w:cs="Times New Roman"/>
                <w:sz w:val="24"/>
                <w:szCs w:val="24"/>
              </w:rPr>
              <w:t xml:space="preserve"> specialist</w:t>
            </w:r>
            <w:r w:rsidRPr="002E6D21">
              <w:rPr>
                <w:rFonts w:ascii="Times New Roman" w:hAnsi="Times New Roman" w:cs="Times New Roman"/>
                <w:sz w:val="24"/>
                <w:szCs w:val="24"/>
              </w:rPr>
              <w:t xml:space="preserve"> services </w:t>
            </w:r>
          </w:p>
        </w:tc>
        <w:tc>
          <w:tcPr>
            <w:tcW w:w="2244" w:type="dxa"/>
          </w:tcPr>
          <w:p w14:paraId="27A6CE03" w14:textId="1736E428"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Specialist expertise</w:t>
            </w:r>
            <w:r w:rsidR="008F0770" w:rsidRPr="002E6D21">
              <w:rPr>
                <w:rFonts w:ascii="Times New Roman" w:hAnsi="Times New Roman" w:cs="Times New Roman"/>
                <w:sz w:val="24"/>
                <w:szCs w:val="24"/>
              </w:rPr>
              <w:t xml:space="preserve"> and operational support</w:t>
            </w:r>
          </w:p>
        </w:tc>
        <w:tc>
          <w:tcPr>
            <w:tcW w:w="2410" w:type="dxa"/>
          </w:tcPr>
          <w:p w14:paraId="453A0FAC" w14:textId="080E4064" w:rsidR="00F77E24" w:rsidRPr="002E6D21" w:rsidRDefault="00F77E2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Dependence on </w:t>
            </w:r>
            <w:r w:rsidR="003136D3" w:rsidRPr="002E6D21">
              <w:rPr>
                <w:rFonts w:ascii="Times New Roman" w:hAnsi="Times New Roman" w:cs="Times New Roman"/>
                <w:sz w:val="24"/>
                <w:szCs w:val="24"/>
              </w:rPr>
              <w:t xml:space="preserve">external resources </w:t>
            </w:r>
          </w:p>
        </w:tc>
      </w:tr>
    </w:tbl>
    <w:p w14:paraId="624E14BC" w14:textId="77777777" w:rsidR="00A50414" w:rsidRPr="002E6D21" w:rsidRDefault="00A50414"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Author's analysis based on Kerzner (2022), Greenwood and Freeman (2024), Dwivedi et al. (2020), Boxall and Purcell (2023), and the ConnectPlus project scenario.</w:t>
      </w:r>
    </w:p>
    <w:p w14:paraId="7AC0A3C0" w14:textId="77777777" w:rsidR="00AD6767" w:rsidRPr="002E6D21" w:rsidRDefault="00AD6767" w:rsidP="00422685">
      <w:pPr>
        <w:spacing w:line="360" w:lineRule="auto"/>
        <w:jc w:val="both"/>
        <w:rPr>
          <w:rFonts w:ascii="Times New Roman" w:hAnsi="Times New Roman" w:cs="Times New Roman"/>
          <w:sz w:val="24"/>
          <w:szCs w:val="24"/>
        </w:rPr>
      </w:pPr>
    </w:p>
    <w:p w14:paraId="499E5C55" w14:textId="6985398B" w:rsidR="008F36C9" w:rsidRPr="002E6D21" w:rsidRDefault="00DB41D1" w:rsidP="00422685">
      <w:pPr>
        <w:spacing w:line="360" w:lineRule="auto"/>
        <w:jc w:val="both"/>
        <w:rPr>
          <w:rFonts w:ascii="Times New Roman" w:hAnsi="Times New Roman" w:cs="Times New Roman"/>
          <w:sz w:val="24"/>
          <w:szCs w:val="24"/>
        </w:rPr>
      </w:pPr>
      <w:r>
        <w:rPr>
          <w:rFonts w:ascii="Times New Roman" w:hAnsi="Times New Roman" w:cs="Times New Roman"/>
          <w:sz w:val="24"/>
          <w:szCs w:val="24"/>
        </w:rPr>
        <w:t>While</w:t>
      </w:r>
      <w:r w:rsidR="008F36C9" w:rsidRPr="002E6D21">
        <w:rPr>
          <w:rFonts w:ascii="Times New Roman" w:hAnsi="Times New Roman" w:cs="Times New Roman"/>
          <w:sz w:val="24"/>
          <w:szCs w:val="24"/>
        </w:rPr>
        <w:t xml:space="preserve"> all stakeholders contribute to project success, their priorities are not always aligned. Kerzner (2022) argues that projects frequently experience tension when stakeholder expectations compete for resources, </w:t>
      </w:r>
      <w:r w:rsidR="008C1028" w:rsidRPr="002E6D21">
        <w:rPr>
          <w:rFonts w:ascii="Times New Roman" w:hAnsi="Times New Roman" w:cs="Times New Roman"/>
          <w:sz w:val="24"/>
          <w:szCs w:val="24"/>
        </w:rPr>
        <w:t>time,</w:t>
      </w:r>
      <w:r w:rsidR="008F36C9" w:rsidRPr="002E6D21">
        <w:rPr>
          <w:rFonts w:ascii="Times New Roman" w:hAnsi="Times New Roman" w:cs="Times New Roman"/>
          <w:sz w:val="24"/>
          <w:szCs w:val="24"/>
        </w:rPr>
        <w:t xml:space="preserve"> and attention. Within ConnectPlus, executive leadership is focused on business growth and return on investment, whereas technical teams </w:t>
      </w:r>
      <w:r w:rsidR="008F36C9" w:rsidRPr="002E6D21">
        <w:rPr>
          <w:rFonts w:ascii="Times New Roman" w:hAnsi="Times New Roman" w:cs="Times New Roman"/>
          <w:sz w:val="24"/>
          <w:szCs w:val="24"/>
        </w:rPr>
        <w:lastRenderedPageBreak/>
        <w:t xml:space="preserve">prioritise security, </w:t>
      </w:r>
      <w:r w:rsidR="008C1028" w:rsidRPr="002E6D21">
        <w:rPr>
          <w:rFonts w:ascii="Times New Roman" w:hAnsi="Times New Roman" w:cs="Times New Roman"/>
          <w:sz w:val="24"/>
          <w:szCs w:val="24"/>
        </w:rPr>
        <w:t>compliance,</w:t>
      </w:r>
      <w:r w:rsidR="008F36C9" w:rsidRPr="002E6D21">
        <w:rPr>
          <w:rFonts w:ascii="Times New Roman" w:hAnsi="Times New Roman" w:cs="Times New Roman"/>
          <w:sz w:val="24"/>
          <w:szCs w:val="24"/>
        </w:rPr>
        <w:t xml:space="preserve"> and system reliability. Bourne (2015) suggests that these competing priorities are common in complex projects and require effective coordination to avoid delays and misunderstandings. As Project Manager, I believe balancing commercial objectives with technical and compliance requirements will be one of the most significant challenges during implementation.</w:t>
      </w:r>
    </w:p>
    <w:p w14:paraId="660765AF" w14:textId="4173D981" w:rsidR="006C2AA7" w:rsidRPr="002E6D21" w:rsidRDefault="006C2AA7"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Customer-related stakeholders create a different challenge. Greenwood and Freeman (2024) argue that stakeholder trust plays an increasingly </w:t>
      </w:r>
      <w:r w:rsidR="0057647C" w:rsidRPr="002E6D21">
        <w:rPr>
          <w:rFonts w:ascii="Times New Roman" w:hAnsi="Times New Roman" w:cs="Times New Roman"/>
          <w:sz w:val="24"/>
          <w:szCs w:val="24"/>
        </w:rPr>
        <w:t>significant role</w:t>
      </w:r>
      <w:r w:rsidRPr="002E6D21">
        <w:rPr>
          <w:rFonts w:ascii="Times New Roman" w:hAnsi="Times New Roman" w:cs="Times New Roman"/>
          <w:sz w:val="24"/>
          <w:szCs w:val="24"/>
        </w:rPr>
        <w:t xml:space="preserve"> in digital business environments, while Dwivedi et al. (2020) suggest that concerns regarding privacy and data security can influence engagement with digital technologies. Customers benefit from personalised recommendations and loyalty rewards, but concerns regarding AI-enabled personalisation and the use of personal information may reduce trust and platform adoption. In contrast, marketing and sales teams seek to maximise engagement through personalised experiences. This creates a tension between customer experience and privacy expectations, making transparent communication and responsible data management essential.</w:t>
      </w:r>
    </w:p>
    <w:p w14:paraId="44D4D4E6" w14:textId="0E43BECE" w:rsidR="006C2AA7" w:rsidRPr="002E6D21" w:rsidRDefault="006C2AA7"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External stakeholders may also have competing priorities. Boxall and Purcell (2023) suggest that investors are primarily concerned with long-term competitiveness and organisational performance, whereas regulators focus on accountability, ethical </w:t>
      </w:r>
      <w:r w:rsidR="008C1028" w:rsidRPr="002E6D21">
        <w:rPr>
          <w:rFonts w:ascii="Times New Roman" w:hAnsi="Times New Roman" w:cs="Times New Roman"/>
          <w:sz w:val="24"/>
          <w:szCs w:val="24"/>
        </w:rPr>
        <w:t>standards,</w:t>
      </w:r>
      <w:r w:rsidRPr="002E6D21">
        <w:rPr>
          <w:rFonts w:ascii="Times New Roman" w:hAnsi="Times New Roman" w:cs="Times New Roman"/>
          <w:sz w:val="24"/>
          <w:szCs w:val="24"/>
        </w:rPr>
        <w:t xml:space="preserve"> and legal compliance. The European Commission (2024) and the Information Commissioner's Office (2024) emphasise transparency and responsible use of customer data when organisations implement AI-enabled services. As Project Manager, I believe recognising these competing priorities at an early stage will reduce the likelihood of conflict and support better decision-making. Therefore, the successful implementation of ConnectPlus will depend on balancing stakeholder expectations while ensuring that business goals, customer needs and regulatory obligations are appropriately addressed.</w:t>
      </w:r>
    </w:p>
    <w:p w14:paraId="0CC04297" w14:textId="77777777" w:rsidR="00BE269F" w:rsidRDefault="00BE269F" w:rsidP="00422685">
      <w:pPr>
        <w:spacing w:line="360" w:lineRule="auto"/>
        <w:jc w:val="both"/>
        <w:rPr>
          <w:rFonts w:ascii="Times New Roman" w:hAnsi="Times New Roman" w:cs="Times New Roman"/>
          <w:b/>
          <w:bCs/>
          <w:sz w:val="24"/>
          <w:szCs w:val="24"/>
        </w:rPr>
      </w:pPr>
    </w:p>
    <w:p w14:paraId="41562F68" w14:textId="6DE88842" w:rsidR="00321781" w:rsidRPr="002E6D21" w:rsidRDefault="00321781"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 HOW I WILL KEEP PEOPLE INVOLVED AND FIX DISAGREEMENTS</w:t>
      </w:r>
    </w:p>
    <w:p w14:paraId="09EE8195" w14:textId="2262498D" w:rsidR="00A14F8B" w:rsidRPr="002E6D21" w:rsidRDefault="00A14F8B"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engagement should be managed throughout the project lifecycle rather than treated as a one-off activity at the start of the project. Ashcroft (2017) argues that ongoing engagement helps organisations respond to changing stakeholder expectations, while Harrison, Freeman and Abreu (2023) suggest that organisations achieve stronger outcomes when stakeholder interests are considered during decision-making. For ConnectPlus, this is particularly important because the project involves artificial intelligence, customer </w:t>
      </w:r>
      <w:r w:rsidR="008C1028" w:rsidRPr="002E6D21">
        <w:rPr>
          <w:rFonts w:ascii="Times New Roman" w:hAnsi="Times New Roman" w:cs="Times New Roman"/>
          <w:sz w:val="24"/>
          <w:szCs w:val="24"/>
        </w:rPr>
        <w:t>data,</w:t>
      </w:r>
      <w:r w:rsidRPr="002E6D21">
        <w:rPr>
          <w:rFonts w:ascii="Times New Roman" w:hAnsi="Times New Roman" w:cs="Times New Roman"/>
          <w:sz w:val="24"/>
          <w:szCs w:val="24"/>
        </w:rPr>
        <w:t xml:space="preserve"> and multiple stakeholder </w:t>
      </w:r>
      <w:r w:rsidRPr="002E6D21">
        <w:rPr>
          <w:rFonts w:ascii="Times New Roman" w:hAnsi="Times New Roman" w:cs="Times New Roman"/>
          <w:sz w:val="24"/>
          <w:szCs w:val="24"/>
        </w:rPr>
        <w:lastRenderedPageBreak/>
        <w:t xml:space="preserve">groups with different priorities. As Project Manager, I will adopt a structured engagement process based on the 4C's framework: communication, consultation, </w:t>
      </w:r>
      <w:r w:rsidR="008C1028" w:rsidRPr="002E6D21">
        <w:rPr>
          <w:rFonts w:ascii="Times New Roman" w:hAnsi="Times New Roman" w:cs="Times New Roman"/>
          <w:sz w:val="24"/>
          <w:szCs w:val="24"/>
        </w:rPr>
        <w:t>collaboration,</w:t>
      </w:r>
      <w:r w:rsidRPr="002E6D21">
        <w:rPr>
          <w:rFonts w:ascii="Times New Roman" w:hAnsi="Times New Roman" w:cs="Times New Roman"/>
          <w:sz w:val="24"/>
          <w:szCs w:val="24"/>
        </w:rPr>
        <w:t xml:space="preserve"> and commitment. This approach is more suitable than relying on a single engagement method because stakeholders differ in their levels of influence, </w:t>
      </w:r>
      <w:r w:rsidR="008C1028" w:rsidRPr="002E6D21">
        <w:rPr>
          <w:rFonts w:ascii="Times New Roman" w:hAnsi="Times New Roman" w:cs="Times New Roman"/>
          <w:sz w:val="24"/>
          <w:szCs w:val="24"/>
        </w:rPr>
        <w:t>interest,</w:t>
      </w:r>
      <w:r w:rsidRPr="002E6D21">
        <w:rPr>
          <w:rFonts w:ascii="Times New Roman" w:hAnsi="Times New Roman" w:cs="Times New Roman"/>
          <w:sz w:val="24"/>
          <w:szCs w:val="24"/>
        </w:rPr>
        <w:t xml:space="preserve"> and involvement.</w:t>
      </w:r>
    </w:p>
    <w:p w14:paraId="52B231DC" w14:textId="77777777" w:rsidR="00313D0E" w:rsidRPr="002E6D21" w:rsidRDefault="00313D0E"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5.1 Communication</w:t>
      </w:r>
    </w:p>
    <w:p w14:paraId="061D4F60" w14:textId="604A6172" w:rsidR="003378FA" w:rsidRPr="002E6D21" w:rsidRDefault="00313D0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Communication is the foundation of stakeholder engagement because stakeholders require </w:t>
      </w:r>
      <w:r w:rsidR="004375D7" w:rsidRPr="002E6D21">
        <w:rPr>
          <w:rFonts w:ascii="Times New Roman" w:hAnsi="Times New Roman" w:cs="Times New Roman"/>
          <w:sz w:val="24"/>
          <w:szCs w:val="24"/>
        </w:rPr>
        <w:t>distinct types</w:t>
      </w:r>
      <w:r w:rsidRPr="002E6D21">
        <w:rPr>
          <w:rFonts w:ascii="Times New Roman" w:hAnsi="Times New Roman" w:cs="Times New Roman"/>
          <w:sz w:val="24"/>
          <w:szCs w:val="24"/>
        </w:rPr>
        <w:t xml:space="preserve"> of information throughout the project. Johnson, </w:t>
      </w:r>
      <w:r w:rsidR="008C1028" w:rsidRPr="002E6D21">
        <w:rPr>
          <w:rFonts w:ascii="Times New Roman" w:hAnsi="Times New Roman" w:cs="Times New Roman"/>
          <w:sz w:val="24"/>
          <w:szCs w:val="24"/>
        </w:rPr>
        <w:t>Whittington,</w:t>
      </w:r>
      <w:r w:rsidRPr="002E6D21">
        <w:rPr>
          <w:rFonts w:ascii="Times New Roman" w:hAnsi="Times New Roman" w:cs="Times New Roman"/>
          <w:sz w:val="24"/>
          <w:szCs w:val="24"/>
        </w:rPr>
        <w:t xml:space="preserve"> and Scholes (2020) argue that communication should be tailored to stakeholder needs rather than delivered through a standard approach. Similarly, Kerzner (2022) suggests that communication is more effective when it reflects stakeholder responsibilities and influence. For ConnectPlus, executive leadership requires strategic information relating to project progress, </w:t>
      </w:r>
      <w:r w:rsidR="008C1028" w:rsidRPr="002E6D21">
        <w:rPr>
          <w:rFonts w:ascii="Times New Roman" w:hAnsi="Times New Roman" w:cs="Times New Roman"/>
          <w:sz w:val="24"/>
          <w:szCs w:val="24"/>
        </w:rPr>
        <w:t>risks,</w:t>
      </w:r>
      <w:r w:rsidRPr="002E6D21">
        <w:rPr>
          <w:rFonts w:ascii="Times New Roman" w:hAnsi="Times New Roman" w:cs="Times New Roman"/>
          <w:sz w:val="24"/>
          <w:szCs w:val="24"/>
        </w:rPr>
        <w:t xml:space="preserve"> and budgets, whereas customers require clear information regarding platform features, </w:t>
      </w:r>
      <w:r w:rsidR="008C1028" w:rsidRPr="002E6D21">
        <w:rPr>
          <w:rFonts w:ascii="Times New Roman" w:hAnsi="Times New Roman" w:cs="Times New Roman"/>
          <w:sz w:val="24"/>
          <w:szCs w:val="24"/>
        </w:rPr>
        <w:t>rewards,</w:t>
      </w:r>
      <w:r w:rsidRPr="002E6D21">
        <w:rPr>
          <w:rFonts w:ascii="Times New Roman" w:hAnsi="Times New Roman" w:cs="Times New Roman"/>
          <w:sz w:val="24"/>
          <w:szCs w:val="24"/>
        </w:rPr>
        <w:t xml:space="preserve"> and the use of personal data.</w:t>
      </w:r>
    </w:p>
    <w:p w14:paraId="4EB5A24E" w14:textId="77777777" w:rsidR="001B6578" w:rsidRPr="002E6D21" w:rsidRDefault="001B6578"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Table 3: Communication Plan for ConnectPlus</w:t>
      </w:r>
    </w:p>
    <w:tbl>
      <w:tblPr>
        <w:tblStyle w:val="TableGrid"/>
        <w:tblW w:w="0" w:type="auto"/>
        <w:tblLook w:val="04A0" w:firstRow="1" w:lastRow="0" w:firstColumn="1" w:lastColumn="0" w:noHBand="0" w:noVBand="1"/>
      </w:tblPr>
      <w:tblGrid>
        <w:gridCol w:w="2254"/>
        <w:gridCol w:w="2254"/>
        <w:gridCol w:w="2254"/>
        <w:gridCol w:w="2254"/>
      </w:tblGrid>
      <w:tr w:rsidR="0011087C" w:rsidRPr="002E6D21" w14:paraId="30BA9EF4" w14:textId="77777777" w:rsidTr="0011087C">
        <w:tc>
          <w:tcPr>
            <w:tcW w:w="2254" w:type="dxa"/>
          </w:tcPr>
          <w:p w14:paraId="1797161E" w14:textId="7875247C" w:rsidR="0011087C" w:rsidRPr="00452E16" w:rsidRDefault="002E73B8"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STAKEHOLDER</w:t>
            </w:r>
          </w:p>
        </w:tc>
        <w:tc>
          <w:tcPr>
            <w:tcW w:w="2254" w:type="dxa"/>
          </w:tcPr>
          <w:p w14:paraId="1A382AFB" w14:textId="796D84D0" w:rsidR="0011087C" w:rsidRPr="00452E16" w:rsidRDefault="00CD3BD1"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INFOR</w:t>
            </w:r>
            <w:r w:rsidR="002C595A" w:rsidRPr="00452E16">
              <w:rPr>
                <w:rFonts w:ascii="Times New Roman" w:hAnsi="Times New Roman" w:cs="Times New Roman"/>
                <w:b/>
                <w:bCs/>
                <w:sz w:val="24"/>
                <w:szCs w:val="24"/>
              </w:rPr>
              <w:t>MATION</w:t>
            </w:r>
            <w:r w:rsidR="006D52DC" w:rsidRPr="00452E16">
              <w:rPr>
                <w:rFonts w:ascii="Times New Roman" w:hAnsi="Times New Roman" w:cs="Times New Roman"/>
                <w:b/>
                <w:bCs/>
                <w:sz w:val="24"/>
                <w:szCs w:val="24"/>
              </w:rPr>
              <w:t xml:space="preserve"> REQUIRED</w:t>
            </w:r>
          </w:p>
        </w:tc>
        <w:tc>
          <w:tcPr>
            <w:tcW w:w="2254" w:type="dxa"/>
          </w:tcPr>
          <w:p w14:paraId="77D5ADDB" w14:textId="3655D833" w:rsidR="0011087C" w:rsidRPr="00452E16" w:rsidRDefault="006D52D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METHOD</w:t>
            </w:r>
          </w:p>
        </w:tc>
        <w:tc>
          <w:tcPr>
            <w:tcW w:w="2254" w:type="dxa"/>
          </w:tcPr>
          <w:p w14:paraId="5B7BA01F" w14:textId="64435273" w:rsidR="0011087C" w:rsidRPr="00452E16" w:rsidRDefault="006D52D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FREQUENCY</w:t>
            </w:r>
          </w:p>
        </w:tc>
      </w:tr>
      <w:tr w:rsidR="0011087C" w:rsidRPr="002E6D21" w14:paraId="374A4A8F" w14:textId="77777777" w:rsidTr="0011087C">
        <w:tc>
          <w:tcPr>
            <w:tcW w:w="2254" w:type="dxa"/>
          </w:tcPr>
          <w:p w14:paraId="0270BA61" w14:textId="4F118BCC" w:rsidR="0011087C" w:rsidRPr="00452E16" w:rsidRDefault="00D47959"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E</w:t>
            </w:r>
            <w:r w:rsidR="00D6669B" w:rsidRPr="00452E16">
              <w:rPr>
                <w:rFonts w:ascii="Times New Roman" w:hAnsi="Times New Roman" w:cs="Times New Roman"/>
                <w:b/>
                <w:bCs/>
                <w:sz w:val="24"/>
                <w:szCs w:val="24"/>
              </w:rPr>
              <w:t xml:space="preserve">xecutive </w:t>
            </w:r>
            <w:r w:rsidRPr="00452E16">
              <w:rPr>
                <w:rFonts w:ascii="Times New Roman" w:hAnsi="Times New Roman" w:cs="Times New Roman"/>
                <w:b/>
                <w:bCs/>
                <w:sz w:val="24"/>
                <w:szCs w:val="24"/>
              </w:rPr>
              <w:t>L</w:t>
            </w:r>
            <w:r w:rsidR="00D6669B" w:rsidRPr="00452E16">
              <w:rPr>
                <w:rFonts w:ascii="Times New Roman" w:hAnsi="Times New Roman" w:cs="Times New Roman"/>
                <w:b/>
                <w:bCs/>
                <w:sz w:val="24"/>
                <w:szCs w:val="24"/>
              </w:rPr>
              <w:t>eadership</w:t>
            </w:r>
          </w:p>
        </w:tc>
        <w:tc>
          <w:tcPr>
            <w:tcW w:w="2254" w:type="dxa"/>
          </w:tcPr>
          <w:p w14:paraId="39AAD682" w14:textId="0D56BA7C" w:rsidR="0011087C" w:rsidRPr="002E6D21" w:rsidRDefault="006804D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Progress, budget, risks</w:t>
            </w:r>
          </w:p>
        </w:tc>
        <w:tc>
          <w:tcPr>
            <w:tcW w:w="2254" w:type="dxa"/>
          </w:tcPr>
          <w:p w14:paraId="69F406B4" w14:textId="7B9A9EC3" w:rsidR="0011087C" w:rsidRPr="002E6D21" w:rsidRDefault="006804D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Report and meetings</w:t>
            </w:r>
          </w:p>
        </w:tc>
        <w:tc>
          <w:tcPr>
            <w:tcW w:w="2254" w:type="dxa"/>
          </w:tcPr>
          <w:p w14:paraId="51B21130" w14:textId="6BBDDA64" w:rsidR="0011087C" w:rsidRPr="002E6D21" w:rsidRDefault="006804D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Monthly</w:t>
            </w:r>
          </w:p>
        </w:tc>
      </w:tr>
      <w:tr w:rsidR="0011087C" w:rsidRPr="002E6D21" w14:paraId="571FF7E8" w14:textId="77777777" w:rsidTr="0011087C">
        <w:tc>
          <w:tcPr>
            <w:tcW w:w="2254" w:type="dxa"/>
          </w:tcPr>
          <w:p w14:paraId="381B2DE9" w14:textId="2672CEAC" w:rsidR="0011087C" w:rsidRPr="00452E16" w:rsidRDefault="006804DA"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P</w:t>
            </w:r>
            <w:r w:rsidR="00D6669B" w:rsidRPr="00452E16">
              <w:rPr>
                <w:rFonts w:ascii="Times New Roman" w:hAnsi="Times New Roman" w:cs="Times New Roman"/>
                <w:b/>
                <w:bCs/>
                <w:sz w:val="24"/>
                <w:szCs w:val="24"/>
              </w:rPr>
              <w:t xml:space="preserve">roject </w:t>
            </w:r>
            <w:r w:rsidRPr="00452E16">
              <w:rPr>
                <w:rFonts w:ascii="Times New Roman" w:hAnsi="Times New Roman" w:cs="Times New Roman"/>
                <w:b/>
                <w:bCs/>
                <w:sz w:val="24"/>
                <w:szCs w:val="24"/>
              </w:rPr>
              <w:t>S</w:t>
            </w:r>
            <w:r w:rsidR="00D6669B" w:rsidRPr="00452E16">
              <w:rPr>
                <w:rFonts w:ascii="Times New Roman" w:hAnsi="Times New Roman" w:cs="Times New Roman"/>
                <w:b/>
                <w:bCs/>
                <w:sz w:val="24"/>
                <w:szCs w:val="24"/>
              </w:rPr>
              <w:t>ponsor</w:t>
            </w:r>
          </w:p>
        </w:tc>
        <w:tc>
          <w:tcPr>
            <w:tcW w:w="2254" w:type="dxa"/>
          </w:tcPr>
          <w:p w14:paraId="05BD14F2" w14:textId="5E4C5B88" w:rsidR="0011087C" w:rsidRPr="002E6D21" w:rsidRDefault="006804D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Project performance and issues</w:t>
            </w:r>
          </w:p>
        </w:tc>
        <w:tc>
          <w:tcPr>
            <w:tcW w:w="2254" w:type="dxa"/>
          </w:tcPr>
          <w:p w14:paraId="41D93E76" w14:textId="49853270" w:rsidR="0011087C" w:rsidRPr="002E6D21" w:rsidRDefault="006804D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Progress meetings</w:t>
            </w:r>
          </w:p>
        </w:tc>
        <w:tc>
          <w:tcPr>
            <w:tcW w:w="2254" w:type="dxa"/>
          </w:tcPr>
          <w:p w14:paraId="463E17B3" w14:textId="680D87E8" w:rsidR="0011087C" w:rsidRPr="002E6D21" w:rsidRDefault="00CE1D0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W</w:t>
            </w:r>
            <w:r w:rsidR="006804DA" w:rsidRPr="002E6D21">
              <w:rPr>
                <w:rFonts w:ascii="Times New Roman" w:hAnsi="Times New Roman" w:cs="Times New Roman"/>
                <w:sz w:val="24"/>
                <w:szCs w:val="24"/>
              </w:rPr>
              <w:t>eekly</w:t>
            </w:r>
          </w:p>
        </w:tc>
      </w:tr>
      <w:tr w:rsidR="0011087C" w:rsidRPr="002E6D21" w14:paraId="075066AC" w14:textId="77777777" w:rsidTr="0011087C">
        <w:tc>
          <w:tcPr>
            <w:tcW w:w="2254" w:type="dxa"/>
          </w:tcPr>
          <w:p w14:paraId="00765CDF" w14:textId="3240EB3F" w:rsidR="0011087C" w:rsidRPr="00452E16" w:rsidRDefault="00D6669B"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IT &amp; Compliance Teams</w:t>
            </w:r>
          </w:p>
        </w:tc>
        <w:tc>
          <w:tcPr>
            <w:tcW w:w="2254" w:type="dxa"/>
          </w:tcPr>
          <w:p w14:paraId="57D58577" w14:textId="2B9FCAC9" w:rsidR="0011087C" w:rsidRPr="002E6D21" w:rsidRDefault="00D6669B"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Development and compliance updates</w:t>
            </w:r>
          </w:p>
        </w:tc>
        <w:tc>
          <w:tcPr>
            <w:tcW w:w="2254" w:type="dxa"/>
          </w:tcPr>
          <w:p w14:paraId="356E17C0" w14:textId="633783DC" w:rsidR="0011087C" w:rsidRPr="002E6D21" w:rsidRDefault="00CE1D0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Workshops and meetings</w:t>
            </w:r>
          </w:p>
        </w:tc>
        <w:tc>
          <w:tcPr>
            <w:tcW w:w="2254" w:type="dxa"/>
          </w:tcPr>
          <w:p w14:paraId="5B91E6CE" w14:textId="15AABFFD" w:rsidR="0011087C" w:rsidRPr="002E6D21" w:rsidRDefault="00CE1D0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Weekly</w:t>
            </w:r>
          </w:p>
        </w:tc>
      </w:tr>
      <w:tr w:rsidR="0011087C" w:rsidRPr="002E6D21" w14:paraId="4FBC0837" w14:textId="77777777" w:rsidTr="0011087C">
        <w:tc>
          <w:tcPr>
            <w:tcW w:w="2254" w:type="dxa"/>
          </w:tcPr>
          <w:p w14:paraId="327F954C" w14:textId="0F7E41E4" w:rsidR="0011087C" w:rsidRPr="00452E16" w:rsidRDefault="00B502FF"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 xml:space="preserve">Customers </w:t>
            </w:r>
          </w:p>
        </w:tc>
        <w:tc>
          <w:tcPr>
            <w:tcW w:w="2254" w:type="dxa"/>
          </w:tcPr>
          <w:p w14:paraId="638F6304" w14:textId="720AAF8B" w:rsidR="0011087C" w:rsidRPr="002E6D21" w:rsidRDefault="00437697"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Features, </w:t>
            </w:r>
            <w:r w:rsidR="005356C3" w:rsidRPr="002E6D21">
              <w:rPr>
                <w:rFonts w:ascii="Times New Roman" w:hAnsi="Times New Roman" w:cs="Times New Roman"/>
                <w:sz w:val="24"/>
                <w:szCs w:val="24"/>
              </w:rPr>
              <w:t>rewards,</w:t>
            </w:r>
            <w:r w:rsidRPr="002E6D21">
              <w:rPr>
                <w:rFonts w:ascii="Times New Roman" w:hAnsi="Times New Roman" w:cs="Times New Roman"/>
                <w:sz w:val="24"/>
                <w:szCs w:val="24"/>
              </w:rPr>
              <w:t xml:space="preserve"> and data usage</w:t>
            </w:r>
          </w:p>
        </w:tc>
        <w:tc>
          <w:tcPr>
            <w:tcW w:w="2254" w:type="dxa"/>
          </w:tcPr>
          <w:p w14:paraId="0ED68B90" w14:textId="45E5A246" w:rsidR="0011087C" w:rsidRPr="002E6D21" w:rsidRDefault="00437697"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Surveys, email </w:t>
            </w:r>
            <w:r w:rsidR="005356C3" w:rsidRPr="002E6D21">
              <w:rPr>
                <w:rFonts w:ascii="Times New Roman" w:hAnsi="Times New Roman" w:cs="Times New Roman"/>
                <w:sz w:val="24"/>
                <w:szCs w:val="24"/>
              </w:rPr>
              <w:t>updates,</w:t>
            </w:r>
            <w:r w:rsidRPr="002E6D21">
              <w:rPr>
                <w:rFonts w:ascii="Times New Roman" w:hAnsi="Times New Roman" w:cs="Times New Roman"/>
                <w:sz w:val="24"/>
                <w:szCs w:val="24"/>
              </w:rPr>
              <w:t xml:space="preserve"> and notifications</w:t>
            </w:r>
          </w:p>
        </w:tc>
        <w:tc>
          <w:tcPr>
            <w:tcW w:w="2254" w:type="dxa"/>
          </w:tcPr>
          <w:p w14:paraId="57B4D77F" w14:textId="65EDFBC8" w:rsidR="0011087C" w:rsidRPr="002E6D21" w:rsidRDefault="001436AC"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Monthly</w:t>
            </w:r>
          </w:p>
        </w:tc>
      </w:tr>
      <w:tr w:rsidR="001436AC" w:rsidRPr="002E6D21" w14:paraId="78BC733D" w14:textId="77777777" w:rsidTr="0011087C">
        <w:tc>
          <w:tcPr>
            <w:tcW w:w="2254" w:type="dxa"/>
          </w:tcPr>
          <w:p w14:paraId="69CE1088" w14:textId="7DD6C737" w:rsidR="001436AC" w:rsidRPr="00452E16" w:rsidRDefault="001436A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Regulators</w:t>
            </w:r>
          </w:p>
        </w:tc>
        <w:tc>
          <w:tcPr>
            <w:tcW w:w="2254" w:type="dxa"/>
          </w:tcPr>
          <w:p w14:paraId="215D3176" w14:textId="27F513C9" w:rsidR="001436AC" w:rsidRPr="002E6D21" w:rsidRDefault="001436AC"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Compliance and governance updates</w:t>
            </w:r>
          </w:p>
        </w:tc>
        <w:tc>
          <w:tcPr>
            <w:tcW w:w="2254" w:type="dxa"/>
          </w:tcPr>
          <w:p w14:paraId="0F3F3F9B" w14:textId="2D2A3121" w:rsidR="001436AC" w:rsidRPr="002E6D21" w:rsidRDefault="0000409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Formal reports</w:t>
            </w:r>
          </w:p>
        </w:tc>
        <w:tc>
          <w:tcPr>
            <w:tcW w:w="2254" w:type="dxa"/>
          </w:tcPr>
          <w:p w14:paraId="0877D895" w14:textId="67176AAF" w:rsidR="001436AC" w:rsidRPr="002E6D21" w:rsidRDefault="0000409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Quarterly</w:t>
            </w:r>
          </w:p>
        </w:tc>
      </w:tr>
      <w:tr w:rsidR="001436AC" w:rsidRPr="002E6D21" w14:paraId="326AB07D" w14:textId="77777777" w:rsidTr="0011087C">
        <w:tc>
          <w:tcPr>
            <w:tcW w:w="2254" w:type="dxa"/>
          </w:tcPr>
          <w:p w14:paraId="40CE54CA" w14:textId="2C6673F1" w:rsidR="001436AC" w:rsidRPr="00452E16" w:rsidRDefault="0000409E"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Investors</w:t>
            </w:r>
          </w:p>
        </w:tc>
        <w:tc>
          <w:tcPr>
            <w:tcW w:w="2254" w:type="dxa"/>
          </w:tcPr>
          <w:p w14:paraId="4697A7F1" w14:textId="6A6F99EC" w:rsidR="001436AC" w:rsidRPr="002E6D21" w:rsidRDefault="0000409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Business impact and outcomes</w:t>
            </w:r>
          </w:p>
        </w:tc>
        <w:tc>
          <w:tcPr>
            <w:tcW w:w="2254" w:type="dxa"/>
          </w:tcPr>
          <w:p w14:paraId="4312AB3B" w14:textId="5EEC2D81" w:rsidR="001436AC" w:rsidRPr="002E6D21" w:rsidRDefault="0000409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Reports and presentations</w:t>
            </w:r>
          </w:p>
        </w:tc>
        <w:tc>
          <w:tcPr>
            <w:tcW w:w="2254" w:type="dxa"/>
          </w:tcPr>
          <w:p w14:paraId="3E3FD8BD" w14:textId="7F722D99" w:rsidR="001436AC" w:rsidRPr="002E6D21" w:rsidRDefault="0000409E"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Quarterly</w:t>
            </w:r>
          </w:p>
        </w:tc>
      </w:tr>
    </w:tbl>
    <w:p w14:paraId="4AD9B38A" w14:textId="77777777" w:rsidR="00264565" w:rsidRPr="002E6D21" w:rsidRDefault="00264565" w:rsidP="00422685">
      <w:pPr>
        <w:spacing w:line="360" w:lineRule="auto"/>
        <w:jc w:val="both"/>
        <w:rPr>
          <w:rFonts w:ascii="Times New Roman" w:hAnsi="Times New Roman" w:cs="Times New Roman"/>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Author's analysis based on Kerzner (2022) and the ConnectPlus project requirements.</w:t>
      </w:r>
    </w:p>
    <w:p w14:paraId="1CC99831" w14:textId="782072CE" w:rsidR="00264565" w:rsidRPr="002E6D21" w:rsidRDefault="00264565"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 xml:space="preserve">Although reports allow information to be distributed efficiently, Christopher, Payne and Ballantyne (2013) argue that direct interaction often produces stronger engagement because stakeholders can ask questions and provide feedback. For this reason, ConnectPlus will combine formal reporting with workshops, </w:t>
      </w:r>
      <w:r w:rsidR="005356C3" w:rsidRPr="002E6D21">
        <w:rPr>
          <w:rFonts w:ascii="Times New Roman" w:hAnsi="Times New Roman" w:cs="Times New Roman"/>
          <w:sz w:val="24"/>
          <w:szCs w:val="24"/>
        </w:rPr>
        <w:t>meetings,</w:t>
      </w:r>
      <w:r w:rsidRPr="002E6D21">
        <w:rPr>
          <w:rFonts w:ascii="Times New Roman" w:hAnsi="Times New Roman" w:cs="Times New Roman"/>
          <w:sz w:val="24"/>
          <w:szCs w:val="24"/>
        </w:rPr>
        <w:t xml:space="preserve"> and customer communications rather than relying on a single communication channel.</w:t>
      </w:r>
    </w:p>
    <w:p w14:paraId="67E3A1A2" w14:textId="77777777" w:rsidR="00816882" w:rsidRPr="002E6D21" w:rsidRDefault="00816882"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5.2 Consultation</w:t>
      </w:r>
    </w:p>
    <w:p w14:paraId="22BCB96B" w14:textId="77777777" w:rsidR="00816882" w:rsidRPr="002E6D21" w:rsidRDefault="00816882"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Consultation helps ensure that stakeholder views are considered before key decisions are made. Freeman (1984) argues that stakeholders are more likely to support project outcomes when they have opportunities to influence decisions affecting them. Mitchell, Agle and Wood (1997) further suggest that stakeholder legitimacy should be considered alongside power when determining whose views should be included. This is particularly relevant to ConnectPlus because customers have limited formal authority but are directly affected by decisions relating to AI-driven personalisation and data management.</w:t>
      </w:r>
    </w:p>
    <w:p w14:paraId="3D21F11F" w14:textId="5CDFF76E" w:rsidR="00816882" w:rsidRPr="002E6D21" w:rsidRDefault="00816882"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Before finalising platform features, I will conduct customer surveys, focus groups and stakeholder workshops involving legal specialists, cybersecurity teams, marketing </w:t>
      </w:r>
      <w:r w:rsidR="005356C3" w:rsidRPr="002E6D21">
        <w:rPr>
          <w:rFonts w:ascii="Times New Roman" w:hAnsi="Times New Roman" w:cs="Times New Roman"/>
          <w:sz w:val="24"/>
          <w:szCs w:val="24"/>
        </w:rPr>
        <w:t>staff,</w:t>
      </w:r>
      <w:r w:rsidRPr="002E6D21">
        <w:rPr>
          <w:rFonts w:ascii="Times New Roman" w:hAnsi="Times New Roman" w:cs="Times New Roman"/>
          <w:sz w:val="24"/>
          <w:szCs w:val="24"/>
        </w:rPr>
        <w:t xml:space="preserve"> and customer service representatives. Greenwood and Freeman (2024) argue that stakeholder involvement can strengthen trust and improve stakeholder relationships, while Harrison, Freeman and Abreu (2023) suggest that consultation can improve decision quality by incorporating different perspectives. However, Aaltonen and Kujala (2010) warn that excessive consultation can slow decision-making and create unrealistic expectations. Therefore, consultation should inform decisions rather than replace managerial responsibility.</w:t>
      </w:r>
    </w:p>
    <w:p w14:paraId="5A2C1564" w14:textId="21BF684D" w:rsidR="00816882" w:rsidRPr="002E6D21" w:rsidRDefault="00816882"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To strengthen consultation, I will also apply the SWANS and OWANS frameworks. Bourne (2015) argues that stakeholder analysis should consider aspirations and expectations as well as concerns and risks. Unlike SWOT analysis, which focuses </w:t>
      </w:r>
      <w:r w:rsidR="007B674C" w:rsidRPr="002E6D21">
        <w:rPr>
          <w:rFonts w:ascii="Times New Roman" w:hAnsi="Times New Roman" w:cs="Times New Roman"/>
          <w:sz w:val="24"/>
          <w:szCs w:val="24"/>
        </w:rPr>
        <w:t>on</w:t>
      </w:r>
      <w:r w:rsidRPr="002E6D21">
        <w:rPr>
          <w:rFonts w:ascii="Times New Roman" w:hAnsi="Times New Roman" w:cs="Times New Roman"/>
          <w:sz w:val="24"/>
          <w:szCs w:val="24"/>
        </w:rPr>
        <w:t xml:space="preserve"> organisational strengths and weaknesses, SWANS and OWANS place greater emphasis on stakeholder concerns, </w:t>
      </w:r>
      <w:r w:rsidR="005356C3" w:rsidRPr="002E6D21">
        <w:rPr>
          <w:rFonts w:ascii="Times New Roman" w:hAnsi="Times New Roman" w:cs="Times New Roman"/>
          <w:sz w:val="24"/>
          <w:szCs w:val="24"/>
        </w:rPr>
        <w:t>aspirations,</w:t>
      </w:r>
      <w:r w:rsidRPr="002E6D21">
        <w:rPr>
          <w:rFonts w:ascii="Times New Roman" w:hAnsi="Times New Roman" w:cs="Times New Roman"/>
          <w:sz w:val="24"/>
          <w:szCs w:val="24"/>
        </w:rPr>
        <w:t xml:space="preserve"> and needs. This makes them particularly suitable for ConnectPlus because customer attitudes towards privacy, AI recommendations and personalisation may vary across different markets. As Project Manager, I believe these frameworks will help identify stakeholder concerns early and reduce the likelihood of future conflict.</w:t>
      </w:r>
    </w:p>
    <w:p w14:paraId="75BFBBEA" w14:textId="77777777" w:rsidR="005C56EC" w:rsidRDefault="005C56EC" w:rsidP="00422685">
      <w:pPr>
        <w:spacing w:line="360" w:lineRule="auto"/>
        <w:jc w:val="both"/>
        <w:rPr>
          <w:rFonts w:ascii="Times New Roman" w:hAnsi="Times New Roman" w:cs="Times New Roman"/>
          <w:b/>
          <w:bCs/>
          <w:sz w:val="24"/>
          <w:szCs w:val="24"/>
        </w:rPr>
      </w:pPr>
    </w:p>
    <w:p w14:paraId="203A50F1" w14:textId="77777777" w:rsidR="005C56EC" w:rsidRDefault="005C56EC" w:rsidP="00422685">
      <w:pPr>
        <w:spacing w:line="360" w:lineRule="auto"/>
        <w:jc w:val="both"/>
        <w:rPr>
          <w:rFonts w:ascii="Times New Roman" w:hAnsi="Times New Roman" w:cs="Times New Roman"/>
          <w:b/>
          <w:bCs/>
          <w:sz w:val="24"/>
          <w:szCs w:val="24"/>
        </w:rPr>
      </w:pPr>
    </w:p>
    <w:p w14:paraId="683D8314" w14:textId="5798E948" w:rsidR="00816882" w:rsidRPr="002E6D21" w:rsidRDefault="00816882"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5.3 Collaboration</w:t>
      </w:r>
    </w:p>
    <w:p w14:paraId="4CE2A140" w14:textId="1A72FD78" w:rsidR="00816882" w:rsidRPr="002E6D21" w:rsidRDefault="00816882"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Collaboration is essential because ConnectPlus combines technical, </w:t>
      </w:r>
      <w:r w:rsidR="005356C3" w:rsidRPr="002E6D21">
        <w:rPr>
          <w:rFonts w:ascii="Times New Roman" w:hAnsi="Times New Roman" w:cs="Times New Roman"/>
          <w:sz w:val="24"/>
          <w:szCs w:val="24"/>
        </w:rPr>
        <w:t>commercial,</w:t>
      </w:r>
      <w:r w:rsidRPr="002E6D21">
        <w:rPr>
          <w:rFonts w:ascii="Times New Roman" w:hAnsi="Times New Roman" w:cs="Times New Roman"/>
          <w:sz w:val="24"/>
          <w:szCs w:val="24"/>
        </w:rPr>
        <w:t xml:space="preserve"> and regulatory requirements. Burtonshaw-Gunn (2008) argues that poor collaboration is a common cause of project delays and misunderstandings, while Kerzner (2022) suggests that successful projects depend on cooperation between stakeholders with different responsibilities. To encourage collaboration, I will establish cross-functional working groups, planning meetings and project review sessions throughout implementation.</w:t>
      </w:r>
      <w:r w:rsidR="009A7CD7" w:rsidRPr="002E6D21">
        <w:rPr>
          <w:rFonts w:ascii="Times New Roman" w:hAnsi="Times New Roman" w:cs="Times New Roman"/>
          <w:sz w:val="24"/>
          <w:szCs w:val="24"/>
        </w:rPr>
        <w:t xml:space="preserve"> </w:t>
      </w:r>
      <w:r w:rsidRPr="002E6D21">
        <w:rPr>
          <w:rFonts w:ascii="Times New Roman" w:hAnsi="Times New Roman" w:cs="Times New Roman"/>
          <w:sz w:val="24"/>
          <w:szCs w:val="24"/>
        </w:rPr>
        <w:t>Different stakeholders require different levels of engagement during the project lifecycle.</w:t>
      </w:r>
    </w:p>
    <w:p w14:paraId="6F033283" w14:textId="4FBE6E64" w:rsidR="0046131B" w:rsidRPr="002E6D21" w:rsidRDefault="0046131B"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Table 4: Stakeholder Engagement Levels</w:t>
      </w:r>
    </w:p>
    <w:tbl>
      <w:tblPr>
        <w:tblStyle w:val="TableGrid"/>
        <w:tblW w:w="0" w:type="auto"/>
        <w:tblLook w:val="04A0" w:firstRow="1" w:lastRow="0" w:firstColumn="1" w:lastColumn="0" w:noHBand="0" w:noVBand="1"/>
      </w:tblPr>
      <w:tblGrid>
        <w:gridCol w:w="4508"/>
        <w:gridCol w:w="4508"/>
      </w:tblGrid>
      <w:tr w:rsidR="004A48B0" w:rsidRPr="002E6D21" w14:paraId="1AE545C1" w14:textId="77777777" w:rsidTr="004A48B0">
        <w:tc>
          <w:tcPr>
            <w:tcW w:w="4508" w:type="dxa"/>
          </w:tcPr>
          <w:p w14:paraId="18862CCF" w14:textId="769B309D" w:rsidR="004A48B0" w:rsidRPr="002E6D21" w:rsidRDefault="008F0CB5" w:rsidP="00430B6C">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STAKEHOLDER</w:t>
            </w:r>
          </w:p>
        </w:tc>
        <w:tc>
          <w:tcPr>
            <w:tcW w:w="4508" w:type="dxa"/>
          </w:tcPr>
          <w:p w14:paraId="6E71B2CD" w14:textId="67DDD672" w:rsidR="004A48B0" w:rsidRPr="002E6D21" w:rsidRDefault="008F0CB5" w:rsidP="00430B6C">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ENGAGEMENT LEVEL</w:t>
            </w:r>
          </w:p>
        </w:tc>
      </w:tr>
      <w:tr w:rsidR="004A48B0" w:rsidRPr="002E6D21" w14:paraId="778BCC99" w14:textId="77777777" w:rsidTr="004A48B0">
        <w:tc>
          <w:tcPr>
            <w:tcW w:w="4508" w:type="dxa"/>
          </w:tcPr>
          <w:p w14:paraId="68B1CA83" w14:textId="66189D6D"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Executive Leadership</w:t>
            </w:r>
          </w:p>
        </w:tc>
        <w:tc>
          <w:tcPr>
            <w:tcW w:w="4508" w:type="dxa"/>
          </w:tcPr>
          <w:p w14:paraId="07B2F5C9" w14:textId="1CF017DB"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Collaborate</w:t>
            </w:r>
          </w:p>
        </w:tc>
      </w:tr>
      <w:tr w:rsidR="004A48B0" w:rsidRPr="002E6D21" w14:paraId="7F69822A" w14:textId="77777777" w:rsidTr="004A48B0">
        <w:tc>
          <w:tcPr>
            <w:tcW w:w="4508" w:type="dxa"/>
          </w:tcPr>
          <w:p w14:paraId="49350CB5" w14:textId="6DEDC79D"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Project Sponsor</w:t>
            </w:r>
          </w:p>
        </w:tc>
        <w:tc>
          <w:tcPr>
            <w:tcW w:w="4508" w:type="dxa"/>
          </w:tcPr>
          <w:p w14:paraId="133550CD" w14:textId="10BB5D0B"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Collaborate</w:t>
            </w:r>
          </w:p>
        </w:tc>
      </w:tr>
      <w:tr w:rsidR="004A48B0" w:rsidRPr="002E6D21" w14:paraId="5B1C600C" w14:textId="77777777" w:rsidTr="004A48B0">
        <w:tc>
          <w:tcPr>
            <w:tcW w:w="4508" w:type="dxa"/>
          </w:tcPr>
          <w:p w14:paraId="0DB38038" w14:textId="0C579D16"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Developers &amp; Data Teams</w:t>
            </w:r>
          </w:p>
        </w:tc>
        <w:tc>
          <w:tcPr>
            <w:tcW w:w="4508" w:type="dxa"/>
          </w:tcPr>
          <w:p w14:paraId="3A4A9AAB" w14:textId="61C68A82"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Involve</w:t>
            </w:r>
          </w:p>
        </w:tc>
      </w:tr>
      <w:tr w:rsidR="004A48B0" w:rsidRPr="002E6D21" w14:paraId="496FB72A" w14:textId="77777777" w:rsidTr="004A48B0">
        <w:tc>
          <w:tcPr>
            <w:tcW w:w="4508" w:type="dxa"/>
          </w:tcPr>
          <w:p w14:paraId="6A9D8299" w14:textId="5BEEEAE8"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Customers</w:t>
            </w:r>
          </w:p>
        </w:tc>
        <w:tc>
          <w:tcPr>
            <w:tcW w:w="4508" w:type="dxa"/>
          </w:tcPr>
          <w:p w14:paraId="37A82A68" w14:textId="60911516"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Consult</w:t>
            </w:r>
          </w:p>
        </w:tc>
      </w:tr>
      <w:tr w:rsidR="004A48B0" w:rsidRPr="002E6D21" w14:paraId="563C1AB6" w14:textId="77777777" w:rsidTr="004A48B0">
        <w:tc>
          <w:tcPr>
            <w:tcW w:w="4508" w:type="dxa"/>
          </w:tcPr>
          <w:p w14:paraId="5DD2A8DD" w14:textId="577DAAC3"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Regulators</w:t>
            </w:r>
          </w:p>
        </w:tc>
        <w:tc>
          <w:tcPr>
            <w:tcW w:w="4508" w:type="dxa"/>
          </w:tcPr>
          <w:p w14:paraId="75A5019F" w14:textId="5475D969" w:rsidR="004A48B0" w:rsidRPr="00D637B5" w:rsidRDefault="008F0CB5"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Consult</w:t>
            </w:r>
          </w:p>
        </w:tc>
      </w:tr>
      <w:tr w:rsidR="008F0CB5" w:rsidRPr="002E6D21" w14:paraId="3357F33D" w14:textId="77777777" w:rsidTr="004A48B0">
        <w:tc>
          <w:tcPr>
            <w:tcW w:w="4508" w:type="dxa"/>
          </w:tcPr>
          <w:p w14:paraId="2531ED9B" w14:textId="654DE421" w:rsidR="008F0CB5" w:rsidRPr="00D637B5" w:rsidRDefault="00DC6AF8"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Investors</w:t>
            </w:r>
          </w:p>
        </w:tc>
        <w:tc>
          <w:tcPr>
            <w:tcW w:w="4508" w:type="dxa"/>
          </w:tcPr>
          <w:p w14:paraId="07751FF7" w14:textId="32BAE0A7" w:rsidR="008F0CB5" w:rsidRPr="00D637B5" w:rsidRDefault="00DC6AF8"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Keep Satisfied</w:t>
            </w:r>
          </w:p>
        </w:tc>
      </w:tr>
      <w:tr w:rsidR="008F0CB5" w:rsidRPr="002E6D21" w14:paraId="396D35C6" w14:textId="77777777" w:rsidTr="004A48B0">
        <w:tc>
          <w:tcPr>
            <w:tcW w:w="4508" w:type="dxa"/>
          </w:tcPr>
          <w:p w14:paraId="155463C8" w14:textId="56A8F440" w:rsidR="008F0CB5" w:rsidRPr="00D637B5" w:rsidRDefault="00DC6AF8"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Media &amp; Consumer Groups</w:t>
            </w:r>
          </w:p>
        </w:tc>
        <w:tc>
          <w:tcPr>
            <w:tcW w:w="4508" w:type="dxa"/>
          </w:tcPr>
          <w:p w14:paraId="6184A9A6" w14:textId="0824BE3A" w:rsidR="008F0CB5" w:rsidRPr="00D637B5" w:rsidRDefault="00DC6AF8" w:rsidP="00430B6C">
            <w:pPr>
              <w:spacing w:line="360" w:lineRule="auto"/>
              <w:jc w:val="center"/>
              <w:rPr>
                <w:rFonts w:ascii="Times New Roman" w:hAnsi="Times New Roman" w:cs="Times New Roman"/>
                <w:sz w:val="24"/>
                <w:szCs w:val="24"/>
              </w:rPr>
            </w:pPr>
            <w:r w:rsidRPr="00D637B5">
              <w:rPr>
                <w:rFonts w:ascii="Times New Roman" w:hAnsi="Times New Roman" w:cs="Times New Roman"/>
                <w:sz w:val="24"/>
                <w:szCs w:val="24"/>
              </w:rPr>
              <w:t>Monitor</w:t>
            </w:r>
          </w:p>
        </w:tc>
      </w:tr>
    </w:tbl>
    <w:p w14:paraId="601E5FDE" w14:textId="52066B75" w:rsidR="00F555AA" w:rsidRPr="002E6D21" w:rsidRDefault="00F555AA" w:rsidP="00422685">
      <w:pPr>
        <w:spacing w:line="360" w:lineRule="auto"/>
        <w:jc w:val="both"/>
        <w:rPr>
          <w:rFonts w:ascii="Times New Roman" w:hAnsi="Times New Roman" w:cs="Times New Roman"/>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 xml:space="preserve">Author's analysis based on Johnson, </w:t>
      </w:r>
      <w:r w:rsidR="005356C3" w:rsidRPr="002E6D21">
        <w:rPr>
          <w:rFonts w:ascii="Times New Roman" w:hAnsi="Times New Roman" w:cs="Times New Roman"/>
          <w:sz w:val="24"/>
          <w:szCs w:val="24"/>
        </w:rPr>
        <w:t>Whittington,</w:t>
      </w:r>
      <w:r w:rsidRPr="002E6D21">
        <w:rPr>
          <w:rFonts w:ascii="Times New Roman" w:hAnsi="Times New Roman" w:cs="Times New Roman"/>
          <w:sz w:val="24"/>
          <w:szCs w:val="24"/>
        </w:rPr>
        <w:t xml:space="preserve"> and Scholes (2020).</w:t>
      </w:r>
    </w:p>
    <w:p w14:paraId="1119A0CB" w14:textId="77777777" w:rsidR="00DC6AF8" w:rsidRPr="002E6D21" w:rsidRDefault="00DC6AF8" w:rsidP="00422685">
      <w:pPr>
        <w:spacing w:line="360" w:lineRule="auto"/>
        <w:jc w:val="both"/>
        <w:rPr>
          <w:rFonts w:ascii="Times New Roman" w:hAnsi="Times New Roman" w:cs="Times New Roman"/>
          <w:b/>
          <w:bCs/>
          <w:sz w:val="24"/>
          <w:szCs w:val="24"/>
        </w:rPr>
      </w:pPr>
    </w:p>
    <w:p w14:paraId="0850AAB5" w14:textId="6B6DB001" w:rsidR="00F555AA" w:rsidRPr="002E6D21" w:rsidRDefault="00F555A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Compared with isolated departmental working, collaboration encourages knowledge sharing and earlier identification of project risks. Harrison, </w:t>
      </w:r>
      <w:r w:rsidR="005356C3"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argue that stakeholder participation can improve organisational outcomes because it introduces a wider range of perspectives. However, involving too many stakeholders in every decision can reduce efficiency. For this reason, engagement levels will vary depending on stakeholder influence and project relevance.</w:t>
      </w:r>
    </w:p>
    <w:p w14:paraId="19B19A2D" w14:textId="77777777" w:rsidR="00F555AA" w:rsidRPr="002E6D21" w:rsidRDefault="00F555AA"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5.4 Commitment</w:t>
      </w:r>
    </w:p>
    <w:p w14:paraId="4D748192" w14:textId="1B423F97" w:rsidR="00F555AA" w:rsidRPr="002E6D21" w:rsidRDefault="00F555A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Commitment focuses on creating shared ownership of project objectives. Johnson, </w:t>
      </w:r>
      <w:r w:rsidR="005356C3" w:rsidRPr="002E6D21">
        <w:rPr>
          <w:rFonts w:ascii="Times New Roman" w:hAnsi="Times New Roman" w:cs="Times New Roman"/>
          <w:sz w:val="24"/>
          <w:szCs w:val="24"/>
        </w:rPr>
        <w:t>Whittington,</w:t>
      </w:r>
      <w:r w:rsidRPr="002E6D21">
        <w:rPr>
          <w:rFonts w:ascii="Times New Roman" w:hAnsi="Times New Roman" w:cs="Times New Roman"/>
          <w:sz w:val="24"/>
          <w:szCs w:val="24"/>
        </w:rPr>
        <w:t xml:space="preserve"> and Scholes (2020) argue that stakeholder conflict often develops when responsibilities and expectations are unclear. Similarly, Donaldson and Preston (1995) suggest that stakeholder relationships improve when stakeholders understand how decisions are made and how their interests are considered.</w:t>
      </w:r>
    </w:p>
    <w:p w14:paraId="099B93FC" w14:textId="789EB896" w:rsidR="00F555AA" w:rsidRPr="002E6D21" w:rsidRDefault="00F555AA"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 xml:space="preserve">To strengthen commitment, I will organise a project kick-off meeting where stakeholders agree success measures, </w:t>
      </w:r>
      <w:r w:rsidR="005356C3" w:rsidRPr="002E6D21">
        <w:rPr>
          <w:rFonts w:ascii="Times New Roman" w:hAnsi="Times New Roman" w:cs="Times New Roman"/>
          <w:sz w:val="24"/>
          <w:szCs w:val="24"/>
        </w:rPr>
        <w:t>objectives,</w:t>
      </w:r>
      <w:r w:rsidRPr="002E6D21">
        <w:rPr>
          <w:rFonts w:ascii="Times New Roman" w:hAnsi="Times New Roman" w:cs="Times New Roman"/>
          <w:sz w:val="24"/>
          <w:szCs w:val="24"/>
        </w:rPr>
        <w:t xml:space="preserve"> and responsibilities. I will also implement a RACI matrix to ensure accountability across key activities.</w:t>
      </w:r>
    </w:p>
    <w:p w14:paraId="3088EB23" w14:textId="77777777" w:rsidR="00F555AA" w:rsidRPr="002E6D21" w:rsidRDefault="00F555AA"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Table 5: RACI Matrix for ConnectPlus</w:t>
      </w:r>
    </w:p>
    <w:tbl>
      <w:tblPr>
        <w:tblStyle w:val="TableGrid"/>
        <w:tblW w:w="0" w:type="auto"/>
        <w:tblLook w:val="04A0" w:firstRow="1" w:lastRow="0" w:firstColumn="1" w:lastColumn="0" w:noHBand="0" w:noVBand="1"/>
      </w:tblPr>
      <w:tblGrid>
        <w:gridCol w:w="1563"/>
        <w:gridCol w:w="1484"/>
        <w:gridCol w:w="1361"/>
        <w:gridCol w:w="975"/>
        <w:gridCol w:w="1750"/>
        <w:gridCol w:w="1883"/>
      </w:tblGrid>
      <w:tr w:rsidR="003C3D45" w:rsidRPr="002E6D21" w14:paraId="30F68EDC" w14:textId="77777777" w:rsidTr="003C3D45">
        <w:tc>
          <w:tcPr>
            <w:tcW w:w="1502" w:type="dxa"/>
          </w:tcPr>
          <w:p w14:paraId="2DD4BA36" w14:textId="1A6DA706"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ACTIVITY</w:t>
            </w:r>
          </w:p>
        </w:tc>
        <w:tc>
          <w:tcPr>
            <w:tcW w:w="1502" w:type="dxa"/>
          </w:tcPr>
          <w:p w14:paraId="54F8796A" w14:textId="4CE05FE6"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PROJECT MANAGER</w:t>
            </w:r>
          </w:p>
        </w:tc>
        <w:tc>
          <w:tcPr>
            <w:tcW w:w="1503" w:type="dxa"/>
          </w:tcPr>
          <w:p w14:paraId="5B56C281" w14:textId="2A04C56E"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SPONSOR</w:t>
            </w:r>
          </w:p>
        </w:tc>
        <w:tc>
          <w:tcPr>
            <w:tcW w:w="1503" w:type="dxa"/>
          </w:tcPr>
          <w:p w14:paraId="2A70B764" w14:textId="1980B552"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IT TEAM</w:t>
            </w:r>
          </w:p>
        </w:tc>
        <w:tc>
          <w:tcPr>
            <w:tcW w:w="1503" w:type="dxa"/>
          </w:tcPr>
          <w:p w14:paraId="413839B7" w14:textId="09C80BBB"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MARKETING</w:t>
            </w:r>
          </w:p>
        </w:tc>
        <w:tc>
          <w:tcPr>
            <w:tcW w:w="1503" w:type="dxa"/>
          </w:tcPr>
          <w:p w14:paraId="250AF8C6" w14:textId="4557134C" w:rsidR="003C3D45" w:rsidRPr="002E6D21" w:rsidRDefault="00CA2B7C" w:rsidP="00452E16">
            <w:pPr>
              <w:spacing w:line="360" w:lineRule="auto"/>
              <w:jc w:val="center"/>
              <w:rPr>
                <w:rFonts w:ascii="Times New Roman" w:hAnsi="Times New Roman" w:cs="Times New Roman"/>
                <w:b/>
                <w:bCs/>
                <w:sz w:val="24"/>
                <w:szCs w:val="24"/>
              </w:rPr>
            </w:pPr>
            <w:r w:rsidRPr="002E6D21">
              <w:rPr>
                <w:rFonts w:ascii="Times New Roman" w:hAnsi="Times New Roman" w:cs="Times New Roman"/>
                <w:b/>
                <w:bCs/>
                <w:sz w:val="24"/>
                <w:szCs w:val="24"/>
              </w:rPr>
              <w:t>COMPLIANCE</w:t>
            </w:r>
          </w:p>
        </w:tc>
      </w:tr>
      <w:tr w:rsidR="003C3D45" w:rsidRPr="002E6D21" w14:paraId="1C6D2C9C" w14:textId="77777777" w:rsidTr="003C3D45">
        <w:tc>
          <w:tcPr>
            <w:tcW w:w="1502" w:type="dxa"/>
          </w:tcPr>
          <w:p w14:paraId="7DD359F8" w14:textId="56F0AA6A" w:rsidR="003C3D45" w:rsidRPr="00452E16" w:rsidRDefault="00CA2B7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Platform Development</w:t>
            </w:r>
          </w:p>
        </w:tc>
        <w:tc>
          <w:tcPr>
            <w:tcW w:w="1502" w:type="dxa"/>
          </w:tcPr>
          <w:p w14:paraId="302F8D4F" w14:textId="333480F7"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A</w:t>
            </w:r>
          </w:p>
        </w:tc>
        <w:tc>
          <w:tcPr>
            <w:tcW w:w="1503" w:type="dxa"/>
          </w:tcPr>
          <w:p w14:paraId="2B4CE040" w14:textId="0044569B"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3F43B4D7" w14:textId="58BB27BD"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R</w:t>
            </w:r>
          </w:p>
        </w:tc>
        <w:tc>
          <w:tcPr>
            <w:tcW w:w="1503" w:type="dxa"/>
          </w:tcPr>
          <w:p w14:paraId="237D81C9" w14:textId="1EF056AE"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20E8C228" w14:textId="6442E9E0"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C</w:t>
            </w:r>
          </w:p>
        </w:tc>
      </w:tr>
      <w:tr w:rsidR="003C3D45" w:rsidRPr="002E6D21" w14:paraId="0AF6CEF5" w14:textId="77777777" w:rsidTr="003C3D45">
        <w:tc>
          <w:tcPr>
            <w:tcW w:w="1502" w:type="dxa"/>
          </w:tcPr>
          <w:p w14:paraId="2355195E" w14:textId="30C54D66" w:rsidR="003C3D45" w:rsidRPr="00452E16" w:rsidRDefault="00CA2B7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Security Testing</w:t>
            </w:r>
          </w:p>
        </w:tc>
        <w:tc>
          <w:tcPr>
            <w:tcW w:w="1502" w:type="dxa"/>
          </w:tcPr>
          <w:p w14:paraId="12BAE393" w14:textId="76132411"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C</w:t>
            </w:r>
          </w:p>
        </w:tc>
        <w:tc>
          <w:tcPr>
            <w:tcW w:w="1503" w:type="dxa"/>
          </w:tcPr>
          <w:p w14:paraId="26B92943" w14:textId="575B9D61"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2870C549" w14:textId="70B18028"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R</w:t>
            </w:r>
          </w:p>
        </w:tc>
        <w:tc>
          <w:tcPr>
            <w:tcW w:w="1503" w:type="dxa"/>
          </w:tcPr>
          <w:p w14:paraId="094D421D" w14:textId="648E6A47"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73EDF5AC" w14:textId="6539FDA9" w:rsidR="003C3D45" w:rsidRPr="00430B6C" w:rsidRDefault="00C402B8"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A</w:t>
            </w:r>
          </w:p>
        </w:tc>
      </w:tr>
      <w:tr w:rsidR="003C3D45" w:rsidRPr="002E6D21" w14:paraId="60BE6462" w14:textId="77777777" w:rsidTr="003C3D45">
        <w:tc>
          <w:tcPr>
            <w:tcW w:w="1502" w:type="dxa"/>
          </w:tcPr>
          <w:p w14:paraId="396E5011" w14:textId="7A1C35ED" w:rsidR="003C3D45" w:rsidRPr="00452E16" w:rsidRDefault="00CA2B7C"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Marketing</w:t>
            </w:r>
            <w:r w:rsidR="00C402B8" w:rsidRPr="00452E16">
              <w:rPr>
                <w:rFonts w:ascii="Times New Roman" w:hAnsi="Times New Roman" w:cs="Times New Roman"/>
                <w:b/>
                <w:bCs/>
                <w:sz w:val="24"/>
                <w:szCs w:val="24"/>
              </w:rPr>
              <w:t xml:space="preserve"> Launch</w:t>
            </w:r>
          </w:p>
        </w:tc>
        <w:tc>
          <w:tcPr>
            <w:tcW w:w="1502" w:type="dxa"/>
          </w:tcPr>
          <w:p w14:paraId="58026574" w14:textId="7CC52A03"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6EFB05B4" w14:textId="32E9AB54"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2F16C02E" w14:textId="495E8145"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C</w:t>
            </w:r>
          </w:p>
        </w:tc>
        <w:tc>
          <w:tcPr>
            <w:tcW w:w="1503" w:type="dxa"/>
          </w:tcPr>
          <w:p w14:paraId="16D76CDF" w14:textId="4992000B"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R</w:t>
            </w:r>
          </w:p>
        </w:tc>
        <w:tc>
          <w:tcPr>
            <w:tcW w:w="1503" w:type="dxa"/>
          </w:tcPr>
          <w:p w14:paraId="6178576A" w14:textId="011886E2"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C</w:t>
            </w:r>
          </w:p>
        </w:tc>
      </w:tr>
      <w:tr w:rsidR="003C3D45" w:rsidRPr="002E6D21" w14:paraId="6D2D8593" w14:textId="77777777" w:rsidTr="003C3D45">
        <w:tc>
          <w:tcPr>
            <w:tcW w:w="1502" w:type="dxa"/>
          </w:tcPr>
          <w:p w14:paraId="031DEC81" w14:textId="4EF8A090" w:rsidR="003C3D45" w:rsidRPr="00452E16" w:rsidRDefault="00C402B8" w:rsidP="00422685">
            <w:pPr>
              <w:spacing w:line="360" w:lineRule="auto"/>
              <w:jc w:val="both"/>
              <w:rPr>
                <w:rFonts w:ascii="Times New Roman" w:hAnsi="Times New Roman" w:cs="Times New Roman"/>
                <w:b/>
                <w:bCs/>
                <w:sz w:val="24"/>
                <w:szCs w:val="24"/>
              </w:rPr>
            </w:pPr>
            <w:r w:rsidRPr="00452E16">
              <w:rPr>
                <w:rFonts w:ascii="Times New Roman" w:hAnsi="Times New Roman" w:cs="Times New Roman"/>
                <w:b/>
                <w:bCs/>
                <w:sz w:val="24"/>
                <w:szCs w:val="24"/>
              </w:rPr>
              <w:t>Regulatory Review</w:t>
            </w:r>
          </w:p>
        </w:tc>
        <w:tc>
          <w:tcPr>
            <w:tcW w:w="1502" w:type="dxa"/>
          </w:tcPr>
          <w:p w14:paraId="2E06CFBB" w14:textId="24FB3A42"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C</w:t>
            </w:r>
          </w:p>
        </w:tc>
        <w:tc>
          <w:tcPr>
            <w:tcW w:w="1503" w:type="dxa"/>
          </w:tcPr>
          <w:p w14:paraId="565BFB9F" w14:textId="54F6CB9F"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21D0E692" w14:textId="1AEE6958"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662A206A" w14:textId="474C1735"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I</w:t>
            </w:r>
          </w:p>
        </w:tc>
        <w:tc>
          <w:tcPr>
            <w:tcW w:w="1503" w:type="dxa"/>
          </w:tcPr>
          <w:p w14:paraId="792A773E" w14:textId="4D23159C" w:rsidR="003C3D45" w:rsidRPr="00430B6C" w:rsidRDefault="000B6945" w:rsidP="00452E16">
            <w:pPr>
              <w:spacing w:line="360" w:lineRule="auto"/>
              <w:jc w:val="center"/>
              <w:rPr>
                <w:rFonts w:ascii="Times New Roman" w:hAnsi="Times New Roman" w:cs="Times New Roman"/>
                <w:b/>
                <w:bCs/>
                <w:color w:val="215E99" w:themeColor="text2" w:themeTint="BF"/>
                <w:sz w:val="24"/>
                <w:szCs w:val="24"/>
              </w:rPr>
            </w:pPr>
            <w:r w:rsidRPr="00430B6C">
              <w:rPr>
                <w:rFonts w:ascii="Times New Roman" w:hAnsi="Times New Roman" w:cs="Times New Roman"/>
                <w:b/>
                <w:bCs/>
                <w:color w:val="215E99" w:themeColor="text2" w:themeTint="BF"/>
                <w:sz w:val="24"/>
                <w:szCs w:val="24"/>
              </w:rPr>
              <w:t>R</w:t>
            </w:r>
          </w:p>
        </w:tc>
      </w:tr>
    </w:tbl>
    <w:p w14:paraId="0E6BEEFC" w14:textId="33C8F8EF" w:rsidR="00E53259" w:rsidRPr="002E6D21" w:rsidRDefault="000B6945"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R= Responsible</w:t>
      </w:r>
      <w:r w:rsidR="00343ADC" w:rsidRPr="002E6D21">
        <w:rPr>
          <w:rFonts w:ascii="Times New Roman" w:hAnsi="Times New Roman" w:cs="Times New Roman"/>
          <w:b/>
          <w:bCs/>
          <w:sz w:val="24"/>
          <w:szCs w:val="24"/>
        </w:rPr>
        <w:t xml:space="preserve"> | A = Accountable | C = Consulted | I = </w:t>
      </w:r>
      <w:r w:rsidR="008E1500" w:rsidRPr="002E6D21">
        <w:rPr>
          <w:rFonts w:ascii="Times New Roman" w:hAnsi="Times New Roman" w:cs="Times New Roman"/>
          <w:b/>
          <w:bCs/>
          <w:sz w:val="24"/>
          <w:szCs w:val="24"/>
        </w:rPr>
        <w:t>Informed</w:t>
      </w:r>
    </w:p>
    <w:p w14:paraId="7AF96C22" w14:textId="19D4A934" w:rsidR="0088031F" w:rsidRPr="002E6D21" w:rsidRDefault="0088031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 xml:space="preserve">Source: </w:t>
      </w:r>
      <w:r w:rsidRPr="002E6D21">
        <w:rPr>
          <w:rFonts w:ascii="Times New Roman" w:hAnsi="Times New Roman" w:cs="Times New Roman"/>
          <w:sz w:val="24"/>
          <w:szCs w:val="24"/>
        </w:rPr>
        <w:t>Adapted from Burtonshaw-Gunn (2008).</w:t>
      </w:r>
    </w:p>
    <w:p w14:paraId="509D6FA5" w14:textId="51A5B388" w:rsidR="004A669E" w:rsidRPr="002E6D21" w:rsidRDefault="006E782E" w:rsidP="00422685">
      <w:pPr>
        <w:spacing w:line="360" w:lineRule="auto"/>
        <w:jc w:val="both"/>
        <w:rPr>
          <w:rFonts w:ascii="Times New Roman" w:hAnsi="Times New Roman" w:cs="Times New Roman"/>
          <w:sz w:val="24"/>
          <w:szCs w:val="24"/>
        </w:rPr>
      </w:pPr>
      <w:r>
        <w:rPr>
          <w:rFonts w:ascii="Times New Roman" w:hAnsi="Times New Roman" w:cs="Times New Roman"/>
          <w:sz w:val="24"/>
          <w:szCs w:val="24"/>
        </w:rPr>
        <w:t>Despite</w:t>
      </w:r>
      <w:r w:rsidR="004A669E" w:rsidRPr="002E6D21">
        <w:rPr>
          <w:rFonts w:ascii="Times New Roman" w:hAnsi="Times New Roman" w:cs="Times New Roman"/>
          <w:sz w:val="24"/>
          <w:szCs w:val="24"/>
        </w:rPr>
        <w:t xml:space="preserve"> the RACI matrix improves accountability, Kerzner (2022) suggests that overly rigid role definitions may reduce flexibility when project requirements change. Nevertheless, I believe the framework is appropriate because ConnectPlus involves multiple departments with shared responsibilities.</w:t>
      </w:r>
    </w:p>
    <w:p w14:paraId="6383C39C" w14:textId="77777777" w:rsidR="0088031F" w:rsidRPr="002E6D21" w:rsidRDefault="0088031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5.5 Conflict Management</w:t>
      </w:r>
    </w:p>
    <w:p w14:paraId="50F4369A" w14:textId="28C54D37" w:rsidR="0088031F" w:rsidRPr="002E6D21" w:rsidRDefault="0088031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disagreements are inevitable in a project involving multiple stakeholder groups. Ashcroft (2017) argues that conflict should not automatically be viewed negatively because constructive disagreement can improve decision-making and identify hidden risks. Within ConnectPlus, the </w:t>
      </w:r>
      <w:r w:rsidR="007B674C" w:rsidRPr="002E6D21">
        <w:rPr>
          <w:rFonts w:ascii="Times New Roman" w:hAnsi="Times New Roman" w:cs="Times New Roman"/>
          <w:sz w:val="24"/>
          <w:szCs w:val="24"/>
        </w:rPr>
        <w:t>conflicts</w:t>
      </w:r>
      <w:r w:rsidRPr="002E6D21">
        <w:rPr>
          <w:rFonts w:ascii="Times New Roman" w:hAnsi="Times New Roman" w:cs="Times New Roman"/>
          <w:sz w:val="24"/>
          <w:szCs w:val="24"/>
        </w:rPr>
        <w:t xml:space="preserve"> involve personalisation versus privacy, speed versus compliance, and cost versus quality.</w:t>
      </w:r>
    </w:p>
    <w:p w14:paraId="72428A9C" w14:textId="77777777" w:rsidR="00813BE0" w:rsidRDefault="0088031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Donaldson and Preston (1995) argue that many conflicts arise from competing priorities rather than opposing objectives. Therefore, I will focus on identifying shared goals before addressing areas of disagreement. Kerzner (2022) suggests that conflict is easier to manage when stakeholders understand common project objectives and the consequences of different decisions.</w:t>
      </w:r>
    </w:p>
    <w:p w14:paraId="7047C39B" w14:textId="27E0B312" w:rsidR="0088031F" w:rsidRPr="002E6D21" w:rsidRDefault="0088031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 xml:space="preserve">When responding to stakeholder concerns, </w:t>
      </w:r>
      <w:r w:rsidR="0038646A" w:rsidRPr="002E6D21">
        <w:rPr>
          <w:rFonts w:ascii="Times New Roman" w:hAnsi="Times New Roman" w:cs="Times New Roman"/>
          <w:sz w:val="24"/>
          <w:szCs w:val="24"/>
        </w:rPr>
        <w:t>when</w:t>
      </w:r>
      <w:r w:rsidR="007B0257" w:rsidRPr="002E6D21">
        <w:rPr>
          <w:rFonts w:ascii="Times New Roman" w:hAnsi="Times New Roman" w:cs="Times New Roman"/>
          <w:sz w:val="24"/>
          <w:szCs w:val="24"/>
        </w:rPr>
        <w:t xml:space="preserve"> responding to stakeholder concerns, I will also apply the Feel-Felt-Found technique, a communication approach commonly used to acknowledge concerns and reduce resistance during organisational change (Kerzner, 2022).</w:t>
      </w:r>
      <w:r w:rsidR="0038646A" w:rsidRPr="002E6D21">
        <w:rPr>
          <w:rFonts w:ascii="Times New Roman" w:hAnsi="Times New Roman" w:cs="Times New Roman"/>
          <w:sz w:val="24"/>
          <w:szCs w:val="24"/>
        </w:rPr>
        <w:t xml:space="preserve"> </w:t>
      </w:r>
      <w:r w:rsidRPr="002E6D21">
        <w:rPr>
          <w:rFonts w:ascii="Times New Roman" w:hAnsi="Times New Roman" w:cs="Times New Roman"/>
          <w:sz w:val="24"/>
          <w:szCs w:val="24"/>
        </w:rPr>
        <w:t>This approach acknowledges stakeholder worries before presenting evidence-based information and potential solutions. Compared with a defensive response, it can help reduce resistance and improve stakeholder trust. For example, concerns about AI-driven personalisation can be addressed by recognising stakeholder concerns, explaining that similar concerns have been raised by others, and demonstrating how compliance measures and security controls reduce associated risks.</w:t>
      </w:r>
    </w:p>
    <w:p w14:paraId="0C27FF88" w14:textId="77777777" w:rsidR="0088031F" w:rsidRPr="002E6D21" w:rsidRDefault="0088031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5.6 International and Ethical Considerations</w:t>
      </w:r>
    </w:p>
    <w:p w14:paraId="7582BF5F" w14:textId="77777777" w:rsidR="0088031F" w:rsidRPr="002E6D21" w:rsidRDefault="0088031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Operating across international markets creates additional engagement challenges because stakeholder expectations may vary between countries. Aaltonen and Kujala (2010) argue that stakeholder priorities are influenced by local contexts, while Greenwood and Freeman (2024) suggest that stakeholder expectations are shaped by social and organisational conditions. Consequently, communication methods and consultation activities will be adapted where necessary to reflect local expectations.</w:t>
      </w:r>
    </w:p>
    <w:p w14:paraId="74F402F7" w14:textId="73C150BB" w:rsidR="00332F96" w:rsidRPr="002E6D21" w:rsidRDefault="0088031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Ethical considerations must also remain central throughout stakeholder engagement. Mitchell, Agle and Wood (1997) argue that stakeholder importance should be assessed through legitimacy and urgency as well as power, while Kujala, Sachs and Leinonen (2022) suggest that organisations are increasingly expected to balance commercial objectives with ethical and social responsibilities. The European Commission (2024) and the Information Commissioner's Office (2024) emphasise transparency, </w:t>
      </w:r>
      <w:r w:rsidR="00DE4F8F" w:rsidRPr="002E6D21">
        <w:rPr>
          <w:rFonts w:ascii="Times New Roman" w:hAnsi="Times New Roman" w:cs="Times New Roman"/>
          <w:sz w:val="24"/>
          <w:szCs w:val="24"/>
        </w:rPr>
        <w:t>accountability,</w:t>
      </w:r>
      <w:r w:rsidRPr="002E6D21">
        <w:rPr>
          <w:rFonts w:ascii="Times New Roman" w:hAnsi="Times New Roman" w:cs="Times New Roman"/>
          <w:sz w:val="24"/>
          <w:szCs w:val="24"/>
        </w:rPr>
        <w:t xml:space="preserve"> and fairness when organisations use AI technologies and process personal data. </w:t>
      </w:r>
      <w:r w:rsidR="00332F96" w:rsidRPr="002E6D21">
        <w:rPr>
          <w:rFonts w:ascii="Times New Roman" w:hAnsi="Times New Roman" w:cs="Times New Roman"/>
          <w:sz w:val="24"/>
          <w:szCs w:val="24"/>
        </w:rPr>
        <w:t xml:space="preserve">As Project Manager, I believe ethical stakeholder engagement extends beyond regulatory compliance because it supports trust, encourages platform </w:t>
      </w:r>
      <w:r w:rsidR="00DE4F8F" w:rsidRPr="002E6D21">
        <w:rPr>
          <w:rFonts w:ascii="Times New Roman" w:hAnsi="Times New Roman" w:cs="Times New Roman"/>
          <w:sz w:val="24"/>
          <w:szCs w:val="24"/>
        </w:rPr>
        <w:t>adoption,</w:t>
      </w:r>
      <w:r w:rsidR="00332F96" w:rsidRPr="002E6D21">
        <w:rPr>
          <w:rFonts w:ascii="Times New Roman" w:hAnsi="Times New Roman" w:cs="Times New Roman"/>
          <w:sz w:val="24"/>
          <w:szCs w:val="24"/>
        </w:rPr>
        <w:t xml:space="preserve"> and strengthens the long-term sustainability of ConnectPlus.</w:t>
      </w:r>
    </w:p>
    <w:p w14:paraId="1BF9E411" w14:textId="29F930DA" w:rsidR="002D5E88" w:rsidRPr="002E6D21" w:rsidRDefault="002D5E8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Harrison, </w:t>
      </w:r>
      <w:r w:rsidR="00DE4F8F"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argue that organisations should focus on balancing stakeholder interests rather than favouring one stakeholder group over another. In my view, this approach is particularly appropriate for ConnectPlus because customer expectations, regulatory requirements and business objectives are unlikely to align completely throughout the project lifecycle.</w:t>
      </w:r>
    </w:p>
    <w:p w14:paraId="667D852E" w14:textId="77777777" w:rsidR="00DE07FB" w:rsidRDefault="00DE07FB" w:rsidP="00422685">
      <w:pPr>
        <w:spacing w:line="360" w:lineRule="auto"/>
        <w:jc w:val="both"/>
        <w:rPr>
          <w:rFonts w:ascii="Times New Roman" w:hAnsi="Times New Roman" w:cs="Times New Roman"/>
          <w:sz w:val="24"/>
          <w:szCs w:val="24"/>
        </w:rPr>
      </w:pPr>
    </w:p>
    <w:p w14:paraId="50E26D46" w14:textId="75A56E18" w:rsidR="00300A78" w:rsidRPr="002E6D21" w:rsidRDefault="00300A78"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lastRenderedPageBreak/>
        <w:t>6. HOW GOOD ENGAGEMENT HELPS ASOS DO BETTER LONG-TERM</w:t>
      </w:r>
    </w:p>
    <w:p w14:paraId="2F628563" w14:textId="771E7308" w:rsidR="0079342A" w:rsidRPr="002E6D21"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engagement should be viewed as a strategic activity that contributes to organisational performance rather than simply supporting project delivery. Ashcroft (2017) argues that stakeholder relationships can influence organisational outcomes over time, while Harrison, Freeman and Abreu (2023) suggest that organisations create greater value when stakeholder interests are considered within strategic decision-making. This perspective is particularly relevant to ConnectPlus because its success depends on customer adoption, regulatory </w:t>
      </w:r>
      <w:r w:rsidR="00DE4F8F" w:rsidRPr="002E6D21">
        <w:rPr>
          <w:rFonts w:ascii="Times New Roman" w:hAnsi="Times New Roman" w:cs="Times New Roman"/>
          <w:sz w:val="24"/>
          <w:szCs w:val="24"/>
        </w:rPr>
        <w:t>compliance,</w:t>
      </w:r>
      <w:r w:rsidRPr="002E6D21">
        <w:rPr>
          <w:rFonts w:ascii="Times New Roman" w:hAnsi="Times New Roman" w:cs="Times New Roman"/>
          <w:sz w:val="24"/>
          <w:szCs w:val="24"/>
        </w:rPr>
        <w:t xml:space="preserve"> and continued stakeholder support. </w:t>
      </w:r>
      <w:r w:rsidR="0079342A" w:rsidRPr="002E6D21">
        <w:rPr>
          <w:rFonts w:ascii="Times New Roman" w:hAnsi="Times New Roman" w:cs="Times New Roman"/>
          <w:sz w:val="24"/>
          <w:szCs w:val="24"/>
        </w:rPr>
        <w:t>As Project Manager, I believe the value of stakeholder engagement extends beyond platform implementation because it can strengthen trust, support innovation, improve organisational adaptability and contribute to long-term business performance.</w:t>
      </w:r>
    </w:p>
    <w:p w14:paraId="39168489" w14:textId="239E9762" w:rsidR="00C46AAE" w:rsidRPr="00DE4F8F"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From a financial perspective, stakeholder engagement can improve decision quality and reduce avoidable project costs. Kerzner (2022) argues that involving stakeholders early in project activities helps identify potential issues before they become expensive problems. Supporting this view, Harrison, </w:t>
      </w:r>
      <w:r w:rsidR="00DE4F8F"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suggest that stakeholder involvement can improve organisational outcomes because decisions are informed by a wider range of perspectives and expectations. For ConnectPlus, customer feedback, regulatory input and employee knowledge can help reduce implementation risks and increase the likelihood of </w:t>
      </w:r>
      <w:r w:rsidRPr="00DE4F8F">
        <w:rPr>
          <w:rFonts w:ascii="Times New Roman" w:hAnsi="Times New Roman" w:cs="Times New Roman"/>
          <w:sz w:val="24"/>
          <w:szCs w:val="24"/>
        </w:rPr>
        <w:t xml:space="preserve">achieving project objectives. </w:t>
      </w:r>
      <w:r w:rsidR="00C46AAE" w:rsidRPr="00DE4F8F">
        <w:rPr>
          <w:rFonts w:ascii="Times New Roman" w:hAnsi="Times New Roman" w:cs="Times New Roman"/>
          <w:sz w:val="24"/>
          <w:szCs w:val="24"/>
        </w:rPr>
        <w:t xml:space="preserve">Compared with a reactive approach, where concerns are addressed only after implementation, early engagement provides opportunities to prevent problems and improve resource allocation. In my view, this increases the likelihood of achieving stronger returns on investment, more predictable business </w:t>
      </w:r>
      <w:r w:rsidR="00DE4F8F" w:rsidRPr="00DE4F8F">
        <w:rPr>
          <w:rFonts w:ascii="Times New Roman" w:hAnsi="Times New Roman" w:cs="Times New Roman"/>
          <w:sz w:val="24"/>
          <w:szCs w:val="24"/>
        </w:rPr>
        <w:t>performance,</w:t>
      </w:r>
      <w:r w:rsidR="00C46AAE" w:rsidRPr="00DE4F8F">
        <w:rPr>
          <w:rFonts w:ascii="Times New Roman" w:hAnsi="Times New Roman" w:cs="Times New Roman"/>
          <w:sz w:val="24"/>
          <w:szCs w:val="24"/>
        </w:rPr>
        <w:t xml:space="preserve"> and greater long-term value creation for ASOS.</w:t>
      </w:r>
    </w:p>
    <w:p w14:paraId="20920949" w14:textId="249E76E9" w:rsidR="00300A78" w:rsidRPr="002E6D21"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Strong stakeholder relationships can also support investor confidence and long-term organisational stability. Donaldson and Preston (1995) argue that organisations perform more effectively when the interests of different stakeholder groups are recognised rather than focusing exclusively on short-term financial outcomes. Similarly, Boxall and Purcell (2023) suggest that investors are more likely to support initiatives that contribute to sustainable organisational performance and competitiveness. </w:t>
      </w:r>
      <w:r w:rsidR="00CF3E62" w:rsidRPr="002E6D21">
        <w:rPr>
          <w:rFonts w:ascii="Times New Roman" w:hAnsi="Times New Roman" w:cs="Times New Roman"/>
          <w:sz w:val="24"/>
          <w:szCs w:val="24"/>
        </w:rPr>
        <w:t xml:space="preserve">Through regular communication and greater transparency, ASOS can demonstrate how ConnectPlus contributes to customer retention, revenue </w:t>
      </w:r>
      <w:r w:rsidR="00DE4F8F" w:rsidRPr="002E6D21">
        <w:rPr>
          <w:rFonts w:ascii="Times New Roman" w:hAnsi="Times New Roman" w:cs="Times New Roman"/>
          <w:sz w:val="24"/>
          <w:szCs w:val="24"/>
        </w:rPr>
        <w:t>growth,</w:t>
      </w:r>
      <w:r w:rsidR="00CF3E62" w:rsidRPr="002E6D21">
        <w:rPr>
          <w:rFonts w:ascii="Times New Roman" w:hAnsi="Times New Roman" w:cs="Times New Roman"/>
          <w:sz w:val="24"/>
          <w:szCs w:val="24"/>
        </w:rPr>
        <w:t xml:space="preserve"> and long-term strategic objectives</w:t>
      </w:r>
      <w:r w:rsidRPr="002E6D21">
        <w:rPr>
          <w:rFonts w:ascii="Times New Roman" w:hAnsi="Times New Roman" w:cs="Times New Roman"/>
          <w:sz w:val="24"/>
          <w:szCs w:val="24"/>
        </w:rPr>
        <w:t xml:space="preserve">. However, Kerzner (2022) notes that stakeholder expectations may become difficult to manage when performance targets are not </w:t>
      </w:r>
      <w:r w:rsidRPr="002E6D21">
        <w:rPr>
          <w:rFonts w:ascii="Times New Roman" w:hAnsi="Times New Roman" w:cs="Times New Roman"/>
          <w:sz w:val="24"/>
          <w:szCs w:val="24"/>
        </w:rPr>
        <w:lastRenderedPageBreak/>
        <w:t xml:space="preserve">achieved within expected </w:t>
      </w:r>
      <w:r w:rsidR="00516D31" w:rsidRPr="002E6D21">
        <w:rPr>
          <w:rFonts w:ascii="Times New Roman" w:hAnsi="Times New Roman" w:cs="Times New Roman"/>
          <w:sz w:val="24"/>
          <w:szCs w:val="24"/>
        </w:rPr>
        <w:t>periods</w:t>
      </w:r>
      <w:r w:rsidRPr="002E6D21">
        <w:rPr>
          <w:rFonts w:ascii="Times New Roman" w:hAnsi="Times New Roman" w:cs="Times New Roman"/>
          <w:sz w:val="24"/>
          <w:szCs w:val="24"/>
        </w:rPr>
        <w:t>. This suggests that engagement should be supported by realistic communication regarding project benefits and limitations.</w:t>
      </w:r>
    </w:p>
    <w:p w14:paraId="1D7B065F" w14:textId="1C55FB0B" w:rsidR="00300A78" w:rsidRPr="002E6D21" w:rsidRDefault="00114AEC"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Customer trust represents another major benefit of sustainable stakeholder engagement because it can directly influence customer retention, repeat purchases and long-term business performance.</w:t>
      </w:r>
      <w:r w:rsidR="005A7DCB" w:rsidRPr="002E6D21">
        <w:rPr>
          <w:rFonts w:ascii="Times New Roman" w:hAnsi="Times New Roman" w:cs="Times New Roman"/>
          <w:sz w:val="24"/>
          <w:szCs w:val="24"/>
        </w:rPr>
        <w:t xml:space="preserve"> </w:t>
      </w:r>
      <w:r w:rsidR="00300A78" w:rsidRPr="002E6D21">
        <w:rPr>
          <w:rFonts w:ascii="Times New Roman" w:hAnsi="Times New Roman" w:cs="Times New Roman"/>
          <w:sz w:val="24"/>
          <w:szCs w:val="24"/>
        </w:rPr>
        <w:t>Greenwood and Freeman (2024) argue that stakeholder trust has become increasingly important in digital business environments where organisations rely on customer information and technology-driven services. ConnectPlus depends heavily on customer participation because personalised recommendations and loyalty features require the responsible use of customer data. According to Dwivedi et al. (2020), concerns regarding privacy, data security and digital technologies can influence stakeholder behaviour and levels of engagement. By involving customers in consultation activities and communicating openly about data usage, ASOS can build stronger relationships and encourage platform adoption. In contrast, weak engagement may reduce trust and increase resistance, potentially limiting the benefits generated by the platform.</w:t>
      </w:r>
    </w:p>
    <w:p w14:paraId="7EECE99F" w14:textId="1B40F5B1" w:rsidR="0069625C" w:rsidRPr="002E6D21"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Effective engagement can also strengthen relationships with regulators and reduce compliance risks. The European Commission (2024) highlights transparency, </w:t>
      </w:r>
      <w:r w:rsidR="00DE4F8F" w:rsidRPr="002E6D21">
        <w:rPr>
          <w:rFonts w:ascii="Times New Roman" w:hAnsi="Times New Roman" w:cs="Times New Roman"/>
          <w:sz w:val="24"/>
          <w:szCs w:val="24"/>
        </w:rPr>
        <w:t>accountability,</w:t>
      </w:r>
      <w:r w:rsidRPr="002E6D21">
        <w:rPr>
          <w:rFonts w:ascii="Times New Roman" w:hAnsi="Times New Roman" w:cs="Times New Roman"/>
          <w:sz w:val="24"/>
          <w:szCs w:val="24"/>
        </w:rPr>
        <w:t xml:space="preserve"> and responsible governance as important considerations when organisations use artificial intelligence and customer data. The Information Commissioner's Office (2024) similarly emphasises fairness and openness in the processing of personal information. By engaging with regulatory stakeholders throughout implementation, ASOS can identify potential compliance issues before they become legal or reputational problems. </w:t>
      </w:r>
      <w:r w:rsidR="0069625C" w:rsidRPr="002E6D21">
        <w:rPr>
          <w:rFonts w:ascii="Times New Roman" w:hAnsi="Times New Roman" w:cs="Times New Roman"/>
          <w:sz w:val="24"/>
          <w:szCs w:val="24"/>
        </w:rPr>
        <w:t>Compared with a reactive compliance approach, proactive engagement provides opportunities to address concerns earlier and reduce organisational risk. This is particularly important for ConnectPlus because evolving AI regulations may create new compliance requirements after implementation.</w:t>
      </w:r>
    </w:p>
    <w:p w14:paraId="1289E65A" w14:textId="71BB259A" w:rsidR="00F05AD5" w:rsidRPr="002E6D21"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Another long-term benefit involves organisational learning and resilience. Kerzner (2022) argues that stakeholders often possess knowledge and experience that can improve project outcomes when incorporated into decision-making. </w:t>
      </w:r>
      <w:r w:rsidR="00893D9F" w:rsidRPr="002E6D21">
        <w:rPr>
          <w:rFonts w:ascii="Times New Roman" w:hAnsi="Times New Roman" w:cs="Times New Roman"/>
          <w:sz w:val="24"/>
          <w:szCs w:val="24"/>
        </w:rPr>
        <w:t>Frontline employees, for example, may identify customer concerns or operational issues that are not always visible to senior management, helping the organisation improve service quality and operational performance</w:t>
      </w:r>
      <w:r w:rsidRPr="002E6D21">
        <w:rPr>
          <w:rFonts w:ascii="Times New Roman" w:hAnsi="Times New Roman" w:cs="Times New Roman"/>
          <w:sz w:val="24"/>
          <w:szCs w:val="24"/>
        </w:rPr>
        <w:t xml:space="preserve">. Supporting this perspective, Aaltonen and Kujala (2010) suggest that stakeholder engagement helps organisations recognise differences in stakeholder expectations across markets and environments. This is particularly relevant to ConnectPlus because attitudes towards privacy, </w:t>
      </w:r>
      <w:r w:rsidRPr="002E6D21">
        <w:rPr>
          <w:rFonts w:ascii="Times New Roman" w:hAnsi="Times New Roman" w:cs="Times New Roman"/>
          <w:sz w:val="24"/>
          <w:szCs w:val="24"/>
        </w:rPr>
        <w:lastRenderedPageBreak/>
        <w:t xml:space="preserve">personalisation and AI-enabled services may vary between countries. </w:t>
      </w:r>
      <w:r w:rsidR="00F05AD5" w:rsidRPr="002E6D21">
        <w:rPr>
          <w:rFonts w:ascii="Times New Roman" w:hAnsi="Times New Roman" w:cs="Times New Roman"/>
          <w:sz w:val="24"/>
          <w:szCs w:val="24"/>
        </w:rPr>
        <w:t>Compared with decisions based solely on internal assumptions, stakeholder-informed decisions allow ASOS to respond more effectively to changing customer expectations and market conditions. In my view, this supports organisational resilience because the company is better prepared to adapt to future technological, regulatory and market changes.</w:t>
      </w:r>
    </w:p>
    <w:p w14:paraId="7AA2D010" w14:textId="1F28BFDC" w:rsidR="00300A78" w:rsidRPr="002E6D21" w:rsidRDefault="00300A78"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Stakeholder engagement can also increase support for organisational change. Mitchell, Agle and Wood (1997) argue that stakeholders are more likely to support initiatives when their interests and concerns have been acknowledged. Greenwood and Freeman (2024) similarly suggest that involvement in decision-making can strengthen stakeholder commitment and trust. For ConnectPlus, greater stakeholder support may increase platform adoption, strengthen customer </w:t>
      </w:r>
      <w:r w:rsidR="00DE4F8F" w:rsidRPr="002E6D21">
        <w:rPr>
          <w:rFonts w:ascii="Times New Roman" w:hAnsi="Times New Roman" w:cs="Times New Roman"/>
          <w:sz w:val="24"/>
          <w:szCs w:val="24"/>
        </w:rPr>
        <w:t>relationships,</w:t>
      </w:r>
      <w:r w:rsidRPr="002E6D21">
        <w:rPr>
          <w:rFonts w:ascii="Times New Roman" w:hAnsi="Times New Roman" w:cs="Times New Roman"/>
          <w:sz w:val="24"/>
          <w:szCs w:val="24"/>
        </w:rPr>
        <w:t xml:space="preserve"> and improve acceptance of </w:t>
      </w:r>
      <w:r w:rsidR="004375D7" w:rsidRPr="002E6D21">
        <w:rPr>
          <w:rFonts w:ascii="Times New Roman" w:hAnsi="Times New Roman" w:cs="Times New Roman"/>
          <w:sz w:val="24"/>
          <w:szCs w:val="24"/>
        </w:rPr>
        <w:t>innovative technologies</w:t>
      </w:r>
      <w:r w:rsidRPr="002E6D21">
        <w:rPr>
          <w:rFonts w:ascii="Times New Roman" w:hAnsi="Times New Roman" w:cs="Times New Roman"/>
          <w:sz w:val="24"/>
          <w:szCs w:val="24"/>
        </w:rPr>
        <w:t>. However, successful engagement requires an appropriate balance between inclusion and leadership. Aaltonen and Kujala (2010) argue that extensive consultation can delay decision-making and create conflicting expectations, while Rowley (1997) highlights the importance of maintaining strategic direction when managing multiple stakeholder interests. In my view, stakeholder engagement should inform decisions rather than replace managerial responsibility.</w:t>
      </w:r>
    </w:p>
    <w:p w14:paraId="3BAB19FE" w14:textId="43EC89D8" w:rsidR="007A4B3C" w:rsidRPr="002E6D21" w:rsidRDefault="007A4B3C"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Althoug</w:t>
      </w:r>
      <w:r w:rsidR="00661876">
        <w:rPr>
          <w:rFonts w:ascii="Times New Roman" w:hAnsi="Times New Roman" w:cs="Times New Roman"/>
          <w:sz w:val="24"/>
          <w:szCs w:val="24"/>
        </w:rPr>
        <w:t>h</w:t>
      </w:r>
      <w:r w:rsidRPr="002E6D21">
        <w:rPr>
          <w:rFonts w:ascii="Times New Roman" w:hAnsi="Times New Roman" w:cs="Times New Roman"/>
          <w:sz w:val="24"/>
          <w:szCs w:val="24"/>
        </w:rPr>
        <w:t xml:space="preserve"> technology plays </w:t>
      </w:r>
      <w:r w:rsidR="003D1B80" w:rsidRPr="002E6D21">
        <w:rPr>
          <w:rFonts w:ascii="Times New Roman" w:hAnsi="Times New Roman" w:cs="Times New Roman"/>
          <w:sz w:val="24"/>
          <w:szCs w:val="24"/>
        </w:rPr>
        <w:t>a significant role</w:t>
      </w:r>
      <w:r w:rsidRPr="002E6D21">
        <w:rPr>
          <w:rFonts w:ascii="Times New Roman" w:hAnsi="Times New Roman" w:cs="Times New Roman"/>
          <w:sz w:val="24"/>
          <w:szCs w:val="24"/>
        </w:rPr>
        <w:t xml:space="preserve"> in retail innovation, sustainable competitive advantage depends on more than digital capability alone. Harrison, </w:t>
      </w:r>
      <w:r w:rsidR="00DE4F8F" w:rsidRPr="002E6D21">
        <w:rPr>
          <w:rFonts w:ascii="Times New Roman" w:hAnsi="Times New Roman" w:cs="Times New Roman"/>
          <w:sz w:val="24"/>
          <w:szCs w:val="24"/>
        </w:rPr>
        <w:t>Freeman,</w:t>
      </w:r>
      <w:r w:rsidRPr="002E6D21">
        <w:rPr>
          <w:rFonts w:ascii="Times New Roman" w:hAnsi="Times New Roman" w:cs="Times New Roman"/>
          <w:sz w:val="24"/>
          <w:szCs w:val="24"/>
        </w:rPr>
        <w:t xml:space="preserve"> and Abreu (2023) argue that long-term organisational success is influenced by the quality of stakeholder relationships and an organisation's ability to create value for different stakeholder groups. ConnectPlus has the potential to improve customer loyalty, regulatory compliance, organisational </w:t>
      </w:r>
      <w:r w:rsidR="00DE4F8F" w:rsidRPr="002E6D21">
        <w:rPr>
          <w:rFonts w:ascii="Times New Roman" w:hAnsi="Times New Roman" w:cs="Times New Roman"/>
          <w:sz w:val="24"/>
          <w:szCs w:val="24"/>
        </w:rPr>
        <w:t>learning,</w:t>
      </w:r>
      <w:r w:rsidRPr="002E6D21">
        <w:rPr>
          <w:rFonts w:ascii="Times New Roman" w:hAnsi="Times New Roman" w:cs="Times New Roman"/>
          <w:sz w:val="24"/>
          <w:szCs w:val="24"/>
        </w:rPr>
        <w:t xml:space="preserve"> and overall business performance by strengthening relationships with key stakeholders. </w:t>
      </w:r>
      <w:r w:rsidR="00661876">
        <w:rPr>
          <w:rFonts w:ascii="Times New Roman" w:hAnsi="Times New Roman" w:cs="Times New Roman"/>
          <w:sz w:val="24"/>
          <w:szCs w:val="24"/>
        </w:rPr>
        <w:t>While</w:t>
      </w:r>
      <w:r w:rsidRPr="002E6D21">
        <w:rPr>
          <w:rFonts w:ascii="Times New Roman" w:hAnsi="Times New Roman" w:cs="Times New Roman"/>
          <w:sz w:val="24"/>
          <w:szCs w:val="24"/>
        </w:rPr>
        <w:t xml:space="preserve"> stakeholder engagement requires additional time, resources and management effort, the long-term benefits are likely to outweigh these costs. Therefore, I believe sustainable stakeholder engagement provides value beyond the immediate project lifecycle by supporting resilience, adaptability, customer </w:t>
      </w:r>
      <w:r w:rsidR="00DE4F8F" w:rsidRPr="002E6D21">
        <w:rPr>
          <w:rFonts w:ascii="Times New Roman" w:hAnsi="Times New Roman" w:cs="Times New Roman"/>
          <w:sz w:val="24"/>
          <w:szCs w:val="24"/>
        </w:rPr>
        <w:t>trust,</w:t>
      </w:r>
      <w:r w:rsidRPr="002E6D21">
        <w:rPr>
          <w:rFonts w:ascii="Times New Roman" w:hAnsi="Times New Roman" w:cs="Times New Roman"/>
          <w:sz w:val="24"/>
          <w:szCs w:val="24"/>
        </w:rPr>
        <w:t xml:space="preserve"> and long-term business success across ASOS's wider operations.</w:t>
      </w:r>
    </w:p>
    <w:p w14:paraId="0DA0D4CE" w14:textId="7C45D1FB" w:rsidR="00906634" w:rsidRPr="002E6D21" w:rsidRDefault="00906634" w:rsidP="00422685">
      <w:pPr>
        <w:spacing w:line="360" w:lineRule="auto"/>
        <w:jc w:val="both"/>
        <w:rPr>
          <w:rFonts w:ascii="Times New Roman" w:hAnsi="Times New Roman" w:cs="Times New Roman"/>
          <w:sz w:val="24"/>
          <w:szCs w:val="24"/>
        </w:rPr>
      </w:pPr>
    </w:p>
    <w:p w14:paraId="5E0807F8" w14:textId="77777777" w:rsidR="00576F94" w:rsidRDefault="00576F94" w:rsidP="00422685">
      <w:pPr>
        <w:spacing w:line="360" w:lineRule="auto"/>
        <w:jc w:val="both"/>
        <w:rPr>
          <w:rFonts w:ascii="Times New Roman" w:hAnsi="Times New Roman" w:cs="Times New Roman"/>
          <w:sz w:val="24"/>
          <w:szCs w:val="24"/>
        </w:rPr>
      </w:pPr>
    </w:p>
    <w:p w14:paraId="62ADDF59" w14:textId="77777777" w:rsidR="00576F94" w:rsidRDefault="00576F94" w:rsidP="00422685">
      <w:pPr>
        <w:spacing w:line="360" w:lineRule="auto"/>
        <w:jc w:val="both"/>
        <w:rPr>
          <w:rFonts w:ascii="Times New Roman" w:hAnsi="Times New Roman" w:cs="Times New Roman"/>
          <w:sz w:val="24"/>
          <w:szCs w:val="24"/>
        </w:rPr>
      </w:pPr>
    </w:p>
    <w:p w14:paraId="13CC0365" w14:textId="77777777" w:rsidR="00576F94" w:rsidRDefault="00576F94" w:rsidP="00422685">
      <w:pPr>
        <w:spacing w:line="360" w:lineRule="auto"/>
        <w:jc w:val="both"/>
        <w:rPr>
          <w:rFonts w:ascii="Times New Roman" w:hAnsi="Times New Roman" w:cs="Times New Roman"/>
          <w:sz w:val="24"/>
          <w:szCs w:val="24"/>
        </w:rPr>
      </w:pPr>
    </w:p>
    <w:p w14:paraId="7F16475C" w14:textId="435E4D65" w:rsidR="00773D9F" w:rsidRPr="002E6D21" w:rsidRDefault="00773D9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7. RECOMMENDATIONS AND CONCLUSION</w:t>
      </w:r>
    </w:p>
    <w:p w14:paraId="2192C698" w14:textId="77777777" w:rsidR="00FF6FFF" w:rsidRPr="002E6D21" w:rsidRDefault="00FF6FF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Recommendations</w:t>
      </w:r>
    </w:p>
    <w:p w14:paraId="16D97C8E" w14:textId="36D19392" w:rsidR="00FF6FFF" w:rsidRPr="002E6D21" w:rsidRDefault="00FF6FF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Based on the stakeholder analysis presented in this report, ASOS should adopt a balanced stakeholder management approach by using both Mendelow's Power-Interest Matrix and the Stakeholder Salience Model to support stakeholder prioritisation. Stakeholder engagement activities should be tailored to different stakeholder groups through appropriate communication, </w:t>
      </w:r>
      <w:r w:rsidR="00DE4F8F" w:rsidRPr="002E6D21">
        <w:rPr>
          <w:rFonts w:ascii="Times New Roman" w:hAnsi="Times New Roman" w:cs="Times New Roman"/>
          <w:sz w:val="24"/>
          <w:szCs w:val="24"/>
        </w:rPr>
        <w:t>consultation,</w:t>
      </w:r>
      <w:r w:rsidRPr="002E6D21">
        <w:rPr>
          <w:rFonts w:ascii="Times New Roman" w:hAnsi="Times New Roman" w:cs="Times New Roman"/>
          <w:sz w:val="24"/>
          <w:szCs w:val="24"/>
        </w:rPr>
        <w:t xml:space="preserve"> and collaboration mechanisms. In addition, potential conflicts should be addressed at an early stage through active stakeholder involvement and transparent decision-making. </w:t>
      </w:r>
      <w:r w:rsidR="00516D31" w:rsidRPr="002E6D21">
        <w:rPr>
          <w:rFonts w:ascii="Times New Roman" w:hAnsi="Times New Roman" w:cs="Times New Roman"/>
          <w:sz w:val="24"/>
          <w:szCs w:val="24"/>
        </w:rPr>
        <w:t>Attention</w:t>
      </w:r>
      <w:r w:rsidRPr="002E6D21">
        <w:rPr>
          <w:rFonts w:ascii="Times New Roman" w:hAnsi="Times New Roman" w:cs="Times New Roman"/>
          <w:sz w:val="24"/>
          <w:szCs w:val="24"/>
        </w:rPr>
        <w:t xml:space="preserve"> should be given to privacy, </w:t>
      </w:r>
      <w:r w:rsidR="00DE4F8F" w:rsidRPr="002E6D21">
        <w:rPr>
          <w:rFonts w:ascii="Times New Roman" w:hAnsi="Times New Roman" w:cs="Times New Roman"/>
          <w:sz w:val="24"/>
          <w:szCs w:val="24"/>
        </w:rPr>
        <w:t>transparency,</w:t>
      </w:r>
      <w:r w:rsidRPr="002E6D21">
        <w:rPr>
          <w:rFonts w:ascii="Times New Roman" w:hAnsi="Times New Roman" w:cs="Times New Roman"/>
          <w:sz w:val="24"/>
          <w:szCs w:val="24"/>
        </w:rPr>
        <w:t xml:space="preserve"> and responsible data management to maintain customer trust and regulatory compliance. Finally, stakeholder engagement should continue beyond implementation to ensure ConnectPlus remains aligned with changing stakeholder expectations and business requirements (Kerzner, 2022).</w:t>
      </w:r>
    </w:p>
    <w:p w14:paraId="308C0411" w14:textId="77777777" w:rsidR="00FF6FFF" w:rsidRPr="002E6D21" w:rsidRDefault="00FF6FFF" w:rsidP="00422685">
      <w:pPr>
        <w:spacing w:line="360" w:lineRule="auto"/>
        <w:jc w:val="both"/>
        <w:rPr>
          <w:rFonts w:ascii="Times New Roman" w:hAnsi="Times New Roman" w:cs="Times New Roman"/>
          <w:b/>
          <w:bCs/>
          <w:sz w:val="24"/>
          <w:szCs w:val="24"/>
        </w:rPr>
      </w:pPr>
      <w:r w:rsidRPr="002E6D21">
        <w:rPr>
          <w:rFonts w:ascii="Times New Roman" w:hAnsi="Times New Roman" w:cs="Times New Roman"/>
          <w:b/>
          <w:bCs/>
          <w:sz w:val="24"/>
          <w:szCs w:val="24"/>
        </w:rPr>
        <w:t>Conclusion</w:t>
      </w:r>
    </w:p>
    <w:p w14:paraId="0684C7A9" w14:textId="6C25EDB8" w:rsidR="00FF6FFF" w:rsidRPr="002E6D21" w:rsidRDefault="00FF6FFF"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ConnectPlus will succeed not only through effective technology but also through effective stakeholder engagement. Freeman (1984) argues that organisations must recognise the interests of groups that can affect or be affected by organisational activities, while Harrison, Freeman and Abreu (2023) suggest that long-term value is created when stakeholder interests are incorporated into decision-making. The stakeholder engagement approaches evaluated throughout this report, including the 4C's framework, SWANS, OWANS and the RACI Matrix, provide practical methods for strengthening communication, encouraging </w:t>
      </w:r>
      <w:r w:rsidR="00DE4F8F" w:rsidRPr="002E6D21">
        <w:rPr>
          <w:rFonts w:ascii="Times New Roman" w:hAnsi="Times New Roman" w:cs="Times New Roman"/>
          <w:sz w:val="24"/>
          <w:szCs w:val="24"/>
        </w:rPr>
        <w:t>collaboration,</w:t>
      </w:r>
      <w:r w:rsidRPr="002E6D21">
        <w:rPr>
          <w:rFonts w:ascii="Times New Roman" w:hAnsi="Times New Roman" w:cs="Times New Roman"/>
          <w:sz w:val="24"/>
          <w:szCs w:val="24"/>
        </w:rPr>
        <w:t xml:space="preserve"> and managing conflict. </w:t>
      </w:r>
      <w:r w:rsidR="00F2448C">
        <w:rPr>
          <w:rFonts w:ascii="Times New Roman" w:hAnsi="Times New Roman" w:cs="Times New Roman"/>
          <w:sz w:val="24"/>
          <w:szCs w:val="24"/>
        </w:rPr>
        <w:t>Even though</w:t>
      </w:r>
      <w:r w:rsidRPr="002E6D21">
        <w:rPr>
          <w:rFonts w:ascii="Times New Roman" w:hAnsi="Times New Roman" w:cs="Times New Roman"/>
          <w:sz w:val="24"/>
          <w:szCs w:val="24"/>
        </w:rPr>
        <w:t xml:space="preserve"> stakeholder priorities may not always align, sustainable stakeholder engagement can improve customer trust, support regulatory </w:t>
      </w:r>
      <w:r w:rsidR="00DE4F8F" w:rsidRPr="002E6D21">
        <w:rPr>
          <w:rFonts w:ascii="Times New Roman" w:hAnsi="Times New Roman" w:cs="Times New Roman"/>
          <w:sz w:val="24"/>
          <w:szCs w:val="24"/>
        </w:rPr>
        <w:t>compliance,</w:t>
      </w:r>
      <w:r w:rsidRPr="002E6D21">
        <w:rPr>
          <w:rFonts w:ascii="Times New Roman" w:hAnsi="Times New Roman" w:cs="Times New Roman"/>
          <w:sz w:val="24"/>
          <w:szCs w:val="24"/>
        </w:rPr>
        <w:t xml:space="preserve"> and enhance long-term business performance. As Project Manager, I believe that maintaining strong stakeholder relationships will be essential to the successful implementation of ConnectPlus and the long-term success of ASOS.</w:t>
      </w:r>
    </w:p>
    <w:p w14:paraId="4B438153" w14:textId="77777777" w:rsidR="00905E2C" w:rsidRPr="002E6D21" w:rsidRDefault="00905E2C" w:rsidP="00422685">
      <w:pPr>
        <w:spacing w:line="360" w:lineRule="auto"/>
        <w:jc w:val="both"/>
        <w:rPr>
          <w:rFonts w:ascii="Times New Roman" w:hAnsi="Times New Roman" w:cs="Times New Roman"/>
          <w:b/>
          <w:bCs/>
          <w:sz w:val="24"/>
          <w:szCs w:val="24"/>
        </w:rPr>
      </w:pPr>
    </w:p>
    <w:p w14:paraId="6EB1E8A5" w14:textId="77777777" w:rsidR="00EF2481" w:rsidRPr="002E6D21" w:rsidRDefault="00EF2481" w:rsidP="00422685">
      <w:pPr>
        <w:spacing w:line="360" w:lineRule="auto"/>
        <w:jc w:val="both"/>
        <w:rPr>
          <w:rFonts w:ascii="Times New Roman" w:hAnsi="Times New Roman" w:cs="Times New Roman"/>
          <w:b/>
          <w:bCs/>
          <w:sz w:val="24"/>
          <w:szCs w:val="24"/>
        </w:rPr>
      </w:pPr>
    </w:p>
    <w:p w14:paraId="2C5308D2" w14:textId="77777777" w:rsidR="00576F94" w:rsidRDefault="00576F94" w:rsidP="00422685">
      <w:pPr>
        <w:spacing w:line="360" w:lineRule="auto"/>
        <w:jc w:val="both"/>
        <w:rPr>
          <w:rFonts w:ascii="Times New Roman" w:hAnsi="Times New Roman" w:cs="Times New Roman"/>
          <w:b/>
          <w:bCs/>
          <w:sz w:val="24"/>
          <w:szCs w:val="24"/>
        </w:rPr>
      </w:pPr>
    </w:p>
    <w:p w14:paraId="1B99ED67" w14:textId="77777777" w:rsidR="00576F94" w:rsidRDefault="00576F94" w:rsidP="00422685">
      <w:pPr>
        <w:spacing w:line="360" w:lineRule="auto"/>
        <w:jc w:val="both"/>
        <w:rPr>
          <w:rFonts w:ascii="Times New Roman" w:hAnsi="Times New Roman" w:cs="Times New Roman"/>
          <w:b/>
          <w:bCs/>
          <w:sz w:val="24"/>
          <w:szCs w:val="24"/>
        </w:rPr>
      </w:pPr>
    </w:p>
    <w:p w14:paraId="45EE1EDA" w14:textId="77777777" w:rsidR="00576F94" w:rsidRDefault="00576F94" w:rsidP="00422685">
      <w:pPr>
        <w:spacing w:line="360" w:lineRule="auto"/>
        <w:jc w:val="both"/>
        <w:rPr>
          <w:rFonts w:ascii="Times New Roman" w:hAnsi="Times New Roman" w:cs="Times New Roman"/>
          <w:b/>
          <w:bCs/>
          <w:sz w:val="24"/>
          <w:szCs w:val="24"/>
        </w:rPr>
      </w:pPr>
    </w:p>
    <w:p w14:paraId="06DEC222" w14:textId="1F399B60" w:rsidR="00CD2DDF" w:rsidRPr="002E6D21" w:rsidRDefault="00EA0830" w:rsidP="00422685">
      <w:pPr>
        <w:spacing w:line="360" w:lineRule="auto"/>
        <w:jc w:val="both"/>
        <w:rPr>
          <w:rFonts w:ascii="Times New Roman" w:hAnsi="Times New Roman" w:cs="Times New Roman"/>
          <w:sz w:val="24"/>
          <w:szCs w:val="24"/>
        </w:rPr>
      </w:pPr>
      <w:r w:rsidRPr="002E6D21">
        <w:rPr>
          <w:rFonts w:ascii="Times New Roman" w:hAnsi="Times New Roman" w:cs="Times New Roman"/>
          <w:b/>
          <w:bCs/>
          <w:sz w:val="24"/>
          <w:szCs w:val="24"/>
        </w:rPr>
        <w:lastRenderedPageBreak/>
        <w:t>A</w:t>
      </w:r>
      <w:r w:rsidR="00CD2DDF" w:rsidRPr="002E6D21">
        <w:rPr>
          <w:rFonts w:ascii="Times New Roman" w:hAnsi="Times New Roman" w:cs="Times New Roman"/>
          <w:b/>
          <w:bCs/>
          <w:sz w:val="24"/>
          <w:szCs w:val="24"/>
        </w:rPr>
        <w:t xml:space="preserve">ppendix </w:t>
      </w:r>
      <w:r w:rsidR="00B07581">
        <w:rPr>
          <w:rFonts w:ascii="Times New Roman" w:hAnsi="Times New Roman" w:cs="Times New Roman"/>
          <w:b/>
          <w:bCs/>
          <w:sz w:val="24"/>
          <w:szCs w:val="24"/>
        </w:rPr>
        <w:t>A</w:t>
      </w:r>
    </w:p>
    <w:p w14:paraId="6649EBED" w14:textId="77777777" w:rsidR="001122E4" w:rsidRPr="002E6D21" w:rsidRDefault="00CD2DDF" w:rsidP="00422685">
      <w:pPr>
        <w:numPr>
          <w:ilvl w:val="0"/>
          <w:numId w:val="1"/>
        </w:num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Figure 1: Mendelow Power-Interest Matrix</w:t>
      </w:r>
    </w:p>
    <w:p w14:paraId="2754EB6A" w14:textId="49DEC3AA" w:rsidR="003359C9" w:rsidRPr="002E6D21" w:rsidRDefault="001122E4" w:rsidP="00422685">
      <w:pPr>
        <w:spacing w:line="360" w:lineRule="auto"/>
        <w:ind w:left="720"/>
        <w:jc w:val="both"/>
        <w:rPr>
          <w:rFonts w:ascii="Times New Roman" w:hAnsi="Times New Roman" w:cs="Times New Roman"/>
          <w:sz w:val="24"/>
          <w:szCs w:val="24"/>
        </w:rPr>
      </w:pPr>
      <w:r w:rsidRPr="002E6D21">
        <w:rPr>
          <w:rFonts w:ascii="Times New Roman" w:hAnsi="Times New Roman" w:cs="Times New Roman"/>
          <w:sz w:val="24"/>
          <w:szCs w:val="24"/>
        </w:rPr>
        <w:t xml:space="preserve">Source: Adapted from Johnson, </w:t>
      </w:r>
      <w:r w:rsidR="008C1028" w:rsidRPr="002E6D21">
        <w:rPr>
          <w:rFonts w:ascii="Times New Roman" w:hAnsi="Times New Roman" w:cs="Times New Roman"/>
          <w:sz w:val="24"/>
          <w:szCs w:val="24"/>
        </w:rPr>
        <w:t>Scholes,</w:t>
      </w:r>
      <w:r w:rsidRPr="002E6D21">
        <w:rPr>
          <w:rFonts w:ascii="Times New Roman" w:hAnsi="Times New Roman" w:cs="Times New Roman"/>
          <w:sz w:val="24"/>
          <w:szCs w:val="24"/>
        </w:rPr>
        <w:t xml:space="preserve"> and Whittington (2020).</w:t>
      </w:r>
    </w:p>
    <w:p w14:paraId="1CB5A403" w14:textId="77777777" w:rsidR="003359C9" w:rsidRPr="002E6D21" w:rsidRDefault="003359C9" w:rsidP="00422685">
      <w:pPr>
        <w:spacing w:line="360" w:lineRule="auto"/>
        <w:jc w:val="both"/>
        <w:rPr>
          <w:rFonts w:ascii="Times New Roman" w:hAnsi="Times New Roman" w:cs="Times New Roman"/>
          <w:sz w:val="24"/>
          <w:szCs w:val="24"/>
        </w:rPr>
      </w:pPr>
    </w:p>
    <w:p w14:paraId="65670584" w14:textId="253396E0" w:rsidR="003359C9" w:rsidRPr="002E6D21" w:rsidRDefault="009668BD" w:rsidP="00422685">
      <w:pPr>
        <w:spacing w:line="360" w:lineRule="auto"/>
        <w:jc w:val="both"/>
        <w:rPr>
          <w:rFonts w:ascii="Times New Roman" w:hAnsi="Times New Roman" w:cs="Times New Roman"/>
          <w:sz w:val="24"/>
          <w:szCs w:val="24"/>
        </w:rPr>
      </w:pPr>
      <w:r w:rsidRPr="002E6D21">
        <w:rPr>
          <w:rFonts w:ascii="Times New Roman" w:hAnsi="Times New Roman" w:cs="Times New Roman"/>
          <w:noProof/>
          <w:sz w:val="24"/>
          <w:szCs w:val="24"/>
        </w:rPr>
        <w:drawing>
          <wp:inline distT="0" distB="0" distL="0" distR="0" wp14:anchorId="472FD0F0" wp14:editId="621F6B81">
            <wp:extent cx="5486400" cy="3200400"/>
            <wp:effectExtent l="0" t="19050" r="0" b="19050"/>
            <wp:docPr id="72361427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9F934EE" w14:textId="77777777" w:rsidR="00905E2C" w:rsidRPr="002E6D21" w:rsidRDefault="00905E2C" w:rsidP="00422685">
      <w:pPr>
        <w:spacing w:line="360" w:lineRule="auto"/>
        <w:jc w:val="both"/>
        <w:rPr>
          <w:rFonts w:ascii="Times New Roman" w:hAnsi="Times New Roman" w:cs="Times New Roman"/>
          <w:b/>
          <w:bCs/>
          <w:sz w:val="24"/>
          <w:szCs w:val="24"/>
        </w:rPr>
      </w:pPr>
    </w:p>
    <w:p w14:paraId="67D5B314" w14:textId="77777777" w:rsidR="005B7788" w:rsidRPr="002E6D21" w:rsidRDefault="005B7788" w:rsidP="00422685">
      <w:pPr>
        <w:spacing w:line="360" w:lineRule="auto"/>
        <w:jc w:val="both"/>
        <w:rPr>
          <w:rFonts w:ascii="Times New Roman" w:hAnsi="Times New Roman" w:cs="Times New Roman"/>
          <w:b/>
          <w:bCs/>
          <w:sz w:val="24"/>
          <w:szCs w:val="24"/>
        </w:rPr>
      </w:pPr>
    </w:p>
    <w:p w14:paraId="7757F64A" w14:textId="77777777" w:rsidR="00F12FBF" w:rsidRPr="002E6D21" w:rsidRDefault="00F12FBF" w:rsidP="00422685">
      <w:pPr>
        <w:spacing w:line="360" w:lineRule="auto"/>
        <w:ind w:left="720"/>
        <w:jc w:val="both"/>
        <w:rPr>
          <w:rFonts w:ascii="Times New Roman" w:hAnsi="Times New Roman" w:cs="Times New Roman"/>
          <w:sz w:val="24"/>
          <w:szCs w:val="24"/>
        </w:rPr>
      </w:pPr>
    </w:p>
    <w:p w14:paraId="26EA45C8" w14:textId="77777777" w:rsidR="00F12FBF" w:rsidRPr="002E6D21" w:rsidRDefault="00F12FBF" w:rsidP="00422685">
      <w:pPr>
        <w:spacing w:line="360" w:lineRule="auto"/>
        <w:ind w:left="720"/>
        <w:jc w:val="both"/>
        <w:rPr>
          <w:rFonts w:ascii="Times New Roman" w:hAnsi="Times New Roman" w:cs="Times New Roman"/>
          <w:sz w:val="24"/>
          <w:szCs w:val="24"/>
        </w:rPr>
      </w:pPr>
    </w:p>
    <w:p w14:paraId="33842EC7" w14:textId="77777777" w:rsidR="00F12FBF" w:rsidRPr="002E6D21" w:rsidRDefault="00F12FBF" w:rsidP="00422685">
      <w:pPr>
        <w:spacing w:line="360" w:lineRule="auto"/>
        <w:ind w:left="720"/>
        <w:jc w:val="both"/>
        <w:rPr>
          <w:rFonts w:ascii="Times New Roman" w:hAnsi="Times New Roman" w:cs="Times New Roman"/>
          <w:sz w:val="24"/>
          <w:szCs w:val="24"/>
        </w:rPr>
      </w:pPr>
    </w:p>
    <w:p w14:paraId="678C5C2F" w14:textId="77777777" w:rsidR="00EE351E" w:rsidRPr="002E6D21" w:rsidRDefault="00EE351E" w:rsidP="00422685">
      <w:pPr>
        <w:spacing w:line="360" w:lineRule="auto"/>
        <w:jc w:val="both"/>
        <w:rPr>
          <w:rFonts w:ascii="Times New Roman" w:hAnsi="Times New Roman" w:cs="Times New Roman"/>
          <w:sz w:val="24"/>
          <w:szCs w:val="24"/>
        </w:rPr>
      </w:pPr>
    </w:p>
    <w:p w14:paraId="2FC6407B" w14:textId="77777777" w:rsidR="00C17D1D" w:rsidRPr="002E6D21" w:rsidRDefault="00C17D1D" w:rsidP="00422685">
      <w:pPr>
        <w:spacing w:line="360" w:lineRule="auto"/>
        <w:jc w:val="both"/>
        <w:rPr>
          <w:rFonts w:ascii="Times New Roman" w:hAnsi="Times New Roman" w:cs="Times New Roman"/>
          <w:b/>
          <w:bCs/>
          <w:sz w:val="24"/>
          <w:szCs w:val="24"/>
        </w:rPr>
      </w:pPr>
    </w:p>
    <w:p w14:paraId="29B10170" w14:textId="77777777" w:rsidR="00B07581" w:rsidRDefault="00B07581" w:rsidP="00422685">
      <w:pPr>
        <w:spacing w:line="360" w:lineRule="auto"/>
        <w:jc w:val="both"/>
        <w:rPr>
          <w:rFonts w:ascii="Times New Roman" w:hAnsi="Times New Roman" w:cs="Times New Roman"/>
          <w:b/>
          <w:bCs/>
        </w:rPr>
      </w:pPr>
    </w:p>
    <w:p w14:paraId="01F890C1" w14:textId="77777777" w:rsidR="00B07581" w:rsidRDefault="00B07581" w:rsidP="00422685">
      <w:pPr>
        <w:spacing w:line="360" w:lineRule="auto"/>
        <w:jc w:val="both"/>
        <w:rPr>
          <w:rFonts w:ascii="Times New Roman" w:hAnsi="Times New Roman" w:cs="Times New Roman"/>
          <w:b/>
          <w:bCs/>
        </w:rPr>
      </w:pPr>
    </w:p>
    <w:p w14:paraId="2640FAED" w14:textId="77777777" w:rsidR="00B07581" w:rsidRDefault="00B07581" w:rsidP="00422685">
      <w:pPr>
        <w:spacing w:line="360" w:lineRule="auto"/>
        <w:jc w:val="both"/>
        <w:rPr>
          <w:rFonts w:ascii="Times New Roman" w:hAnsi="Times New Roman" w:cs="Times New Roman"/>
          <w:b/>
          <w:bCs/>
        </w:rPr>
      </w:pPr>
    </w:p>
    <w:p w14:paraId="2FE20A79" w14:textId="77777777" w:rsidR="00B07581" w:rsidRDefault="00B07581" w:rsidP="00422685">
      <w:pPr>
        <w:spacing w:line="360" w:lineRule="auto"/>
        <w:jc w:val="both"/>
        <w:rPr>
          <w:rFonts w:ascii="Times New Roman" w:hAnsi="Times New Roman" w:cs="Times New Roman"/>
          <w:b/>
          <w:bCs/>
        </w:rPr>
      </w:pPr>
    </w:p>
    <w:p w14:paraId="2D02D636" w14:textId="25E72779" w:rsidR="000B58C1" w:rsidRPr="002E6D21" w:rsidRDefault="004107C4" w:rsidP="00422685">
      <w:pPr>
        <w:spacing w:line="360" w:lineRule="auto"/>
        <w:jc w:val="both"/>
        <w:rPr>
          <w:rFonts w:ascii="Times New Roman" w:hAnsi="Times New Roman" w:cs="Times New Roman"/>
          <w:b/>
          <w:bCs/>
        </w:rPr>
      </w:pPr>
      <w:r w:rsidRPr="002E6D21">
        <w:rPr>
          <w:rFonts w:ascii="Times New Roman" w:hAnsi="Times New Roman" w:cs="Times New Roman"/>
          <w:b/>
          <w:bCs/>
        </w:rPr>
        <w:lastRenderedPageBreak/>
        <w:t xml:space="preserve">REFERENCES: </w:t>
      </w:r>
    </w:p>
    <w:p w14:paraId="0A8FA6D8"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Aaltonen, K. and Kujala, J. (2010) ‘A project lifecycle perspective on stakeholder influence strategies in global projects’, </w:t>
      </w:r>
      <w:r w:rsidRPr="002E6D21">
        <w:rPr>
          <w:rFonts w:ascii="Times New Roman" w:hAnsi="Times New Roman" w:cs="Times New Roman"/>
          <w:i/>
          <w:iCs/>
          <w:sz w:val="24"/>
          <w:szCs w:val="24"/>
        </w:rPr>
        <w:t>Scandinavian Journal of Management</w:t>
      </w:r>
      <w:r w:rsidRPr="002E6D21">
        <w:rPr>
          <w:rFonts w:ascii="Times New Roman" w:hAnsi="Times New Roman" w:cs="Times New Roman"/>
          <w:sz w:val="24"/>
          <w:szCs w:val="24"/>
        </w:rPr>
        <w:t>, 26(4), pp. 381-397.</w:t>
      </w:r>
    </w:p>
    <w:p w14:paraId="4400596D" w14:textId="600FC8F5"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Ashcroft, J. (2017) </w:t>
      </w:r>
      <w:r w:rsidRPr="002E6D21">
        <w:rPr>
          <w:rFonts w:ascii="Times New Roman" w:hAnsi="Times New Roman" w:cs="Times New Roman"/>
          <w:i/>
          <w:iCs/>
          <w:sz w:val="24"/>
          <w:szCs w:val="24"/>
        </w:rPr>
        <w:t xml:space="preserve">The relational lens: Understanding, </w:t>
      </w:r>
      <w:r w:rsidR="008C1028" w:rsidRPr="002E6D21">
        <w:rPr>
          <w:rFonts w:ascii="Times New Roman" w:hAnsi="Times New Roman" w:cs="Times New Roman"/>
          <w:i/>
          <w:iCs/>
          <w:sz w:val="24"/>
          <w:szCs w:val="24"/>
        </w:rPr>
        <w:t>measuring,</w:t>
      </w:r>
      <w:r w:rsidRPr="002E6D21">
        <w:rPr>
          <w:rFonts w:ascii="Times New Roman" w:hAnsi="Times New Roman" w:cs="Times New Roman"/>
          <w:i/>
          <w:iCs/>
          <w:sz w:val="24"/>
          <w:szCs w:val="24"/>
        </w:rPr>
        <w:t xml:space="preserve"> and managing stakeholder relationships</w:t>
      </w:r>
      <w:r w:rsidRPr="002E6D21">
        <w:rPr>
          <w:rFonts w:ascii="Times New Roman" w:hAnsi="Times New Roman" w:cs="Times New Roman"/>
          <w:sz w:val="24"/>
          <w:szCs w:val="24"/>
        </w:rPr>
        <w:t>. Cambridge: Cambridge University Press.</w:t>
      </w:r>
    </w:p>
    <w:p w14:paraId="5C7383D6"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ASOS plc (2024) </w:t>
      </w:r>
      <w:r w:rsidRPr="002E6D21">
        <w:rPr>
          <w:rFonts w:ascii="Times New Roman" w:hAnsi="Times New Roman" w:cs="Times New Roman"/>
          <w:i/>
          <w:iCs/>
          <w:sz w:val="24"/>
          <w:szCs w:val="24"/>
        </w:rPr>
        <w:t>Annual Report and Accounts 2024</w:t>
      </w:r>
      <w:r w:rsidRPr="002E6D21">
        <w:rPr>
          <w:rFonts w:ascii="Times New Roman" w:hAnsi="Times New Roman" w:cs="Times New Roman"/>
          <w:sz w:val="24"/>
          <w:szCs w:val="24"/>
        </w:rPr>
        <w:t>. London: ASOS plc. Available at: https://www.asosplc.com/investors (Accessed: 31 July 2026).</w:t>
      </w:r>
    </w:p>
    <w:p w14:paraId="56958F65"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Bourne, L. (2015) </w:t>
      </w:r>
      <w:r w:rsidRPr="002E6D21">
        <w:rPr>
          <w:rFonts w:ascii="Times New Roman" w:hAnsi="Times New Roman" w:cs="Times New Roman"/>
          <w:i/>
          <w:iCs/>
          <w:sz w:val="24"/>
          <w:szCs w:val="24"/>
        </w:rPr>
        <w:t>Stakeholder management in construction projects</w:t>
      </w:r>
      <w:r w:rsidRPr="002E6D21">
        <w:rPr>
          <w:rFonts w:ascii="Times New Roman" w:hAnsi="Times New Roman" w:cs="Times New Roman"/>
          <w:sz w:val="24"/>
          <w:szCs w:val="24"/>
        </w:rPr>
        <w:t>. Chichester: Wiley-Blackwell.</w:t>
      </w:r>
    </w:p>
    <w:p w14:paraId="42AAE9B0"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Boxall, P. and Purcell, J. (2023) </w:t>
      </w:r>
      <w:r w:rsidRPr="002E6D21">
        <w:rPr>
          <w:rFonts w:ascii="Times New Roman" w:hAnsi="Times New Roman" w:cs="Times New Roman"/>
          <w:i/>
          <w:iCs/>
          <w:sz w:val="24"/>
          <w:szCs w:val="24"/>
        </w:rPr>
        <w:t>Strategy and human resource management</w:t>
      </w:r>
      <w:r w:rsidRPr="002E6D21">
        <w:rPr>
          <w:rFonts w:ascii="Times New Roman" w:hAnsi="Times New Roman" w:cs="Times New Roman"/>
          <w:sz w:val="24"/>
          <w:szCs w:val="24"/>
        </w:rPr>
        <w:t>. 5th edn. London: Bloomsbury Academic.</w:t>
      </w:r>
    </w:p>
    <w:p w14:paraId="31D3D02B"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Burtonshaw-Gunn, S.A. (2008) </w:t>
      </w:r>
      <w:r w:rsidRPr="002E6D21">
        <w:rPr>
          <w:rFonts w:ascii="Times New Roman" w:hAnsi="Times New Roman" w:cs="Times New Roman"/>
          <w:i/>
          <w:iCs/>
          <w:sz w:val="24"/>
          <w:szCs w:val="24"/>
        </w:rPr>
        <w:t>Project management: A practical guide</w:t>
      </w:r>
      <w:r w:rsidRPr="002E6D21">
        <w:rPr>
          <w:rFonts w:ascii="Times New Roman" w:hAnsi="Times New Roman" w:cs="Times New Roman"/>
          <w:sz w:val="24"/>
          <w:szCs w:val="24"/>
        </w:rPr>
        <w:t>. London: Kogan Page.</w:t>
      </w:r>
    </w:p>
    <w:p w14:paraId="25E5C32F" w14:textId="7012AE9B"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Christopher, M., Payne, </w:t>
      </w:r>
      <w:r w:rsidR="008C1028" w:rsidRPr="002E6D21">
        <w:rPr>
          <w:rFonts w:ascii="Times New Roman" w:hAnsi="Times New Roman" w:cs="Times New Roman"/>
          <w:sz w:val="24"/>
          <w:szCs w:val="24"/>
        </w:rPr>
        <w:t>A.,</w:t>
      </w:r>
      <w:r w:rsidRPr="002E6D21">
        <w:rPr>
          <w:rFonts w:ascii="Times New Roman" w:hAnsi="Times New Roman" w:cs="Times New Roman"/>
          <w:sz w:val="24"/>
          <w:szCs w:val="24"/>
        </w:rPr>
        <w:t xml:space="preserve"> and Ballantyne, D. (2013) </w:t>
      </w:r>
      <w:r w:rsidRPr="002E6D21">
        <w:rPr>
          <w:rFonts w:ascii="Times New Roman" w:hAnsi="Times New Roman" w:cs="Times New Roman"/>
          <w:i/>
          <w:iCs/>
          <w:sz w:val="24"/>
          <w:szCs w:val="24"/>
        </w:rPr>
        <w:t>Relationship marketing: Creating stakeholder value</w:t>
      </w:r>
      <w:r w:rsidRPr="002E6D21">
        <w:rPr>
          <w:rFonts w:ascii="Times New Roman" w:hAnsi="Times New Roman" w:cs="Times New Roman"/>
          <w:sz w:val="24"/>
          <w:szCs w:val="24"/>
        </w:rPr>
        <w:t>. Abingdon: Routledge.</w:t>
      </w:r>
    </w:p>
    <w:p w14:paraId="7A7DB970"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Donaldson, T. and Preston, L.E. (1995) ‘The stakeholder theory of the corporation: Concepts, evidence, and implications’, </w:t>
      </w:r>
      <w:r w:rsidRPr="002E6D21">
        <w:rPr>
          <w:rFonts w:ascii="Times New Roman" w:hAnsi="Times New Roman" w:cs="Times New Roman"/>
          <w:i/>
          <w:iCs/>
          <w:sz w:val="24"/>
          <w:szCs w:val="24"/>
        </w:rPr>
        <w:t>Academy of Management Review</w:t>
      </w:r>
      <w:r w:rsidRPr="002E6D21">
        <w:rPr>
          <w:rFonts w:ascii="Times New Roman" w:hAnsi="Times New Roman" w:cs="Times New Roman"/>
          <w:sz w:val="24"/>
          <w:szCs w:val="24"/>
        </w:rPr>
        <w:t>, 20(1), pp. 65-91.</w:t>
      </w:r>
    </w:p>
    <w:p w14:paraId="1EA8AE44" w14:textId="77777777" w:rsidR="00311889" w:rsidRPr="002E6D21" w:rsidRDefault="00311889"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Dwivedi, Y.K., Hughes, L., Ismagilova, E. et al. (2020) ‘Artificial intelligence (AI): Multidisciplinary perspectives on emerging challenges, opportunities and agenda for research, practice and policy’, </w:t>
      </w:r>
      <w:r w:rsidRPr="002E6D21">
        <w:rPr>
          <w:rFonts w:ascii="Times New Roman" w:hAnsi="Times New Roman" w:cs="Times New Roman"/>
          <w:i/>
          <w:iCs/>
          <w:sz w:val="24"/>
          <w:szCs w:val="24"/>
        </w:rPr>
        <w:t>International Journal of Information Management</w:t>
      </w:r>
      <w:r w:rsidRPr="002E6D21">
        <w:rPr>
          <w:rFonts w:ascii="Times New Roman" w:hAnsi="Times New Roman" w:cs="Times New Roman"/>
          <w:sz w:val="24"/>
          <w:szCs w:val="24"/>
        </w:rPr>
        <w:t>, 57, 101994.</w:t>
      </w:r>
    </w:p>
    <w:p w14:paraId="64CB3348"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European Commission (2024) </w:t>
      </w:r>
      <w:r w:rsidRPr="002E6D21">
        <w:rPr>
          <w:rFonts w:ascii="Times New Roman" w:hAnsi="Times New Roman" w:cs="Times New Roman"/>
          <w:i/>
          <w:iCs/>
          <w:sz w:val="24"/>
          <w:szCs w:val="24"/>
        </w:rPr>
        <w:t>AI Act</w:t>
      </w:r>
      <w:r w:rsidRPr="002E6D21">
        <w:rPr>
          <w:rFonts w:ascii="Times New Roman" w:hAnsi="Times New Roman" w:cs="Times New Roman"/>
          <w:sz w:val="24"/>
          <w:szCs w:val="24"/>
        </w:rPr>
        <w:t>. Available at: https://digital-strategy.ec.europa.eu/en/policies/regulatory-framework-ai (Accessed: 30 July 2026).</w:t>
      </w:r>
    </w:p>
    <w:p w14:paraId="627B4059"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Freeman, R.E. (1984) </w:t>
      </w:r>
      <w:r w:rsidRPr="002E6D21">
        <w:rPr>
          <w:rFonts w:ascii="Times New Roman" w:hAnsi="Times New Roman" w:cs="Times New Roman"/>
          <w:i/>
          <w:iCs/>
          <w:sz w:val="24"/>
          <w:szCs w:val="24"/>
        </w:rPr>
        <w:t>Strategic management: A stakeholder approach</w:t>
      </w:r>
      <w:r w:rsidRPr="002E6D21">
        <w:rPr>
          <w:rFonts w:ascii="Times New Roman" w:hAnsi="Times New Roman" w:cs="Times New Roman"/>
          <w:sz w:val="24"/>
          <w:szCs w:val="24"/>
        </w:rPr>
        <w:t>. Boston: Pitman.</w:t>
      </w:r>
    </w:p>
    <w:p w14:paraId="2D608574"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Greenwood, M. and Freeman, R.E. (2024) </w:t>
      </w:r>
      <w:r w:rsidRPr="002E6D21">
        <w:rPr>
          <w:rFonts w:ascii="Times New Roman" w:hAnsi="Times New Roman" w:cs="Times New Roman"/>
          <w:i/>
          <w:iCs/>
          <w:sz w:val="24"/>
          <w:szCs w:val="24"/>
        </w:rPr>
        <w:t>Stakeholder engagement and organisational value</w:t>
      </w:r>
      <w:r w:rsidRPr="002E6D21">
        <w:rPr>
          <w:rFonts w:ascii="Times New Roman" w:hAnsi="Times New Roman" w:cs="Times New Roman"/>
          <w:sz w:val="24"/>
          <w:szCs w:val="24"/>
        </w:rPr>
        <w:t>. Cambridge: Cambridge University Press.</w:t>
      </w:r>
    </w:p>
    <w:p w14:paraId="6AEC74ED"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Harrison, J.S., Freeman, R.E. and Abreu, M.C.S. (2023) </w:t>
      </w:r>
      <w:r w:rsidRPr="002E6D21">
        <w:rPr>
          <w:rFonts w:ascii="Times New Roman" w:hAnsi="Times New Roman" w:cs="Times New Roman"/>
          <w:i/>
          <w:iCs/>
          <w:sz w:val="24"/>
          <w:szCs w:val="24"/>
        </w:rPr>
        <w:t>Stakeholder theory: Concepts and strategies</w:t>
      </w:r>
      <w:r w:rsidRPr="002E6D21">
        <w:rPr>
          <w:rFonts w:ascii="Times New Roman" w:hAnsi="Times New Roman" w:cs="Times New Roman"/>
          <w:sz w:val="24"/>
          <w:szCs w:val="24"/>
        </w:rPr>
        <w:t>. Cambridge: Cambridge University Press.</w:t>
      </w:r>
    </w:p>
    <w:p w14:paraId="0C4E945F"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Information Commissioner’s Office (ICO) (2024) </w:t>
      </w:r>
      <w:r w:rsidRPr="002E6D21">
        <w:rPr>
          <w:rFonts w:ascii="Times New Roman" w:hAnsi="Times New Roman" w:cs="Times New Roman"/>
          <w:i/>
          <w:iCs/>
          <w:sz w:val="24"/>
          <w:szCs w:val="24"/>
        </w:rPr>
        <w:t>Guidance on AI and data protection</w:t>
      </w:r>
      <w:r w:rsidRPr="002E6D21">
        <w:rPr>
          <w:rFonts w:ascii="Times New Roman" w:hAnsi="Times New Roman" w:cs="Times New Roman"/>
          <w:sz w:val="24"/>
          <w:szCs w:val="24"/>
        </w:rPr>
        <w:t>. Available at: https://ico.org.uk (Accessed: 30 July 2026).</w:t>
      </w:r>
    </w:p>
    <w:p w14:paraId="3D9EC61F" w14:textId="26458641"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lastRenderedPageBreak/>
        <w:t xml:space="preserve">Johnson, G., Whittington, </w:t>
      </w:r>
      <w:r w:rsidR="008C1028" w:rsidRPr="002E6D21">
        <w:rPr>
          <w:rFonts w:ascii="Times New Roman" w:hAnsi="Times New Roman" w:cs="Times New Roman"/>
          <w:sz w:val="24"/>
          <w:szCs w:val="24"/>
        </w:rPr>
        <w:t>R.,</w:t>
      </w:r>
      <w:r w:rsidRPr="002E6D21">
        <w:rPr>
          <w:rFonts w:ascii="Times New Roman" w:hAnsi="Times New Roman" w:cs="Times New Roman"/>
          <w:sz w:val="24"/>
          <w:szCs w:val="24"/>
        </w:rPr>
        <w:t xml:space="preserve"> and Scholes, K. (2020) </w:t>
      </w:r>
      <w:r w:rsidRPr="002E6D21">
        <w:rPr>
          <w:rFonts w:ascii="Times New Roman" w:hAnsi="Times New Roman" w:cs="Times New Roman"/>
          <w:i/>
          <w:iCs/>
          <w:sz w:val="24"/>
          <w:szCs w:val="24"/>
        </w:rPr>
        <w:t>Exploring strategy</w:t>
      </w:r>
      <w:r w:rsidRPr="002E6D21">
        <w:rPr>
          <w:rFonts w:ascii="Times New Roman" w:hAnsi="Times New Roman" w:cs="Times New Roman"/>
          <w:sz w:val="24"/>
          <w:szCs w:val="24"/>
        </w:rPr>
        <w:t>. 12th edn. Harlow: Pearson.</w:t>
      </w:r>
    </w:p>
    <w:p w14:paraId="0F23634A" w14:textId="60C5DE33"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Kerzner, H. (2022) </w:t>
      </w:r>
      <w:r w:rsidRPr="002E6D21">
        <w:rPr>
          <w:rFonts w:ascii="Times New Roman" w:hAnsi="Times New Roman" w:cs="Times New Roman"/>
          <w:i/>
          <w:iCs/>
          <w:sz w:val="24"/>
          <w:szCs w:val="24"/>
        </w:rPr>
        <w:t xml:space="preserve">Project management: A systems approach to planning, </w:t>
      </w:r>
      <w:r w:rsidR="008C1028" w:rsidRPr="002E6D21">
        <w:rPr>
          <w:rFonts w:ascii="Times New Roman" w:hAnsi="Times New Roman" w:cs="Times New Roman"/>
          <w:i/>
          <w:iCs/>
          <w:sz w:val="24"/>
          <w:szCs w:val="24"/>
        </w:rPr>
        <w:t>scheduling,</w:t>
      </w:r>
      <w:r w:rsidRPr="002E6D21">
        <w:rPr>
          <w:rFonts w:ascii="Times New Roman" w:hAnsi="Times New Roman" w:cs="Times New Roman"/>
          <w:i/>
          <w:iCs/>
          <w:sz w:val="24"/>
          <w:szCs w:val="24"/>
        </w:rPr>
        <w:t xml:space="preserve"> and controlling</w:t>
      </w:r>
      <w:r w:rsidRPr="002E6D21">
        <w:rPr>
          <w:rFonts w:ascii="Times New Roman" w:hAnsi="Times New Roman" w:cs="Times New Roman"/>
          <w:sz w:val="24"/>
          <w:szCs w:val="24"/>
        </w:rPr>
        <w:t>. 14th edn. Hoboken, NJ: Wiley.</w:t>
      </w:r>
    </w:p>
    <w:p w14:paraId="5BA4C10F" w14:textId="31D4E5E3"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Kujala, J., Sachs, S. and Leinonen, H. (2022) </w:t>
      </w:r>
      <w:r w:rsidRPr="002E6D21">
        <w:rPr>
          <w:rFonts w:ascii="Times New Roman" w:hAnsi="Times New Roman" w:cs="Times New Roman"/>
          <w:i/>
          <w:iCs/>
          <w:sz w:val="24"/>
          <w:szCs w:val="24"/>
        </w:rPr>
        <w:t xml:space="preserve">Stakeholder engagement: Past, </w:t>
      </w:r>
      <w:r w:rsidR="008C1028" w:rsidRPr="002E6D21">
        <w:rPr>
          <w:rFonts w:ascii="Times New Roman" w:hAnsi="Times New Roman" w:cs="Times New Roman"/>
          <w:i/>
          <w:iCs/>
          <w:sz w:val="24"/>
          <w:szCs w:val="24"/>
        </w:rPr>
        <w:t>present,</w:t>
      </w:r>
      <w:r w:rsidRPr="002E6D21">
        <w:rPr>
          <w:rFonts w:ascii="Times New Roman" w:hAnsi="Times New Roman" w:cs="Times New Roman"/>
          <w:i/>
          <w:iCs/>
          <w:sz w:val="24"/>
          <w:szCs w:val="24"/>
        </w:rPr>
        <w:t xml:space="preserve"> and future</w:t>
      </w:r>
      <w:r w:rsidRPr="002E6D21">
        <w:rPr>
          <w:rFonts w:ascii="Times New Roman" w:hAnsi="Times New Roman" w:cs="Times New Roman"/>
          <w:sz w:val="24"/>
          <w:szCs w:val="24"/>
        </w:rPr>
        <w:t>. Bingley: Emerald Publishing.</w:t>
      </w:r>
    </w:p>
    <w:p w14:paraId="5A8F389C"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Mitchell, R.K., Agle, B.R. and Wood, D.J. (1997) ‘Toward a theory of stakeholder identification and salience: Defining the principle of who and what really counts’, </w:t>
      </w:r>
      <w:r w:rsidRPr="002E6D21">
        <w:rPr>
          <w:rFonts w:ascii="Times New Roman" w:hAnsi="Times New Roman" w:cs="Times New Roman"/>
          <w:i/>
          <w:iCs/>
          <w:sz w:val="24"/>
          <w:szCs w:val="24"/>
        </w:rPr>
        <w:t>Academy of Management Review</w:t>
      </w:r>
      <w:r w:rsidRPr="002E6D21">
        <w:rPr>
          <w:rFonts w:ascii="Times New Roman" w:hAnsi="Times New Roman" w:cs="Times New Roman"/>
          <w:sz w:val="24"/>
          <w:szCs w:val="24"/>
        </w:rPr>
        <w:t>, 22(4), pp. 853-886.</w:t>
      </w:r>
    </w:p>
    <w:p w14:paraId="437BA28C" w14:textId="77777777" w:rsidR="004107C4" w:rsidRPr="002E6D21" w:rsidRDefault="004107C4" w:rsidP="00422685">
      <w:pPr>
        <w:spacing w:line="360" w:lineRule="auto"/>
        <w:jc w:val="both"/>
        <w:rPr>
          <w:rFonts w:ascii="Times New Roman" w:hAnsi="Times New Roman" w:cs="Times New Roman"/>
          <w:sz w:val="24"/>
          <w:szCs w:val="24"/>
        </w:rPr>
      </w:pPr>
      <w:r w:rsidRPr="002E6D21">
        <w:rPr>
          <w:rFonts w:ascii="Times New Roman" w:hAnsi="Times New Roman" w:cs="Times New Roman"/>
          <w:sz w:val="24"/>
          <w:szCs w:val="24"/>
        </w:rPr>
        <w:t xml:space="preserve">Rowley, T.J. (1997) ‘Moving beyond dyadic ties: A network theory of stakeholder influences’, </w:t>
      </w:r>
      <w:r w:rsidRPr="002E6D21">
        <w:rPr>
          <w:rFonts w:ascii="Times New Roman" w:hAnsi="Times New Roman" w:cs="Times New Roman"/>
          <w:i/>
          <w:iCs/>
          <w:sz w:val="24"/>
          <w:szCs w:val="24"/>
        </w:rPr>
        <w:t>Academy of Management Review</w:t>
      </w:r>
      <w:r w:rsidRPr="002E6D21">
        <w:rPr>
          <w:rFonts w:ascii="Times New Roman" w:hAnsi="Times New Roman" w:cs="Times New Roman"/>
          <w:sz w:val="24"/>
          <w:szCs w:val="24"/>
        </w:rPr>
        <w:t>, 22(4), pp. 887-910.</w:t>
      </w:r>
    </w:p>
    <w:p w14:paraId="55C1E589" w14:textId="77777777" w:rsidR="004107C4" w:rsidRPr="002E6D21" w:rsidRDefault="004107C4" w:rsidP="00422685">
      <w:pPr>
        <w:spacing w:line="360" w:lineRule="auto"/>
        <w:jc w:val="both"/>
        <w:rPr>
          <w:rFonts w:ascii="Times New Roman" w:hAnsi="Times New Roman" w:cs="Times New Roman"/>
        </w:rPr>
      </w:pPr>
    </w:p>
    <w:sectPr w:rsidR="004107C4" w:rsidRPr="002E6D2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76659" w14:textId="77777777" w:rsidR="006A6D0A" w:rsidRDefault="006A6D0A" w:rsidP="00DF7FC1">
      <w:pPr>
        <w:spacing w:after="0" w:line="240" w:lineRule="auto"/>
      </w:pPr>
      <w:r>
        <w:separator/>
      </w:r>
    </w:p>
  </w:endnote>
  <w:endnote w:type="continuationSeparator" w:id="0">
    <w:p w14:paraId="2AEEB899" w14:textId="77777777" w:rsidR="006A6D0A" w:rsidRDefault="006A6D0A" w:rsidP="00DF7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370385"/>
      <w:docPartObj>
        <w:docPartGallery w:val="Page Numbers (Bottom of Page)"/>
        <w:docPartUnique/>
      </w:docPartObj>
    </w:sdtPr>
    <w:sdtContent>
      <w:p w14:paraId="25BC5BBC" w14:textId="4FEAA1B0" w:rsidR="00DF7FC1" w:rsidRDefault="00DF7FC1">
        <w:pPr>
          <w:pStyle w:val="Footer"/>
          <w:jc w:val="center"/>
        </w:pPr>
        <w:r>
          <w:fldChar w:fldCharType="begin"/>
        </w:r>
        <w:r>
          <w:instrText>PAGE   \* MERGEFORMAT</w:instrText>
        </w:r>
        <w:r>
          <w:fldChar w:fldCharType="separate"/>
        </w:r>
        <w:r>
          <w:t>2</w:t>
        </w:r>
        <w:r>
          <w:fldChar w:fldCharType="end"/>
        </w:r>
      </w:p>
    </w:sdtContent>
  </w:sdt>
  <w:p w14:paraId="578D983C" w14:textId="77777777" w:rsidR="00DF7FC1" w:rsidRDefault="00DF7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AA594" w14:textId="77777777" w:rsidR="006A6D0A" w:rsidRDefault="006A6D0A" w:rsidP="00DF7FC1">
      <w:pPr>
        <w:spacing w:after="0" w:line="240" w:lineRule="auto"/>
      </w:pPr>
      <w:r>
        <w:separator/>
      </w:r>
    </w:p>
  </w:footnote>
  <w:footnote w:type="continuationSeparator" w:id="0">
    <w:p w14:paraId="71CDC6D3" w14:textId="77777777" w:rsidR="006A6D0A" w:rsidRDefault="006A6D0A" w:rsidP="00DF7F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327A4"/>
    <w:multiLevelType w:val="multilevel"/>
    <w:tmpl w:val="FD96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24855"/>
    <w:multiLevelType w:val="multilevel"/>
    <w:tmpl w:val="32D6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42254">
    <w:abstractNumId w:val="0"/>
  </w:num>
  <w:num w:numId="2" w16cid:durableId="189905035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385"/>
    <w:rsid w:val="000005FC"/>
    <w:rsid w:val="00000F7E"/>
    <w:rsid w:val="0000409E"/>
    <w:rsid w:val="00011EB1"/>
    <w:rsid w:val="00016D4A"/>
    <w:rsid w:val="00017189"/>
    <w:rsid w:val="00020324"/>
    <w:rsid w:val="00020621"/>
    <w:rsid w:val="00024F04"/>
    <w:rsid w:val="00026290"/>
    <w:rsid w:val="00027A48"/>
    <w:rsid w:val="0003250F"/>
    <w:rsid w:val="000372D5"/>
    <w:rsid w:val="000406FD"/>
    <w:rsid w:val="000409C7"/>
    <w:rsid w:val="000434EB"/>
    <w:rsid w:val="0005156D"/>
    <w:rsid w:val="0005710F"/>
    <w:rsid w:val="000616C5"/>
    <w:rsid w:val="00063105"/>
    <w:rsid w:val="000774FF"/>
    <w:rsid w:val="0008308A"/>
    <w:rsid w:val="000844BA"/>
    <w:rsid w:val="0009040B"/>
    <w:rsid w:val="00095479"/>
    <w:rsid w:val="000A447E"/>
    <w:rsid w:val="000A5346"/>
    <w:rsid w:val="000B33D1"/>
    <w:rsid w:val="000B58C1"/>
    <w:rsid w:val="000B6945"/>
    <w:rsid w:val="000C1370"/>
    <w:rsid w:val="000C3956"/>
    <w:rsid w:val="000C5C21"/>
    <w:rsid w:val="000D3440"/>
    <w:rsid w:val="000E5F4C"/>
    <w:rsid w:val="000E62FD"/>
    <w:rsid w:val="000E6562"/>
    <w:rsid w:val="000E7EB3"/>
    <w:rsid w:val="000F1BFE"/>
    <w:rsid w:val="000F20B2"/>
    <w:rsid w:val="000F5A2E"/>
    <w:rsid w:val="0010231E"/>
    <w:rsid w:val="00102673"/>
    <w:rsid w:val="00103419"/>
    <w:rsid w:val="00104011"/>
    <w:rsid w:val="0011087C"/>
    <w:rsid w:val="001117B8"/>
    <w:rsid w:val="001122E4"/>
    <w:rsid w:val="00112ADA"/>
    <w:rsid w:val="00114AEC"/>
    <w:rsid w:val="001202E0"/>
    <w:rsid w:val="00123E81"/>
    <w:rsid w:val="00125C2B"/>
    <w:rsid w:val="001307CC"/>
    <w:rsid w:val="00133EBD"/>
    <w:rsid w:val="00142940"/>
    <w:rsid w:val="001429FD"/>
    <w:rsid w:val="001436AC"/>
    <w:rsid w:val="00143A8D"/>
    <w:rsid w:val="001462F8"/>
    <w:rsid w:val="00147F13"/>
    <w:rsid w:val="00155ACC"/>
    <w:rsid w:val="00156E80"/>
    <w:rsid w:val="001574D2"/>
    <w:rsid w:val="00161058"/>
    <w:rsid w:val="001621FF"/>
    <w:rsid w:val="0017036F"/>
    <w:rsid w:val="00171230"/>
    <w:rsid w:val="00171AEF"/>
    <w:rsid w:val="0017588C"/>
    <w:rsid w:val="0017682D"/>
    <w:rsid w:val="001901F2"/>
    <w:rsid w:val="001924E1"/>
    <w:rsid w:val="00195247"/>
    <w:rsid w:val="001973AE"/>
    <w:rsid w:val="0019757F"/>
    <w:rsid w:val="001A7060"/>
    <w:rsid w:val="001B1204"/>
    <w:rsid w:val="001B4E58"/>
    <w:rsid w:val="001B5DCC"/>
    <w:rsid w:val="001B6578"/>
    <w:rsid w:val="001C02B3"/>
    <w:rsid w:val="001C5CED"/>
    <w:rsid w:val="001D2427"/>
    <w:rsid w:val="001D71BE"/>
    <w:rsid w:val="001D77B8"/>
    <w:rsid w:val="001E2297"/>
    <w:rsid w:val="001F1188"/>
    <w:rsid w:val="001F1961"/>
    <w:rsid w:val="001F5BB3"/>
    <w:rsid w:val="001F60DC"/>
    <w:rsid w:val="001F64AC"/>
    <w:rsid w:val="001F7397"/>
    <w:rsid w:val="00201410"/>
    <w:rsid w:val="00202663"/>
    <w:rsid w:val="0020341B"/>
    <w:rsid w:val="0020407C"/>
    <w:rsid w:val="00207347"/>
    <w:rsid w:val="0021544D"/>
    <w:rsid w:val="00220183"/>
    <w:rsid w:val="00226794"/>
    <w:rsid w:val="00230786"/>
    <w:rsid w:val="00232E61"/>
    <w:rsid w:val="00243B0C"/>
    <w:rsid w:val="00243E13"/>
    <w:rsid w:val="00244835"/>
    <w:rsid w:val="00244975"/>
    <w:rsid w:val="00245BC0"/>
    <w:rsid w:val="00251618"/>
    <w:rsid w:val="00251AFA"/>
    <w:rsid w:val="002525F6"/>
    <w:rsid w:val="00252C78"/>
    <w:rsid w:val="00255A00"/>
    <w:rsid w:val="0026219E"/>
    <w:rsid w:val="00264565"/>
    <w:rsid w:val="00267160"/>
    <w:rsid w:val="0027045C"/>
    <w:rsid w:val="00270B55"/>
    <w:rsid w:val="00273E29"/>
    <w:rsid w:val="0027403F"/>
    <w:rsid w:val="00292B8D"/>
    <w:rsid w:val="002A108A"/>
    <w:rsid w:val="002A2E58"/>
    <w:rsid w:val="002A460D"/>
    <w:rsid w:val="002A5FBC"/>
    <w:rsid w:val="002B65B2"/>
    <w:rsid w:val="002C0897"/>
    <w:rsid w:val="002C595A"/>
    <w:rsid w:val="002C65C4"/>
    <w:rsid w:val="002D0570"/>
    <w:rsid w:val="002D2916"/>
    <w:rsid w:val="002D4816"/>
    <w:rsid w:val="002D5E88"/>
    <w:rsid w:val="002D7EC4"/>
    <w:rsid w:val="002E129A"/>
    <w:rsid w:val="002E6D21"/>
    <w:rsid w:val="002E73B8"/>
    <w:rsid w:val="002F7868"/>
    <w:rsid w:val="002F7BB7"/>
    <w:rsid w:val="00300A78"/>
    <w:rsid w:val="00300F97"/>
    <w:rsid w:val="00301821"/>
    <w:rsid w:val="00306303"/>
    <w:rsid w:val="0030695E"/>
    <w:rsid w:val="00311889"/>
    <w:rsid w:val="00312A7E"/>
    <w:rsid w:val="00313127"/>
    <w:rsid w:val="003136D3"/>
    <w:rsid w:val="00313D0E"/>
    <w:rsid w:val="00315CA6"/>
    <w:rsid w:val="00321781"/>
    <w:rsid w:val="0032255B"/>
    <w:rsid w:val="00323A81"/>
    <w:rsid w:val="0032748A"/>
    <w:rsid w:val="003329CA"/>
    <w:rsid w:val="00332B0E"/>
    <w:rsid w:val="00332F96"/>
    <w:rsid w:val="0033368F"/>
    <w:rsid w:val="00334448"/>
    <w:rsid w:val="003359C9"/>
    <w:rsid w:val="003378FA"/>
    <w:rsid w:val="00342012"/>
    <w:rsid w:val="00343ADC"/>
    <w:rsid w:val="00346B0D"/>
    <w:rsid w:val="00347565"/>
    <w:rsid w:val="0035155D"/>
    <w:rsid w:val="0036120F"/>
    <w:rsid w:val="00363346"/>
    <w:rsid w:val="00366569"/>
    <w:rsid w:val="0036737F"/>
    <w:rsid w:val="00371154"/>
    <w:rsid w:val="00375C11"/>
    <w:rsid w:val="0038513B"/>
    <w:rsid w:val="0038646A"/>
    <w:rsid w:val="00390D04"/>
    <w:rsid w:val="003A633B"/>
    <w:rsid w:val="003A673D"/>
    <w:rsid w:val="003B0A58"/>
    <w:rsid w:val="003B2909"/>
    <w:rsid w:val="003B431A"/>
    <w:rsid w:val="003B7455"/>
    <w:rsid w:val="003C3D45"/>
    <w:rsid w:val="003C3EB2"/>
    <w:rsid w:val="003C417B"/>
    <w:rsid w:val="003D126A"/>
    <w:rsid w:val="003D1787"/>
    <w:rsid w:val="003D1B80"/>
    <w:rsid w:val="003D2ED2"/>
    <w:rsid w:val="003D4059"/>
    <w:rsid w:val="003D4F2F"/>
    <w:rsid w:val="003D5F9A"/>
    <w:rsid w:val="003D66EC"/>
    <w:rsid w:val="003D7C9A"/>
    <w:rsid w:val="003E0EC5"/>
    <w:rsid w:val="003E1689"/>
    <w:rsid w:val="003E2C71"/>
    <w:rsid w:val="003E4AB5"/>
    <w:rsid w:val="003E56D1"/>
    <w:rsid w:val="003F0895"/>
    <w:rsid w:val="003F30E6"/>
    <w:rsid w:val="00403ABB"/>
    <w:rsid w:val="0040670B"/>
    <w:rsid w:val="004107C4"/>
    <w:rsid w:val="00410C71"/>
    <w:rsid w:val="00422685"/>
    <w:rsid w:val="0042680A"/>
    <w:rsid w:val="00430B6C"/>
    <w:rsid w:val="004332CD"/>
    <w:rsid w:val="004362AD"/>
    <w:rsid w:val="004375D7"/>
    <w:rsid w:val="00437697"/>
    <w:rsid w:val="00440100"/>
    <w:rsid w:val="004435C9"/>
    <w:rsid w:val="004450FD"/>
    <w:rsid w:val="00450158"/>
    <w:rsid w:val="00452E16"/>
    <w:rsid w:val="00454426"/>
    <w:rsid w:val="0045720E"/>
    <w:rsid w:val="00460302"/>
    <w:rsid w:val="0046131B"/>
    <w:rsid w:val="0046487F"/>
    <w:rsid w:val="00467856"/>
    <w:rsid w:val="004702FE"/>
    <w:rsid w:val="00472E8A"/>
    <w:rsid w:val="00473910"/>
    <w:rsid w:val="0048239E"/>
    <w:rsid w:val="00487A8C"/>
    <w:rsid w:val="004A2977"/>
    <w:rsid w:val="004A3487"/>
    <w:rsid w:val="004A48B0"/>
    <w:rsid w:val="004A5DD0"/>
    <w:rsid w:val="004A669E"/>
    <w:rsid w:val="004B072D"/>
    <w:rsid w:val="004B2ADA"/>
    <w:rsid w:val="004B2C45"/>
    <w:rsid w:val="004B6739"/>
    <w:rsid w:val="004B7A4E"/>
    <w:rsid w:val="004C15C1"/>
    <w:rsid w:val="004C176C"/>
    <w:rsid w:val="004C4CD2"/>
    <w:rsid w:val="004C7014"/>
    <w:rsid w:val="004C72F3"/>
    <w:rsid w:val="004D1F21"/>
    <w:rsid w:val="004D26FA"/>
    <w:rsid w:val="004D4808"/>
    <w:rsid w:val="004D5BE4"/>
    <w:rsid w:val="004D778C"/>
    <w:rsid w:val="004E0681"/>
    <w:rsid w:val="004E3963"/>
    <w:rsid w:val="004E3ABD"/>
    <w:rsid w:val="004F1A66"/>
    <w:rsid w:val="004F1C30"/>
    <w:rsid w:val="004F1C79"/>
    <w:rsid w:val="004F49CE"/>
    <w:rsid w:val="004F5F93"/>
    <w:rsid w:val="004F6A42"/>
    <w:rsid w:val="00501520"/>
    <w:rsid w:val="005126BF"/>
    <w:rsid w:val="005136B0"/>
    <w:rsid w:val="00516D31"/>
    <w:rsid w:val="0052086C"/>
    <w:rsid w:val="0052223E"/>
    <w:rsid w:val="00525B2B"/>
    <w:rsid w:val="00532551"/>
    <w:rsid w:val="00532D3A"/>
    <w:rsid w:val="005356C3"/>
    <w:rsid w:val="005409F2"/>
    <w:rsid w:val="00543CC3"/>
    <w:rsid w:val="00555429"/>
    <w:rsid w:val="0056058F"/>
    <w:rsid w:val="00562D05"/>
    <w:rsid w:val="005647BE"/>
    <w:rsid w:val="00566990"/>
    <w:rsid w:val="005723D3"/>
    <w:rsid w:val="0057362C"/>
    <w:rsid w:val="005737B8"/>
    <w:rsid w:val="00574AB7"/>
    <w:rsid w:val="0057647C"/>
    <w:rsid w:val="00576F94"/>
    <w:rsid w:val="00577602"/>
    <w:rsid w:val="00581C30"/>
    <w:rsid w:val="00582AED"/>
    <w:rsid w:val="00583450"/>
    <w:rsid w:val="00586BD7"/>
    <w:rsid w:val="00586FA2"/>
    <w:rsid w:val="0059183A"/>
    <w:rsid w:val="0059201E"/>
    <w:rsid w:val="005A6DB0"/>
    <w:rsid w:val="005A7DCB"/>
    <w:rsid w:val="005B15F5"/>
    <w:rsid w:val="005B269D"/>
    <w:rsid w:val="005B4AFE"/>
    <w:rsid w:val="005B4E4E"/>
    <w:rsid w:val="005B7788"/>
    <w:rsid w:val="005C252A"/>
    <w:rsid w:val="005C56EC"/>
    <w:rsid w:val="005D1ED5"/>
    <w:rsid w:val="005D2E30"/>
    <w:rsid w:val="005D3477"/>
    <w:rsid w:val="005D600A"/>
    <w:rsid w:val="005F120A"/>
    <w:rsid w:val="005F1759"/>
    <w:rsid w:val="005F5E27"/>
    <w:rsid w:val="0060077B"/>
    <w:rsid w:val="00600FAF"/>
    <w:rsid w:val="00612382"/>
    <w:rsid w:val="0061343B"/>
    <w:rsid w:val="0061467F"/>
    <w:rsid w:val="006200AC"/>
    <w:rsid w:val="00624CA5"/>
    <w:rsid w:val="006257D3"/>
    <w:rsid w:val="00625CC8"/>
    <w:rsid w:val="00631107"/>
    <w:rsid w:val="00632EA4"/>
    <w:rsid w:val="00640C4D"/>
    <w:rsid w:val="00650C6A"/>
    <w:rsid w:val="006527A6"/>
    <w:rsid w:val="00661876"/>
    <w:rsid w:val="006637BD"/>
    <w:rsid w:val="00667B10"/>
    <w:rsid w:val="00671D95"/>
    <w:rsid w:val="0067419E"/>
    <w:rsid w:val="00675C81"/>
    <w:rsid w:val="006804DA"/>
    <w:rsid w:val="00683256"/>
    <w:rsid w:val="00683FE3"/>
    <w:rsid w:val="0068729E"/>
    <w:rsid w:val="006927A7"/>
    <w:rsid w:val="0069625C"/>
    <w:rsid w:val="00696E73"/>
    <w:rsid w:val="00697694"/>
    <w:rsid w:val="006A1FFD"/>
    <w:rsid w:val="006A3C91"/>
    <w:rsid w:val="006A55EB"/>
    <w:rsid w:val="006A6C0C"/>
    <w:rsid w:val="006A6D0A"/>
    <w:rsid w:val="006B20FB"/>
    <w:rsid w:val="006B33EB"/>
    <w:rsid w:val="006C1821"/>
    <w:rsid w:val="006C24B7"/>
    <w:rsid w:val="006C25C3"/>
    <w:rsid w:val="006C2AA7"/>
    <w:rsid w:val="006C4CB0"/>
    <w:rsid w:val="006C5F3A"/>
    <w:rsid w:val="006D216D"/>
    <w:rsid w:val="006D3F98"/>
    <w:rsid w:val="006D52DC"/>
    <w:rsid w:val="006D6B31"/>
    <w:rsid w:val="006D7A35"/>
    <w:rsid w:val="006E13F4"/>
    <w:rsid w:val="006E4550"/>
    <w:rsid w:val="006E68C4"/>
    <w:rsid w:val="006E782E"/>
    <w:rsid w:val="006F757C"/>
    <w:rsid w:val="007003A6"/>
    <w:rsid w:val="00703E35"/>
    <w:rsid w:val="00707D98"/>
    <w:rsid w:val="0071249E"/>
    <w:rsid w:val="007275CD"/>
    <w:rsid w:val="007320BB"/>
    <w:rsid w:val="0073578A"/>
    <w:rsid w:val="00746585"/>
    <w:rsid w:val="00750E4D"/>
    <w:rsid w:val="00752C08"/>
    <w:rsid w:val="00757D14"/>
    <w:rsid w:val="00763D78"/>
    <w:rsid w:val="007665F5"/>
    <w:rsid w:val="0076679C"/>
    <w:rsid w:val="00767ACF"/>
    <w:rsid w:val="0077238C"/>
    <w:rsid w:val="00773D9F"/>
    <w:rsid w:val="007741F1"/>
    <w:rsid w:val="007829AF"/>
    <w:rsid w:val="007834A9"/>
    <w:rsid w:val="00784282"/>
    <w:rsid w:val="00784877"/>
    <w:rsid w:val="00785B07"/>
    <w:rsid w:val="00790DE9"/>
    <w:rsid w:val="0079342A"/>
    <w:rsid w:val="00794421"/>
    <w:rsid w:val="00794CF7"/>
    <w:rsid w:val="007A4B3C"/>
    <w:rsid w:val="007A5C50"/>
    <w:rsid w:val="007B0257"/>
    <w:rsid w:val="007B21F9"/>
    <w:rsid w:val="007B2381"/>
    <w:rsid w:val="007B2593"/>
    <w:rsid w:val="007B3E47"/>
    <w:rsid w:val="007B4910"/>
    <w:rsid w:val="007B6385"/>
    <w:rsid w:val="007B674C"/>
    <w:rsid w:val="007B7804"/>
    <w:rsid w:val="007C100F"/>
    <w:rsid w:val="007C1F97"/>
    <w:rsid w:val="007C600D"/>
    <w:rsid w:val="007D3860"/>
    <w:rsid w:val="007D5E59"/>
    <w:rsid w:val="007D6EEC"/>
    <w:rsid w:val="007D72B4"/>
    <w:rsid w:val="007D756A"/>
    <w:rsid w:val="007E15C8"/>
    <w:rsid w:val="007E65A8"/>
    <w:rsid w:val="007E731C"/>
    <w:rsid w:val="007F5FFC"/>
    <w:rsid w:val="007F6D07"/>
    <w:rsid w:val="007F77A4"/>
    <w:rsid w:val="007F7CD2"/>
    <w:rsid w:val="0080269A"/>
    <w:rsid w:val="00804E05"/>
    <w:rsid w:val="00813BE0"/>
    <w:rsid w:val="00815DCF"/>
    <w:rsid w:val="00816882"/>
    <w:rsid w:val="00823EB7"/>
    <w:rsid w:val="008340A2"/>
    <w:rsid w:val="00834AC8"/>
    <w:rsid w:val="00834FFF"/>
    <w:rsid w:val="00840BFA"/>
    <w:rsid w:val="0084409C"/>
    <w:rsid w:val="00844262"/>
    <w:rsid w:val="00846D3C"/>
    <w:rsid w:val="00852153"/>
    <w:rsid w:val="00860032"/>
    <w:rsid w:val="008604A5"/>
    <w:rsid w:val="00864B42"/>
    <w:rsid w:val="00870B96"/>
    <w:rsid w:val="008731E3"/>
    <w:rsid w:val="00873952"/>
    <w:rsid w:val="00875230"/>
    <w:rsid w:val="00877952"/>
    <w:rsid w:val="0088031F"/>
    <w:rsid w:val="008850BB"/>
    <w:rsid w:val="008852D2"/>
    <w:rsid w:val="00885CE9"/>
    <w:rsid w:val="00887085"/>
    <w:rsid w:val="008908B2"/>
    <w:rsid w:val="00892BA2"/>
    <w:rsid w:val="00893D9F"/>
    <w:rsid w:val="0089718F"/>
    <w:rsid w:val="008A00AF"/>
    <w:rsid w:val="008B384B"/>
    <w:rsid w:val="008B5A49"/>
    <w:rsid w:val="008C1028"/>
    <w:rsid w:val="008C1BE4"/>
    <w:rsid w:val="008C200F"/>
    <w:rsid w:val="008C5111"/>
    <w:rsid w:val="008C7C9D"/>
    <w:rsid w:val="008D0301"/>
    <w:rsid w:val="008D29B1"/>
    <w:rsid w:val="008D7A8A"/>
    <w:rsid w:val="008E1500"/>
    <w:rsid w:val="008E3F23"/>
    <w:rsid w:val="008E50E6"/>
    <w:rsid w:val="008F0770"/>
    <w:rsid w:val="008F0CB5"/>
    <w:rsid w:val="008F36C9"/>
    <w:rsid w:val="008F4886"/>
    <w:rsid w:val="009057C6"/>
    <w:rsid w:val="00905E2C"/>
    <w:rsid w:val="00906634"/>
    <w:rsid w:val="00912727"/>
    <w:rsid w:val="009240DC"/>
    <w:rsid w:val="00930E41"/>
    <w:rsid w:val="00931344"/>
    <w:rsid w:val="00933F6D"/>
    <w:rsid w:val="00940085"/>
    <w:rsid w:val="00944F36"/>
    <w:rsid w:val="00945650"/>
    <w:rsid w:val="00947355"/>
    <w:rsid w:val="00951C78"/>
    <w:rsid w:val="0095206F"/>
    <w:rsid w:val="009521DA"/>
    <w:rsid w:val="0096055B"/>
    <w:rsid w:val="00961522"/>
    <w:rsid w:val="009624C6"/>
    <w:rsid w:val="009668BD"/>
    <w:rsid w:val="00967401"/>
    <w:rsid w:val="00974B31"/>
    <w:rsid w:val="0098026F"/>
    <w:rsid w:val="00981457"/>
    <w:rsid w:val="00982A83"/>
    <w:rsid w:val="00983B24"/>
    <w:rsid w:val="009872AA"/>
    <w:rsid w:val="00990D9D"/>
    <w:rsid w:val="009A1FC0"/>
    <w:rsid w:val="009A7CD7"/>
    <w:rsid w:val="009A7E88"/>
    <w:rsid w:val="009B23C3"/>
    <w:rsid w:val="009B37FA"/>
    <w:rsid w:val="009B7D47"/>
    <w:rsid w:val="009C1073"/>
    <w:rsid w:val="009C4CF1"/>
    <w:rsid w:val="009D5641"/>
    <w:rsid w:val="009E0ABF"/>
    <w:rsid w:val="009E2527"/>
    <w:rsid w:val="009E3EEC"/>
    <w:rsid w:val="009E5D24"/>
    <w:rsid w:val="009E6684"/>
    <w:rsid w:val="009F0C33"/>
    <w:rsid w:val="009F2EFF"/>
    <w:rsid w:val="00A01068"/>
    <w:rsid w:val="00A03E22"/>
    <w:rsid w:val="00A100A8"/>
    <w:rsid w:val="00A14F8B"/>
    <w:rsid w:val="00A22D69"/>
    <w:rsid w:val="00A23818"/>
    <w:rsid w:val="00A24DD1"/>
    <w:rsid w:val="00A26AC3"/>
    <w:rsid w:val="00A33007"/>
    <w:rsid w:val="00A34B44"/>
    <w:rsid w:val="00A43D2F"/>
    <w:rsid w:val="00A44694"/>
    <w:rsid w:val="00A50414"/>
    <w:rsid w:val="00A538A4"/>
    <w:rsid w:val="00A5555A"/>
    <w:rsid w:val="00A569C2"/>
    <w:rsid w:val="00A616F7"/>
    <w:rsid w:val="00A61925"/>
    <w:rsid w:val="00A62CF5"/>
    <w:rsid w:val="00A62E95"/>
    <w:rsid w:val="00A750B6"/>
    <w:rsid w:val="00A77E6C"/>
    <w:rsid w:val="00A86F38"/>
    <w:rsid w:val="00A92201"/>
    <w:rsid w:val="00A959D0"/>
    <w:rsid w:val="00A96B09"/>
    <w:rsid w:val="00AA3952"/>
    <w:rsid w:val="00AA4B6B"/>
    <w:rsid w:val="00AB4B1D"/>
    <w:rsid w:val="00AC1EEB"/>
    <w:rsid w:val="00AC5284"/>
    <w:rsid w:val="00AC52E4"/>
    <w:rsid w:val="00AC5D2A"/>
    <w:rsid w:val="00AD6767"/>
    <w:rsid w:val="00AE7208"/>
    <w:rsid w:val="00AF2F92"/>
    <w:rsid w:val="00AF5487"/>
    <w:rsid w:val="00AF70BA"/>
    <w:rsid w:val="00B029D3"/>
    <w:rsid w:val="00B04E18"/>
    <w:rsid w:val="00B07581"/>
    <w:rsid w:val="00B10142"/>
    <w:rsid w:val="00B1082B"/>
    <w:rsid w:val="00B10E78"/>
    <w:rsid w:val="00B110B1"/>
    <w:rsid w:val="00B1503C"/>
    <w:rsid w:val="00B206D4"/>
    <w:rsid w:val="00B22DF7"/>
    <w:rsid w:val="00B30017"/>
    <w:rsid w:val="00B30701"/>
    <w:rsid w:val="00B31935"/>
    <w:rsid w:val="00B372B6"/>
    <w:rsid w:val="00B42966"/>
    <w:rsid w:val="00B45B45"/>
    <w:rsid w:val="00B46F62"/>
    <w:rsid w:val="00B502FF"/>
    <w:rsid w:val="00B5712D"/>
    <w:rsid w:val="00B6407E"/>
    <w:rsid w:val="00B72A8F"/>
    <w:rsid w:val="00B738D9"/>
    <w:rsid w:val="00B8217E"/>
    <w:rsid w:val="00B94284"/>
    <w:rsid w:val="00B97F1A"/>
    <w:rsid w:val="00BB16C8"/>
    <w:rsid w:val="00BB19A4"/>
    <w:rsid w:val="00BB5F5B"/>
    <w:rsid w:val="00BB67ED"/>
    <w:rsid w:val="00BB72F3"/>
    <w:rsid w:val="00BC3440"/>
    <w:rsid w:val="00BC3F96"/>
    <w:rsid w:val="00BC5A93"/>
    <w:rsid w:val="00BC60FE"/>
    <w:rsid w:val="00BD0D6B"/>
    <w:rsid w:val="00BD3AC9"/>
    <w:rsid w:val="00BE269F"/>
    <w:rsid w:val="00BE310C"/>
    <w:rsid w:val="00BE7402"/>
    <w:rsid w:val="00BE7E25"/>
    <w:rsid w:val="00BF6B80"/>
    <w:rsid w:val="00BF7408"/>
    <w:rsid w:val="00C0288C"/>
    <w:rsid w:val="00C06126"/>
    <w:rsid w:val="00C063B6"/>
    <w:rsid w:val="00C07B92"/>
    <w:rsid w:val="00C1047B"/>
    <w:rsid w:val="00C15C59"/>
    <w:rsid w:val="00C16C58"/>
    <w:rsid w:val="00C17D1D"/>
    <w:rsid w:val="00C23B71"/>
    <w:rsid w:val="00C3143C"/>
    <w:rsid w:val="00C32333"/>
    <w:rsid w:val="00C33363"/>
    <w:rsid w:val="00C34D23"/>
    <w:rsid w:val="00C40234"/>
    <w:rsid w:val="00C402B8"/>
    <w:rsid w:val="00C43027"/>
    <w:rsid w:val="00C46AAE"/>
    <w:rsid w:val="00C4744D"/>
    <w:rsid w:val="00C546F3"/>
    <w:rsid w:val="00C662E0"/>
    <w:rsid w:val="00C66A54"/>
    <w:rsid w:val="00C67AAA"/>
    <w:rsid w:val="00C90917"/>
    <w:rsid w:val="00C9370B"/>
    <w:rsid w:val="00C94085"/>
    <w:rsid w:val="00C96A0F"/>
    <w:rsid w:val="00CA053F"/>
    <w:rsid w:val="00CA2A52"/>
    <w:rsid w:val="00CA2B7C"/>
    <w:rsid w:val="00CA35A9"/>
    <w:rsid w:val="00CB1E5A"/>
    <w:rsid w:val="00CB25B3"/>
    <w:rsid w:val="00CC210A"/>
    <w:rsid w:val="00CC23BF"/>
    <w:rsid w:val="00CC3363"/>
    <w:rsid w:val="00CD03F7"/>
    <w:rsid w:val="00CD252A"/>
    <w:rsid w:val="00CD2DDF"/>
    <w:rsid w:val="00CD3BD1"/>
    <w:rsid w:val="00CD4826"/>
    <w:rsid w:val="00CE120A"/>
    <w:rsid w:val="00CE1C32"/>
    <w:rsid w:val="00CE1D05"/>
    <w:rsid w:val="00CE267A"/>
    <w:rsid w:val="00CE357E"/>
    <w:rsid w:val="00CF3E62"/>
    <w:rsid w:val="00CF3FF9"/>
    <w:rsid w:val="00CF6E36"/>
    <w:rsid w:val="00D035FE"/>
    <w:rsid w:val="00D03A6C"/>
    <w:rsid w:val="00D1337E"/>
    <w:rsid w:val="00D2208C"/>
    <w:rsid w:val="00D341A8"/>
    <w:rsid w:val="00D37920"/>
    <w:rsid w:val="00D4312A"/>
    <w:rsid w:val="00D459AA"/>
    <w:rsid w:val="00D45F39"/>
    <w:rsid w:val="00D47959"/>
    <w:rsid w:val="00D52856"/>
    <w:rsid w:val="00D5429C"/>
    <w:rsid w:val="00D60B50"/>
    <w:rsid w:val="00D63228"/>
    <w:rsid w:val="00D637B5"/>
    <w:rsid w:val="00D65768"/>
    <w:rsid w:val="00D6669B"/>
    <w:rsid w:val="00D67F38"/>
    <w:rsid w:val="00D710C8"/>
    <w:rsid w:val="00D74C80"/>
    <w:rsid w:val="00D8681C"/>
    <w:rsid w:val="00D96E81"/>
    <w:rsid w:val="00DA0476"/>
    <w:rsid w:val="00DA1545"/>
    <w:rsid w:val="00DA3212"/>
    <w:rsid w:val="00DB1129"/>
    <w:rsid w:val="00DB1194"/>
    <w:rsid w:val="00DB41D1"/>
    <w:rsid w:val="00DB6452"/>
    <w:rsid w:val="00DC1660"/>
    <w:rsid w:val="00DC39A1"/>
    <w:rsid w:val="00DC6AF8"/>
    <w:rsid w:val="00DD2312"/>
    <w:rsid w:val="00DD61C2"/>
    <w:rsid w:val="00DE01F1"/>
    <w:rsid w:val="00DE07FB"/>
    <w:rsid w:val="00DE4F8F"/>
    <w:rsid w:val="00DE6437"/>
    <w:rsid w:val="00DF0AC7"/>
    <w:rsid w:val="00DF0AD2"/>
    <w:rsid w:val="00DF0DED"/>
    <w:rsid w:val="00DF565B"/>
    <w:rsid w:val="00DF6681"/>
    <w:rsid w:val="00DF7FC1"/>
    <w:rsid w:val="00E02C17"/>
    <w:rsid w:val="00E03B07"/>
    <w:rsid w:val="00E07CA5"/>
    <w:rsid w:val="00E11729"/>
    <w:rsid w:val="00E151B7"/>
    <w:rsid w:val="00E31343"/>
    <w:rsid w:val="00E32C57"/>
    <w:rsid w:val="00E427EF"/>
    <w:rsid w:val="00E42F17"/>
    <w:rsid w:val="00E43148"/>
    <w:rsid w:val="00E43B07"/>
    <w:rsid w:val="00E45CF8"/>
    <w:rsid w:val="00E5154C"/>
    <w:rsid w:val="00E5159B"/>
    <w:rsid w:val="00E53259"/>
    <w:rsid w:val="00E54A44"/>
    <w:rsid w:val="00E56804"/>
    <w:rsid w:val="00E65E02"/>
    <w:rsid w:val="00E668EC"/>
    <w:rsid w:val="00E700C5"/>
    <w:rsid w:val="00E70FF4"/>
    <w:rsid w:val="00E736CB"/>
    <w:rsid w:val="00E73E2E"/>
    <w:rsid w:val="00E75048"/>
    <w:rsid w:val="00E8007A"/>
    <w:rsid w:val="00E82D8D"/>
    <w:rsid w:val="00E87AAF"/>
    <w:rsid w:val="00E956D4"/>
    <w:rsid w:val="00EA07F8"/>
    <w:rsid w:val="00EA0830"/>
    <w:rsid w:val="00EA3CCB"/>
    <w:rsid w:val="00EB5F65"/>
    <w:rsid w:val="00EB6C56"/>
    <w:rsid w:val="00EC3A7B"/>
    <w:rsid w:val="00EC4171"/>
    <w:rsid w:val="00EC5850"/>
    <w:rsid w:val="00EC65A7"/>
    <w:rsid w:val="00ED291F"/>
    <w:rsid w:val="00ED6075"/>
    <w:rsid w:val="00ED65BF"/>
    <w:rsid w:val="00EE1CAB"/>
    <w:rsid w:val="00EE2017"/>
    <w:rsid w:val="00EE351E"/>
    <w:rsid w:val="00EF0AEF"/>
    <w:rsid w:val="00EF1601"/>
    <w:rsid w:val="00EF2481"/>
    <w:rsid w:val="00EF4446"/>
    <w:rsid w:val="00EF4E82"/>
    <w:rsid w:val="00F007E9"/>
    <w:rsid w:val="00F0278E"/>
    <w:rsid w:val="00F056E6"/>
    <w:rsid w:val="00F05AD5"/>
    <w:rsid w:val="00F06A80"/>
    <w:rsid w:val="00F12FBF"/>
    <w:rsid w:val="00F13D3B"/>
    <w:rsid w:val="00F160E6"/>
    <w:rsid w:val="00F24190"/>
    <w:rsid w:val="00F2448C"/>
    <w:rsid w:val="00F26620"/>
    <w:rsid w:val="00F37D66"/>
    <w:rsid w:val="00F40668"/>
    <w:rsid w:val="00F40DCB"/>
    <w:rsid w:val="00F44D42"/>
    <w:rsid w:val="00F45235"/>
    <w:rsid w:val="00F555AA"/>
    <w:rsid w:val="00F565A1"/>
    <w:rsid w:val="00F568FD"/>
    <w:rsid w:val="00F6258F"/>
    <w:rsid w:val="00F64F66"/>
    <w:rsid w:val="00F6787A"/>
    <w:rsid w:val="00F708EF"/>
    <w:rsid w:val="00F77E24"/>
    <w:rsid w:val="00F81ACA"/>
    <w:rsid w:val="00F86B60"/>
    <w:rsid w:val="00F903D5"/>
    <w:rsid w:val="00F9216E"/>
    <w:rsid w:val="00F95388"/>
    <w:rsid w:val="00FA066A"/>
    <w:rsid w:val="00FA25D8"/>
    <w:rsid w:val="00FA49E0"/>
    <w:rsid w:val="00FA4ED8"/>
    <w:rsid w:val="00FA5E45"/>
    <w:rsid w:val="00FB5EBB"/>
    <w:rsid w:val="00FB7061"/>
    <w:rsid w:val="00FC0687"/>
    <w:rsid w:val="00FC2841"/>
    <w:rsid w:val="00FC2F9F"/>
    <w:rsid w:val="00FC7A84"/>
    <w:rsid w:val="00FD4966"/>
    <w:rsid w:val="00FD7083"/>
    <w:rsid w:val="00FE77D5"/>
    <w:rsid w:val="00FF384C"/>
    <w:rsid w:val="00FF4CB6"/>
    <w:rsid w:val="00FF5C6A"/>
    <w:rsid w:val="00FF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3B45"/>
  <w15:chartTrackingRefBased/>
  <w15:docId w15:val="{9F75E0D4-F35D-45FA-B3F1-762BA21BB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63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6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6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63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63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B63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3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385"/>
    <w:rPr>
      <w:rFonts w:eastAsiaTheme="majorEastAsia" w:cstheme="majorBidi"/>
      <w:color w:val="272727" w:themeColor="text1" w:themeTint="D8"/>
    </w:rPr>
  </w:style>
  <w:style w:type="paragraph" w:styleId="Title">
    <w:name w:val="Title"/>
    <w:basedOn w:val="Normal"/>
    <w:next w:val="Normal"/>
    <w:link w:val="TitleChar"/>
    <w:uiPriority w:val="10"/>
    <w:qFormat/>
    <w:rsid w:val="007B6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385"/>
    <w:pPr>
      <w:spacing w:before="160"/>
      <w:jc w:val="center"/>
    </w:pPr>
    <w:rPr>
      <w:i/>
      <w:iCs/>
      <w:color w:val="404040" w:themeColor="text1" w:themeTint="BF"/>
    </w:rPr>
  </w:style>
  <w:style w:type="character" w:customStyle="1" w:styleId="QuoteChar">
    <w:name w:val="Quote Char"/>
    <w:basedOn w:val="DefaultParagraphFont"/>
    <w:link w:val="Quote"/>
    <w:uiPriority w:val="29"/>
    <w:rsid w:val="007B6385"/>
    <w:rPr>
      <w:i/>
      <w:iCs/>
      <w:color w:val="404040" w:themeColor="text1" w:themeTint="BF"/>
    </w:rPr>
  </w:style>
  <w:style w:type="paragraph" w:styleId="ListParagraph">
    <w:name w:val="List Paragraph"/>
    <w:basedOn w:val="Normal"/>
    <w:uiPriority w:val="34"/>
    <w:qFormat/>
    <w:rsid w:val="007B6385"/>
    <w:pPr>
      <w:ind w:left="720"/>
      <w:contextualSpacing/>
    </w:pPr>
  </w:style>
  <w:style w:type="character" w:styleId="IntenseEmphasis">
    <w:name w:val="Intense Emphasis"/>
    <w:basedOn w:val="DefaultParagraphFont"/>
    <w:uiPriority w:val="21"/>
    <w:qFormat/>
    <w:rsid w:val="007B6385"/>
    <w:rPr>
      <w:i/>
      <w:iCs/>
      <w:color w:val="0F4761" w:themeColor="accent1" w:themeShade="BF"/>
    </w:rPr>
  </w:style>
  <w:style w:type="paragraph" w:styleId="IntenseQuote">
    <w:name w:val="Intense Quote"/>
    <w:basedOn w:val="Normal"/>
    <w:next w:val="Normal"/>
    <w:link w:val="IntenseQuoteChar"/>
    <w:uiPriority w:val="30"/>
    <w:qFormat/>
    <w:rsid w:val="007B6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385"/>
    <w:rPr>
      <w:i/>
      <w:iCs/>
      <w:color w:val="0F4761" w:themeColor="accent1" w:themeShade="BF"/>
    </w:rPr>
  </w:style>
  <w:style w:type="character" w:styleId="IntenseReference">
    <w:name w:val="Intense Reference"/>
    <w:basedOn w:val="DefaultParagraphFont"/>
    <w:uiPriority w:val="32"/>
    <w:qFormat/>
    <w:rsid w:val="007B6385"/>
    <w:rPr>
      <w:b/>
      <w:bCs/>
      <w:smallCaps/>
      <w:color w:val="0F4761" w:themeColor="accent1" w:themeShade="BF"/>
      <w:spacing w:val="5"/>
    </w:rPr>
  </w:style>
  <w:style w:type="paragraph" w:styleId="Header">
    <w:name w:val="header"/>
    <w:basedOn w:val="Normal"/>
    <w:link w:val="HeaderChar"/>
    <w:uiPriority w:val="99"/>
    <w:unhideWhenUsed/>
    <w:rsid w:val="00DF7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FC1"/>
  </w:style>
  <w:style w:type="paragraph" w:styleId="Footer">
    <w:name w:val="footer"/>
    <w:basedOn w:val="Normal"/>
    <w:link w:val="FooterChar"/>
    <w:uiPriority w:val="99"/>
    <w:unhideWhenUsed/>
    <w:rsid w:val="00DF7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FC1"/>
  </w:style>
  <w:style w:type="paragraph" w:styleId="NormalWeb">
    <w:name w:val="Normal (Web)"/>
    <w:basedOn w:val="Normal"/>
    <w:uiPriority w:val="99"/>
    <w:semiHidden/>
    <w:unhideWhenUsed/>
    <w:rsid w:val="00A538A4"/>
    <w:rPr>
      <w:rFonts w:ascii="Times New Roman" w:hAnsi="Times New Roman" w:cs="Times New Roman"/>
      <w:sz w:val="24"/>
      <w:szCs w:val="24"/>
    </w:rPr>
  </w:style>
  <w:style w:type="table" w:styleId="TableGrid">
    <w:name w:val="Table Grid"/>
    <w:basedOn w:val="TableNormal"/>
    <w:uiPriority w:val="39"/>
    <w:rsid w:val="00B15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F0D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F0D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B7A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3">
    <w:name w:val="Grid Table 3 Accent 3"/>
    <w:basedOn w:val="TableNormal"/>
    <w:uiPriority w:val="48"/>
    <w:rsid w:val="004B7A4E"/>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6">
    <w:name w:val="Grid Table 3 Accent 6"/>
    <w:basedOn w:val="TableNormal"/>
    <w:uiPriority w:val="48"/>
    <w:rsid w:val="004B7A4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3">
    <w:name w:val="Grid Table 3"/>
    <w:basedOn w:val="TableNormal"/>
    <w:uiPriority w:val="48"/>
    <w:rsid w:val="004B7A4E"/>
    <w:pPr>
      <w:spacing w:after="0" w:line="240" w:lineRule="auto"/>
    </w:pPr>
    <w:rPr>
      <w:rFonts w:ascii="Times New Roman" w:hAnsi="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4B7A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1429FD"/>
    <w:rPr>
      <w:b/>
      <w:bCs/>
    </w:rPr>
  </w:style>
  <w:style w:type="character" w:styleId="Hyperlink">
    <w:name w:val="Hyperlink"/>
    <w:basedOn w:val="DefaultParagraphFont"/>
    <w:uiPriority w:val="99"/>
    <w:unhideWhenUsed/>
    <w:rsid w:val="007003A6"/>
    <w:rPr>
      <w:color w:val="467886" w:themeColor="hyperlink"/>
      <w:u w:val="single"/>
    </w:rPr>
  </w:style>
  <w:style w:type="character" w:styleId="UnresolvedMention">
    <w:name w:val="Unresolved Mention"/>
    <w:basedOn w:val="DefaultParagraphFont"/>
    <w:uiPriority w:val="99"/>
    <w:semiHidden/>
    <w:unhideWhenUsed/>
    <w:rsid w:val="007003A6"/>
    <w:rPr>
      <w:color w:val="605E5C"/>
      <w:shd w:val="clear" w:color="auto" w:fill="E1DFDD"/>
    </w:rPr>
  </w:style>
  <w:style w:type="paragraph" w:styleId="HTMLPreformatted">
    <w:name w:val="HTML Preformatted"/>
    <w:basedOn w:val="Normal"/>
    <w:link w:val="HTMLPreformattedChar"/>
    <w:uiPriority w:val="99"/>
    <w:semiHidden/>
    <w:unhideWhenUsed/>
    <w:rsid w:val="00F44D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44D42"/>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F44D4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FBAA48-B756-4F5E-AE90-114C3F2CB4FB}" type="doc">
      <dgm:prSet loTypeId="urn:microsoft.com/office/officeart/2005/8/layout/cycle4" loCatId="matrix" qsTypeId="urn:microsoft.com/office/officeart/2005/8/quickstyle/simple1" qsCatId="simple" csTypeId="urn:microsoft.com/office/officeart/2005/8/colors/colorful4" csCatId="colorful" phldr="1"/>
      <dgm:spPr/>
      <dgm:t>
        <a:bodyPr/>
        <a:lstStyle/>
        <a:p>
          <a:endParaRPr lang="en-GB"/>
        </a:p>
      </dgm:t>
    </dgm:pt>
    <dgm:pt modelId="{D3420118-440C-42C3-A8B3-4703AC2D9260}">
      <dgm:prSet phldrT="[Text]"/>
      <dgm:spPr/>
      <dgm:t>
        <a:bodyPr/>
        <a:lstStyle/>
        <a:p>
          <a:r>
            <a:rPr lang="en-GB"/>
            <a:t>Executive Leadership </a:t>
          </a:r>
        </a:p>
      </dgm:t>
    </dgm:pt>
    <dgm:pt modelId="{08666011-745D-422D-9FA4-21799232638D}" type="parTrans" cxnId="{B6F46693-E3BA-4437-8911-CB6F5F4DD32D}">
      <dgm:prSet/>
      <dgm:spPr/>
      <dgm:t>
        <a:bodyPr/>
        <a:lstStyle/>
        <a:p>
          <a:endParaRPr lang="en-GB"/>
        </a:p>
      </dgm:t>
    </dgm:pt>
    <dgm:pt modelId="{21A24265-B787-498D-A727-479D55070BE8}" type="sibTrans" cxnId="{B6F46693-E3BA-4437-8911-CB6F5F4DD32D}">
      <dgm:prSet/>
      <dgm:spPr/>
      <dgm:t>
        <a:bodyPr/>
        <a:lstStyle/>
        <a:p>
          <a:endParaRPr lang="en-GB"/>
        </a:p>
      </dgm:t>
    </dgm:pt>
    <dgm:pt modelId="{05EFF23E-3D98-4203-86DA-6E84268F7761}">
      <dgm:prSet phldrT="[Text]"/>
      <dgm:spPr/>
      <dgm:t>
        <a:bodyPr/>
        <a:lstStyle/>
        <a:p>
          <a:r>
            <a:rPr lang="en-GB"/>
            <a:t>High Power</a:t>
          </a:r>
        </a:p>
        <a:p>
          <a:r>
            <a:rPr lang="en-GB"/>
            <a:t>Low Interest</a:t>
          </a:r>
        </a:p>
      </dgm:t>
    </dgm:pt>
    <dgm:pt modelId="{9164395A-840D-4B24-915A-AE473B42C287}" type="parTrans" cxnId="{1DABD367-4D7A-4984-AFED-67CF9767B1BE}">
      <dgm:prSet/>
      <dgm:spPr/>
      <dgm:t>
        <a:bodyPr/>
        <a:lstStyle/>
        <a:p>
          <a:endParaRPr lang="en-GB"/>
        </a:p>
      </dgm:t>
    </dgm:pt>
    <dgm:pt modelId="{9FD67682-204E-47AB-B009-0DAAC04D246F}" type="sibTrans" cxnId="{1DABD367-4D7A-4984-AFED-67CF9767B1BE}">
      <dgm:prSet/>
      <dgm:spPr/>
      <dgm:t>
        <a:bodyPr/>
        <a:lstStyle/>
        <a:p>
          <a:endParaRPr lang="en-GB"/>
        </a:p>
      </dgm:t>
    </dgm:pt>
    <dgm:pt modelId="{5AD14DD6-2F5D-4BFE-881D-79CB728E46CD}">
      <dgm:prSet phldrT="[Text]"/>
      <dgm:spPr/>
      <dgm:t>
        <a:bodyPr/>
        <a:lstStyle/>
        <a:p>
          <a:r>
            <a:rPr lang="en-GB"/>
            <a:t>Investors</a:t>
          </a:r>
        </a:p>
      </dgm:t>
    </dgm:pt>
    <dgm:pt modelId="{4F3E6EB8-43CB-4FF7-9709-EA562ED86012}" type="parTrans" cxnId="{EA6E7482-2958-4506-93B2-6DFC2680649C}">
      <dgm:prSet/>
      <dgm:spPr/>
      <dgm:t>
        <a:bodyPr/>
        <a:lstStyle/>
        <a:p>
          <a:endParaRPr lang="en-GB"/>
        </a:p>
      </dgm:t>
    </dgm:pt>
    <dgm:pt modelId="{C2E32EAF-30DC-4DFD-A37D-F7A902DF8FEE}" type="sibTrans" cxnId="{EA6E7482-2958-4506-93B2-6DFC2680649C}">
      <dgm:prSet/>
      <dgm:spPr/>
      <dgm:t>
        <a:bodyPr/>
        <a:lstStyle/>
        <a:p>
          <a:endParaRPr lang="en-GB"/>
        </a:p>
      </dgm:t>
    </dgm:pt>
    <dgm:pt modelId="{E2B9ECBF-A0E6-426D-8834-96F6E1AE1DB8}">
      <dgm:prSet phldrT="[Text]"/>
      <dgm:spPr/>
      <dgm:t>
        <a:bodyPr/>
        <a:lstStyle/>
        <a:p>
          <a:r>
            <a:rPr lang="en-GB"/>
            <a:t>Low Power</a:t>
          </a:r>
        </a:p>
        <a:p>
          <a:r>
            <a:rPr lang="en-GB"/>
            <a:t>Low Interest</a:t>
          </a:r>
        </a:p>
      </dgm:t>
    </dgm:pt>
    <dgm:pt modelId="{798B24B4-19E8-47C4-9A6B-3E5BA047643F}" type="parTrans" cxnId="{959D56B0-2FAF-457C-BAE0-D2A63FD07EF9}">
      <dgm:prSet/>
      <dgm:spPr/>
      <dgm:t>
        <a:bodyPr/>
        <a:lstStyle/>
        <a:p>
          <a:endParaRPr lang="en-GB"/>
        </a:p>
      </dgm:t>
    </dgm:pt>
    <dgm:pt modelId="{A5581D84-AE5D-454A-B2AD-0530074AC439}" type="sibTrans" cxnId="{959D56B0-2FAF-457C-BAE0-D2A63FD07EF9}">
      <dgm:prSet/>
      <dgm:spPr/>
      <dgm:t>
        <a:bodyPr/>
        <a:lstStyle/>
        <a:p>
          <a:endParaRPr lang="en-GB"/>
        </a:p>
      </dgm:t>
    </dgm:pt>
    <dgm:pt modelId="{6821D2BC-E03B-449A-89B6-891A81C31EEB}">
      <dgm:prSet phldrT="[Text]"/>
      <dgm:spPr/>
      <dgm:t>
        <a:bodyPr/>
        <a:lstStyle/>
        <a:p>
          <a:r>
            <a:rPr lang="en-GB"/>
            <a:t>Media</a:t>
          </a:r>
        </a:p>
      </dgm:t>
    </dgm:pt>
    <dgm:pt modelId="{13C76E36-42AA-45DE-8E3A-90EE4101187F}" type="parTrans" cxnId="{0E7F77CB-AFE7-470F-ACE3-C181CDF0DEDD}">
      <dgm:prSet/>
      <dgm:spPr/>
      <dgm:t>
        <a:bodyPr/>
        <a:lstStyle/>
        <a:p>
          <a:endParaRPr lang="en-GB"/>
        </a:p>
      </dgm:t>
    </dgm:pt>
    <dgm:pt modelId="{8F1DFDAF-33E5-49CF-8712-F3AA572176B6}" type="sibTrans" cxnId="{0E7F77CB-AFE7-470F-ACE3-C181CDF0DEDD}">
      <dgm:prSet/>
      <dgm:spPr/>
      <dgm:t>
        <a:bodyPr/>
        <a:lstStyle/>
        <a:p>
          <a:endParaRPr lang="en-GB"/>
        </a:p>
      </dgm:t>
    </dgm:pt>
    <dgm:pt modelId="{D8E9FB02-BAE2-41CE-8776-4CBFDB2CE8FC}">
      <dgm:prSet phldrT="[Text]"/>
      <dgm:spPr/>
      <dgm:t>
        <a:bodyPr/>
        <a:lstStyle/>
        <a:p>
          <a:r>
            <a:rPr lang="en-GB"/>
            <a:t>Low Power</a:t>
          </a:r>
        </a:p>
        <a:p>
          <a:r>
            <a:rPr lang="en-GB"/>
            <a:t>High Interest</a:t>
          </a:r>
        </a:p>
      </dgm:t>
    </dgm:pt>
    <dgm:pt modelId="{C92C2E87-75B1-40EA-89C5-D2F5BBBC36FD}" type="parTrans" cxnId="{93D223D9-6CF8-46BF-AB2F-854E7258E508}">
      <dgm:prSet/>
      <dgm:spPr/>
      <dgm:t>
        <a:bodyPr/>
        <a:lstStyle/>
        <a:p>
          <a:endParaRPr lang="en-GB"/>
        </a:p>
      </dgm:t>
    </dgm:pt>
    <dgm:pt modelId="{8C8B6B86-8861-469D-88F6-C8823A09A651}" type="sibTrans" cxnId="{93D223D9-6CF8-46BF-AB2F-854E7258E508}">
      <dgm:prSet/>
      <dgm:spPr/>
      <dgm:t>
        <a:bodyPr/>
        <a:lstStyle/>
        <a:p>
          <a:endParaRPr lang="en-GB"/>
        </a:p>
      </dgm:t>
    </dgm:pt>
    <dgm:pt modelId="{C719A9D4-9ECA-4B97-8A0F-EBEFF348C016}">
      <dgm:prSet phldrT="[Text]"/>
      <dgm:spPr/>
      <dgm:t>
        <a:bodyPr/>
        <a:lstStyle/>
        <a:p>
          <a:r>
            <a:rPr lang="en-GB"/>
            <a:t>Customers</a:t>
          </a:r>
        </a:p>
      </dgm:t>
    </dgm:pt>
    <dgm:pt modelId="{C9C801D1-9271-4B9B-B05C-AB0635ED99AF}" type="parTrans" cxnId="{3B3B0320-A832-47E5-A58A-9478A53E58C2}">
      <dgm:prSet/>
      <dgm:spPr/>
      <dgm:t>
        <a:bodyPr/>
        <a:lstStyle/>
        <a:p>
          <a:endParaRPr lang="en-GB"/>
        </a:p>
      </dgm:t>
    </dgm:pt>
    <dgm:pt modelId="{F143180C-9BE4-45BE-9485-E461EE0A387A}" type="sibTrans" cxnId="{3B3B0320-A832-47E5-A58A-9478A53E58C2}">
      <dgm:prSet/>
      <dgm:spPr/>
      <dgm:t>
        <a:bodyPr/>
        <a:lstStyle/>
        <a:p>
          <a:endParaRPr lang="en-GB"/>
        </a:p>
      </dgm:t>
    </dgm:pt>
    <dgm:pt modelId="{91880CD5-EC87-44C0-8130-856237D082F5}">
      <dgm:prSet phldrT="[Text]"/>
      <dgm:spPr/>
      <dgm:t>
        <a:bodyPr/>
        <a:lstStyle/>
        <a:p>
          <a:r>
            <a:rPr lang="en-GB"/>
            <a:t>High Power</a:t>
          </a:r>
        </a:p>
        <a:p>
          <a:r>
            <a:rPr lang="en-GB"/>
            <a:t>High Interest</a:t>
          </a:r>
        </a:p>
      </dgm:t>
    </dgm:pt>
    <dgm:pt modelId="{A963CAFF-5934-4517-94F2-C00ECEB0648A}" type="sibTrans" cxnId="{C63753E8-2F29-494D-AABD-F23E3C1BD60E}">
      <dgm:prSet/>
      <dgm:spPr/>
      <dgm:t>
        <a:bodyPr/>
        <a:lstStyle/>
        <a:p>
          <a:endParaRPr lang="en-GB"/>
        </a:p>
      </dgm:t>
    </dgm:pt>
    <dgm:pt modelId="{9CED6E5B-964F-4DA0-8E1C-26B97DAE544B}" type="parTrans" cxnId="{C63753E8-2F29-494D-AABD-F23E3C1BD60E}">
      <dgm:prSet/>
      <dgm:spPr/>
      <dgm:t>
        <a:bodyPr/>
        <a:lstStyle/>
        <a:p>
          <a:endParaRPr lang="en-GB"/>
        </a:p>
      </dgm:t>
    </dgm:pt>
    <dgm:pt modelId="{F8FCCE42-82BA-44E1-B343-9AA9B085F8C9}">
      <dgm:prSet phldrT="[Text]"/>
      <dgm:spPr/>
      <dgm:t>
        <a:bodyPr/>
        <a:lstStyle/>
        <a:p>
          <a:r>
            <a:rPr lang="en-GB"/>
            <a:t>Project Sponsor</a:t>
          </a:r>
        </a:p>
      </dgm:t>
    </dgm:pt>
    <dgm:pt modelId="{009BF3AB-0362-489E-90AE-2B44F41C5D24}" type="parTrans" cxnId="{6A6E4CA8-B18E-4065-BC5B-9BBBEAF339FA}">
      <dgm:prSet/>
      <dgm:spPr/>
    </dgm:pt>
    <dgm:pt modelId="{E41B5A74-B91D-4534-8DCC-1D2C1F79698D}" type="sibTrans" cxnId="{6A6E4CA8-B18E-4065-BC5B-9BBBEAF339FA}">
      <dgm:prSet/>
      <dgm:spPr/>
    </dgm:pt>
    <dgm:pt modelId="{BD4DC750-A573-43B6-AFEB-3A1E62528F49}">
      <dgm:prSet phldrT="[Text]"/>
      <dgm:spPr/>
      <dgm:t>
        <a:bodyPr/>
        <a:lstStyle/>
        <a:p>
          <a:r>
            <a:rPr lang="en-GB"/>
            <a:t>IT Security Team</a:t>
          </a:r>
        </a:p>
      </dgm:t>
    </dgm:pt>
    <dgm:pt modelId="{01D5283C-3BBF-42B4-A74D-DEF3D1204F5E}" type="parTrans" cxnId="{784AC92A-6C0B-4DEE-9349-A338BF742E15}">
      <dgm:prSet/>
      <dgm:spPr/>
    </dgm:pt>
    <dgm:pt modelId="{BB76B9AE-C591-437E-9DD6-FDB68EE6BEA5}" type="sibTrans" cxnId="{784AC92A-6C0B-4DEE-9349-A338BF742E15}">
      <dgm:prSet/>
      <dgm:spPr/>
    </dgm:pt>
    <dgm:pt modelId="{55C09A85-919E-4899-A408-5538AF15DB57}">
      <dgm:prSet phldrT="[Text]"/>
      <dgm:spPr/>
      <dgm:t>
        <a:bodyPr/>
        <a:lstStyle/>
        <a:p>
          <a:r>
            <a:rPr lang="en-GB"/>
            <a:t>Regulators</a:t>
          </a:r>
        </a:p>
      </dgm:t>
    </dgm:pt>
    <dgm:pt modelId="{F5651F7B-97B4-4774-821B-572A2E6DF628}" type="parTrans" cxnId="{37E41E5F-7BC3-46AF-B878-6DD47CA3A182}">
      <dgm:prSet/>
      <dgm:spPr/>
    </dgm:pt>
    <dgm:pt modelId="{C7FE53BD-E874-47FE-A3CA-2AD7D982BAFF}" type="sibTrans" cxnId="{37E41E5F-7BC3-46AF-B878-6DD47CA3A182}">
      <dgm:prSet/>
      <dgm:spPr/>
    </dgm:pt>
    <dgm:pt modelId="{81F7430F-AC9D-41C0-8008-9938B82A06F2}">
      <dgm:prSet phldrT="[Text]"/>
      <dgm:spPr/>
      <dgm:t>
        <a:bodyPr/>
        <a:lstStyle/>
        <a:p>
          <a:r>
            <a:rPr lang="en-GB"/>
            <a:t>Marketing Team</a:t>
          </a:r>
        </a:p>
      </dgm:t>
    </dgm:pt>
    <dgm:pt modelId="{2F3AB9CB-5E44-4D0F-96A4-52DF4B5D6A48}" type="parTrans" cxnId="{382501C4-E8B3-40A8-B2CD-E053B00E6748}">
      <dgm:prSet/>
      <dgm:spPr/>
    </dgm:pt>
    <dgm:pt modelId="{BC0701F3-B9EB-4657-98F2-9C79D4BC883C}" type="sibTrans" cxnId="{382501C4-E8B3-40A8-B2CD-E053B00E6748}">
      <dgm:prSet/>
      <dgm:spPr/>
    </dgm:pt>
    <dgm:pt modelId="{D59633A3-6A5F-42D8-B82C-FB2DAE4C2C5F}">
      <dgm:prSet phldrT="[Text]"/>
      <dgm:spPr/>
      <dgm:t>
        <a:bodyPr/>
        <a:lstStyle/>
        <a:p>
          <a:r>
            <a:rPr lang="en-GB"/>
            <a:t>Customer Service Team</a:t>
          </a:r>
        </a:p>
      </dgm:t>
    </dgm:pt>
    <dgm:pt modelId="{68CA703E-D37A-4AFB-9D1F-4E65903AF18C}" type="parTrans" cxnId="{8B4B24EF-DE2F-4009-B396-A71B858B1891}">
      <dgm:prSet/>
      <dgm:spPr/>
    </dgm:pt>
    <dgm:pt modelId="{C24EFBAA-63A0-496E-BD92-38CC78746E77}" type="sibTrans" cxnId="{8B4B24EF-DE2F-4009-B396-A71B858B1891}">
      <dgm:prSet/>
      <dgm:spPr/>
    </dgm:pt>
    <dgm:pt modelId="{8E9FDD20-AB6D-4F68-BD47-463B2E9E6759}">
      <dgm:prSet phldrT="[Text]"/>
      <dgm:spPr/>
      <dgm:t>
        <a:bodyPr/>
        <a:lstStyle/>
        <a:p>
          <a:r>
            <a:rPr lang="en-GB"/>
            <a:t>General Public </a:t>
          </a:r>
        </a:p>
      </dgm:t>
    </dgm:pt>
    <dgm:pt modelId="{12735B10-0572-471B-8EF0-0AE015D337EE}" type="parTrans" cxnId="{1D7D0A4A-3D17-45E7-A49A-90CAFE9C0D05}">
      <dgm:prSet/>
      <dgm:spPr/>
    </dgm:pt>
    <dgm:pt modelId="{FD1BFB19-43F3-47D1-B45A-1BAACC6D0ABD}" type="sibTrans" cxnId="{1D7D0A4A-3D17-45E7-A49A-90CAFE9C0D05}">
      <dgm:prSet/>
      <dgm:spPr/>
    </dgm:pt>
    <dgm:pt modelId="{85388451-0994-46B3-AB40-D044D84B6A12}" type="pres">
      <dgm:prSet presAssocID="{64FBAA48-B756-4F5E-AE90-114C3F2CB4FB}" presName="cycleMatrixDiagram" presStyleCnt="0">
        <dgm:presLayoutVars>
          <dgm:chMax val="1"/>
          <dgm:dir/>
          <dgm:animLvl val="lvl"/>
          <dgm:resizeHandles val="exact"/>
        </dgm:presLayoutVars>
      </dgm:prSet>
      <dgm:spPr/>
    </dgm:pt>
    <dgm:pt modelId="{76FA166A-A65C-4326-86E9-29F8B1366249}" type="pres">
      <dgm:prSet presAssocID="{64FBAA48-B756-4F5E-AE90-114C3F2CB4FB}" presName="children" presStyleCnt="0"/>
      <dgm:spPr/>
    </dgm:pt>
    <dgm:pt modelId="{550D983E-5F3D-4C18-AA49-DB98FB193DFA}" type="pres">
      <dgm:prSet presAssocID="{64FBAA48-B756-4F5E-AE90-114C3F2CB4FB}" presName="child1group" presStyleCnt="0"/>
      <dgm:spPr/>
    </dgm:pt>
    <dgm:pt modelId="{A091A973-D519-4631-838F-79F0C711D121}" type="pres">
      <dgm:prSet presAssocID="{64FBAA48-B756-4F5E-AE90-114C3F2CB4FB}" presName="child1" presStyleLbl="bgAcc1" presStyleIdx="0" presStyleCnt="4"/>
      <dgm:spPr/>
    </dgm:pt>
    <dgm:pt modelId="{90584118-E434-45E0-B137-29952EB768BA}" type="pres">
      <dgm:prSet presAssocID="{64FBAA48-B756-4F5E-AE90-114C3F2CB4FB}" presName="child1Text" presStyleLbl="bgAcc1" presStyleIdx="0" presStyleCnt="4">
        <dgm:presLayoutVars>
          <dgm:bulletEnabled val="1"/>
        </dgm:presLayoutVars>
      </dgm:prSet>
      <dgm:spPr/>
    </dgm:pt>
    <dgm:pt modelId="{E52FE4E9-C6C2-4E80-946A-18ADB5A46578}" type="pres">
      <dgm:prSet presAssocID="{64FBAA48-B756-4F5E-AE90-114C3F2CB4FB}" presName="child2group" presStyleCnt="0"/>
      <dgm:spPr/>
    </dgm:pt>
    <dgm:pt modelId="{89C62916-05B1-4046-85F3-40005F557652}" type="pres">
      <dgm:prSet presAssocID="{64FBAA48-B756-4F5E-AE90-114C3F2CB4FB}" presName="child2" presStyleLbl="bgAcc1" presStyleIdx="1" presStyleCnt="4"/>
      <dgm:spPr/>
    </dgm:pt>
    <dgm:pt modelId="{0B3A41BF-085A-4CA4-A775-881E287FD769}" type="pres">
      <dgm:prSet presAssocID="{64FBAA48-B756-4F5E-AE90-114C3F2CB4FB}" presName="child2Text" presStyleLbl="bgAcc1" presStyleIdx="1" presStyleCnt="4">
        <dgm:presLayoutVars>
          <dgm:bulletEnabled val="1"/>
        </dgm:presLayoutVars>
      </dgm:prSet>
      <dgm:spPr/>
    </dgm:pt>
    <dgm:pt modelId="{DB53DF65-AA20-45B0-ACBC-39232A5904CD}" type="pres">
      <dgm:prSet presAssocID="{64FBAA48-B756-4F5E-AE90-114C3F2CB4FB}" presName="child3group" presStyleCnt="0"/>
      <dgm:spPr/>
    </dgm:pt>
    <dgm:pt modelId="{D85391B8-7226-43B6-8745-9CCB5619CDAE}" type="pres">
      <dgm:prSet presAssocID="{64FBAA48-B756-4F5E-AE90-114C3F2CB4FB}" presName="child3" presStyleLbl="bgAcc1" presStyleIdx="2" presStyleCnt="4"/>
      <dgm:spPr/>
    </dgm:pt>
    <dgm:pt modelId="{52D1F1FB-1FDB-4F32-BCCF-327EF253740B}" type="pres">
      <dgm:prSet presAssocID="{64FBAA48-B756-4F5E-AE90-114C3F2CB4FB}" presName="child3Text" presStyleLbl="bgAcc1" presStyleIdx="2" presStyleCnt="4">
        <dgm:presLayoutVars>
          <dgm:bulletEnabled val="1"/>
        </dgm:presLayoutVars>
      </dgm:prSet>
      <dgm:spPr/>
    </dgm:pt>
    <dgm:pt modelId="{E677996C-7347-40FE-BAE1-DDA614962B26}" type="pres">
      <dgm:prSet presAssocID="{64FBAA48-B756-4F5E-AE90-114C3F2CB4FB}" presName="child4group" presStyleCnt="0"/>
      <dgm:spPr/>
    </dgm:pt>
    <dgm:pt modelId="{7710C71A-976E-4EFC-9323-AB8F32ECEE84}" type="pres">
      <dgm:prSet presAssocID="{64FBAA48-B756-4F5E-AE90-114C3F2CB4FB}" presName="child4" presStyleLbl="bgAcc1" presStyleIdx="3" presStyleCnt="4"/>
      <dgm:spPr/>
    </dgm:pt>
    <dgm:pt modelId="{5A22504F-0311-44C6-B001-AC02F4D4301C}" type="pres">
      <dgm:prSet presAssocID="{64FBAA48-B756-4F5E-AE90-114C3F2CB4FB}" presName="child4Text" presStyleLbl="bgAcc1" presStyleIdx="3" presStyleCnt="4">
        <dgm:presLayoutVars>
          <dgm:bulletEnabled val="1"/>
        </dgm:presLayoutVars>
      </dgm:prSet>
      <dgm:spPr/>
    </dgm:pt>
    <dgm:pt modelId="{79E2A510-5ED9-43BB-B656-2764AA7B24F7}" type="pres">
      <dgm:prSet presAssocID="{64FBAA48-B756-4F5E-AE90-114C3F2CB4FB}" presName="childPlaceholder" presStyleCnt="0"/>
      <dgm:spPr/>
    </dgm:pt>
    <dgm:pt modelId="{A2895343-34AE-474A-9F98-5605E49D37BE}" type="pres">
      <dgm:prSet presAssocID="{64FBAA48-B756-4F5E-AE90-114C3F2CB4FB}" presName="circle" presStyleCnt="0"/>
      <dgm:spPr/>
    </dgm:pt>
    <dgm:pt modelId="{03F601CF-38F8-4EC0-8CB0-0A9CB587E00D}" type="pres">
      <dgm:prSet presAssocID="{64FBAA48-B756-4F5E-AE90-114C3F2CB4FB}" presName="quadrant1" presStyleLbl="node1" presStyleIdx="0" presStyleCnt="4">
        <dgm:presLayoutVars>
          <dgm:chMax val="1"/>
          <dgm:bulletEnabled val="1"/>
        </dgm:presLayoutVars>
      </dgm:prSet>
      <dgm:spPr/>
    </dgm:pt>
    <dgm:pt modelId="{D66ED5F3-A4B8-4AEA-A36C-8CF28A63B1CB}" type="pres">
      <dgm:prSet presAssocID="{64FBAA48-B756-4F5E-AE90-114C3F2CB4FB}" presName="quadrant2" presStyleLbl="node1" presStyleIdx="1" presStyleCnt="4">
        <dgm:presLayoutVars>
          <dgm:chMax val="1"/>
          <dgm:bulletEnabled val="1"/>
        </dgm:presLayoutVars>
      </dgm:prSet>
      <dgm:spPr/>
    </dgm:pt>
    <dgm:pt modelId="{138A48C9-3100-4424-A906-518C67C7CE81}" type="pres">
      <dgm:prSet presAssocID="{64FBAA48-B756-4F5E-AE90-114C3F2CB4FB}" presName="quadrant3" presStyleLbl="node1" presStyleIdx="2" presStyleCnt="4">
        <dgm:presLayoutVars>
          <dgm:chMax val="1"/>
          <dgm:bulletEnabled val="1"/>
        </dgm:presLayoutVars>
      </dgm:prSet>
      <dgm:spPr/>
    </dgm:pt>
    <dgm:pt modelId="{2BB3C4B8-9E15-4BB7-854C-E9767E5804C9}" type="pres">
      <dgm:prSet presAssocID="{64FBAA48-B756-4F5E-AE90-114C3F2CB4FB}" presName="quadrant4" presStyleLbl="node1" presStyleIdx="3" presStyleCnt="4">
        <dgm:presLayoutVars>
          <dgm:chMax val="1"/>
          <dgm:bulletEnabled val="1"/>
        </dgm:presLayoutVars>
      </dgm:prSet>
      <dgm:spPr/>
    </dgm:pt>
    <dgm:pt modelId="{10383163-D022-49AF-8A85-941FA7882039}" type="pres">
      <dgm:prSet presAssocID="{64FBAA48-B756-4F5E-AE90-114C3F2CB4FB}" presName="quadrantPlaceholder" presStyleCnt="0"/>
      <dgm:spPr/>
    </dgm:pt>
    <dgm:pt modelId="{47F8E09E-B8C6-4590-8977-324BADA56797}" type="pres">
      <dgm:prSet presAssocID="{64FBAA48-B756-4F5E-AE90-114C3F2CB4FB}" presName="center1" presStyleLbl="fgShp" presStyleIdx="0" presStyleCnt="2"/>
      <dgm:spPr/>
    </dgm:pt>
    <dgm:pt modelId="{1674C04D-D0F4-4D62-BEC9-669AF8EF4C4A}" type="pres">
      <dgm:prSet presAssocID="{64FBAA48-B756-4F5E-AE90-114C3F2CB4FB}" presName="center2" presStyleLbl="fgShp" presStyleIdx="1" presStyleCnt="2"/>
      <dgm:spPr/>
    </dgm:pt>
  </dgm:ptLst>
  <dgm:cxnLst>
    <dgm:cxn modelId="{AAC0BD00-B123-4EDE-9323-C76F43BDF6E5}" type="presOf" srcId="{D8E9FB02-BAE2-41CE-8776-4CBFDB2CE8FC}" destId="{2BB3C4B8-9E15-4BB7-854C-E9767E5804C9}" srcOrd="0" destOrd="0" presId="urn:microsoft.com/office/officeart/2005/8/layout/cycle4"/>
    <dgm:cxn modelId="{A2604005-C88F-4389-A926-A0295A2EB58E}" type="presOf" srcId="{81F7430F-AC9D-41C0-8008-9938B82A06F2}" destId="{5A22504F-0311-44C6-B001-AC02F4D4301C}" srcOrd="1" destOrd="1" presId="urn:microsoft.com/office/officeart/2005/8/layout/cycle4"/>
    <dgm:cxn modelId="{3B3B0320-A832-47E5-A58A-9478A53E58C2}" srcId="{D8E9FB02-BAE2-41CE-8776-4CBFDB2CE8FC}" destId="{C719A9D4-9ECA-4B97-8A0F-EBEFF348C016}" srcOrd="0" destOrd="0" parTransId="{C9C801D1-9271-4B9B-B05C-AB0635ED99AF}" sibTransId="{F143180C-9BE4-45BE-9485-E461EE0A387A}"/>
    <dgm:cxn modelId="{784AC92A-6C0B-4DEE-9349-A338BF742E15}" srcId="{91880CD5-EC87-44C0-8130-856237D082F5}" destId="{BD4DC750-A573-43B6-AFEB-3A1E62528F49}" srcOrd="2" destOrd="0" parTransId="{01D5283C-3BBF-42B4-A74D-DEF3D1204F5E}" sibTransId="{BB76B9AE-C591-437E-9DD6-FDB68EE6BEA5}"/>
    <dgm:cxn modelId="{E5DC4A5D-0ECA-4519-9181-CFCFA7D92EAF}" type="presOf" srcId="{55C09A85-919E-4899-A408-5538AF15DB57}" destId="{89C62916-05B1-4046-85F3-40005F557652}" srcOrd="0" destOrd="1" presId="urn:microsoft.com/office/officeart/2005/8/layout/cycle4"/>
    <dgm:cxn modelId="{37E41E5F-7BC3-46AF-B878-6DD47CA3A182}" srcId="{05EFF23E-3D98-4203-86DA-6E84268F7761}" destId="{55C09A85-919E-4899-A408-5538AF15DB57}" srcOrd="1" destOrd="0" parTransId="{F5651F7B-97B4-4774-821B-572A2E6DF628}" sibTransId="{C7FE53BD-E874-47FE-A3CA-2AD7D982BAFF}"/>
    <dgm:cxn modelId="{BCBD4545-3BA4-440C-990F-D9167F80394E}" type="presOf" srcId="{6821D2BC-E03B-449A-89B6-891A81C31EEB}" destId="{D85391B8-7226-43B6-8745-9CCB5619CDAE}" srcOrd="0" destOrd="0" presId="urn:microsoft.com/office/officeart/2005/8/layout/cycle4"/>
    <dgm:cxn modelId="{1DABD367-4D7A-4984-AFED-67CF9767B1BE}" srcId="{64FBAA48-B756-4F5E-AE90-114C3F2CB4FB}" destId="{05EFF23E-3D98-4203-86DA-6E84268F7761}" srcOrd="1" destOrd="0" parTransId="{9164395A-840D-4B24-915A-AE473B42C287}" sibTransId="{9FD67682-204E-47AB-B009-0DAAC04D246F}"/>
    <dgm:cxn modelId="{1D7D0A4A-3D17-45E7-A49A-90CAFE9C0D05}" srcId="{E2B9ECBF-A0E6-426D-8834-96F6E1AE1DB8}" destId="{8E9FDD20-AB6D-4F68-BD47-463B2E9E6759}" srcOrd="1" destOrd="0" parTransId="{12735B10-0572-471B-8EF0-0AE015D337EE}" sibTransId="{FD1BFB19-43F3-47D1-B45A-1BAACC6D0ABD}"/>
    <dgm:cxn modelId="{C0012E6A-70FA-40F9-B7A0-CC0428338C57}" type="presOf" srcId="{BD4DC750-A573-43B6-AFEB-3A1E62528F49}" destId="{A091A973-D519-4631-838F-79F0C711D121}" srcOrd="0" destOrd="2" presId="urn:microsoft.com/office/officeart/2005/8/layout/cycle4"/>
    <dgm:cxn modelId="{92C1836E-86D7-4D19-BA4C-C109610617A2}" type="presOf" srcId="{C719A9D4-9ECA-4B97-8A0F-EBEFF348C016}" destId="{7710C71A-976E-4EFC-9323-AB8F32ECEE84}" srcOrd="0" destOrd="0" presId="urn:microsoft.com/office/officeart/2005/8/layout/cycle4"/>
    <dgm:cxn modelId="{68ED2D77-B524-475C-9C11-E77A47AE56A5}" type="presOf" srcId="{05EFF23E-3D98-4203-86DA-6E84268F7761}" destId="{D66ED5F3-A4B8-4AEA-A36C-8CF28A63B1CB}" srcOrd="0" destOrd="0" presId="urn:microsoft.com/office/officeart/2005/8/layout/cycle4"/>
    <dgm:cxn modelId="{DC056E5A-F4FB-41BC-BF2A-3707E3598AF0}" type="presOf" srcId="{E2B9ECBF-A0E6-426D-8834-96F6E1AE1DB8}" destId="{138A48C9-3100-4424-A906-518C67C7CE81}" srcOrd="0" destOrd="0" presId="urn:microsoft.com/office/officeart/2005/8/layout/cycle4"/>
    <dgm:cxn modelId="{EA6E7482-2958-4506-93B2-6DFC2680649C}" srcId="{05EFF23E-3D98-4203-86DA-6E84268F7761}" destId="{5AD14DD6-2F5D-4BFE-881D-79CB728E46CD}" srcOrd="0" destOrd="0" parTransId="{4F3E6EB8-43CB-4FF7-9709-EA562ED86012}" sibTransId="{C2E32EAF-30DC-4DFD-A37D-F7A902DF8FEE}"/>
    <dgm:cxn modelId="{AAF0DE83-5C77-4206-9A0D-D82B298F5769}" type="presOf" srcId="{8E9FDD20-AB6D-4F68-BD47-463B2E9E6759}" destId="{D85391B8-7226-43B6-8745-9CCB5619CDAE}" srcOrd="0" destOrd="1" presId="urn:microsoft.com/office/officeart/2005/8/layout/cycle4"/>
    <dgm:cxn modelId="{7CF8A284-A674-45AD-BA48-051958415BD4}" type="presOf" srcId="{6821D2BC-E03B-449A-89B6-891A81C31EEB}" destId="{52D1F1FB-1FDB-4F32-BCCF-327EF253740B}" srcOrd="1" destOrd="0" presId="urn:microsoft.com/office/officeart/2005/8/layout/cycle4"/>
    <dgm:cxn modelId="{3EF4BD85-E1AE-485F-B37B-84B69512FCE7}" type="presOf" srcId="{91880CD5-EC87-44C0-8130-856237D082F5}" destId="{03F601CF-38F8-4EC0-8CB0-0A9CB587E00D}" srcOrd="0" destOrd="0" presId="urn:microsoft.com/office/officeart/2005/8/layout/cycle4"/>
    <dgm:cxn modelId="{CB77C38B-13AF-49FC-94FC-50664F56094C}" type="presOf" srcId="{C719A9D4-9ECA-4B97-8A0F-EBEFF348C016}" destId="{5A22504F-0311-44C6-B001-AC02F4D4301C}" srcOrd="1" destOrd="0" presId="urn:microsoft.com/office/officeart/2005/8/layout/cycle4"/>
    <dgm:cxn modelId="{84E3DD91-4875-4D71-8F6D-D50351194C75}" type="presOf" srcId="{D59633A3-6A5F-42D8-B82C-FB2DAE4C2C5F}" destId="{7710C71A-976E-4EFC-9323-AB8F32ECEE84}" srcOrd="0" destOrd="2" presId="urn:microsoft.com/office/officeart/2005/8/layout/cycle4"/>
    <dgm:cxn modelId="{B6F46693-E3BA-4437-8911-CB6F5F4DD32D}" srcId="{91880CD5-EC87-44C0-8130-856237D082F5}" destId="{D3420118-440C-42C3-A8B3-4703AC2D9260}" srcOrd="0" destOrd="0" parTransId="{08666011-745D-422D-9FA4-21799232638D}" sibTransId="{21A24265-B787-498D-A727-479D55070BE8}"/>
    <dgm:cxn modelId="{592EA5A6-3C91-44B5-8F3B-ED690F971806}" type="presOf" srcId="{55C09A85-919E-4899-A408-5538AF15DB57}" destId="{0B3A41BF-085A-4CA4-A775-881E287FD769}" srcOrd="1" destOrd="1" presId="urn:microsoft.com/office/officeart/2005/8/layout/cycle4"/>
    <dgm:cxn modelId="{599FB5A7-CF5C-420F-8688-1F9F0B9F77C9}" type="presOf" srcId="{64FBAA48-B756-4F5E-AE90-114C3F2CB4FB}" destId="{85388451-0994-46B3-AB40-D044D84B6A12}" srcOrd="0" destOrd="0" presId="urn:microsoft.com/office/officeart/2005/8/layout/cycle4"/>
    <dgm:cxn modelId="{6A6E4CA8-B18E-4065-BC5B-9BBBEAF339FA}" srcId="{91880CD5-EC87-44C0-8130-856237D082F5}" destId="{F8FCCE42-82BA-44E1-B343-9AA9B085F8C9}" srcOrd="1" destOrd="0" parTransId="{009BF3AB-0362-489E-90AE-2B44F41C5D24}" sibTransId="{E41B5A74-B91D-4534-8DCC-1D2C1F79698D}"/>
    <dgm:cxn modelId="{6ED456AE-DE77-4438-A8FB-38613DFE73E4}" type="presOf" srcId="{F8FCCE42-82BA-44E1-B343-9AA9B085F8C9}" destId="{90584118-E434-45E0-B137-29952EB768BA}" srcOrd="1" destOrd="1" presId="urn:microsoft.com/office/officeart/2005/8/layout/cycle4"/>
    <dgm:cxn modelId="{959D56B0-2FAF-457C-BAE0-D2A63FD07EF9}" srcId="{64FBAA48-B756-4F5E-AE90-114C3F2CB4FB}" destId="{E2B9ECBF-A0E6-426D-8834-96F6E1AE1DB8}" srcOrd="2" destOrd="0" parTransId="{798B24B4-19E8-47C4-9A6B-3E5BA047643F}" sibTransId="{A5581D84-AE5D-454A-B2AD-0530074AC439}"/>
    <dgm:cxn modelId="{C6DF6BB9-91DD-4881-BFE2-3D80035C6EA4}" type="presOf" srcId="{BD4DC750-A573-43B6-AFEB-3A1E62528F49}" destId="{90584118-E434-45E0-B137-29952EB768BA}" srcOrd="1" destOrd="2" presId="urn:microsoft.com/office/officeart/2005/8/layout/cycle4"/>
    <dgm:cxn modelId="{382501C4-E8B3-40A8-B2CD-E053B00E6748}" srcId="{D8E9FB02-BAE2-41CE-8776-4CBFDB2CE8FC}" destId="{81F7430F-AC9D-41C0-8008-9938B82A06F2}" srcOrd="1" destOrd="0" parTransId="{2F3AB9CB-5E44-4D0F-96A4-52DF4B5D6A48}" sibTransId="{BC0701F3-B9EB-4657-98F2-9C79D4BC883C}"/>
    <dgm:cxn modelId="{AF981ACA-0B7F-40FC-8A3C-D29CC2A87B82}" type="presOf" srcId="{D3420118-440C-42C3-A8B3-4703AC2D9260}" destId="{A091A973-D519-4631-838F-79F0C711D121}" srcOrd="0" destOrd="0" presId="urn:microsoft.com/office/officeart/2005/8/layout/cycle4"/>
    <dgm:cxn modelId="{0E7F77CB-AFE7-470F-ACE3-C181CDF0DEDD}" srcId="{E2B9ECBF-A0E6-426D-8834-96F6E1AE1DB8}" destId="{6821D2BC-E03B-449A-89B6-891A81C31EEB}" srcOrd="0" destOrd="0" parTransId="{13C76E36-42AA-45DE-8E3A-90EE4101187F}" sibTransId="{8F1DFDAF-33E5-49CF-8712-F3AA572176B6}"/>
    <dgm:cxn modelId="{C4F49CCF-DC49-4451-98F2-7D9225F35451}" type="presOf" srcId="{D3420118-440C-42C3-A8B3-4703AC2D9260}" destId="{90584118-E434-45E0-B137-29952EB768BA}" srcOrd="1" destOrd="0" presId="urn:microsoft.com/office/officeart/2005/8/layout/cycle4"/>
    <dgm:cxn modelId="{AFE964D3-BEB0-42AD-8691-94486B250688}" type="presOf" srcId="{5AD14DD6-2F5D-4BFE-881D-79CB728E46CD}" destId="{89C62916-05B1-4046-85F3-40005F557652}" srcOrd="0" destOrd="0" presId="urn:microsoft.com/office/officeart/2005/8/layout/cycle4"/>
    <dgm:cxn modelId="{3DDF87D5-C2BA-4C65-A768-FD17CC463BB7}" type="presOf" srcId="{F8FCCE42-82BA-44E1-B343-9AA9B085F8C9}" destId="{A091A973-D519-4631-838F-79F0C711D121}" srcOrd="0" destOrd="1" presId="urn:microsoft.com/office/officeart/2005/8/layout/cycle4"/>
    <dgm:cxn modelId="{93D223D9-6CF8-46BF-AB2F-854E7258E508}" srcId="{64FBAA48-B756-4F5E-AE90-114C3F2CB4FB}" destId="{D8E9FB02-BAE2-41CE-8776-4CBFDB2CE8FC}" srcOrd="3" destOrd="0" parTransId="{C92C2E87-75B1-40EA-89C5-D2F5BBBC36FD}" sibTransId="{8C8B6B86-8861-469D-88F6-C8823A09A651}"/>
    <dgm:cxn modelId="{F3FE30DB-1594-4B33-BE18-4010A8F719D4}" type="presOf" srcId="{5AD14DD6-2F5D-4BFE-881D-79CB728E46CD}" destId="{0B3A41BF-085A-4CA4-A775-881E287FD769}" srcOrd="1" destOrd="0" presId="urn:microsoft.com/office/officeart/2005/8/layout/cycle4"/>
    <dgm:cxn modelId="{C63753E8-2F29-494D-AABD-F23E3C1BD60E}" srcId="{64FBAA48-B756-4F5E-AE90-114C3F2CB4FB}" destId="{91880CD5-EC87-44C0-8130-856237D082F5}" srcOrd="0" destOrd="0" parTransId="{9CED6E5B-964F-4DA0-8E1C-26B97DAE544B}" sibTransId="{A963CAFF-5934-4517-94F2-C00ECEB0648A}"/>
    <dgm:cxn modelId="{671255E8-B97E-4F01-AAD2-9784876AB260}" type="presOf" srcId="{8E9FDD20-AB6D-4F68-BD47-463B2E9E6759}" destId="{52D1F1FB-1FDB-4F32-BCCF-327EF253740B}" srcOrd="1" destOrd="1" presId="urn:microsoft.com/office/officeart/2005/8/layout/cycle4"/>
    <dgm:cxn modelId="{8B4B24EF-DE2F-4009-B396-A71B858B1891}" srcId="{D8E9FB02-BAE2-41CE-8776-4CBFDB2CE8FC}" destId="{D59633A3-6A5F-42D8-B82C-FB2DAE4C2C5F}" srcOrd="2" destOrd="0" parTransId="{68CA703E-D37A-4AFB-9D1F-4E65903AF18C}" sibTransId="{C24EFBAA-63A0-496E-BD92-38CC78746E77}"/>
    <dgm:cxn modelId="{D7E797F6-51B2-489D-87F0-B0D10B5D926E}" type="presOf" srcId="{D59633A3-6A5F-42D8-B82C-FB2DAE4C2C5F}" destId="{5A22504F-0311-44C6-B001-AC02F4D4301C}" srcOrd="1" destOrd="2" presId="urn:microsoft.com/office/officeart/2005/8/layout/cycle4"/>
    <dgm:cxn modelId="{1222CFF8-07F6-4D03-9E59-119F55013984}" type="presOf" srcId="{81F7430F-AC9D-41C0-8008-9938B82A06F2}" destId="{7710C71A-976E-4EFC-9323-AB8F32ECEE84}" srcOrd="0" destOrd="1" presId="urn:microsoft.com/office/officeart/2005/8/layout/cycle4"/>
    <dgm:cxn modelId="{CE55E664-9AE8-4660-8DE7-4AD45035A6D8}" type="presParOf" srcId="{85388451-0994-46B3-AB40-D044D84B6A12}" destId="{76FA166A-A65C-4326-86E9-29F8B1366249}" srcOrd="0" destOrd="0" presId="urn:microsoft.com/office/officeart/2005/8/layout/cycle4"/>
    <dgm:cxn modelId="{81655AEB-D2BE-4225-8DD0-E6B86CC05654}" type="presParOf" srcId="{76FA166A-A65C-4326-86E9-29F8B1366249}" destId="{550D983E-5F3D-4C18-AA49-DB98FB193DFA}" srcOrd="0" destOrd="0" presId="urn:microsoft.com/office/officeart/2005/8/layout/cycle4"/>
    <dgm:cxn modelId="{2658E9C6-A6D7-440D-9B37-3751CF3A51C4}" type="presParOf" srcId="{550D983E-5F3D-4C18-AA49-DB98FB193DFA}" destId="{A091A973-D519-4631-838F-79F0C711D121}" srcOrd="0" destOrd="0" presId="urn:microsoft.com/office/officeart/2005/8/layout/cycle4"/>
    <dgm:cxn modelId="{4666A8A5-5455-4FB4-8AA1-D724A821D06F}" type="presParOf" srcId="{550D983E-5F3D-4C18-AA49-DB98FB193DFA}" destId="{90584118-E434-45E0-B137-29952EB768BA}" srcOrd="1" destOrd="0" presId="urn:microsoft.com/office/officeart/2005/8/layout/cycle4"/>
    <dgm:cxn modelId="{6643A530-9C9F-4C58-95DE-F3CFFA72F27F}" type="presParOf" srcId="{76FA166A-A65C-4326-86E9-29F8B1366249}" destId="{E52FE4E9-C6C2-4E80-946A-18ADB5A46578}" srcOrd="1" destOrd="0" presId="urn:microsoft.com/office/officeart/2005/8/layout/cycle4"/>
    <dgm:cxn modelId="{F88D5152-33A6-4E47-8697-B63638337146}" type="presParOf" srcId="{E52FE4E9-C6C2-4E80-946A-18ADB5A46578}" destId="{89C62916-05B1-4046-85F3-40005F557652}" srcOrd="0" destOrd="0" presId="urn:microsoft.com/office/officeart/2005/8/layout/cycle4"/>
    <dgm:cxn modelId="{19081388-7B10-44F6-8132-3B153596030F}" type="presParOf" srcId="{E52FE4E9-C6C2-4E80-946A-18ADB5A46578}" destId="{0B3A41BF-085A-4CA4-A775-881E287FD769}" srcOrd="1" destOrd="0" presId="urn:microsoft.com/office/officeart/2005/8/layout/cycle4"/>
    <dgm:cxn modelId="{7F1E06D8-545A-4A65-9EF6-88F92F9C4C33}" type="presParOf" srcId="{76FA166A-A65C-4326-86E9-29F8B1366249}" destId="{DB53DF65-AA20-45B0-ACBC-39232A5904CD}" srcOrd="2" destOrd="0" presId="urn:microsoft.com/office/officeart/2005/8/layout/cycle4"/>
    <dgm:cxn modelId="{DBEEDBC8-F0A0-4988-92D3-7E31AFF2D1C9}" type="presParOf" srcId="{DB53DF65-AA20-45B0-ACBC-39232A5904CD}" destId="{D85391B8-7226-43B6-8745-9CCB5619CDAE}" srcOrd="0" destOrd="0" presId="urn:microsoft.com/office/officeart/2005/8/layout/cycle4"/>
    <dgm:cxn modelId="{0B63B19D-9FD1-46E9-949F-01EFCB3407C4}" type="presParOf" srcId="{DB53DF65-AA20-45B0-ACBC-39232A5904CD}" destId="{52D1F1FB-1FDB-4F32-BCCF-327EF253740B}" srcOrd="1" destOrd="0" presId="urn:microsoft.com/office/officeart/2005/8/layout/cycle4"/>
    <dgm:cxn modelId="{4DCE1CB8-0144-44D0-9135-ADADA8FC7570}" type="presParOf" srcId="{76FA166A-A65C-4326-86E9-29F8B1366249}" destId="{E677996C-7347-40FE-BAE1-DDA614962B26}" srcOrd="3" destOrd="0" presId="urn:microsoft.com/office/officeart/2005/8/layout/cycle4"/>
    <dgm:cxn modelId="{89AE65D9-60B1-4301-8039-9F1D0627CB45}" type="presParOf" srcId="{E677996C-7347-40FE-BAE1-DDA614962B26}" destId="{7710C71A-976E-4EFC-9323-AB8F32ECEE84}" srcOrd="0" destOrd="0" presId="urn:microsoft.com/office/officeart/2005/8/layout/cycle4"/>
    <dgm:cxn modelId="{E5932215-3A07-4B20-80BB-7DAEBFB92904}" type="presParOf" srcId="{E677996C-7347-40FE-BAE1-DDA614962B26}" destId="{5A22504F-0311-44C6-B001-AC02F4D4301C}" srcOrd="1" destOrd="0" presId="urn:microsoft.com/office/officeart/2005/8/layout/cycle4"/>
    <dgm:cxn modelId="{71E5FA1A-C260-46BC-B8A6-901E878F2521}" type="presParOf" srcId="{76FA166A-A65C-4326-86E9-29F8B1366249}" destId="{79E2A510-5ED9-43BB-B656-2764AA7B24F7}" srcOrd="4" destOrd="0" presId="urn:microsoft.com/office/officeart/2005/8/layout/cycle4"/>
    <dgm:cxn modelId="{AE426A01-DF33-4F54-B94B-75AAAB248EA1}" type="presParOf" srcId="{85388451-0994-46B3-AB40-D044D84B6A12}" destId="{A2895343-34AE-474A-9F98-5605E49D37BE}" srcOrd="1" destOrd="0" presId="urn:microsoft.com/office/officeart/2005/8/layout/cycle4"/>
    <dgm:cxn modelId="{E10FAB00-45F8-4F88-A1A2-87DE0A895526}" type="presParOf" srcId="{A2895343-34AE-474A-9F98-5605E49D37BE}" destId="{03F601CF-38F8-4EC0-8CB0-0A9CB587E00D}" srcOrd="0" destOrd="0" presId="urn:microsoft.com/office/officeart/2005/8/layout/cycle4"/>
    <dgm:cxn modelId="{CD8674F6-D125-43E9-89FE-B5767C6BACA7}" type="presParOf" srcId="{A2895343-34AE-474A-9F98-5605E49D37BE}" destId="{D66ED5F3-A4B8-4AEA-A36C-8CF28A63B1CB}" srcOrd="1" destOrd="0" presId="urn:microsoft.com/office/officeart/2005/8/layout/cycle4"/>
    <dgm:cxn modelId="{F73E2FE4-EA55-44C2-AE9B-35974652E1BE}" type="presParOf" srcId="{A2895343-34AE-474A-9F98-5605E49D37BE}" destId="{138A48C9-3100-4424-A906-518C67C7CE81}" srcOrd="2" destOrd="0" presId="urn:microsoft.com/office/officeart/2005/8/layout/cycle4"/>
    <dgm:cxn modelId="{6648C967-CFCB-4C12-AF3C-BF3C1C85580F}" type="presParOf" srcId="{A2895343-34AE-474A-9F98-5605E49D37BE}" destId="{2BB3C4B8-9E15-4BB7-854C-E9767E5804C9}" srcOrd="3" destOrd="0" presId="urn:microsoft.com/office/officeart/2005/8/layout/cycle4"/>
    <dgm:cxn modelId="{5B5F8B2F-7C51-4C59-908C-2E7FC6712EA5}" type="presParOf" srcId="{A2895343-34AE-474A-9F98-5605E49D37BE}" destId="{10383163-D022-49AF-8A85-941FA7882039}" srcOrd="4" destOrd="0" presId="urn:microsoft.com/office/officeart/2005/8/layout/cycle4"/>
    <dgm:cxn modelId="{E745E085-75B2-4848-968C-8A88F0EA5F69}" type="presParOf" srcId="{85388451-0994-46B3-AB40-D044D84B6A12}" destId="{47F8E09E-B8C6-4590-8977-324BADA56797}" srcOrd="2" destOrd="0" presId="urn:microsoft.com/office/officeart/2005/8/layout/cycle4"/>
    <dgm:cxn modelId="{4ED7492F-A9B4-411C-9C69-20B55FEFBD5B}" type="presParOf" srcId="{85388451-0994-46B3-AB40-D044D84B6A12}" destId="{1674C04D-D0F4-4D62-BEC9-669AF8EF4C4A}"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5391B8-7226-43B6-8745-9CCB5619CDAE}">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4399958"/>
              <a:satOff val="-19468"/>
              <a:lumOff val="-32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Media</a:t>
          </a:r>
        </a:p>
        <a:p>
          <a:pPr marL="57150" lvl="1" indent="-57150" algn="l" defTabSz="444500">
            <a:lnSpc>
              <a:spcPct val="90000"/>
            </a:lnSpc>
            <a:spcBef>
              <a:spcPct val="0"/>
            </a:spcBef>
            <a:spcAft>
              <a:spcPct val="15000"/>
            </a:spcAft>
            <a:buChar char="•"/>
          </a:pPr>
          <a:r>
            <a:rPr lang="en-GB" sz="1000" kern="1200"/>
            <a:t>General Public </a:t>
          </a:r>
        </a:p>
      </dsp:txBody>
      <dsp:txXfrm>
        <a:off x="3739258" y="2454800"/>
        <a:ext cx="1061704" cy="723102"/>
      </dsp:txXfrm>
    </dsp:sp>
    <dsp:sp modelId="{7710C71A-976E-4EFC-9323-AB8F32ECEE84}">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Customers</a:t>
          </a:r>
        </a:p>
        <a:p>
          <a:pPr marL="57150" lvl="1" indent="-57150" algn="l" defTabSz="444500">
            <a:lnSpc>
              <a:spcPct val="90000"/>
            </a:lnSpc>
            <a:spcBef>
              <a:spcPct val="0"/>
            </a:spcBef>
            <a:spcAft>
              <a:spcPct val="15000"/>
            </a:spcAft>
            <a:buChar char="•"/>
          </a:pPr>
          <a:r>
            <a:rPr lang="en-GB" sz="1000" kern="1200"/>
            <a:t>Marketing Team</a:t>
          </a:r>
        </a:p>
        <a:p>
          <a:pPr marL="57150" lvl="1" indent="-57150" algn="l" defTabSz="444500">
            <a:lnSpc>
              <a:spcPct val="90000"/>
            </a:lnSpc>
            <a:spcBef>
              <a:spcPct val="0"/>
            </a:spcBef>
            <a:spcAft>
              <a:spcPct val="15000"/>
            </a:spcAft>
            <a:buChar char="•"/>
          </a:pPr>
          <a:r>
            <a:rPr lang="en-GB" sz="1000" kern="1200"/>
            <a:t>Customer Service Team</a:t>
          </a:r>
        </a:p>
      </dsp:txBody>
      <dsp:txXfrm>
        <a:off x="685436" y="2454800"/>
        <a:ext cx="1061704" cy="723102"/>
      </dsp:txXfrm>
    </dsp:sp>
    <dsp:sp modelId="{89C62916-05B1-4046-85F3-40005F557652}">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2199979"/>
              <a:satOff val="-9734"/>
              <a:lumOff val="-163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Investors</a:t>
          </a:r>
        </a:p>
        <a:p>
          <a:pPr marL="57150" lvl="1" indent="-57150" algn="l" defTabSz="444500">
            <a:lnSpc>
              <a:spcPct val="90000"/>
            </a:lnSpc>
            <a:spcBef>
              <a:spcPct val="0"/>
            </a:spcBef>
            <a:spcAft>
              <a:spcPct val="15000"/>
            </a:spcAft>
            <a:buChar char="•"/>
          </a:pPr>
          <a:r>
            <a:rPr lang="en-GB" sz="1000" kern="1200"/>
            <a:t>Regulators</a:t>
          </a:r>
        </a:p>
      </dsp:txBody>
      <dsp:txXfrm>
        <a:off x="3739258" y="22497"/>
        <a:ext cx="1061704" cy="723102"/>
      </dsp:txXfrm>
    </dsp:sp>
    <dsp:sp modelId="{A091A973-D519-4631-838F-79F0C711D121}">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t>Executive Leadership </a:t>
          </a:r>
        </a:p>
        <a:p>
          <a:pPr marL="57150" lvl="1" indent="-57150" algn="l" defTabSz="444500">
            <a:lnSpc>
              <a:spcPct val="90000"/>
            </a:lnSpc>
            <a:spcBef>
              <a:spcPct val="0"/>
            </a:spcBef>
            <a:spcAft>
              <a:spcPct val="15000"/>
            </a:spcAft>
            <a:buChar char="•"/>
          </a:pPr>
          <a:r>
            <a:rPr lang="en-GB" sz="1000" kern="1200"/>
            <a:t>Project Sponsor</a:t>
          </a:r>
        </a:p>
        <a:p>
          <a:pPr marL="57150" lvl="1" indent="-57150" algn="l" defTabSz="444500">
            <a:lnSpc>
              <a:spcPct val="90000"/>
            </a:lnSpc>
            <a:spcBef>
              <a:spcPct val="0"/>
            </a:spcBef>
            <a:spcAft>
              <a:spcPct val="15000"/>
            </a:spcAft>
            <a:buChar char="•"/>
          </a:pPr>
          <a:r>
            <a:rPr lang="en-GB" sz="1000" kern="1200"/>
            <a:t>IT Security Team</a:t>
          </a:r>
        </a:p>
      </dsp:txBody>
      <dsp:txXfrm>
        <a:off x="685436" y="22497"/>
        <a:ext cx="1061704" cy="723102"/>
      </dsp:txXfrm>
    </dsp:sp>
    <dsp:sp modelId="{03F601CF-38F8-4EC0-8CB0-0A9CB587E00D}">
      <dsp:nvSpPr>
        <dsp:cNvPr id="0" name=""/>
        <dsp:cNvSpPr/>
      </dsp:nvSpPr>
      <dsp:spPr>
        <a:xfrm>
          <a:off x="1325422" y="182422"/>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High Power</a:t>
          </a:r>
        </a:p>
        <a:p>
          <a:pPr marL="0" lvl="0" indent="0" algn="ctr" defTabSz="533400">
            <a:lnSpc>
              <a:spcPct val="90000"/>
            </a:lnSpc>
            <a:spcBef>
              <a:spcPct val="0"/>
            </a:spcBef>
            <a:spcAft>
              <a:spcPct val="35000"/>
            </a:spcAft>
            <a:buNone/>
          </a:pPr>
          <a:r>
            <a:rPr lang="en-GB" sz="1200" kern="1200"/>
            <a:t>High Interest</a:t>
          </a:r>
        </a:p>
      </dsp:txBody>
      <dsp:txXfrm>
        <a:off x="1731306" y="588306"/>
        <a:ext cx="979889" cy="979889"/>
      </dsp:txXfrm>
    </dsp:sp>
    <dsp:sp modelId="{D66ED5F3-A4B8-4AEA-A36C-8CF28A63B1CB}">
      <dsp:nvSpPr>
        <dsp:cNvPr id="0" name=""/>
        <dsp:cNvSpPr/>
      </dsp:nvSpPr>
      <dsp:spPr>
        <a:xfrm rot="5400000">
          <a:off x="2775204" y="182422"/>
          <a:ext cx="1385773" cy="1385773"/>
        </a:xfrm>
        <a:prstGeom prst="pieWedge">
          <a:avLst/>
        </a:prstGeom>
        <a:solidFill>
          <a:schemeClr val="accent4">
            <a:hueOff val="2199979"/>
            <a:satOff val="-9734"/>
            <a:lumOff val="-163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High Power</a:t>
          </a:r>
        </a:p>
        <a:p>
          <a:pPr marL="0" lvl="0" indent="0" algn="ctr" defTabSz="533400">
            <a:lnSpc>
              <a:spcPct val="90000"/>
            </a:lnSpc>
            <a:spcBef>
              <a:spcPct val="0"/>
            </a:spcBef>
            <a:spcAft>
              <a:spcPct val="35000"/>
            </a:spcAft>
            <a:buNone/>
          </a:pPr>
          <a:r>
            <a:rPr lang="en-GB" sz="1200" kern="1200"/>
            <a:t>Low Interest</a:t>
          </a:r>
        </a:p>
      </dsp:txBody>
      <dsp:txXfrm rot="-5400000">
        <a:off x="2775204" y="588306"/>
        <a:ext cx="979889" cy="979889"/>
      </dsp:txXfrm>
    </dsp:sp>
    <dsp:sp modelId="{138A48C9-3100-4424-A906-518C67C7CE81}">
      <dsp:nvSpPr>
        <dsp:cNvPr id="0" name=""/>
        <dsp:cNvSpPr/>
      </dsp:nvSpPr>
      <dsp:spPr>
        <a:xfrm rot="10800000">
          <a:off x="2775204" y="1632204"/>
          <a:ext cx="1385773" cy="1385773"/>
        </a:xfrm>
        <a:prstGeom prst="pieWedge">
          <a:avLst/>
        </a:prstGeom>
        <a:solidFill>
          <a:schemeClr val="accent4">
            <a:hueOff val="4399958"/>
            <a:satOff val="-19468"/>
            <a:lumOff val="-32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Low Power</a:t>
          </a:r>
        </a:p>
        <a:p>
          <a:pPr marL="0" lvl="0" indent="0" algn="ctr" defTabSz="533400">
            <a:lnSpc>
              <a:spcPct val="90000"/>
            </a:lnSpc>
            <a:spcBef>
              <a:spcPct val="0"/>
            </a:spcBef>
            <a:spcAft>
              <a:spcPct val="35000"/>
            </a:spcAft>
            <a:buNone/>
          </a:pPr>
          <a:r>
            <a:rPr lang="en-GB" sz="1200" kern="1200"/>
            <a:t>Low Interest</a:t>
          </a:r>
        </a:p>
      </dsp:txBody>
      <dsp:txXfrm rot="10800000">
        <a:off x="2775204" y="1632204"/>
        <a:ext cx="979889" cy="979889"/>
      </dsp:txXfrm>
    </dsp:sp>
    <dsp:sp modelId="{2BB3C4B8-9E15-4BB7-854C-E9767E5804C9}">
      <dsp:nvSpPr>
        <dsp:cNvPr id="0" name=""/>
        <dsp:cNvSpPr/>
      </dsp:nvSpPr>
      <dsp:spPr>
        <a:xfrm rot="16200000">
          <a:off x="1325422" y="1632204"/>
          <a:ext cx="1385773" cy="1385773"/>
        </a:xfrm>
        <a:prstGeom prst="pieWedge">
          <a:avLst/>
        </a:prstGeom>
        <a:solidFill>
          <a:schemeClr val="accent4">
            <a:hueOff val="6599937"/>
            <a:satOff val="-29202"/>
            <a:lumOff val="-49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Low Power</a:t>
          </a:r>
        </a:p>
        <a:p>
          <a:pPr marL="0" lvl="0" indent="0" algn="ctr" defTabSz="533400">
            <a:lnSpc>
              <a:spcPct val="90000"/>
            </a:lnSpc>
            <a:spcBef>
              <a:spcPct val="0"/>
            </a:spcBef>
            <a:spcAft>
              <a:spcPct val="35000"/>
            </a:spcAft>
            <a:buNone/>
          </a:pPr>
          <a:r>
            <a:rPr lang="en-GB" sz="1200" kern="1200"/>
            <a:t>High Interest</a:t>
          </a:r>
        </a:p>
      </dsp:txBody>
      <dsp:txXfrm rot="5400000">
        <a:off x="1731306" y="1632204"/>
        <a:ext cx="979889" cy="979889"/>
      </dsp:txXfrm>
    </dsp:sp>
    <dsp:sp modelId="{47F8E09E-B8C6-4590-8977-324BADA56797}">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74C04D-D0F4-4D62-BEC9-669AF8EF4C4A}">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FB50B-EF9C-48A3-8691-569C52C5E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20740</TotalTime>
  <Pages>20</Pages>
  <Words>5578</Words>
  <Characters>31800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Andrade</dc:creator>
  <cp:keywords/>
  <dc:description/>
  <cp:lastModifiedBy>Martha Andrade</cp:lastModifiedBy>
  <cp:revision>736</cp:revision>
  <dcterms:created xsi:type="dcterms:W3CDTF">2026-07-19T22:33:00Z</dcterms:created>
  <dcterms:modified xsi:type="dcterms:W3CDTF">2026-08-12T17:51:00Z</dcterms:modified>
</cp:coreProperties>
</file>