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5E6702" w14:textId="77777777" w:rsidR="00BA4596" w:rsidRPr="00E07263" w:rsidRDefault="00BA4596" w:rsidP="00BA4596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E07263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4ACD07B2" wp14:editId="36AD2669">
            <wp:extent cx="2057400" cy="853440"/>
            <wp:effectExtent l="0" t="0" r="0" b="3810"/>
            <wp:docPr id="2" name="Picture 2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285E0" w14:textId="77777777" w:rsidR="00BA4596" w:rsidRPr="00E07263" w:rsidRDefault="00BA4596" w:rsidP="00BA4596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76F6CD85" w14:textId="77777777" w:rsidR="00BA4596" w:rsidRPr="00E07263" w:rsidRDefault="00BA4596" w:rsidP="00BA4596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75375DED" w14:textId="77777777" w:rsidR="00BA4596" w:rsidRPr="00E07263" w:rsidRDefault="00BA4596" w:rsidP="00BA4596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E07263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681B3B9D" w14:textId="77777777" w:rsidR="00BA4596" w:rsidRPr="00E07263" w:rsidRDefault="00BA4596" w:rsidP="00BA4596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E07263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77CAF33D" w14:textId="77777777" w:rsidR="00BA4596" w:rsidRPr="00E07263" w:rsidRDefault="00BA4596" w:rsidP="00BA4596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3FE25901" w14:textId="77777777" w:rsidR="00BA4596" w:rsidRPr="00E07263" w:rsidRDefault="00BA4596" w:rsidP="00BA4596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E07263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697D604A" w14:textId="77777777" w:rsidR="00BA4596" w:rsidRPr="00E07263" w:rsidRDefault="00BA4596" w:rsidP="00BA4596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BA4596" w:rsidRPr="00E07263" w14:paraId="07A50E86" w14:textId="77777777" w:rsidTr="00E72ADB">
        <w:trPr>
          <w:trHeight w:val="614"/>
        </w:trPr>
        <w:tc>
          <w:tcPr>
            <w:tcW w:w="8856" w:type="dxa"/>
            <w:gridSpan w:val="5"/>
          </w:tcPr>
          <w:p w14:paraId="09E3EA6D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: </w:t>
            </w:r>
          </w:p>
        </w:tc>
      </w:tr>
      <w:tr w:rsidR="00BA4596" w:rsidRPr="00E07263" w14:paraId="096CB44D" w14:textId="77777777" w:rsidTr="00E72ADB">
        <w:trPr>
          <w:trHeight w:val="718"/>
        </w:trPr>
        <w:tc>
          <w:tcPr>
            <w:tcW w:w="8856" w:type="dxa"/>
            <w:gridSpan w:val="5"/>
          </w:tcPr>
          <w:p w14:paraId="622AE3A0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Student Name: Daniel Annenberg</w:t>
            </w:r>
          </w:p>
          <w:p w14:paraId="226B4CC4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BA4596" w:rsidRPr="00E07263" w14:paraId="68A11650" w14:textId="77777777" w:rsidTr="00E72ADB">
        <w:trPr>
          <w:trHeight w:val="849"/>
        </w:trPr>
        <w:tc>
          <w:tcPr>
            <w:tcW w:w="4788" w:type="dxa"/>
          </w:tcPr>
          <w:p w14:paraId="2A4DB12F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 w:rsidRPr="00E07263">
              <w:rPr>
                <w:rFonts w:ascii="Georgia" w:eastAsia="SimSun" w:hAnsi="Georgia" w:cs="Times New Roman"/>
                <w:color w:val="000000"/>
                <w:sz w:val="21"/>
                <w:szCs w:val="21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color w:val="000000"/>
                <w:sz w:val="21"/>
                <w:szCs w:val="21"/>
                <w:lang w:eastAsia="zh-CN"/>
              </w:rPr>
              <w:t>TRDL7064</w:t>
            </w:r>
          </w:p>
          <w:p w14:paraId="01932F4B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068A1436" w14:textId="279537F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title: Islamic Law in the Contemporary World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(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Encyclopaedia Article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4</w:t>
            </w:r>
            <w:bookmarkStart w:id="0" w:name="_GoBack"/>
            <w:bookmarkEnd w:id="0"/>
            <w:r>
              <w:rPr>
                <w:rFonts w:ascii="Arial" w:eastAsia="SimSun" w:hAnsi="Arial" w:cs="Arial"/>
                <w:color w:val="000000"/>
                <w:lang w:eastAsia="zh-CN"/>
              </w:rPr>
              <w:t>)</w:t>
            </w:r>
          </w:p>
          <w:p w14:paraId="7A36056D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057B1993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5E90D113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br/>
            </w:r>
            <w:r w:rsidRPr="00E07263">
              <w:rPr>
                <w:rFonts w:ascii="Calibri" w:eastAsia="SimSun" w:hAnsi="Calibri" w:cs="Calibri"/>
                <w:color w:val="000000"/>
                <w:lang w:eastAsia="zh-CN"/>
              </w:rPr>
              <w:t>1704048</w:t>
            </w:r>
          </w:p>
        </w:tc>
        <w:tc>
          <w:tcPr>
            <w:tcW w:w="1802" w:type="dxa"/>
          </w:tcPr>
          <w:p w14:paraId="74B1BA57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61467FC8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Yes/</w:t>
            </w: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No</w:t>
            </w:r>
          </w:p>
        </w:tc>
      </w:tr>
      <w:tr w:rsidR="00BA4596" w:rsidRPr="00E07263" w14:paraId="68F0F899" w14:textId="77777777" w:rsidTr="00E72ADB">
        <w:trPr>
          <w:trHeight w:val="1139"/>
        </w:trPr>
        <w:tc>
          <w:tcPr>
            <w:tcW w:w="8856" w:type="dxa"/>
            <w:gridSpan w:val="5"/>
          </w:tcPr>
          <w:p w14:paraId="06E1E22B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tutor: Shadaab Rahemtulla</w:t>
            </w:r>
          </w:p>
          <w:p w14:paraId="22AE3CB4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115B77E5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D135000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Assignment due date:24/01/2018</w:t>
            </w:r>
          </w:p>
        </w:tc>
      </w:tr>
      <w:tr w:rsidR="00BA4596" w:rsidRPr="00E07263" w14:paraId="234433A9" w14:textId="77777777" w:rsidTr="00E72AD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F7DF54C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E07263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E07263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1E385E25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73807CE4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1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E07263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4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E07263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E07263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E07263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  <w:r w:rsidRPr="00E07263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6"/>
          </w:p>
        </w:tc>
      </w:tr>
      <w:tr w:rsidR="00BA4596" w:rsidRPr="00E07263" w14:paraId="5EA4B35C" w14:textId="77777777" w:rsidTr="00E72AD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A7EA58D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37A1CCD1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Signed </w:t>
            </w:r>
            <w:r w:rsidRPr="00E07263">
              <w:rPr>
                <w:rFonts w:ascii="Arial" w:eastAsia="SimSun" w:hAnsi="Arial" w:cs="Arial"/>
                <w:noProof/>
                <w:color w:val="000000"/>
                <w:lang w:eastAsia="zh-CN"/>
              </w:rPr>
              <w:drawing>
                <wp:inline distT="0" distB="0" distL="0" distR="0" wp14:anchorId="2BA74F74" wp14:editId="4C9FEFA7">
                  <wp:extent cx="2164080" cy="304800"/>
                  <wp:effectExtent l="0" t="0" r="7620" b="0"/>
                  <wp:docPr id="1" name="Picture 1" descr="E:\LIFE ADMIN\Signature\signature000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E:\LIFE ADMIN\Signature\signature000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408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3B496A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E07263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E07263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5E7C3907" w14:textId="77777777" w:rsidR="00BA4596" w:rsidRPr="00E07263" w:rsidRDefault="00BA4596" w:rsidP="00E72A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BA4596" w:rsidRPr="00E07263" w14:paraId="70C7E28F" w14:textId="77777777" w:rsidTr="00E72ADB">
        <w:trPr>
          <w:trHeight w:val="3972"/>
        </w:trPr>
        <w:tc>
          <w:tcPr>
            <w:tcW w:w="8856" w:type="dxa"/>
            <w:gridSpan w:val="5"/>
          </w:tcPr>
          <w:p w14:paraId="6F81A6E3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5BEC43D4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E07263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BA4596" w:rsidRPr="00E07263" w14:paraId="574C5672" w14:textId="77777777" w:rsidTr="00E72ADB">
              <w:tc>
                <w:tcPr>
                  <w:tcW w:w="6970" w:type="dxa"/>
                </w:tcPr>
                <w:p w14:paraId="11F3157A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58BADA8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A91D2AF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BA4596" w:rsidRPr="00E07263" w14:paraId="0913FB00" w14:textId="77777777" w:rsidTr="00E72ADB">
              <w:tc>
                <w:tcPr>
                  <w:tcW w:w="6970" w:type="dxa"/>
                </w:tcPr>
                <w:p w14:paraId="269D2935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7642AF44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774ABBCF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BA4596" w:rsidRPr="00E07263" w14:paraId="43EAA089" w14:textId="77777777" w:rsidTr="00E72ADB">
              <w:tc>
                <w:tcPr>
                  <w:tcW w:w="6970" w:type="dxa"/>
                </w:tcPr>
                <w:p w14:paraId="5E90D9C8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Agreed Internal Mark: </w:t>
                  </w:r>
                </w:p>
                <w:p w14:paraId="75FFC2FE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6FE87558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</w:tr>
            <w:tr w:rsidR="00BA4596" w:rsidRPr="00E07263" w14:paraId="1F8933E8" w14:textId="77777777" w:rsidTr="00E72ADB">
              <w:tc>
                <w:tcPr>
                  <w:tcW w:w="6970" w:type="dxa"/>
                </w:tcPr>
                <w:p w14:paraId="1B1D9372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8AE3090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2D89EE56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BA4596" w:rsidRPr="00E07263" w14:paraId="7A8E8B6A" w14:textId="77777777" w:rsidTr="00E72ADB">
              <w:tc>
                <w:tcPr>
                  <w:tcW w:w="6970" w:type="dxa"/>
                </w:tcPr>
                <w:p w14:paraId="6D991CE0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25F5B629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5E5A153D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40EDB6E7" w14:textId="77777777" w:rsidR="00BA4596" w:rsidRPr="00E07263" w:rsidRDefault="00BA4596" w:rsidP="00E72A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498756FF" w14:textId="77777777" w:rsidR="00BA4596" w:rsidRPr="00E07263" w:rsidRDefault="00BA4596" w:rsidP="00E72ADB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8214748" w14:textId="77777777" w:rsidR="00BA4596" w:rsidRPr="00E07263" w:rsidRDefault="00BA4596" w:rsidP="00E72ADB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5FB87C68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3898729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E130085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A07B2E1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4661CEE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3C70C355" w14:textId="77777777" w:rsidR="00BA4596" w:rsidRPr="00E07263" w:rsidRDefault="00BA4596" w:rsidP="00E72ADB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4D026ACC" w14:textId="77777777" w:rsidR="00BA4596" w:rsidRPr="00E07263" w:rsidRDefault="00BA4596" w:rsidP="00E72ADB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BA4596" w:rsidRPr="00E07263" w14:paraId="49F9DA44" w14:textId="77777777" w:rsidTr="00E72ADB">
        <w:trPr>
          <w:trHeight w:val="492"/>
        </w:trPr>
        <w:tc>
          <w:tcPr>
            <w:tcW w:w="6768" w:type="dxa"/>
            <w:gridSpan w:val="3"/>
          </w:tcPr>
          <w:p w14:paraId="3F4B689B" w14:textId="77777777" w:rsidR="00BA4596" w:rsidRPr="00E07263" w:rsidRDefault="00BA4596" w:rsidP="00E72ADB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4AF8E86F" w14:textId="77777777" w:rsidR="00BA4596" w:rsidRPr="00E07263" w:rsidRDefault="00BA4596" w:rsidP="00E72ADB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BA4596" w:rsidRPr="00E07263" w14:paraId="0D496134" w14:textId="77777777" w:rsidTr="00E72ADB">
        <w:tc>
          <w:tcPr>
            <w:tcW w:w="8856" w:type="dxa"/>
            <w:gridSpan w:val="5"/>
          </w:tcPr>
          <w:p w14:paraId="11374AC8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113C9999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5CDD4C3C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30C288D8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3208814A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B54BDEA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D067F2B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BA4596" w:rsidRPr="00E07263" w14:paraId="42672004" w14:textId="77777777" w:rsidTr="00E72ADB">
        <w:trPr>
          <w:trHeight w:val="720"/>
        </w:trPr>
        <w:tc>
          <w:tcPr>
            <w:tcW w:w="5211" w:type="dxa"/>
            <w:gridSpan w:val="2"/>
          </w:tcPr>
          <w:p w14:paraId="5322AD6E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74642EDF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BA4596" w:rsidRPr="00E07263" w14:paraId="1F8F370E" w14:textId="77777777" w:rsidTr="00E72ADB">
        <w:trPr>
          <w:trHeight w:val="720"/>
        </w:trPr>
        <w:tc>
          <w:tcPr>
            <w:tcW w:w="8856" w:type="dxa"/>
            <w:gridSpan w:val="5"/>
          </w:tcPr>
          <w:p w14:paraId="09440ECD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12F87DAE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61FA4052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Comment on process on arriving at agreed mark:</w:t>
            </w:r>
          </w:p>
          <w:p w14:paraId="588267E6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1DD8C1CA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BA4596" w:rsidRPr="00E07263" w14:paraId="295E893B" w14:textId="77777777" w:rsidTr="00E72ADB">
        <w:trPr>
          <w:trHeight w:val="720"/>
        </w:trPr>
        <w:tc>
          <w:tcPr>
            <w:tcW w:w="8856" w:type="dxa"/>
            <w:gridSpan w:val="5"/>
          </w:tcPr>
          <w:p w14:paraId="543FD14D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2F4D602C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66F52B9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7C55BC6" w14:textId="77777777" w:rsidR="00BA4596" w:rsidRPr="00E07263" w:rsidRDefault="00BA4596" w:rsidP="00E72A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BA4596" w:rsidRPr="00E07263" w14:paraId="67B6CC38" w14:textId="77777777" w:rsidTr="00E72ADB">
        <w:trPr>
          <w:trHeight w:val="720"/>
        </w:trPr>
        <w:tc>
          <w:tcPr>
            <w:tcW w:w="5211" w:type="dxa"/>
            <w:gridSpan w:val="2"/>
          </w:tcPr>
          <w:p w14:paraId="2AC36F28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68C1964" w14:textId="77777777" w:rsidR="00BA4596" w:rsidRPr="00E07263" w:rsidRDefault="00BA4596" w:rsidP="00E72A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6AC577B4" w14:textId="77777777" w:rsidR="00BA4596" w:rsidRDefault="00BA4596" w:rsidP="00BA4596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F45A244" w14:textId="348E1BCB" w:rsidR="00EA5EBE" w:rsidRDefault="00BA4596" w:rsidP="00BA4596">
      <w:pPr>
        <w:rPr>
          <w:b/>
          <w:sz w:val="32"/>
          <w:szCs w:val="32"/>
        </w:rPr>
      </w:pPr>
      <w: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  <w:br w:type="page"/>
      </w:r>
      <w:r w:rsidR="00EA5EBE" w:rsidRPr="00BF43F0">
        <w:rPr>
          <w:b/>
          <w:sz w:val="32"/>
          <w:szCs w:val="32"/>
        </w:rPr>
        <w:lastRenderedPageBreak/>
        <w:t>Encyclopaedia Article</w:t>
      </w:r>
      <w:r w:rsidR="00EA5EBE">
        <w:rPr>
          <w:b/>
          <w:sz w:val="32"/>
          <w:szCs w:val="32"/>
        </w:rPr>
        <w:t xml:space="preserve"> </w:t>
      </w:r>
      <w:r w:rsidR="00880302">
        <w:rPr>
          <w:b/>
          <w:sz w:val="32"/>
          <w:szCs w:val="32"/>
        </w:rPr>
        <w:t>4</w:t>
      </w:r>
      <w:r w:rsidR="00DB6854" w:rsidRPr="00DB6854">
        <w:rPr>
          <w:rFonts w:eastAsia="Times New Roman" w:cs="Times New Roman"/>
          <w:sz w:val="32"/>
          <w:szCs w:val="32"/>
        </w:rPr>
        <w:t xml:space="preserve"> </w:t>
      </w:r>
      <w:r w:rsidR="00DB6854" w:rsidRPr="00DB6854">
        <w:rPr>
          <w:sz w:val="32"/>
          <w:szCs w:val="32"/>
        </w:rPr>
        <w:t>(Oxford Islamic Studies Online)</w:t>
      </w:r>
      <w:r w:rsidR="00DB6854" w:rsidRPr="00DB6854">
        <w:rPr>
          <w:b/>
          <w:sz w:val="32"/>
          <w:szCs w:val="32"/>
        </w:rPr>
        <w:br/>
      </w:r>
    </w:p>
    <w:p w14:paraId="73D5E6DA" w14:textId="5870D08B" w:rsidR="005D07CD" w:rsidRPr="00DB6854" w:rsidRDefault="00EA5EBE" w:rsidP="000C0889">
      <w:pPr>
        <w:spacing w:after="280"/>
        <w:rPr>
          <w:rFonts w:ascii="Times New Roman" w:hAnsi="Times New Roman" w:cs="Times New Roman"/>
          <w:b/>
          <w:i/>
          <w:sz w:val="36"/>
          <w:szCs w:val="36"/>
          <w:shd w:val="clear" w:color="auto" w:fill="FFFFFF"/>
        </w:rPr>
      </w:pPr>
      <w:r w:rsidRPr="00DB6854">
        <w:rPr>
          <w:rFonts w:ascii="Times New Roman" w:hAnsi="Times New Roman" w:cs="Times New Roman"/>
          <w:b/>
          <w:i/>
          <w:sz w:val="36"/>
          <w:szCs w:val="36"/>
          <w:shd w:val="clear" w:color="auto" w:fill="FFFFFF"/>
        </w:rPr>
        <w:t>Ijmā</w:t>
      </w:r>
    </w:p>
    <w:p w14:paraId="25E1947D" w14:textId="532880C8" w:rsidR="00EA5EBE" w:rsidRPr="00DB6854" w:rsidRDefault="00EA5EBE" w:rsidP="00424414">
      <w:pPr>
        <w:spacing w:line="36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0C0889">
        <w:rPr>
          <w:rFonts w:ascii="Times New Roman" w:hAnsi="Times New Roman" w:cs="Times New Roman"/>
          <w:noProof/>
          <w:sz w:val="24"/>
          <w:szCs w:val="24"/>
        </w:rPr>
        <w:t>Consensus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Pr="00DB6854">
        <w:rPr>
          <w:rFonts w:ascii="Times New Roman" w:hAnsi="Times New Roman" w:cs="Times New Roman"/>
          <w:sz w:val="24"/>
          <w:szCs w:val="24"/>
        </w:rPr>
        <w:t xml:space="preserve">is a core principle </w:t>
      </w:r>
      <w:r w:rsidR="000C0889">
        <w:rPr>
          <w:rFonts w:ascii="Times New Roman" w:hAnsi="Times New Roman" w:cs="Times New Roman"/>
          <w:noProof/>
          <w:sz w:val="24"/>
          <w:szCs w:val="24"/>
        </w:rPr>
        <w:t>of</w:t>
      </w:r>
      <w:r w:rsidRPr="00DB6854">
        <w:rPr>
          <w:rFonts w:ascii="Times New Roman" w:hAnsi="Times New Roman" w:cs="Times New Roman"/>
          <w:sz w:val="24"/>
          <w:szCs w:val="24"/>
        </w:rPr>
        <w:t xml:space="preserve"> Islamic jurisprudence (</w:t>
      </w:r>
      <w:r w:rsidRPr="00DB6854">
        <w:rPr>
          <w:rFonts w:ascii="Times New Roman" w:hAnsi="Times New Roman" w:cs="Times New Roman"/>
          <w:i/>
          <w:iCs/>
          <w:sz w:val="24"/>
          <w:szCs w:val="24"/>
        </w:rPr>
        <w:t>uṣūl al-fiqh)</w:t>
      </w:r>
      <w:r w:rsidR="00211135"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 and</w:t>
      </w:r>
      <w:r w:rsidR="007F62CF" w:rsidRPr="00DB6854">
        <w:rPr>
          <w:rFonts w:ascii="Times New Roman" w:hAnsi="Times New Roman" w:cs="Times New Roman"/>
          <w:iCs/>
          <w:sz w:val="24"/>
          <w:szCs w:val="24"/>
        </w:rPr>
        <w:t xml:space="preserve"> one of the four legitimate sources of law with</w:t>
      </w:r>
      <w:r w:rsidR="00DB6854">
        <w:rPr>
          <w:rFonts w:ascii="Times New Roman" w:hAnsi="Times New Roman" w:cs="Times New Roman"/>
          <w:iCs/>
          <w:sz w:val="24"/>
          <w:szCs w:val="24"/>
        </w:rPr>
        <w:t>in</w:t>
      </w:r>
      <w:r w:rsidR="007F62CF" w:rsidRPr="00DB6854">
        <w:rPr>
          <w:rFonts w:ascii="Times New Roman" w:hAnsi="Times New Roman" w:cs="Times New Roman"/>
          <w:iCs/>
          <w:sz w:val="24"/>
          <w:szCs w:val="24"/>
        </w:rPr>
        <w:t xml:space="preserve"> Sunni Islam</w:t>
      </w:r>
      <w:r w:rsidR="007F62CF"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7F62CF" w:rsidRPr="00DB6854">
        <w:rPr>
          <w:rFonts w:ascii="Times New Roman" w:hAnsi="Times New Roman" w:cs="Times New Roman"/>
          <w:iCs/>
          <w:sz w:val="24"/>
          <w:szCs w:val="24"/>
        </w:rPr>
        <w:t>alongside the</w:t>
      </w:r>
      <w:r w:rsidR="007F62CF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7F62CF" w:rsidRPr="00DB6854">
        <w:rPr>
          <w:rFonts w:ascii="Times New Roman" w:hAnsi="Times New Roman" w:cs="Times New Roman"/>
          <w:iCs/>
          <w:sz w:val="24"/>
          <w:szCs w:val="24"/>
        </w:rPr>
        <w:t>Qurʿān,</w:t>
      </w:r>
      <w:r w:rsidR="007F62CF"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F62CF" w:rsidRPr="000C0889">
        <w:rPr>
          <w:rFonts w:ascii="Times New Roman" w:hAnsi="Times New Roman" w:cs="Times New Roman"/>
          <w:i/>
          <w:iCs/>
          <w:noProof/>
          <w:sz w:val="24"/>
          <w:szCs w:val="24"/>
        </w:rPr>
        <w:t>sunnah</w:t>
      </w:r>
      <w:r w:rsidR="00DB685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F62CF"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and qiyās. </w:t>
      </w:r>
      <w:r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11135" w:rsidRPr="00DB6854">
        <w:rPr>
          <w:rFonts w:ascii="Times New Roman" w:hAnsi="Times New Roman" w:cs="Times New Roman"/>
          <w:iCs/>
          <w:sz w:val="24"/>
          <w:szCs w:val="24"/>
        </w:rPr>
        <w:t>It finds</w:t>
      </w:r>
      <w:r w:rsidRPr="00DB6854">
        <w:rPr>
          <w:rFonts w:ascii="Times New Roman" w:hAnsi="Times New Roman" w:cs="Times New Roman"/>
          <w:iCs/>
          <w:sz w:val="24"/>
          <w:szCs w:val="24"/>
        </w:rPr>
        <w:t xml:space="preserve"> precedent</w:t>
      </w:r>
      <w:r w:rsidR="000C0889">
        <w:rPr>
          <w:rFonts w:ascii="Times New Roman" w:hAnsi="Times New Roman" w:cs="Times New Roman"/>
          <w:iCs/>
          <w:sz w:val="24"/>
          <w:szCs w:val="24"/>
        </w:rPr>
        <w:t>,</w:t>
      </w:r>
      <w:r w:rsidRPr="00DB6854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211135" w:rsidRPr="000C0889">
        <w:rPr>
          <w:rFonts w:ascii="Times New Roman" w:hAnsi="Times New Roman" w:cs="Times New Roman"/>
          <w:iCs/>
          <w:noProof/>
          <w:sz w:val="24"/>
          <w:szCs w:val="24"/>
        </w:rPr>
        <w:t>particularly</w:t>
      </w:r>
      <w:r w:rsidR="00211135" w:rsidRPr="00DB6854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Pr="00DB6854">
        <w:rPr>
          <w:rFonts w:ascii="Times New Roman" w:hAnsi="Times New Roman" w:cs="Times New Roman"/>
          <w:iCs/>
          <w:sz w:val="24"/>
          <w:szCs w:val="24"/>
        </w:rPr>
        <w:t xml:space="preserve">within the </w:t>
      </w:r>
      <w:r w:rsidRPr="000C0889">
        <w:rPr>
          <w:rFonts w:ascii="Times New Roman" w:hAnsi="Times New Roman" w:cs="Times New Roman"/>
          <w:i/>
          <w:iCs/>
          <w:noProof/>
          <w:sz w:val="24"/>
          <w:szCs w:val="24"/>
        </w:rPr>
        <w:t>sunnah</w:t>
      </w:r>
      <w:r w:rsidRPr="00DB6854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DB6854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"/>
      </w:r>
      <w:r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4517E" w:rsidRPr="00DB6854">
        <w:rPr>
          <w:rFonts w:ascii="Times New Roman" w:hAnsi="Times New Roman" w:cs="Times New Roman"/>
          <w:iCs/>
          <w:sz w:val="24"/>
          <w:szCs w:val="24"/>
        </w:rPr>
        <w:t xml:space="preserve">Foundational to its </w:t>
      </w:r>
      <w:r w:rsidR="00211135" w:rsidRPr="00DB6854">
        <w:rPr>
          <w:rFonts w:ascii="Times New Roman" w:hAnsi="Times New Roman" w:cs="Times New Roman"/>
          <w:iCs/>
          <w:sz w:val="24"/>
          <w:szCs w:val="24"/>
        </w:rPr>
        <w:t>authority</w:t>
      </w:r>
      <w:r w:rsidR="00E4517E" w:rsidRPr="00DB6854">
        <w:rPr>
          <w:rFonts w:ascii="Times New Roman" w:hAnsi="Times New Roman" w:cs="Times New Roman"/>
          <w:iCs/>
          <w:sz w:val="24"/>
          <w:szCs w:val="24"/>
        </w:rPr>
        <w:t xml:space="preserve"> is</w:t>
      </w:r>
      <w:r w:rsidRPr="00DB6854">
        <w:rPr>
          <w:rFonts w:ascii="Times New Roman" w:hAnsi="Times New Roman" w:cs="Times New Roman"/>
          <w:iCs/>
          <w:sz w:val="24"/>
          <w:szCs w:val="24"/>
        </w:rPr>
        <w:t xml:space="preserve"> the Prophetic statement </w:t>
      </w:r>
      <w:r w:rsidR="00E4517E" w:rsidRPr="00DB6854">
        <w:rPr>
          <w:rFonts w:ascii="Times New Roman" w:hAnsi="Times New Roman" w:cs="Times New Roman"/>
          <w:iCs/>
          <w:sz w:val="24"/>
          <w:szCs w:val="24"/>
        </w:rPr>
        <w:t>“</w:t>
      </w:r>
      <w:r w:rsidRPr="00DB6854">
        <w:rPr>
          <w:rFonts w:ascii="Times New Roman" w:hAnsi="Times New Roman" w:cs="Times New Roman"/>
          <w:iCs/>
          <w:sz w:val="24"/>
          <w:szCs w:val="24"/>
        </w:rPr>
        <w:t>my community will never agree on an error.</w:t>
      </w:r>
      <w:r w:rsidR="00E4517E" w:rsidRPr="00DB6854">
        <w:rPr>
          <w:rFonts w:ascii="Times New Roman" w:hAnsi="Times New Roman" w:cs="Times New Roman"/>
          <w:iCs/>
          <w:sz w:val="24"/>
          <w:szCs w:val="24"/>
        </w:rPr>
        <w:t>”</w:t>
      </w:r>
      <w:r w:rsidRPr="00DB6854">
        <w:rPr>
          <w:rStyle w:val="FootnoteReference"/>
          <w:rFonts w:ascii="Times New Roman" w:hAnsi="Times New Roman" w:cs="Times New Roman"/>
          <w:iCs/>
          <w:sz w:val="24"/>
          <w:szCs w:val="24"/>
        </w:rPr>
        <w:footnoteReference w:id="2"/>
      </w:r>
      <w:r w:rsidRPr="00DB6854">
        <w:rPr>
          <w:rFonts w:ascii="Times New Roman" w:hAnsi="Times New Roman" w:cs="Times New Roman"/>
          <w:iCs/>
          <w:sz w:val="24"/>
          <w:szCs w:val="24"/>
        </w:rPr>
        <w:t xml:space="preserve"> The function of </w:t>
      </w:r>
      <w:bookmarkStart w:id="7" w:name="_Hlk504234718"/>
      <w:r w:rsidRPr="00DB6854">
        <w:rPr>
          <w:rFonts w:ascii="Times New Roman" w:hAnsi="Times New Roman" w:cs="Times New Roman"/>
          <w:i/>
          <w:iCs/>
          <w:sz w:val="24"/>
          <w:szCs w:val="24"/>
        </w:rPr>
        <w:t>ijmā</w:t>
      </w:r>
      <w:bookmarkEnd w:id="7"/>
      <w:r w:rsidRPr="00DB6854">
        <w:rPr>
          <w:rFonts w:ascii="Times New Roman" w:hAnsi="Times New Roman" w:cs="Times New Roman"/>
          <w:iCs/>
          <w:sz w:val="24"/>
          <w:szCs w:val="24"/>
        </w:rPr>
        <w:t xml:space="preserve">῾ is to regulate the religious life of communities, </w:t>
      </w:r>
      <w:r w:rsidR="00211135" w:rsidRPr="00DB6854">
        <w:rPr>
          <w:rFonts w:ascii="Times New Roman" w:hAnsi="Times New Roman" w:cs="Times New Roman"/>
          <w:iCs/>
          <w:sz w:val="24"/>
          <w:szCs w:val="24"/>
        </w:rPr>
        <w:t xml:space="preserve">as a tool of </w:t>
      </w:r>
      <w:r w:rsidRPr="00DB6854">
        <w:rPr>
          <w:rFonts w:ascii="Times New Roman" w:hAnsi="Times New Roman" w:cs="Times New Roman"/>
          <w:iCs/>
          <w:sz w:val="24"/>
          <w:szCs w:val="24"/>
        </w:rPr>
        <w:t>governance.</w:t>
      </w:r>
      <w:r w:rsidRPr="00DB6854">
        <w:rPr>
          <w:rStyle w:val="FootnoteReference"/>
          <w:rFonts w:ascii="Times New Roman" w:hAnsi="Times New Roman" w:cs="Times New Roman"/>
          <w:iCs/>
          <w:sz w:val="24"/>
          <w:szCs w:val="24"/>
        </w:rPr>
        <w:footnoteReference w:id="3"/>
      </w:r>
    </w:p>
    <w:p w14:paraId="5E7C70AA" w14:textId="5BC53F80" w:rsidR="00424414" w:rsidRDefault="00DB6854" w:rsidP="00424414">
      <w:pPr>
        <w:spacing w:line="360" w:lineRule="auto"/>
        <w:jc w:val="both"/>
      </w:pPr>
      <w:bookmarkStart w:id="9" w:name="_Hlk504236318"/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</w:t>
      </w:r>
      <w:r w:rsidR="00E4517E" w:rsidRPr="00DB685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jmā</w:t>
      </w:r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>῾</w:t>
      </w:r>
      <w:bookmarkEnd w:id="9"/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developed at a similar juncture to </w:t>
      </w:r>
      <w:r w:rsidR="000C0889" w:rsidRPr="000C088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ijtihād</w:t>
      </w:r>
      <w:r w:rsidR="00E4517E" w:rsidRPr="00DB685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E4517E" w:rsidRPr="00DB6854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(personal effort). Both provide</w:t>
      </w:r>
      <w:r w:rsidR="00211135" w:rsidRPr="00DB6854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d</w:t>
      </w:r>
      <w:r w:rsidR="00E4517E" w:rsidRPr="00DB6854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 a </w:t>
      </w:r>
      <w:r w:rsidR="00E4517E" w:rsidRPr="000C0889">
        <w:rPr>
          <w:rFonts w:ascii="Times New Roman" w:hAnsi="Times New Roman" w:cs="Times New Roman"/>
          <w:iCs/>
          <w:noProof/>
          <w:sz w:val="24"/>
          <w:szCs w:val="24"/>
          <w:shd w:val="clear" w:color="auto" w:fill="FFFFFF"/>
        </w:rPr>
        <w:t>fledg</w:t>
      </w:r>
      <w:r w:rsidR="000C0889">
        <w:rPr>
          <w:rFonts w:ascii="Times New Roman" w:hAnsi="Times New Roman" w:cs="Times New Roman"/>
          <w:iCs/>
          <w:noProof/>
          <w:sz w:val="24"/>
          <w:szCs w:val="24"/>
          <w:shd w:val="clear" w:color="auto" w:fill="FFFFFF"/>
        </w:rPr>
        <w:t>e</w:t>
      </w:r>
      <w:r w:rsidR="00E4517E" w:rsidRPr="000C0889">
        <w:rPr>
          <w:rFonts w:ascii="Times New Roman" w:hAnsi="Times New Roman" w:cs="Times New Roman"/>
          <w:iCs/>
          <w:noProof/>
          <w:sz w:val="24"/>
          <w:szCs w:val="24"/>
          <w:shd w:val="clear" w:color="auto" w:fill="FFFFFF"/>
        </w:rPr>
        <w:t>ling</w:t>
      </w:r>
      <w:r w:rsidR="00E4517E" w:rsidRPr="00DB6854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 </w:t>
      </w:r>
      <w:r w:rsidR="00E4517E" w:rsidRPr="000C0889">
        <w:rPr>
          <w:rFonts w:ascii="Times New Roman" w:hAnsi="Times New Roman" w:cs="Times New Roman"/>
          <w:iCs/>
          <w:noProof/>
          <w:sz w:val="24"/>
          <w:szCs w:val="24"/>
          <w:shd w:val="clear" w:color="auto" w:fill="FFFFFF"/>
        </w:rPr>
        <w:t>religious</w:t>
      </w:r>
      <w:r w:rsidR="00E4517E" w:rsidRPr="00DB6854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 community with advice where the </w:t>
      </w:r>
      <w:bookmarkStart w:id="10" w:name="_Hlk504235117"/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>Qurʿān</w:t>
      </w:r>
      <w:bookmarkEnd w:id="10"/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E4517E" w:rsidRPr="00DB68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Sunnah </w:t>
      </w:r>
      <w:r w:rsidR="00211135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>couldn’t</w:t>
      </w:r>
      <w:r w:rsidR="00E4517E" w:rsidRPr="00DB68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.</w:t>
      </w:r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Complimentary to individual efforts (</w:t>
      </w:r>
      <w:bookmarkStart w:id="11" w:name="_Hlk504516307"/>
      <w:r w:rsidR="000C0889" w:rsidRPr="000C088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ijtihād</w:t>
      </w:r>
      <w:bookmarkEnd w:id="11"/>
      <w:r w:rsidR="00E4517E" w:rsidRPr="00DB685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)</w:t>
      </w:r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usefully focussed community conflict and debate </w:t>
      </w:r>
      <w:r w:rsidR="00E4517E" w:rsidRPr="000C0889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into</w:t>
      </w:r>
      <w:r w:rsidR="00E4517E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legal outcomes.</w:t>
      </w:r>
      <w:r w:rsidR="00E4517E" w:rsidRPr="00DB685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4"/>
      </w:r>
      <w:r w:rsidR="00E4517E" w:rsidRPr="00DB68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r w:rsidR="00211135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7F62CF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choice of a successor to Muhammad may represent the initial impetus for its use, </w:t>
      </w:r>
      <w:r w:rsidR="00211135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>affording</w:t>
      </w:r>
      <w:r w:rsidR="007F62CF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political legitimacy.</w:t>
      </w:r>
      <w:r w:rsidR="007F62CF" w:rsidRPr="00DB685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5"/>
      </w:r>
      <w:r w:rsidR="007F62CF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Authority for consensus soon passed to qualified scholars (</w:t>
      </w:r>
      <w:proofErr w:type="spellStart"/>
      <w:r w:rsidR="007F62CF" w:rsidRPr="00DB685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ʿulamāʿ</w:t>
      </w:r>
      <w:proofErr w:type="spellEnd"/>
      <w:r w:rsidR="007F62CF" w:rsidRPr="00DB685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)</w:t>
      </w:r>
      <w:r w:rsidR="00211135" w:rsidRPr="00DB685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211135" w:rsidRPr="00DB6854">
        <w:rPr>
          <w:rFonts w:ascii="Times New Roman" w:hAnsi="Times New Roman" w:cs="Times New Roman"/>
          <w:iCs/>
          <w:color w:val="000000"/>
          <w:sz w:val="24"/>
          <w:szCs w:val="24"/>
          <w:shd w:val="clear" w:color="auto" w:fill="FFFFFF"/>
        </w:rPr>
        <w:t>only</w:t>
      </w:r>
      <w:r w:rsidR="007F62CF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a process outlined by Ghazali </w:t>
      </w:r>
      <w:r w:rsidR="00211135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>that determined</w:t>
      </w:r>
      <w:r w:rsidR="007F62CF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F62CF" w:rsidRPr="000C0889">
        <w:rPr>
          <w:rFonts w:ascii="Times New Roman" w:hAnsi="Times New Roman" w:cs="Times New Roman"/>
          <w:i/>
          <w:noProof/>
          <w:sz w:val="24"/>
          <w:szCs w:val="24"/>
          <w:shd w:val="clear" w:color="auto" w:fill="FFFFFF"/>
        </w:rPr>
        <w:t>mujmi’un</w:t>
      </w:r>
      <w:r w:rsidR="007F62CF" w:rsidRPr="00DB68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r w:rsidR="007F62CF" w:rsidRPr="000C0889">
        <w:rPr>
          <w:rFonts w:ascii="Times New Roman" w:hAnsi="Times New Roman" w:cs="Times New Roman"/>
          <w:sz w:val="24"/>
          <w:szCs w:val="24"/>
          <w:shd w:val="clear" w:color="auto" w:fill="FFFFFF"/>
        </w:rPr>
        <w:t>(those qualified)</w:t>
      </w:r>
      <w:r w:rsidR="00211135" w:rsidRPr="00DB68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.</w:t>
      </w:r>
      <w:r w:rsidR="007F62CF" w:rsidRPr="00DB685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6"/>
      </w:r>
      <w:r w:rsidR="007F62CF" w:rsidRPr="00DB68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211135" w:rsidRPr="000C0889">
        <w:rPr>
          <w:rFonts w:ascii="Times New Roman" w:hAnsi="Times New Roman" w:cs="Times New Roman"/>
          <w:iCs/>
          <w:noProof/>
          <w:color w:val="000000"/>
          <w:sz w:val="24"/>
          <w:szCs w:val="24"/>
          <w:shd w:val="clear" w:color="auto" w:fill="FFFFFF"/>
        </w:rPr>
        <w:t>Consensus</w:t>
      </w:r>
      <w:r w:rsidR="00211135" w:rsidRPr="00DB685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7F62CF" w:rsidRPr="00DB6854">
        <w:rPr>
          <w:rFonts w:ascii="Times New Roman" w:hAnsi="Times New Roman" w:cs="Times New Roman"/>
          <w:sz w:val="24"/>
          <w:szCs w:val="24"/>
        </w:rPr>
        <w:t xml:space="preserve">can </w:t>
      </w:r>
      <w:r w:rsidR="007F62CF" w:rsidRPr="000C0889">
        <w:rPr>
          <w:rFonts w:ascii="Times New Roman" w:hAnsi="Times New Roman" w:cs="Times New Roman"/>
          <w:noProof/>
          <w:sz w:val="24"/>
          <w:szCs w:val="24"/>
        </w:rPr>
        <w:t>be reached</w:t>
      </w:r>
      <w:r w:rsidR="007F62CF" w:rsidRPr="00DB6854">
        <w:rPr>
          <w:rFonts w:ascii="Times New Roman" w:hAnsi="Times New Roman" w:cs="Times New Roman"/>
          <w:sz w:val="24"/>
          <w:szCs w:val="24"/>
        </w:rPr>
        <w:t xml:space="preserve"> despite dissenting view</w:t>
      </w:r>
      <w:r w:rsidR="004C4DE5" w:rsidRPr="00DB6854">
        <w:rPr>
          <w:rFonts w:ascii="Times New Roman" w:hAnsi="Times New Roman" w:cs="Times New Roman"/>
          <w:sz w:val="24"/>
          <w:szCs w:val="24"/>
        </w:rPr>
        <w:t>s</w:t>
      </w:r>
      <w:r w:rsidR="007F62CF" w:rsidRPr="00DB6854">
        <w:rPr>
          <w:rFonts w:ascii="Times New Roman" w:hAnsi="Times New Roman" w:cs="Times New Roman"/>
          <w:sz w:val="24"/>
          <w:szCs w:val="24"/>
        </w:rPr>
        <w:t xml:space="preserve"> which affords it a degree of flexibility</w:t>
      </w:r>
      <w:r w:rsidR="00211135" w:rsidRPr="00DB6854">
        <w:rPr>
          <w:rFonts w:ascii="Times New Roman" w:hAnsi="Times New Roman" w:cs="Times New Roman"/>
          <w:sz w:val="24"/>
          <w:szCs w:val="24"/>
        </w:rPr>
        <w:t>.</w:t>
      </w:r>
      <w:r w:rsidR="007F62CF" w:rsidRPr="00DB6854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Divergence existed within the four schools regarding </w:t>
      </w:r>
      <w:r w:rsidR="00211135" w:rsidRPr="00DB6854">
        <w:rPr>
          <w:rFonts w:ascii="Times New Roman" w:hAnsi="Times New Roman" w:cs="Times New Roman"/>
          <w:i/>
          <w:iCs/>
          <w:sz w:val="24"/>
          <w:szCs w:val="24"/>
        </w:rPr>
        <w:t>ijmā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῾. For the </w:t>
      </w:r>
      <w:r w:rsidR="00211135" w:rsidRPr="000C0889">
        <w:rPr>
          <w:rFonts w:ascii="Times New Roman" w:hAnsi="Times New Roman" w:cs="Times New Roman"/>
          <w:noProof/>
          <w:sz w:val="24"/>
          <w:szCs w:val="24"/>
        </w:rPr>
        <w:t>Ma</w:t>
      </w:r>
      <w:r w:rsidR="000C0889">
        <w:rPr>
          <w:rFonts w:ascii="Times New Roman" w:hAnsi="Times New Roman" w:cs="Times New Roman"/>
          <w:noProof/>
          <w:sz w:val="24"/>
          <w:szCs w:val="24"/>
        </w:rPr>
        <w:t>li</w:t>
      </w:r>
      <w:r w:rsidR="00211135" w:rsidRPr="000C0889">
        <w:rPr>
          <w:rFonts w:ascii="Times New Roman" w:hAnsi="Times New Roman" w:cs="Times New Roman"/>
          <w:noProof/>
          <w:sz w:val="24"/>
          <w:szCs w:val="24"/>
        </w:rPr>
        <w:t>ki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school consensus meant ‘Medinan consensus’. The H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anafi’s </w:t>
      </w:r>
      <w:r w:rsidR="00211135" w:rsidRPr="00DB6854">
        <w:rPr>
          <w:rFonts w:ascii="Times New Roman" w:hAnsi="Times New Roman" w:cs="Times New Roman"/>
          <w:sz w:val="24"/>
          <w:szCs w:val="24"/>
        </w:rPr>
        <w:t>rejected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this idea</w:t>
      </w:r>
      <w:r w:rsidR="00211135" w:rsidRPr="00DB6854">
        <w:rPr>
          <w:rFonts w:ascii="Times New Roman" w:hAnsi="Times New Roman" w:cs="Times New Roman"/>
          <w:sz w:val="24"/>
          <w:szCs w:val="24"/>
        </w:rPr>
        <w:t>.</w:t>
      </w:r>
      <w:r w:rsidR="00211135" w:rsidRPr="00DB6854">
        <w:rPr>
          <w:rFonts w:ascii="Times New Roman" w:hAnsi="Times New Roman" w:cs="Times New Roman"/>
          <w:sz w:val="24"/>
          <w:szCs w:val="24"/>
          <w:vertAlign w:val="superscript"/>
        </w:rPr>
        <w:footnoteReference w:id="8"/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For </w:t>
      </w:r>
      <w:proofErr w:type="spellStart"/>
      <w:r w:rsidR="000C09AF" w:rsidRPr="00DB6854">
        <w:rPr>
          <w:rFonts w:ascii="Times New Roman" w:hAnsi="Times New Roman" w:cs="Times New Roman"/>
          <w:sz w:val="24"/>
          <w:szCs w:val="24"/>
        </w:rPr>
        <w:t>Shafi’s</w:t>
      </w:r>
      <w:proofErr w:type="spellEnd"/>
      <w:r w:rsidR="000C09AF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211135" w:rsidRPr="00DB6854">
        <w:rPr>
          <w:rFonts w:ascii="Times New Roman" w:hAnsi="Times New Roman" w:cs="Times New Roman"/>
          <w:i/>
          <w:iCs/>
          <w:sz w:val="24"/>
          <w:szCs w:val="24"/>
        </w:rPr>
        <w:t>ijmā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῾ 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can 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only clarify the </w:t>
      </w:r>
      <w:r w:rsidR="00211135" w:rsidRPr="00DB6854">
        <w:rPr>
          <w:rFonts w:ascii="Times New Roman" w:hAnsi="Times New Roman" w:cs="Times New Roman"/>
          <w:iCs/>
          <w:sz w:val="24"/>
          <w:szCs w:val="24"/>
        </w:rPr>
        <w:t>Qurʿān and</w:t>
      </w:r>
      <w:r w:rsidR="00211135" w:rsidRPr="00DB685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11135" w:rsidRPr="000C0889">
        <w:rPr>
          <w:rFonts w:ascii="Times New Roman" w:hAnsi="Times New Roman" w:cs="Times New Roman"/>
          <w:i/>
          <w:iCs/>
          <w:noProof/>
          <w:sz w:val="24"/>
          <w:szCs w:val="24"/>
        </w:rPr>
        <w:t>sunnah</w:t>
      </w:r>
      <w:r w:rsidR="00211135" w:rsidRPr="00DB6854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211135" w:rsidRPr="00DB6854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The Hanbali’s were cautious of consensus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0C09AF" w:rsidRPr="000C0889">
        <w:rPr>
          <w:rFonts w:ascii="Times New Roman" w:hAnsi="Times New Roman" w:cs="Times New Roman"/>
          <w:noProof/>
          <w:sz w:val="24"/>
          <w:szCs w:val="24"/>
        </w:rPr>
        <w:t>altogether</w:t>
      </w:r>
      <w:r w:rsidR="000C09AF" w:rsidRPr="00DB6854">
        <w:rPr>
          <w:rFonts w:ascii="Times New Roman" w:hAnsi="Times New Roman" w:cs="Times New Roman"/>
          <w:sz w:val="24"/>
          <w:szCs w:val="24"/>
        </w:rPr>
        <w:t>.</w:t>
      </w:r>
      <w:r w:rsidR="00211135" w:rsidRPr="00DB6854">
        <w:rPr>
          <w:rFonts w:ascii="Times New Roman" w:hAnsi="Times New Roman" w:cs="Times New Roman"/>
          <w:sz w:val="24"/>
          <w:szCs w:val="24"/>
          <w:vertAlign w:val="superscript"/>
        </w:rPr>
        <w:footnoteReference w:id="10"/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211135" w:rsidRPr="00DB6854">
        <w:rPr>
          <w:rFonts w:ascii="Times New Roman" w:hAnsi="Times New Roman" w:cs="Times New Roman"/>
          <w:sz w:val="24"/>
          <w:szCs w:val="24"/>
        </w:rPr>
        <w:br/>
      </w:r>
      <w:r w:rsidR="00211135" w:rsidRPr="00DB6854">
        <w:rPr>
          <w:rFonts w:ascii="Times New Roman" w:hAnsi="Times New Roman" w:cs="Times New Roman"/>
          <w:sz w:val="24"/>
          <w:szCs w:val="24"/>
        </w:rPr>
        <w:br/>
      </w:r>
      <w:bookmarkStart w:id="13" w:name="_Hlk504266106"/>
      <w:bookmarkStart w:id="14" w:name="_Hlk504266772"/>
      <w:r>
        <w:rPr>
          <w:rFonts w:ascii="Times New Roman" w:hAnsi="Times New Roman" w:cs="Times New Roman"/>
          <w:i/>
          <w:sz w:val="24"/>
          <w:szCs w:val="24"/>
        </w:rPr>
        <w:t>I</w:t>
      </w:r>
      <w:r w:rsidR="00211135" w:rsidRPr="00DB6854">
        <w:rPr>
          <w:rFonts w:ascii="Times New Roman" w:hAnsi="Times New Roman" w:cs="Times New Roman"/>
          <w:i/>
          <w:sz w:val="24"/>
          <w:szCs w:val="24"/>
        </w:rPr>
        <w:t>jmā</w:t>
      </w:r>
      <w:bookmarkEnd w:id="13"/>
      <w:r w:rsidR="00211135" w:rsidRPr="00DB6854">
        <w:rPr>
          <w:rFonts w:ascii="Times New Roman" w:hAnsi="Times New Roman" w:cs="Times New Roman"/>
          <w:i/>
          <w:sz w:val="24"/>
          <w:szCs w:val="24"/>
        </w:rPr>
        <w:t xml:space="preserve">῾ </w:t>
      </w:r>
      <w:bookmarkEnd w:id="14"/>
      <w:r w:rsidR="00211135" w:rsidRPr="00DB6854">
        <w:rPr>
          <w:rFonts w:ascii="Times New Roman" w:hAnsi="Times New Roman" w:cs="Times New Roman"/>
          <w:sz w:val="24"/>
          <w:szCs w:val="24"/>
        </w:rPr>
        <w:t xml:space="preserve">within contemporary contexts has its </w:t>
      </w:r>
      <w:r w:rsidR="006C5512" w:rsidRPr="00DB6854">
        <w:rPr>
          <w:rFonts w:ascii="Times New Roman" w:hAnsi="Times New Roman" w:cs="Times New Roman"/>
          <w:sz w:val="24"/>
          <w:szCs w:val="24"/>
        </w:rPr>
        <w:t>challenges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. </w:t>
      </w:r>
      <w:r w:rsidR="000C09AF" w:rsidRPr="00DB6854">
        <w:rPr>
          <w:rFonts w:ascii="Times New Roman" w:hAnsi="Times New Roman" w:cs="Times New Roman"/>
          <w:sz w:val="24"/>
          <w:szCs w:val="24"/>
        </w:rPr>
        <w:t>W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hole community 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consensus </w:t>
      </w:r>
      <w:r w:rsidR="00211135" w:rsidRPr="00DB6854">
        <w:rPr>
          <w:rFonts w:ascii="Times New Roman" w:hAnsi="Times New Roman" w:cs="Times New Roman"/>
          <w:sz w:val="24"/>
          <w:szCs w:val="24"/>
        </w:rPr>
        <w:t>i</w:t>
      </w:r>
      <w:r w:rsidR="000C09AF" w:rsidRPr="00DB6854">
        <w:rPr>
          <w:rFonts w:ascii="Times New Roman" w:hAnsi="Times New Roman" w:cs="Times New Roman"/>
          <w:sz w:val="24"/>
          <w:szCs w:val="24"/>
        </w:rPr>
        <w:t>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arguably </w:t>
      </w:r>
      <w:r w:rsidR="000C0889" w:rsidRPr="000C0889">
        <w:rPr>
          <w:rFonts w:ascii="Times New Roman" w:hAnsi="Times New Roman" w:cs="Times New Roman"/>
          <w:noProof/>
          <w:sz w:val="24"/>
          <w:szCs w:val="24"/>
        </w:rPr>
        <w:t>simpler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with modern communication.</w:t>
      </w:r>
      <w:r w:rsidR="00211135" w:rsidRPr="00DB685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Problems arise when 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some 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scholars are silent. Within the Shafi and Maliki </w:t>
      </w:r>
      <w:r w:rsidR="00211135" w:rsidRPr="000C0889">
        <w:rPr>
          <w:rFonts w:ascii="Times New Roman" w:hAnsi="Times New Roman" w:cs="Times New Roman"/>
          <w:noProof/>
          <w:sz w:val="24"/>
          <w:szCs w:val="24"/>
        </w:rPr>
        <w:t>schools</w:t>
      </w:r>
      <w:r w:rsidR="000C0889">
        <w:rPr>
          <w:rFonts w:ascii="Times New Roman" w:hAnsi="Times New Roman" w:cs="Times New Roman"/>
          <w:noProof/>
          <w:sz w:val="24"/>
          <w:szCs w:val="24"/>
        </w:rPr>
        <w:t>,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this weakens the legitimacy of </w:t>
      </w:r>
      <w:r w:rsidR="00211135" w:rsidRPr="000C0889">
        <w:rPr>
          <w:rFonts w:ascii="Times New Roman" w:hAnsi="Times New Roman" w:cs="Times New Roman"/>
          <w:noProof/>
          <w:sz w:val="24"/>
          <w:szCs w:val="24"/>
        </w:rPr>
        <w:t>consensus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, though the </w:t>
      </w:r>
      <w:r w:rsidR="00211135" w:rsidRPr="00DB6854">
        <w:rPr>
          <w:rFonts w:ascii="Times New Roman" w:hAnsi="Times New Roman" w:cs="Times New Roman"/>
          <w:sz w:val="24"/>
          <w:szCs w:val="24"/>
        </w:rPr>
        <w:lastRenderedPageBreak/>
        <w:t>Hanbali and Hanafi</w:t>
      </w:r>
      <w:r w:rsidR="000C09AF" w:rsidRPr="00DB6854">
        <w:rPr>
          <w:rFonts w:ascii="Times New Roman" w:hAnsi="Times New Roman" w:cs="Times New Roman"/>
          <w:sz w:val="24"/>
          <w:szCs w:val="24"/>
        </w:rPr>
        <w:t>’s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do not see </w:t>
      </w:r>
      <w:r w:rsidR="006C5512" w:rsidRPr="00DB6854">
        <w:rPr>
          <w:rFonts w:ascii="Times New Roman" w:hAnsi="Times New Roman" w:cs="Times New Roman"/>
          <w:sz w:val="24"/>
          <w:szCs w:val="24"/>
        </w:rPr>
        <w:t>this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as an impediment. Moreover, who is the ‘whole community’? Could an individual country produce </w:t>
      </w:r>
      <w:r w:rsidR="00211135" w:rsidRPr="00DB685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ijmā</w:t>
      </w:r>
      <w:r w:rsidR="00211135" w:rsidRPr="00DB68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῾? 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Some may see this as breaking the unity of the </w:t>
      </w:r>
      <w:r w:rsidR="00211135" w:rsidRPr="00DB6854">
        <w:rPr>
          <w:rFonts w:ascii="Times New Roman" w:hAnsi="Times New Roman" w:cs="Times New Roman"/>
          <w:i/>
          <w:sz w:val="24"/>
          <w:szCs w:val="24"/>
        </w:rPr>
        <w:t>ummah</w:t>
      </w:r>
      <w:r w:rsidR="00211135" w:rsidRPr="00DB6854">
        <w:rPr>
          <w:rFonts w:ascii="Times New Roman" w:hAnsi="Times New Roman" w:cs="Times New Roman"/>
          <w:sz w:val="24"/>
          <w:szCs w:val="24"/>
        </w:rPr>
        <w:t>.</w:t>
      </w:r>
      <w:r w:rsidR="00211135" w:rsidRPr="00DB6854">
        <w:rPr>
          <w:rFonts w:ascii="Times New Roman" w:hAnsi="Times New Roman" w:cs="Times New Roman"/>
          <w:sz w:val="24"/>
          <w:szCs w:val="24"/>
          <w:vertAlign w:val="superscript"/>
        </w:rPr>
        <w:footnoteReference w:id="12"/>
      </w:r>
      <w:r w:rsidR="00211135" w:rsidRPr="00DB6854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The whole notion of consensus is further challenged by the internet as people seek legal precedents from authorit</w:t>
      </w:r>
      <w:r w:rsidR="000C09AF" w:rsidRPr="00DB6854">
        <w:rPr>
          <w:rFonts w:ascii="Times New Roman" w:hAnsi="Times New Roman" w:cs="Times New Roman"/>
          <w:sz w:val="24"/>
          <w:szCs w:val="24"/>
        </w:rPr>
        <w:t>ies</w:t>
      </w:r>
      <w:r w:rsidR="00211135" w:rsidRPr="00DB6854">
        <w:rPr>
          <w:rFonts w:ascii="Times New Roman" w:hAnsi="Times New Roman" w:cs="Times New Roman"/>
          <w:sz w:val="24"/>
          <w:szCs w:val="24"/>
        </w:rPr>
        <w:t xml:space="preserve"> outside the </w:t>
      </w:r>
      <w:bookmarkStart w:id="15" w:name="_Hlk504250536"/>
      <w:proofErr w:type="spellStart"/>
      <w:r w:rsidR="00211135" w:rsidRPr="00DB6854">
        <w:rPr>
          <w:rFonts w:ascii="Times New Roman" w:hAnsi="Times New Roman" w:cs="Times New Roman"/>
          <w:i/>
          <w:sz w:val="24"/>
          <w:szCs w:val="24"/>
        </w:rPr>
        <w:t>ʿulamā</w:t>
      </w:r>
      <w:proofErr w:type="spellEnd"/>
      <w:r w:rsidR="00211135" w:rsidRPr="00DB6854">
        <w:rPr>
          <w:rFonts w:ascii="Times New Roman" w:hAnsi="Times New Roman" w:cs="Times New Roman"/>
          <w:i/>
          <w:sz w:val="24"/>
          <w:szCs w:val="24"/>
        </w:rPr>
        <w:t>.</w:t>
      </w:r>
      <w:bookmarkEnd w:id="15"/>
      <w:r w:rsidR="000C09AF" w:rsidRPr="00DB6854">
        <w:rPr>
          <w:rFonts w:ascii="Times New Roman" w:hAnsi="Times New Roman" w:cs="Times New Roman"/>
          <w:i/>
          <w:sz w:val="24"/>
          <w:szCs w:val="24"/>
          <w:vertAlign w:val="superscript"/>
        </w:rPr>
        <w:footnoteReference w:id="13"/>
      </w:r>
      <w:r w:rsidR="000C09AF" w:rsidRPr="00DB6854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0C09AF" w:rsidRPr="00DB6854">
        <w:rPr>
          <w:rFonts w:ascii="Times New Roman" w:hAnsi="Times New Roman" w:cs="Times New Roman"/>
          <w:sz w:val="24"/>
          <w:szCs w:val="24"/>
        </w:rPr>
        <w:t>Enver</w:t>
      </w:r>
      <w:proofErr w:type="spellEnd"/>
      <w:r w:rsidR="000C09AF" w:rsidRPr="00DB68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09AF" w:rsidRPr="00DB6854">
        <w:rPr>
          <w:rFonts w:ascii="Times New Roman" w:hAnsi="Times New Roman" w:cs="Times New Roman"/>
          <w:sz w:val="24"/>
          <w:szCs w:val="24"/>
        </w:rPr>
        <w:t>Emon</w:t>
      </w:r>
      <w:proofErr w:type="spellEnd"/>
      <w:r w:rsidR="000C09AF" w:rsidRPr="00DB6854">
        <w:rPr>
          <w:rFonts w:ascii="Times New Roman" w:hAnsi="Times New Roman" w:cs="Times New Roman"/>
          <w:sz w:val="24"/>
          <w:szCs w:val="24"/>
        </w:rPr>
        <w:t xml:space="preserve"> points out, the</w:t>
      </w:r>
      <w:r w:rsidR="00424414">
        <w:rPr>
          <w:rFonts w:ascii="Times New Roman" w:hAnsi="Times New Roman" w:cs="Times New Roman"/>
          <w:sz w:val="24"/>
          <w:szCs w:val="24"/>
        </w:rPr>
        <w:t xml:space="preserve"> </w:t>
      </w:r>
      <w:r w:rsidR="000C09AF" w:rsidRPr="00DB6854">
        <w:rPr>
          <w:rFonts w:ascii="Times New Roman" w:hAnsi="Times New Roman" w:cs="Times New Roman"/>
          <w:sz w:val="24"/>
          <w:szCs w:val="24"/>
        </w:rPr>
        <w:t>‘claim space’ of the sharīʿa has changed.</w:t>
      </w:r>
      <w:r w:rsidR="000C09AF" w:rsidRPr="00DB6854">
        <w:rPr>
          <w:rFonts w:ascii="Times New Roman" w:hAnsi="Times New Roman" w:cs="Times New Roman"/>
          <w:sz w:val="24"/>
          <w:szCs w:val="24"/>
          <w:vertAlign w:val="superscript"/>
        </w:rPr>
        <w:footnoteReference w:id="14"/>
      </w:r>
      <w:r w:rsidR="000C09AF" w:rsidRPr="00DB6854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0C09AF" w:rsidRPr="00DB6854">
        <w:rPr>
          <w:rFonts w:ascii="Times New Roman" w:hAnsi="Times New Roman" w:cs="Times New Roman"/>
          <w:sz w:val="24"/>
          <w:szCs w:val="24"/>
        </w:rPr>
        <w:br/>
      </w:r>
      <w:r w:rsidR="000C09AF" w:rsidRPr="00DB6854">
        <w:rPr>
          <w:rFonts w:ascii="Times New Roman" w:hAnsi="Times New Roman" w:cs="Times New Roman"/>
          <w:sz w:val="24"/>
          <w:szCs w:val="24"/>
        </w:rPr>
        <w:br/>
        <w:t xml:space="preserve">A radical re-imagining comes from </w:t>
      </w:r>
      <w:r w:rsidR="006C5512" w:rsidRPr="00DB6854">
        <w:rPr>
          <w:rFonts w:ascii="Times New Roman" w:hAnsi="Times New Roman" w:cs="Times New Roman"/>
          <w:sz w:val="24"/>
          <w:szCs w:val="24"/>
        </w:rPr>
        <w:t>Muhammad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Iqbal and Ziauddin Sardar. Iqbal argues that </w:t>
      </w:r>
      <w:r w:rsidR="000C09AF" w:rsidRPr="000C0889">
        <w:rPr>
          <w:rFonts w:ascii="Times New Roman" w:hAnsi="Times New Roman" w:cs="Times New Roman"/>
          <w:noProof/>
          <w:sz w:val="24"/>
          <w:szCs w:val="24"/>
        </w:rPr>
        <w:t>modern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legislative assemblies are the sole forum for </w:t>
      </w:r>
      <w:r w:rsidR="000C09AF" w:rsidRPr="00DB6854">
        <w:rPr>
          <w:rFonts w:ascii="Times New Roman" w:hAnsi="Times New Roman" w:cs="Times New Roman"/>
          <w:i/>
          <w:sz w:val="24"/>
          <w:szCs w:val="24"/>
        </w:rPr>
        <w:t xml:space="preserve">ijmā </w:t>
      </w:r>
      <w:r w:rsidR="000C09AF" w:rsidRPr="00DB6854">
        <w:rPr>
          <w:rFonts w:ascii="Times New Roman" w:hAnsi="Times New Roman" w:cs="Times New Roman"/>
          <w:sz w:val="24"/>
          <w:szCs w:val="24"/>
        </w:rPr>
        <w:t>today</w:t>
      </w:r>
      <w:r w:rsidR="000C09AF" w:rsidRPr="00DB6854">
        <w:rPr>
          <w:rFonts w:ascii="Times New Roman" w:hAnsi="Times New Roman" w:cs="Times New Roman"/>
          <w:i/>
          <w:sz w:val="24"/>
          <w:szCs w:val="24"/>
        </w:rPr>
        <w:t>.</w:t>
      </w:r>
      <w:r w:rsidR="000C09AF" w:rsidRPr="00DB6854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15"/>
      </w:r>
      <w:r w:rsidR="000C09AF" w:rsidRPr="00DB685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C09AF" w:rsidRPr="00DB6854">
        <w:rPr>
          <w:rFonts w:ascii="Times New Roman" w:hAnsi="Times New Roman" w:cs="Times New Roman"/>
          <w:sz w:val="24"/>
          <w:szCs w:val="24"/>
        </w:rPr>
        <w:t>For Sardar</w:t>
      </w:r>
      <w:r w:rsidR="000C0889">
        <w:rPr>
          <w:rFonts w:ascii="Times New Roman" w:hAnsi="Times New Roman" w:cs="Times New Roman"/>
          <w:sz w:val="24"/>
          <w:szCs w:val="24"/>
        </w:rPr>
        <w:t>,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0C09AF" w:rsidRPr="00DB6854">
        <w:rPr>
          <w:rFonts w:ascii="Times New Roman" w:hAnsi="Times New Roman" w:cs="Times New Roman"/>
          <w:i/>
          <w:sz w:val="24"/>
          <w:szCs w:val="24"/>
        </w:rPr>
        <w:t xml:space="preserve">ijmā῾ </w:t>
      </w:r>
      <w:r w:rsidR="000C09AF" w:rsidRPr="00DB6854">
        <w:rPr>
          <w:rFonts w:ascii="Times New Roman" w:hAnsi="Times New Roman" w:cs="Times New Roman"/>
          <w:sz w:val="24"/>
          <w:szCs w:val="24"/>
        </w:rPr>
        <w:t>must merge with other forms of knowledge to compete with western ideas of epistemology. Its aim is not</w:t>
      </w:r>
      <w:r w:rsidR="000C0889">
        <w:rPr>
          <w:rFonts w:ascii="Times New Roman" w:hAnsi="Times New Roman" w:cs="Times New Roman"/>
          <w:sz w:val="24"/>
          <w:szCs w:val="24"/>
        </w:rPr>
        <w:t xml:space="preserve"> the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</w:t>
      </w:r>
      <w:r w:rsidR="000C09AF" w:rsidRPr="000C0889">
        <w:rPr>
          <w:rFonts w:ascii="Times New Roman" w:hAnsi="Times New Roman" w:cs="Times New Roman"/>
          <w:noProof/>
          <w:sz w:val="24"/>
          <w:szCs w:val="24"/>
        </w:rPr>
        <w:t>absolute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unity of consensus, but rather a compromise, </w:t>
      </w:r>
      <w:r w:rsidR="000C09AF" w:rsidRPr="000C0889">
        <w:rPr>
          <w:rFonts w:ascii="Times New Roman" w:hAnsi="Times New Roman" w:cs="Times New Roman"/>
          <w:noProof/>
          <w:sz w:val="24"/>
          <w:szCs w:val="24"/>
        </w:rPr>
        <w:t>to</w:t>
      </w:r>
      <w:r w:rsidR="000C09AF" w:rsidRPr="00DB6854">
        <w:rPr>
          <w:rFonts w:ascii="Times New Roman" w:hAnsi="Times New Roman" w:cs="Times New Roman"/>
          <w:sz w:val="24"/>
          <w:szCs w:val="24"/>
        </w:rPr>
        <w:t xml:space="preserve"> meet the needs of contemporary Muslims.</w:t>
      </w:r>
      <w:r w:rsidR="00D0629C" w:rsidRPr="00DB6854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211135" w:rsidRPr="00DB6854">
        <w:rPr>
          <w:rFonts w:ascii="Times New Roman" w:hAnsi="Times New Roman" w:cs="Times New Roman"/>
          <w:sz w:val="24"/>
          <w:szCs w:val="24"/>
        </w:rPr>
        <w:br/>
      </w:r>
      <w:r w:rsidR="007F62CF" w:rsidRPr="00DB6854">
        <w:rPr>
          <w:rFonts w:ascii="Times New Roman" w:hAnsi="Times New Roman" w:cs="Times New Roman"/>
          <w:sz w:val="24"/>
          <w:szCs w:val="24"/>
        </w:rPr>
        <w:br/>
      </w:r>
    </w:p>
    <w:p w14:paraId="3921E9B1" w14:textId="77777777" w:rsidR="00424414" w:rsidRDefault="00424414">
      <w:r>
        <w:br w:type="page"/>
      </w:r>
    </w:p>
    <w:p w14:paraId="553DB433" w14:textId="17918B29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b/>
          <w:sz w:val="36"/>
          <w:szCs w:val="36"/>
        </w:rPr>
      </w:pPr>
      <w:r>
        <w:rPr>
          <w:rFonts w:ascii="Times New Roman" w:hAnsi="Times New Roman" w:cs="Times New Roman"/>
          <w:b/>
          <w:sz w:val="36"/>
          <w:szCs w:val="36"/>
        </w:rPr>
        <w:lastRenderedPageBreak/>
        <w:t>Bibliography</w:t>
      </w:r>
    </w:p>
    <w:p w14:paraId="3B36FAF2" w14:textId="77777777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E0C41">
        <w:rPr>
          <w:rFonts w:ascii="Times New Roman" w:hAnsi="Times New Roman" w:cs="Times New Roman"/>
          <w:sz w:val="24"/>
          <w:szCs w:val="24"/>
        </w:rPr>
        <w:t>Bennett, Clinton.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Muslims And Modernity</w:t>
      </w:r>
      <w:r w:rsidRPr="003E0C41">
        <w:rPr>
          <w:rFonts w:ascii="Times New Roman" w:hAnsi="Times New Roman" w:cs="Times New Roman"/>
          <w:sz w:val="24"/>
          <w:szCs w:val="24"/>
        </w:rPr>
        <w:t>. Edinburgh: T &amp; T Clark, 2005.</w:t>
      </w:r>
    </w:p>
    <w:p w14:paraId="4745D767" w14:textId="4D5EB6FC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>Brown, Daniel W.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A New Introduction To Islam</w:t>
      </w:r>
      <w:r w:rsidRPr="003E0C41">
        <w:rPr>
          <w:rFonts w:ascii="Times New Roman" w:hAnsi="Times New Roman" w:cs="Times New Roman"/>
          <w:sz w:val="24"/>
          <w:szCs w:val="24"/>
        </w:rPr>
        <w:t>. 3rd ed. Oxford: Wiley Blackwell, 2017.</w:t>
      </w:r>
    </w:p>
    <w:p w14:paraId="5D655AD1" w14:textId="459EBBFC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>Brown, Jonathan.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Misquoting Muhammad</w:t>
      </w:r>
      <w:r w:rsidRPr="003E0C41">
        <w:rPr>
          <w:rFonts w:ascii="Times New Roman" w:hAnsi="Times New Roman" w:cs="Times New Roman"/>
          <w:sz w:val="24"/>
          <w:szCs w:val="24"/>
        </w:rPr>
        <w:t>. London: Oneworld Publications, 2014.</w:t>
      </w:r>
    </w:p>
    <w:p w14:paraId="1459D9F2" w14:textId="759E9599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>Bunt, Gary Richard. </w:t>
      </w:r>
      <w:proofErr w:type="spellStart"/>
      <w:r w:rsidRPr="003E0C41">
        <w:rPr>
          <w:rFonts w:ascii="Times New Roman" w:hAnsi="Times New Roman" w:cs="Times New Roman"/>
          <w:i/>
          <w:iCs/>
          <w:sz w:val="24"/>
          <w:szCs w:val="24"/>
        </w:rPr>
        <w:t>Imuslims</w:t>
      </w:r>
      <w:proofErr w:type="spellEnd"/>
      <w:r w:rsidRPr="003E0C41">
        <w:rPr>
          <w:rFonts w:ascii="Times New Roman" w:hAnsi="Times New Roman" w:cs="Times New Roman"/>
          <w:sz w:val="24"/>
          <w:szCs w:val="24"/>
        </w:rPr>
        <w:t>. London: C. Hurst &amp; Co. Publishers, 2009.</w:t>
      </w:r>
    </w:p>
    <w:p w14:paraId="560AE078" w14:textId="5FDE13BA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>Chapman, Colin.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Cross And Crescent</w:t>
      </w:r>
      <w:r w:rsidRPr="003E0C41">
        <w:rPr>
          <w:rFonts w:ascii="Times New Roman" w:hAnsi="Times New Roman" w:cs="Times New Roman"/>
          <w:sz w:val="24"/>
          <w:szCs w:val="24"/>
        </w:rPr>
        <w:t>. Westmont: InterVarsity Press, 2012.</w:t>
      </w:r>
    </w:p>
    <w:p w14:paraId="7A524756" w14:textId="65A7BE3B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>Dien, M. Izzi.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Islamic Law: From Historical Foundations To Contemporary Practice</w:t>
      </w:r>
      <w:r w:rsidRPr="003E0C41">
        <w:rPr>
          <w:rFonts w:ascii="Times New Roman" w:hAnsi="Times New Roman" w:cs="Times New Roman"/>
          <w:sz w:val="24"/>
          <w:szCs w:val="24"/>
        </w:rPr>
        <w:t>. Edinburgh: Edinburgh University Press, 2004.</w:t>
      </w:r>
    </w:p>
    <w:p w14:paraId="4187B616" w14:textId="3E408451" w:rsidR="003E0C41" w:rsidRDefault="003E0C41" w:rsidP="003E0C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>Esposito</w:t>
      </w:r>
      <w:r>
        <w:rPr>
          <w:rFonts w:ascii="Times New Roman" w:hAnsi="Times New Roman" w:cs="Times New Roman"/>
          <w:sz w:val="24"/>
          <w:szCs w:val="24"/>
        </w:rPr>
        <w:t xml:space="preserve">, J. (editor) 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The Oxford History of Islam</w:t>
      </w:r>
      <w:r w:rsidRPr="003E0C41">
        <w:rPr>
          <w:rFonts w:ascii="Times New Roman" w:hAnsi="Times New Roman" w:cs="Times New Roman"/>
          <w:sz w:val="24"/>
          <w:szCs w:val="24"/>
        </w:rPr>
        <w:t>.,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Oxford Islamic Studies Online</w:t>
      </w:r>
      <w:r w:rsidRPr="003E0C41">
        <w:rPr>
          <w:rFonts w:ascii="Times New Roman" w:hAnsi="Times New Roman" w:cs="Times New Roman"/>
          <w:sz w:val="24"/>
          <w:szCs w:val="24"/>
        </w:rPr>
        <w:t>, http://www.oxfordislamicstudies.com/article/book/islam-9780195107999/islam-9780195107999-div1-20 (accessed 04-Dec-2017).</w:t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proofErr w:type="spellStart"/>
      <w:r w:rsidRPr="003E0C41">
        <w:rPr>
          <w:rFonts w:ascii="Times New Roman" w:hAnsi="Times New Roman" w:cs="Times New Roman"/>
          <w:sz w:val="24"/>
          <w:szCs w:val="24"/>
        </w:rPr>
        <w:t>Emon</w:t>
      </w:r>
      <w:proofErr w:type="spellEnd"/>
      <w:r w:rsidRPr="003E0C4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E0C41">
        <w:rPr>
          <w:rFonts w:ascii="Times New Roman" w:hAnsi="Times New Roman" w:cs="Times New Roman"/>
          <w:sz w:val="24"/>
          <w:szCs w:val="24"/>
        </w:rPr>
        <w:t>Anver</w:t>
      </w:r>
      <w:proofErr w:type="spellEnd"/>
      <w:r w:rsidRPr="003E0C41">
        <w:rPr>
          <w:rFonts w:ascii="Times New Roman" w:hAnsi="Times New Roman" w:cs="Times New Roman"/>
          <w:sz w:val="24"/>
          <w:szCs w:val="24"/>
        </w:rPr>
        <w:t xml:space="preserve"> M.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Religious Pluralism In Islamic Law</w:t>
      </w:r>
      <w:r w:rsidRPr="003E0C41">
        <w:rPr>
          <w:rFonts w:ascii="Times New Roman" w:hAnsi="Times New Roman" w:cs="Times New Roman"/>
          <w:sz w:val="24"/>
          <w:szCs w:val="24"/>
        </w:rPr>
        <w:t>. Oxford: Oxford University Press, 2012.</w:t>
      </w:r>
    </w:p>
    <w:p w14:paraId="4C20E7F9" w14:textId="49725950" w:rsidR="003E0C41" w:rsidRPr="003E0C41" w:rsidRDefault="003E0C41" w:rsidP="003E0C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Pr="003E0C41">
        <w:rPr>
          <w:rFonts w:ascii="Times New Roman" w:hAnsi="Times New Roman" w:cs="Times New Roman"/>
          <w:sz w:val="24"/>
          <w:szCs w:val="24"/>
        </w:rPr>
        <w:t xml:space="preserve">Gibb, H.A.R.R, </w:t>
      </w:r>
      <w:r w:rsidRPr="003E0C41">
        <w:rPr>
          <w:rFonts w:ascii="Times New Roman" w:hAnsi="Times New Roman" w:cs="Times New Roman"/>
          <w:i/>
          <w:sz w:val="24"/>
          <w:szCs w:val="24"/>
        </w:rPr>
        <w:t>The Hutchinson Encyclopaedia of Living Faiths</w:t>
      </w:r>
      <w:r w:rsidRPr="003E0C41">
        <w:rPr>
          <w:rFonts w:ascii="Times New Roman" w:hAnsi="Times New Roman" w:cs="Times New Roman"/>
          <w:sz w:val="24"/>
          <w:szCs w:val="24"/>
        </w:rPr>
        <w:t>, Century Hutchinson, 1988.</w:t>
      </w:r>
    </w:p>
    <w:p w14:paraId="0E614FF9" w14:textId="14AEA4CD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proofErr w:type="spellStart"/>
      <w:r w:rsidRPr="003E0C41">
        <w:rPr>
          <w:rFonts w:ascii="Times New Roman" w:hAnsi="Times New Roman" w:cs="Times New Roman"/>
          <w:sz w:val="24"/>
          <w:szCs w:val="24"/>
        </w:rPr>
        <w:t>Glasse</w:t>
      </w:r>
      <w:proofErr w:type="spellEnd"/>
      <w:r w:rsidRPr="003E0C41">
        <w:rPr>
          <w:rFonts w:ascii="Times New Roman" w:hAnsi="Times New Roman" w:cs="Times New Roman"/>
          <w:sz w:val="24"/>
          <w:szCs w:val="24"/>
        </w:rPr>
        <w:t>́, Cyril.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The Concise Encyclopaedia Of Islam</w:t>
      </w:r>
      <w:r w:rsidRPr="003E0C41">
        <w:rPr>
          <w:rFonts w:ascii="Times New Roman" w:hAnsi="Times New Roman" w:cs="Times New Roman"/>
          <w:sz w:val="24"/>
          <w:szCs w:val="24"/>
        </w:rPr>
        <w:t>. London: Stacey International, 2008.</w:t>
      </w:r>
    </w:p>
    <w:p w14:paraId="4645BF1A" w14:textId="0AF5166E" w:rsidR="003E0C41" w:rsidRPr="003E0C41" w:rsidRDefault="003E0C41" w:rsidP="003E0C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proofErr w:type="spellStart"/>
      <w:r w:rsidRPr="003E0C41">
        <w:rPr>
          <w:rFonts w:ascii="Times New Roman" w:hAnsi="Times New Roman" w:cs="Times New Roman"/>
          <w:sz w:val="24"/>
          <w:szCs w:val="24"/>
        </w:rPr>
        <w:t>Rippin</w:t>
      </w:r>
      <w:proofErr w:type="spellEnd"/>
      <w:r w:rsidRPr="003E0C41">
        <w:rPr>
          <w:rFonts w:ascii="Times New Roman" w:hAnsi="Times New Roman" w:cs="Times New Roman"/>
          <w:sz w:val="24"/>
          <w:szCs w:val="24"/>
        </w:rPr>
        <w:t>, Andrew. </w:t>
      </w:r>
      <w:r w:rsidRPr="003E0C41">
        <w:rPr>
          <w:rFonts w:ascii="Times New Roman" w:hAnsi="Times New Roman" w:cs="Times New Roman"/>
          <w:i/>
          <w:iCs/>
          <w:sz w:val="24"/>
          <w:szCs w:val="24"/>
        </w:rPr>
        <w:t>Muslims: Their Religious Beliefs And Practices: The Formative Years Vol 1</w:t>
      </w:r>
      <w:r w:rsidRPr="003E0C41">
        <w:rPr>
          <w:rFonts w:ascii="Times New Roman" w:hAnsi="Times New Roman" w:cs="Times New Roman"/>
          <w:sz w:val="24"/>
          <w:szCs w:val="24"/>
        </w:rPr>
        <w:t>. London: Routledge, 1990.</w:t>
      </w:r>
    </w:p>
    <w:p w14:paraId="3B91565A" w14:textId="0B896DF5" w:rsidR="00AD6D81" w:rsidRPr="00EA5EBE" w:rsidRDefault="00AD6D81" w:rsidP="00EA5EBE"/>
    <w:sectPr w:rsidR="00AD6D81" w:rsidRPr="00EA5E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67F681" w14:textId="77777777" w:rsidR="00DA65CF" w:rsidRDefault="00DA65CF" w:rsidP="00EA5EBE">
      <w:pPr>
        <w:spacing w:after="0" w:line="240" w:lineRule="auto"/>
      </w:pPr>
      <w:r>
        <w:separator/>
      </w:r>
    </w:p>
  </w:endnote>
  <w:endnote w:type="continuationSeparator" w:id="0">
    <w:p w14:paraId="40E53E57" w14:textId="77777777" w:rsidR="00DA65CF" w:rsidRDefault="00DA65CF" w:rsidP="00EA5E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6B114C" w14:textId="77777777" w:rsidR="00DA65CF" w:rsidRDefault="00DA65CF" w:rsidP="00EA5EBE">
      <w:pPr>
        <w:spacing w:after="0" w:line="240" w:lineRule="auto"/>
      </w:pPr>
      <w:r>
        <w:separator/>
      </w:r>
    </w:p>
  </w:footnote>
  <w:footnote w:type="continuationSeparator" w:id="0">
    <w:p w14:paraId="6FF71938" w14:textId="77777777" w:rsidR="00DA65CF" w:rsidRDefault="00DA65CF" w:rsidP="00EA5EBE">
      <w:pPr>
        <w:spacing w:after="0" w:line="240" w:lineRule="auto"/>
      </w:pPr>
      <w:r>
        <w:continuationSeparator/>
      </w:r>
    </w:p>
  </w:footnote>
  <w:footnote w:id="1">
    <w:p w14:paraId="274B7FF5" w14:textId="2974022C" w:rsidR="00EA5EBE" w:rsidRDefault="00EA5E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A5EBE">
        <w:t xml:space="preserve">Andrew </w:t>
      </w:r>
      <w:proofErr w:type="spellStart"/>
      <w:r w:rsidRPr="00EA5EBE">
        <w:t>Rippin</w:t>
      </w:r>
      <w:proofErr w:type="spellEnd"/>
      <w:r w:rsidRPr="00EA5EBE">
        <w:t>, </w:t>
      </w:r>
      <w:r w:rsidRPr="00EA5EBE">
        <w:rPr>
          <w:i/>
          <w:iCs/>
        </w:rPr>
        <w:t>Muslims: Their Religious Beliefs And Practices: The Formative Years Vol 1</w:t>
      </w:r>
      <w:r w:rsidRPr="00EA5EBE">
        <w:t> (London: Routledge, 1990)</w:t>
      </w:r>
      <w:r>
        <w:t>, 80.</w:t>
      </w:r>
    </w:p>
  </w:footnote>
  <w:footnote w:id="2">
    <w:p w14:paraId="03857958" w14:textId="26DDC857" w:rsidR="00EA5EBE" w:rsidRDefault="00EA5EBE">
      <w:pPr>
        <w:pStyle w:val="FootnoteText"/>
      </w:pPr>
      <w:r>
        <w:rPr>
          <w:rStyle w:val="FootnoteReference"/>
        </w:rPr>
        <w:footnoteRef/>
      </w:r>
      <w:r>
        <w:t xml:space="preserve">Abu </w:t>
      </w:r>
      <w:proofErr w:type="spellStart"/>
      <w:r>
        <w:t>Dawud</w:t>
      </w:r>
      <w:proofErr w:type="spellEnd"/>
      <w:r>
        <w:t xml:space="preserve">, Book 35, Number 4240:  </w:t>
      </w:r>
      <w:r w:rsidRPr="00EA5EBE">
        <w:t>http://cmje.usc.edu/religious-texts/hadith/abudawud/035-sat.php#035.4240</w:t>
      </w:r>
    </w:p>
  </w:footnote>
  <w:footnote w:id="3">
    <w:p w14:paraId="237C1302" w14:textId="374237EC" w:rsidR="00EA5EBE" w:rsidRDefault="00EA5E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504525242"/>
      <w:r>
        <w:t>H.A.R Gibb, The Hutchinson Encyclopaedia of Living Faiths (Century Hutchinson, 1988), 190.</w:t>
      </w:r>
      <w:bookmarkEnd w:id="8"/>
      <w:r>
        <w:t xml:space="preserve"> </w:t>
      </w:r>
    </w:p>
  </w:footnote>
  <w:footnote w:id="4">
    <w:p w14:paraId="182001BB" w14:textId="7CD53351" w:rsidR="00E4517E" w:rsidRDefault="00E451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504260140"/>
      <w:r w:rsidRPr="00E4517E">
        <w:t>M. Izzi Dien, </w:t>
      </w:r>
      <w:r w:rsidRPr="00E4517E">
        <w:rPr>
          <w:i/>
          <w:iCs/>
        </w:rPr>
        <w:t>Islamic Law</w:t>
      </w:r>
      <w:bookmarkEnd w:id="12"/>
      <w:r w:rsidRPr="00E4517E">
        <w:rPr>
          <w:i/>
          <w:iCs/>
        </w:rPr>
        <w:t>: From Historical Foundations To Contemporary Practice</w:t>
      </w:r>
      <w:r w:rsidRPr="00E4517E">
        <w:t> (Edinburgh: Edinburgh University Press, 2004)</w:t>
      </w:r>
      <w:r>
        <w:t>, 5.</w:t>
      </w:r>
    </w:p>
  </w:footnote>
  <w:footnote w:id="5">
    <w:p w14:paraId="73FC9054" w14:textId="552E9255" w:rsidR="007F62CF" w:rsidRDefault="007F62CF">
      <w:pPr>
        <w:pStyle w:val="FootnoteText"/>
      </w:pPr>
      <w:r>
        <w:rPr>
          <w:rStyle w:val="FootnoteReference"/>
        </w:rPr>
        <w:footnoteRef/>
      </w:r>
      <w:r>
        <w:t xml:space="preserve"> Ibid, 44.</w:t>
      </w:r>
    </w:p>
  </w:footnote>
  <w:footnote w:id="6">
    <w:p w14:paraId="73CC4C4C" w14:textId="46428D43" w:rsidR="007F62CF" w:rsidRDefault="007F62CF">
      <w:pPr>
        <w:pStyle w:val="FootnoteText"/>
      </w:pPr>
      <w:r>
        <w:rPr>
          <w:rStyle w:val="FootnoteReference"/>
        </w:rPr>
        <w:footnoteRef/>
      </w:r>
      <w:r>
        <w:t xml:space="preserve"> Ibid 46.</w:t>
      </w:r>
    </w:p>
  </w:footnote>
  <w:footnote w:id="7">
    <w:p w14:paraId="34E87D02" w14:textId="621FE47D" w:rsidR="007F62CF" w:rsidRDefault="007F62CF">
      <w:pPr>
        <w:pStyle w:val="FootnoteText"/>
      </w:pPr>
      <w:r>
        <w:rPr>
          <w:rStyle w:val="FootnoteReference"/>
        </w:rPr>
        <w:footnoteRef/>
      </w:r>
      <w:r>
        <w:t xml:space="preserve"> Ibid, 43. (</w:t>
      </w:r>
      <w:proofErr w:type="spellStart"/>
      <w:r>
        <w:t>dien</w:t>
      </w:r>
      <w:proofErr w:type="spellEnd"/>
      <w:r>
        <w:t>)</w:t>
      </w:r>
    </w:p>
  </w:footnote>
  <w:footnote w:id="8">
    <w:p w14:paraId="598DCE5D" w14:textId="6BE97902" w:rsidR="00211135" w:rsidRDefault="00211135" w:rsidP="002111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0C41">
        <w:t>*</w:t>
      </w:r>
      <w:r w:rsidRPr="00537B05">
        <w:t>Kamali, Mohammad Hashim. "Law and Society." In </w:t>
      </w:r>
      <w:r w:rsidRPr="00537B05">
        <w:rPr>
          <w:i/>
          <w:iCs/>
        </w:rPr>
        <w:t>The Oxford History of Islam</w:t>
      </w:r>
      <w:r w:rsidRPr="00537B05">
        <w:t>., edited by John L. Esposito. </w:t>
      </w:r>
      <w:r w:rsidRPr="00537B05">
        <w:rPr>
          <w:i/>
          <w:iCs/>
        </w:rPr>
        <w:t>Oxford Islamic Studies Online</w:t>
      </w:r>
      <w:r w:rsidRPr="00537B05">
        <w:t>, http://www.oxfordislamicstudies.com/article/book/islam-9780195107999/islam-9780195107999-div1-20 (accessed 04-Dec-2017).</w:t>
      </w:r>
    </w:p>
  </w:footnote>
  <w:footnote w:id="9">
    <w:p w14:paraId="611297D2" w14:textId="77777777" w:rsidR="00211135" w:rsidRDefault="00211135" w:rsidP="002111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6103">
        <w:t>Colin Chapman, </w:t>
      </w:r>
      <w:r w:rsidRPr="00D66103">
        <w:rPr>
          <w:i/>
          <w:iCs/>
        </w:rPr>
        <w:t>Cross And Crescent</w:t>
      </w:r>
      <w:r w:rsidRPr="00D66103">
        <w:t> (Westmont: InterVarsity Press, 2012)</w:t>
      </w:r>
      <w:r>
        <w:t>, 109.</w:t>
      </w:r>
    </w:p>
  </w:footnote>
  <w:footnote w:id="10">
    <w:p w14:paraId="6165F52F" w14:textId="77777777" w:rsidR="00211135" w:rsidRDefault="00211135" w:rsidP="002111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0D06">
        <w:t>Jonathan Brown, </w:t>
      </w:r>
      <w:r w:rsidRPr="00AA0D06">
        <w:rPr>
          <w:i/>
          <w:iCs/>
        </w:rPr>
        <w:t>Misquoting Muhammad</w:t>
      </w:r>
      <w:r w:rsidRPr="00AA0D06">
        <w:t> (London: Oneworld Publications, 2014)</w:t>
      </w:r>
      <w:r>
        <w:t>, 32.</w:t>
      </w:r>
    </w:p>
  </w:footnote>
  <w:footnote w:id="11">
    <w:p w14:paraId="30B60A06" w14:textId="59E56F16" w:rsidR="00211135" w:rsidRDefault="002111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11135">
        <w:t>M. Izzi Dien, </w:t>
      </w:r>
      <w:r w:rsidRPr="00211135">
        <w:rPr>
          <w:i/>
          <w:iCs/>
        </w:rPr>
        <w:t>Islamic Law</w:t>
      </w:r>
      <w:r>
        <w:rPr>
          <w:i/>
          <w:iCs/>
        </w:rPr>
        <w:t>, 47.</w:t>
      </w:r>
    </w:p>
  </w:footnote>
  <w:footnote w:id="12">
    <w:p w14:paraId="1278EE02" w14:textId="26DC42FD" w:rsidR="00211135" w:rsidRDefault="00211135">
      <w:pPr>
        <w:pStyle w:val="FootnoteText"/>
      </w:pPr>
      <w:r>
        <w:rPr>
          <w:rStyle w:val="FootnoteReference"/>
        </w:rPr>
        <w:footnoteRef/>
      </w:r>
      <w:r>
        <w:t xml:space="preserve"> Ibid, 48 (</w:t>
      </w:r>
      <w:proofErr w:type="spellStart"/>
      <w:r>
        <w:t>dien</w:t>
      </w:r>
      <w:proofErr w:type="spellEnd"/>
      <w:r>
        <w:t>)</w:t>
      </w:r>
    </w:p>
  </w:footnote>
  <w:footnote w:id="13">
    <w:p w14:paraId="0547596A" w14:textId="1B7C1DC6" w:rsidR="000C09AF" w:rsidRDefault="000C09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60FE7">
        <w:t>Gary R Bunt,</w:t>
      </w:r>
      <w:r>
        <w:t xml:space="preserve"> </w:t>
      </w:r>
      <w:proofErr w:type="spellStart"/>
      <w:r w:rsidRPr="005B05FA">
        <w:rPr>
          <w:i/>
        </w:rPr>
        <w:t>i</w:t>
      </w:r>
      <w:r w:rsidRPr="00B60FE7">
        <w:rPr>
          <w:i/>
          <w:iCs/>
        </w:rPr>
        <w:t>Muslims</w:t>
      </w:r>
      <w:proofErr w:type="spellEnd"/>
      <w:r w:rsidRPr="00B60FE7">
        <w:t> (London: Hurst, 2009)</w:t>
      </w:r>
      <w:r>
        <w:t>, 10.</w:t>
      </w:r>
    </w:p>
  </w:footnote>
  <w:footnote w:id="14">
    <w:p w14:paraId="04949041" w14:textId="4CD78A70" w:rsidR="000C09AF" w:rsidRDefault="000C09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C09AF">
        <w:t>Anver</w:t>
      </w:r>
      <w:proofErr w:type="spellEnd"/>
      <w:r w:rsidRPr="000C09AF">
        <w:t xml:space="preserve"> M </w:t>
      </w:r>
      <w:proofErr w:type="spellStart"/>
      <w:r w:rsidRPr="000C09AF">
        <w:t>Emon</w:t>
      </w:r>
      <w:proofErr w:type="spellEnd"/>
      <w:r w:rsidRPr="000C09AF">
        <w:t>, Religious Pluralism In Islamic Law (Oxford: Oxford University Press, 2012)</w:t>
      </w:r>
      <w:r>
        <w:t>, 206.</w:t>
      </w:r>
    </w:p>
  </w:footnote>
  <w:footnote w:id="15">
    <w:p w14:paraId="3C2A7570" w14:textId="3C18031A" w:rsidR="000C09AF" w:rsidRDefault="000C09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C09AF">
        <w:t>Daniel W Brown, </w:t>
      </w:r>
      <w:r w:rsidRPr="000C09AF">
        <w:rPr>
          <w:i/>
          <w:iCs/>
        </w:rPr>
        <w:t>A New Introduction To Islam</w:t>
      </w:r>
      <w:r w:rsidRPr="000C09AF">
        <w:t>, 3rd ed. (Oxford: Wiley Blackwell, 2017)</w:t>
      </w:r>
      <w:r>
        <w:t>, 306.</w:t>
      </w:r>
    </w:p>
  </w:footnote>
  <w:footnote w:id="16">
    <w:p w14:paraId="6FDE8CD6" w14:textId="1A86D692" w:rsidR="00D0629C" w:rsidRDefault="00D062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0629C">
        <w:t>Clinton Bennett, </w:t>
      </w:r>
      <w:r w:rsidRPr="00D0629C">
        <w:rPr>
          <w:i/>
          <w:iCs/>
        </w:rPr>
        <w:t>Muslims And Modernity</w:t>
      </w:r>
      <w:r w:rsidRPr="00D0629C">
        <w:t> (London [u.a.]: Continuum, 2005)</w:t>
      </w:r>
      <w:r>
        <w:t>, 118-119.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Q0MDUwNjU1NzQ1MLdQ0lEKTi0uzszPAykwqQUAHdOHmSwAAAA="/>
  </w:docVars>
  <w:rsids>
    <w:rsidRoot w:val="00EA5EBE"/>
    <w:rsid w:val="00001070"/>
    <w:rsid w:val="000C0889"/>
    <w:rsid w:val="000C09AF"/>
    <w:rsid w:val="001114E5"/>
    <w:rsid w:val="00211135"/>
    <w:rsid w:val="002A32F1"/>
    <w:rsid w:val="003E0C41"/>
    <w:rsid w:val="00424414"/>
    <w:rsid w:val="00455DE3"/>
    <w:rsid w:val="004C0D3E"/>
    <w:rsid w:val="004C4DE5"/>
    <w:rsid w:val="005D07CD"/>
    <w:rsid w:val="005F6E60"/>
    <w:rsid w:val="006C5512"/>
    <w:rsid w:val="006E6D3E"/>
    <w:rsid w:val="007953C1"/>
    <w:rsid w:val="007F62CF"/>
    <w:rsid w:val="00880302"/>
    <w:rsid w:val="009C13CE"/>
    <w:rsid w:val="00A611EE"/>
    <w:rsid w:val="00AD36B9"/>
    <w:rsid w:val="00AD6D81"/>
    <w:rsid w:val="00BA4596"/>
    <w:rsid w:val="00C912BD"/>
    <w:rsid w:val="00D0629C"/>
    <w:rsid w:val="00DA0798"/>
    <w:rsid w:val="00DA65CF"/>
    <w:rsid w:val="00DB6854"/>
    <w:rsid w:val="00E4517E"/>
    <w:rsid w:val="00E76452"/>
    <w:rsid w:val="00EA5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1C02C"/>
  <w15:chartTrackingRefBased/>
  <w15:docId w15:val="{4BFBF20A-BBF0-48B1-97CE-9B6FC7BB9B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5EBE"/>
  </w:style>
  <w:style w:type="paragraph" w:styleId="Heading1">
    <w:name w:val="heading 1"/>
    <w:basedOn w:val="Normal"/>
    <w:next w:val="Normal"/>
    <w:link w:val="Heading1Char"/>
    <w:uiPriority w:val="9"/>
    <w:qFormat/>
    <w:rsid w:val="007F62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0C4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A5EB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A5EB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A5EBE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7F62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53C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53C1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0C4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631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1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2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5C25C0-5916-448C-ADB0-A8A1903F2E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568</TotalTime>
  <Pages>5</Pages>
  <Words>771</Words>
  <Characters>4400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Johnson</dc:creator>
  <cp:keywords/>
  <dc:description/>
  <cp:lastModifiedBy>Daniel Johnson</cp:lastModifiedBy>
  <cp:revision>19</cp:revision>
  <cp:lastPrinted>2018-01-24T02:22:00Z</cp:lastPrinted>
  <dcterms:created xsi:type="dcterms:W3CDTF">2018-01-20T18:02:00Z</dcterms:created>
  <dcterms:modified xsi:type="dcterms:W3CDTF">2018-01-24T16:18:00Z</dcterms:modified>
</cp:coreProperties>
</file>