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D15379" w14:textId="1654DC83" w:rsidR="00C57B96" w:rsidRPr="005A5322" w:rsidRDefault="006372A8">
      <w:pPr>
        <w:rPr>
          <w:sz w:val="24"/>
          <w:szCs w:val="24"/>
        </w:rPr>
      </w:pPr>
      <w:r w:rsidRPr="005A5322">
        <w:rPr>
          <w:sz w:val="24"/>
          <w:szCs w:val="24"/>
        </w:rPr>
        <w:t>References</w:t>
      </w:r>
    </w:p>
    <w:p w14:paraId="42640863" w14:textId="77777777" w:rsidR="00C57B96" w:rsidRPr="005A5322" w:rsidRDefault="00C57B96">
      <w:pPr>
        <w:rPr>
          <w:sz w:val="24"/>
          <w:szCs w:val="24"/>
        </w:rPr>
      </w:pPr>
    </w:p>
    <w:p w14:paraId="59E37EDE" w14:textId="307C4108" w:rsidR="00C57B96" w:rsidRPr="005A5322" w:rsidRDefault="00C57B96">
      <w:pPr>
        <w:rPr>
          <w:rFonts w:cs="Arial"/>
          <w:sz w:val="24"/>
          <w:szCs w:val="24"/>
          <w:shd w:val="clear" w:color="auto" w:fill="FFFFFF"/>
        </w:rPr>
      </w:pPr>
      <w:r w:rsidRPr="005A5322">
        <w:rPr>
          <w:rFonts w:cs="Arial"/>
          <w:sz w:val="24"/>
          <w:szCs w:val="24"/>
          <w:shd w:val="clear" w:color="auto" w:fill="FFFFFF"/>
        </w:rPr>
        <w:t>Borders, J.C., Blanke, S., Johnson, S., Gilmore-</w:t>
      </w:r>
      <w:proofErr w:type="spellStart"/>
      <w:r w:rsidRPr="005A5322">
        <w:rPr>
          <w:rFonts w:cs="Arial"/>
          <w:sz w:val="24"/>
          <w:szCs w:val="24"/>
          <w:shd w:val="clear" w:color="auto" w:fill="FFFFFF"/>
        </w:rPr>
        <w:t>Bykovskyi</w:t>
      </w:r>
      <w:proofErr w:type="spellEnd"/>
      <w:r w:rsidRPr="005A5322">
        <w:rPr>
          <w:rFonts w:cs="Arial"/>
          <w:sz w:val="24"/>
          <w:szCs w:val="24"/>
          <w:shd w:val="clear" w:color="auto" w:fill="FFFFFF"/>
        </w:rPr>
        <w:t>, A. and Rogus-</w:t>
      </w:r>
      <w:proofErr w:type="spellStart"/>
      <w:r w:rsidRPr="005A5322">
        <w:rPr>
          <w:rFonts w:cs="Arial"/>
          <w:sz w:val="24"/>
          <w:szCs w:val="24"/>
          <w:shd w:val="clear" w:color="auto" w:fill="FFFFFF"/>
        </w:rPr>
        <w:t>Pulia</w:t>
      </w:r>
      <w:proofErr w:type="spellEnd"/>
      <w:r w:rsidRPr="005A5322">
        <w:rPr>
          <w:rFonts w:cs="Arial"/>
          <w:sz w:val="24"/>
          <w:szCs w:val="24"/>
          <w:shd w:val="clear" w:color="auto" w:fill="FFFFFF"/>
        </w:rPr>
        <w:t>, N., 2020. Efficacy of mealtime interventions for malnutrition and oral intake in persons with dementia: a systematic review. </w:t>
      </w:r>
      <w:r w:rsidRPr="005A5322">
        <w:rPr>
          <w:rFonts w:cs="Arial"/>
          <w:i/>
          <w:iCs/>
          <w:sz w:val="24"/>
          <w:szCs w:val="24"/>
          <w:shd w:val="clear" w:color="auto" w:fill="FFFFFF"/>
        </w:rPr>
        <w:t>Alzheimer Disease &amp; Associated Disorders</w:t>
      </w:r>
      <w:r w:rsidRPr="005A5322">
        <w:rPr>
          <w:rFonts w:cs="Arial"/>
          <w:sz w:val="24"/>
          <w:szCs w:val="24"/>
          <w:shd w:val="clear" w:color="auto" w:fill="FFFFFF"/>
        </w:rPr>
        <w:t>, </w:t>
      </w:r>
      <w:r w:rsidRPr="005A5322">
        <w:rPr>
          <w:rFonts w:cs="Arial"/>
          <w:i/>
          <w:iCs/>
          <w:sz w:val="24"/>
          <w:szCs w:val="24"/>
          <w:shd w:val="clear" w:color="auto" w:fill="FFFFFF"/>
        </w:rPr>
        <w:t>34</w:t>
      </w:r>
      <w:r w:rsidRPr="005A5322">
        <w:rPr>
          <w:rFonts w:cs="Arial"/>
          <w:sz w:val="24"/>
          <w:szCs w:val="24"/>
          <w:shd w:val="clear" w:color="auto" w:fill="FFFFFF"/>
        </w:rPr>
        <w:t>(4), pp.366-379.</w:t>
      </w:r>
    </w:p>
    <w:p w14:paraId="5C34F65A" w14:textId="77777777" w:rsidR="005A5322" w:rsidRPr="005A5322" w:rsidRDefault="005A5322">
      <w:pPr>
        <w:rPr>
          <w:rFonts w:cs="Arial"/>
          <w:sz w:val="24"/>
          <w:szCs w:val="24"/>
          <w:shd w:val="clear" w:color="auto" w:fill="FFFFFF"/>
        </w:rPr>
      </w:pPr>
    </w:p>
    <w:p w14:paraId="6225501A" w14:textId="77777777" w:rsidR="00F20990" w:rsidRPr="005A5322" w:rsidRDefault="00F20990">
      <w:pPr>
        <w:rPr>
          <w:rFonts w:cs="Arial"/>
          <w:sz w:val="24"/>
          <w:szCs w:val="24"/>
          <w:shd w:val="clear" w:color="auto" w:fill="FFFFFF"/>
        </w:rPr>
      </w:pPr>
    </w:p>
    <w:p w14:paraId="638FB7C1" w14:textId="6F7ECF10" w:rsidR="00F20990" w:rsidRPr="005A5322" w:rsidRDefault="00F20990">
      <w:pPr>
        <w:rPr>
          <w:rFonts w:cs="Arial"/>
          <w:sz w:val="24"/>
          <w:szCs w:val="24"/>
          <w:shd w:val="clear" w:color="auto" w:fill="FFFFFF"/>
        </w:rPr>
      </w:pPr>
      <w:r w:rsidRPr="005A5322">
        <w:rPr>
          <w:sz w:val="24"/>
          <w:szCs w:val="24"/>
          <w:shd w:val="clear" w:color="auto" w:fill="FFFFFF"/>
        </w:rPr>
        <w:t>Bowler, C. </w:t>
      </w:r>
      <w:r w:rsidR="003B624D" w:rsidRPr="005A5322">
        <w:rPr>
          <w:sz w:val="24"/>
          <w:szCs w:val="24"/>
          <w:shd w:val="clear" w:color="auto" w:fill="FFFFFF"/>
        </w:rPr>
        <w:t> Moriarty, E</w:t>
      </w:r>
      <w:r w:rsidR="004359D0" w:rsidRPr="005A5322">
        <w:rPr>
          <w:sz w:val="24"/>
          <w:szCs w:val="24"/>
          <w:shd w:val="clear" w:color="auto" w:fill="FFFFFF"/>
        </w:rPr>
        <w:t>.</w:t>
      </w:r>
      <w:r w:rsidR="003B624D" w:rsidRPr="005A5322">
        <w:rPr>
          <w:sz w:val="24"/>
          <w:szCs w:val="24"/>
          <w:shd w:val="clear" w:color="auto" w:fill="FFFFFF"/>
        </w:rPr>
        <w:t xml:space="preserve"> Chawner, M</w:t>
      </w:r>
      <w:r w:rsidR="004359D0" w:rsidRPr="005A5322">
        <w:rPr>
          <w:sz w:val="24"/>
          <w:szCs w:val="24"/>
          <w:shd w:val="clear" w:color="auto" w:fill="FFFFFF"/>
        </w:rPr>
        <w:t>.</w:t>
      </w:r>
      <w:r w:rsidR="003B624D" w:rsidRPr="005A5322">
        <w:rPr>
          <w:sz w:val="24"/>
          <w:szCs w:val="24"/>
          <w:shd w:val="clear" w:color="auto" w:fill="FFFFFF"/>
        </w:rPr>
        <w:t xml:space="preserve"> Clegg, A</w:t>
      </w:r>
      <w:r w:rsidR="004359D0" w:rsidRPr="005A5322">
        <w:rPr>
          <w:sz w:val="24"/>
          <w:szCs w:val="24"/>
          <w:shd w:val="clear" w:color="auto" w:fill="FFFFFF"/>
        </w:rPr>
        <w:t>.</w:t>
      </w:r>
      <w:r w:rsidR="003B624D" w:rsidRPr="005A5322">
        <w:rPr>
          <w:sz w:val="24"/>
          <w:szCs w:val="24"/>
          <w:shd w:val="clear" w:color="auto" w:fill="FFFFFF"/>
        </w:rPr>
        <w:t xml:space="preserve"> De Biase, S</w:t>
      </w:r>
      <w:r w:rsidR="004359D0" w:rsidRPr="005A5322">
        <w:rPr>
          <w:sz w:val="24"/>
          <w:szCs w:val="24"/>
          <w:shd w:val="clear" w:color="auto" w:fill="FFFFFF"/>
        </w:rPr>
        <w:t>.</w:t>
      </w:r>
      <w:r w:rsidR="003B624D" w:rsidRPr="005A5322">
        <w:rPr>
          <w:sz w:val="24"/>
          <w:szCs w:val="24"/>
          <w:shd w:val="clear" w:color="auto" w:fill="FFFFFF"/>
        </w:rPr>
        <w:t xml:space="preserve"> Offord, N</w:t>
      </w:r>
      <w:r w:rsidR="004359D0" w:rsidRPr="005A5322">
        <w:rPr>
          <w:sz w:val="24"/>
          <w:szCs w:val="24"/>
          <w:shd w:val="clear" w:color="auto" w:fill="FFFFFF"/>
        </w:rPr>
        <w:t>.</w:t>
      </w:r>
      <w:r w:rsidR="003B624D" w:rsidRPr="005A5322">
        <w:rPr>
          <w:sz w:val="24"/>
          <w:szCs w:val="24"/>
          <w:shd w:val="clear" w:color="auto" w:fill="FFFFFF"/>
        </w:rPr>
        <w:t xml:space="preserve"> Romano, V</w:t>
      </w:r>
      <w:r w:rsidR="004359D0" w:rsidRPr="005A5322">
        <w:rPr>
          <w:sz w:val="24"/>
          <w:szCs w:val="24"/>
          <w:shd w:val="clear" w:color="auto" w:fill="FFFFFF"/>
        </w:rPr>
        <w:t>.</w:t>
      </w:r>
      <w:r w:rsidR="003B624D" w:rsidRPr="005A5322">
        <w:rPr>
          <w:sz w:val="24"/>
          <w:szCs w:val="24"/>
          <w:shd w:val="clear" w:color="auto" w:fill="FFFFFF"/>
        </w:rPr>
        <w:t xml:space="preserve"> Sayer, A.A</w:t>
      </w:r>
      <w:r w:rsidR="004359D0" w:rsidRPr="005A5322">
        <w:rPr>
          <w:sz w:val="24"/>
          <w:szCs w:val="24"/>
          <w:shd w:val="clear" w:color="auto" w:fill="FFFFFF"/>
        </w:rPr>
        <w:t>.</w:t>
      </w:r>
      <w:r w:rsidR="003B624D" w:rsidRPr="005A5322">
        <w:rPr>
          <w:sz w:val="24"/>
          <w:szCs w:val="24"/>
          <w:shd w:val="clear" w:color="auto" w:fill="FFFFFF"/>
        </w:rPr>
        <w:t xml:space="preserve"> Smith, A</w:t>
      </w:r>
      <w:r w:rsidR="004359D0" w:rsidRPr="005A5322">
        <w:rPr>
          <w:sz w:val="24"/>
          <w:szCs w:val="24"/>
          <w:shd w:val="clear" w:color="auto" w:fill="FFFFFF"/>
        </w:rPr>
        <w:t xml:space="preserve">. </w:t>
      </w:r>
      <w:r w:rsidR="003B624D" w:rsidRPr="005A5322">
        <w:rPr>
          <w:sz w:val="24"/>
          <w:szCs w:val="24"/>
          <w:shd w:val="clear" w:color="auto" w:fill="FFFFFF"/>
        </w:rPr>
        <w:t>Todd, O</w:t>
      </w:r>
      <w:r w:rsidR="004359D0" w:rsidRPr="005A5322">
        <w:rPr>
          <w:sz w:val="24"/>
          <w:szCs w:val="24"/>
          <w:shd w:val="clear" w:color="auto" w:fill="FFFFFF"/>
        </w:rPr>
        <w:t>.</w:t>
      </w:r>
      <w:r w:rsidR="003B624D" w:rsidRPr="005A5322">
        <w:rPr>
          <w:sz w:val="24"/>
          <w:szCs w:val="24"/>
          <w:shd w:val="clear" w:color="auto" w:fill="FFFFFF"/>
        </w:rPr>
        <w:t xml:space="preserve"> Witham, M.</w:t>
      </w:r>
      <w:r w:rsidR="005A5322" w:rsidRPr="005A5322">
        <w:rPr>
          <w:sz w:val="24"/>
          <w:szCs w:val="24"/>
          <w:shd w:val="clear" w:color="auto" w:fill="FFFFFF"/>
        </w:rPr>
        <w:t xml:space="preserve">D </w:t>
      </w:r>
      <w:r w:rsidRPr="005A5322">
        <w:rPr>
          <w:sz w:val="24"/>
          <w:szCs w:val="24"/>
          <w:shd w:val="clear" w:color="auto" w:fill="FFFFFF"/>
        </w:rPr>
        <w:t>(2024) ‘Nutritional Screening, Initial Management and Referral for Older People with Sarcopenia or Frailty - Results from a UK-Wide Survey’. Available at: https://doi.org/10.22540/jfsf-09-131.</w:t>
      </w:r>
    </w:p>
    <w:p w14:paraId="7C511984" w14:textId="77777777" w:rsidR="00F20990" w:rsidRPr="005A5322" w:rsidRDefault="00F20990">
      <w:pPr>
        <w:rPr>
          <w:sz w:val="24"/>
          <w:szCs w:val="24"/>
        </w:rPr>
      </w:pPr>
    </w:p>
    <w:p w14:paraId="5BFB6C76" w14:textId="77777777" w:rsidR="00C57B96" w:rsidRPr="005A5322" w:rsidRDefault="00C57B96">
      <w:pPr>
        <w:rPr>
          <w:sz w:val="24"/>
          <w:szCs w:val="24"/>
        </w:rPr>
      </w:pPr>
    </w:p>
    <w:p w14:paraId="74FEDE75" w14:textId="7F5534DD" w:rsidR="00BC418E" w:rsidRPr="005A5322" w:rsidRDefault="00BC418E">
      <w:pPr>
        <w:rPr>
          <w:sz w:val="24"/>
          <w:szCs w:val="24"/>
        </w:rPr>
      </w:pPr>
      <w:r w:rsidRPr="005A5322">
        <w:rPr>
          <w:sz w:val="24"/>
          <w:szCs w:val="24"/>
          <w:shd w:val="clear" w:color="auto" w:fill="FFFFFF"/>
        </w:rPr>
        <w:t>Constantinou, C.</w:t>
      </w:r>
      <w:r w:rsidRPr="005A5322">
        <w:rPr>
          <w:sz w:val="24"/>
          <w:szCs w:val="24"/>
          <w:shd w:val="clear" w:color="auto" w:fill="FFFFFF"/>
        </w:rPr>
        <w:t xml:space="preserve"> </w:t>
      </w:r>
      <w:r w:rsidRPr="005A5322">
        <w:rPr>
          <w:sz w:val="24"/>
          <w:szCs w:val="24"/>
          <w:shd w:val="clear" w:color="auto" w:fill="FFFFFF"/>
        </w:rPr>
        <w:t>Jefford, J</w:t>
      </w:r>
      <w:r w:rsidRPr="005A5322">
        <w:rPr>
          <w:sz w:val="24"/>
          <w:szCs w:val="24"/>
          <w:shd w:val="clear" w:color="auto" w:fill="FFFFFF"/>
        </w:rPr>
        <w:t>.</w:t>
      </w:r>
      <w:r w:rsidRPr="005A5322">
        <w:rPr>
          <w:sz w:val="24"/>
          <w:szCs w:val="24"/>
          <w:shd w:val="clear" w:color="auto" w:fill="FFFFFF"/>
        </w:rPr>
        <w:t xml:space="preserve"> </w:t>
      </w:r>
      <w:proofErr w:type="spellStart"/>
      <w:r w:rsidRPr="005A5322">
        <w:rPr>
          <w:sz w:val="24"/>
          <w:szCs w:val="24"/>
          <w:shd w:val="clear" w:color="auto" w:fill="FFFFFF"/>
        </w:rPr>
        <w:t>Zygo</w:t>
      </w:r>
      <w:proofErr w:type="spellEnd"/>
      <w:r w:rsidRPr="005A5322">
        <w:rPr>
          <w:sz w:val="24"/>
          <w:szCs w:val="24"/>
          <w:shd w:val="clear" w:color="auto" w:fill="FFFFFF"/>
        </w:rPr>
        <w:t>, M</w:t>
      </w:r>
      <w:r w:rsidRPr="005A5322">
        <w:rPr>
          <w:sz w:val="24"/>
          <w:szCs w:val="24"/>
          <w:shd w:val="clear" w:color="auto" w:fill="FFFFFF"/>
        </w:rPr>
        <w:t>.</w:t>
      </w:r>
      <w:r w:rsidRPr="005A5322">
        <w:rPr>
          <w:sz w:val="24"/>
          <w:szCs w:val="24"/>
          <w:shd w:val="clear" w:color="auto" w:fill="FFFFFF"/>
        </w:rPr>
        <w:t xml:space="preserve"> White, J</w:t>
      </w:r>
      <w:r w:rsidRPr="005A5322">
        <w:rPr>
          <w:sz w:val="24"/>
          <w:szCs w:val="24"/>
          <w:shd w:val="clear" w:color="auto" w:fill="FFFFFF"/>
        </w:rPr>
        <w:t>.</w:t>
      </w:r>
      <w:r w:rsidRPr="005A5322">
        <w:rPr>
          <w:sz w:val="24"/>
          <w:szCs w:val="24"/>
          <w:shd w:val="clear" w:color="auto" w:fill="FFFFFF"/>
        </w:rPr>
        <w:t xml:space="preserve"> Dale, M</w:t>
      </w:r>
      <w:r w:rsidRPr="005A5322">
        <w:rPr>
          <w:sz w:val="24"/>
          <w:szCs w:val="24"/>
          <w:shd w:val="clear" w:color="auto" w:fill="FFFFFF"/>
        </w:rPr>
        <w:t>.</w:t>
      </w:r>
      <w:r w:rsidRPr="005A5322">
        <w:rPr>
          <w:sz w:val="24"/>
          <w:szCs w:val="24"/>
          <w:shd w:val="clear" w:color="auto" w:fill="FFFFFF"/>
        </w:rPr>
        <w:t xml:space="preserve"> Morris, R</w:t>
      </w:r>
      <w:r w:rsidRPr="005A5322">
        <w:rPr>
          <w:sz w:val="24"/>
          <w:szCs w:val="24"/>
          <w:shd w:val="clear" w:color="auto" w:fill="FFFFFF"/>
        </w:rPr>
        <w:t>.</w:t>
      </w:r>
      <w:r w:rsidRPr="005A5322">
        <w:rPr>
          <w:sz w:val="24"/>
          <w:szCs w:val="24"/>
          <w:shd w:val="clear" w:color="auto" w:fill="FFFFFF"/>
        </w:rPr>
        <w:t xml:space="preserve"> Jenkins, J</w:t>
      </w:r>
      <w:r w:rsidRPr="005A5322">
        <w:rPr>
          <w:i/>
          <w:iCs/>
          <w:sz w:val="24"/>
          <w:szCs w:val="24"/>
          <w:shd w:val="clear" w:color="auto" w:fill="FFFFFF"/>
        </w:rPr>
        <w:t>.</w:t>
      </w:r>
      <w:r w:rsidRPr="005A5322">
        <w:rPr>
          <w:sz w:val="24"/>
          <w:szCs w:val="24"/>
          <w:shd w:val="clear" w:color="auto" w:fill="FFFFFF"/>
        </w:rPr>
        <w:t> (2024) ‘Assessing the nutritional status and impact of a series of nutritional interventions on elderly inpatients using bioelectrical impedance analysis: A service evaluation’, </w:t>
      </w:r>
      <w:r w:rsidRPr="005A5322">
        <w:rPr>
          <w:i/>
          <w:iCs/>
          <w:sz w:val="24"/>
          <w:szCs w:val="24"/>
          <w:shd w:val="clear" w:color="auto" w:fill="FFFFFF"/>
        </w:rPr>
        <w:t>Journal of human nutrition and dietetics</w:t>
      </w:r>
      <w:r w:rsidRPr="005A5322">
        <w:rPr>
          <w:sz w:val="24"/>
          <w:szCs w:val="24"/>
          <w:shd w:val="clear" w:color="auto" w:fill="FFFFFF"/>
        </w:rPr>
        <w:t>, 37(5), pp. 1197–1208. Available at: https://doi.org/10.1111/jhn.13352.</w:t>
      </w:r>
    </w:p>
    <w:p w14:paraId="260440FB" w14:textId="77777777" w:rsidR="00BC418E" w:rsidRPr="005A5322" w:rsidRDefault="00BC418E">
      <w:pPr>
        <w:rPr>
          <w:sz w:val="24"/>
          <w:szCs w:val="24"/>
        </w:rPr>
      </w:pPr>
    </w:p>
    <w:p w14:paraId="397F3EBE" w14:textId="77777777" w:rsidR="00C57B96" w:rsidRPr="005A5322" w:rsidRDefault="00C57B96">
      <w:pPr>
        <w:rPr>
          <w:sz w:val="24"/>
          <w:szCs w:val="24"/>
        </w:rPr>
      </w:pPr>
    </w:p>
    <w:p w14:paraId="6F1F408E" w14:textId="1A008F00" w:rsidR="00C57B96" w:rsidRPr="005A5322" w:rsidRDefault="00C57B96">
      <w:pPr>
        <w:rPr>
          <w:sz w:val="24"/>
          <w:szCs w:val="24"/>
        </w:rPr>
      </w:pPr>
      <w:r w:rsidRPr="005A5322">
        <w:rPr>
          <w:sz w:val="24"/>
          <w:szCs w:val="24"/>
          <w:shd w:val="clear" w:color="auto" w:fill="FFFFFF"/>
        </w:rPr>
        <w:t xml:space="preserve">Schwartz, D.B., </w:t>
      </w:r>
      <w:proofErr w:type="spellStart"/>
      <w:r w:rsidRPr="005A5322">
        <w:rPr>
          <w:sz w:val="24"/>
          <w:szCs w:val="24"/>
          <w:shd w:val="clear" w:color="auto" w:fill="FFFFFF"/>
        </w:rPr>
        <w:t>Posthauer</w:t>
      </w:r>
      <w:proofErr w:type="spellEnd"/>
      <w:r w:rsidRPr="005A5322">
        <w:rPr>
          <w:sz w:val="24"/>
          <w:szCs w:val="24"/>
          <w:shd w:val="clear" w:color="auto" w:fill="FFFFFF"/>
        </w:rPr>
        <w:t xml:space="preserve">, M.E. and O’Sullivan Maillet, J. (2021) ‘Advancing Nutrition and Dietetics Practice: Dealing </w:t>
      </w:r>
      <w:proofErr w:type="gramStart"/>
      <w:r w:rsidRPr="005A5322">
        <w:rPr>
          <w:sz w:val="24"/>
          <w:szCs w:val="24"/>
          <w:shd w:val="clear" w:color="auto" w:fill="FFFFFF"/>
        </w:rPr>
        <w:t>With</w:t>
      </w:r>
      <w:proofErr w:type="gramEnd"/>
      <w:r w:rsidRPr="005A5322">
        <w:rPr>
          <w:sz w:val="24"/>
          <w:szCs w:val="24"/>
          <w:shd w:val="clear" w:color="auto" w:fill="FFFFFF"/>
        </w:rPr>
        <w:t xml:space="preserve"> Ethical Issues of Nutrition and Hydration’, </w:t>
      </w:r>
      <w:r w:rsidRPr="005A5322">
        <w:rPr>
          <w:i/>
          <w:iCs/>
          <w:sz w:val="24"/>
          <w:szCs w:val="24"/>
          <w:shd w:val="clear" w:color="auto" w:fill="FFFFFF"/>
        </w:rPr>
        <w:t>Journal of the Academy of Nutrition and Dietetics</w:t>
      </w:r>
      <w:r w:rsidRPr="005A5322">
        <w:rPr>
          <w:sz w:val="24"/>
          <w:szCs w:val="24"/>
          <w:shd w:val="clear" w:color="auto" w:fill="FFFFFF"/>
        </w:rPr>
        <w:t>, 121(5), p. 823,831-830,831. Available at: https://doi.org/10.1016/j.jand.2020.07.028</w:t>
      </w:r>
    </w:p>
    <w:p w14:paraId="1ABF1280" w14:textId="77777777" w:rsidR="00C57B96" w:rsidRPr="005A5322" w:rsidRDefault="00C57B96">
      <w:pPr>
        <w:rPr>
          <w:sz w:val="24"/>
          <w:szCs w:val="24"/>
        </w:rPr>
      </w:pPr>
    </w:p>
    <w:p w14:paraId="622635FB" w14:textId="77777777" w:rsidR="006372A8" w:rsidRPr="005A5322" w:rsidRDefault="006372A8">
      <w:pPr>
        <w:rPr>
          <w:sz w:val="24"/>
          <w:szCs w:val="24"/>
        </w:rPr>
      </w:pPr>
    </w:p>
    <w:p w14:paraId="0380676B" w14:textId="7A37712F" w:rsidR="006372A8" w:rsidRDefault="006372A8">
      <w:pPr>
        <w:rPr>
          <w:sz w:val="24"/>
          <w:szCs w:val="24"/>
          <w:shd w:val="clear" w:color="auto" w:fill="FFFFFF"/>
        </w:rPr>
      </w:pPr>
      <w:r w:rsidRPr="005A5322">
        <w:rPr>
          <w:sz w:val="24"/>
          <w:szCs w:val="24"/>
          <w:shd w:val="clear" w:color="auto" w:fill="FFFFFF"/>
        </w:rPr>
        <w:t>Vo, R., Smith, M. and Patton, N. (2021) ‘The role of dietitian clinical judgement in the nutrition care process within the acute care setting: a qualitative study’, </w:t>
      </w:r>
      <w:r w:rsidRPr="005A5322">
        <w:rPr>
          <w:i/>
          <w:iCs/>
          <w:sz w:val="24"/>
          <w:szCs w:val="24"/>
          <w:shd w:val="clear" w:color="auto" w:fill="FFFFFF"/>
        </w:rPr>
        <w:t>Journal of human nutrition and dietetics</w:t>
      </w:r>
      <w:r w:rsidRPr="005A5322">
        <w:rPr>
          <w:sz w:val="24"/>
          <w:szCs w:val="24"/>
          <w:shd w:val="clear" w:color="auto" w:fill="FFFFFF"/>
        </w:rPr>
        <w:t xml:space="preserve">, 34(1), pp. 124–133. Available at: </w:t>
      </w:r>
      <w:hyperlink r:id="rId4" w:history="1">
        <w:r w:rsidR="006F56AA" w:rsidRPr="00F5591E">
          <w:rPr>
            <w:rStyle w:val="Hyperlink"/>
            <w:sz w:val="24"/>
            <w:szCs w:val="24"/>
            <w:shd w:val="clear" w:color="auto" w:fill="FFFFFF"/>
          </w:rPr>
          <w:t>https://doi.org/10.1111/jhn.12820</w:t>
        </w:r>
      </w:hyperlink>
      <w:r w:rsidRPr="005A5322">
        <w:rPr>
          <w:sz w:val="24"/>
          <w:szCs w:val="24"/>
          <w:shd w:val="clear" w:color="auto" w:fill="FFFFFF"/>
        </w:rPr>
        <w:t>.</w:t>
      </w:r>
    </w:p>
    <w:p w14:paraId="00CFA5A0" w14:textId="77777777" w:rsidR="006F56AA" w:rsidRPr="005A5322" w:rsidRDefault="006F56AA">
      <w:pPr>
        <w:rPr>
          <w:sz w:val="24"/>
          <w:szCs w:val="24"/>
        </w:rPr>
      </w:pPr>
    </w:p>
    <w:p w14:paraId="1BFE0223" w14:textId="77777777" w:rsidR="006372A8" w:rsidRPr="005A5322" w:rsidRDefault="006372A8">
      <w:pPr>
        <w:rPr>
          <w:sz w:val="24"/>
          <w:szCs w:val="24"/>
        </w:rPr>
      </w:pPr>
    </w:p>
    <w:p w14:paraId="658CFEBC" w14:textId="77777777" w:rsidR="005A5322" w:rsidRPr="005A5322" w:rsidRDefault="005A5322">
      <w:pPr>
        <w:rPr>
          <w:sz w:val="24"/>
          <w:szCs w:val="24"/>
          <w:shd w:val="clear" w:color="auto" w:fill="FFFFFF"/>
        </w:rPr>
      </w:pPr>
    </w:p>
    <w:p w14:paraId="4EDC39EC" w14:textId="76DBB3C8" w:rsidR="006372A8" w:rsidRPr="005A5322" w:rsidRDefault="006372A8">
      <w:pPr>
        <w:rPr>
          <w:sz w:val="24"/>
          <w:szCs w:val="24"/>
          <w:shd w:val="clear" w:color="auto" w:fill="FFFFFF"/>
        </w:rPr>
      </w:pPr>
      <w:r w:rsidRPr="005A5322">
        <w:rPr>
          <w:sz w:val="24"/>
          <w:szCs w:val="24"/>
          <w:shd w:val="clear" w:color="auto" w:fill="FFFFFF"/>
        </w:rPr>
        <w:lastRenderedPageBreak/>
        <w:t>Volkert, D. </w:t>
      </w:r>
      <w:r w:rsidRPr="005A5322">
        <w:rPr>
          <w:sz w:val="24"/>
          <w:szCs w:val="24"/>
          <w:shd w:val="clear" w:color="auto" w:fill="FFFFFF"/>
        </w:rPr>
        <w:t>Beck, A</w:t>
      </w:r>
      <w:r w:rsidRPr="005A5322">
        <w:rPr>
          <w:i/>
          <w:iCs/>
          <w:sz w:val="24"/>
          <w:szCs w:val="24"/>
          <w:shd w:val="clear" w:color="auto" w:fill="FFFFFF"/>
        </w:rPr>
        <w:t>.</w:t>
      </w:r>
      <w:r w:rsidRPr="005A5322">
        <w:rPr>
          <w:sz w:val="24"/>
          <w:szCs w:val="24"/>
          <w:shd w:val="clear" w:color="auto" w:fill="FFFFFF"/>
        </w:rPr>
        <w:t xml:space="preserve"> Faxen-Irving, G. </w:t>
      </w:r>
      <w:proofErr w:type="spellStart"/>
      <w:r w:rsidRPr="005A5322">
        <w:rPr>
          <w:sz w:val="24"/>
          <w:szCs w:val="24"/>
          <w:shd w:val="clear" w:color="auto" w:fill="FFFFFF"/>
        </w:rPr>
        <w:t>Fruhwald</w:t>
      </w:r>
      <w:proofErr w:type="spellEnd"/>
      <w:r w:rsidRPr="005A5322">
        <w:rPr>
          <w:sz w:val="24"/>
          <w:szCs w:val="24"/>
          <w:shd w:val="clear" w:color="auto" w:fill="FFFFFF"/>
        </w:rPr>
        <w:t xml:space="preserve">, T. Hooper, L. Keller, H. Porter, J. Rothenberg, E. Suominen, M. Wirth, R. </w:t>
      </w:r>
      <w:proofErr w:type="spellStart"/>
      <w:r w:rsidRPr="005A5322">
        <w:rPr>
          <w:sz w:val="24"/>
          <w:szCs w:val="24"/>
          <w:shd w:val="clear" w:color="auto" w:fill="FFFFFF"/>
        </w:rPr>
        <w:t>Chourdkis</w:t>
      </w:r>
      <w:proofErr w:type="spellEnd"/>
      <w:r w:rsidRPr="005A5322">
        <w:rPr>
          <w:sz w:val="24"/>
          <w:szCs w:val="24"/>
          <w:shd w:val="clear" w:color="auto" w:fill="FFFFFF"/>
        </w:rPr>
        <w:t xml:space="preserve">, M. </w:t>
      </w:r>
      <w:r w:rsidRPr="005A5322">
        <w:rPr>
          <w:sz w:val="24"/>
          <w:szCs w:val="24"/>
          <w:shd w:val="clear" w:color="auto" w:fill="FFFFFF"/>
        </w:rPr>
        <w:t> (2024) ‘ESPEN guideline on nutrition and hydration in dementia – Update 2024’, </w:t>
      </w:r>
      <w:r w:rsidRPr="005A5322">
        <w:rPr>
          <w:i/>
          <w:iCs/>
          <w:sz w:val="24"/>
          <w:szCs w:val="24"/>
          <w:shd w:val="clear" w:color="auto" w:fill="FFFFFF"/>
        </w:rPr>
        <w:t>Clinical nutrition (Edinburgh, Scotland)</w:t>
      </w:r>
      <w:r w:rsidRPr="005A5322">
        <w:rPr>
          <w:sz w:val="24"/>
          <w:szCs w:val="24"/>
          <w:shd w:val="clear" w:color="auto" w:fill="FFFFFF"/>
        </w:rPr>
        <w:t xml:space="preserve">, 43(6), pp. 1599–1626. Available at: </w:t>
      </w:r>
      <w:hyperlink r:id="rId5" w:history="1">
        <w:r w:rsidRPr="005A5322">
          <w:rPr>
            <w:rStyle w:val="Hyperlink"/>
            <w:color w:val="auto"/>
            <w:sz w:val="24"/>
            <w:szCs w:val="24"/>
            <w:shd w:val="clear" w:color="auto" w:fill="FFFFFF"/>
          </w:rPr>
          <w:t>https://doi.org/10.1016/j.clnu.2024.04.039</w:t>
        </w:r>
      </w:hyperlink>
      <w:r w:rsidRPr="005A5322">
        <w:rPr>
          <w:sz w:val="24"/>
          <w:szCs w:val="24"/>
          <w:shd w:val="clear" w:color="auto" w:fill="FFFFFF"/>
        </w:rPr>
        <w:t>.</w:t>
      </w:r>
    </w:p>
    <w:p w14:paraId="60DDD30B" w14:textId="77777777" w:rsidR="006372A8" w:rsidRPr="005A5322" w:rsidRDefault="006372A8">
      <w:pPr>
        <w:rPr>
          <w:sz w:val="24"/>
          <w:szCs w:val="24"/>
          <w:shd w:val="clear" w:color="auto" w:fill="FFFFFF"/>
        </w:rPr>
      </w:pPr>
    </w:p>
    <w:p w14:paraId="775291D7" w14:textId="77777777" w:rsidR="006372A8" w:rsidRPr="005A5322" w:rsidRDefault="006372A8">
      <w:pPr>
        <w:rPr>
          <w:sz w:val="24"/>
          <w:szCs w:val="24"/>
        </w:rPr>
      </w:pPr>
    </w:p>
    <w:sectPr w:rsidR="006372A8" w:rsidRPr="005A53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2A8"/>
    <w:rsid w:val="00080F42"/>
    <w:rsid w:val="00190902"/>
    <w:rsid w:val="003B624D"/>
    <w:rsid w:val="004359D0"/>
    <w:rsid w:val="005A5322"/>
    <w:rsid w:val="006372A8"/>
    <w:rsid w:val="006F56AA"/>
    <w:rsid w:val="00741791"/>
    <w:rsid w:val="00BC418E"/>
    <w:rsid w:val="00C57B96"/>
    <w:rsid w:val="00F20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061193"/>
  <w15:chartTrackingRefBased/>
  <w15:docId w15:val="{8A77293E-3279-457B-9A6E-6B11DAB16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372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72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72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72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72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72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72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72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72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72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72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72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72A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72A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72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72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72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72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72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72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72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372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372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372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372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372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72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72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72A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372A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372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11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oi.org/10.1016/j.clnu.2024.04.039" TargetMode="External"/><Relationship Id="rId4" Type="http://schemas.openxmlformats.org/officeDocument/2006/relationships/hyperlink" Target="https://doi.org/10.1111/jhn.128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morton</dc:creator>
  <cp:keywords/>
  <dc:description/>
  <cp:lastModifiedBy>sarah morton</cp:lastModifiedBy>
  <cp:revision>5</cp:revision>
  <dcterms:created xsi:type="dcterms:W3CDTF">2025-01-15T19:05:00Z</dcterms:created>
  <dcterms:modified xsi:type="dcterms:W3CDTF">2025-01-15T20:02:00Z</dcterms:modified>
</cp:coreProperties>
</file>