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25667177"/>
        <w:docPartObj>
          <w:docPartGallery w:val="Cover Pages"/>
          <w:docPartUnique/>
        </w:docPartObj>
      </w:sdtPr>
      <w:sdtEndPr>
        <w:rPr>
          <w:rFonts w:asciiTheme="majorHAnsi" w:hAnsiTheme="majorHAnsi" w:cstheme="majorHAnsi"/>
          <w:b/>
          <w:bCs/>
          <w:sz w:val="28"/>
          <w:szCs w:val="28"/>
        </w:rPr>
      </w:sdtEndPr>
      <w:sdtContent>
        <w:p w14:paraId="5EFE43CB" w14:textId="04666608" w:rsidR="009C2163" w:rsidRPr="00BE735F" w:rsidRDefault="009C2163">
          <w:pPr>
            <w:rPr>
              <w:rFonts w:asciiTheme="majorHAnsi" w:hAnsiTheme="majorHAnsi" w:cstheme="majorHAnsi"/>
              <w:sz w:val="28"/>
              <w:szCs w:val="28"/>
            </w:rPr>
          </w:pPr>
        </w:p>
        <w:p w14:paraId="1A4B0701" w14:textId="77777777" w:rsidR="002427A0" w:rsidRPr="00BE735F" w:rsidRDefault="003221CA" w:rsidP="003221CA">
          <w:pPr>
            <w:rPr>
              <w:rFonts w:asciiTheme="majorHAnsi" w:hAnsiTheme="majorHAnsi" w:cstheme="majorHAnsi"/>
              <w:b/>
              <w:bCs/>
              <w:sz w:val="28"/>
              <w:szCs w:val="28"/>
            </w:rPr>
          </w:pPr>
          <w:r w:rsidRPr="00BE735F">
            <w:rPr>
              <w:rFonts w:asciiTheme="majorHAnsi" w:hAnsiTheme="majorHAnsi" w:cstheme="majorHAnsi"/>
              <w:b/>
              <w:bCs/>
              <w:noProof/>
              <w:sz w:val="28"/>
              <w:szCs w:val="28"/>
            </w:rPr>
            <w:drawing>
              <wp:inline distT="0" distB="0" distL="0" distR="0" wp14:anchorId="351B4B5C" wp14:editId="0D80C62C">
                <wp:extent cx="5731510" cy="3825875"/>
                <wp:effectExtent l="0" t="0" r="2540" b="3175"/>
                <wp:docPr id="592191132" name="Picture 2" descr="AI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I Healthc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5875"/>
                        </a:xfrm>
                        <a:prstGeom prst="rect">
                          <a:avLst/>
                        </a:prstGeom>
                        <a:noFill/>
                        <a:ln>
                          <a:noFill/>
                        </a:ln>
                      </pic:spPr>
                    </pic:pic>
                  </a:graphicData>
                </a:graphic>
              </wp:inline>
            </w:drawing>
          </w:r>
        </w:p>
        <w:p w14:paraId="1E1DCC09" w14:textId="28E226E8" w:rsidR="003221CA" w:rsidRPr="00BE735F" w:rsidRDefault="002427A0" w:rsidP="003221CA">
          <w:pPr>
            <w:rPr>
              <w:rFonts w:asciiTheme="majorHAnsi" w:hAnsiTheme="majorHAnsi" w:cstheme="majorHAnsi"/>
              <w:b/>
              <w:bCs/>
              <w:sz w:val="28"/>
              <w:szCs w:val="28"/>
            </w:rPr>
          </w:pPr>
          <w:r w:rsidRPr="00BE735F">
            <w:rPr>
              <w:rFonts w:asciiTheme="majorHAnsi" w:hAnsiTheme="majorHAnsi" w:cstheme="majorHAnsi"/>
              <w:sz w:val="28"/>
              <w:szCs w:val="28"/>
            </w:rPr>
            <w:t xml:space="preserve">                                                                    (Rubens, 2020)</w:t>
          </w:r>
          <w:r w:rsidR="009C2163" w:rsidRPr="00BE735F">
            <w:rPr>
              <w:rFonts w:asciiTheme="majorHAnsi" w:hAnsiTheme="majorHAnsi" w:cstheme="majorHAnsi"/>
              <w:noProof/>
              <w:sz w:val="28"/>
              <w:szCs w:val="28"/>
            </w:rPr>
            <mc:AlternateContent>
              <mc:Choice Requires="wps">
                <w:drawing>
                  <wp:anchor distT="0" distB="0" distL="182880" distR="182880" simplePos="0" relativeHeight="251658752" behindDoc="0" locked="0" layoutInCell="1" allowOverlap="1" wp14:anchorId="34B0C46F" wp14:editId="7C6CB0E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3BD49" w14:textId="1905F896" w:rsidR="009C2163" w:rsidRPr="009C2163" w:rsidRDefault="00DE3716" w:rsidP="009C2163">
                                <w:pPr>
                                  <w:pStyle w:val="NoSpacing"/>
                                  <w:spacing w:before="40" w:after="560" w:line="216" w:lineRule="auto"/>
                                  <w:rPr>
                                    <w:color w:val="4472C4" w:themeColor="accent1"/>
                                    <w:sz w:val="28"/>
                                    <w:szCs w:val="28"/>
                                    <w:u w:val="single"/>
                                  </w:rPr>
                                </w:pPr>
                                <w:sdt>
                                  <w:sdtPr>
                                    <w:rPr>
                                      <w:rFonts w:eastAsiaTheme="minorHAnsi"/>
                                      <w:kern w:val="2"/>
                                      <w:sz w:val="28"/>
                                      <w:szCs w:val="28"/>
                                      <w:u w:val="single"/>
                                      <w:lang w:val="en-GB"/>
                                      <w14:ligatures w14:val="standardContextu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C2163" w:rsidRPr="009C2163">
                                      <w:rPr>
                                        <w:rFonts w:eastAsiaTheme="minorHAnsi"/>
                                        <w:kern w:val="2"/>
                                        <w:sz w:val="28"/>
                                        <w:szCs w:val="28"/>
                                        <w:u w:val="single"/>
                                        <w:lang w:val="en-GB"/>
                                        <w14:ligatures w14:val="standardContextual"/>
                                      </w:rPr>
                                      <w:t>Advancing Elderly Care: Integrating ICT and AI into Future Healthcare Services</w:t>
                                    </w:r>
                                  </w:sdtContent>
                                </w:sdt>
                              </w:p>
                              <w:sdt>
                                <w:sdtPr>
                                  <w:rPr>
                                    <w:rFonts w:asciiTheme="majorHAnsi" w:hAnsiTheme="majorHAnsi" w:cstheme="majorHAnsi"/>
                                    <w: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221A56A" w14:textId="0C3617C7" w:rsidR="009C2163" w:rsidRPr="009C2163" w:rsidRDefault="009C2163">
                                    <w:pPr>
                                      <w:pStyle w:val="NoSpacing"/>
                                      <w:spacing w:before="40" w:after="40"/>
                                      <w:rPr>
                                        <w:rFonts w:asciiTheme="majorHAnsi" w:hAnsiTheme="majorHAnsi" w:cstheme="majorHAnsi"/>
                                        <w:caps/>
                                        <w:sz w:val="28"/>
                                        <w:szCs w:val="28"/>
                                      </w:rPr>
                                    </w:pPr>
                                    <w:r w:rsidRPr="009C2163">
                                      <w:rPr>
                                        <w:rFonts w:asciiTheme="majorHAnsi" w:hAnsiTheme="majorHAnsi" w:cstheme="majorHAnsi"/>
                                        <w:b/>
                                      </w:rPr>
                                      <w:t>BMHP6009</w:t>
                                    </w:r>
                                  </w:p>
                                </w:sdtContent>
                              </w:sdt>
                              <w:sdt>
                                <w:sdtPr>
                                  <w:rPr>
                                    <w:rFonts w:asciiTheme="majorHAnsi" w:hAnsiTheme="majorHAnsi" w:cstheme="majorHAnsi"/>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FD38BC7" w14:textId="4E8AB1F5" w:rsidR="009C2163" w:rsidRPr="009C2163" w:rsidRDefault="009C2163">
                                    <w:pPr>
                                      <w:pStyle w:val="NoSpacing"/>
                                      <w:spacing w:before="80" w:after="40"/>
                                      <w:rPr>
                                        <w:rFonts w:asciiTheme="majorHAnsi" w:hAnsiTheme="majorHAnsi" w:cstheme="majorHAnsi"/>
                                        <w:caps/>
                                        <w:sz w:val="24"/>
                                        <w:szCs w:val="24"/>
                                      </w:rPr>
                                    </w:pPr>
                                    <w:r w:rsidRPr="009C2163">
                                      <w:rPr>
                                        <w:rFonts w:asciiTheme="majorHAnsi" w:hAnsiTheme="majorHAnsi" w:cstheme="majorHAnsi"/>
                                        <w:caps/>
                                        <w:sz w:val="24"/>
                                        <w:szCs w:val="24"/>
                                      </w:rPr>
                                      <w:t>Chloe Rees (2105842)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4B0C46F" id="_x0000_t202" coordsize="21600,21600" o:spt="202" path="m,l,21600r21600,l21600,xe">
                    <v:stroke joinstyle="miter"/>
                    <v:path gradientshapeok="t" o:connecttype="rect"/>
                  </v:shapetype>
                  <v:shape id="Text Box 32" o:spid="_x0000_s1026" type="#_x0000_t202" style="position:absolute;margin-left:0;margin-top:0;width:369pt;height:529.2pt;z-index:25165875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C23BD49" w14:textId="1905F896" w:rsidR="009C2163" w:rsidRPr="009C2163" w:rsidRDefault="00DE3716" w:rsidP="009C2163">
                          <w:pPr>
                            <w:pStyle w:val="NoSpacing"/>
                            <w:spacing w:before="40" w:after="560" w:line="216" w:lineRule="auto"/>
                            <w:rPr>
                              <w:color w:val="4472C4" w:themeColor="accent1"/>
                              <w:sz w:val="28"/>
                              <w:szCs w:val="28"/>
                              <w:u w:val="single"/>
                            </w:rPr>
                          </w:pPr>
                          <w:sdt>
                            <w:sdtPr>
                              <w:rPr>
                                <w:rFonts w:eastAsiaTheme="minorHAnsi"/>
                                <w:kern w:val="2"/>
                                <w:sz w:val="28"/>
                                <w:szCs w:val="28"/>
                                <w:u w:val="single"/>
                                <w:lang w:val="en-GB"/>
                                <w14:ligatures w14:val="standardContextu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C2163" w:rsidRPr="009C2163">
                                <w:rPr>
                                  <w:rFonts w:eastAsiaTheme="minorHAnsi"/>
                                  <w:kern w:val="2"/>
                                  <w:sz w:val="28"/>
                                  <w:szCs w:val="28"/>
                                  <w:u w:val="single"/>
                                  <w:lang w:val="en-GB"/>
                                  <w14:ligatures w14:val="standardContextual"/>
                                </w:rPr>
                                <w:t>Advancing Elderly Care: Integrating ICT and AI into Future Healthcare Services</w:t>
                              </w:r>
                            </w:sdtContent>
                          </w:sdt>
                        </w:p>
                        <w:sdt>
                          <w:sdtPr>
                            <w:rPr>
                              <w:rFonts w:asciiTheme="majorHAnsi" w:hAnsiTheme="majorHAnsi" w:cstheme="majorHAnsi"/>
                              <w: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221A56A" w14:textId="0C3617C7" w:rsidR="009C2163" w:rsidRPr="009C2163" w:rsidRDefault="009C2163">
                              <w:pPr>
                                <w:pStyle w:val="NoSpacing"/>
                                <w:spacing w:before="40" w:after="40"/>
                                <w:rPr>
                                  <w:rFonts w:asciiTheme="majorHAnsi" w:hAnsiTheme="majorHAnsi" w:cstheme="majorHAnsi"/>
                                  <w:caps/>
                                  <w:sz w:val="28"/>
                                  <w:szCs w:val="28"/>
                                </w:rPr>
                              </w:pPr>
                              <w:r w:rsidRPr="009C2163">
                                <w:rPr>
                                  <w:rFonts w:asciiTheme="majorHAnsi" w:hAnsiTheme="majorHAnsi" w:cstheme="majorHAnsi"/>
                                  <w:b/>
                                </w:rPr>
                                <w:t>BMHP6009</w:t>
                              </w:r>
                            </w:p>
                          </w:sdtContent>
                        </w:sdt>
                        <w:sdt>
                          <w:sdtPr>
                            <w:rPr>
                              <w:rFonts w:asciiTheme="majorHAnsi" w:hAnsiTheme="majorHAnsi" w:cstheme="majorHAnsi"/>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FD38BC7" w14:textId="4E8AB1F5" w:rsidR="009C2163" w:rsidRPr="009C2163" w:rsidRDefault="009C2163">
                              <w:pPr>
                                <w:pStyle w:val="NoSpacing"/>
                                <w:spacing w:before="80" w:after="40"/>
                                <w:rPr>
                                  <w:rFonts w:asciiTheme="majorHAnsi" w:hAnsiTheme="majorHAnsi" w:cstheme="majorHAnsi"/>
                                  <w:caps/>
                                  <w:sz w:val="24"/>
                                  <w:szCs w:val="24"/>
                                </w:rPr>
                              </w:pPr>
                              <w:r w:rsidRPr="009C2163">
                                <w:rPr>
                                  <w:rFonts w:asciiTheme="majorHAnsi" w:hAnsiTheme="majorHAnsi" w:cstheme="majorHAnsi"/>
                                  <w:caps/>
                                  <w:sz w:val="24"/>
                                  <w:szCs w:val="24"/>
                                </w:rPr>
                                <w:t>Chloe Rees (2105842)</w:t>
                              </w:r>
                            </w:p>
                          </w:sdtContent>
                        </w:sdt>
                      </w:txbxContent>
                    </v:textbox>
                    <w10:wrap type="square" anchorx="margin" anchory="page"/>
                  </v:shape>
                </w:pict>
              </mc:Fallback>
            </mc:AlternateContent>
          </w:r>
          <w:r w:rsidR="009C2163" w:rsidRPr="00BE735F">
            <w:rPr>
              <w:rFonts w:asciiTheme="majorHAnsi" w:hAnsiTheme="majorHAnsi" w:cstheme="majorHAnsi"/>
              <w:b/>
              <w:bCs/>
              <w:sz w:val="28"/>
              <w:szCs w:val="28"/>
            </w:rPr>
            <w:br w:type="page"/>
          </w:r>
        </w:p>
        <w:sdt>
          <w:sdtPr>
            <w:rPr>
              <w:rFonts w:eastAsiaTheme="minorHAnsi" w:cstheme="majorHAnsi"/>
              <w:color w:val="auto"/>
              <w:kern w:val="2"/>
              <w:sz w:val="28"/>
              <w:szCs w:val="28"/>
              <w:lang w:val="en-GB"/>
              <w14:ligatures w14:val="standardContextual"/>
            </w:rPr>
            <w:id w:val="379054988"/>
            <w:docPartObj>
              <w:docPartGallery w:val="Table of Contents"/>
              <w:docPartUnique/>
            </w:docPartObj>
          </w:sdtPr>
          <w:sdtEndPr>
            <w:rPr>
              <w:b/>
              <w:bCs/>
              <w:noProof/>
            </w:rPr>
          </w:sdtEndPr>
          <w:sdtContent>
            <w:p w14:paraId="618ECA34" w14:textId="118A8CE4" w:rsidR="001E0BCD" w:rsidRPr="00BE735F" w:rsidRDefault="001E0BCD">
              <w:pPr>
                <w:pStyle w:val="TOCHeading"/>
                <w:rPr>
                  <w:rFonts w:cstheme="majorHAnsi"/>
                  <w:color w:val="auto"/>
                  <w:sz w:val="28"/>
                  <w:szCs w:val="28"/>
                </w:rPr>
              </w:pPr>
              <w:r w:rsidRPr="00BE735F">
                <w:rPr>
                  <w:rFonts w:cstheme="majorHAnsi"/>
                  <w:color w:val="auto"/>
                  <w:sz w:val="28"/>
                  <w:szCs w:val="28"/>
                </w:rPr>
                <w:t>Contents</w:t>
              </w:r>
            </w:p>
            <w:p w14:paraId="4F7D5226" w14:textId="4D8E2BE5" w:rsidR="009E01A6" w:rsidRPr="00BE735F" w:rsidRDefault="001E0BCD">
              <w:pPr>
                <w:pStyle w:val="TOC1"/>
                <w:tabs>
                  <w:tab w:val="right" w:leader="dot" w:pos="9016"/>
                </w:tabs>
                <w:rPr>
                  <w:rFonts w:asciiTheme="majorHAnsi" w:eastAsiaTheme="minorEastAsia" w:hAnsiTheme="majorHAnsi" w:cstheme="majorHAnsi"/>
                  <w:noProof/>
                  <w:sz w:val="28"/>
                  <w:szCs w:val="28"/>
                  <w:lang w:eastAsia="en-GB"/>
                </w:rPr>
              </w:pPr>
              <w:r w:rsidRPr="00BE735F">
                <w:rPr>
                  <w:rFonts w:asciiTheme="majorHAnsi" w:hAnsiTheme="majorHAnsi" w:cstheme="majorHAnsi"/>
                  <w:sz w:val="28"/>
                  <w:szCs w:val="28"/>
                </w:rPr>
                <w:fldChar w:fldCharType="begin"/>
              </w:r>
              <w:r w:rsidRPr="00BE735F">
                <w:rPr>
                  <w:rFonts w:asciiTheme="majorHAnsi" w:hAnsiTheme="majorHAnsi" w:cstheme="majorHAnsi"/>
                  <w:sz w:val="28"/>
                  <w:szCs w:val="28"/>
                </w:rPr>
                <w:instrText xml:space="preserve"> TOC \o "1-3" \h \z \u </w:instrText>
              </w:r>
              <w:r w:rsidRPr="00BE735F">
                <w:rPr>
                  <w:rFonts w:asciiTheme="majorHAnsi" w:hAnsiTheme="majorHAnsi" w:cstheme="majorHAnsi"/>
                  <w:sz w:val="28"/>
                  <w:szCs w:val="28"/>
                </w:rPr>
                <w:fldChar w:fldCharType="separate"/>
              </w:r>
              <w:hyperlink w:anchor="_Toc160013296" w:history="1">
                <w:r w:rsidR="009E01A6" w:rsidRPr="00BE735F">
                  <w:rPr>
                    <w:rStyle w:val="Hyperlink"/>
                    <w:rFonts w:asciiTheme="majorHAnsi" w:hAnsiTheme="majorHAnsi" w:cstheme="majorHAnsi"/>
                    <w:noProof/>
                    <w:color w:val="auto"/>
                    <w:sz w:val="28"/>
                    <w:szCs w:val="28"/>
                  </w:rPr>
                  <w:t>Abstract:</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_Toc160013296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2</w:t>
                </w:r>
                <w:r w:rsidR="009E01A6" w:rsidRPr="00BE735F">
                  <w:rPr>
                    <w:rFonts w:asciiTheme="majorHAnsi" w:hAnsiTheme="majorHAnsi" w:cstheme="majorHAnsi"/>
                    <w:noProof/>
                    <w:webHidden/>
                    <w:sz w:val="28"/>
                    <w:szCs w:val="28"/>
                  </w:rPr>
                  <w:fldChar w:fldCharType="end"/>
                </w:r>
              </w:hyperlink>
            </w:p>
            <w:p w14:paraId="15C54DDB" w14:textId="6A842B7D"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297" w:history="1">
                <w:r w:rsidR="009E01A6" w:rsidRPr="00BE735F">
                  <w:rPr>
                    <w:rStyle w:val="Hyperlink"/>
                    <w:rFonts w:asciiTheme="majorHAnsi" w:hAnsiTheme="majorHAnsi" w:cstheme="majorHAnsi"/>
                    <w:noProof/>
                    <w:color w:val="auto"/>
                    <w:sz w:val="28"/>
                    <w:szCs w:val="28"/>
                  </w:rPr>
                  <w:t>Introduction:</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_Toc160013297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2</w:t>
                </w:r>
                <w:r w:rsidR="009E01A6" w:rsidRPr="00BE735F">
                  <w:rPr>
                    <w:rFonts w:asciiTheme="majorHAnsi" w:hAnsiTheme="majorHAnsi" w:cstheme="majorHAnsi"/>
                    <w:noProof/>
                    <w:webHidden/>
                    <w:sz w:val="28"/>
                    <w:szCs w:val="28"/>
                  </w:rPr>
                  <w:fldChar w:fldCharType="end"/>
                </w:r>
              </w:hyperlink>
            </w:p>
            <w:p w14:paraId="4D487A10" w14:textId="7659860C"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298" w:history="1">
                <w:r w:rsidR="009E01A6" w:rsidRPr="00BE735F">
                  <w:rPr>
                    <w:rStyle w:val="Hyperlink"/>
                    <w:rFonts w:asciiTheme="majorHAnsi" w:hAnsiTheme="majorHAnsi" w:cstheme="majorHAnsi"/>
                    <w:noProof/>
                    <w:color w:val="auto"/>
                    <w:sz w:val="28"/>
                    <w:szCs w:val="28"/>
                  </w:rPr>
                  <w:t>Current Initiatives and Policy Frameworks: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_Toc160013298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2</w:t>
                </w:r>
                <w:r w:rsidR="009E01A6" w:rsidRPr="00BE735F">
                  <w:rPr>
                    <w:rFonts w:asciiTheme="majorHAnsi" w:hAnsiTheme="majorHAnsi" w:cstheme="majorHAnsi"/>
                    <w:noProof/>
                    <w:webHidden/>
                    <w:sz w:val="28"/>
                    <w:szCs w:val="28"/>
                  </w:rPr>
                  <w:fldChar w:fldCharType="end"/>
                </w:r>
              </w:hyperlink>
            </w:p>
            <w:p w14:paraId="707F97CB" w14:textId="20BAAFC9"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299" w:history="1">
                <w:r w:rsidR="009E01A6" w:rsidRPr="00BE735F">
                  <w:rPr>
                    <w:rStyle w:val="Hyperlink"/>
                    <w:rFonts w:asciiTheme="majorHAnsi" w:hAnsiTheme="majorHAnsi" w:cstheme="majorHAnsi"/>
                    <w:noProof/>
                    <w:color w:val="auto"/>
                    <w:sz w:val="28"/>
                    <w:szCs w:val="28"/>
                  </w:rPr>
                  <w:t>Role of Information and Communication Technology (ICT) in Elderly Care:</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_Toc160013299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3</w:t>
                </w:r>
                <w:r w:rsidR="009E01A6" w:rsidRPr="00BE735F">
                  <w:rPr>
                    <w:rFonts w:asciiTheme="majorHAnsi" w:hAnsiTheme="majorHAnsi" w:cstheme="majorHAnsi"/>
                    <w:noProof/>
                    <w:webHidden/>
                    <w:sz w:val="28"/>
                    <w:szCs w:val="28"/>
                  </w:rPr>
                  <w:fldChar w:fldCharType="end"/>
                </w:r>
              </w:hyperlink>
            </w:p>
            <w:p w14:paraId="69EF3ABC" w14:textId="6D529747"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0" w:history="1">
                <w:r w:rsidR="009E01A6" w:rsidRPr="00BE735F">
                  <w:rPr>
                    <w:rStyle w:val="Hyperlink"/>
                    <w:rFonts w:asciiTheme="majorHAnsi" w:hAnsiTheme="majorHAnsi" w:cstheme="majorHAnsi"/>
                    <w:noProof/>
                    <w:color w:val="auto"/>
                    <w:sz w:val="28"/>
                    <w:szCs w:val="28"/>
                  </w:rPr>
                  <w:t>Integration of Artificial Intelligence (AI) in Elderly Care Services: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_Toc160013300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3</w:t>
                </w:r>
                <w:r w:rsidR="009E01A6" w:rsidRPr="00BE735F">
                  <w:rPr>
                    <w:rFonts w:asciiTheme="majorHAnsi" w:hAnsiTheme="majorHAnsi" w:cstheme="majorHAnsi"/>
                    <w:noProof/>
                    <w:webHidden/>
                    <w:sz w:val="28"/>
                    <w:szCs w:val="28"/>
                  </w:rPr>
                  <w:fldChar w:fldCharType="end"/>
                </w:r>
              </w:hyperlink>
            </w:p>
            <w:p w14:paraId="19AD1F08" w14:textId="6BF8BDB2"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1" w:history="1">
                <w:r w:rsidR="009E01A6" w:rsidRPr="00BE735F">
                  <w:rPr>
                    <w:rStyle w:val="Hyperlink"/>
                    <w:rFonts w:asciiTheme="majorHAnsi" w:hAnsiTheme="majorHAnsi" w:cstheme="majorHAnsi"/>
                    <w:noProof/>
                    <w:color w:val="auto"/>
                    <w:sz w:val="28"/>
                    <w:szCs w:val="28"/>
                  </w:rPr>
                  <w:t>Provisions from Statutory, Private, and Voluntary Organizations: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_Toc160013301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3</w:t>
                </w:r>
                <w:r w:rsidR="009E01A6" w:rsidRPr="00BE735F">
                  <w:rPr>
                    <w:rFonts w:asciiTheme="majorHAnsi" w:hAnsiTheme="majorHAnsi" w:cstheme="majorHAnsi"/>
                    <w:noProof/>
                    <w:webHidden/>
                    <w:sz w:val="28"/>
                    <w:szCs w:val="28"/>
                  </w:rPr>
                  <w:fldChar w:fldCharType="end"/>
                </w:r>
              </w:hyperlink>
            </w:p>
            <w:p w14:paraId="218C3C7E" w14:textId="47A4A69A"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2" w:history="1">
                <w:r w:rsidR="009E01A6" w:rsidRPr="00BE735F">
                  <w:rPr>
                    <w:rStyle w:val="Hyperlink"/>
                    <w:rFonts w:asciiTheme="majorHAnsi" w:hAnsiTheme="majorHAnsi" w:cstheme="majorHAnsi"/>
                    <w:noProof/>
                    <w:color w:val="auto"/>
                    <w:sz w:val="28"/>
                    <w:szCs w:val="28"/>
                  </w:rPr>
                  <w:t>Implementation Challenges and Solutions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_Toc160013302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3</w:t>
                </w:r>
                <w:r w:rsidR="009E01A6" w:rsidRPr="00BE735F">
                  <w:rPr>
                    <w:rFonts w:asciiTheme="majorHAnsi" w:hAnsiTheme="majorHAnsi" w:cstheme="majorHAnsi"/>
                    <w:noProof/>
                    <w:webHidden/>
                    <w:sz w:val="28"/>
                    <w:szCs w:val="28"/>
                  </w:rPr>
                  <w:fldChar w:fldCharType="end"/>
                </w:r>
              </w:hyperlink>
            </w:p>
            <w:p w14:paraId="1BF9654C" w14:textId="74C484FE"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3" w:history="1">
                <w:r w:rsidR="009E01A6" w:rsidRPr="00BE735F">
                  <w:rPr>
                    <w:rStyle w:val="Hyperlink"/>
                    <w:rFonts w:asciiTheme="majorHAnsi" w:hAnsiTheme="majorHAnsi" w:cstheme="majorHAnsi"/>
                    <w:noProof/>
                    <w:color w:val="auto"/>
                    <w:sz w:val="28"/>
                    <w:szCs w:val="28"/>
                  </w:rPr>
                  <w:t>Legislation and Regulatory Frameworks: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_Toc160013303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4</w:t>
                </w:r>
                <w:r w:rsidR="009E01A6" w:rsidRPr="00BE735F">
                  <w:rPr>
                    <w:rFonts w:asciiTheme="majorHAnsi" w:hAnsiTheme="majorHAnsi" w:cstheme="majorHAnsi"/>
                    <w:noProof/>
                    <w:webHidden/>
                    <w:sz w:val="28"/>
                    <w:szCs w:val="28"/>
                  </w:rPr>
                  <w:fldChar w:fldCharType="end"/>
                </w:r>
              </w:hyperlink>
            </w:p>
            <w:p w14:paraId="49AFDEF0" w14:textId="4D4D9636"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4" w:history="1">
                <w:r w:rsidR="009E01A6" w:rsidRPr="00BE735F">
                  <w:rPr>
                    <w:rStyle w:val="Hyperlink"/>
                    <w:rFonts w:asciiTheme="majorHAnsi" w:hAnsiTheme="majorHAnsi" w:cstheme="majorHAnsi"/>
                    <w:noProof/>
                    <w:color w:val="auto"/>
                    <w:sz w:val="28"/>
                    <w:szCs w:val="28"/>
                  </w:rPr>
                  <w:t>Future Advances in AI and their Implications for Elderly Care:</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_Toc160013304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4</w:t>
                </w:r>
                <w:r w:rsidR="009E01A6" w:rsidRPr="00BE735F">
                  <w:rPr>
                    <w:rFonts w:asciiTheme="majorHAnsi" w:hAnsiTheme="majorHAnsi" w:cstheme="majorHAnsi"/>
                    <w:noProof/>
                    <w:webHidden/>
                    <w:sz w:val="28"/>
                    <w:szCs w:val="28"/>
                  </w:rPr>
                  <w:fldChar w:fldCharType="end"/>
                </w:r>
              </w:hyperlink>
            </w:p>
            <w:p w14:paraId="7B087E37" w14:textId="737032EB"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5" w:history="1">
                <w:r w:rsidR="009E01A6" w:rsidRPr="00BE735F">
                  <w:rPr>
                    <w:rStyle w:val="Hyperlink"/>
                    <w:rFonts w:asciiTheme="majorHAnsi" w:hAnsiTheme="majorHAnsi" w:cstheme="majorHAnsi"/>
                    <w:noProof/>
                    <w:color w:val="auto"/>
                    <w:sz w:val="28"/>
                    <w:szCs w:val="28"/>
                  </w:rPr>
                  <w:t>Predictive Analytics and Preventive Care:</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_Toc160013305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4</w:t>
                </w:r>
                <w:r w:rsidR="009E01A6" w:rsidRPr="00BE735F">
                  <w:rPr>
                    <w:rFonts w:asciiTheme="majorHAnsi" w:hAnsiTheme="majorHAnsi" w:cstheme="majorHAnsi"/>
                    <w:noProof/>
                    <w:webHidden/>
                    <w:sz w:val="28"/>
                    <w:szCs w:val="28"/>
                  </w:rPr>
                  <w:fldChar w:fldCharType="end"/>
                </w:r>
              </w:hyperlink>
            </w:p>
            <w:p w14:paraId="0FDF0CCE" w14:textId="6ADD6A0B"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6" w:history="1">
                <w:r w:rsidR="009E01A6" w:rsidRPr="00BE735F">
                  <w:rPr>
                    <w:rStyle w:val="Hyperlink"/>
                    <w:rFonts w:asciiTheme="majorHAnsi" w:hAnsiTheme="majorHAnsi" w:cstheme="majorHAnsi"/>
                    <w:noProof/>
                    <w:color w:val="auto"/>
                    <w:sz w:val="28"/>
                    <w:szCs w:val="28"/>
                  </w:rPr>
                  <w:t>Personalized Medicine and Treatment Plans: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_Toc160013306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5</w:t>
                </w:r>
                <w:r w:rsidR="009E01A6" w:rsidRPr="00BE735F">
                  <w:rPr>
                    <w:rFonts w:asciiTheme="majorHAnsi" w:hAnsiTheme="majorHAnsi" w:cstheme="majorHAnsi"/>
                    <w:noProof/>
                    <w:webHidden/>
                    <w:sz w:val="28"/>
                    <w:szCs w:val="28"/>
                  </w:rPr>
                  <w:fldChar w:fldCharType="end"/>
                </w:r>
              </w:hyperlink>
            </w:p>
            <w:p w14:paraId="7AFAE205" w14:textId="11221E7B"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7" w:history="1">
                <w:r w:rsidR="009E01A6" w:rsidRPr="00BE735F">
                  <w:rPr>
                    <w:rStyle w:val="Hyperlink"/>
                    <w:rFonts w:asciiTheme="majorHAnsi" w:hAnsiTheme="majorHAnsi" w:cstheme="majorHAnsi"/>
                    <w:noProof/>
                    <w:color w:val="auto"/>
                    <w:sz w:val="28"/>
                    <w:szCs w:val="28"/>
                  </w:rPr>
                  <w:t>Assistive Robotics and Remote Monitoring:</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_Toc160013307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5</w:t>
                </w:r>
                <w:r w:rsidR="009E01A6" w:rsidRPr="00BE735F">
                  <w:rPr>
                    <w:rFonts w:asciiTheme="majorHAnsi" w:hAnsiTheme="majorHAnsi" w:cstheme="majorHAnsi"/>
                    <w:noProof/>
                    <w:webHidden/>
                    <w:sz w:val="28"/>
                    <w:szCs w:val="28"/>
                  </w:rPr>
                  <w:fldChar w:fldCharType="end"/>
                </w:r>
              </w:hyperlink>
            </w:p>
            <w:p w14:paraId="05BDD9F3" w14:textId="1D01602D"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8" w:history="1">
                <w:r w:rsidR="009E01A6" w:rsidRPr="00BE735F">
                  <w:rPr>
                    <w:rStyle w:val="Hyperlink"/>
                    <w:rFonts w:asciiTheme="majorHAnsi" w:hAnsiTheme="majorHAnsi" w:cstheme="majorHAnsi"/>
                    <w:noProof/>
                    <w:color w:val="auto"/>
                    <w:sz w:val="28"/>
                    <w:szCs w:val="28"/>
                  </w:rPr>
                  <w:t>Virtual Care and Telepresence Technologies: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_Toc160013308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5</w:t>
                </w:r>
                <w:r w:rsidR="009E01A6" w:rsidRPr="00BE735F">
                  <w:rPr>
                    <w:rFonts w:asciiTheme="majorHAnsi" w:hAnsiTheme="majorHAnsi" w:cstheme="majorHAnsi"/>
                    <w:noProof/>
                    <w:webHidden/>
                    <w:sz w:val="28"/>
                    <w:szCs w:val="28"/>
                  </w:rPr>
                  <w:fldChar w:fldCharType="end"/>
                </w:r>
              </w:hyperlink>
            </w:p>
            <w:p w14:paraId="5F5EE3C4" w14:textId="423E0C0D"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09" w:history="1">
                <w:r w:rsidR="009E01A6" w:rsidRPr="00BE735F">
                  <w:rPr>
                    <w:rStyle w:val="Hyperlink"/>
                    <w:rFonts w:asciiTheme="majorHAnsi" w:hAnsiTheme="majorHAnsi" w:cstheme="majorHAnsi"/>
                    <w:noProof/>
                    <w:color w:val="auto"/>
                    <w:sz w:val="28"/>
                    <w:szCs w:val="28"/>
                  </w:rPr>
                  <w:t>Ethical Considerations and Human-Centered Design</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_Toc160013309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5</w:t>
                </w:r>
                <w:r w:rsidR="009E01A6" w:rsidRPr="00BE735F">
                  <w:rPr>
                    <w:rFonts w:asciiTheme="majorHAnsi" w:hAnsiTheme="majorHAnsi" w:cstheme="majorHAnsi"/>
                    <w:noProof/>
                    <w:webHidden/>
                    <w:sz w:val="28"/>
                    <w:szCs w:val="28"/>
                  </w:rPr>
                  <w:fldChar w:fldCharType="end"/>
                </w:r>
              </w:hyperlink>
            </w:p>
            <w:p w14:paraId="5654C1A6" w14:textId="67B709F9"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10" w:history="1">
                <w:r w:rsidR="009E01A6" w:rsidRPr="00BE735F">
                  <w:rPr>
                    <w:rStyle w:val="Hyperlink"/>
                    <w:rFonts w:asciiTheme="majorHAnsi" w:hAnsiTheme="majorHAnsi" w:cstheme="majorHAnsi"/>
                    <w:noProof/>
                    <w:color w:val="auto"/>
                    <w:sz w:val="28"/>
                    <w:szCs w:val="28"/>
                  </w:rPr>
                  <w:t>Challenges and Opportunities: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_Toc160013310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6</w:t>
                </w:r>
                <w:r w:rsidR="009E01A6" w:rsidRPr="00BE735F">
                  <w:rPr>
                    <w:rFonts w:asciiTheme="majorHAnsi" w:hAnsiTheme="majorHAnsi" w:cstheme="majorHAnsi"/>
                    <w:noProof/>
                    <w:webHidden/>
                    <w:sz w:val="28"/>
                    <w:szCs w:val="28"/>
                  </w:rPr>
                  <w:fldChar w:fldCharType="end"/>
                </w:r>
              </w:hyperlink>
            </w:p>
            <w:p w14:paraId="0C95E948" w14:textId="39B13CB3"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11" w:history="1">
                <w:r w:rsidR="009E01A6" w:rsidRPr="00BE735F">
                  <w:rPr>
                    <w:rStyle w:val="Hyperlink"/>
                    <w:rFonts w:asciiTheme="majorHAnsi" w:hAnsiTheme="majorHAnsi" w:cstheme="majorHAnsi"/>
                    <w:noProof/>
                    <w:color w:val="auto"/>
                    <w:sz w:val="28"/>
                    <w:szCs w:val="28"/>
                  </w:rPr>
                  <w:t>Recommendations: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_Toc160013311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6</w:t>
                </w:r>
                <w:r w:rsidR="009E01A6" w:rsidRPr="00BE735F">
                  <w:rPr>
                    <w:rFonts w:asciiTheme="majorHAnsi" w:hAnsiTheme="majorHAnsi" w:cstheme="majorHAnsi"/>
                    <w:noProof/>
                    <w:webHidden/>
                    <w:sz w:val="28"/>
                    <w:szCs w:val="28"/>
                  </w:rPr>
                  <w:fldChar w:fldCharType="end"/>
                </w:r>
              </w:hyperlink>
            </w:p>
            <w:p w14:paraId="6E2318D0" w14:textId="445D3C4A"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12" w:history="1">
                <w:r w:rsidR="009E01A6" w:rsidRPr="00BE735F">
                  <w:rPr>
                    <w:rStyle w:val="Hyperlink"/>
                    <w:rFonts w:asciiTheme="majorHAnsi" w:hAnsiTheme="majorHAnsi" w:cstheme="majorHAnsi"/>
                    <w:noProof/>
                    <w:color w:val="auto"/>
                    <w:sz w:val="28"/>
                    <w:szCs w:val="28"/>
                  </w:rPr>
                  <w:t>Conclusion:</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_Toc160013312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8</w:t>
                </w:r>
                <w:r w:rsidR="009E01A6" w:rsidRPr="00BE735F">
                  <w:rPr>
                    <w:rFonts w:asciiTheme="majorHAnsi" w:hAnsiTheme="majorHAnsi" w:cstheme="majorHAnsi"/>
                    <w:noProof/>
                    <w:webHidden/>
                    <w:sz w:val="28"/>
                    <w:szCs w:val="28"/>
                  </w:rPr>
                  <w:fldChar w:fldCharType="end"/>
                </w:r>
              </w:hyperlink>
            </w:p>
            <w:p w14:paraId="537BE377" w14:textId="449F320A" w:rsidR="009E01A6" w:rsidRPr="00BE735F" w:rsidRDefault="00DE3716">
              <w:pPr>
                <w:pStyle w:val="TOC1"/>
                <w:tabs>
                  <w:tab w:val="right" w:leader="dot" w:pos="9016"/>
                </w:tabs>
                <w:rPr>
                  <w:rFonts w:asciiTheme="majorHAnsi" w:eastAsiaTheme="minorEastAsia" w:hAnsiTheme="majorHAnsi" w:cstheme="majorHAnsi"/>
                  <w:noProof/>
                  <w:sz w:val="28"/>
                  <w:szCs w:val="28"/>
                  <w:lang w:eastAsia="en-GB"/>
                </w:rPr>
              </w:pPr>
              <w:hyperlink w:anchor="_Toc160013313" w:history="1">
                <w:r w:rsidR="009E01A6" w:rsidRPr="00BE735F">
                  <w:rPr>
                    <w:rStyle w:val="Hyperlink"/>
                    <w:rFonts w:asciiTheme="majorHAnsi" w:hAnsiTheme="majorHAnsi" w:cstheme="majorHAnsi"/>
                    <w:noProof/>
                    <w:color w:val="auto"/>
                    <w:sz w:val="28"/>
                    <w:szCs w:val="28"/>
                  </w:rPr>
                  <w:t>References</w:t>
                </w:r>
                <w:r w:rsidR="009E01A6" w:rsidRPr="00BE735F">
                  <w:rPr>
                    <w:rFonts w:asciiTheme="majorHAnsi" w:hAnsiTheme="majorHAnsi" w:cstheme="majorHAnsi"/>
                    <w:noProof/>
                    <w:webHidden/>
                    <w:sz w:val="28"/>
                    <w:szCs w:val="28"/>
                  </w:rPr>
                  <w:tab/>
                </w:r>
                <w:r w:rsidR="009E01A6" w:rsidRPr="00BE735F">
                  <w:rPr>
                    <w:rFonts w:asciiTheme="majorHAnsi" w:hAnsiTheme="majorHAnsi" w:cstheme="majorHAnsi"/>
                    <w:noProof/>
                    <w:webHidden/>
                    <w:sz w:val="28"/>
                    <w:szCs w:val="28"/>
                  </w:rPr>
                  <w:fldChar w:fldCharType="begin"/>
                </w:r>
                <w:r w:rsidR="009E01A6" w:rsidRPr="00BE735F">
                  <w:rPr>
                    <w:rFonts w:asciiTheme="majorHAnsi" w:hAnsiTheme="majorHAnsi" w:cstheme="majorHAnsi"/>
                    <w:noProof/>
                    <w:webHidden/>
                    <w:sz w:val="28"/>
                    <w:szCs w:val="28"/>
                  </w:rPr>
                  <w:instrText xml:space="preserve"> PAGEREF _Toc160013313 \h </w:instrText>
                </w:r>
                <w:r w:rsidR="009E01A6" w:rsidRPr="00BE735F">
                  <w:rPr>
                    <w:rFonts w:asciiTheme="majorHAnsi" w:hAnsiTheme="majorHAnsi" w:cstheme="majorHAnsi"/>
                    <w:noProof/>
                    <w:webHidden/>
                    <w:sz w:val="28"/>
                    <w:szCs w:val="28"/>
                  </w:rPr>
                </w:r>
                <w:r w:rsidR="009E01A6" w:rsidRPr="00BE735F">
                  <w:rPr>
                    <w:rFonts w:asciiTheme="majorHAnsi" w:hAnsiTheme="majorHAnsi" w:cstheme="majorHAnsi"/>
                    <w:noProof/>
                    <w:webHidden/>
                    <w:sz w:val="28"/>
                    <w:szCs w:val="28"/>
                  </w:rPr>
                  <w:fldChar w:fldCharType="separate"/>
                </w:r>
                <w:r w:rsidR="0044780D" w:rsidRPr="00BE735F">
                  <w:rPr>
                    <w:rFonts w:asciiTheme="majorHAnsi" w:hAnsiTheme="majorHAnsi" w:cstheme="majorHAnsi"/>
                    <w:noProof/>
                    <w:webHidden/>
                    <w:sz w:val="28"/>
                    <w:szCs w:val="28"/>
                  </w:rPr>
                  <w:t>9</w:t>
                </w:r>
                <w:r w:rsidR="009E01A6" w:rsidRPr="00BE735F">
                  <w:rPr>
                    <w:rFonts w:asciiTheme="majorHAnsi" w:hAnsiTheme="majorHAnsi" w:cstheme="majorHAnsi"/>
                    <w:noProof/>
                    <w:webHidden/>
                    <w:sz w:val="28"/>
                    <w:szCs w:val="28"/>
                  </w:rPr>
                  <w:fldChar w:fldCharType="end"/>
                </w:r>
              </w:hyperlink>
            </w:p>
            <w:p w14:paraId="21920955" w14:textId="52D22877" w:rsidR="003221CA" w:rsidRPr="00BE735F" w:rsidRDefault="001E0BCD">
              <w:pPr>
                <w:rPr>
                  <w:rFonts w:asciiTheme="majorHAnsi" w:hAnsiTheme="majorHAnsi" w:cstheme="majorHAnsi"/>
                  <w:sz w:val="28"/>
                  <w:szCs w:val="28"/>
                </w:rPr>
              </w:pPr>
              <w:r w:rsidRPr="00BE735F">
                <w:rPr>
                  <w:rFonts w:asciiTheme="majorHAnsi" w:hAnsiTheme="majorHAnsi" w:cstheme="majorHAnsi"/>
                  <w:b/>
                  <w:bCs/>
                  <w:noProof/>
                  <w:sz w:val="28"/>
                  <w:szCs w:val="28"/>
                </w:rPr>
                <w:fldChar w:fldCharType="end"/>
              </w:r>
            </w:p>
            <w:p w14:paraId="0033E58F" w14:textId="77777777" w:rsidR="002427A0" w:rsidRPr="00BE735F" w:rsidRDefault="002427A0">
              <w:pPr>
                <w:rPr>
                  <w:rFonts w:asciiTheme="majorHAnsi" w:hAnsiTheme="majorHAnsi" w:cstheme="majorHAnsi"/>
                  <w:sz w:val="28"/>
                  <w:szCs w:val="28"/>
                </w:rPr>
              </w:pPr>
            </w:p>
            <w:p w14:paraId="60928DBB" w14:textId="77777777" w:rsidR="002427A0" w:rsidRPr="00BE735F" w:rsidRDefault="002427A0">
              <w:pPr>
                <w:rPr>
                  <w:rFonts w:asciiTheme="majorHAnsi" w:hAnsiTheme="majorHAnsi" w:cstheme="majorHAnsi"/>
                  <w:sz w:val="28"/>
                  <w:szCs w:val="28"/>
                </w:rPr>
              </w:pPr>
            </w:p>
            <w:p w14:paraId="45AE2E6A" w14:textId="77777777" w:rsidR="002427A0" w:rsidRPr="00BE735F" w:rsidRDefault="002427A0">
              <w:pPr>
                <w:rPr>
                  <w:rFonts w:asciiTheme="majorHAnsi" w:hAnsiTheme="majorHAnsi" w:cstheme="majorHAnsi"/>
                  <w:sz w:val="28"/>
                  <w:szCs w:val="28"/>
                </w:rPr>
              </w:pPr>
            </w:p>
            <w:p w14:paraId="5AB434C6" w14:textId="77777777" w:rsidR="002427A0" w:rsidRPr="00BE735F" w:rsidRDefault="002427A0">
              <w:pPr>
                <w:rPr>
                  <w:rFonts w:asciiTheme="majorHAnsi" w:hAnsiTheme="majorHAnsi" w:cstheme="majorHAnsi"/>
                  <w:sz w:val="28"/>
                  <w:szCs w:val="28"/>
                </w:rPr>
              </w:pPr>
            </w:p>
            <w:p w14:paraId="5B51CD2A" w14:textId="77777777" w:rsidR="002427A0" w:rsidRPr="00BE735F" w:rsidRDefault="002427A0">
              <w:pPr>
                <w:rPr>
                  <w:rFonts w:asciiTheme="majorHAnsi" w:hAnsiTheme="majorHAnsi" w:cstheme="majorHAnsi"/>
                  <w:sz w:val="28"/>
                  <w:szCs w:val="28"/>
                </w:rPr>
              </w:pPr>
            </w:p>
            <w:p w14:paraId="526F3E41" w14:textId="77777777" w:rsidR="002427A0" w:rsidRPr="00BE735F" w:rsidRDefault="002427A0">
              <w:pPr>
                <w:rPr>
                  <w:rFonts w:asciiTheme="majorHAnsi" w:hAnsiTheme="majorHAnsi" w:cstheme="majorHAnsi"/>
                  <w:sz w:val="28"/>
                  <w:szCs w:val="28"/>
                </w:rPr>
              </w:pPr>
            </w:p>
            <w:p w14:paraId="6A1CAE53" w14:textId="77777777" w:rsidR="002427A0" w:rsidRPr="00BE735F" w:rsidRDefault="002427A0">
              <w:pPr>
                <w:rPr>
                  <w:rFonts w:asciiTheme="majorHAnsi" w:hAnsiTheme="majorHAnsi" w:cstheme="majorHAnsi"/>
                  <w:sz w:val="28"/>
                  <w:szCs w:val="28"/>
                </w:rPr>
              </w:pPr>
            </w:p>
            <w:p w14:paraId="08B38594" w14:textId="77777777" w:rsidR="002427A0" w:rsidRPr="00BE735F" w:rsidRDefault="002427A0">
              <w:pPr>
                <w:rPr>
                  <w:rFonts w:asciiTheme="majorHAnsi" w:hAnsiTheme="majorHAnsi" w:cstheme="majorHAnsi"/>
                  <w:sz w:val="28"/>
                  <w:szCs w:val="28"/>
                </w:rPr>
              </w:pPr>
            </w:p>
            <w:p w14:paraId="3849EB36" w14:textId="05B6486A" w:rsidR="009C2163" w:rsidRPr="00BE735F" w:rsidRDefault="00DE3716">
              <w:pPr>
                <w:rPr>
                  <w:rFonts w:asciiTheme="majorHAnsi" w:hAnsiTheme="majorHAnsi" w:cstheme="majorHAnsi"/>
                  <w:sz w:val="28"/>
                  <w:szCs w:val="28"/>
                </w:rPr>
              </w:pPr>
            </w:p>
          </w:sdtContent>
        </w:sdt>
      </w:sdtContent>
    </w:sdt>
    <w:p w14:paraId="76829280" w14:textId="6EA85121" w:rsidR="009C2163" w:rsidRPr="00BE735F" w:rsidRDefault="009C2163" w:rsidP="009C2163">
      <w:pPr>
        <w:pStyle w:val="Heading1"/>
        <w:rPr>
          <w:rFonts w:cstheme="majorHAnsi"/>
          <w:color w:val="auto"/>
          <w:sz w:val="28"/>
          <w:szCs w:val="28"/>
          <w:u w:val="single"/>
        </w:rPr>
      </w:pPr>
      <w:bookmarkStart w:id="0" w:name="_Toc160013296"/>
      <w:r w:rsidRPr="00BE735F">
        <w:rPr>
          <w:rFonts w:cstheme="majorHAnsi"/>
          <w:color w:val="auto"/>
          <w:sz w:val="28"/>
          <w:szCs w:val="28"/>
          <w:u w:val="single"/>
        </w:rPr>
        <w:lastRenderedPageBreak/>
        <w:t>Abstract</w:t>
      </w:r>
      <w:bookmarkEnd w:id="0"/>
    </w:p>
    <w:p w14:paraId="302624CA" w14:textId="77777777" w:rsidR="00000828" w:rsidRPr="00BE735F" w:rsidRDefault="00000828" w:rsidP="00000828">
      <w:pPr>
        <w:rPr>
          <w:rFonts w:asciiTheme="majorHAnsi" w:hAnsiTheme="majorHAnsi" w:cstheme="majorHAnsi"/>
          <w:sz w:val="28"/>
          <w:szCs w:val="28"/>
        </w:rPr>
      </w:pPr>
    </w:p>
    <w:p w14:paraId="586D0171" w14:textId="20647344" w:rsidR="009C2163" w:rsidRPr="00BE735F" w:rsidRDefault="009C2163" w:rsidP="009C2163">
      <w:pPr>
        <w:rPr>
          <w:rFonts w:asciiTheme="majorHAnsi" w:hAnsiTheme="majorHAnsi" w:cstheme="majorHAnsi"/>
          <w:sz w:val="28"/>
          <w:szCs w:val="28"/>
        </w:rPr>
      </w:pPr>
      <w:r w:rsidRPr="00BE735F">
        <w:rPr>
          <w:rFonts w:asciiTheme="majorHAnsi" w:hAnsiTheme="majorHAnsi" w:cstheme="majorHAnsi"/>
          <w:sz w:val="28"/>
          <w:szCs w:val="28"/>
        </w:rPr>
        <w:t xml:space="preserve">This paper critically examines and evaluates the future care of older persons, aligning with current initiatives and policies. It delves into the role of Information and Communication Technology (ICT), including Artificial Intelligence (AI), within future healthcare services for the </w:t>
      </w:r>
      <w:r w:rsidR="00F75EF3">
        <w:rPr>
          <w:rFonts w:asciiTheme="majorHAnsi" w:hAnsiTheme="majorHAnsi" w:cstheme="majorHAnsi"/>
          <w:sz w:val="28"/>
          <w:szCs w:val="28"/>
        </w:rPr>
        <w:t>older person</w:t>
      </w:r>
      <w:r w:rsidRPr="00BE735F">
        <w:rPr>
          <w:rFonts w:asciiTheme="majorHAnsi" w:hAnsiTheme="majorHAnsi" w:cstheme="majorHAnsi"/>
          <w:sz w:val="28"/>
          <w:szCs w:val="28"/>
        </w:rPr>
        <w:t>. The critical evaluation encompasses provisions from statutory, private, and voluntary organizations while addressing the implementation of ICT and AI advancements in eldercare. It explores the drivers of change, anticipated challenges, and strategies to overcome barriers, particularly focusing on the utilization of communication technology in rural areas.</w:t>
      </w:r>
      <w:r w:rsidR="00C12FDA" w:rsidRPr="00BE735F">
        <w:rPr>
          <w:rFonts w:asciiTheme="majorHAnsi" w:hAnsiTheme="majorHAnsi" w:cstheme="majorHAnsi"/>
          <w:sz w:val="28"/>
          <w:szCs w:val="28"/>
        </w:rPr>
        <w:t xml:space="preserve"> </w:t>
      </w:r>
    </w:p>
    <w:p w14:paraId="42C6AA07" w14:textId="77777777" w:rsidR="00DE2148" w:rsidRPr="00BE735F" w:rsidRDefault="009C2163" w:rsidP="009C2163">
      <w:pPr>
        <w:rPr>
          <w:rStyle w:val="Heading1Char"/>
          <w:rFonts w:cstheme="majorHAnsi"/>
          <w:color w:val="auto"/>
          <w:sz w:val="28"/>
          <w:szCs w:val="28"/>
          <w:u w:val="single"/>
        </w:rPr>
      </w:pPr>
      <w:bookmarkStart w:id="1" w:name="_Toc160013297"/>
      <w:r w:rsidRPr="00BE735F">
        <w:rPr>
          <w:rStyle w:val="Heading1Char"/>
          <w:rFonts w:cstheme="majorHAnsi"/>
          <w:color w:val="auto"/>
          <w:sz w:val="28"/>
          <w:szCs w:val="28"/>
          <w:u w:val="single"/>
        </w:rPr>
        <w:t>Introduction</w:t>
      </w:r>
      <w:bookmarkEnd w:id="1"/>
    </w:p>
    <w:p w14:paraId="219755F8" w14:textId="3632D67A" w:rsidR="009C2163" w:rsidRPr="00BE735F" w:rsidRDefault="00E05739" w:rsidP="009C2163">
      <w:pPr>
        <w:rPr>
          <w:rFonts w:asciiTheme="majorHAnsi" w:hAnsiTheme="majorHAnsi" w:cstheme="majorHAnsi"/>
          <w:sz w:val="28"/>
          <w:szCs w:val="28"/>
        </w:rPr>
      </w:pPr>
      <w:r w:rsidRPr="00BE735F">
        <w:rPr>
          <w:rFonts w:asciiTheme="majorHAnsi" w:hAnsiTheme="majorHAnsi" w:cstheme="majorHAnsi"/>
          <w:sz w:val="28"/>
          <w:szCs w:val="28"/>
        </w:rPr>
        <w:t xml:space="preserve">Beard and Bloom </w:t>
      </w:r>
      <w:r w:rsidRPr="00BE735F">
        <w:rPr>
          <w:rFonts w:asciiTheme="majorHAnsi" w:hAnsiTheme="majorHAnsi" w:cstheme="majorHAnsi"/>
          <w:sz w:val="28"/>
          <w:szCs w:val="28"/>
        </w:rPr>
        <w:t>(</w:t>
      </w:r>
      <w:r w:rsidRPr="00BE735F">
        <w:rPr>
          <w:rFonts w:asciiTheme="majorHAnsi" w:hAnsiTheme="majorHAnsi" w:cstheme="majorHAnsi"/>
          <w:sz w:val="28"/>
          <w:szCs w:val="28"/>
        </w:rPr>
        <w:t>2015)</w:t>
      </w:r>
      <w:r w:rsidRPr="00BE735F">
        <w:rPr>
          <w:rFonts w:asciiTheme="majorHAnsi" w:hAnsiTheme="majorHAnsi" w:cstheme="majorHAnsi"/>
          <w:sz w:val="28"/>
          <w:szCs w:val="28"/>
        </w:rPr>
        <w:t xml:space="preserve"> </w:t>
      </w:r>
      <w:r w:rsidR="00286122" w:rsidRPr="00BE735F">
        <w:rPr>
          <w:rFonts w:asciiTheme="majorHAnsi" w:hAnsiTheme="majorHAnsi" w:cstheme="majorHAnsi"/>
          <w:sz w:val="28"/>
          <w:szCs w:val="28"/>
        </w:rPr>
        <w:t>s</w:t>
      </w:r>
      <w:r w:rsidR="002C5EF8" w:rsidRPr="00BE735F">
        <w:rPr>
          <w:rFonts w:asciiTheme="majorHAnsi" w:hAnsiTheme="majorHAnsi" w:cstheme="majorHAnsi"/>
          <w:sz w:val="28"/>
          <w:szCs w:val="28"/>
        </w:rPr>
        <w:t xml:space="preserve">hare </w:t>
      </w:r>
      <w:r w:rsidR="00286122" w:rsidRPr="00BE735F">
        <w:rPr>
          <w:rFonts w:asciiTheme="majorHAnsi" w:hAnsiTheme="majorHAnsi" w:cstheme="majorHAnsi"/>
          <w:sz w:val="28"/>
          <w:szCs w:val="28"/>
        </w:rPr>
        <w:t xml:space="preserve">that </w:t>
      </w:r>
      <w:r w:rsidR="002C5EF8" w:rsidRPr="00BE735F">
        <w:rPr>
          <w:rFonts w:asciiTheme="majorHAnsi" w:hAnsiTheme="majorHAnsi" w:cstheme="majorHAnsi"/>
          <w:sz w:val="28"/>
          <w:szCs w:val="28"/>
        </w:rPr>
        <w:t>t</w:t>
      </w:r>
      <w:r w:rsidR="00D45CEC" w:rsidRPr="00BE735F">
        <w:rPr>
          <w:rFonts w:asciiTheme="majorHAnsi" w:hAnsiTheme="majorHAnsi" w:cstheme="majorHAnsi"/>
          <w:sz w:val="28"/>
          <w:szCs w:val="28"/>
        </w:rPr>
        <w:t>he global demographic shift towards an ageing population poses complex challenges to healthcare systems around the world. As older adults become a larger proportion of the population, there is an urgent need to rethink current approaches to elderly care</w:t>
      </w:r>
      <w:r w:rsidR="00236AE9" w:rsidRPr="00BE735F">
        <w:rPr>
          <w:rFonts w:asciiTheme="majorHAnsi" w:hAnsiTheme="majorHAnsi" w:cstheme="majorHAnsi"/>
          <w:sz w:val="28"/>
          <w:szCs w:val="28"/>
        </w:rPr>
        <w:t>,</w:t>
      </w:r>
      <w:r w:rsidR="00D45CEC" w:rsidRPr="00BE735F">
        <w:rPr>
          <w:rFonts w:asciiTheme="majorHAnsi" w:hAnsiTheme="majorHAnsi" w:cstheme="majorHAnsi"/>
          <w:sz w:val="28"/>
          <w:szCs w:val="28"/>
        </w:rPr>
        <w:t xml:space="preserve"> and investigate novel solutions that can ensure older people's quality of life and wellbeing. This report investigates the changing landscape </w:t>
      </w:r>
      <w:r w:rsidR="00AE1D09">
        <w:rPr>
          <w:rFonts w:asciiTheme="majorHAnsi" w:hAnsiTheme="majorHAnsi" w:cstheme="majorHAnsi"/>
          <w:sz w:val="28"/>
          <w:szCs w:val="28"/>
        </w:rPr>
        <w:t>ca</w:t>
      </w:r>
      <w:r w:rsidR="00D45CEC" w:rsidRPr="00BE735F">
        <w:rPr>
          <w:rFonts w:asciiTheme="majorHAnsi" w:hAnsiTheme="majorHAnsi" w:cstheme="majorHAnsi"/>
          <w:sz w:val="28"/>
          <w:szCs w:val="28"/>
        </w:rPr>
        <w:t>re</w:t>
      </w:r>
      <w:r w:rsidR="00AE1D09">
        <w:rPr>
          <w:rFonts w:asciiTheme="majorHAnsi" w:hAnsiTheme="majorHAnsi" w:cstheme="majorHAnsi"/>
          <w:sz w:val="28"/>
          <w:szCs w:val="28"/>
        </w:rPr>
        <w:t xml:space="preserve"> of the older person</w:t>
      </w:r>
      <w:r w:rsidR="00D45CEC" w:rsidRPr="00BE735F">
        <w:rPr>
          <w:rFonts w:asciiTheme="majorHAnsi" w:hAnsiTheme="majorHAnsi" w:cstheme="majorHAnsi"/>
          <w:sz w:val="28"/>
          <w:szCs w:val="28"/>
        </w:rPr>
        <w:t>, with a special emphasis on the incorporation of Information and Communication Technology (ICT) and Artificial Intelligence (AI) into future healthcare services</w:t>
      </w:r>
      <w:r w:rsidR="004B3041" w:rsidRPr="00BE735F">
        <w:rPr>
          <w:rFonts w:asciiTheme="majorHAnsi" w:hAnsiTheme="majorHAnsi" w:cstheme="majorHAnsi"/>
          <w:sz w:val="28"/>
          <w:szCs w:val="28"/>
        </w:rPr>
        <w:t xml:space="preserve"> </w:t>
      </w:r>
      <w:r w:rsidR="004B3041" w:rsidRPr="00BE735F">
        <w:rPr>
          <w:rFonts w:asciiTheme="majorHAnsi" w:eastAsia="Times New Roman" w:hAnsiTheme="majorHAnsi" w:cstheme="majorHAnsi"/>
          <w:kern w:val="0"/>
          <w:sz w:val="28"/>
          <w:szCs w:val="28"/>
          <w:lang w:eastAsia="en-GB"/>
          <w14:ligatures w14:val="none"/>
        </w:rPr>
        <w:t>(Hong et al., 2023)</w:t>
      </w:r>
      <w:r w:rsidR="00D45CEC" w:rsidRPr="00BE735F">
        <w:rPr>
          <w:rFonts w:asciiTheme="majorHAnsi" w:hAnsiTheme="majorHAnsi" w:cstheme="majorHAnsi"/>
          <w:sz w:val="28"/>
          <w:szCs w:val="28"/>
        </w:rPr>
        <w:t>.</w:t>
      </w:r>
    </w:p>
    <w:p w14:paraId="42AFDBF2" w14:textId="77777777" w:rsidR="00DE2148" w:rsidRPr="00BE735F" w:rsidRDefault="009C2163" w:rsidP="009C2163">
      <w:pPr>
        <w:rPr>
          <w:rStyle w:val="Heading1Char"/>
          <w:rFonts w:cstheme="majorHAnsi"/>
          <w:color w:val="auto"/>
          <w:sz w:val="28"/>
          <w:szCs w:val="28"/>
          <w:u w:val="single"/>
        </w:rPr>
      </w:pPr>
      <w:bookmarkStart w:id="2" w:name="_Toc160013298"/>
      <w:r w:rsidRPr="00BE735F">
        <w:rPr>
          <w:rStyle w:val="Heading1Char"/>
          <w:rFonts w:cstheme="majorHAnsi"/>
          <w:color w:val="auto"/>
          <w:sz w:val="28"/>
          <w:szCs w:val="28"/>
          <w:u w:val="single"/>
        </w:rPr>
        <w:t>Current Initiatives and Policy Frameworks</w:t>
      </w:r>
      <w:bookmarkEnd w:id="2"/>
    </w:p>
    <w:p w14:paraId="0836FFAA" w14:textId="07EE398C" w:rsidR="009C2163" w:rsidRPr="00BE735F" w:rsidRDefault="00E57439" w:rsidP="009C2163">
      <w:pPr>
        <w:rPr>
          <w:rFonts w:asciiTheme="majorHAnsi" w:hAnsiTheme="majorHAnsi" w:cstheme="majorHAnsi"/>
          <w:sz w:val="28"/>
          <w:szCs w:val="28"/>
        </w:rPr>
      </w:pPr>
      <w:r w:rsidRPr="00BE735F">
        <w:rPr>
          <w:rFonts w:asciiTheme="majorHAnsi" w:hAnsiTheme="majorHAnsi" w:cstheme="majorHAnsi"/>
          <w:sz w:val="28"/>
          <w:szCs w:val="28"/>
        </w:rPr>
        <w:t>Governments, healthcare agencies, and non-profit organisations have launched a variety of initiatives and policies to meet the growing demand for care</w:t>
      </w:r>
      <w:r w:rsidR="00B82059">
        <w:rPr>
          <w:rFonts w:asciiTheme="majorHAnsi" w:hAnsiTheme="majorHAnsi" w:cstheme="majorHAnsi"/>
          <w:sz w:val="28"/>
          <w:szCs w:val="28"/>
        </w:rPr>
        <w:t>of the older person</w:t>
      </w:r>
      <w:r w:rsidR="00393A2F" w:rsidRPr="00BE735F">
        <w:rPr>
          <w:rFonts w:asciiTheme="majorHAnsi" w:eastAsia="Times New Roman" w:hAnsiTheme="majorHAnsi" w:cstheme="majorHAnsi"/>
          <w:kern w:val="0"/>
          <w:sz w:val="28"/>
          <w:szCs w:val="28"/>
          <w:lang w:eastAsia="en-GB"/>
          <w14:ligatures w14:val="none"/>
        </w:rPr>
        <w:t xml:space="preserve"> </w:t>
      </w:r>
      <w:r w:rsidR="00393A2F" w:rsidRPr="00BE735F">
        <w:rPr>
          <w:rFonts w:asciiTheme="majorHAnsi" w:hAnsiTheme="majorHAnsi" w:cstheme="majorHAnsi"/>
          <w:sz w:val="28"/>
          <w:szCs w:val="28"/>
        </w:rPr>
        <w:t>(Age UK, 2018)</w:t>
      </w:r>
      <w:r w:rsidRPr="00BE735F">
        <w:rPr>
          <w:rFonts w:asciiTheme="majorHAnsi" w:hAnsiTheme="majorHAnsi" w:cstheme="majorHAnsi"/>
          <w:sz w:val="28"/>
          <w:szCs w:val="28"/>
        </w:rPr>
        <w:t>. Ageing in Place policies, Long-Term Care regulations, and Telehealth guidelines are some of the key frameworks for assisting older adults and promoting their independence and well-being. While these initiatives have made significant progress in improving access to care and service delivery, there are still challenges to ensuring equitable access to technology and closing the digital divide among older populations</w:t>
      </w:r>
      <w:r w:rsidR="00830D0E" w:rsidRPr="00BE735F">
        <w:rPr>
          <w:rFonts w:asciiTheme="majorHAnsi" w:eastAsia="Times New Roman" w:hAnsiTheme="majorHAnsi" w:cstheme="majorHAnsi"/>
          <w:kern w:val="0"/>
          <w:sz w:val="28"/>
          <w:szCs w:val="28"/>
          <w:lang w:eastAsia="en-GB"/>
          <w14:ligatures w14:val="none"/>
        </w:rPr>
        <w:t xml:space="preserve"> </w:t>
      </w:r>
      <w:r w:rsidR="00830D0E" w:rsidRPr="00BE735F">
        <w:rPr>
          <w:rFonts w:asciiTheme="majorHAnsi" w:hAnsiTheme="majorHAnsi" w:cstheme="majorHAnsi"/>
          <w:sz w:val="28"/>
          <w:szCs w:val="28"/>
        </w:rPr>
        <w:t>(Korkmaz Yaylagul et al., 2022)</w:t>
      </w:r>
      <w:r w:rsidRPr="00BE735F">
        <w:rPr>
          <w:rFonts w:asciiTheme="majorHAnsi" w:hAnsiTheme="majorHAnsi" w:cstheme="majorHAnsi"/>
          <w:sz w:val="28"/>
          <w:szCs w:val="28"/>
        </w:rPr>
        <w:t>.</w:t>
      </w:r>
    </w:p>
    <w:p w14:paraId="3BCB87D6" w14:textId="77777777" w:rsidR="00CD7938" w:rsidRPr="00BE735F" w:rsidRDefault="009C2163" w:rsidP="009C2163">
      <w:pPr>
        <w:rPr>
          <w:rStyle w:val="Heading1Char"/>
          <w:rFonts w:cstheme="majorHAnsi"/>
          <w:color w:val="auto"/>
          <w:sz w:val="28"/>
          <w:szCs w:val="28"/>
          <w:u w:val="single"/>
        </w:rPr>
      </w:pPr>
      <w:bookmarkStart w:id="3" w:name="_Toc160013299"/>
      <w:r w:rsidRPr="00BE735F">
        <w:rPr>
          <w:rStyle w:val="Heading1Char"/>
          <w:rFonts w:cstheme="majorHAnsi"/>
          <w:color w:val="auto"/>
          <w:sz w:val="28"/>
          <w:szCs w:val="28"/>
          <w:u w:val="single"/>
        </w:rPr>
        <w:t>Role of Information and Communication Technology (ICT) in Elderly Care</w:t>
      </w:r>
      <w:bookmarkEnd w:id="3"/>
    </w:p>
    <w:p w14:paraId="54A4856B" w14:textId="7DC71BE8" w:rsidR="007067AF" w:rsidRPr="00BE735F" w:rsidRDefault="007067AF" w:rsidP="009C2163">
      <w:pPr>
        <w:rPr>
          <w:rFonts w:asciiTheme="majorHAnsi" w:hAnsiTheme="majorHAnsi" w:cstheme="majorHAnsi"/>
          <w:sz w:val="28"/>
          <w:szCs w:val="28"/>
        </w:rPr>
      </w:pPr>
      <w:r w:rsidRPr="00BE735F">
        <w:rPr>
          <w:rFonts w:asciiTheme="majorHAnsi" w:hAnsiTheme="majorHAnsi" w:cstheme="majorHAnsi"/>
          <w:sz w:val="28"/>
          <w:szCs w:val="28"/>
        </w:rPr>
        <w:t xml:space="preserve"> ICT solutions provide transformative opportunities for improving</w:t>
      </w:r>
      <w:r w:rsidR="00B82059">
        <w:rPr>
          <w:rFonts w:asciiTheme="majorHAnsi" w:hAnsiTheme="majorHAnsi" w:cstheme="majorHAnsi"/>
          <w:sz w:val="28"/>
          <w:szCs w:val="28"/>
        </w:rPr>
        <w:t xml:space="preserve"> </w:t>
      </w:r>
      <w:r w:rsidRPr="00BE735F">
        <w:rPr>
          <w:rFonts w:asciiTheme="majorHAnsi" w:hAnsiTheme="majorHAnsi" w:cstheme="majorHAnsi"/>
          <w:sz w:val="28"/>
          <w:szCs w:val="28"/>
        </w:rPr>
        <w:t xml:space="preserve">care </w:t>
      </w:r>
      <w:r w:rsidR="00B82059">
        <w:rPr>
          <w:rFonts w:asciiTheme="majorHAnsi" w:hAnsiTheme="majorHAnsi" w:cstheme="majorHAnsi"/>
          <w:sz w:val="28"/>
          <w:szCs w:val="28"/>
        </w:rPr>
        <w:t xml:space="preserve">for the older persons </w:t>
      </w:r>
      <w:r w:rsidRPr="00BE735F">
        <w:rPr>
          <w:rFonts w:asciiTheme="majorHAnsi" w:hAnsiTheme="majorHAnsi" w:cstheme="majorHAnsi"/>
          <w:sz w:val="28"/>
          <w:szCs w:val="28"/>
        </w:rPr>
        <w:t xml:space="preserve">delivery, increasing access to services, and promoting active </w:t>
      </w:r>
      <w:r w:rsidRPr="00BE735F">
        <w:rPr>
          <w:rFonts w:asciiTheme="majorHAnsi" w:hAnsiTheme="majorHAnsi" w:cstheme="majorHAnsi"/>
          <w:sz w:val="28"/>
          <w:szCs w:val="28"/>
        </w:rPr>
        <w:lastRenderedPageBreak/>
        <w:t>ageing</w:t>
      </w:r>
      <w:r w:rsidR="002D6AFF" w:rsidRPr="00BE735F">
        <w:rPr>
          <w:rFonts w:asciiTheme="majorHAnsi" w:eastAsia="Times New Roman" w:hAnsiTheme="majorHAnsi" w:cstheme="majorHAnsi"/>
          <w:kern w:val="0"/>
          <w:sz w:val="28"/>
          <w:szCs w:val="28"/>
          <w:lang w:eastAsia="en-GB"/>
          <w14:ligatures w14:val="none"/>
        </w:rPr>
        <w:t xml:space="preserve"> </w:t>
      </w:r>
      <w:r w:rsidR="002D6AFF" w:rsidRPr="00BE735F">
        <w:rPr>
          <w:rFonts w:asciiTheme="majorHAnsi" w:hAnsiTheme="majorHAnsi" w:cstheme="majorHAnsi"/>
          <w:sz w:val="28"/>
          <w:szCs w:val="28"/>
        </w:rPr>
        <w:t>(Knapp et al., 2022)</w:t>
      </w:r>
      <w:r w:rsidRPr="00BE735F">
        <w:rPr>
          <w:rFonts w:asciiTheme="majorHAnsi" w:hAnsiTheme="majorHAnsi" w:cstheme="majorHAnsi"/>
          <w:sz w:val="28"/>
          <w:szCs w:val="28"/>
        </w:rPr>
        <w:t>. Telehealth platforms, remote monitoring devices, and digital health</w:t>
      </w:r>
      <w:r w:rsidR="00126943" w:rsidRPr="00BE735F">
        <w:rPr>
          <w:rFonts w:asciiTheme="majorHAnsi" w:hAnsiTheme="majorHAnsi" w:cstheme="majorHAnsi"/>
          <w:sz w:val="28"/>
          <w:szCs w:val="28"/>
        </w:rPr>
        <w:t xml:space="preserve"> </w:t>
      </w:r>
      <w:r w:rsidRPr="00BE735F">
        <w:rPr>
          <w:rFonts w:asciiTheme="majorHAnsi" w:hAnsiTheme="majorHAnsi" w:cstheme="majorHAnsi"/>
          <w:sz w:val="28"/>
          <w:szCs w:val="28"/>
        </w:rPr>
        <w:t>records allow older adults to receive timely and personalised care from the comfort of their own homes, reducing the need for frequent hospital visits while improving health outcomes. Furthermore, ICT interventions such as social networking platforms and virtual support groups help older adults form social connections and combat loneliness, thereby improving mental health and well-being</w:t>
      </w:r>
      <w:r w:rsidR="00F4735F" w:rsidRPr="00BE735F">
        <w:rPr>
          <w:rFonts w:asciiTheme="majorHAnsi" w:eastAsia="Times New Roman" w:hAnsiTheme="majorHAnsi" w:cstheme="majorHAnsi"/>
          <w:kern w:val="0"/>
          <w:sz w:val="28"/>
          <w:szCs w:val="28"/>
          <w:lang w:eastAsia="en-GB"/>
          <w14:ligatures w14:val="none"/>
        </w:rPr>
        <w:t xml:space="preserve"> </w:t>
      </w:r>
      <w:r w:rsidR="00F4735F" w:rsidRPr="00BE735F">
        <w:rPr>
          <w:rFonts w:asciiTheme="majorHAnsi" w:hAnsiTheme="majorHAnsi" w:cstheme="majorHAnsi"/>
          <w:sz w:val="28"/>
          <w:szCs w:val="28"/>
        </w:rPr>
        <w:t>(National Health Service, 2022)</w:t>
      </w:r>
      <w:r w:rsidRPr="00BE735F">
        <w:rPr>
          <w:rFonts w:asciiTheme="majorHAnsi" w:hAnsiTheme="majorHAnsi" w:cstheme="majorHAnsi"/>
          <w:sz w:val="28"/>
          <w:szCs w:val="28"/>
        </w:rPr>
        <w:t>.</w:t>
      </w:r>
    </w:p>
    <w:p w14:paraId="32070CFB" w14:textId="77777777" w:rsidR="00CD7938" w:rsidRPr="00BE735F" w:rsidRDefault="009C2163" w:rsidP="009C2163">
      <w:pPr>
        <w:rPr>
          <w:rStyle w:val="Heading1Char"/>
          <w:rFonts w:cstheme="majorHAnsi"/>
          <w:color w:val="auto"/>
          <w:sz w:val="28"/>
          <w:szCs w:val="28"/>
          <w:u w:val="single"/>
        </w:rPr>
      </w:pPr>
      <w:bookmarkStart w:id="4" w:name="_Toc160013300"/>
      <w:r w:rsidRPr="00BE735F">
        <w:rPr>
          <w:rStyle w:val="Heading1Char"/>
          <w:rFonts w:cstheme="majorHAnsi"/>
          <w:color w:val="auto"/>
          <w:sz w:val="28"/>
          <w:szCs w:val="28"/>
          <w:u w:val="single"/>
        </w:rPr>
        <w:t>Integration of Artificial Intelligence (AI) in Elderly Care Services</w:t>
      </w:r>
      <w:bookmarkEnd w:id="4"/>
    </w:p>
    <w:p w14:paraId="57AFF2C4" w14:textId="7FC07286" w:rsidR="00304BC8" w:rsidRPr="00BE735F" w:rsidRDefault="00DA675C" w:rsidP="009C2163">
      <w:pPr>
        <w:rPr>
          <w:rFonts w:asciiTheme="majorHAnsi" w:hAnsiTheme="majorHAnsi" w:cstheme="majorHAnsi"/>
          <w:sz w:val="28"/>
          <w:szCs w:val="28"/>
        </w:rPr>
      </w:pPr>
      <w:r w:rsidRPr="00BE735F">
        <w:rPr>
          <w:rFonts w:asciiTheme="majorHAnsi" w:hAnsiTheme="majorHAnsi" w:cstheme="majorHAnsi"/>
          <w:sz w:val="28"/>
          <w:szCs w:val="28"/>
        </w:rPr>
        <w:t xml:space="preserve"> </w:t>
      </w:r>
      <w:r w:rsidR="00304BC8" w:rsidRPr="00BE735F">
        <w:rPr>
          <w:rFonts w:asciiTheme="majorHAnsi" w:hAnsiTheme="majorHAnsi" w:cstheme="majorHAnsi"/>
          <w:sz w:val="28"/>
          <w:szCs w:val="28"/>
        </w:rPr>
        <w:t>AI technologies have the potential to completely transform healthcare delivery by enabling predictive analytics, personalised treatment plans, and intelligent decision support systems</w:t>
      </w:r>
      <w:r w:rsidR="009760F0" w:rsidRPr="00BE735F">
        <w:rPr>
          <w:rFonts w:asciiTheme="majorHAnsi" w:eastAsia="Times New Roman" w:hAnsiTheme="majorHAnsi" w:cstheme="majorHAnsi"/>
          <w:kern w:val="0"/>
          <w:sz w:val="28"/>
          <w:szCs w:val="28"/>
          <w:lang w:eastAsia="en-GB"/>
          <w14:ligatures w14:val="none"/>
        </w:rPr>
        <w:t xml:space="preserve"> </w:t>
      </w:r>
      <w:r w:rsidR="009760F0" w:rsidRPr="00BE735F">
        <w:rPr>
          <w:rFonts w:asciiTheme="majorHAnsi" w:hAnsiTheme="majorHAnsi" w:cstheme="majorHAnsi"/>
          <w:sz w:val="28"/>
          <w:szCs w:val="28"/>
        </w:rPr>
        <w:t>(Johnson et al., 2020</w:t>
      </w:r>
      <w:r w:rsidR="009F5FA1" w:rsidRPr="00BE735F">
        <w:rPr>
          <w:rFonts w:asciiTheme="majorHAnsi" w:hAnsiTheme="majorHAnsi" w:cstheme="majorHAnsi"/>
          <w:sz w:val="28"/>
          <w:szCs w:val="28"/>
        </w:rPr>
        <w:t>)</w:t>
      </w:r>
      <w:r w:rsidR="0019592A" w:rsidRPr="00BE735F">
        <w:rPr>
          <w:rFonts w:asciiTheme="majorHAnsi" w:eastAsia="Times New Roman" w:hAnsiTheme="majorHAnsi" w:cstheme="majorHAnsi"/>
          <w:kern w:val="0"/>
          <w:sz w:val="28"/>
          <w:szCs w:val="28"/>
          <w:lang w:eastAsia="en-GB"/>
          <w14:ligatures w14:val="none"/>
        </w:rPr>
        <w:t xml:space="preserve"> </w:t>
      </w:r>
      <w:r w:rsidR="0019592A" w:rsidRPr="00BE735F">
        <w:rPr>
          <w:rFonts w:asciiTheme="majorHAnsi" w:hAnsiTheme="majorHAnsi" w:cstheme="majorHAnsi"/>
          <w:sz w:val="28"/>
          <w:szCs w:val="28"/>
        </w:rPr>
        <w:t>(Davenport and Kalakota, 2019)</w:t>
      </w:r>
      <w:r w:rsidR="00304BC8" w:rsidRPr="00BE735F">
        <w:rPr>
          <w:rFonts w:asciiTheme="majorHAnsi" w:hAnsiTheme="majorHAnsi" w:cstheme="majorHAnsi"/>
          <w:sz w:val="28"/>
          <w:szCs w:val="28"/>
        </w:rPr>
        <w:t>. Machine learning algorithms can analyse massive amounts of patient data to identify patterns, predict disease progression, and stratify risk factors, allowing doctors to intervene early and avoid negative outcomes. Virtual assistants with natural language processing capabilities provide personalised health advice, medication reminders, and emotional support to older adults, thereby improving their overall quality of life and independence</w:t>
      </w:r>
      <w:r w:rsidR="009A2A7E" w:rsidRPr="00BE735F">
        <w:rPr>
          <w:rFonts w:asciiTheme="majorHAnsi" w:eastAsia="Times New Roman" w:hAnsiTheme="majorHAnsi" w:cstheme="majorHAnsi"/>
          <w:kern w:val="0"/>
          <w:sz w:val="28"/>
          <w:szCs w:val="28"/>
          <w:lang w:eastAsia="en-GB"/>
          <w14:ligatures w14:val="none"/>
        </w:rPr>
        <w:t xml:space="preserve"> </w:t>
      </w:r>
      <w:r w:rsidR="009A2A7E" w:rsidRPr="00BE735F">
        <w:rPr>
          <w:rFonts w:asciiTheme="majorHAnsi" w:hAnsiTheme="majorHAnsi" w:cstheme="majorHAnsi"/>
          <w:sz w:val="28"/>
          <w:szCs w:val="28"/>
        </w:rPr>
        <w:t>(Roy, 2023)</w:t>
      </w:r>
      <w:r w:rsidR="00304BC8" w:rsidRPr="00BE735F">
        <w:rPr>
          <w:rFonts w:asciiTheme="majorHAnsi" w:hAnsiTheme="majorHAnsi" w:cstheme="majorHAnsi"/>
          <w:sz w:val="28"/>
          <w:szCs w:val="28"/>
        </w:rPr>
        <w:t>.</w:t>
      </w:r>
    </w:p>
    <w:p w14:paraId="0AD8FE53" w14:textId="68DEC572" w:rsidR="009C2163" w:rsidRPr="00BE735F" w:rsidRDefault="009C2163" w:rsidP="009C2163">
      <w:pPr>
        <w:rPr>
          <w:rFonts w:asciiTheme="majorHAnsi" w:hAnsiTheme="majorHAnsi" w:cstheme="majorHAnsi"/>
          <w:sz w:val="28"/>
          <w:szCs w:val="28"/>
          <w:u w:val="single"/>
        </w:rPr>
      </w:pPr>
      <w:bookmarkStart w:id="5" w:name="_Toc160013301"/>
      <w:r w:rsidRPr="00BE735F">
        <w:rPr>
          <w:rStyle w:val="Heading1Char"/>
          <w:rFonts w:cstheme="majorHAnsi"/>
          <w:color w:val="auto"/>
          <w:sz w:val="28"/>
          <w:szCs w:val="28"/>
          <w:u w:val="single"/>
        </w:rPr>
        <w:t>Provisions from Statutory, Private, and Voluntary Organizations</w:t>
      </w:r>
      <w:bookmarkEnd w:id="5"/>
      <w:r w:rsidRPr="00BE735F">
        <w:rPr>
          <w:rFonts w:asciiTheme="majorHAnsi" w:hAnsiTheme="majorHAnsi" w:cstheme="majorHAnsi"/>
          <w:sz w:val="28"/>
          <w:szCs w:val="28"/>
          <w:u w:val="single"/>
        </w:rPr>
        <w:t xml:space="preserve"> </w:t>
      </w:r>
    </w:p>
    <w:p w14:paraId="1BD25EDA" w14:textId="62A81E3A" w:rsidR="00FE635E" w:rsidRPr="00BE735F" w:rsidRDefault="0090763B" w:rsidP="009C2163">
      <w:pPr>
        <w:rPr>
          <w:rFonts w:asciiTheme="majorHAnsi" w:hAnsiTheme="majorHAnsi" w:cstheme="majorHAnsi"/>
          <w:sz w:val="28"/>
          <w:szCs w:val="28"/>
        </w:rPr>
      </w:pPr>
      <w:r w:rsidRPr="0090763B">
        <w:rPr>
          <w:rFonts w:asciiTheme="majorHAnsi" w:hAnsiTheme="majorHAnsi" w:cstheme="majorHAnsi"/>
          <w:sz w:val="28"/>
          <w:szCs w:val="28"/>
        </w:rPr>
        <w:t xml:space="preserve">Department of Health and Social Care </w:t>
      </w:r>
      <w:r w:rsidR="00B7473F" w:rsidRPr="00BE735F">
        <w:rPr>
          <w:rFonts w:asciiTheme="majorHAnsi" w:hAnsiTheme="majorHAnsi" w:cstheme="majorHAnsi"/>
          <w:sz w:val="28"/>
          <w:szCs w:val="28"/>
        </w:rPr>
        <w:t>(</w:t>
      </w:r>
      <w:r w:rsidRPr="0090763B">
        <w:rPr>
          <w:rFonts w:asciiTheme="majorHAnsi" w:hAnsiTheme="majorHAnsi" w:cstheme="majorHAnsi"/>
          <w:sz w:val="28"/>
          <w:szCs w:val="28"/>
        </w:rPr>
        <w:t>2023)</w:t>
      </w:r>
      <w:r w:rsidR="002769DB" w:rsidRPr="00BE735F">
        <w:rPr>
          <w:rFonts w:asciiTheme="majorHAnsi" w:hAnsiTheme="majorHAnsi" w:cstheme="majorHAnsi"/>
          <w:sz w:val="28"/>
          <w:szCs w:val="28"/>
        </w:rPr>
        <w:t xml:space="preserve"> </w:t>
      </w:r>
      <w:r w:rsidR="008C0BC8" w:rsidRPr="00BE735F">
        <w:rPr>
          <w:rFonts w:asciiTheme="majorHAnsi" w:hAnsiTheme="majorHAnsi" w:cstheme="majorHAnsi"/>
          <w:sz w:val="28"/>
          <w:szCs w:val="28"/>
        </w:rPr>
        <w:t>e</w:t>
      </w:r>
      <w:r w:rsidR="002769DB" w:rsidRPr="00BE735F">
        <w:rPr>
          <w:rFonts w:asciiTheme="majorHAnsi" w:hAnsiTheme="majorHAnsi" w:cstheme="majorHAnsi"/>
          <w:sz w:val="28"/>
          <w:szCs w:val="28"/>
        </w:rPr>
        <w:t>xplains that</w:t>
      </w:r>
      <w:r w:rsidR="00B7473F" w:rsidRPr="00BE735F">
        <w:rPr>
          <w:rFonts w:asciiTheme="majorHAnsi" w:hAnsiTheme="majorHAnsi" w:cstheme="majorHAnsi"/>
          <w:sz w:val="28"/>
          <w:szCs w:val="28"/>
        </w:rPr>
        <w:t xml:space="preserve"> </w:t>
      </w:r>
      <w:r w:rsidR="002769DB" w:rsidRPr="00BE735F">
        <w:rPr>
          <w:rFonts w:asciiTheme="majorHAnsi" w:hAnsiTheme="majorHAnsi" w:cstheme="majorHAnsi"/>
          <w:sz w:val="28"/>
          <w:szCs w:val="28"/>
        </w:rPr>
        <w:t>t</w:t>
      </w:r>
      <w:r w:rsidR="00FE635E" w:rsidRPr="00BE735F">
        <w:rPr>
          <w:rFonts w:asciiTheme="majorHAnsi" w:hAnsiTheme="majorHAnsi" w:cstheme="majorHAnsi"/>
          <w:sz w:val="28"/>
          <w:szCs w:val="28"/>
        </w:rPr>
        <w:t xml:space="preserve">he delivery of elderly care services requires collaboration between statutory, private, and voluntary organisations. Statutory bodies create laws and regulatory frameworks to ensure quality standards, protect patient rights, and govern the use of technology in healthcare settings. </w:t>
      </w:r>
      <w:r w:rsidR="00F33860" w:rsidRPr="00BE735F">
        <w:rPr>
          <w:rFonts w:asciiTheme="majorHAnsi" w:hAnsiTheme="majorHAnsi" w:cstheme="majorHAnsi"/>
          <w:sz w:val="28"/>
          <w:szCs w:val="28"/>
        </w:rPr>
        <w:t xml:space="preserve">World Health Organisation </w:t>
      </w:r>
      <w:r w:rsidR="00F33860" w:rsidRPr="00BE735F">
        <w:rPr>
          <w:rFonts w:asciiTheme="majorHAnsi" w:hAnsiTheme="majorHAnsi" w:cstheme="majorHAnsi"/>
          <w:sz w:val="28"/>
          <w:szCs w:val="28"/>
        </w:rPr>
        <w:t>(</w:t>
      </w:r>
      <w:r w:rsidR="00F33860" w:rsidRPr="00BE735F">
        <w:rPr>
          <w:rFonts w:asciiTheme="majorHAnsi" w:hAnsiTheme="majorHAnsi" w:cstheme="majorHAnsi"/>
          <w:sz w:val="28"/>
          <w:szCs w:val="28"/>
        </w:rPr>
        <w:t>2016)</w:t>
      </w:r>
      <w:r w:rsidR="00F33860" w:rsidRPr="00BE735F">
        <w:rPr>
          <w:rFonts w:asciiTheme="majorHAnsi" w:hAnsiTheme="majorHAnsi" w:cstheme="majorHAnsi"/>
          <w:sz w:val="28"/>
          <w:szCs w:val="28"/>
        </w:rPr>
        <w:t xml:space="preserve"> </w:t>
      </w:r>
      <w:r w:rsidR="0066763E" w:rsidRPr="00BE735F">
        <w:rPr>
          <w:rFonts w:asciiTheme="majorHAnsi" w:hAnsiTheme="majorHAnsi" w:cstheme="majorHAnsi"/>
          <w:sz w:val="28"/>
          <w:szCs w:val="28"/>
        </w:rPr>
        <w:t>e</w:t>
      </w:r>
      <w:r w:rsidR="0003203E" w:rsidRPr="00BE735F">
        <w:rPr>
          <w:rFonts w:asciiTheme="majorHAnsi" w:hAnsiTheme="majorHAnsi" w:cstheme="majorHAnsi"/>
          <w:sz w:val="28"/>
          <w:szCs w:val="28"/>
        </w:rPr>
        <w:t>xplains that p</w:t>
      </w:r>
      <w:r w:rsidR="00FE635E" w:rsidRPr="00BE735F">
        <w:rPr>
          <w:rFonts w:asciiTheme="majorHAnsi" w:hAnsiTheme="majorHAnsi" w:cstheme="majorHAnsi"/>
          <w:sz w:val="28"/>
          <w:szCs w:val="28"/>
        </w:rPr>
        <w:t>rivate healthcare providers and suppliers of technology play critical roles in creating innovative solutions and providing high-quality care to older adults. Voluntary organisations, such as non-profits and community-based groups, provide support, advocacy, and outreach programmes to older people and their carers, emphasising holistic and person-centered care approaches</w:t>
      </w:r>
      <w:r w:rsidR="00411A8D" w:rsidRPr="00BE735F">
        <w:rPr>
          <w:rFonts w:asciiTheme="majorHAnsi" w:hAnsiTheme="majorHAnsi" w:cstheme="majorHAnsi"/>
          <w:sz w:val="28"/>
          <w:szCs w:val="28"/>
        </w:rPr>
        <w:t xml:space="preserve"> </w:t>
      </w:r>
      <w:r w:rsidR="00F6788E" w:rsidRPr="00BE735F">
        <w:rPr>
          <w:rFonts w:asciiTheme="majorHAnsi" w:hAnsiTheme="majorHAnsi" w:cstheme="majorHAnsi"/>
          <w:sz w:val="28"/>
          <w:szCs w:val="28"/>
        </w:rPr>
        <w:t>(NHS England, 2023)</w:t>
      </w:r>
      <w:r w:rsidR="00FE635E" w:rsidRPr="00BE735F">
        <w:rPr>
          <w:rFonts w:asciiTheme="majorHAnsi" w:hAnsiTheme="majorHAnsi" w:cstheme="majorHAnsi"/>
          <w:sz w:val="28"/>
          <w:szCs w:val="28"/>
        </w:rPr>
        <w:t>.</w:t>
      </w:r>
    </w:p>
    <w:p w14:paraId="697618C6" w14:textId="77777777" w:rsidR="00CD7938" w:rsidRPr="00BE735F" w:rsidRDefault="009C2163" w:rsidP="009C2163">
      <w:pPr>
        <w:rPr>
          <w:rFonts w:asciiTheme="majorHAnsi" w:hAnsiTheme="majorHAnsi" w:cstheme="majorHAnsi"/>
          <w:b/>
          <w:bCs/>
          <w:sz w:val="28"/>
          <w:szCs w:val="28"/>
          <w:u w:val="single"/>
        </w:rPr>
      </w:pPr>
      <w:bookmarkStart w:id="6" w:name="_Toc160013302"/>
      <w:r w:rsidRPr="00BE735F">
        <w:rPr>
          <w:rStyle w:val="Heading1Char"/>
          <w:rFonts w:cstheme="majorHAnsi"/>
          <w:color w:val="auto"/>
          <w:sz w:val="28"/>
          <w:szCs w:val="28"/>
          <w:u w:val="single"/>
        </w:rPr>
        <w:t>Implementation Challenges and Solutions</w:t>
      </w:r>
      <w:bookmarkEnd w:id="6"/>
    </w:p>
    <w:p w14:paraId="133EBE3A" w14:textId="18E5BDE6" w:rsidR="0082179F" w:rsidRPr="00BE735F" w:rsidRDefault="0082179F" w:rsidP="009C2163">
      <w:pPr>
        <w:rPr>
          <w:rFonts w:asciiTheme="majorHAnsi" w:hAnsiTheme="majorHAnsi" w:cstheme="majorHAnsi"/>
          <w:sz w:val="28"/>
          <w:szCs w:val="28"/>
        </w:rPr>
      </w:pPr>
      <w:r w:rsidRPr="00BE735F">
        <w:rPr>
          <w:rFonts w:asciiTheme="majorHAnsi" w:hAnsiTheme="majorHAnsi" w:cstheme="majorHAnsi"/>
          <w:sz w:val="28"/>
          <w:szCs w:val="28"/>
        </w:rPr>
        <w:t xml:space="preserve">Despite the potential benefits, integrating ICT and AI into care for the </w:t>
      </w:r>
      <w:r w:rsidR="005F15E6">
        <w:rPr>
          <w:rFonts w:asciiTheme="majorHAnsi" w:hAnsiTheme="majorHAnsi" w:cstheme="majorHAnsi"/>
          <w:sz w:val="28"/>
          <w:szCs w:val="28"/>
        </w:rPr>
        <w:t xml:space="preserve">older persons </w:t>
      </w:r>
      <w:r w:rsidRPr="00BE735F">
        <w:rPr>
          <w:rFonts w:asciiTheme="majorHAnsi" w:hAnsiTheme="majorHAnsi" w:cstheme="majorHAnsi"/>
          <w:sz w:val="28"/>
          <w:szCs w:val="28"/>
        </w:rPr>
        <w:t>services presents a number of challenges, including technological barriers, privacy concerns, and disparities in access to digital resources</w:t>
      </w:r>
      <w:r w:rsidR="005426F9" w:rsidRPr="00BE735F">
        <w:rPr>
          <w:rFonts w:asciiTheme="majorHAnsi" w:eastAsia="Times New Roman" w:hAnsiTheme="majorHAnsi" w:cstheme="majorHAnsi"/>
          <w:kern w:val="0"/>
          <w:sz w:val="28"/>
          <w:szCs w:val="28"/>
          <w:lang w:eastAsia="en-GB"/>
          <w14:ligatures w14:val="none"/>
        </w:rPr>
        <w:t xml:space="preserve"> </w:t>
      </w:r>
      <w:r w:rsidR="005426F9" w:rsidRPr="00BE735F">
        <w:rPr>
          <w:rFonts w:asciiTheme="majorHAnsi" w:hAnsiTheme="majorHAnsi" w:cstheme="majorHAnsi"/>
          <w:sz w:val="28"/>
          <w:szCs w:val="28"/>
        </w:rPr>
        <w:t>(Wang et al., 2019)</w:t>
      </w:r>
      <w:r w:rsidR="005426F9" w:rsidRPr="00BE735F">
        <w:rPr>
          <w:rFonts w:asciiTheme="majorHAnsi" w:hAnsiTheme="majorHAnsi" w:cstheme="majorHAnsi"/>
          <w:sz w:val="28"/>
          <w:szCs w:val="28"/>
        </w:rPr>
        <w:t xml:space="preserve">. </w:t>
      </w:r>
      <w:r w:rsidRPr="00BE735F">
        <w:rPr>
          <w:rFonts w:asciiTheme="majorHAnsi" w:hAnsiTheme="majorHAnsi" w:cstheme="majorHAnsi"/>
          <w:sz w:val="28"/>
          <w:szCs w:val="28"/>
        </w:rPr>
        <w:t xml:space="preserve">Rural communities, in particular, face unique challenges due to limited internet access, infrastructure gaps, and cultural barriers to </w:t>
      </w:r>
      <w:r w:rsidRPr="00BE735F">
        <w:rPr>
          <w:rFonts w:asciiTheme="majorHAnsi" w:hAnsiTheme="majorHAnsi" w:cstheme="majorHAnsi"/>
          <w:sz w:val="28"/>
          <w:szCs w:val="28"/>
        </w:rPr>
        <w:lastRenderedPageBreak/>
        <w:t>technological adoption. To address these challenges, stakeholders must work together to create tailored solutions, such as mobile health clinics, community-based telemedicine programmes, and digital literacy training initiatives, that cater to the unique needs and preferences of older adults in rural and underserved areas</w:t>
      </w:r>
      <w:r w:rsidR="00F537CD" w:rsidRPr="00BE735F">
        <w:rPr>
          <w:rFonts w:asciiTheme="majorHAnsi" w:eastAsia="Times New Roman" w:hAnsiTheme="majorHAnsi" w:cstheme="majorHAnsi"/>
          <w:kern w:val="0"/>
          <w:sz w:val="28"/>
          <w:szCs w:val="28"/>
          <w:lang w:eastAsia="en-GB"/>
          <w14:ligatures w14:val="none"/>
        </w:rPr>
        <w:t xml:space="preserve"> </w:t>
      </w:r>
      <w:r w:rsidR="00F537CD" w:rsidRPr="00BE735F">
        <w:rPr>
          <w:rFonts w:asciiTheme="majorHAnsi" w:hAnsiTheme="majorHAnsi" w:cstheme="majorHAnsi"/>
          <w:sz w:val="28"/>
          <w:szCs w:val="28"/>
        </w:rPr>
        <w:t>(Jakobsen, Mikalsen and Lilleng, 2023)</w:t>
      </w:r>
      <w:r w:rsidRPr="00BE735F">
        <w:rPr>
          <w:rFonts w:asciiTheme="majorHAnsi" w:hAnsiTheme="majorHAnsi" w:cstheme="majorHAnsi"/>
          <w:sz w:val="28"/>
          <w:szCs w:val="28"/>
        </w:rPr>
        <w:t>.</w:t>
      </w:r>
    </w:p>
    <w:p w14:paraId="7E5F833F" w14:textId="77777777" w:rsidR="00CD7938" w:rsidRPr="00BE735F" w:rsidRDefault="009C2163" w:rsidP="009C2163">
      <w:pPr>
        <w:rPr>
          <w:rStyle w:val="Heading1Char"/>
          <w:rFonts w:cstheme="majorHAnsi"/>
          <w:color w:val="auto"/>
          <w:sz w:val="28"/>
          <w:szCs w:val="28"/>
          <w:u w:val="single"/>
        </w:rPr>
      </w:pPr>
      <w:bookmarkStart w:id="7" w:name="_Toc160013303"/>
      <w:r w:rsidRPr="00BE735F">
        <w:rPr>
          <w:rStyle w:val="Heading1Char"/>
          <w:rFonts w:cstheme="majorHAnsi"/>
          <w:color w:val="auto"/>
          <w:sz w:val="28"/>
          <w:szCs w:val="28"/>
          <w:u w:val="single"/>
        </w:rPr>
        <w:t>Legislation and Regulatory Frameworks</w:t>
      </w:r>
      <w:bookmarkEnd w:id="7"/>
    </w:p>
    <w:p w14:paraId="695B0BC7" w14:textId="1DCD9089" w:rsidR="009C2163" w:rsidRPr="00BE735F" w:rsidRDefault="002D5391" w:rsidP="009C2163">
      <w:pPr>
        <w:rPr>
          <w:rFonts w:asciiTheme="majorHAnsi" w:hAnsiTheme="majorHAnsi" w:cstheme="majorHAnsi"/>
          <w:sz w:val="28"/>
          <w:szCs w:val="28"/>
        </w:rPr>
      </w:pPr>
      <w:r w:rsidRPr="002D5391">
        <w:rPr>
          <w:rFonts w:asciiTheme="majorHAnsi" w:hAnsiTheme="majorHAnsi" w:cstheme="majorHAnsi"/>
          <w:sz w:val="28"/>
          <w:szCs w:val="28"/>
        </w:rPr>
        <w:t xml:space="preserve">Al Kuwaiti et al. </w:t>
      </w:r>
      <w:r w:rsidRPr="00BE735F">
        <w:rPr>
          <w:rFonts w:asciiTheme="majorHAnsi" w:hAnsiTheme="majorHAnsi" w:cstheme="majorHAnsi"/>
          <w:sz w:val="28"/>
          <w:szCs w:val="28"/>
        </w:rPr>
        <w:t>(</w:t>
      </w:r>
      <w:r w:rsidRPr="002D5391">
        <w:rPr>
          <w:rFonts w:asciiTheme="majorHAnsi" w:hAnsiTheme="majorHAnsi" w:cstheme="majorHAnsi"/>
          <w:sz w:val="28"/>
          <w:szCs w:val="28"/>
        </w:rPr>
        <w:t>2023)</w:t>
      </w:r>
      <w:r w:rsidRPr="00BE735F">
        <w:rPr>
          <w:rFonts w:asciiTheme="majorHAnsi" w:hAnsiTheme="majorHAnsi" w:cstheme="majorHAnsi"/>
          <w:sz w:val="28"/>
          <w:szCs w:val="28"/>
        </w:rPr>
        <w:t xml:space="preserve"> explain that l</w:t>
      </w:r>
      <w:r w:rsidR="009C2163" w:rsidRPr="00BE735F">
        <w:rPr>
          <w:rFonts w:asciiTheme="majorHAnsi" w:hAnsiTheme="majorHAnsi" w:cstheme="majorHAnsi"/>
          <w:sz w:val="28"/>
          <w:szCs w:val="28"/>
        </w:rPr>
        <w:t>egislation plays a crucial role in shaping the future of elderly care and governing the integration of Information and Communication Technology (ICT) and Artificial Intelligence (AI) into healthcare services. Recommendations for legislation include:</w:t>
      </w:r>
    </w:p>
    <w:p w14:paraId="64DFBFA9" w14:textId="3AC90909" w:rsidR="009C2163" w:rsidRPr="00BE735F" w:rsidRDefault="009C2163" w:rsidP="001E7A9F">
      <w:pPr>
        <w:numPr>
          <w:ilvl w:val="0"/>
          <w:numId w:val="13"/>
        </w:numPr>
        <w:rPr>
          <w:rFonts w:asciiTheme="majorHAnsi" w:hAnsiTheme="majorHAnsi" w:cstheme="majorHAnsi"/>
          <w:sz w:val="28"/>
          <w:szCs w:val="28"/>
        </w:rPr>
      </w:pPr>
      <w:r w:rsidRPr="00BE735F">
        <w:rPr>
          <w:rFonts w:asciiTheme="majorHAnsi" w:hAnsiTheme="majorHAnsi" w:cstheme="majorHAnsi"/>
          <w:sz w:val="28"/>
          <w:szCs w:val="28"/>
        </w:rPr>
        <w:t>Establish Regulatory Frameworks: Develop comprehensive regulatory frameworks that govern the use of ICT and AI in elderly care, ensuring adherence to ethical standards, patient safety, and data privacy regulations</w:t>
      </w:r>
      <w:r w:rsidR="001E7A9F" w:rsidRPr="00BE735F">
        <w:rPr>
          <w:rFonts w:asciiTheme="majorHAnsi" w:eastAsia="Times New Roman" w:hAnsiTheme="majorHAnsi" w:cstheme="majorHAnsi"/>
          <w:kern w:val="0"/>
          <w:sz w:val="28"/>
          <w:szCs w:val="28"/>
          <w:lang w:eastAsia="en-GB"/>
          <w14:ligatures w14:val="none"/>
        </w:rPr>
        <w:t xml:space="preserve"> </w:t>
      </w:r>
      <w:r w:rsidR="001E7A9F" w:rsidRPr="00BE735F">
        <w:rPr>
          <w:rFonts w:asciiTheme="majorHAnsi" w:hAnsiTheme="majorHAnsi" w:cstheme="majorHAnsi"/>
          <w:sz w:val="28"/>
          <w:szCs w:val="28"/>
        </w:rPr>
        <w:t>(Gallo and Nair, 2024)</w:t>
      </w:r>
      <w:r w:rsidRPr="00BE735F">
        <w:rPr>
          <w:rFonts w:asciiTheme="majorHAnsi" w:hAnsiTheme="majorHAnsi" w:cstheme="majorHAnsi"/>
          <w:sz w:val="28"/>
          <w:szCs w:val="28"/>
        </w:rPr>
        <w:t>.</w:t>
      </w:r>
    </w:p>
    <w:p w14:paraId="76C8A596" w14:textId="543583F1" w:rsidR="009C2163" w:rsidRPr="00BE735F" w:rsidRDefault="009C2163" w:rsidP="00E5155A">
      <w:pPr>
        <w:numPr>
          <w:ilvl w:val="0"/>
          <w:numId w:val="13"/>
        </w:numPr>
        <w:rPr>
          <w:rFonts w:asciiTheme="majorHAnsi" w:hAnsiTheme="majorHAnsi" w:cstheme="majorHAnsi"/>
          <w:sz w:val="28"/>
          <w:szCs w:val="28"/>
        </w:rPr>
      </w:pPr>
      <w:r w:rsidRPr="00BE735F">
        <w:rPr>
          <w:rFonts w:asciiTheme="majorHAnsi" w:hAnsiTheme="majorHAnsi" w:cstheme="majorHAnsi"/>
          <w:sz w:val="28"/>
          <w:szCs w:val="28"/>
        </w:rPr>
        <w:t>Enact Telehealth and Telemedicine Laws: Enact legislation to support the expansion of telehealth and telemedicine services, including reimbursement policies, licensure requirements, and telecommunication infrastructure investments</w:t>
      </w:r>
      <w:r w:rsidR="00E5155A" w:rsidRPr="00BE735F">
        <w:rPr>
          <w:rFonts w:asciiTheme="majorHAnsi" w:eastAsia="Times New Roman" w:hAnsiTheme="majorHAnsi" w:cstheme="majorHAnsi"/>
          <w:kern w:val="0"/>
          <w:sz w:val="28"/>
          <w:szCs w:val="28"/>
          <w:lang w:eastAsia="en-GB"/>
          <w14:ligatures w14:val="none"/>
        </w:rPr>
        <w:t xml:space="preserve"> </w:t>
      </w:r>
      <w:r w:rsidR="00E5155A" w:rsidRPr="00BE735F">
        <w:rPr>
          <w:rFonts w:asciiTheme="majorHAnsi" w:hAnsiTheme="majorHAnsi" w:cstheme="majorHAnsi"/>
          <w:sz w:val="28"/>
          <w:szCs w:val="28"/>
        </w:rPr>
        <w:t>(VanderWerf et al., 2021)</w:t>
      </w:r>
      <w:r w:rsidRPr="00BE735F">
        <w:rPr>
          <w:rFonts w:asciiTheme="majorHAnsi" w:hAnsiTheme="majorHAnsi" w:cstheme="majorHAnsi"/>
          <w:sz w:val="28"/>
          <w:szCs w:val="28"/>
        </w:rPr>
        <w:t>.</w:t>
      </w:r>
    </w:p>
    <w:p w14:paraId="38B848D8" w14:textId="77777777" w:rsidR="009C2163" w:rsidRPr="00BE735F" w:rsidRDefault="009C2163" w:rsidP="009C2163">
      <w:pPr>
        <w:rPr>
          <w:rFonts w:asciiTheme="majorHAnsi" w:hAnsiTheme="majorHAnsi" w:cstheme="majorHAnsi"/>
          <w:sz w:val="28"/>
          <w:szCs w:val="28"/>
        </w:rPr>
      </w:pPr>
    </w:p>
    <w:p w14:paraId="4DD37502" w14:textId="40676F77" w:rsidR="009C2163" w:rsidRPr="00BE735F" w:rsidRDefault="009C2163" w:rsidP="009C2163">
      <w:pPr>
        <w:rPr>
          <w:rFonts w:asciiTheme="majorHAnsi" w:hAnsiTheme="majorHAnsi" w:cstheme="majorHAnsi"/>
          <w:sz w:val="28"/>
          <w:szCs w:val="28"/>
          <w:u w:val="single"/>
        </w:rPr>
      </w:pPr>
      <w:bookmarkStart w:id="8" w:name="_Toc160013304"/>
      <w:r w:rsidRPr="00BE735F">
        <w:rPr>
          <w:rStyle w:val="Heading1Char"/>
          <w:rFonts w:cstheme="majorHAnsi"/>
          <w:color w:val="auto"/>
          <w:sz w:val="28"/>
          <w:szCs w:val="28"/>
          <w:u w:val="single"/>
        </w:rPr>
        <w:t>Future Advances in AI and their Implications for Elderly Care</w:t>
      </w:r>
      <w:bookmarkEnd w:id="8"/>
    </w:p>
    <w:p w14:paraId="627F8D5E" w14:textId="75D909E0" w:rsidR="00B21C9C" w:rsidRPr="00BE735F" w:rsidRDefault="005F0101" w:rsidP="009C2163">
      <w:pPr>
        <w:rPr>
          <w:rFonts w:asciiTheme="majorHAnsi" w:hAnsiTheme="majorHAnsi" w:cstheme="majorHAnsi"/>
          <w:sz w:val="28"/>
          <w:szCs w:val="28"/>
        </w:rPr>
      </w:pPr>
      <w:r w:rsidRPr="005F0101">
        <w:rPr>
          <w:rFonts w:asciiTheme="majorHAnsi" w:hAnsiTheme="majorHAnsi" w:cstheme="majorHAnsi"/>
          <w:sz w:val="28"/>
          <w:szCs w:val="28"/>
        </w:rPr>
        <w:t xml:space="preserve">Moulds </w:t>
      </w:r>
      <w:r w:rsidRPr="00BE735F">
        <w:rPr>
          <w:rFonts w:asciiTheme="majorHAnsi" w:hAnsiTheme="majorHAnsi" w:cstheme="majorHAnsi"/>
          <w:sz w:val="28"/>
          <w:szCs w:val="28"/>
        </w:rPr>
        <w:t>(</w:t>
      </w:r>
      <w:r w:rsidRPr="005F0101">
        <w:rPr>
          <w:rFonts w:asciiTheme="majorHAnsi" w:hAnsiTheme="majorHAnsi" w:cstheme="majorHAnsi"/>
          <w:sz w:val="28"/>
          <w:szCs w:val="28"/>
        </w:rPr>
        <w:t>2023)</w:t>
      </w:r>
      <w:r w:rsidRPr="00BE735F">
        <w:rPr>
          <w:rFonts w:asciiTheme="majorHAnsi" w:hAnsiTheme="majorHAnsi" w:cstheme="majorHAnsi"/>
          <w:sz w:val="28"/>
          <w:szCs w:val="28"/>
        </w:rPr>
        <w:t xml:space="preserve"> </w:t>
      </w:r>
      <w:r w:rsidR="00633612" w:rsidRPr="00BE735F">
        <w:rPr>
          <w:rFonts w:asciiTheme="majorHAnsi" w:hAnsiTheme="majorHAnsi" w:cstheme="majorHAnsi"/>
          <w:sz w:val="28"/>
          <w:szCs w:val="28"/>
        </w:rPr>
        <w:t>Shares that a</w:t>
      </w:r>
      <w:r w:rsidR="00B21C9C" w:rsidRPr="00BE735F">
        <w:rPr>
          <w:rFonts w:asciiTheme="majorHAnsi" w:hAnsiTheme="majorHAnsi" w:cstheme="majorHAnsi"/>
          <w:sz w:val="28"/>
          <w:szCs w:val="28"/>
        </w:rPr>
        <w:t xml:space="preserve">s technology advances at a rapid pace, the future of </w:t>
      </w:r>
      <w:r w:rsidR="00D66FB6">
        <w:rPr>
          <w:rFonts w:asciiTheme="majorHAnsi" w:hAnsiTheme="majorHAnsi" w:cstheme="majorHAnsi"/>
          <w:sz w:val="28"/>
          <w:szCs w:val="28"/>
        </w:rPr>
        <w:t>caring for the older person</w:t>
      </w:r>
      <w:r w:rsidR="00B21C9C" w:rsidRPr="00BE735F">
        <w:rPr>
          <w:rFonts w:asciiTheme="majorHAnsi" w:hAnsiTheme="majorHAnsi" w:cstheme="majorHAnsi"/>
          <w:sz w:val="28"/>
          <w:szCs w:val="28"/>
        </w:rPr>
        <w:t xml:space="preserve"> holds exciting possibilities </w:t>
      </w:r>
      <w:r w:rsidR="00903C46" w:rsidRPr="00BE735F">
        <w:rPr>
          <w:rFonts w:asciiTheme="majorHAnsi" w:hAnsiTheme="majorHAnsi" w:cstheme="majorHAnsi"/>
          <w:sz w:val="28"/>
          <w:szCs w:val="28"/>
        </w:rPr>
        <w:t>fuelled</w:t>
      </w:r>
      <w:r w:rsidR="00B21C9C" w:rsidRPr="00BE735F">
        <w:rPr>
          <w:rFonts w:asciiTheme="majorHAnsi" w:hAnsiTheme="majorHAnsi" w:cstheme="majorHAnsi"/>
          <w:sz w:val="28"/>
          <w:szCs w:val="28"/>
        </w:rPr>
        <w:t xml:space="preserve"> by advancements in Artificial Intelligence (AI) and related fields. The convergence of AI, machine learning, robotics, and sensor technologies will soon change the way older adults receive healthcare services, providing unprecedented opportunities to improve quality of life, independence, and health outcomes</w:t>
      </w:r>
      <w:r w:rsidR="008F32C3" w:rsidRPr="00BE735F">
        <w:rPr>
          <w:rFonts w:asciiTheme="majorHAnsi" w:eastAsia="Times New Roman" w:hAnsiTheme="majorHAnsi" w:cstheme="majorHAnsi"/>
          <w:kern w:val="0"/>
          <w:sz w:val="28"/>
          <w:szCs w:val="28"/>
          <w:lang w:eastAsia="en-GB"/>
          <w14:ligatures w14:val="none"/>
        </w:rPr>
        <w:t xml:space="preserve"> </w:t>
      </w:r>
      <w:r w:rsidR="008F32C3" w:rsidRPr="00BE735F">
        <w:rPr>
          <w:rFonts w:asciiTheme="majorHAnsi" w:hAnsiTheme="majorHAnsi" w:cstheme="majorHAnsi"/>
          <w:sz w:val="28"/>
          <w:szCs w:val="28"/>
        </w:rPr>
        <w:t>(Padhan et al., 2023)</w:t>
      </w:r>
      <w:r w:rsidR="00B21C9C" w:rsidRPr="00BE735F">
        <w:rPr>
          <w:rFonts w:asciiTheme="majorHAnsi" w:hAnsiTheme="majorHAnsi" w:cstheme="majorHAnsi"/>
          <w:sz w:val="28"/>
          <w:szCs w:val="28"/>
        </w:rPr>
        <w:t>.</w:t>
      </w:r>
    </w:p>
    <w:p w14:paraId="4414256A" w14:textId="4221A0AB" w:rsidR="00B21C9C" w:rsidRPr="00BE735F" w:rsidRDefault="009C2163" w:rsidP="009C2163">
      <w:pPr>
        <w:rPr>
          <w:rFonts w:asciiTheme="majorHAnsi" w:hAnsiTheme="majorHAnsi" w:cstheme="majorHAnsi"/>
          <w:sz w:val="28"/>
          <w:szCs w:val="28"/>
          <w:u w:val="single"/>
        </w:rPr>
      </w:pPr>
      <w:bookmarkStart w:id="9" w:name="_Toc160013305"/>
      <w:r w:rsidRPr="00BE735F">
        <w:rPr>
          <w:rStyle w:val="Heading1Char"/>
          <w:rFonts w:cstheme="majorHAnsi"/>
          <w:color w:val="auto"/>
          <w:sz w:val="28"/>
          <w:szCs w:val="28"/>
          <w:u w:val="single"/>
        </w:rPr>
        <w:t>Predictive Analytics and Preventive Care</w:t>
      </w:r>
      <w:bookmarkEnd w:id="9"/>
    </w:p>
    <w:p w14:paraId="3A01202A" w14:textId="5330BAE1" w:rsidR="00FD684E" w:rsidRPr="00BE735F" w:rsidRDefault="00FD684E" w:rsidP="009C2163">
      <w:pPr>
        <w:rPr>
          <w:rFonts w:asciiTheme="majorHAnsi" w:hAnsiTheme="majorHAnsi" w:cstheme="majorHAnsi"/>
          <w:sz w:val="28"/>
          <w:szCs w:val="28"/>
        </w:rPr>
      </w:pPr>
      <w:r w:rsidRPr="00BE735F">
        <w:rPr>
          <w:rFonts w:asciiTheme="majorHAnsi" w:hAnsiTheme="majorHAnsi" w:cstheme="majorHAnsi"/>
          <w:sz w:val="28"/>
          <w:szCs w:val="28"/>
        </w:rPr>
        <w:t xml:space="preserve">Predictive analytics is one of the most promising AI applications in </w:t>
      </w:r>
      <w:r w:rsidR="005361F1" w:rsidRPr="00BE735F">
        <w:rPr>
          <w:rFonts w:asciiTheme="majorHAnsi" w:hAnsiTheme="majorHAnsi" w:cstheme="majorHAnsi"/>
          <w:sz w:val="28"/>
          <w:szCs w:val="28"/>
        </w:rPr>
        <w:t>cari</w:t>
      </w:r>
      <w:r w:rsidR="005361F1">
        <w:rPr>
          <w:rFonts w:asciiTheme="majorHAnsi" w:hAnsiTheme="majorHAnsi" w:cstheme="majorHAnsi"/>
          <w:sz w:val="28"/>
          <w:szCs w:val="28"/>
        </w:rPr>
        <w:t>ng</w:t>
      </w:r>
      <w:r w:rsidR="00734334">
        <w:rPr>
          <w:rFonts w:asciiTheme="majorHAnsi" w:hAnsiTheme="majorHAnsi" w:cstheme="majorHAnsi"/>
          <w:sz w:val="28"/>
          <w:szCs w:val="28"/>
        </w:rPr>
        <w:t xml:space="preserve"> of the older person</w:t>
      </w:r>
      <w:r w:rsidRPr="00BE735F">
        <w:rPr>
          <w:rFonts w:asciiTheme="majorHAnsi" w:hAnsiTheme="majorHAnsi" w:cstheme="majorHAnsi"/>
          <w:sz w:val="28"/>
          <w:szCs w:val="28"/>
        </w:rPr>
        <w:t>, as it involves analysing large datasets to identify patterns, predict disease progression, and stratify risk factors</w:t>
      </w:r>
      <w:r w:rsidR="00AE2285" w:rsidRPr="00BE735F">
        <w:rPr>
          <w:rFonts w:asciiTheme="majorHAnsi" w:eastAsia="Times New Roman" w:hAnsiTheme="majorHAnsi" w:cstheme="majorHAnsi"/>
          <w:kern w:val="0"/>
          <w:sz w:val="28"/>
          <w:szCs w:val="28"/>
          <w:lang w:eastAsia="en-GB"/>
          <w14:ligatures w14:val="none"/>
        </w:rPr>
        <w:t xml:space="preserve"> </w:t>
      </w:r>
      <w:r w:rsidR="00AE2285" w:rsidRPr="00BE735F">
        <w:rPr>
          <w:rFonts w:asciiTheme="majorHAnsi" w:hAnsiTheme="majorHAnsi" w:cstheme="majorHAnsi"/>
          <w:sz w:val="28"/>
          <w:szCs w:val="28"/>
        </w:rPr>
        <w:t>(Alowais et al., 2023)</w:t>
      </w:r>
      <w:r w:rsidRPr="00BE735F">
        <w:rPr>
          <w:rFonts w:asciiTheme="majorHAnsi" w:hAnsiTheme="majorHAnsi" w:cstheme="majorHAnsi"/>
          <w:sz w:val="28"/>
          <w:szCs w:val="28"/>
        </w:rPr>
        <w:t xml:space="preserve">. </w:t>
      </w:r>
      <w:r w:rsidR="00B819BC" w:rsidRPr="00BE735F">
        <w:rPr>
          <w:rFonts w:asciiTheme="majorHAnsi" w:hAnsiTheme="majorHAnsi" w:cstheme="majorHAnsi"/>
          <w:sz w:val="28"/>
          <w:szCs w:val="28"/>
        </w:rPr>
        <w:t>National Health Service</w:t>
      </w:r>
      <w:r w:rsidR="00B819BC" w:rsidRPr="00BE735F">
        <w:rPr>
          <w:rFonts w:asciiTheme="majorHAnsi" w:hAnsiTheme="majorHAnsi" w:cstheme="majorHAnsi"/>
          <w:sz w:val="28"/>
          <w:szCs w:val="28"/>
        </w:rPr>
        <w:t xml:space="preserve"> (</w:t>
      </w:r>
      <w:r w:rsidR="00B819BC" w:rsidRPr="00BE735F">
        <w:rPr>
          <w:rFonts w:asciiTheme="majorHAnsi" w:hAnsiTheme="majorHAnsi" w:cstheme="majorHAnsi"/>
          <w:sz w:val="28"/>
          <w:szCs w:val="28"/>
        </w:rPr>
        <w:t>2019)</w:t>
      </w:r>
      <w:r w:rsidR="00C51541" w:rsidRPr="00BE735F">
        <w:rPr>
          <w:rFonts w:asciiTheme="majorHAnsi" w:hAnsiTheme="majorHAnsi" w:cstheme="majorHAnsi"/>
          <w:sz w:val="28"/>
          <w:szCs w:val="28"/>
        </w:rPr>
        <w:t xml:space="preserve"> Shares</w:t>
      </w:r>
      <w:r w:rsidR="00B819BC" w:rsidRPr="00BE735F">
        <w:rPr>
          <w:rFonts w:asciiTheme="majorHAnsi" w:hAnsiTheme="majorHAnsi" w:cstheme="majorHAnsi"/>
          <w:sz w:val="28"/>
          <w:szCs w:val="28"/>
        </w:rPr>
        <w:t xml:space="preserve"> </w:t>
      </w:r>
      <w:r w:rsidRPr="00BE735F">
        <w:rPr>
          <w:rFonts w:asciiTheme="majorHAnsi" w:hAnsiTheme="majorHAnsi" w:cstheme="majorHAnsi"/>
          <w:sz w:val="28"/>
          <w:szCs w:val="28"/>
        </w:rPr>
        <w:t xml:space="preserve">Healthcare providers can use AI algorithms to proactively identify people at high risk of developing chronic conditions like heart disease, diabetes, and dementia, allowing for early intervention and </w:t>
      </w:r>
      <w:r w:rsidRPr="00BE735F">
        <w:rPr>
          <w:rFonts w:asciiTheme="majorHAnsi" w:hAnsiTheme="majorHAnsi" w:cstheme="majorHAnsi"/>
          <w:sz w:val="28"/>
          <w:szCs w:val="28"/>
        </w:rPr>
        <w:lastRenderedPageBreak/>
        <w:t>personalised preventive care strategies. Predictive analytics can also aid in medication management, hospital readmission reduction, and care coordination for older adults with complex medical needs.</w:t>
      </w:r>
    </w:p>
    <w:p w14:paraId="65BAE273" w14:textId="5389CF33" w:rsidR="00FD684E" w:rsidRPr="00BE735F" w:rsidRDefault="009C2163" w:rsidP="009C2163">
      <w:pPr>
        <w:rPr>
          <w:rStyle w:val="Heading1Char"/>
          <w:rFonts w:cstheme="majorHAnsi"/>
          <w:color w:val="auto"/>
          <w:sz w:val="28"/>
          <w:szCs w:val="28"/>
          <w:u w:val="single"/>
        </w:rPr>
      </w:pPr>
      <w:r w:rsidRPr="00BE735F">
        <w:rPr>
          <w:rStyle w:val="Heading1Char"/>
          <w:rFonts w:cstheme="majorHAnsi"/>
          <w:color w:val="auto"/>
          <w:sz w:val="28"/>
          <w:szCs w:val="28"/>
          <w:u w:val="single"/>
        </w:rPr>
        <w:t xml:space="preserve"> </w:t>
      </w:r>
      <w:bookmarkStart w:id="10" w:name="_Toc160013306"/>
      <w:r w:rsidRPr="00BE735F">
        <w:rPr>
          <w:rStyle w:val="Heading1Char"/>
          <w:rFonts w:cstheme="majorHAnsi"/>
          <w:color w:val="auto"/>
          <w:sz w:val="28"/>
          <w:szCs w:val="28"/>
          <w:u w:val="single"/>
        </w:rPr>
        <w:t>Personalized Medicine and Treatment Plans</w:t>
      </w:r>
      <w:bookmarkEnd w:id="10"/>
    </w:p>
    <w:p w14:paraId="2FD10CAA" w14:textId="35BF36BD" w:rsidR="005C7F9C" w:rsidRPr="00BE735F" w:rsidRDefault="005C7F9C" w:rsidP="009C2163">
      <w:pPr>
        <w:rPr>
          <w:rFonts w:asciiTheme="majorHAnsi" w:hAnsiTheme="majorHAnsi" w:cstheme="majorHAnsi"/>
          <w:sz w:val="28"/>
          <w:szCs w:val="28"/>
        </w:rPr>
      </w:pPr>
      <w:r w:rsidRPr="00BE735F">
        <w:rPr>
          <w:rFonts w:asciiTheme="majorHAnsi" w:hAnsiTheme="majorHAnsi" w:cstheme="majorHAnsi"/>
          <w:sz w:val="28"/>
          <w:szCs w:val="28"/>
        </w:rPr>
        <w:t>AI-powered technologies enable the creation of personalised treatment plans tailored to the specific needs and preferences of older adults. Machine learning algorithms can use genetic profiles, biomarkers, and clinical data to suggest targeted interventions, optimise medication regimens, and reduce adverse drug interactions</w:t>
      </w:r>
      <w:r w:rsidR="00C016B6" w:rsidRPr="00BE735F">
        <w:rPr>
          <w:rFonts w:asciiTheme="majorHAnsi" w:eastAsia="Times New Roman" w:hAnsiTheme="majorHAnsi" w:cstheme="majorHAnsi"/>
          <w:kern w:val="0"/>
          <w:sz w:val="28"/>
          <w:szCs w:val="28"/>
          <w:lang w:eastAsia="en-GB"/>
          <w14:ligatures w14:val="none"/>
        </w:rPr>
        <w:t xml:space="preserve"> </w:t>
      </w:r>
      <w:r w:rsidR="00C016B6" w:rsidRPr="00BE735F">
        <w:rPr>
          <w:rFonts w:asciiTheme="majorHAnsi" w:hAnsiTheme="majorHAnsi" w:cstheme="majorHAnsi"/>
          <w:sz w:val="28"/>
          <w:szCs w:val="28"/>
        </w:rPr>
        <w:t>(Sahota, 2023)</w:t>
      </w:r>
      <w:r w:rsidRPr="00BE735F">
        <w:rPr>
          <w:rFonts w:asciiTheme="majorHAnsi" w:hAnsiTheme="majorHAnsi" w:cstheme="majorHAnsi"/>
          <w:sz w:val="28"/>
          <w:szCs w:val="28"/>
        </w:rPr>
        <w:t>. Personalised medicine approaches show promise for improving treatment outcomes, lowering healthcare costs, and increasing patient satisfaction in older adults, particularly those with multiple chronic conditions and complex care needs</w:t>
      </w:r>
      <w:r w:rsidR="00B8234F" w:rsidRPr="00BE735F">
        <w:rPr>
          <w:rFonts w:asciiTheme="majorHAnsi" w:eastAsia="Times New Roman" w:hAnsiTheme="majorHAnsi" w:cstheme="majorHAnsi"/>
          <w:kern w:val="0"/>
          <w:sz w:val="28"/>
          <w:szCs w:val="28"/>
          <w:lang w:eastAsia="en-GB"/>
          <w14:ligatures w14:val="none"/>
        </w:rPr>
        <w:t xml:space="preserve"> </w:t>
      </w:r>
      <w:r w:rsidR="00B8234F" w:rsidRPr="00BE735F">
        <w:rPr>
          <w:rFonts w:asciiTheme="majorHAnsi" w:hAnsiTheme="majorHAnsi" w:cstheme="majorHAnsi"/>
          <w:sz w:val="28"/>
          <w:szCs w:val="28"/>
        </w:rPr>
        <w:t>(Goetz and Schork, 2018)</w:t>
      </w:r>
      <w:r w:rsidRPr="00BE735F">
        <w:rPr>
          <w:rFonts w:asciiTheme="majorHAnsi" w:hAnsiTheme="majorHAnsi" w:cstheme="majorHAnsi"/>
          <w:sz w:val="28"/>
          <w:szCs w:val="28"/>
        </w:rPr>
        <w:t>.</w:t>
      </w:r>
    </w:p>
    <w:p w14:paraId="2208FD3D" w14:textId="1F1D9B16" w:rsidR="002531BD" w:rsidRPr="00BE735F" w:rsidRDefault="009C2163" w:rsidP="009C2163">
      <w:pPr>
        <w:rPr>
          <w:rFonts w:asciiTheme="majorHAnsi" w:hAnsiTheme="majorHAnsi" w:cstheme="majorHAnsi"/>
          <w:sz w:val="28"/>
          <w:szCs w:val="28"/>
          <w:u w:val="single"/>
        </w:rPr>
      </w:pPr>
      <w:r w:rsidRPr="00BE735F">
        <w:rPr>
          <w:rStyle w:val="Heading1Char"/>
          <w:rFonts w:cstheme="majorHAnsi"/>
          <w:color w:val="auto"/>
          <w:sz w:val="28"/>
          <w:szCs w:val="28"/>
          <w:u w:val="single"/>
        </w:rPr>
        <w:t xml:space="preserve"> </w:t>
      </w:r>
      <w:bookmarkStart w:id="11" w:name="_Toc160013307"/>
      <w:r w:rsidRPr="00BE735F">
        <w:rPr>
          <w:rStyle w:val="Heading1Char"/>
          <w:rFonts w:cstheme="majorHAnsi"/>
          <w:color w:val="auto"/>
          <w:sz w:val="28"/>
          <w:szCs w:val="28"/>
          <w:u w:val="single"/>
        </w:rPr>
        <w:t>Assistive Robotics and Remote Monitorin</w:t>
      </w:r>
      <w:r w:rsidR="000E2461" w:rsidRPr="00BE735F">
        <w:rPr>
          <w:rStyle w:val="Heading1Char"/>
          <w:rFonts w:cstheme="majorHAnsi"/>
          <w:color w:val="auto"/>
          <w:sz w:val="28"/>
          <w:szCs w:val="28"/>
          <w:u w:val="single"/>
        </w:rPr>
        <w:t>g</w:t>
      </w:r>
      <w:bookmarkEnd w:id="11"/>
    </w:p>
    <w:p w14:paraId="4E99A19A" w14:textId="71901335" w:rsidR="002531BD" w:rsidRPr="00BE735F" w:rsidRDefault="005C0E7A" w:rsidP="009C2163">
      <w:pPr>
        <w:rPr>
          <w:rFonts w:asciiTheme="majorHAnsi" w:hAnsiTheme="majorHAnsi" w:cstheme="majorHAnsi"/>
          <w:sz w:val="28"/>
          <w:szCs w:val="28"/>
        </w:rPr>
      </w:pPr>
      <w:r w:rsidRPr="005C0E7A">
        <w:rPr>
          <w:rFonts w:asciiTheme="majorHAnsi" w:hAnsiTheme="majorHAnsi" w:cstheme="majorHAnsi"/>
          <w:sz w:val="28"/>
          <w:szCs w:val="28"/>
        </w:rPr>
        <w:t xml:space="preserve">Anghel et al. </w:t>
      </w:r>
      <w:r w:rsidRPr="00BE735F">
        <w:rPr>
          <w:rFonts w:asciiTheme="majorHAnsi" w:hAnsiTheme="majorHAnsi" w:cstheme="majorHAnsi"/>
          <w:sz w:val="28"/>
          <w:szCs w:val="28"/>
        </w:rPr>
        <w:t>(</w:t>
      </w:r>
      <w:r w:rsidRPr="005C0E7A">
        <w:rPr>
          <w:rFonts w:asciiTheme="majorHAnsi" w:hAnsiTheme="majorHAnsi" w:cstheme="majorHAnsi"/>
          <w:sz w:val="28"/>
          <w:szCs w:val="28"/>
        </w:rPr>
        <w:t>2020)</w:t>
      </w:r>
      <w:r w:rsidRPr="00BE735F">
        <w:rPr>
          <w:rFonts w:asciiTheme="majorHAnsi" w:hAnsiTheme="majorHAnsi" w:cstheme="majorHAnsi"/>
          <w:sz w:val="28"/>
          <w:szCs w:val="28"/>
        </w:rPr>
        <w:t xml:space="preserve"> </w:t>
      </w:r>
      <w:r w:rsidR="00340714" w:rsidRPr="00BE735F">
        <w:rPr>
          <w:rFonts w:asciiTheme="majorHAnsi" w:hAnsiTheme="majorHAnsi" w:cstheme="majorHAnsi"/>
          <w:sz w:val="28"/>
          <w:szCs w:val="28"/>
        </w:rPr>
        <w:t>Suggest r</w:t>
      </w:r>
      <w:r w:rsidR="002531BD" w:rsidRPr="00BE735F">
        <w:rPr>
          <w:rFonts w:asciiTheme="majorHAnsi" w:hAnsiTheme="majorHAnsi" w:cstheme="majorHAnsi"/>
          <w:sz w:val="28"/>
          <w:szCs w:val="28"/>
        </w:rPr>
        <w:t>obotics and sensor technology advancements are driving the development of assistive robots and wearable devices designed to support older adults in their daily activities while also allowing for remote monitoring of health parameters. Robot companions with AI capabilities can offer social interaction, cognitive stimulation, and assistance with tasks such as medication reminders, fall detection, and housework. Wearable devices, such as smartwatches and health trackers, provide continuous monitoring of vital signs, activity levels, and sleep patterns, allowing older adults to manage their health and well-being from the comfort of their own homes</w:t>
      </w:r>
      <w:r w:rsidR="00B61ED0" w:rsidRPr="00BE735F">
        <w:rPr>
          <w:rFonts w:asciiTheme="majorHAnsi" w:hAnsiTheme="majorHAnsi" w:cstheme="majorHAnsi"/>
          <w:sz w:val="28"/>
          <w:szCs w:val="28"/>
        </w:rPr>
        <w:t xml:space="preserve"> </w:t>
      </w:r>
      <w:r w:rsidR="00B61ED0" w:rsidRPr="00BE735F">
        <w:rPr>
          <w:rFonts w:asciiTheme="majorHAnsi" w:hAnsiTheme="majorHAnsi" w:cstheme="majorHAnsi"/>
          <w:sz w:val="28"/>
          <w:szCs w:val="28"/>
        </w:rPr>
        <w:t>(Tedesco, 2023)</w:t>
      </w:r>
      <w:r w:rsidR="002531BD" w:rsidRPr="00BE735F">
        <w:rPr>
          <w:rFonts w:asciiTheme="majorHAnsi" w:hAnsiTheme="majorHAnsi" w:cstheme="majorHAnsi"/>
          <w:sz w:val="28"/>
          <w:szCs w:val="28"/>
        </w:rPr>
        <w:t>.</w:t>
      </w:r>
    </w:p>
    <w:p w14:paraId="118ECC02" w14:textId="42061158" w:rsidR="000E2461" w:rsidRPr="00BE735F" w:rsidRDefault="009C2163" w:rsidP="009C2163">
      <w:pPr>
        <w:rPr>
          <w:rFonts w:asciiTheme="majorHAnsi" w:hAnsiTheme="majorHAnsi" w:cstheme="majorHAnsi"/>
          <w:sz w:val="28"/>
          <w:szCs w:val="28"/>
          <w:u w:val="single"/>
        </w:rPr>
      </w:pPr>
      <w:bookmarkStart w:id="12" w:name="_Toc160013308"/>
      <w:r w:rsidRPr="00BE735F">
        <w:rPr>
          <w:rStyle w:val="Heading1Char"/>
          <w:rFonts w:cstheme="majorHAnsi"/>
          <w:color w:val="auto"/>
          <w:sz w:val="28"/>
          <w:szCs w:val="28"/>
          <w:u w:val="single"/>
        </w:rPr>
        <w:t>Virtual Care and Telepresence Technologies</w:t>
      </w:r>
      <w:bookmarkEnd w:id="12"/>
    </w:p>
    <w:p w14:paraId="14528875" w14:textId="5652A4A7" w:rsidR="008F60B7" w:rsidRPr="00BE735F" w:rsidRDefault="00CB4AAB" w:rsidP="009C2163">
      <w:pPr>
        <w:rPr>
          <w:rFonts w:asciiTheme="majorHAnsi" w:hAnsiTheme="majorHAnsi" w:cstheme="majorHAnsi"/>
          <w:sz w:val="28"/>
          <w:szCs w:val="28"/>
        </w:rPr>
      </w:pPr>
      <w:r w:rsidRPr="00CB4AAB">
        <w:rPr>
          <w:rFonts w:asciiTheme="majorHAnsi" w:hAnsiTheme="majorHAnsi" w:cstheme="majorHAnsi"/>
          <w:sz w:val="28"/>
          <w:szCs w:val="28"/>
        </w:rPr>
        <w:t xml:space="preserve">Haleem et al. </w:t>
      </w:r>
      <w:r w:rsidRPr="00BE735F">
        <w:rPr>
          <w:rFonts w:asciiTheme="majorHAnsi" w:hAnsiTheme="majorHAnsi" w:cstheme="majorHAnsi"/>
          <w:sz w:val="28"/>
          <w:szCs w:val="28"/>
        </w:rPr>
        <w:t>(</w:t>
      </w:r>
      <w:r w:rsidRPr="00CB4AAB">
        <w:rPr>
          <w:rFonts w:asciiTheme="majorHAnsi" w:hAnsiTheme="majorHAnsi" w:cstheme="majorHAnsi"/>
          <w:sz w:val="28"/>
          <w:szCs w:val="28"/>
        </w:rPr>
        <w:t>2021)</w:t>
      </w:r>
      <w:r w:rsidRPr="00BE735F">
        <w:rPr>
          <w:rFonts w:asciiTheme="majorHAnsi" w:hAnsiTheme="majorHAnsi" w:cstheme="majorHAnsi"/>
          <w:sz w:val="28"/>
          <w:szCs w:val="28"/>
        </w:rPr>
        <w:t xml:space="preserve"> </w:t>
      </w:r>
      <w:r w:rsidR="008F60B7" w:rsidRPr="00BE735F">
        <w:rPr>
          <w:rFonts w:asciiTheme="majorHAnsi" w:hAnsiTheme="majorHAnsi" w:cstheme="majorHAnsi"/>
          <w:sz w:val="28"/>
          <w:szCs w:val="28"/>
        </w:rPr>
        <w:t>Virtual care platforms and remote presence technologies allow older adults to access healthcare services remotely, communicate with providers, and participate in virtual consultations, support groups, and wellness programmes. AI-powered chatbots and virtual assistants provide on-demand health information, medication management assistance, and emotional support, helping older adults feel more autonomous, self-efficacious, and socially connected. VR and AR applications offer immersive experiences and therapeutic interventions to older adults with mobility limitations, chronic pain, and cognitive impairments, encouraging physical activity, cognitive stimulation, and emotional well-being</w:t>
      </w:r>
      <w:r w:rsidR="00950E01" w:rsidRPr="00BE735F">
        <w:rPr>
          <w:rFonts w:asciiTheme="majorHAnsi" w:eastAsia="Times New Roman" w:hAnsiTheme="majorHAnsi" w:cstheme="majorHAnsi"/>
          <w:kern w:val="0"/>
          <w:sz w:val="28"/>
          <w:szCs w:val="28"/>
          <w:lang w:eastAsia="en-GB"/>
          <w14:ligatures w14:val="none"/>
        </w:rPr>
        <w:t xml:space="preserve"> </w:t>
      </w:r>
      <w:r w:rsidR="00950E01" w:rsidRPr="00BE735F">
        <w:rPr>
          <w:rFonts w:asciiTheme="majorHAnsi" w:hAnsiTheme="majorHAnsi" w:cstheme="majorHAnsi"/>
          <w:sz w:val="28"/>
          <w:szCs w:val="28"/>
        </w:rPr>
        <w:t>(Thakkar, Gupta and Avinash De Sousa, 2024)</w:t>
      </w:r>
      <w:r w:rsidR="008F60B7" w:rsidRPr="00BE735F">
        <w:rPr>
          <w:rFonts w:asciiTheme="majorHAnsi" w:hAnsiTheme="majorHAnsi" w:cstheme="majorHAnsi"/>
          <w:sz w:val="28"/>
          <w:szCs w:val="28"/>
        </w:rPr>
        <w:t>.</w:t>
      </w:r>
    </w:p>
    <w:p w14:paraId="126B6973" w14:textId="7DD43395" w:rsidR="008F60B7" w:rsidRPr="00BE735F" w:rsidRDefault="009C2163" w:rsidP="009C2163">
      <w:pPr>
        <w:rPr>
          <w:rFonts w:asciiTheme="majorHAnsi" w:hAnsiTheme="majorHAnsi" w:cstheme="majorHAnsi"/>
          <w:b/>
          <w:bCs/>
          <w:sz w:val="28"/>
          <w:szCs w:val="28"/>
          <w:u w:val="single"/>
        </w:rPr>
      </w:pPr>
      <w:bookmarkStart w:id="13" w:name="_Toc160013309"/>
      <w:r w:rsidRPr="00BE735F">
        <w:rPr>
          <w:rStyle w:val="Heading1Char"/>
          <w:rFonts w:cstheme="majorHAnsi"/>
          <w:color w:val="auto"/>
          <w:sz w:val="28"/>
          <w:szCs w:val="28"/>
          <w:u w:val="single"/>
        </w:rPr>
        <w:t>Ethical Considerations and Human-Centered Design</w:t>
      </w:r>
      <w:bookmarkEnd w:id="13"/>
    </w:p>
    <w:p w14:paraId="13D75247" w14:textId="78A2DBE9" w:rsidR="00723DCA" w:rsidRPr="00BE735F" w:rsidRDefault="00723DCA" w:rsidP="009C2163">
      <w:pPr>
        <w:rPr>
          <w:rFonts w:asciiTheme="majorHAnsi" w:hAnsiTheme="majorHAnsi" w:cstheme="majorHAnsi"/>
          <w:sz w:val="28"/>
          <w:szCs w:val="28"/>
        </w:rPr>
      </w:pPr>
      <w:r w:rsidRPr="00BE735F">
        <w:rPr>
          <w:rFonts w:asciiTheme="majorHAnsi" w:hAnsiTheme="majorHAnsi" w:cstheme="majorHAnsi"/>
          <w:sz w:val="28"/>
          <w:szCs w:val="28"/>
        </w:rPr>
        <w:lastRenderedPageBreak/>
        <w:t>As AI technologies become more widely used in car</w:t>
      </w:r>
      <w:r w:rsidR="006837F9">
        <w:rPr>
          <w:rFonts w:asciiTheme="majorHAnsi" w:hAnsiTheme="majorHAnsi" w:cstheme="majorHAnsi"/>
          <w:sz w:val="28"/>
          <w:szCs w:val="28"/>
        </w:rPr>
        <w:t>ing for the older person</w:t>
      </w:r>
      <w:r w:rsidRPr="00BE735F">
        <w:rPr>
          <w:rFonts w:asciiTheme="majorHAnsi" w:hAnsiTheme="majorHAnsi" w:cstheme="majorHAnsi"/>
          <w:sz w:val="28"/>
          <w:szCs w:val="28"/>
        </w:rPr>
        <w:t xml:space="preserve">, it is critical to address ethical issues, privacy concerns, and </w:t>
      </w:r>
      <w:r w:rsidR="00653890" w:rsidRPr="00BE735F">
        <w:rPr>
          <w:rFonts w:asciiTheme="majorHAnsi" w:hAnsiTheme="majorHAnsi" w:cstheme="majorHAnsi"/>
          <w:sz w:val="28"/>
          <w:szCs w:val="28"/>
        </w:rPr>
        <w:t>human-centred</w:t>
      </w:r>
      <w:r w:rsidRPr="00BE735F">
        <w:rPr>
          <w:rFonts w:asciiTheme="majorHAnsi" w:hAnsiTheme="majorHAnsi" w:cstheme="majorHAnsi"/>
          <w:sz w:val="28"/>
          <w:szCs w:val="28"/>
        </w:rPr>
        <w:t xml:space="preserve"> design principles. Ethical guidelines and regulatory frameworks should prioritise patient autonomy, dignity, and privacy rights, while also ensuring transparency, accountability, and informed consent when using AI algorithms and digital health technologies</w:t>
      </w:r>
      <w:r w:rsidR="00E7563B" w:rsidRPr="00BE735F">
        <w:rPr>
          <w:rFonts w:asciiTheme="majorHAnsi" w:eastAsia="Times New Roman" w:hAnsiTheme="majorHAnsi" w:cstheme="majorHAnsi"/>
          <w:kern w:val="0"/>
          <w:sz w:val="28"/>
          <w:szCs w:val="28"/>
          <w:lang w:eastAsia="en-GB"/>
          <w14:ligatures w14:val="none"/>
        </w:rPr>
        <w:t xml:space="preserve"> </w:t>
      </w:r>
      <w:r w:rsidR="00E7563B" w:rsidRPr="00BE735F">
        <w:rPr>
          <w:rFonts w:asciiTheme="majorHAnsi" w:hAnsiTheme="majorHAnsi" w:cstheme="majorHAnsi"/>
          <w:sz w:val="28"/>
          <w:szCs w:val="28"/>
        </w:rPr>
        <w:t>(Mennella et al., 2024)</w:t>
      </w:r>
      <w:r w:rsidRPr="00BE735F">
        <w:rPr>
          <w:rFonts w:asciiTheme="majorHAnsi" w:hAnsiTheme="majorHAnsi" w:cstheme="majorHAnsi"/>
          <w:sz w:val="28"/>
          <w:szCs w:val="28"/>
        </w:rPr>
        <w:t>. Human-centered design approaches emphasise the importance of user-centered design, accessibility, and inclusivity when creating AI-powered solutions that cater to the diverse needs and preferences of older adults, carers, and healthcare professionals</w:t>
      </w:r>
      <w:r w:rsidR="000A60B7" w:rsidRPr="00BE735F">
        <w:rPr>
          <w:rFonts w:asciiTheme="majorHAnsi" w:eastAsia="Times New Roman" w:hAnsiTheme="majorHAnsi" w:cstheme="majorHAnsi"/>
          <w:kern w:val="0"/>
          <w:sz w:val="28"/>
          <w:szCs w:val="28"/>
          <w:lang w:eastAsia="en-GB"/>
          <w14:ligatures w14:val="none"/>
        </w:rPr>
        <w:t xml:space="preserve"> </w:t>
      </w:r>
      <w:r w:rsidR="000A60B7" w:rsidRPr="00BE735F">
        <w:rPr>
          <w:rFonts w:asciiTheme="majorHAnsi" w:hAnsiTheme="majorHAnsi" w:cstheme="majorHAnsi"/>
          <w:sz w:val="28"/>
          <w:szCs w:val="28"/>
        </w:rPr>
        <w:t>(Tayi, 2023)</w:t>
      </w:r>
      <w:r w:rsidRPr="00BE735F">
        <w:rPr>
          <w:rFonts w:asciiTheme="majorHAnsi" w:hAnsiTheme="majorHAnsi" w:cstheme="majorHAnsi"/>
          <w:sz w:val="28"/>
          <w:szCs w:val="28"/>
        </w:rPr>
        <w:t>.</w:t>
      </w:r>
    </w:p>
    <w:p w14:paraId="0B328B5F" w14:textId="50CBDA6E" w:rsidR="00723DCA" w:rsidRPr="00BE735F" w:rsidRDefault="009C2163" w:rsidP="009C2163">
      <w:pPr>
        <w:rPr>
          <w:rStyle w:val="Heading1Char"/>
          <w:rFonts w:cstheme="majorHAnsi"/>
          <w:color w:val="auto"/>
          <w:sz w:val="28"/>
          <w:szCs w:val="28"/>
          <w:u w:val="single"/>
        </w:rPr>
      </w:pPr>
      <w:bookmarkStart w:id="14" w:name="_Toc160013310"/>
      <w:r w:rsidRPr="00BE735F">
        <w:rPr>
          <w:rStyle w:val="Heading1Char"/>
          <w:rFonts w:cstheme="majorHAnsi"/>
          <w:color w:val="auto"/>
          <w:sz w:val="28"/>
          <w:szCs w:val="28"/>
          <w:u w:val="single"/>
        </w:rPr>
        <w:t>Challenges and Opportunities</w:t>
      </w:r>
      <w:bookmarkEnd w:id="14"/>
    </w:p>
    <w:p w14:paraId="194FDA00" w14:textId="23F934A3" w:rsidR="00F168CB" w:rsidRPr="00BE735F" w:rsidRDefault="00912AA5" w:rsidP="009C2163">
      <w:pPr>
        <w:rPr>
          <w:rFonts w:asciiTheme="majorHAnsi" w:hAnsiTheme="majorHAnsi" w:cstheme="majorHAnsi"/>
          <w:sz w:val="28"/>
          <w:szCs w:val="28"/>
        </w:rPr>
      </w:pPr>
      <w:r w:rsidRPr="00912AA5">
        <w:rPr>
          <w:rFonts w:asciiTheme="majorHAnsi" w:hAnsiTheme="majorHAnsi" w:cstheme="majorHAnsi"/>
          <w:sz w:val="28"/>
          <w:szCs w:val="28"/>
        </w:rPr>
        <w:t xml:space="preserve">Chen, Ding and Wang </w:t>
      </w:r>
      <w:r w:rsidR="00655595" w:rsidRPr="00BE735F">
        <w:rPr>
          <w:rFonts w:asciiTheme="majorHAnsi" w:hAnsiTheme="majorHAnsi" w:cstheme="majorHAnsi"/>
          <w:sz w:val="28"/>
          <w:szCs w:val="28"/>
        </w:rPr>
        <w:t>(</w:t>
      </w:r>
      <w:r w:rsidRPr="00912AA5">
        <w:rPr>
          <w:rFonts w:asciiTheme="majorHAnsi" w:hAnsiTheme="majorHAnsi" w:cstheme="majorHAnsi"/>
          <w:sz w:val="28"/>
          <w:szCs w:val="28"/>
        </w:rPr>
        <w:t>2023)</w:t>
      </w:r>
      <w:r w:rsidR="00655595" w:rsidRPr="00BE735F">
        <w:rPr>
          <w:rFonts w:asciiTheme="majorHAnsi" w:hAnsiTheme="majorHAnsi" w:cstheme="majorHAnsi"/>
          <w:sz w:val="28"/>
          <w:szCs w:val="28"/>
        </w:rPr>
        <w:t xml:space="preserve"> Suggest that w</w:t>
      </w:r>
      <w:r w:rsidR="00F168CB" w:rsidRPr="00BE735F">
        <w:rPr>
          <w:rFonts w:asciiTheme="majorHAnsi" w:hAnsiTheme="majorHAnsi" w:cstheme="majorHAnsi"/>
          <w:sz w:val="28"/>
          <w:szCs w:val="28"/>
        </w:rPr>
        <w:t>hile the future of elderly care holds great promise, it also presents challenges in terms of technological complexity, regulatory compliance, and moral dilemmas. Stakeholders must work together to address these challenges and capitalise on the opportunities provided by AI-driven innovations to build a more inclusive, responsive, and sustainable healthcare system that promotes healthy ageing and improves the quality of life for older adults around the world</w:t>
      </w:r>
      <w:r w:rsidR="00A37C34" w:rsidRPr="00BE735F">
        <w:rPr>
          <w:rFonts w:asciiTheme="majorHAnsi" w:eastAsia="Times New Roman" w:hAnsiTheme="majorHAnsi" w:cstheme="majorHAnsi"/>
          <w:kern w:val="0"/>
          <w:sz w:val="28"/>
          <w:szCs w:val="28"/>
          <w:lang w:eastAsia="en-GB"/>
          <w14:ligatures w14:val="none"/>
        </w:rPr>
        <w:t xml:space="preserve"> </w:t>
      </w:r>
      <w:r w:rsidR="00A37C34" w:rsidRPr="00BE735F">
        <w:rPr>
          <w:rFonts w:asciiTheme="majorHAnsi" w:hAnsiTheme="majorHAnsi" w:cstheme="majorHAnsi"/>
          <w:sz w:val="28"/>
          <w:szCs w:val="28"/>
        </w:rPr>
        <w:t>(Berney, 2022)</w:t>
      </w:r>
      <w:r w:rsidR="00F168CB" w:rsidRPr="00BE735F">
        <w:rPr>
          <w:rFonts w:asciiTheme="majorHAnsi" w:hAnsiTheme="majorHAnsi" w:cstheme="majorHAnsi"/>
          <w:sz w:val="28"/>
          <w:szCs w:val="28"/>
        </w:rPr>
        <w:t>.</w:t>
      </w:r>
    </w:p>
    <w:p w14:paraId="01C0E49D" w14:textId="77777777" w:rsidR="004F17CB" w:rsidRPr="00BE735F" w:rsidRDefault="004F17CB" w:rsidP="009C2163">
      <w:pPr>
        <w:rPr>
          <w:rFonts w:asciiTheme="majorHAnsi" w:hAnsiTheme="majorHAnsi" w:cstheme="majorHAnsi"/>
          <w:sz w:val="28"/>
          <w:szCs w:val="28"/>
        </w:rPr>
      </w:pPr>
    </w:p>
    <w:p w14:paraId="50857BF5" w14:textId="245EABC9" w:rsidR="007843FF" w:rsidRPr="00BE735F" w:rsidRDefault="007843FF" w:rsidP="009E01A6">
      <w:pPr>
        <w:pStyle w:val="Heading1"/>
        <w:rPr>
          <w:rFonts w:cstheme="majorHAnsi"/>
          <w:color w:val="auto"/>
          <w:sz w:val="28"/>
          <w:szCs w:val="28"/>
          <w:u w:val="single"/>
        </w:rPr>
      </w:pPr>
      <w:bookmarkStart w:id="15" w:name="_Toc160013311"/>
      <w:r w:rsidRPr="00BE735F">
        <w:rPr>
          <w:rFonts w:cstheme="majorHAnsi"/>
          <w:color w:val="auto"/>
          <w:sz w:val="28"/>
          <w:szCs w:val="28"/>
          <w:u w:val="single"/>
        </w:rPr>
        <w:t>Recommendations</w:t>
      </w:r>
      <w:bookmarkEnd w:id="15"/>
    </w:p>
    <w:p w14:paraId="5D507C97" w14:textId="77777777" w:rsidR="00000828" w:rsidRPr="00BE735F" w:rsidRDefault="00000828" w:rsidP="00000828">
      <w:pPr>
        <w:rPr>
          <w:rFonts w:asciiTheme="majorHAnsi" w:hAnsiTheme="majorHAnsi" w:cstheme="majorHAnsi"/>
          <w:sz w:val="28"/>
          <w:szCs w:val="28"/>
        </w:rPr>
      </w:pPr>
    </w:p>
    <w:p w14:paraId="60537CD7" w14:textId="77777777" w:rsidR="007843FF" w:rsidRPr="00BE735F" w:rsidRDefault="007843FF" w:rsidP="00E77C9C">
      <w:pPr>
        <w:pStyle w:val="ListParagraph"/>
        <w:numPr>
          <w:ilvl w:val="0"/>
          <w:numId w:val="14"/>
        </w:numPr>
        <w:rPr>
          <w:rFonts w:asciiTheme="majorHAnsi" w:hAnsiTheme="majorHAnsi" w:cstheme="majorHAnsi"/>
          <w:sz w:val="28"/>
          <w:szCs w:val="28"/>
        </w:rPr>
      </w:pPr>
      <w:r w:rsidRPr="00BE735F">
        <w:rPr>
          <w:rFonts w:asciiTheme="majorHAnsi" w:hAnsiTheme="majorHAnsi" w:cstheme="majorHAnsi"/>
          <w:sz w:val="28"/>
          <w:szCs w:val="28"/>
        </w:rPr>
        <w:t>Invest in Research and Development: Governments, research institutions, and private industries should allocate resources to support research and development efforts aimed at advancing AI technologies tailored for elderly care. Funding should be directed towards projects focused on predictive analytics, personalized medicine, assistive robotics, and virtual care platforms to address the specific needs and challenges of older adults.</w:t>
      </w:r>
    </w:p>
    <w:p w14:paraId="7DE91FAA" w14:textId="77777777" w:rsidR="007843FF" w:rsidRPr="00BE735F" w:rsidRDefault="007843FF" w:rsidP="007843FF">
      <w:pPr>
        <w:rPr>
          <w:rFonts w:asciiTheme="majorHAnsi" w:hAnsiTheme="majorHAnsi" w:cstheme="majorHAnsi"/>
          <w:sz w:val="28"/>
          <w:szCs w:val="28"/>
        </w:rPr>
      </w:pPr>
    </w:p>
    <w:p w14:paraId="7370BB9C" w14:textId="77777777" w:rsidR="007843FF" w:rsidRPr="00BE735F" w:rsidRDefault="007843FF" w:rsidP="00E77C9C">
      <w:pPr>
        <w:pStyle w:val="ListParagraph"/>
        <w:numPr>
          <w:ilvl w:val="0"/>
          <w:numId w:val="14"/>
        </w:numPr>
        <w:rPr>
          <w:rFonts w:asciiTheme="majorHAnsi" w:hAnsiTheme="majorHAnsi" w:cstheme="majorHAnsi"/>
          <w:sz w:val="28"/>
          <w:szCs w:val="28"/>
        </w:rPr>
      </w:pPr>
      <w:r w:rsidRPr="00BE735F">
        <w:rPr>
          <w:rFonts w:asciiTheme="majorHAnsi" w:hAnsiTheme="majorHAnsi" w:cstheme="majorHAnsi"/>
          <w:sz w:val="28"/>
          <w:szCs w:val="28"/>
        </w:rPr>
        <w:t xml:space="preserve">Promote Interdisciplinary Collaboration: Foster collaboration among healthcare professionals, technologists, engineers, ethicists, and policymakers to develop AI-driven solutions that prioritize patient safety, privacy, and autonomy. Interdisciplinary teams can leverage diverse perspectives and expertise to design innovative interventions that </w:t>
      </w:r>
      <w:r w:rsidRPr="00BE735F">
        <w:rPr>
          <w:rFonts w:asciiTheme="majorHAnsi" w:hAnsiTheme="majorHAnsi" w:cstheme="majorHAnsi"/>
          <w:sz w:val="28"/>
          <w:szCs w:val="28"/>
        </w:rPr>
        <w:lastRenderedPageBreak/>
        <w:t>enhance the quality of life and well-being of older adults while addressing ethical and regulatory considerations.</w:t>
      </w:r>
    </w:p>
    <w:p w14:paraId="46DA3D71" w14:textId="77777777" w:rsidR="007843FF" w:rsidRPr="00BE735F" w:rsidRDefault="007843FF" w:rsidP="007843FF">
      <w:pPr>
        <w:rPr>
          <w:rFonts w:asciiTheme="majorHAnsi" w:hAnsiTheme="majorHAnsi" w:cstheme="majorHAnsi"/>
          <w:sz w:val="28"/>
          <w:szCs w:val="28"/>
        </w:rPr>
      </w:pPr>
    </w:p>
    <w:p w14:paraId="3D73F5F0" w14:textId="77777777" w:rsidR="007843FF" w:rsidRPr="00BE735F" w:rsidRDefault="007843FF" w:rsidP="00E77C9C">
      <w:pPr>
        <w:pStyle w:val="ListParagraph"/>
        <w:numPr>
          <w:ilvl w:val="0"/>
          <w:numId w:val="14"/>
        </w:numPr>
        <w:rPr>
          <w:rFonts w:asciiTheme="majorHAnsi" w:hAnsiTheme="majorHAnsi" w:cstheme="majorHAnsi"/>
          <w:sz w:val="28"/>
          <w:szCs w:val="28"/>
        </w:rPr>
      </w:pPr>
      <w:r w:rsidRPr="00BE735F">
        <w:rPr>
          <w:rFonts w:asciiTheme="majorHAnsi" w:hAnsiTheme="majorHAnsi" w:cstheme="majorHAnsi"/>
          <w:sz w:val="28"/>
          <w:szCs w:val="28"/>
        </w:rPr>
        <w:t>Enhance Education and Training: Develop educational programs and training initiatives to equip healthcare providers, caregivers, and older adults with the knowledge and skills needed to effectively utilize AI technologies in elderly care. Training should focus on digital literacy, data literacy, and ethical decision-making to empower stakeholders to make informed choices and navigate complex healthcare environments.</w:t>
      </w:r>
    </w:p>
    <w:p w14:paraId="24AEC285" w14:textId="77777777" w:rsidR="007843FF" w:rsidRPr="00BE735F" w:rsidRDefault="007843FF" w:rsidP="007843FF">
      <w:pPr>
        <w:rPr>
          <w:rFonts w:asciiTheme="majorHAnsi" w:hAnsiTheme="majorHAnsi" w:cstheme="majorHAnsi"/>
          <w:sz w:val="28"/>
          <w:szCs w:val="28"/>
        </w:rPr>
      </w:pPr>
    </w:p>
    <w:p w14:paraId="5F6922FC" w14:textId="77777777" w:rsidR="007843FF" w:rsidRPr="00BE735F" w:rsidRDefault="007843FF" w:rsidP="00E77C9C">
      <w:pPr>
        <w:pStyle w:val="ListParagraph"/>
        <w:numPr>
          <w:ilvl w:val="0"/>
          <w:numId w:val="14"/>
        </w:numPr>
        <w:rPr>
          <w:rFonts w:asciiTheme="majorHAnsi" w:hAnsiTheme="majorHAnsi" w:cstheme="majorHAnsi"/>
          <w:sz w:val="28"/>
          <w:szCs w:val="28"/>
        </w:rPr>
      </w:pPr>
      <w:r w:rsidRPr="00BE735F">
        <w:rPr>
          <w:rFonts w:asciiTheme="majorHAnsi" w:hAnsiTheme="majorHAnsi" w:cstheme="majorHAnsi"/>
          <w:sz w:val="28"/>
          <w:szCs w:val="28"/>
        </w:rPr>
        <w:t>Address Digital Divide and Accessibility: Address disparities in access to technology and digital resources among older adults, particularly those from marginalized and underserved communities. Implement initiatives to improve digital infrastructure, provide affordable internet access, and offer assistive technologies tailored to the needs of older adults with disabilities or limited technological proficiency.</w:t>
      </w:r>
    </w:p>
    <w:p w14:paraId="5F700000" w14:textId="77777777" w:rsidR="007843FF" w:rsidRPr="00BE735F" w:rsidRDefault="007843FF" w:rsidP="007843FF">
      <w:pPr>
        <w:rPr>
          <w:rFonts w:asciiTheme="majorHAnsi" w:hAnsiTheme="majorHAnsi" w:cstheme="majorHAnsi"/>
          <w:sz w:val="28"/>
          <w:szCs w:val="28"/>
        </w:rPr>
      </w:pPr>
    </w:p>
    <w:p w14:paraId="66BCF3C3" w14:textId="77777777" w:rsidR="007843FF" w:rsidRPr="00BE735F" w:rsidRDefault="007843FF" w:rsidP="00E77C9C">
      <w:pPr>
        <w:pStyle w:val="ListParagraph"/>
        <w:numPr>
          <w:ilvl w:val="0"/>
          <w:numId w:val="14"/>
        </w:numPr>
        <w:rPr>
          <w:rFonts w:asciiTheme="majorHAnsi" w:hAnsiTheme="majorHAnsi" w:cstheme="majorHAnsi"/>
          <w:sz w:val="28"/>
          <w:szCs w:val="28"/>
        </w:rPr>
      </w:pPr>
      <w:r w:rsidRPr="00BE735F">
        <w:rPr>
          <w:rFonts w:asciiTheme="majorHAnsi" w:hAnsiTheme="majorHAnsi" w:cstheme="majorHAnsi"/>
          <w:sz w:val="28"/>
          <w:szCs w:val="28"/>
        </w:rPr>
        <w:t>Ensure Regulatory Compliance and Ethical Standards: Establish clear regulatory frameworks and ethical guidelines to govern the development, deployment, and use of AI technologies in elderly care. Regulations should address issues related to data privacy, consent, security, accountability, and transparency, while ensuring compliance with existing healthcare laws and standards.</w:t>
      </w:r>
    </w:p>
    <w:p w14:paraId="79E07207" w14:textId="77777777" w:rsidR="007843FF" w:rsidRPr="00BE735F" w:rsidRDefault="007843FF" w:rsidP="007843FF">
      <w:pPr>
        <w:rPr>
          <w:rFonts w:asciiTheme="majorHAnsi" w:hAnsiTheme="majorHAnsi" w:cstheme="majorHAnsi"/>
          <w:sz w:val="28"/>
          <w:szCs w:val="28"/>
        </w:rPr>
      </w:pPr>
    </w:p>
    <w:p w14:paraId="32836FDA" w14:textId="77777777" w:rsidR="007843FF" w:rsidRPr="00BE735F" w:rsidRDefault="007843FF" w:rsidP="00E77C9C">
      <w:pPr>
        <w:pStyle w:val="ListParagraph"/>
        <w:numPr>
          <w:ilvl w:val="0"/>
          <w:numId w:val="14"/>
        </w:numPr>
        <w:rPr>
          <w:rFonts w:asciiTheme="majorHAnsi" w:hAnsiTheme="majorHAnsi" w:cstheme="majorHAnsi"/>
          <w:sz w:val="28"/>
          <w:szCs w:val="28"/>
        </w:rPr>
      </w:pPr>
      <w:r w:rsidRPr="00BE735F">
        <w:rPr>
          <w:rFonts w:asciiTheme="majorHAnsi" w:hAnsiTheme="majorHAnsi" w:cstheme="majorHAnsi"/>
          <w:sz w:val="28"/>
          <w:szCs w:val="28"/>
        </w:rPr>
        <w:t>Promote Human-Centered Design: Prioritize human-centered design principles in the development of AI-driven solutions for elderly care, focusing on usability, accessibility, and inclusivity. Involve older adults, caregivers, and healthcare professionals in the design process to ensure that technologies meet their needs, preferences, and expectations, and promote user engagement and acceptance.</w:t>
      </w:r>
    </w:p>
    <w:p w14:paraId="7766DB07" w14:textId="77777777" w:rsidR="007843FF" w:rsidRPr="00BE735F" w:rsidRDefault="007843FF" w:rsidP="007843FF">
      <w:pPr>
        <w:rPr>
          <w:rFonts w:asciiTheme="majorHAnsi" w:hAnsiTheme="majorHAnsi" w:cstheme="majorHAnsi"/>
          <w:sz w:val="28"/>
          <w:szCs w:val="28"/>
        </w:rPr>
      </w:pPr>
    </w:p>
    <w:p w14:paraId="3FED9DC5" w14:textId="77777777" w:rsidR="007843FF" w:rsidRPr="00BE735F" w:rsidRDefault="007843FF" w:rsidP="00E77C9C">
      <w:pPr>
        <w:pStyle w:val="ListParagraph"/>
        <w:numPr>
          <w:ilvl w:val="0"/>
          <w:numId w:val="14"/>
        </w:numPr>
        <w:rPr>
          <w:rFonts w:asciiTheme="majorHAnsi" w:hAnsiTheme="majorHAnsi" w:cstheme="majorHAnsi"/>
          <w:sz w:val="28"/>
          <w:szCs w:val="28"/>
        </w:rPr>
      </w:pPr>
      <w:r w:rsidRPr="00BE735F">
        <w:rPr>
          <w:rFonts w:asciiTheme="majorHAnsi" w:hAnsiTheme="majorHAnsi" w:cstheme="majorHAnsi"/>
          <w:sz w:val="28"/>
          <w:szCs w:val="28"/>
        </w:rPr>
        <w:t xml:space="preserve">Encourage Collaboration and Knowledge Sharing: Foster collaboration and knowledge sharing among stakeholders across sectors, including </w:t>
      </w:r>
      <w:r w:rsidRPr="00BE735F">
        <w:rPr>
          <w:rFonts w:asciiTheme="majorHAnsi" w:hAnsiTheme="majorHAnsi" w:cstheme="majorHAnsi"/>
          <w:sz w:val="28"/>
          <w:szCs w:val="28"/>
        </w:rPr>
        <w:lastRenderedPageBreak/>
        <w:t>academia, industry, government, and civil society. Establish platforms for sharing best practices, lessons learned, and success stories to accelerate innovation, promote scalability, and drive positive outcomes in elderly care.</w:t>
      </w:r>
    </w:p>
    <w:p w14:paraId="19CA5CB8" w14:textId="77777777" w:rsidR="007843FF" w:rsidRPr="00BE735F" w:rsidRDefault="007843FF" w:rsidP="007843FF">
      <w:pPr>
        <w:rPr>
          <w:rFonts w:asciiTheme="majorHAnsi" w:hAnsiTheme="majorHAnsi" w:cstheme="majorHAnsi"/>
          <w:sz w:val="28"/>
          <w:szCs w:val="28"/>
        </w:rPr>
      </w:pPr>
    </w:p>
    <w:p w14:paraId="0353C3A2" w14:textId="37879F2E" w:rsidR="007843FF" w:rsidRPr="00BE735F" w:rsidRDefault="007843FF" w:rsidP="001267A7">
      <w:pPr>
        <w:pStyle w:val="Heading1"/>
        <w:rPr>
          <w:rFonts w:cstheme="majorHAnsi"/>
          <w:color w:val="auto"/>
          <w:sz w:val="28"/>
          <w:szCs w:val="28"/>
          <w:u w:val="single"/>
        </w:rPr>
      </w:pPr>
      <w:bookmarkStart w:id="16" w:name="_Toc160013312"/>
      <w:r w:rsidRPr="00BE735F">
        <w:rPr>
          <w:rFonts w:cstheme="majorHAnsi"/>
          <w:color w:val="auto"/>
          <w:sz w:val="28"/>
          <w:szCs w:val="28"/>
          <w:u w:val="single"/>
        </w:rPr>
        <w:t>Conclusion</w:t>
      </w:r>
      <w:bookmarkEnd w:id="16"/>
    </w:p>
    <w:p w14:paraId="374493B8" w14:textId="77777777" w:rsidR="00CD7938" w:rsidRPr="00BE735F" w:rsidRDefault="00CD7938" w:rsidP="00CD7938">
      <w:pPr>
        <w:rPr>
          <w:rFonts w:asciiTheme="majorHAnsi" w:hAnsiTheme="majorHAnsi" w:cstheme="majorHAnsi"/>
          <w:sz w:val="28"/>
          <w:szCs w:val="28"/>
        </w:rPr>
      </w:pPr>
    </w:p>
    <w:p w14:paraId="263CB02E" w14:textId="720FFF96" w:rsidR="007843FF" w:rsidRPr="00BE735F" w:rsidRDefault="007843FF" w:rsidP="007843FF">
      <w:pPr>
        <w:rPr>
          <w:rFonts w:asciiTheme="majorHAnsi" w:hAnsiTheme="majorHAnsi" w:cstheme="majorHAnsi"/>
          <w:sz w:val="28"/>
          <w:szCs w:val="28"/>
        </w:rPr>
      </w:pPr>
      <w:r w:rsidRPr="00BE735F">
        <w:rPr>
          <w:rFonts w:asciiTheme="majorHAnsi" w:hAnsiTheme="majorHAnsi" w:cstheme="majorHAnsi"/>
          <w:sz w:val="28"/>
          <w:szCs w:val="28"/>
        </w:rPr>
        <w:t xml:space="preserve">The future of </w:t>
      </w:r>
      <w:r w:rsidR="008B1B3B">
        <w:rPr>
          <w:rFonts w:asciiTheme="majorHAnsi" w:hAnsiTheme="majorHAnsi" w:cstheme="majorHAnsi"/>
          <w:sz w:val="28"/>
          <w:szCs w:val="28"/>
        </w:rPr>
        <w:t>the older persons</w:t>
      </w:r>
      <w:r w:rsidRPr="00BE735F">
        <w:rPr>
          <w:rFonts w:asciiTheme="majorHAnsi" w:hAnsiTheme="majorHAnsi" w:cstheme="majorHAnsi"/>
          <w:sz w:val="28"/>
          <w:szCs w:val="28"/>
        </w:rPr>
        <w:t xml:space="preserve"> care is poised for transformation through advancements in Artificial Intelligence (AI) and related technologies. As the global population ages, the integration of AI-driven solutions holds immense potential to enhance the quality of life, independence, and health outcomes of older adults. Predictive analytics, personalized medicine, assistive robotics, and virtual care platforms represent key areas of innovation that promise to revolutionize how elderly care services are delivered and experienced.</w:t>
      </w:r>
      <w:r w:rsidR="00E77C9C" w:rsidRPr="00BE735F">
        <w:rPr>
          <w:rFonts w:asciiTheme="majorHAnsi" w:hAnsiTheme="majorHAnsi" w:cstheme="majorHAnsi"/>
          <w:sz w:val="28"/>
          <w:szCs w:val="28"/>
        </w:rPr>
        <w:t xml:space="preserve"> </w:t>
      </w:r>
      <w:r w:rsidRPr="00BE735F">
        <w:rPr>
          <w:rFonts w:asciiTheme="majorHAnsi" w:hAnsiTheme="majorHAnsi" w:cstheme="majorHAnsi"/>
          <w:sz w:val="28"/>
          <w:szCs w:val="28"/>
        </w:rPr>
        <w:t xml:space="preserve">However, realizing the full potential of AI in </w:t>
      </w:r>
      <w:r w:rsidR="00DE3716">
        <w:rPr>
          <w:rFonts w:asciiTheme="majorHAnsi" w:hAnsiTheme="majorHAnsi" w:cstheme="majorHAnsi"/>
          <w:sz w:val="28"/>
          <w:szCs w:val="28"/>
        </w:rPr>
        <w:t>the older persons</w:t>
      </w:r>
      <w:r w:rsidRPr="00BE735F">
        <w:rPr>
          <w:rFonts w:asciiTheme="majorHAnsi" w:hAnsiTheme="majorHAnsi" w:cstheme="majorHAnsi"/>
          <w:sz w:val="28"/>
          <w:szCs w:val="28"/>
        </w:rPr>
        <w:t xml:space="preserve"> care requires concerted efforts to address challenges related to technological complexity, regulatory compliance, and ethical considerations. Stakeholders must collaborate across disciplines and sectors to develop inclusive, human-centered solutions that prioritize patient safety, privacy, and dignity. By investing in research and education, promoting accessibility and regulatory compliance, and fostering collaboration and knowledge sharing, we can build a more equitable, responsive, and sustainable healthcare system that meets the evolving needs of older adults and promotes healthy aging worldwide.</w:t>
      </w:r>
    </w:p>
    <w:p w14:paraId="013F9EBF" w14:textId="77777777" w:rsidR="007843FF" w:rsidRPr="00BE735F" w:rsidRDefault="007843FF" w:rsidP="007843FF">
      <w:pPr>
        <w:rPr>
          <w:rFonts w:asciiTheme="majorHAnsi" w:hAnsiTheme="majorHAnsi" w:cstheme="majorHAnsi"/>
          <w:sz w:val="28"/>
          <w:szCs w:val="28"/>
        </w:rPr>
      </w:pPr>
    </w:p>
    <w:p w14:paraId="29A407F1" w14:textId="5A23B3BC" w:rsidR="001E0BCD" w:rsidRPr="00BE735F" w:rsidRDefault="002427A0" w:rsidP="0044780D">
      <w:pPr>
        <w:rPr>
          <w:rFonts w:asciiTheme="majorHAnsi" w:hAnsiTheme="majorHAnsi" w:cstheme="majorHAnsi"/>
          <w:sz w:val="28"/>
          <w:szCs w:val="28"/>
        </w:rPr>
      </w:pPr>
      <w:r w:rsidRPr="00BE735F">
        <w:rPr>
          <w:rFonts w:asciiTheme="majorHAnsi" w:hAnsiTheme="majorHAnsi" w:cstheme="majorHAnsi"/>
          <w:noProof/>
          <w:sz w:val="28"/>
          <w:szCs w:val="28"/>
        </w:rPr>
        <w:drawing>
          <wp:inline distT="0" distB="0" distL="0" distR="0" wp14:anchorId="26B30BA4" wp14:editId="308514C8">
            <wp:extent cx="3009900" cy="2105195"/>
            <wp:effectExtent l="0" t="0" r="0" b="9525"/>
            <wp:docPr id="802205218" name="Picture 1" descr="Artificial intelligence rob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rtificial intelligence rob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5250" cy="2122925"/>
                    </a:xfrm>
                    <a:prstGeom prst="rect">
                      <a:avLst/>
                    </a:prstGeom>
                    <a:noFill/>
                    <a:ln>
                      <a:noFill/>
                    </a:ln>
                  </pic:spPr>
                </pic:pic>
              </a:graphicData>
            </a:graphic>
          </wp:inline>
        </w:drawing>
      </w:r>
    </w:p>
    <w:p w14:paraId="3F6B02B7" w14:textId="6D70E3E4" w:rsidR="001E0BCD" w:rsidRPr="00BE735F" w:rsidRDefault="002427A0" w:rsidP="009C2163">
      <w:pPr>
        <w:rPr>
          <w:rFonts w:asciiTheme="majorHAnsi" w:hAnsiTheme="majorHAnsi" w:cstheme="majorHAnsi"/>
          <w:sz w:val="28"/>
          <w:szCs w:val="28"/>
        </w:rPr>
      </w:pPr>
      <w:r w:rsidRPr="00BE735F">
        <w:rPr>
          <w:rFonts w:asciiTheme="majorHAnsi" w:hAnsiTheme="majorHAnsi" w:cstheme="majorHAnsi"/>
          <w:sz w:val="28"/>
          <w:szCs w:val="28"/>
        </w:rPr>
        <w:t xml:space="preserve">                                                                    (Simon, 2024)</w:t>
      </w:r>
    </w:p>
    <w:p w14:paraId="74D037D9" w14:textId="77777777" w:rsidR="005010D9" w:rsidRPr="00BE735F" w:rsidRDefault="005010D9" w:rsidP="009C2163">
      <w:pPr>
        <w:rPr>
          <w:rFonts w:asciiTheme="majorHAnsi" w:hAnsiTheme="majorHAnsi" w:cstheme="majorHAnsi"/>
          <w:sz w:val="28"/>
          <w:szCs w:val="28"/>
        </w:rPr>
      </w:pPr>
    </w:p>
    <w:p w14:paraId="08364033" w14:textId="0A2B2557" w:rsidR="005010D9" w:rsidRPr="00BE735F" w:rsidRDefault="001E0BCD" w:rsidP="005010D9">
      <w:pPr>
        <w:pStyle w:val="Heading1"/>
        <w:rPr>
          <w:rFonts w:cstheme="majorHAnsi"/>
          <w:sz w:val="28"/>
          <w:szCs w:val="28"/>
        </w:rPr>
      </w:pPr>
      <w:bookmarkStart w:id="17" w:name="_Toc160013313"/>
      <w:r w:rsidRPr="00BE735F">
        <w:rPr>
          <w:rFonts w:cstheme="majorHAnsi"/>
          <w:sz w:val="28"/>
          <w:szCs w:val="28"/>
        </w:rPr>
        <w:t>References</w:t>
      </w:r>
      <w:bookmarkEnd w:id="17"/>
      <w:r w:rsidRPr="00BE735F">
        <w:rPr>
          <w:rFonts w:cstheme="majorHAnsi"/>
          <w:sz w:val="28"/>
          <w:szCs w:val="28"/>
        </w:rPr>
        <w:t xml:space="preserve"> </w:t>
      </w:r>
    </w:p>
    <w:p w14:paraId="38CAD4BB" w14:textId="77777777" w:rsidR="005010D9" w:rsidRPr="00BE735F" w:rsidRDefault="005010D9" w:rsidP="005010D9">
      <w:pPr>
        <w:rPr>
          <w:rFonts w:asciiTheme="majorHAnsi" w:hAnsiTheme="majorHAnsi" w:cstheme="majorHAnsi"/>
          <w:sz w:val="28"/>
          <w:szCs w:val="28"/>
        </w:rPr>
      </w:pPr>
    </w:p>
    <w:p w14:paraId="1641BB90" w14:textId="0CA75D9A"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Age UK (2018). </w:t>
      </w:r>
      <w:r w:rsidRPr="00A344EF">
        <w:rPr>
          <w:rFonts w:asciiTheme="majorHAnsi" w:hAnsiTheme="majorHAnsi" w:cstheme="majorHAnsi"/>
          <w:i/>
          <w:iCs/>
          <w:sz w:val="28"/>
          <w:szCs w:val="28"/>
        </w:rPr>
        <w:t>Integrated care and support services | Age UK</w:t>
      </w:r>
      <w:r w:rsidRPr="00A344EF">
        <w:rPr>
          <w:rFonts w:asciiTheme="majorHAnsi" w:hAnsiTheme="majorHAnsi" w:cstheme="majorHAnsi"/>
          <w:sz w:val="28"/>
          <w:szCs w:val="28"/>
        </w:rPr>
        <w:t xml:space="preserve">. [online] Ageuk.org.uk. Available at: https://www.ageuk.org.uk/our-impact/programmes/integrated-care/ </w:t>
      </w:r>
      <w:r w:rsidR="00761203">
        <w:rPr>
          <w:rFonts w:asciiTheme="majorHAnsi" w:hAnsiTheme="majorHAnsi" w:cstheme="majorHAnsi"/>
          <w:sz w:val="28"/>
          <w:szCs w:val="28"/>
        </w:rPr>
        <w:t>(</w:t>
      </w:r>
      <w:r w:rsidRPr="00A344EF">
        <w:rPr>
          <w:rFonts w:asciiTheme="majorHAnsi" w:hAnsiTheme="majorHAnsi" w:cstheme="majorHAnsi"/>
          <w:sz w:val="28"/>
          <w:szCs w:val="28"/>
        </w:rPr>
        <w:t>Accessed 29 Apr. 2024</w:t>
      </w:r>
      <w:r w:rsidR="00761203">
        <w:rPr>
          <w:rFonts w:asciiTheme="majorHAnsi" w:hAnsiTheme="majorHAnsi" w:cstheme="majorHAnsi"/>
          <w:sz w:val="28"/>
          <w:szCs w:val="28"/>
        </w:rPr>
        <w:t>)</w:t>
      </w:r>
      <w:r w:rsidRPr="00A344EF">
        <w:rPr>
          <w:rFonts w:asciiTheme="majorHAnsi" w:hAnsiTheme="majorHAnsi" w:cstheme="majorHAnsi"/>
          <w:sz w:val="28"/>
          <w:szCs w:val="28"/>
        </w:rPr>
        <w:t>.</w:t>
      </w:r>
    </w:p>
    <w:p w14:paraId="72C54638" w14:textId="0B723268"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Al Kuwaiti, A., Nazer, K., Al-Reedy, A., Al-Shehri, S., Al-Muhanna, A., Subbarayalu, A.V., Al Muhanna, D. and Al-Muhanna, F.A. (2023). A Review of the Role of Artificial Intelligence in Healthcare. </w:t>
      </w:r>
      <w:r w:rsidRPr="00A344EF">
        <w:rPr>
          <w:rFonts w:asciiTheme="majorHAnsi" w:hAnsiTheme="majorHAnsi" w:cstheme="majorHAnsi"/>
          <w:i/>
          <w:iCs/>
          <w:sz w:val="28"/>
          <w:szCs w:val="28"/>
        </w:rPr>
        <w:t>Journal of Personalized Medicine</w:t>
      </w:r>
      <w:r w:rsidRPr="00A344EF">
        <w:rPr>
          <w:rFonts w:asciiTheme="majorHAnsi" w:hAnsiTheme="majorHAnsi" w:cstheme="majorHAnsi"/>
          <w:sz w:val="28"/>
          <w:szCs w:val="28"/>
        </w:rPr>
        <w:t>, 13(6), p</w:t>
      </w:r>
      <w:r w:rsidR="0086723B">
        <w:rPr>
          <w:rFonts w:asciiTheme="majorHAnsi" w:hAnsiTheme="majorHAnsi" w:cstheme="majorHAnsi"/>
          <w:sz w:val="28"/>
          <w:szCs w:val="28"/>
        </w:rPr>
        <w:t>p</w:t>
      </w:r>
      <w:r w:rsidRPr="00A344EF">
        <w:rPr>
          <w:rFonts w:asciiTheme="majorHAnsi" w:hAnsiTheme="majorHAnsi" w:cstheme="majorHAnsi"/>
          <w:sz w:val="28"/>
          <w:szCs w:val="28"/>
        </w:rPr>
        <w:t>.</w:t>
      </w:r>
      <w:r w:rsidR="0086723B">
        <w:rPr>
          <w:rFonts w:asciiTheme="majorHAnsi" w:hAnsiTheme="majorHAnsi" w:cstheme="majorHAnsi"/>
          <w:sz w:val="28"/>
          <w:szCs w:val="28"/>
        </w:rPr>
        <w:t xml:space="preserve"> </w:t>
      </w:r>
      <w:r w:rsidRPr="00A344EF">
        <w:rPr>
          <w:rFonts w:asciiTheme="majorHAnsi" w:hAnsiTheme="majorHAnsi" w:cstheme="majorHAnsi"/>
          <w:sz w:val="28"/>
          <w:szCs w:val="28"/>
        </w:rPr>
        <w:t>951</w:t>
      </w:r>
      <w:r w:rsidR="0086723B">
        <w:rPr>
          <w:rFonts w:asciiTheme="majorHAnsi" w:hAnsiTheme="majorHAnsi" w:cstheme="majorHAnsi"/>
          <w:sz w:val="28"/>
          <w:szCs w:val="28"/>
        </w:rPr>
        <w:t>-957.</w:t>
      </w:r>
    </w:p>
    <w:p w14:paraId="1523DA6B" w14:textId="54FB5525"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Alowais, S.A., Alghamdi, S.S., Alsuhebany, N., Alqahtani, T., Abdulrahman Alshaya, Almohareb, S.N., Atheer Aldairem, Alrashed, M., Khalid Bin Saleh, Badreldin, H.A., Yami, A., Shmeylan Al Harbi and Albekairy, A.M. (2023). Revolutionizing healthcare: the role of artificial intelligence in clinical practice. </w:t>
      </w:r>
      <w:r w:rsidRPr="00A344EF">
        <w:rPr>
          <w:rFonts w:asciiTheme="majorHAnsi" w:hAnsiTheme="majorHAnsi" w:cstheme="majorHAnsi"/>
          <w:i/>
          <w:iCs/>
          <w:sz w:val="28"/>
          <w:szCs w:val="28"/>
        </w:rPr>
        <w:t>BMC Medical Education</w:t>
      </w:r>
      <w:r w:rsidRPr="00A344EF">
        <w:rPr>
          <w:rFonts w:asciiTheme="majorHAnsi" w:hAnsiTheme="majorHAnsi" w:cstheme="majorHAnsi"/>
          <w:sz w:val="28"/>
          <w:szCs w:val="28"/>
        </w:rPr>
        <w:t xml:space="preserve">, </w:t>
      </w:r>
      <w:r w:rsidR="00D1266E">
        <w:rPr>
          <w:rFonts w:asciiTheme="majorHAnsi" w:hAnsiTheme="majorHAnsi" w:cstheme="majorHAnsi"/>
          <w:sz w:val="28"/>
          <w:szCs w:val="28"/>
        </w:rPr>
        <w:t>(</w:t>
      </w:r>
      <w:r w:rsidRPr="00A344EF">
        <w:rPr>
          <w:rFonts w:asciiTheme="majorHAnsi" w:hAnsiTheme="majorHAnsi" w:cstheme="majorHAnsi"/>
          <w:sz w:val="28"/>
          <w:szCs w:val="28"/>
        </w:rPr>
        <w:t>online</w:t>
      </w:r>
      <w:r w:rsidR="0086723B">
        <w:rPr>
          <w:rFonts w:asciiTheme="majorHAnsi" w:hAnsiTheme="majorHAnsi" w:cstheme="majorHAnsi"/>
          <w:sz w:val="28"/>
          <w:szCs w:val="28"/>
        </w:rPr>
        <w:t>)</w:t>
      </w:r>
      <w:r w:rsidRPr="00A344EF">
        <w:rPr>
          <w:rFonts w:asciiTheme="majorHAnsi" w:hAnsiTheme="majorHAnsi" w:cstheme="majorHAnsi"/>
          <w:sz w:val="28"/>
          <w:szCs w:val="28"/>
        </w:rPr>
        <w:t xml:space="preserve"> 23(1)</w:t>
      </w:r>
      <w:r w:rsidR="00D1266E">
        <w:rPr>
          <w:rFonts w:asciiTheme="majorHAnsi" w:hAnsiTheme="majorHAnsi" w:cstheme="majorHAnsi"/>
          <w:sz w:val="28"/>
          <w:szCs w:val="28"/>
        </w:rPr>
        <w:t>, pp. 675-698.</w:t>
      </w:r>
    </w:p>
    <w:p w14:paraId="1B7EE8F4" w14:textId="5B0B357D"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Anghel, I., Cioara, T., Moldovan, D., Antal, M., Pop, C.D., Salomie, I., Pop, C.B. and Chifu, V.R. (2020). Smart Environments and Social Robots for Age-Friendly Integrated Care Services. </w:t>
      </w:r>
      <w:r w:rsidRPr="00A344EF">
        <w:rPr>
          <w:rFonts w:asciiTheme="majorHAnsi" w:hAnsiTheme="majorHAnsi" w:cstheme="majorHAnsi"/>
          <w:i/>
          <w:iCs/>
          <w:sz w:val="28"/>
          <w:szCs w:val="28"/>
        </w:rPr>
        <w:t>International Journal of Environmental Research and Public Health</w:t>
      </w:r>
      <w:r w:rsidRPr="00A344EF">
        <w:rPr>
          <w:rFonts w:asciiTheme="majorHAnsi" w:hAnsiTheme="majorHAnsi" w:cstheme="majorHAnsi"/>
          <w:sz w:val="28"/>
          <w:szCs w:val="28"/>
        </w:rPr>
        <w:t>, 17(11), p</w:t>
      </w:r>
      <w:r w:rsidR="00D1266E">
        <w:rPr>
          <w:rFonts w:asciiTheme="majorHAnsi" w:hAnsiTheme="majorHAnsi" w:cstheme="majorHAnsi"/>
          <w:sz w:val="28"/>
          <w:szCs w:val="28"/>
        </w:rPr>
        <w:t xml:space="preserve">p </w:t>
      </w:r>
      <w:r w:rsidRPr="00A344EF">
        <w:rPr>
          <w:rFonts w:asciiTheme="majorHAnsi" w:hAnsiTheme="majorHAnsi" w:cstheme="majorHAnsi"/>
          <w:sz w:val="28"/>
          <w:szCs w:val="28"/>
        </w:rPr>
        <w:t>.3801</w:t>
      </w:r>
      <w:r w:rsidR="00D1266E">
        <w:rPr>
          <w:rFonts w:asciiTheme="majorHAnsi" w:hAnsiTheme="majorHAnsi" w:cstheme="majorHAnsi"/>
          <w:sz w:val="28"/>
          <w:szCs w:val="28"/>
        </w:rPr>
        <w:t>-3897.</w:t>
      </w:r>
    </w:p>
    <w:p w14:paraId="6EBBA750" w14:textId="48FE61A1"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Beard, J.R. and Bloom, D.E. (2015). Towards a comprehensive public health response to population ageing. </w:t>
      </w:r>
      <w:r w:rsidRPr="00A344EF">
        <w:rPr>
          <w:rFonts w:asciiTheme="majorHAnsi" w:hAnsiTheme="majorHAnsi" w:cstheme="majorHAnsi"/>
          <w:i/>
          <w:iCs/>
          <w:sz w:val="28"/>
          <w:szCs w:val="28"/>
        </w:rPr>
        <w:t>The Lancet</w:t>
      </w:r>
      <w:r w:rsidRPr="00A344EF">
        <w:rPr>
          <w:rFonts w:asciiTheme="majorHAnsi" w:hAnsiTheme="majorHAnsi" w:cstheme="majorHAnsi"/>
          <w:sz w:val="28"/>
          <w:szCs w:val="28"/>
        </w:rPr>
        <w:t xml:space="preserve">, 385(9968), pp.658–661. </w:t>
      </w:r>
    </w:p>
    <w:p w14:paraId="300E9DA0" w14:textId="4EAA837C"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Berney, P. (2022). </w:t>
      </w:r>
      <w:r w:rsidRPr="00A344EF">
        <w:rPr>
          <w:rFonts w:asciiTheme="majorHAnsi" w:hAnsiTheme="majorHAnsi" w:cstheme="majorHAnsi"/>
          <w:i/>
          <w:iCs/>
          <w:sz w:val="28"/>
          <w:szCs w:val="28"/>
        </w:rPr>
        <w:t>Anthropos — The promise of AI and data technologies in social care</w:t>
      </w:r>
      <w:r w:rsidRPr="00A344EF">
        <w:rPr>
          <w:rFonts w:asciiTheme="majorHAnsi" w:hAnsiTheme="majorHAnsi" w:cstheme="majorHAnsi"/>
          <w:sz w:val="28"/>
          <w:szCs w:val="28"/>
        </w:rPr>
        <w:t xml:space="preserve">. </w:t>
      </w:r>
      <w:r w:rsidR="00D1266E">
        <w:rPr>
          <w:rFonts w:asciiTheme="majorHAnsi" w:hAnsiTheme="majorHAnsi" w:cstheme="majorHAnsi"/>
          <w:sz w:val="28"/>
          <w:szCs w:val="28"/>
        </w:rPr>
        <w:t>(</w:t>
      </w:r>
      <w:r w:rsidRPr="00A344EF">
        <w:rPr>
          <w:rFonts w:asciiTheme="majorHAnsi" w:hAnsiTheme="majorHAnsi" w:cstheme="majorHAnsi"/>
          <w:sz w:val="28"/>
          <w:szCs w:val="28"/>
        </w:rPr>
        <w:t>online</w:t>
      </w:r>
      <w:r w:rsidR="00D1266E">
        <w:rPr>
          <w:rFonts w:asciiTheme="majorHAnsi" w:hAnsiTheme="majorHAnsi" w:cstheme="majorHAnsi"/>
          <w:sz w:val="28"/>
          <w:szCs w:val="28"/>
        </w:rPr>
        <w:t>)</w:t>
      </w:r>
      <w:r w:rsidRPr="00A344EF">
        <w:rPr>
          <w:rFonts w:asciiTheme="majorHAnsi" w:hAnsiTheme="majorHAnsi" w:cstheme="majorHAnsi"/>
          <w:sz w:val="28"/>
          <w:szCs w:val="28"/>
        </w:rPr>
        <w:t xml:space="preserve"> anthropos.io. Available at: https://anthropos.io/insights/insights-post/the-promise-of-ai-and-data-technologies-in-social-care </w:t>
      </w:r>
      <w:r w:rsidR="00D1266E">
        <w:rPr>
          <w:rFonts w:asciiTheme="majorHAnsi" w:hAnsiTheme="majorHAnsi" w:cstheme="majorHAnsi"/>
          <w:sz w:val="28"/>
          <w:szCs w:val="28"/>
        </w:rPr>
        <w:t>(</w:t>
      </w:r>
      <w:r w:rsidRPr="00A344EF">
        <w:rPr>
          <w:rFonts w:asciiTheme="majorHAnsi" w:hAnsiTheme="majorHAnsi" w:cstheme="majorHAnsi"/>
          <w:sz w:val="28"/>
          <w:szCs w:val="28"/>
        </w:rPr>
        <w:t>Accessed 29 Apr. 2024</w:t>
      </w:r>
      <w:r w:rsidR="00D1266E">
        <w:rPr>
          <w:rFonts w:asciiTheme="majorHAnsi" w:hAnsiTheme="majorHAnsi" w:cstheme="majorHAnsi"/>
          <w:sz w:val="28"/>
          <w:szCs w:val="28"/>
        </w:rPr>
        <w:t>)</w:t>
      </w:r>
      <w:r w:rsidRPr="00A344EF">
        <w:rPr>
          <w:rFonts w:asciiTheme="majorHAnsi" w:hAnsiTheme="majorHAnsi" w:cstheme="majorHAnsi"/>
          <w:sz w:val="28"/>
          <w:szCs w:val="28"/>
        </w:rPr>
        <w:t>.</w:t>
      </w:r>
    </w:p>
    <w:p w14:paraId="3BC1DCD1" w14:textId="1B1635B1"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Chen, C., Ding, S. and Wang, J. (2023). Digital health for aging populations. </w:t>
      </w:r>
      <w:r w:rsidRPr="00A344EF">
        <w:rPr>
          <w:rFonts w:asciiTheme="majorHAnsi" w:hAnsiTheme="majorHAnsi" w:cstheme="majorHAnsi"/>
          <w:i/>
          <w:iCs/>
          <w:sz w:val="28"/>
          <w:szCs w:val="28"/>
        </w:rPr>
        <w:t>Nature Medicine</w:t>
      </w:r>
      <w:r w:rsidRPr="00A344EF">
        <w:rPr>
          <w:rFonts w:asciiTheme="majorHAnsi" w:hAnsiTheme="majorHAnsi" w:cstheme="majorHAnsi"/>
          <w:sz w:val="28"/>
          <w:szCs w:val="28"/>
        </w:rPr>
        <w:t>, 29(7), pp.1623–1630</w:t>
      </w:r>
    </w:p>
    <w:p w14:paraId="174101AA" w14:textId="3E1675E8"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Davenport, T. and Kalakota, R. (2019). The Potential for Artificial Intelligence in Healthcare. </w:t>
      </w:r>
      <w:r w:rsidRPr="00A344EF">
        <w:rPr>
          <w:rFonts w:asciiTheme="majorHAnsi" w:hAnsiTheme="majorHAnsi" w:cstheme="majorHAnsi"/>
          <w:i/>
          <w:iCs/>
          <w:sz w:val="28"/>
          <w:szCs w:val="28"/>
        </w:rPr>
        <w:t>Future Healthcare Journal</w:t>
      </w:r>
      <w:r w:rsidRPr="00A344EF">
        <w:rPr>
          <w:rFonts w:asciiTheme="majorHAnsi" w:hAnsiTheme="majorHAnsi" w:cstheme="majorHAnsi"/>
          <w:sz w:val="28"/>
          <w:szCs w:val="28"/>
        </w:rPr>
        <w:t xml:space="preserve">, 6(2), pp.94–98. </w:t>
      </w:r>
    </w:p>
    <w:p w14:paraId="33E99207" w14:textId="0A5E8AB9"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Department of Health and Social Care (2023). </w:t>
      </w:r>
      <w:r w:rsidRPr="00A344EF">
        <w:rPr>
          <w:rFonts w:asciiTheme="majorHAnsi" w:hAnsiTheme="majorHAnsi" w:cstheme="majorHAnsi"/>
          <w:i/>
          <w:iCs/>
          <w:sz w:val="28"/>
          <w:szCs w:val="28"/>
        </w:rPr>
        <w:t>Care and Support Statutory Guidance</w:t>
      </w:r>
      <w:r w:rsidRPr="00A344EF">
        <w:rPr>
          <w:rFonts w:asciiTheme="majorHAnsi" w:hAnsiTheme="majorHAnsi" w:cstheme="majorHAnsi"/>
          <w:sz w:val="28"/>
          <w:szCs w:val="28"/>
        </w:rPr>
        <w:t xml:space="preserve">. </w:t>
      </w:r>
      <w:r w:rsidR="00FD3D2D">
        <w:rPr>
          <w:rFonts w:asciiTheme="majorHAnsi" w:hAnsiTheme="majorHAnsi" w:cstheme="majorHAnsi"/>
          <w:sz w:val="28"/>
          <w:szCs w:val="28"/>
        </w:rPr>
        <w:t>(</w:t>
      </w:r>
      <w:r w:rsidRPr="00A344EF">
        <w:rPr>
          <w:rFonts w:asciiTheme="majorHAnsi" w:hAnsiTheme="majorHAnsi" w:cstheme="majorHAnsi"/>
          <w:sz w:val="28"/>
          <w:szCs w:val="28"/>
        </w:rPr>
        <w:t>online</w:t>
      </w:r>
      <w:r w:rsidR="00FD3D2D">
        <w:rPr>
          <w:rFonts w:asciiTheme="majorHAnsi" w:hAnsiTheme="majorHAnsi" w:cstheme="majorHAnsi"/>
          <w:sz w:val="28"/>
          <w:szCs w:val="28"/>
        </w:rPr>
        <w:t>)</w:t>
      </w:r>
      <w:r w:rsidRPr="00A344EF">
        <w:rPr>
          <w:rFonts w:asciiTheme="majorHAnsi" w:hAnsiTheme="majorHAnsi" w:cstheme="majorHAnsi"/>
          <w:sz w:val="28"/>
          <w:szCs w:val="28"/>
        </w:rPr>
        <w:t xml:space="preserve"> GOV.UK. Available at: https://www.gov.uk/government/publications/care-act-statutory-guidance/care-and-support-statutory-guidance </w:t>
      </w:r>
      <w:r w:rsidR="00FD3D2D">
        <w:rPr>
          <w:rFonts w:asciiTheme="majorHAnsi" w:hAnsiTheme="majorHAnsi" w:cstheme="majorHAnsi"/>
          <w:sz w:val="28"/>
          <w:szCs w:val="28"/>
        </w:rPr>
        <w:t>(</w:t>
      </w:r>
      <w:r w:rsidRPr="00A344EF">
        <w:rPr>
          <w:rFonts w:asciiTheme="majorHAnsi" w:hAnsiTheme="majorHAnsi" w:cstheme="majorHAnsi"/>
          <w:sz w:val="28"/>
          <w:szCs w:val="28"/>
        </w:rPr>
        <w:t>Accessed 29 Apr. 2024</w:t>
      </w:r>
      <w:r w:rsidR="00FD3D2D">
        <w:rPr>
          <w:rFonts w:asciiTheme="majorHAnsi" w:hAnsiTheme="majorHAnsi" w:cstheme="majorHAnsi"/>
          <w:sz w:val="28"/>
          <w:szCs w:val="28"/>
        </w:rPr>
        <w:t>)</w:t>
      </w:r>
      <w:r w:rsidRPr="00A344EF">
        <w:rPr>
          <w:rFonts w:asciiTheme="majorHAnsi" w:hAnsiTheme="majorHAnsi" w:cstheme="majorHAnsi"/>
          <w:sz w:val="28"/>
          <w:szCs w:val="28"/>
        </w:rPr>
        <w:t>.</w:t>
      </w:r>
    </w:p>
    <w:p w14:paraId="2293E405" w14:textId="640EB8F1"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lastRenderedPageBreak/>
        <w:t xml:space="preserve">Gallo, V. and Nair, S. (2024). </w:t>
      </w:r>
      <w:r w:rsidRPr="00A344EF">
        <w:rPr>
          <w:rFonts w:asciiTheme="majorHAnsi" w:hAnsiTheme="majorHAnsi" w:cstheme="majorHAnsi"/>
          <w:i/>
          <w:iCs/>
          <w:sz w:val="28"/>
          <w:szCs w:val="28"/>
        </w:rPr>
        <w:t>The UK’s framework for AI regulation</w:t>
      </w:r>
      <w:r w:rsidRPr="00A344EF">
        <w:rPr>
          <w:rFonts w:asciiTheme="majorHAnsi" w:hAnsiTheme="majorHAnsi" w:cstheme="majorHAnsi"/>
          <w:sz w:val="28"/>
          <w:szCs w:val="28"/>
        </w:rPr>
        <w:t xml:space="preserve">. </w:t>
      </w:r>
      <w:r w:rsidR="003146ED">
        <w:rPr>
          <w:rFonts w:asciiTheme="majorHAnsi" w:hAnsiTheme="majorHAnsi" w:cstheme="majorHAnsi"/>
          <w:sz w:val="28"/>
          <w:szCs w:val="28"/>
        </w:rPr>
        <w:t>(</w:t>
      </w:r>
      <w:r w:rsidRPr="00A344EF">
        <w:rPr>
          <w:rFonts w:asciiTheme="majorHAnsi" w:hAnsiTheme="majorHAnsi" w:cstheme="majorHAnsi"/>
          <w:sz w:val="28"/>
          <w:szCs w:val="28"/>
        </w:rPr>
        <w:t>online</w:t>
      </w:r>
      <w:r w:rsidR="003146ED">
        <w:rPr>
          <w:rFonts w:asciiTheme="majorHAnsi" w:hAnsiTheme="majorHAnsi" w:cstheme="majorHAnsi"/>
          <w:sz w:val="28"/>
          <w:szCs w:val="28"/>
        </w:rPr>
        <w:t>)</w:t>
      </w:r>
      <w:r w:rsidRPr="00A344EF">
        <w:rPr>
          <w:rFonts w:asciiTheme="majorHAnsi" w:hAnsiTheme="majorHAnsi" w:cstheme="majorHAnsi"/>
          <w:sz w:val="28"/>
          <w:szCs w:val="28"/>
        </w:rPr>
        <w:t xml:space="preserve"> Deloitte United States. Available at: https://www2.deloitte.com/uk/en/blog/emea-centre-for-regulatory-strategy/2024/the-uks-framework-for-ai-regulation.html </w:t>
      </w:r>
      <w:r w:rsidR="003146ED">
        <w:rPr>
          <w:rFonts w:asciiTheme="majorHAnsi" w:hAnsiTheme="majorHAnsi" w:cstheme="majorHAnsi"/>
          <w:sz w:val="28"/>
          <w:szCs w:val="28"/>
        </w:rPr>
        <w:t>(</w:t>
      </w:r>
      <w:r w:rsidRPr="00A344EF">
        <w:rPr>
          <w:rFonts w:asciiTheme="majorHAnsi" w:hAnsiTheme="majorHAnsi" w:cstheme="majorHAnsi"/>
          <w:sz w:val="28"/>
          <w:szCs w:val="28"/>
        </w:rPr>
        <w:t>Accessed 29 Apr. 2024</w:t>
      </w:r>
      <w:r w:rsidR="003146ED">
        <w:rPr>
          <w:rFonts w:asciiTheme="majorHAnsi" w:hAnsiTheme="majorHAnsi" w:cstheme="majorHAnsi"/>
          <w:sz w:val="28"/>
          <w:szCs w:val="28"/>
        </w:rPr>
        <w:t>)</w:t>
      </w:r>
      <w:r w:rsidRPr="00A344EF">
        <w:rPr>
          <w:rFonts w:asciiTheme="majorHAnsi" w:hAnsiTheme="majorHAnsi" w:cstheme="majorHAnsi"/>
          <w:sz w:val="28"/>
          <w:szCs w:val="28"/>
        </w:rPr>
        <w:t>.</w:t>
      </w:r>
    </w:p>
    <w:p w14:paraId="1E9F669D" w14:textId="23D9E472"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Goetz, L.H. and Schork, N.J. (2018). Personalized medicine: motivation, challenges, and progress. </w:t>
      </w:r>
      <w:r w:rsidRPr="00A344EF">
        <w:rPr>
          <w:rFonts w:asciiTheme="majorHAnsi" w:hAnsiTheme="majorHAnsi" w:cstheme="majorHAnsi"/>
          <w:i/>
          <w:iCs/>
          <w:sz w:val="28"/>
          <w:szCs w:val="28"/>
        </w:rPr>
        <w:t>Fertility and Sterility</w:t>
      </w:r>
      <w:r w:rsidRPr="00A344EF">
        <w:rPr>
          <w:rFonts w:asciiTheme="majorHAnsi" w:hAnsiTheme="majorHAnsi" w:cstheme="majorHAnsi"/>
          <w:sz w:val="28"/>
          <w:szCs w:val="28"/>
        </w:rPr>
        <w:t xml:space="preserve">, [online] 109(6), pp.952–963. </w:t>
      </w:r>
    </w:p>
    <w:p w14:paraId="643063DC" w14:textId="0E2B7459"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Haleem, A., Javaid, M., Singh, R.P. and Suman, R. (2021). Telemedicine for healthcare: Capabilities, features, barriers, and applications. </w:t>
      </w:r>
      <w:r w:rsidRPr="00A344EF">
        <w:rPr>
          <w:rFonts w:asciiTheme="majorHAnsi" w:hAnsiTheme="majorHAnsi" w:cstheme="majorHAnsi"/>
          <w:i/>
          <w:iCs/>
          <w:sz w:val="28"/>
          <w:szCs w:val="28"/>
        </w:rPr>
        <w:t>Sensors International</w:t>
      </w:r>
      <w:r w:rsidRPr="00A344EF">
        <w:rPr>
          <w:rFonts w:asciiTheme="majorHAnsi" w:hAnsiTheme="majorHAnsi" w:cstheme="majorHAnsi"/>
          <w:sz w:val="28"/>
          <w:szCs w:val="28"/>
        </w:rPr>
        <w:t xml:space="preserve">, </w:t>
      </w:r>
      <w:r w:rsidR="00F669D2">
        <w:rPr>
          <w:rFonts w:asciiTheme="majorHAnsi" w:hAnsiTheme="majorHAnsi" w:cstheme="majorHAnsi"/>
          <w:sz w:val="28"/>
          <w:szCs w:val="28"/>
        </w:rPr>
        <w:t>(</w:t>
      </w:r>
      <w:r w:rsidRPr="00A344EF">
        <w:rPr>
          <w:rFonts w:asciiTheme="majorHAnsi" w:hAnsiTheme="majorHAnsi" w:cstheme="majorHAnsi"/>
          <w:sz w:val="28"/>
          <w:szCs w:val="28"/>
        </w:rPr>
        <w:t>online</w:t>
      </w:r>
      <w:r w:rsidR="00F669D2">
        <w:rPr>
          <w:rFonts w:asciiTheme="majorHAnsi" w:hAnsiTheme="majorHAnsi" w:cstheme="majorHAnsi"/>
          <w:sz w:val="28"/>
          <w:szCs w:val="28"/>
        </w:rPr>
        <w:t>)</w:t>
      </w:r>
      <w:r w:rsidRPr="00A344EF">
        <w:rPr>
          <w:rFonts w:asciiTheme="majorHAnsi" w:hAnsiTheme="majorHAnsi" w:cstheme="majorHAnsi"/>
          <w:sz w:val="28"/>
          <w:szCs w:val="28"/>
        </w:rPr>
        <w:t xml:space="preserve"> 2(2), p</w:t>
      </w:r>
      <w:r w:rsidR="003146ED">
        <w:rPr>
          <w:rFonts w:asciiTheme="majorHAnsi" w:hAnsiTheme="majorHAnsi" w:cstheme="majorHAnsi"/>
          <w:sz w:val="28"/>
          <w:szCs w:val="28"/>
        </w:rPr>
        <w:t>p</w:t>
      </w:r>
      <w:r w:rsidRPr="00A344EF">
        <w:rPr>
          <w:rFonts w:asciiTheme="majorHAnsi" w:hAnsiTheme="majorHAnsi" w:cstheme="majorHAnsi"/>
          <w:sz w:val="28"/>
          <w:szCs w:val="28"/>
        </w:rPr>
        <w:t>.100</w:t>
      </w:r>
      <w:r w:rsidR="003146ED">
        <w:rPr>
          <w:rFonts w:asciiTheme="majorHAnsi" w:hAnsiTheme="majorHAnsi" w:cstheme="majorHAnsi"/>
          <w:sz w:val="28"/>
          <w:szCs w:val="28"/>
        </w:rPr>
        <w:t>-</w:t>
      </w:r>
      <w:r w:rsidRPr="00A344EF">
        <w:rPr>
          <w:rFonts w:asciiTheme="majorHAnsi" w:hAnsiTheme="majorHAnsi" w:cstheme="majorHAnsi"/>
          <w:sz w:val="28"/>
          <w:szCs w:val="28"/>
        </w:rPr>
        <w:t xml:space="preserve">117. </w:t>
      </w:r>
    </w:p>
    <w:p w14:paraId="2F73CC0F" w14:textId="341B3E38"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Hong, C., Sun, L., Liu, G., Guan, B.-Y., Li, C.-F. and Luo, Y. (2023). Response of Global Health Towards the Challenges Presented by Population Aging. </w:t>
      </w:r>
      <w:r w:rsidRPr="00A344EF">
        <w:rPr>
          <w:rFonts w:asciiTheme="majorHAnsi" w:hAnsiTheme="majorHAnsi" w:cstheme="majorHAnsi"/>
          <w:i/>
          <w:iCs/>
          <w:sz w:val="28"/>
          <w:szCs w:val="28"/>
        </w:rPr>
        <w:t>PubMed</w:t>
      </w:r>
      <w:r w:rsidRPr="00A344EF">
        <w:rPr>
          <w:rFonts w:asciiTheme="majorHAnsi" w:hAnsiTheme="majorHAnsi" w:cstheme="majorHAnsi"/>
          <w:sz w:val="28"/>
          <w:szCs w:val="28"/>
        </w:rPr>
        <w:t xml:space="preserve">, 5(39), pp.884–887. </w:t>
      </w:r>
    </w:p>
    <w:p w14:paraId="08682CD3" w14:textId="5E64750C"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Jakobsen, K., Mikalsen, M. and Lilleng, G. (2023). A literature review of smart technology domains with implications for research on smart rural communities. </w:t>
      </w:r>
      <w:r w:rsidRPr="00A344EF">
        <w:rPr>
          <w:rFonts w:asciiTheme="majorHAnsi" w:hAnsiTheme="majorHAnsi" w:cstheme="majorHAnsi"/>
          <w:i/>
          <w:iCs/>
          <w:sz w:val="28"/>
          <w:szCs w:val="28"/>
        </w:rPr>
        <w:t>Technology in Society</w:t>
      </w:r>
      <w:r w:rsidRPr="00A344EF">
        <w:rPr>
          <w:rFonts w:asciiTheme="majorHAnsi" w:hAnsiTheme="majorHAnsi" w:cstheme="majorHAnsi"/>
          <w:sz w:val="28"/>
          <w:szCs w:val="28"/>
        </w:rPr>
        <w:t>, 75, p</w:t>
      </w:r>
      <w:r w:rsidR="00F669D2">
        <w:rPr>
          <w:rFonts w:asciiTheme="majorHAnsi" w:hAnsiTheme="majorHAnsi" w:cstheme="majorHAnsi"/>
          <w:sz w:val="28"/>
          <w:szCs w:val="28"/>
        </w:rPr>
        <w:t>p</w:t>
      </w:r>
      <w:r w:rsidRPr="00A344EF">
        <w:rPr>
          <w:rFonts w:asciiTheme="majorHAnsi" w:hAnsiTheme="majorHAnsi" w:cstheme="majorHAnsi"/>
          <w:sz w:val="28"/>
          <w:szCs w:val="28"/>
        </w:rPr>
        <w:t>.102</w:t>
      </w:r>
      <w:r w:rsidR="00F669D2">
        <w:rPr>
          <w:rFonts w:asciiTheme="majorHAnsi" w:hAnsiTheme="majorHAnsi" w:cstheme="majorHAnsi"/>
          <w:sz w:val="28"/>
          <w:szCs w:val="28"/>
        </w:rPr>
        <w:t>-</w:t>
      </w:r>
      <w:r w:rsidRPr="00A344EF">
        <w:rPr>
          <w:rFonts w:asciiTheme="majorHAnsi" w:hAnsiTheme="majorHAnsi" w:cstheme="majorHAnsi"/>
          <w:sz w:val="28"/>
          <w:szCs w:val="28"/>
        </w:rPr>
        <w:t xml:space="preserve">397. </w:t>
      </w:r>
    </w:p>
    <w:p w14:paraId="1F8C582C" w14:textId="3D01DBFB"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Johnson, K.B., Wei, W., Weeraratne, D., Frisse, M.E., Misulis, K., Rhee, K., Zhao, J. and Snowdon, J.L. (2020). Precision Medicine, AI, and the Future of Personalized Health Care. </w:t>
      </w:r>
      <w:r w:rsidRPr="00A344EF">
        <w:rPr>
          <w:rFonts w:asciiTheme="majorHAnsi" w:hAnsiTheme="majorHAnsi" w:cstheme="majorHAnsi"/>
          <w:i/>
          <w:iCs/>
          <w:sz w:val="28"/>
          <w:szCs w:val="28"/>
        </w:rPr>
        <w:t>Clinical and Translational Science</w:t>
      </w:r>
      <w:r w:rsidRPr="00A344EF">
        <w:rPr>
          <w:rFonts w:asciiTheme="majorHAnsi" w:hAnsiTheme="majorHAnsi" w:cstheme="majorHAnsi"/>
          <w:sz w:val="28"/>
          <w:szCs w:val="28"/>
        </w:rPr>
        <w:t>, 14(1)</w:t>
      </w:r>
      <w:r w:rsidR="00F669D2">
        <w:rPr>
          <w:rFonts w:asciiTheme="majorHAnsi" w:hAnsiTheme="majorHAnsi" w:cstheme="majorHAnsi"/>
          <w:sz w:val="28"/>
          <w:szCs w:val="28"/>
        </w:rPr>
        <w:t>, pp.165-174.</w:t>
      </w:r>
    </w:p>
    <w:p w14:paraId="661F4854" w14:textId="77777777"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Knapp, M., Shehaj, X., Wong, G., Hall, A., Hanratty, B., Robinson, L., Todd, C. and Wittenberg, R. (2022). </w:t>
      </w:r>
      <w:r w:rsidRPr="00A344EF">
        <w:rPr>
          <w:rFonts w:asciiTheme="majorHAnsi" w:hAnsiTheme="majorHAnsi" w:cstheme="majorHAnsi"/>
          <w:i/>
          <w:iCs/>
          <w:sz w:val="28"/>
          <w:szCs w:val="28"/>
        </w:rPr>
        <w:t>Digital technology to support people living with dementia and carers</w:t>
      </w:r>
      <w:r w:rsidRPr="00A344EF">
        <w:rPr>
          <w:rFonts w:asciiTheme="majorHAnsi" w:hAnsiTheme="majorHAnsi" w:cstheme="majorHAnsi"/>
          <w:sz w:val="28"/>
          <w:szCs w:val="28"/>
        </w:rPr>
        <w:t>.</w:t>
      </w:r>
    </w:p>
    <w:p w14:paraId="5926AF22" w14:textId="313A88A1"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Korkmaz Yaylagul, N., Kirisik, H., Bernardo, J., Dantas, C., van Staalduinen, W., Illario, M., De Luca, V., Apóstolo, J. and Silva, R. (2022). Trends in Telecare Use among Community-Dwelling Older Adults: A Scoping Review. </w:t>
      </w:r>
      <w:r w:rsidRPr="00A344EF">
        <w:rPr>
          <w:rFonts w:asciiTheme="majorHAnsi" w:hAnsiTheme="majorHAnsi" w:cstheme="majorHAnsi"/>
          <w:i/>
          <w:iCs/>
          <w:sz w:val="28"/>
          <w:szCs w:val="28"/>
        </w:rPr>
        <w:t>International Journal of Environmental Research and Public Health</w:t>
      </w:r>
      <w:r w:rsidRPr="00A344EF">
        <w:rPr>
          <w:rFonts w:asciiTheme="majorHAnsi" w:hAnsiTheme="majorHAnsi" w:cstheme="majorHAnsi"/>
          <w:sz w:val="28"/>
          <w:szCs w:val="28"/>
        </w:rPr>
        <w:t>, 19(24), p</w:t>
      </w:r>
      <w:r w:rsidR="00F669D2">
        <w:rPr>
          <w:rFonts w:asciiTheme="majorHAnsi" w:hAnsiTheme="majorHAnsi" w:cstheme="majorHAnsi"/>
          <w:sz w:val="28"/>
          <w:szCs w:val="28"/>
        </w:rPr>
        <w:t>p</w:t>
      </w:r>
      <w:r w:rsidRPr="00A344EF">
        <w:rPr>
          <w:rFonts w:asciiTheme="majorHAnsi" w:hAnsiTheme="majorHAnsi" w:cstheme="majorHAnsi"/>
          <w:sz w:val="28"/>
          <w:szCs w:val="28"/>
        </w:rPr>
        <w:t>.166</w:t>
      </w:r>
      <w:r w:rsidR="00F567F1">
        <w:rPr>
          <w:rFonts w:asciiTheme="majorHAnsi" w:hAnsiTheme="majorHAnsi" w:cstheme="majorHAnsi"/>
          <w:sz w:val="28"/>
          <w:szCs w:val="28"/>
        </w:rPr>
        <w:t>-1</w:t>
      </w:r>
      <w:r w:rsidRPr="00A344EF">
        <w:rPr>
          <w:rFonts w:asciiTheme="majorHAnsi" w:hAnsiTheme="majorHAnsi" w:cstheme="majorHAnsi"/>
          <w:sz w:val="28"/>
          <w:szCs w:val="28"/>
        </w:rPr>
        <w:t xml:space="preserve">72. </w:t>
      </w:r>
    </w:p>
    <w:p w14:paraId="3C19856A" w14:textId="138D74F6"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Mennella, C., Maniscalco, U., Giuseppe De Pietro and Esposito, M. (2024). Ethical and regulatory challenges of AI technologies in healthcare: A narrative review. </w:t>
      </w:r>
      <w:r w:rsidRPr="00A344EF">
        <w:rPr>
          <w:rFonts w:asciiTheme="majorHAnsi" w:hAnsiTheme="majorHAnsi" w:cstheme="majorHAnsi"/>
          <w:i/>
          <w:iCs/>
          <w:sz w:val="28"/>
          <w:szCs w:val="28"/>
        </w:rPr>
        <w:t>Heliyon</w:t>
      </w:r>
      <w:r w:rsidRPr="00A344EF">
        <w:rPr>
          <w:rFonts w:asciiTheme="majorHAnsi" w:hAnsiTheme="majorHAnsi" w:cstheme="majorHAnsi"/>
          <w:sz w:val="28"/>
          <w:szCs w:val="28"/>
        </w:rPr>
        <w:t xml:space="preserve">, </w:t>
      </w:r>
      <w:r w:rsidR="00F567F1">
        <w:rPr>
          <w:rFonts w:asciiTheme="majorHAnsi" w:hAnsiTheme="majorHAnsi" w:cstheme="majorHAnsi"/>
          <w:sz w:val="28"/>
          <w:szCs w:val="28"/>
        </w:rPr>
        <w:t>(</w:t>
      </w:r>
      <w:r w:rsidRPr="00A344EF">
        <w:rPr>
          <w:rFonts w:asciiTheme="majorHAnsi" w:hAnsiTheme="majorHAnsi" w:cstheme="majorHAnsi"/>
          <w:sz w:val="28"/>
          <w:szCs w:val="28"/>
        </w:rPr>
        <w:t>online</w:t>
      </w:r>
      <w:r w:rsidR="00F567F1">
        <w:rPr>
          <w:rFonts w:asciiTheme="majorHAnsi" w:hAnsiTheme="majorHAnsi" w:cstheme="majorHAnsi"/>
          <w:sz w:val="28"/>
          <w:szCs w:val="28"/>
        </w:rPr>
        <w:t>)</w:t>
      </w:r>
      <w:r w:rsidRPr="00A344EF">
        <w:rPr>
          <w:rFonts w:asciiTheme="majorHAnsi" w:hAnsiTheme="majorHAnsi" w:cstheme="majorHAnsi"/>
          <w:sz w:val="28"/>
          <w:szCs w:val="28"/>
        </w:rPr>
        <w:t xml:space="preserve"> 10(4), pp.262–26</w:t>
      </w:r>
      <w:r w:rsidR="00F567F1">
        <w:rPr>
          <w:rFonts w:asciiTheme="majorHAnsi" w:hAnsiTheme="majorHAnsi" w:cstheme="majorHAnsi"/>
          <w:sz w:val="28"/>
          <w:szCs w:val="28"/>
        </w:rPr>
        <w:t>9</w:t>
      </w:r>
      <w:r w:rsidRPr="00A344EF">
        <w:rPr>
          <w:rFonts w:asciiTheme="majorHAnsi" w:hAnsiTheme="majorHAnsi" w:cstheme="majorHAnsi"/>
          <w:sz w:val="28"/>
          <w:szCs w:val="28"/>
        </w:rPr>
        <w:t xml:space="preserve">. </w:t>
      </w:r>
    </w:p>
    <w:p w14:paraId="3A201A16" w14:textId="308E04FC"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Moulds, A. (2023). </w:t>
      </w:r>
      <w:r w:rsidRPr="00A344EF">
        <w:rPr>
          <w:rFonts w:asciiTheme="majorHAnsi" w:hAnsiTheme="majorHAnsi" w:cstheme="majorHAnsi"/>
          <w:i/>
          <w:iCs/>
          <w:sz w:val="28"/>
          <w:szCs w:val="28"/>
        </w:rPr>
        <w:t>What Do Technology and AI Mean for the Future of Work in Health care? - the Health Foundation</w:t>
      </w:r>
      <w:r w:rsidRPr="00A344EF">
        <w:rPr>
          <w:rFonts w:asciiTheme="majorHAnsi" w:hAnsiTheme="majorHAnsi" w:cstheme="majorHAnsi"/>
          <w:sz w:val="28"/>
          <w:szCs w:val="28"/>
        </w:rPr>
        <w:t xml:space="preserve">. </w:t>
      </w:r>
      <w:r w:rsidR="00837749">
        <w:rPr>
          <w:rFonts w:asciiTheme="majorHAnsi" w:hAnsiTheme="majorHAnsi" w:cstheme="majorHAnsi"/>
          <w:sz w:val="28"/>
          <w:szCs w:val="28"/>
        </w:rPr>
        <w:t>(</w:t>
      </w:r>
      <w:r w:rsidRPr="00A344EF">
        <w:rPr>
          <w:rFonts w:asciiTheme="majorHAnsi" w:hAnsiTheme="majorHAnsi" w:cstheme="majorHAnsi"/>
          <w:sz w:val="28"/>
          <w:szCs w:val="28"/>
        </w:rPr>
        <w:t>online</w:t>
      </w:r>
      <w:r w:rsidR="00837749">
        <w:rPr>
          <w:rFonts w:asciiTheme="majorHAnsi" w:hAnsiTheme="majorHAnsi" w:cstheme="majorHAnsi"/>
          <w:sz w:val="28"/>
          <w:szCs w:val="28"/>
        </w:rPr>
        <w:t>)</w:t>
      </w:r>
      <w:r w:rsidRPr="00A344EF">
        <w:rPr>
          <w:rFonts w:asciiTheme="majorHAnsi" w:hAnsiTheme="majorHAnsi" w:cstheme="majorHAnsi"/>
          <w:sz w:val="28"/>
          <w:szCs w:val="28"/>
        </w:rPr>
        <w:t xml:space="preserve"> www.health.org.uk. Available at: https://www.health.org.uk/publications/long-reads/what-do-technology-and-ai-mean-for-the-future-of-work-in-health-care </w:t>
      </w:r>
      <w:r w:rsidR="00837749">
        <w:rPr>
          <w:rFonts w:asciiTheme="majorHAnsi" w:hAnsiTheme="majorHAnsi" w:cstheme="majorHAnsi"/>
          <w:sz w:val="28"/>
          <w:szCs w:val="28"/>
        </w:rPr>
        <w:t>(</w:t>
      </w:r>
      <w:r w:rsidRPr="00A344EF">
        <w:rPr>
          <w:rFonts w:asciiTheme="majorHAnsi" w:hAnsiTheme="majorHAnsi" w:cstheme="majorHAnsi"/>
          <w:sz w:val="28"/>
          <w:szCs w:val="28"/>
        </w:rPr>
        <w:t>Accessed 29 Apr. 2024</w:t>
      </w:r>
      <w:r w:rsidR="00837749">
        <w:rPr>
          <w:rFonts w:asciiTheme="majorHAnsi" w:hAnsiTheme="majorHAnsi" w:cstheme="majorHAnsi"/>
          <w:sz w:val="28"/>
          <w:szCs w:val="28"/>
        </w:rPr>
        <w:t>)</w:t>
      </w:r>
      <w:r w:rsidRPr="00A344EF">
        <w:rPr>
          <w:rFonts w:asciiTheme="majorHAnsi" w:hAnsiTheme="majorHAnsi" w:cstheme="majorHAnsi"/>
          <w:sz w:val="28"/>
          <w:szCs w:val="28"/>
        </w:rPr>
        <w:t>.</w:t>
      </w:r>
    </w:p>
    <w:p w14:paraId="7C958B04" w14:textId="77777777"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lastRenderedPageBreak/>
        <w:t xml:space="preserve">National Health Service (2019). </w:t>
      </w:r>
      <w:r w:rsidRPr="00A344EF">
        <w:rPr>
          <w:rFonts w:asciiTheme="majorHAnsi" w:hAnsiTheme="majorHAnsi" w:cstheme="majorHAnsi"/>
          <w:i/>
          <w:iCs/>
          <w:sz w:val="28"/>
          <w:szCs w:val="28"/>
        </w:rPr>
        <w:t>Artificial Intelligence: How to get it right Putting policy into practice for safe data-driven innovation in health and care</w:t>
      </w:r>
      <w:r w:rsidRPr="00A344EF">
        <w:rPr>
          <w:rFonts w:asciiTheme="majorHAnsi" w:hAnsiTheme="majorHAnsi" w:cstheme="majorHAnsi"/>
          <w:sz w:val="28"/>
          <w:szCs w:val="28"/>
        </w:rPr>
        <w:t>.</w:t>
      </w:r>
    </w:p>
    <w:p w14:paraId="10030E2B" w14:textId="2CEBCF7F"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National Health Service (2022). </w:t>
      </w:r>
      <w:r w:rsidRPr="00A344EF">
        <w:rPr>
          <w:rFonts w:asciiTheme="majorHAnsi" w:hAnsiTheme="majorHAnsi" w:cstheme="majorHAnsi"/>
          <w:i/>
          <w:iCs/>
          <w:sz w:val="28"/>
          <w:szCs w:val="28"/>
        </w:rPr>
        <w:t>Supporting care with remote monitoring</w:t>
      </w:r>
      <w:r w:rsidRPr="00A344EF">
        <w:rPr>
          <w:rFonts w:asciiTheme="majorHAnsi" w:hAnsiTheme="majorHAnsi" w:cstheme="majorHAnsi"/>
          <w:sz w:val="28"/>
          <w:szCs w:val="28"/>
        </w:rPr>
        <w:t xml:space="preserve">. </w:t>
      </w:r>
      <w:r w:rsidR="00837749">
        <w:rPr>
          <w:rFonts w:asciiTheme="majorHAnsi" w:hAnsiTheme="majorHAnsi" w:cstheme="majorHAnsi"/>
          <w:sz w:val="28"/>
          <w:szCs w:val="28"/>
        </w:rPr>
        <w:t>(</w:t>
      </w:r>
      <w:r w:rsidRPr="00A344EF">
        <w:rPr>
          <w:rFonts w:asciiTheme="majorHAnsi" w:hAnsiTheme="majorHAnsi" w:cstheme="majorHAnsi"/>
          <w:sz w:val="28"/>
          <w:szCs w:val="28"/>
        </w:rPr>
        <w:t>online</w:t>
      </w:r>
      <w:r w:rsidR="00837749">
        <w:rPr>
          <w:rFonts w:asciiTheme="majorHAnsi" w:hAnsiTheme="majorHAnsi" w:cstheme="majorHAnsi"/>
          <w:sz w:val="28"/>
          <w:szCs w:val="28"/>
        </w:rPr>
        <w:t>)</w:t>
      </w:r>
      <w:r w:rsidRPr="00A344EF">
        <w:rPr>
          <w:rFonts w:asciiTheme="majorHAnsi" w:hAnsiTheme="majorHAnsi" w:cstheme="majorHAnsi"/>
          <w:sz w:val="28"/>
          <w:szCs w:val="28"/>
        </w:rPr>
        <w:t xml:space="preserve"> NHS Transformation Directorate. Available at: https://transform.england.nhs.uk/covid-19-response/technology-nhs/supporting-the-innovation-collaboratives-to-expand-their-remote-monitoring-plans/ </w:t>
      </w:r>
      <w:r w:rsidR="00837749">
        <w:rPr>
          <w:rFonts w:asciiTheme="majorHAnsi" w:hAnsiTheme="majorHAnsi" w:cstheme="majorHAnsi"/>
          <w:sz w:val="28"/>
          <w:szCs w:val="28"/>
        </w:rPr>
        <w:t>(</w:t>
      </w:r>
      <w:r w:rsidRPr="00A344EF">
        <w:rPr>
          <w:rFonts w:asciiTheme="majorHAnsi" w:hAnsiTheme="majorHAnsi" w:cstheme="majorHAnsi"/>
          <w:sz w:val="28"/>
          <w:szCs w:val="28"/>
        </w:rPr>
        <w:t>Accessed 29 Apr. 2024</w:t>
      </w:r>
      <w:r w:rsidR="00837749">
        <w:rPr>
          <w:rFonts w:asciiTheme="majorHAnsi" w:hAnsiTheme="majorHAnsi" w:cstheme="majorHAnsi"/>
          <w:sz w:val="28"/>
          <w:szCs w:val="28"/>
        </w:rPr>
        <w:t>)</w:t>
      </w:r>
      <w:r w:rsidRPr="00A344EF">
        <w:rPr>
          <w:rFonts w:asciiTheme="majorHAnsi" w:hAnsiTheme="majorHAnsi" w:cstheme="majorHAnsi"/>
          <w:sz w:val="28"/>
          <w:szCs w:val="28"/>
        </w:rPr>
        <w:t>.</w:t>
      </w:r>
    </w:p>
    <w:p w14:paraId="604348E2" w14:textId="2EDE3BB7"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NHS England (2023). </w:t>
      </w:r>
      <w:r w:rsidRPr="00A344EF">
        <w:rPr>
          <w:rFonts w:asciiTheme="majorHAnsi" w:hAnsiTheme="majorHAnsi" w:cstheme="majorHAnsi"/>
          <w:i/>
          <w:iCs/>
          <w:sz w:val="28"/>
          <w:szCs w:val="28"/>
        </w:rPr>
        <w:t>Working in Partnership with People and communities: Statutory Guidance</w:t>
      </w:r>
      <w:r w:rsidRPr="00A344EF">
        <w:rPr>
          <w:rFonts w:asciiTheme="majorHAnsi" w:hAnsiTheme="majorHAnsi" w:cstheme="majorHAnsi"/>
          <w:sz w:val="28"/>
          <w:szCs w:val="28"/>
        </w:rPr>
        <w:t xml:space="preserve">. </w:t>
      </w:r>
      <w:r w:rsidR="00837749">
        <w:rPr>
          <w:rFonts w:asciiTheme="majorHAnsi" w:hAnsiTheme="majorHAnsi" w:cstheme="majorHAnsi"/>
          <w:sz w:val="28"/>
          <w:szCs w:val="28"/>
        </w:rPr>
        <w:t>(</w:t>
      </w:r>
      <w:r w:rsidRPr="00A344EF">
        <w:rPr>
          <w:rFonts w:asciiTheme="majorHAnsi" w:hAnsiTheme="majorHAnsi" w:cstheme="majorHAnsi"/>
          <w:sz w:val="28"/>
          <w:szCs w:val="28"/>
        </w:rPr>
        <w:t>online</w:t>
      </w:r>
      <w:r w:rsidR="00837749">
        <w:rPr>
          <w:rFonts w:asciiTheme="majorHAnsi" w:hAnsiTheme="majorHAnsi" w:cstheme="majorHAnsi"/>
          <w:sz w:val="28"/>
          <w:szCs w:val="28"/>
        </w:rPr>
        <w:t>)</w:t>
      </w:r>
      <w:r w:rsidRPr="00A344EF">
        <w:rPr>
          <w:rFonts w:asciiTheme="majorHAnsi" w:hAnsiTheme="majorHAnsi" w:cstheme="majorHAnsi"/>
          <w:sz w:val="28"/>
          <w:szCs w:val="28"/>
        </w:rPr>
        <w:t xml:space="preserve"> NHS England. Available at: https://www.england.nhs.uk/long-read/working-in-partnership-with-people-and-communities-statutory-guidance/ </w:t>
      </w:r>
      <w:r w:rsidR="00837749">
        <w:rPr>
          <w:rFonts w:asciiTheme="majorHAnsi" w:hAnsiTheme="majorHAnsi" w:cstheme="majorHAnsi"/>
          <w:sz w:val="28"/>
          <w:szCs w:val="28"/>
        </w:rPr>
        <w:t>(</w:t>
      </w:r>
      <w:r w:rsidRPr="00A344EF">
        <w:rPr>
          <w:rFonts w:asciiTheme="majorHAnsi" w:hAnsiTheme="majorHAnsi" w:cstheme="majorHAnsi"/>
          <w:sz w:val="28"/>
          <w:szCs w:val="28"/>
        </w:rPr>
        <w:t>Accessed 29 Apr. 2024</w:t>
      </w:r>
      <w:r w:rsidR="00837749">
        <w:rPr>
          <w:rFonts w:asciiTheme="majorHAnsi" w:hAnsiTheme="majorHAnsi" w:cstheme="majorHAnsi"/>
          <w:sz w:val="28"/>
          <w:szCs w:val="28"/>
        </w:rPr>
        <w:t>)</w:t>
      </w:r>
      <w:r w:rsidRPr="00A344EF">
        <w:rPr>
          <w:rFonts w:asciiTheme="majorHAnsi" w:hAnsiTheme="majorHAnsi" w:cstheme="majorHAnsi"/>
          <w:sz w:val="28"/>
          <w:szCs w:val="28"/>
        </w:rPr>
        <w:t>.</w:t>
      </w:r>
    </w:p>
    <w:p w14:paraId="104FE7F6" w14:textId="038595F6"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Padhan, S., Mohapatra, A., Ramasamy, S.K. and Agrawal, S. (2023). Artificial Intelligence (AI) and Robotics in Elderly Healthcare: Enabling Independence and Quality of Life. </w:t>
      </w:r>
      <w:r w:rsidRPr="00A344EF">
        <w:rPr>
          <w:rFonts w:asciiTheme="majorHAnsi" w:hAnsiTheme="majorHAnsi" w:cstheme="majorHAnsi"/>
          <w:i/>
          <w:iCs/>
          <w:sz w:val="28"/>
          <w:szCs w:val="28"/>
        </w:rPr>
        <w:t>Cureus</w:t>
      </w:r>
      <w:r w:rsidRPr="00A344EF">
        <w:rPr>
          <w:rFonts w:asciiTheme="majorHAnsi" w:hAnsiTheme="majorHAnsi" w:cstheme="majorHAnsi"/>
          <w:sz w:val="28"/>
          <w:szCs w:val="28"/>
        </w:rPr>
        <w:t>, 15(8)</w:t>
      </w:r>
      <w:r w:rsidR="00D500A9">
        <w:rPr>
          <w:rFonts w:asciiTheme="majorHAnsi" w:hAnsiTheme="majorHAnsi" w:cstheme="majorHAnsi"/>
          <w:sz w:val="28"/>
          <w:szCs w:val="28"/>
        </w:rPr>
        <w:t>, pp. 241-259.</w:t>
      </w:r>
    </w:p>
    <w:p w14:paraId="64828462" w14:textId="73497560"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Roy, A. (2023). </w:t>
      </w:r>
      <w:r w:rsidRPr="00A344EF">
        <w:rPr>
          <w:rFonts w:asciiTheme="majorHAnsi" w:hAnsiTheme="majorHAnsi" w:cstheme="majorHAnsi"/>
          <w:i/>
          <w:iCs/>
          <w:sz w:val="28"/>
          <w:szCs w:val="28"/>
        </w:rPr>
        <w:t>Artificial intelligence: 10 promising interventions for healthcare</w:t>
      </w:r>
      <w:r w:rsidRPr="00A344EF">
        <w:rPr>
          <w:rFonts w:asciiTheme="majorHAnsi" w:hAnsiTheme="majorHAnsi" w:cstheme="majorHAnsi"/>
          <w:sz w:val="28"/>
          <w:szCs w:val="28"/>
        </w:rPr>
        <w:t xml:space="preserve">. </w:t>
      </w:r>
      <w:r w:rsidR="00D500A9">
        <w:rPr>
          <w:rFonts w:asciiTheme="majorHAnsi" w:hAnsiTheme="majorHAnsi" w:cstheme="majorHAnsi"/>
          <w:sz w:val="28"/>
          <w:szCs w:val="28"/>
        </w:rPr>
        <w:t>(</w:t>
      </w:r>
      <w:r w:rsidRPr="00A344EF">
        <w:rPr>
          <w:rFonts w:asciiTheme="majorHAnsi" w:hAnsiTheme="majorHAnsi" w:cstheme="majorHAnsi"/>
          <w:sz w:val="28"/>
          <w:szCs w:val="28"/>
        </w:rPr>
        <w:t>online</w:t>
      </w:r>
      <w:r w:rsidR="00D500A9">
        <w:rPr>
          <w:rFonts w:asciiTheme="majorHAnsi" w:hAnsiTheme="majorHAnsi" w:cstheme="majorHAnsi"/>
          <w:sz w:val="28"/>
          <w:szCs w:val="28"/>
        </w:rPr>
        <w:t xml:space="preserve">) </w:t>
      </w:r>
      <w:r w:rsidRPr="00A344EF">
        <w:rPr>
          <w:rFonts w:asciiTheme="majorHAnsi" w:hAnsiTheme="majorHAnsi" w:cstheme="majorHAnsi"/>
          <w:sz w:val="28"/>
          <w:szCs w:val="28"/>
        </w:rPr>
        <w:t xml:space="preserve">NIHR Evidence. Available at: https://evidence.nihr.ac.uk/collection/artificial-intelligence-10-promising-interventions-for-healthcare/ </w:t>
      </w:r>
      <w:r w:rsidR="00D500A9">
        <w:rPr>
          <w:rFonts w:asciiTheme="majorHAnsi" w:hAnsiTheme="majorHAnsi" w:cstheme="majorHAnsi"/>
          <w:sz w:val="28"/>
          <w:szCs w:val="28"/>
        </w:rPr>
        <w:t>(</w:t>
      </w:r>
      <w:r w:rsidRPr="00A344EF">
        <w:rPr>
          <w:rFonts w:asciiTheme="majorHAnsi" w:hAnsiTheme="majorHAnsi" w:cstheme="majorHAnsi"/>
          <w:sz w:val="28"/>
          <w:szCs w:val="28"/>
        </w:rPr>
        <w:t>Accessed 29 Apr. 2024</w:t>
      </w:r>
      <w:r w:rsidR="00D500A9">
        <w:rPr>
          <w:rFonts w:asciiTheme="majorHAnsi" w:hAnsiTheme="majorHAnsi" w:cstheme="majorHAnsi"/>
          <w:sz w:val="28"/>
          <w:szCs w:val="28"/>
        </w:rPr>
        <w:t>)</w:t>
      </w:r>
      <w:r w:rsidRPr="00A344EF">
        <w:rPr>
          <w:rFonts w:asciiTheme="majorHAnsi" w:hAnsiTheme="majorHAnsi" w:cstheme="majorHAnsi"/>
          <w:sz w:val="28"/>
          <w:szCs w:val="28"/>
        </w:rPr>
        <w:t>.</w:t>
      </w:r>
    </w:p>
    <w:p w14:paraId="7E1D9065" w14:textId="0FA68BF1"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Rubens, E. (2020). </w:t>
      </w:r>
      <w:r w:rsidRPr="00A344EF">
        <w:rPr>
          <w:rFonts w:asciiTheme="majorHAnsi" w:hAnsiTheme="majorHAnsi" w:cstheme="majorHAnsi"/>
          <w:i/>
          <w:iCs/>
          <w:sz w:val="28"/>
          <w:szCs w:val="28"/>
        </w:rPr>
        <w:t>AI in Healthcare – All About Data Scientists | NetApp</w:t>
      </w:r>
      <w:r w:rsidRPr="00A344EF">
        <w:rPr>
          <w:rFonts w:asciiTheme="majorHAnsi" w:hAnsiTheme="majorHAnsi" w:cstheme="majorHAnsi"/>
          <w:sz w:val="28"/>
          <w:szCs w:val="28"/>
        </w:rPr>
        <w:t xml:space="preserve">. </w:t>
      </w:r>
      <w:r w:rsidR="00D500A9">
        <w:rPr>
          <w:rFonts w:asciiTheme="majorHAnsi" w:hAnsiTheme="majorHAnsi" w:cstheme="majorHAnsi"/>
          <w:sz w:val="28"/>
          <w:szCs w:val="28"/>
        </w:rPr>
        <w:t>(</w:t>
      </w:r>
      <w:r w:rsidRPr="00A344EF">
        <w:rPr>
          <w:rFonts w:asciiTheme="majorHAnsi" w:hAnsiTheme="majorHAnsi" w:cstheme="majorHAnsi"/>
          <w:sz w:val="28"/>
          <w:szCs w:val="28"/>
        </w:rPr>
        <w:t>online</w:t>
      </w:r>
      <w:r w:rsidR="00D500A9">
        <w:rPr>
          <w:rFonts w:asciiTheme="majorHAnsi" w:hAnsiTheme="majorHAnsi" w:cstheme="majorHAnsi"/>
          <w:sz w:val="28"/>
          <w:szCs w:val="28"/>
        </w:rPr>
        <w:t>)</w:t>
      </w:r>
      <w:r w:rsidRPr="00A344EF">
        <w:rPr>
          <w:rFonts w:asciiTheme="majorHAnsi" w:hAnsiTheme="majorHAnsi" w:cstheme="majorHAnsi"/>
          <w:sz w:val="28"/>
          <w:szCs w:val="28"/>
        </w:rPr>
        <w:t xml:space="preserve"> www.netapp.com. Available at: https://www.netapp.com/blog/ai-healthcare/ </w:t>
      </w:r>
      <w:r w:rsidR="00D500A9">
        <w:rPr>
          <w:rFonts w:asciiTheme="majorHAnsi" w:hAnsiTheme="majorHAnsi" w:cstheme="majorHAnsi"/>
          <w:sz w:val="28"/>
          <w:szCs w:val="28"/>
        </w:rPr>
        <w:t>(</w:t>
      </w:r>
      <w:r w:rsidRPr="00A344EF">
        <w:rPr>
          <w:rFonts w:asciiTheme="majorHAnsi" w:hAnsiTheme="majorHAnsi" w:cstheme="majorHAnsi"/>
          <w:sz w:val="28"/>
          <w:szCs w:val="28"/>
        </w:rPr>
        <w:t>Accessed 27 Feb. 2024</w:t>
      </w:r>
      <w:r w:rsidR="00D500A9">
        <w:rPr>
          <w:rFonts w:asciiTheme="majorHAnsi" w:hAnsiTheme="majorHAnsi" w:cstheme="majorHAnsi"/>
          <w:sz w:val="28"/>
          <w:szCs w:val="28"/>
        </w:rPr>
        <w:t>)</w:t>
      </w:r>
      <w:r w:rsidRPr="00A344EF">
        <w:rPr>
          <w:rFonts w:asciiTheme="majorHAnsi" w:hAnsiTheme="majorHAnsi" w:cstheme="majorHAnsi"/>
          <w:sz w:val="28"/>
          <w:szCs w:val="28"/>
        </w:rPr>
        <w:t>.</w:t>
      </w:r>
    </w:p>
    <w:p w14:paraId="4F396901" w14:textId="3D482511"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Sahota, N. (2023). </w:t>
      </w:r>
      <w:r w:rsidRPr="00A344EF">
        <w:rPr>
          <w:rFonts w:asciiTheme="majorHAnsi" w:hAnsiTheme="majorHAnsi" w:cstheme="majorHAnsi"/>
          <w:i/>
          <w:iCs/>
          <w:sz w:val="28"/>
          <w:szCs w:val="28"/>
        </w:rPr>
        <w:t>AI: A Beacon Of Hope In Elder Care</w:t>
      </w:r>
      <w:r w:rsidRPr="00A344EF">
        <w:rPr>
          <w:rFonts w:asciiTheme="majorHAnsi" w:hAnsiTheme="majorHAnsi" w:cstheme="majorHAnsi"/>
          <w:sz w:val="28"/>
          <w:szCs w:val="28"/>
        </w:rPr>
        <w:t xml:space="preserve">. </w:t>
      </w:r>
      <w:r w:rsidR="003E3D58">
        <w:rPr>
          <w:rFonts w:asciiTheme="majorHAnsi" w:hAnsiTheme="majorHAnsi" w:cstheme="majorHAnsi"/>
          <w:sz w:val="28"/>
          <w:szCs w:val="28"/>
        </w:rPr>
        <w:t>(</w:t>
      </w:r>
      <w:r w:rsidRPr="00A344EF">
        <w:rPr>
          <w:rFonts w:asciiTheme="majorHAnsi" w:hAnsiTheme="majorHAnsi" w:cstheme="majorHAnsi"/>
          <w:sz w:val="28"/>
          <w:szCs w:val="28"/>
        </w:rPr>
        <w:t>online</w:t>
      </w:r>
      <w:r w:rsidR="003E3D58">
        <w:rPr>
          <w:rFonts w:asciiTheme="majorHAnsi" w:hAnsiTheme="majorHAnsi" w:cstheme="majorHAnsi"/>
          <w:sz w:val="28"/>
          <w:szCs w:val="28"/>
        </w:rPr>
        <w:t>)</w:t>
      </w:r>
      <w:r w:rsidRPr="00A344EF">
        <w:rPr>
          <w:rFonts w:asciiTheme="majorHAnsi" w:hAnsiTheme="majorHAnsi" w:cstheme="majorHAnsi"/>
          <w:sz w:val="28"/>
          <w:szCs w:val="28"/>
        </w:rPr>
        <w:t xml:space="preserve"> Forbes. Available at: https://www.forbes.com/sites/neilsahota/2024/04/23/ai-a-beacon-of-hope-in-elder-care/#:~:text=Machine%20learning%20algorithms%20now%20tailor </w:t>
      </w:r>
      <w:r w:rsidR="003E3D58">
        <w:rPr>
          <w:rFonts w:asciiTheme="majorHAnsi" w:hAnsiTheme="majorHAnsi" w:cstheme="majorHAnsi"/>
          <w:sz w:val="28"/>
          <w:szCs w:val="28"/>
        </w:rPr>
        <w:t>(</w:t>
      </w:r>
      <w:r w:rsidRPr="00A344EF">
        <w:rPr>
          <w:rFonts w:asciiTheme="majorHAnsi" w:hAnsiTheme="majorHAnsi" w:cstheme="majorHAnsi"/>
          <w:sz w:val="28"/>
          <w:szCs w:val="28"/>
        </w:rPr>
        <w:t>Accessed 29 Apr. 2024</w:t>
      </w:r>
      <w:r w:rsidR="003E3D58">
        <w:rPr>
          <w:rFonts w:asciiTheme="majorHAnsi" w:hAnsiTheme="majorHAnsi" w:cstheme="majorHAnsi"/>
          <w:sz w:val="28"/>
          <w:szCs w:val="28"/>
        </w:rPr>
        <w:t>)</w:t>
      </w:r>
      <w:r w:rsidRPr="00A344EF">
        <w:rPr>
          <w:rFonts w:asciiTheme="majorHAnsi" w:hAnsiTheme="majorHAnsi" w:cstheme="majorHAnsi"/>
          <w:sz w:val="28"/>
          <w:szCs w:val="28"/>
        </w:rPr>
        <w:t>.</w:t>
      </w:r>
    </w:p>
    <w:p w14:paraId="687E1E02" w14:textId="6B111C4C"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Simon, C. (2024). </w:t>
      </w:r>
      <w:r w:rsidRPr="00A344EF">
        <w:rPr>
          <w:rFonts w:asciiTheme="majorHAnsi" w:hAnsiTheme="majorHAnsi" w:cstheme="majorHAnsi"/>
          <w:i/>
          <w:iCs/>
          <w:sz w:val="28"/>
          <w:szCs w:val="28"/>
        </w:rPr>
        <w:t>Council Post: Robots Are The Key To Advancing Artificial Intelligence</w:t>
      </w:r>
      <w:r w:rsidRPr="00A344EF">
        <w:rPr>
          <w:rFonts w:asciiTheme="majorHAnsi" w:hAnsiTheme="majorHAnsi" w:cstheme="majorHAnsi"/>
          <w:sz w:val="28"/>
          <w:szCs w:val="28"/>
        </w:rPr>
        <w:t xml:space="preserve">. </w:t>
      </w:r>
      <w:r w:rsidR="003E3D58">
        <w:rPr>
          <w:rFonts w:asciiTheme="majorHAnsi" w:hAnsiTheme="majorHAnsi" w:cstheme="majorHAnsi"/>
          <w:sz w:val="28"/>
          <w:szCs w:val="28"/>
        </w:rPr>
        <w:t>(</w:t>
      </w:r>
      <w:r w:rsidRPr="00A344EF">
        <w:rPr>
          <w:rFonts w:asciiTheme="majorHAnsi" w:hAnsiTheme="majorHAnsi" w:cstheme="majorHAnsi"/>
          <w:sz w:val="28"/>
          <w:szCs w:val="28"/>
        </w:rPr>
        <w:t>online</w:t>
      </w:r>
      <w:r w:rsidR="003E3D58">
        <w:rPr>
          <w:rFonts w:asciiTheme="majorHAnsi" w:hAnsiTheme="majorHAnsi" w:cstheme="majorHAnsi"/>
          <w:sz w:val="28"/>
          <w:szCs w:val="28"/>
        </w:rPr>
        <w:t>)</w:t>
      </w:r>
      <w:r w:rsidRPr="00A344EF">
        <w:rPr>
          <w:rFonts w:asciiTheme="majorHAnsi" w:hAnsiTheme="majorHAnsi" w:cstheme="majorHAnsi"/>
          <w:sz w:val="28"/>
          <w:szCs w:val="28"/>
        </w:rPr>
        <w:t xml:space="preserve"> Forbes. Available at: https://www.forbes.com/sites/forbestechcouncil/2022/05/04/robots-are-the-key-to-advancing-artificial-intelligence/?sh=212e388867be </w:t>
      </w:r>
      <w:r w:rsidR="003E3D58">
        <w:rPr>
          <w:rFonts w:asciiTheme="majorHAnsi" w:hAnsiTheme="majorHAnsi" w:cstheme="majorHAnsi"/>
          <w:sz w:val="28"/>
          <w:szCs w:val="28"/>
        </w:rPr>
        <w:t>(</w:t>
      </w:r>
      <w:r w:rsidRPr="00A344EF">
        <w:rPr>
          <w:rFonts w:asciiTheme="majorHAnsi" w:hAnsiTheme="majorHAnsi" w:cstheme="majorHAnsi"/>
          <w:sz w:val="28"/>
          <w:szCs w:val="28"/>
        </w:rPr>
        <w:t>Accessed 27 Feb. 2024</w:t>
      </w:r>
      <w:r w:rsidR="003E3D58">
        <w:rPr>
          <w:rFonts w:asciiTheme="majorHAnsi" w:hAnsiTheme="majorHAnsi" w:cstheme="majorHAnsi"/>
          <w:sz w:val="28"/>
          <w:szCs w:val="28"/>
        </w:rPr>
        <w:t>)</w:t>
      </w:r>
      <w:r w:rsidRPr="00A344EF">
        <w:rPr>
          <w:rFonts w:asciiTheme="majorHAnsi" w:hAnsiTheme="majorHAnsi" w:cstheme="majorHAnsi"/>
          <w:sz w:val="28"/>
          <w:szCs w:val="28"/>
        </w:rPr>
        <w:t>.</w:t>
      </w:r>
    </w:p>
    <w:p w14:paraId="495219FA" w14:textId="6984C696"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Tayi, R. (2023). </w:t>
      </w:r>
      <w:r w:rsidRPr="00A344EF">
        <w:rPr>
          <w:rFonts w:asciiTheme="majorHAnsi" w:hAnsiTheme="majorHAnsi" w:cstheme="majorHAnsi"/>
          <w:i/>
          <w:iCs/>
          <w:sz w:val="28"/>
          <w:szCs w:val="28"/>
        </w:rPr>
        <w:t>Humanity-Centered Design in the Age of AI</w:t>
      </w:r>
      <w:r w:rsidRPr="00A344EF">
        <w:rPr>
          <w:rFonts w:asciiTheme="majorHAnsi" w:hAnsiTheme="majorHAnsi" w:cstheme="majorHAnsi"/>
          <w:sz w:val="28"/>
          <w:szCs w:val="28"/>
        </w:rPr>
        <w:t xml:space="preserve">. </w:t>
      </w:r>
      <w:r w:rsidR="003E3D58">
        <w:rPr>
          <w:rFonts w:asciiTheme="majorHAnsi" w:hAnsiTheme="majorHAnsi" w:cstheme="majorHAnsi"/>
          <w:sz w:val="28"/>
          <w:szCs w:val="28"/>
        </w:rPr>
        <w:t>(</w:t>
      </w:r>
      <w:r w:rsidRPr="00A344EF">
        <w:rPr>
          <w:rFonts w:asciiTheme="majorHAnsi" w:hAnsiTheme="majorHAnsi" w:cstheme="majorHAnsi"/>
          <w:sz w:val="28"/>
          <w:szCs w:val="28"/>
        </w:rPr>
        <w:t>online</w:t>
      </w:r>
      <w:r w:rsidR="003E3D58">
        <w:rPr>
          <w:rFonts w:asciiTheme="majorHAnsi" w:hAnsiTheme="majorHAnsi" w:cstheme="majorHAnsi"/>
          <w:sz w:val="28"/>
          <w:szCs w:val="28"/>
        </w:rPr>
        <w:t xml:space="preserve">) </w:t>
      </w:r>
      <w:r w:rsidRPr="00A344EF">
        <w:rPr>
          <w:rFonts w:asciiTheme="majorHAnsi" w:hAnsiTheme="majorHAnsi" w:cstheme="majorHAnsi"/>
          <w:sz w:val="28"/>
          <w:szCs w:val="28"/>
        </w:rPr>
        <w:t xml:space="preserve">Medium. Available at: https://bootcamp.uxdesign.cc/humanity-centered-design-in-the-age-of-ai-25d1387f7e88 </w:t>
      </w:r>
      <w:r w:rsidR="003E3D58">
        <w:rPr>
          <w:rFonts w:asciiTheme="majorHAnsi" w:hAnsiTheme="majorHAnsi" w:cstheme="majorHAnsi"/>
          <w:sz w:val="28"/>
          <w:szCs w:val="28"/>
        </w:rPr>
        <w:t>(</w:t>
      </w:r>
      <w:r w:rsidRPr="00A344EF">
        <w:rPr>
          <w:rFonts w:asciiTheme="majorHAnsi" w:hAnsiTheme="majorHAnsi" w:cstheme="majorHAnsi"/>
          <w:sz w:val="28"/>
          <w:szCs w:val="28"/>
        </w:rPr>
        <w:t>Accessed 29 Apr. 2024</w:t>
      </w:r>
      <w:r w:rsidR="003E3D58">
        <w:rPr>
          <w:rFonts w:asciiTheme="majorHAnsi" w:hAnsiTheme="majorHAnsi" w:cstheme="majorHAnsi"/>
          <w:sz w:val="28"/>
          <w:szCs w:val="28"/>
        </w:rPr>
        <w:t>)</w:t>
      </w:r>
      <w:r w:rsidRPr="00A344EF">
        <w:rPr>
          <w:rFonts w:asciiTheme="majorHAnsi" w:hAnsiTheme="majorHAnsi" w:cstheme="majorHAnsi"/>
          <w:sz w:val="28"/>
          <w:szCs w:val="28"/>
        </w:rPr>
        <w:t>.</w:t>
      </w:r>
    </w:p>
    <w:p w14:paraId="6DBB7132" w14:textId="1B44E8B5"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lastRenderedPageBreak/>
        <w:t xml:space="preserve">Tedesco, L. (2023). </w:t>
      </w:r>
      <w:r w:rsidRPr="00A344EF">
        <w:rPr>
          <w:rFonts w:asciiTheme="majorHAnsi" w:hAnsiTheme="majorHAnsi" w:cstheme="majorHAnsi"/>
          <w:i/>
          <w:iCs/>
          <w:sz w:val="28"/>
          <w:szCs w:val="28"/>
        </w:rPr>
        <w:t>AI ‘Companion’ Robots: The Next Must-Have Health Tech?</w:t>
      </w:r>
      <w:r w:rsidRPr="00A344EF">
        <w:rPr>
          <w:rFonts w:asciiTheme="majorHAnsi" w:hAnsiTheme="majorHAnsi" w:cstheme="majorHAnsi"/>
          <w:sz w:val="28"/>
          <w:szCs w:val="28"/>
        </w:rPr>
        <w:t xml:space="preserve"> </w:t>
      </w:r>
      <w:r w:rsidR="00FC21FB">
        <w:rPr>
          <w:rFonts w:asciiTheme="majorHAnsi" w:hAnsiTheme="majorHAnsi" w:cstheme="majorHAnsi"/>
          <w:sz w:val="28"/>
          <w:szCs w:val="28"/>
        </w:rPr>
        <w:t>(</w:t>
      </w:r>
      <w:r w:rsidRPr="00A344EF">
        <w:rPr>
          <w:rFonts w:asciiTheme="majorHAnsi" w:hAnsiTheme="majorHAnsi" w:cstheme="majorHAnsi"/>
          <w:sz w:val="28"/>
          <w:szCs w:val="28"/>
        </w:rPr>
        <w:t>online</w:t>
      </w:r>
      <w:r w:rsidR="00FC21FB">
        <w:rPr>
          <w:rFonts w:asciiTheme="majorHAnsi" w:hAnsiTheme="majorHAnsi" w:cstheme="majorHAnsi"/>
          <w:sz w:val="28"/>
          <w:szCs w:val="28"/>
        </w:rPr>
        <w:t>)</w:t>
      </w:r>
      <w:r w:rsidRPr="00A344EF">
        <w:rPr>
          <w:rFonts w:asciiTheme="majorHAnsi" w:hAnsiTheme="majorHAnsi" w:cstheme="majorHAnsi"/>
          <w:sz w:val="28"/>
          <w:szCs w:val="28"/>
        </w:rPr>
        <w:t xml:space="preserve"> WebMD. Available at: https://www.webmd.com/healthy-aging/news/20231025/companion-robots-the-next-must-have-health-tech </w:t>
      </w:r>
      <w:r w:rsidR="00FC21FB">
        <w:rPr>
          <w:rFonts w:asciiTheme="majorHAnsi" w:hAnsiTheme="majorHAnsi" w:cstheme="majorHAnsi"/>
          <w:sz w:val="28"/>
          <w:szCs w:val="28"/>
        </w:rPr>
        <w:t>(</w:t>
      </w:r>
      <w:r w:rsidRPr="00A344EF">
        <w:rPr>
          <w:rFonts w:asciiTheme="majorHAnsi" w:hAnsiTheme="majorHAnsi" w:cstheme="majorHAnsi"/>
          <w:sz w:val="28"/>
          <w:szCs w:val="28"/>
        </w:rPr>
        <w:t>Accessed 29 Apr. 2024</w:t>
      </w:r>
      <w:r w:rsidR="00FC21FB">
        <w:rPr>
          <w:rFonts w:asciiTheme="majorHAnsi" w:hAnsiTheme="majorHAnsi" w:cstheme="majorHAnsi"/>
          <w:sz w:val="28"/>
          <w:szCs w:val="28"/>
        </w:rPr>
        <w:t>)</w:t>
      </w:r>
      <w:r w:rsidRPr="00A344EF">
        <w:rPr>
          <w:rFonts w:asciiTheme="majorHAnsi" w:hAnsiTheme="majorHAnsi" w:cstheme="majorHAnsi"/>
          <w:sz w:val="28"/>
          <w:szCs w:val="28"/>
        </w:rPr>
        <w:t>.</w:t>
      </w:r>
    </w:p>
    <w:p w14:paraId="4AF28226" w14:textId="6A4A7CE0"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Thakkar, A., Gupta, A. and Avinash De Sousa (2024). Artificial intelligence in positive mental health: a narrative review. </w:t>
      </w:r>
      <w:r w:rsidRPr="00A344EF">
        <w:rPr>
          <w:rFonts w:asciiTheme="majorHAnsi" w:hAnsiTheme="majorHAnsi" w:cstheme="majorHAnsi"/>
          <w:i/>
          <w:iCs/>
          <w:sz w:val="28"/>
          <w:szCs w:val="28"/>
        </w:rPr>
        <w:t>Frontiers in digital health</w:t>
      </w:r>
      <w:r w:rsidRPr="00A344EF">
        <w:rPr>
          <w:rFonts w:asciiTheme="majorHAnsi" w:hAnsiTheme="majorHAnsi" w:cstheme="majorHAnsi"/>
          <w:sz w:val="28"/>
          <w:szCs w:val="28"/>
        </w:rPr>
        <w:t>, [online] 6</w:t>
      </w:r>
      <w:r w:rsidR="00FC21FB">
        <w:rPr>
          <w:rFonts w:asciiTheme="majorHAnsi" w:hAnsiTheme="majorHAnsi" w:cstheme="majorHAnsi"/>
          <w:sz w:val="28"/>
          <w:szCs w:val="28"/>
        </w:rPr>
        <w:t>(3)</w:t>
      </w:r>
      <w:r w:rsidR="006C3437">
        <w:rPr>
          <w:rFonts w:asciiTheme="majorHAnsi" w:hAnsiTheme="majorHAnsi" w:cstheme="majorHAnsi"/>
          <w:sz w:val="28"/>
          <w:szCs w:val="28"/>
        </w:rPr>
        <w:t>, pp. 76-89.</w:t>
      </w:r>
    </w:p>
    <w:p w14:paraId="5477D6BA" w14:textId="5B87454B"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VanderWerf, M., Bernard, J., Barta, D.T., Berg, J., Collins, T., Dowdy, M., Feiler, K., Moore, D.L., Sifri, C., Spargo, G., Taylor, C.W., Towle, C.B. and Wibberly, K.H. (2021). Pandemic Action Plan Policy and Regulatory Summary Telehealth Policy and Regulatory Considerations During a Pandemic. </w:t>
      </w:r>
      <w:r w:rsidRPr="00A344EF">
        <w:rPr>
          <w:rFonts w:asciiTheme="majorHAnsi" w:hAnsiTheme="majorHAnsi" w:cstheme="majorHAnsi"/>
          <w:i/>
          <w:iCs/>
          <w:sz w:val="28"/>
          <w:szCs w:val="28"/>
        </w:rPr>
        <w:t>Telemedicine and e-Health</w:t>
      </w:r>
      <w:r w:rsidRPr="00A344EF">
        <w:rPr>
          <w:rFonts w:asciiTheme="majorHAnsi" w:hAnsiTheme="majorHAnsi" w:cstheme="majorHAnsi"/>
          <w:sz w:val="28"/>
          <w:szCs w:val="28"/>
        </w:rPr>
        <w:t>, 28(4)</w:t>
      </w:r>
      <w:r w:rsidR="006C3437">
        <w:rPr>
          <w:rFonts w:asciiTheme="majorHAnsi" w:hAnsiTheme="majorHAnsi" w:cstheme="majorHAnsi"/>
          <w:sz w:val="28"/>
          <w:szCs w:val="28"/>
        </w:rPr>
        <w:t>, pp. 16-98.</w:t>
      </w:r>
    </w:p>
    <w:p w14:paraId="14757F21" w14:textId="28D019B3"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Wang, S., Bolling, K., Mao, W., Reichstadt, J., Jeste, D., Kim, H.-C. and Nebeker, C. (2019). Technology to Support Aging in Place: Older Adults’ Perspectives. </w:t>
      </w:r>
      <w:r w:rsidRPr="00A344EF">
        <w:rPr>
          <w:rFonts w:asciiTheme="majorHAnsi" w:hAnsiTheme="majorHAnsi" w:cstheme="majorHAnsi"/>
          <w:i/>
          <w:iCs/>
          <w:sz w:val="28"/>
          <w:szCs w:val="28"/>
        </w:rPr>
        <w:t>Healthcare</w:t>
      </w:r>
      <w:r w:rsidRPr="00A344EF">
        <w:rPr>
          <w:rFonts w:asciiTheme="majorHAnsi" w:hAnsiTheme="majorHAnsi" w:cstheme="majorHAnsi"/>
          <w:sz w:val="28"/>
          <w:szCs w:val="28"/>
        </w:rPr>
        <w:t>, [online] 7(2), p</w:t>
      </w:r>
      <w:r w:rsidR="00094D1A">
        <w:rPr>
          <w:rFonts w:asciiTheme="majorHAnsi" w:hAnsiTheme="majorHAnsi" w:cstheme="majorHAnsi"/>
          <w:sz w:val="28"/>
          <w:szCs w:val="28"/>
        </w:rPr>
        <w:t>p. 60.</w:t>
      </w:r>
    </w:p>
    <w:p w14:paraId="7A9ADB7E" w14:textId="77777777" w:rsidR="00A344EF" w:rsidRPr="00A344EF" w:rsidRDefault="00A344EF" w:rsidP="00A344EF">
      <w:pPr>
        <w:rPr>
          <w:rFonts w:asciiTheme="majorHAnsi" w:hAnsiTheme="majorHAnsi" w:cstheme="majorHAnsi"/>
          <w:sz w:val="28"/>
          <w:szCs w:val="28"/>
        </w:rPr>
      </w:pPr>
      <w:r w:rsidRPr="00A344EF">
        <w:rPr>
          <w:rFonts w:asciiTheme="majorHAnsi" w:hAnsiTheme="majorHAnsi" w:cstheme="majorHAnsi"/>
          <w:sz w:val="28"/>
          <w:szCs w:val="28"/>
        </w:rPr>
        <w:t xml:space="preserve">World Health Organisation (2016). </w:t>
      </w:r>
      <w:r w:rsidRPr="00A344EF">
        <w:rPr>
          <w:rFonts w:asciiTheme="majorHAnsi" w:hAnsiTheme="majorHAnsi" w:cstheme="majorHAnsi"/>
          <w:i/>
          <w:iCs/>
          <w:sz w:val="28"/>
          <w:szCs w:val="28"/>
        </w:rPr>
        <w:t>Framework on integrated, people-centred Health Services Report by the Secretariat</w:t>
      </w:r>
      <w:r w:rsidRPr="00A344EF">
        <w:rPr>
          <w:rFonts w:asciiTheme="majorHAnsi" w:hAnsiTheme="majorHAnsi" w:cstheme="majorHAnsi"/>
          <w:sz w:val="28"/>
          <w:szCs w:val="28"/>
        </w:rPr>
        <w:t>.</w:t>
      </w:r>
    </w:p>
    <w:p w14:paraId="1C7AD0DD" w14:textId="77777777" w:rsidR="00BB0FDE" w:rsidRPr="00BB0FDE" w:rsidRDefault="00BB0FDE" w:rsidP="00BB0FDE"/>
    <w:sectPr w:rsidR="00BB0FDE" w:rsidRPr="00BB0FDE" w:rsidSect="002C3FB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A0A5F" w14:textId="77777777" w:rsidR="002C3FB6" w:rsidRDefault="002C3FB6" w:rsidP="001E0BCD">
      <w:pPr>
        <w:spacing w:after="0" w:line="240" w:lineRule="auto"/>
      </w:pPr>
      <w:r>
        <w:separator/>
      </w:r>
    </w:p>
  </w:endnote>
  <w:endnote w:type="continuationSeparator" w:id="0">
    <w:p w14:paraId="6BA87A39" w14:textId="77777777" w:rsidR="002C3FB6" w:rsidRDefault="002C3FB6" w:rsidP="001E0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F0F1AB" w14:textId="77777777" w:rsidR="002C3FB6" w:rsidRDefault="002C3FB6" w:rsidP="001E0BCD">
      <w:pPr>
        <w:spacing w:after="0" w:line="240" w:lineRule="auto"/>
      </w:pPr>
      <w:r>
        <w:separator/>
      </w:r>
    </w:p>
  </w:footnote>
  <w:footnote w:type="continuationSeparator" w:id="0">
    <w:p w14:paraId="7BE57568" w14:textId="77777777" w:rsidR="002C3FB6" w:rsidRDefault="002C3FB6" w:rsidP="001E0B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C7927"/>
    <w:multiLevelType w:val="multilevel"/>
    <w:tmpl w:val="48F4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CB68A6"/>
    <w:multiLevelType w:val="multilevel"/>
    <w:tmpl w:val="055A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AD05A8"/>
    <w:multiLevelType w:val="multilevel"/>
    <w:tmpl w:val="7A76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3D2DAD"/>
    <w:multiLevelType w:val="multilevel"/>
    <w:tmpl w:val="00EA8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2535E6"/>
    <w:multiLevelType w:val="multilevel"/>
    <w:tmpl w:val="D70ED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2725BE"/>
    <w:multiLevelType w:val="hybridMultilevel"/>
    <w:tmpl w:val="53EAA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70B11"/>
    <w:multiLevelType w:val="multilevel"/>
    <w:tmpl w:val="620A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8A42C9"/>
    <w:multiLevelType w:val="multilevel"/>
    <w:tmpl w:val="D910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A50CDE"/>
    <w:multiLevelType w:val="multilevel"/>
    <w:tmpl w:val="ABEE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465861"/>
    <w:multiLevelType w:val="multilevel"/>
    <w:tmpl w:val="86A2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E8259C"/>
    <w:multiLevelType w:val="multilevel"/>
    <w:tmpl w:val="FA9C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295FAA"/>
    <w:multiLevelType w:val="multilevel"/>
    <w:tmpl w:val="A9C6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D5524A"/>
    <w:multiLevelType w:val="multilevel"/>
    <w:tmpl w:val="2C90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D64AF9"/>
    <w:multiLevelType w:val="multilevel"/>
    <w:tmpl w:val="D810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5888827">
    <w:abstractNumId w:val="2"/>
  </w:num>
  <w:num w:numId="2" w16cid:durableId="1390378731">
    <w:abstractNumId w:val="0"/>
  </w:num>
  <w:num w:numId="3" w16cid:durableId="1042365731">
    <w:abstractNumId w:val="11"/>
  </w:num>
  <w:num w:numId="4" w16cid:durableId="2102333368">
    <w:abstractNumId w:val="4"/>
  </w:num>
  <w:num w:numId="5" w16cid:durableId="1663460267">
    <w:abstractNumId w:val="9"/>
  </w:num>
  <w:num w:numId="6" w16cid:durableId="316496349">
    <w:abstractNumId w:val="12"/>
  </w:num>
  <w:num w:numId="7" w16cid:durableId="1620066972">
    <w:abstractNumId w:val="6"/>
  </w:num>
  <w:num w:numId="8" w16cid:durableId="263155817">
    <w:abstractNumId w:val="1"/>
  </w:num>
  <w:num w:numId="9" w16cid:durableId="1047949156">
    <w:abstractNumId w:val="10"/>
  </w:num>
  <w:num w:numId="10" w16cid:durableId="1839495482">
    <w:abstractNumId w:val="3"/>
  </w:num>
  <w:num w:numId="11" w16cid:durableId="1583905327">
    <w:abstractNumId w:val="7"/>
  </w:num>
  <w:num w:numId="12" w16cid:durableId="1343582245">
    <w:abstractNumId w:val="8"/>
  </w:num>
  <w:num w:numId="13" w16cid:durableId="1395540710">
    <w:abstractNumId w:val="13"/>
  </w:num>
  <w:num w:numId="14" w16cid:durableId="348485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192"/>
    <w:rsid w:val="00000828"/>
    <w:rsid w:val="0003203E"/>
    <w:rsid w:val="000556ED"/>
    <w:rsid w:val="00094D1A"/>
    <w:rsid w:val="000A60B7"/>
    <w:rsid w:val="000E2461"/>
    <w:rsid w:val="000F2516"/>
    <w:rsid w:val="000F7189"/>
    <w:rsid w:val="00103201"/>
    <w:rsid w:val="001267A7"/>
    <w:rsid w:val="00126943"/>
    <w:rsid w:val="00134DE7"/>
    <w:rsid w:val="0019592A"/>
    <w:rsid w:val="001E0BCD"/>
    <w:rsid w:val="001E7A9F"/>
    <w:rsid w:val="00232F16"/>
    <w:rsid w:val="00236AE9"/>
    <w:rsid w:val="002427A0"/>
    <w:rsid w:val="002531BD"/>
    <w:rsid w:val="002769DB"/>
    <w:rsid w:val="00286122"/>
    <w:rsid w:val="00287AB3"/>
    <w:rsid w:val="002C3FB6"/>
    <w:rsid w:val="002C5EF8"/>
    <w:rsid w:val="002D5391"/>
    <w:rsid w:val="002D6AFF"/>
    <w:rsid w:val="002E5E63"/>
    <w:rsid w:val="003039E7"/>
    <w:rsid w:val="00304BC8"/>
    <w:rsid w:val="003146ED"/>
    <w:rsid w:val="003221CA"/>
    <w:rsid w:val="00340714"/>
    <w:rsid w:val="00351368"/>
    <w:rsid w:val="003723EE"/>
    <w:rsid w:val="00393A2F"/>
    <w:rsid w:val="003E3D58"/>
    <w:rsid w:val="00411A8D"/>
    <w:rsid w:val="0043133D"/>
    <w:rsid w:val="004350EA"/>
    <w:rsid w:val="0044780D"/>
    <w:rsid w:val="004B3041"/>
    <w:rsid w:val="004F17CB"/>
    <w:rsid w:val="005010D9"/>
    <w:rsid w:val="005361F1"/>
    <w:rsid w:val="005426F9"/>
    <w:rsid w:val="005C0E7A"/>
    <w:rsid w:val="005C7F9C"/>
    <w:rsid w:val="005F0101"/>
    <w:rsid w:val="005F15E6"/>
    <w:rsid w:val="00633612"/>
    <w:rsid w:val="00653890"/>
    <w:rsid w:val="00655595"/>
    <w:rsid w:val="0066763E"/>
    <w:rsid w:val="006837F9"/>
    <w:rsid w:val="006C33CC"/>
    <w:rsid w:val="006C3437"/>
    <w:rsid w:val="006E4CE9"/>
    <w:rsid w:val="007067AF"/>
    <w:rsid w:val="00723DCA"/>
    <w:rsid w:val="00734334"/>
    <w:rsid w:val="00761203"/>
    <w:rsid w:val="007741A3"/>
    <w:rsid w:val="007843FF"/>
    <w:rsid w:val="007A5A8B"/>
    <w:rsid w:val="0082179F"/>
    <w:rsid w:val="00830D0E"/>
    <w:rsid w:val="00837749"/>
    <w:rsid w:val="008646D6"/>
    <w:rsid w:val="0086723B"/>
    <w:rsid w:val="008B1B3B"/>
    <w:rsid w:val="008C0BC8"/>
    <w:rsid w:val="008F32C3"/>
    <w:rsid w:val="008F60B7"/>
    <w:rsid w:val="00903C46"/>
    <w:rsid w:val="0090763B"/>
    <w:rsid w:val="00912AA5"/>
    <w:rsid w:val="00950E01"/>
    <w:rsid w:val="0096233A"/>
    <w:rsid w:val="009760F0"/>
    <w:rsid w:val="009859BA"/>
    <w:rsid w:val="009A2A7E"/>
    <w:rsid w:val="009C2163"/>
    <w:rsid w:val="009E01A6"/>
    <w:rsid w:val="009F5FA1"/>
    <w:rsid w:val="00A344EF"/>
    <w:rsid w:val="00A37C34"/>
    <w:rsid w:val="00A767D5"/>
    <w:rsid w:val="00AC557B"/>
    <w:rsid w:val="00AC6822"/>
    <w:rsid w:val="00AE1D09"/>
    <w:rsid w:val="00AE2285"/>
    <w:rsid w:val="00B02DC2"/>
    <w:rsid w:val="00B05944"/>
    <w:rsid w:val="00B21C9C"/>
    <w:rsid w:val="00B61ED0"/>
    <w:rsid w:val="00B7473F"/>
    <w:rsid w:val="00B819BC"/>
    <w:rsid w:val="00B82059"/>
    <w:rsid w:val="00B8234F"/>
    <w:rsid w:val="00BB0FDE"/>
    <w:rsid w:val="00BE735F"/>
    <w:rsid w:val="00C016B6"/>
    <w:rsid w:val="00C12FDA"/>
    <w:rsid w:val="00C51541"/>
    <w:rsid w:val="00C66F89"/>
    <w:rsid w:val="00C953FD"/>
    <w:rsid w:val="00CB4AAB"/>
    <w:rsid w:val="00CD7938"/>
    <w:rsid w:val="00D068CE"/>
    <w:rsid w:val="00D1266E"/>
    <w:rsid w:val="00D27163"/>
    <w:rsid w:val="00D36956"/>
    <w:rsid w:val="00D45CEC"/>
    <w:rsid w:val="00D500A9"/>
    <w:rsid w:val="00D51D14"/>
    <w:rsid w:val="00D66FB6"/>
    <w:rsid w:val="00DA15B6"/>
    <w:rsid w:val="00DA675C"/>
    <w:rsid w:val="00DE2148"/>
    <w:rsid w:val="00DE3716"/>
    <w:rsid w:val="00DE460A"/>
    <w:rsid w:val="00E05739"/>
    <w:rsid w:val="00E40DA8"/>
    <w:rsid w:val="00E5155A"/>
    <w:rsid w:val="00E57439"/>
    <w:rsid w:val="00E630D0"/>
    <w:rsid w:val="00E7563B"/>
    <w:rsid w:val="00E77C9C"/>
    <w:rsid w:val="00EC2F8B"/>
    <w:rsid w:val="00EE686B"/>
    <w:rsid w:val="00F168CB"/>
    <w:rsid w:val="00F33860"/>
    <w:rsid w:val="00F4735F"/>
    <w:rsid w:val="00F537CD"/>
    <w:rsid w:val="00F567F1"/>
    <w:rsid w:val="00F669D2"/>
    <w:rsid w:val="00F6788E"/>
    <w:rsid w:val="00F75EF3"/>
    <w:rsid w:val="00FC21FB"/>
    <w:rsid w:val="00FC5192"/>
    <w:rsid w:val="00FD3D2D"/>
    <w:rsid w:val="00FD684E"/>
    <w:rsid w:val="00FE6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ACFA65"/>
  <w15:chartTrackingRefBased/>
  <w15:docId w15:val="{8E02E363-3C70-4B49-8954-969352C3B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163"/>
  </w:style>
  <w:style w:type="paragraph" w:styleId="Heading1">
    <w:name w:val="heading 1"/>
    <w:basedOn w:val="Normal"/>
    <w:next w:val="Normal"/>
    <w:link w:val="Heading1Char"/>
    <w:uiPriority w:val="9"/>
    <w:qFormat/>
    <w:rsid w:val="009C21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2163"/>
    <w:rPr>
      <w:rFonts w:ascii="Times New Roman" w:hAnsi="Times New Roman" w:cs="Times New Roman"/>
      <w:sz w:val="24"/>
      <w:szCs w:val="24"/>
    </w:rPr>
  </w:style>
  <w:style w:type="paragraph" w:styleId="ListParagraph">
    <w:name w:val="List Paragraph"/>
    <w:basedOn w:val="Normal"/>
    <w:uiPriority w:val="34"/>
    <w:qFormat/>
    <w:rsid w:val="009C2163"/>
    <w:pPr>
      <w:ind w:left="720"/>
      <w:contextualSpacing/>
    </w:pPr>
  </w:style>
  <w:style w:type="paragraph" w:styleId="NoSpacing">
    <w:name w:val="No Spacing"/>
    <w:link w:val="NoSpacingChar"/>
    <w:uiPriority w:val="1"/>
    <w:qFormat/>
    <w:rsid w:val="009C216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C2163"/>
    <w:rPr>
      <w:rFonts w:eastAsiaTheme="minorEastAsia"/>
      <w:kern w:val="0"/>
      <w:lang w:val="en-US"/>
      <w14:ligatures w14:val="none"/>
    </w:rPr>
  </w:style>
  <w:style w:type="character" w:customStyle="1" w:styleId="Heading1Char">
    <w:name w:val="Heading 1 Char"/>
    <w:basedOn w:val="DefaultParagraphFont"/>
    <w:link w:val="Heading1"/>
    <w:uiPriority w:val="9"/>
    <w:rsid w:val="009C216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E0B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BCD"/>
  </w:style>
  <w:style w:type="paragraph" w:styleId="Footer">
    <w:name w:val="footer"/>
    <w:basedOn w:val="Normal"/>
    <w:link w:val="FooterChar"/>
    <w:uiPriority w:val="99"/>
    <w:unhideWhenUsed/>
    <w:rsid w:val="001E0B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BCD"/>
  </w:style>
  <w:style w:type="paragraph" w:styleId="TOCHeading">
    <w:name w:val="TOC Heading"/>
    <w:basedOn w:val="Heading1"/>
    <w:next w:val="Normal"/>
    <w:uiPriority w:val="39"/>
    <w:unhideWhenUsed/>
    <w:qFormat/>
    <w:rsid w:val="001E0BCD"/>
    <w:pPr>
      <w:outlineLvl w:val="9"/>
    </w:pPr>
    <w:rPr>
      <w:kern w:val="0"/>
      <w:lang w:val="en-US"/>
      <w14:ligatures w14:val="none"/>
    </w:rPr>
  </w:style>
  <w:style w:type="paragraph" w:styleId="TOC1">
    <w:name w:val="toc 1"/>
    <w:basedOn w:val="Normal"/>
    <w:next w:val="Normal"/>
    <w:autoRedefine/>
    <w:uiPriority w:val="39"/>
    <w:unhideWhenUsed/>
    <w:rsid w:val="001E0BCD"/>
    <w:pPr>
      <w:spacing w:after="100"/>
    </w:pPr>
  </w:style>
  <w:style w:type="character" w:styleId="Hyperlink">
    <w:name w:val="Hyperlink"/>
    <w:basedOn w:val="DefaultParagraphFont"/>
    <w:uiPriority w:val="99"/>
    <w:unhideWhenUsed/>
    <w:rsid w:val="001E0B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96350">
      <w:bodyDiv w:val="1"/>
      <w:marLeft w:val="0"/>
      <w:marRight w:val="0"/>
      <w:marTop w:val="0"/>
      <w:marBottom w:val="0"/>
      <w:divBdr>
        <w:top w:val="none" w:sz="0" w:space="0" w:color="auto"/>
        <w:left w:val="none" w:sz="0" w:space="0" w:color="auto"/>
        <w:bottom w:val="none" w:sz="0" w:space="0" w:color="auto"/>
        <w:right w:val="none" w:sz="0" w:space="0" w:color="auto"/>
      </w:divBdr>
    </w:div>
    <w:div w:id="47610517">
      <w:bodyDiv w:val="1"/>
      <w:marLeft w:val="0"/>
      <w:marRight w:val="0"/>
      <w:marTop w:val="0"/>
      <w:marBottom w:val="0"/>
      <w:divBdr>
        <w:top w:val="none" w:sz="0" w:space="0" w:color="auto"/>
        <w:left w:val="none" w:sz="0" w:space="0" w:color="auto"/>
        <w:bottom w:val="none" w:sz="0" w:space="0" w:color="auto"/>
        <w:right w:val="none" w:sz="0" w:space="0" w:color="auto"/>
      </w:divBdr>
    </w:div>
    <w:div w:id="129638312">
      <w:bodyDiv w:val="1"/>
      <w:marLeft w:val="0"/>
      <w:marRight w:val="0"/>
      <w:marTop w:val="0"/>
      <w:marBottom w:val="0"/>
      <w:divBdr>
        <w:top w:val="none" w:sz="0" w:space="0" w:color="auto"/>
        <w:left w:val="none" w:sz="0" w:space="0" w:color="auto"/>
        <w:bottom w:val="none" w:sz="0" w:space="0" w:color="auto"/>
        <w:right w:val="none" w:sz="0" w:space="0" w:color="auto"/>
      </w:divBdr>
    </w:div>
    <w:div w:id="208080093">
      <w:bodyDiv w:val="1"/>
      <w:marLeft w:val="0"/>
      <w:marRight w:val="0"/>
      <w:marTop w:val="0"/>
      <w:marBottom w:val="0"/>
      <w:divBdr>
        <w:top w:val="none" w:sz="0" w:space="0" w:color="auto"/>
        <w:left w:val="none" w:sz="0" w:space="0" w:color="auto"/>
        <w:bottom w:val="none" w:sz="0" w:space="0" w:color="auto"/>
        <w:right w:val="none" w:sz="0" w:space="0" w:color="auto"/>
      </w:divBdr>
    </w:div>
    <w:div w:id="267665013">
      <w:bodyDiv w:val="1"/>
      <w:marLeft w:val="0"/>
      <w:marRight w:val="0"/>
      <w:marTop w:val="0"/>
      <w:marBottom w:val="0"/>
      <w:divBdr>
        <w:top w:val="none" w:sz="0" w:space="0" w:color="auto"/>
        <w:left w:val="none" w:sz="0" w:space="0" w:color="auto"/>
        <w:bottom w:val="none" w:sz="0" w:space="0" w:color="auto"/>
        <w:right w:val="none" w:sz="0" w:space="0" w:color="auto"/>
      </w:divBdr>
    </w:div>
    <w:div w:id="285234859">
      <w:bodyDiv w:val="1"/>
      <w:marLeft w:val="0"/>
      <w:marRight w:val="0"/>
      <w:marTop w:val="0"/>
      <w:marBottom w:val="0"/>
      <w:divBdr>
        <w:top w:val="none" w:sz="0" w:space="0" w:color="auto"/>
        <w:left w:val="none" w:sz="0" w:space="0" w:color="auto"/>
        <w:bottom w:val="none" w:sz="0" w:space="0" w:color="auto"/>
        <w:right w:val="none" w:sz="0" w:space="0" w:color="auto"/>
      </w:divBdr>
    </w:div>
    <w:div w:id="305739116">
      <w:bodyDiv w:val="1"/>
      <w:marLeft w:val="0"/>
      <w:marRight w:val="0"/>
      <w:marTop w:val="0"/>
      <w:marBottom w:val="0"/>
      <w:divBdr>
        <w:top w:val="none" w:sz="0" w:space="0" w:color="auto"/>
        <w:left w:val="none" w:sz="0" w:space="0" w:color="auto"/>
        <w:bottom w:val="none" w:sz="0" w:space="0" w:color="auto"/>
        <w:right w:val="none" w:sz="0" w:space="0" w:color="auto"/>
      </w:divBdr>
    </w:div>
    <w:div w:id="325283548">
      <w:bodyDiv w:val="1"/>
      <w:marLeft w:val="0"/>
      <w:marRight w:val="0"/>
      <w:marTop w:val="0"/>
      <w:marBottom w:val="0"/>
      <w:divBdr>
        <w:top w:val="none" w:sz="0" w:space="0" w:color="auto"/>
        <w:left w:val="none" w:sz="0" w:space="0" w:color="auto"/>
        <w:bottom w:val="none" w:sz="0" w:space="0" w:color="auto"/>
        <w:right w:val="none" w:sz="0" w:space="0" w:color="auto"/>
      </w:divBdr>
    </w:div>
    <w:div w:id="351150819">
      <w:bodyDiv w:val="1"/>
      <w:marLeft w:val="0"/>
      <w:marRight w:val="0"/>
      <w:marTop w:val="0"/>
      <w:marBottom w:val="0"/>
      <w:divBdr>
        <w:top w:val="none" w:sz="0" w:space="0" w:color="auto"/>
        <w:left w:val="none" w:sz="0" w:space="0" w:color="auto"/>
        <w:bottom w:val="none" w:sz="0" w:space="0" w:color="auto"/>
        <w:right w:val="none" w:sz="0" w:space="0" w:color="auto"/>
      </w:divBdr>
    </w:div>
    <w:div w:id="456534276">
      <w:bodyDiv w:val="1"/>
      <w:marLeft w:val="0"/>
      <w:marRight w:val="0"/>
      <w:marTop w:val="0"/>
      <w:marBottom w:val="0"/>
      <w:divBdr>
        <w:top w:val="none" w:sz="0" w:space="0" w:color="auto"/>
        <w:left w:val="none" w:sz="0" w:space="0" w:color="auto"/>
        <w:bottom w:val="none" w:sz="0" w:space="0" w:color="auto"/>
        <w:right w:val="none" w:sz="0" w:space="0" w:color="auto"/>
      </w:divBdr>
    </w:div>
    <w:div w:id="550730095">
      <w:bodyDiv w:val="1"/>
      <w:marLeft w:val="0"/>
      <w:marRight w:val="0"/>
      <w:marTop w:val="0"/>
      <w:marBottom w:val="0"/>
      <w:divBdr>
        <w:top w:val="none" w:sz="0" w:space="0" w:color="auto"/>
        <w:left w:val="none" w:sz="0" w:space="0" w:color="auto"/>
        <w:bottom w:val="none" w:sz="0" w:space="0" w:color="auto"/>
        <w:right w:val="none" w:sz="0" w:space="0" w:color="auto"/>
      </w:divBdr>
    </w:div>
    <w:div w:id="581791169">
      <w:bodyDiv w:val="1"/>
      <w:marLeft w:val="0"/>
      <w:marRight w:val="0"/>
      <w:marTop w:val="0"/>
      <w:marBottom w:val="0"/>
      <w:divBdr>
        <w:top w:val="none" w:sz="0" w:space="0" w:color="auto"/>
        <w:left w:val="none" w:sz="0" w:space="0" w:color="auto"/>
        <w:bottom w:val="none" w:sz="0" w:space="0" w:color="auto"/>
        <w:right w:val="none" w:sz="0" w:space="0" w:color="auto"/>
      </w:divBdr>
    </w:div>
    <w:div w:id="646282201">
      <w:bodyDiv w:val="1"/>
      <w:marLeft w:val="0"/>
      <w:marRight w:val="0"/>
      <w:marTop w:val="0"/>
      <w:marBottom w:val="0"/>
      <w:divBdr>
        <w:top w:val="none" w:sz="0" w:space="0" w:color="auto"/>
        <w:left w:val="none" w:sz="0" w:space="0" w:color="auto"/>
        <w:bottom w:val="none" w:sz="0" w:space="0" w:color="auto"/>
        <w:right w:val="none" w:sz="0" w:space="0" w:color="auto"/>
      </w:divBdr>
    </w:div>
    <w:div w:id="671493242">
      <w:bodyDiv w:val="1"/>
      <w:marLeft w:val="0"/>
      <w:marRight w:val="0"/>
      <w:marTop w:val="0"/>
      <w:marBottom w:val="0"/>
      <w:divBdr>
        <w:top w:val="none" w:sz="0" w:space="0" w:color="auto"/>
        <w:left w:val="none" w:sz="0" w:space="0" w:color="auto"/>
        <w:bottom w:val="none" w:sz="0" w:space="0" w:color="auto"/>
        <w:right w:val="none" w:sz="0" w:space="0" w:color="auto"/>
      </w:divBdr>
      <w:divsChild>
        <w:div w:id="312025161">
          <w:marLeft w:val="0"/>
          <w:marRight w:val="0"/>
          <w:marTop w:val="0"/>
          <w:marBottom w:val="0"/>
          <w:divBdr>
            <w:top w:val="none" w:sz="0" w:space="0" w:color="auto"/>
            <w:left w:val="none" w:sz="0" w:space="0" w:color="auto"/>
            <w:bottom w:val="none" w:sz="0" w:space="0" w:color="auto"/>
            <w:right w:val="none" w:sz="0" w:space="0" w:color="auto"/>
          </w:divBdr>
        </w:div>
      </w:divsChild>
    </w:div>
    <w:div w:id="699628349">
      <w:bodyDiv w:val="1"/>
      <w:marLeft w:val="0"/>
      <w:marRight w:val="0"/>
      <w:marTop w:val="0"/>
      <w:marBottom w:val="0"/>
      <w:divBdr>
        <w:top w:val="none" w:sz="0" w:space="0" w:color="auto"/>
        <w:left w:val="none" w:sz="0" w:space="0" w:color="auto"/>
        <w:bottom w:val="none" w:sz="0" w:space="0" w:color="auto"/>
        <w:right w:val="none" w:sz="0" w:space="0" w:color="auto"/>
      </w:divBdr>
    </w:div>
    <w:div w:id="716903253">
      <w:bodyDiv w:val="1"/>
      <w:marLeft w:val="0"/>
      <w:marRight w:val="0"/>
      <w:marTop w:val="0"/>
      <w:marBottom w:val="0"/>
      <w:divBdr>
        <w:top w:val="none" w:sz="0" w:space="0" w:color="auto"/>
        <w:left w:val="none" w:sz="0" w:space="0" w:color="auto"/>
        <w:bottom w:val="none" w:sz="0" w:space="0" w:color="auto"/>
        <w:right w:val="none" w:sz="0" w:space="0" w:color="auto"/>
      </w:divBdr>
    </w:div>
    <w:div w:id="727457285">
      <w:bodyDiv w:val="1"/>
      <w:marLeft w:val="0"/>
      <w:marRight w:val="0"/>
      <w:marTop w:val="0"/>
      <w:marBottom w:val="0"/>
      <w:divBdr>
        <w:top w:val="none" w:sz="0" w:space="0" w:color="auto"/>
        <w:left w:val="none" w:sz="0" w:space="0" w:color="auto"/>
        <w:bottom w:val="none" w:sz="0" w:space="0" w:color="auto"/>
        <w:right w:val="none" w:sz="0" w:space="0" w:color="auto"/>
      </w:divBdr>
    </w:div>
    <w:div w:id="777603319">
      <w:bodyDiv w:val="1"/>
      <w:marLeft w:val="0"/>
      <w:marRight w:val="0"/>
      <w:marTop w:val="0"/>
      <w:marBottom w:val="0"/>
      <w:divBdr>
        <w:top w:val="none" w:sz="0" w:space="0" w:color="auto"/>
        <w:left w:val="none" w:sz="0" w:space="0" w:color="auto"/>
        <w:bottom w:val="none" w:sz="0" w:space="0" w:color="auto"/>
        <w:right w:val="none" w:sz="0" w:space="0" w:color="auto"/>
      </w:divBdr>
    </w:div>
    <w:div w:id="899903220">
      <w:bodyDiv w:val="1"/>
      <w:marLeft w:val="0"/>
      <w:marRight w:val="0"/>
      <w:marTop w:val="0"/>
      <w:marBottom w:val="0"/>
      <w:divBdr>
        <w:top w:val="none" w:sz="0" w:space="0" w:color="auto"/>
        <w:left w:val="none" w:sz="0" w:space="0" w:color="auto"/>
        <w:bottom w:val="none" w:sz="0" w:space="0" w:color="auto"/>
        <w:right w:val="none" w:sz="0" w:space="0" w:color="auto"/>
      </w:divBdr>
    </w:div>
    <w:div w:id="993028582">
      <w:bodyDiv w:val="1"/>
      <w:marLeft w:val="0"/>
      <w:marRight w:val="0"/>
      <w:marTop w:val="0"/>
      <w:marBottom w:val="0"/>
      <w:divBdr>
        <w:top w:val="none" w:sz="0" w:space="0" w:color="auto"/>
        <w:left w:val="none" w:sz="0" w:space="0" w:color="auto"/>
        <w:bottom w:val="none" w:sz="0" w:space="0" w:color="auto"/>
        <w:right w:val="none" w:sz="0" w:space="0" w:color="auto"/>
      </w:divBdr>
    </w:div>
    <w:div w:id="1046299608">
      <w:bodyDiv w:val="1"/>
      <w:marLeft w:val="0"/>
      <w:marRight w:val="0"/>
      <w:marTop w:val="0"/>
      <w:marBottom w:val="0"/>
      <w:divBdr>
        <w:top w:val="none" w:sz="0" w:space="0" w:color="auto"/>
        <w:left w:val="none" w:sz="0" w:space="0" w:color="auto"/>
        <w:bottom w:val="none" w:sz="0" w:space="0" w:color="auto"/>
        <w:right w:val="none" w:sz="0" w:space="0" w:color="auto"/>
      </w:divBdr>
    </w:div>
    <w:div w:id="1171681890">
      <w:bodyDiv w:val="1"/>
      <w:marLeft w:val="0"/>
      <w:marRight w:val="0"/>
      <w:marTop w:val="0"/>
      <w:marBottom w:val="0"/>
      <w:divBdr>
        <w:top w:val="none" w:sz="0" w:space="0" w:color="auto"/>
        <w:left w:val="none" w:sz="0" w:space="0" w:color="auto"/>
        <w:bottom w:val="none" w:sz="0" w:space="0" w:color="auto"/>
        <w:right w:val="none" w:sz="0" w:space="0" w:color="auto"/>
      </w:divBdr>
    </w:div>
    <w:div w:id="1253930390">
      <w:bodyDiv w:val="1"/>
      <w:marLeft w:val="0"/>
      <w:marRight w:val="0"/>
      <w:marTop w:val="0"/>
      <w:marBottom w:val="0"/>
      <w:divBdr>
        <w:top w:val="none" w:sz="0" w:space="0" w:color="auto"/>
        <w:left w:val="none" w:sz="0" w:space="0" w:color="auto"/>
        <w:bottom w:val="none" w:sz="0" w:space="0" w:color="auto"/>
        <w:right w:val="none" w:sz="0" w:space="0" w:color="auto"/>
      </w:divBdr>
    </w:div>
    <w:div w:id="1278953115">
      <w:bodyDiv w:val="1"/>
      <w:marLeft w:val="0"/>
      <w:marRight w:val="0"/>
      <w:marTop w:val="0"/>
      <w:marBottom w:val="0"/>
      <w:divBdr>
        <w:top w:val="none" w:sz="0" w:space="0" w:color="auto"/>
        <w:left w:val="none" w:sz="0" w:space="0" w:color="auto"/>
        <w:bottom w:val="none" w:sz="0" w:space="0" w:color="auto"/>
        <w:right w:val="none" w:sz="0" w:space="0" w:color="auto"/>
      </w:divBdr>
    </w:div>
    <w:div w:id="1281566103">
      <w:bodyDiv w:val="1"/>
      <w:marLeft w:val="0"/>
      <w:marRight w:val="0"/>
      <w:marTop w:val="0"/>
      <w:marBottom w:val="0"/>
      <w:divBdr>
        <w:top w:val="none" w:sz="0" w:space="0" w:color="auto"/>
        <w:left w:val="none" w:sz="0" w:space="0" w:color="auto"/>
        <w:bottom w:val="none" w:sz="0" w:space="0" w:color="auto"/>
        <w:right w:val="none" w:sz="0" w:space="0" w:color="auto"/>
      </w:divBdr>
    </w:div>
    <w:div w:id="1362318273">
      <w:bodyDiv w:val="1"/>
      <w:marLeft w:val="0"/>
      <w:marRight w:val="0"/>
      <w:marTop w:val="0"/>
      <w:marBottom w:val="0"/>
      <w:divBdr>
        <w:top w:val="none" w:sz="0" w:space="0" w:color="auto"/>
        <w:left w:val="none" w:sz="0" w:space="0" w:color="auto"/>
        <w:bottom w:val="none" w:sz="0" w:space="0" w:color="auto"/>
        <w:right w:val="none" w:sz="0" w:space="0" w:color="auto"/>
      </w:divBdr>
    </w:div>
    <w:div w:id="1416199602">
      <w:bodyDiv w:val="1"/>
      <w:marLeft w:val="0"/>
      <w:marRight w:val="0"/>
      <w:marTop w:val="0"/>
      <w:marBottom w:val="0"/>
      <w:divBdr>
        <w:top w:val="none" w:sz="0" w:space="0" w:color="auto"/>
        <w:left w:val="none" w:sz="0" w:space="0" w:color="auto"/>
        <w:bottom w:val="none" w:sz="0" w:space="0" w:color="auto"/>
        <w:right w:val="none" w:sz="0" w:space="0" w:color="auto"/>
      </w:divBdr>
    </w:div>
    <w:div w:id="1456872673">
      <w:bodyDiv w:val="1"/>
      <w:marLeft w:val="0"/>
      <w:marRight w:val="0"/>
      <w:marTop w:val="0"/>
      <w:marBottom w:val="0"/>
      <w:divBdr>
        <w:top w:val="none" w:sz="0" w:space="0" w:color="auto"/>
        <w:left w:val="none" w:sz="0" w:space="0" w:color="auto"/>
        <w:bottom w:val="none" w:sz="0" w:space="0" w:color="auto"/>
        <w:right w:val="none" w:sz="0" w:space="0" w:color="auto"/>
      </w:divBdr>
    </w:div>
    <w:div w:id="1468545443">
      <w:bodyDiv w:val="1"/>
      <w:marLeft w:val="0"/>
      <w:marRight w:val="0"/>
      <w:marTop w:val="0"/>
      <w:marBottom w:val="0"/>
      <w:divBdr>
        <w:top w:val="none" w:sz="0" w:space="0" w:color="auto"/>
        <w:left w:val="none" w:sz="0" w:space="0" w:color="auto"/>
        <w:bottom w:val="none" w:sz="0" w:space="0" w:color="auto"/>
        <w:right w:val="none" w:sz="0" w:space="0" w:color="auto"/>
      </w:divBdr>
    </w:div>
    <w:div w:id="1663966187">
      <w:bodyDiv w:val="1"/>
      <w:marLeft w:val="0"/>
      <w:marRight w:val="0"/>
      <w:marTop w:val="0"/>
      <w:marBottom w:val="0"/>
      <w:divBdr>
        <w:top w:val="none" w:sz="0" w:space="0" w:color="auto"/>
        <w:left w:val="none" w:sz="0" w:space="0" w:color="auto"/>
        <w:bottom w:val="none" w:sz="0" w:space="0" w:color="auto"/>
        <w:right w:val="none" w:sz="0" w:space="0" w:color="auto"/>
      </w:divBdr>
      <w:divsChild>
        <w:div w:id="417749469">
          <w:marLeft w:val="0"/>
          <w:marRight w:val="0"/>
          <w:marTop w:val="0"/>
          <w:marBottom w:val="0"/>
          <w:divBdr>
            <w:top w:val="single" w:sz="2" w:space="0" w:color="E3E3E3"/>
            <w:left w:val="single" w:sz="2" w:space="0" w:color="E3E3E3"/>
            <w:bottom w:val="single" w:sz="2" w:space="0" w:color="E3E3E3"/>
            <w:right w:val="single" w:sz="2" w:space="0" w:color="E3E3E3"/>
          </w:divBdr>
          <w:divsChild>
            <w:div w:id="558514862">
              <w:marLeft w:val="0"/>
              <w:marRight w:val="0"/>
              <w:marTop w:val="0"/>
              <w:marBottom w:val="0"/>
              <w:divBdr>
                <w:top w:val="single" w:sz="2" w:space="0" w:color="E3E3E3"/>
                <w:left w:val="single" w:sz="2" w:space="0" w:color="E3E3E3"/>
                <w:bottom w:val="single" w:sz="2" w:space="0" w:color="E3E3E3"/>
                <w:right w:val="single" w:sz="2" w:space="0" w:color="E3E3E3"/>
              </w:divBdr>
              <w:divsChild>
                <w:div w:id="581918360">
                  <w:marLeft w:val="0"/>
                  <w:marRight w:val="0"/>
                  <w:marTop w:val="0"/>
                  <w:marBottom w:val="0"/>
                  <w:divBdr>
                    <w:top w:val="single" w:sz="2" w:space="0" w:color="E3E3E3"/>
                    <w:left w:val="single" w:sz="2" w:space="0" w:color="E3E3E3"/>
                    <w:bottom w:val="single" w:sz="2" w:space="0" w:color="E3E3E3"/>
                    <w:right w:val="single" w:sz="2" w:space="0" w:color="E3E3E3"/>
                  </w:divBdr>
                  <w:divsChild>
                    <w:div w:id="562715151">
                      <w:marLeft w:val="0"/>
                      <w:marRight w:val="0"/>
                      <w:marTop w:val="0"/>
                      <w:marBottom w:val="0"/>
                      <w:divBdr>
                        <w:top w:val="single" w:sz="2" w:space="0" w:color="E3E3E3"/>
                        <w:left w:val="single" w:sz="2" w:space="0" w:color="E3E3E3"/>
                        <w:bottom w:val="single" w:sz="2" w:space="0" w:color="E3E3E3"/>
                        <w:right w:val="single" w:sz="2" w:space="0" w:color="E3E3E3"/>
                      </w:divBdr>
                      <w:divsChild>
                        <w:div w:id="1276058497">
                          <w:marLeft w:val="0"/>
                          <w:marRight w:val="0"/>
                          <w:marTop w:val="0"/>
                          <w:marBottom w:val="0"/>
                          <w:divBdr>
                            <w:top w:val="single" w:sz="2" w:space="0" w:color="E3E3E3"/>
                            <w:left w:val="single" w:sz="2" w:space="0" w:color="E3E3E3"/>
                            <w:bottom w:val="single" w:sz="2" w:space="0" w:color="E3E3E3"/>
                            <w:right w:val="single" w:sz="2" w:space="0" w:color="E3E3E3"/>
                          </w:divBdr>
                          <w:divsChild>
                            <w:div w:id="12460900">
                              <w:marLeft w:val="0"/>
                              <w:marRight w:val="0"/>
                              <w:marTop w:val="100"/>
                              <w:marBottom w:val="100"/>
                              <w:divBdr>
                                <w:top w:val="single" w:sz="2" w:space="0" w:color="E3E3E3"/>
                                <w:left w:val="single" w:sz="2" w:space="0" w:color="E3E3E3"/>
                                <w:bottom w:val="single" w:sz="2" w:space="0" w:color="E3E3E3"/>
                                <w:right w:val="single" w:sz="2" w:space="0" w:color="E3E3E3"/>
                              </w:divBdr>
                              <w:divsChild>
                                <w:div w:id="1968662745">
                                  <w:marLeft w:val="0"/>
                                  <w:marRight w:val="0"/>
                                  <w:marTop w:val="0"/>
                                  <w:marBottom w:val="0"/>
                                  <w:divBdr>
                                    <w:top w:val="single" w:sz="2" w:space="0" w:color="E3E3E3"/>
                                    <w:left w:val="single" w:sz="2" w:space="0" w:color="E3E3E3"/>
                                    <w:bottom w:val="single" w:sz="2" w:space="0" w:color="E3E3E3"/>
                                    <w:right w:val="single" w:sz="2" w:space="0" w:color="E3E3E3"/>
                                  </w:divBdr>
                                  <w:divsChild>
                                    <w:div w:id="1240364977">
                                      <w:marLeft w:val="0"/>
                                      <w:marRight w:val="0"/>
                                      <w:marTop w:val="0"/>
                                      <w:marBottom w:val="0"/>
                                      <w:divBdr>
                                        <w:top w:val="single" w:sz="2" w:space="0" w:color="E3E3E3"/>
                                        <w:left w:val="single" w:sz="2" w:space="0" w:color="E3E3E3"/>
                                        <w:bottom w:val="single" w:sz="2" w:space="0" w:color="E3E3E3"/>
                                        <w:right w:val="single" w:sz="2" w:space="0" w:color="E3E3E3"/>
                                      </w:divBdr>
                                      <w:divsChild>
                                        <w:div w:id="1800954135">
                                          <w:marLeft w:val="0"/>
                                          <w:marRight w:val="0"/>
                                          <w:marTop w:val="0"/>
                                          <w:marBottom w:val="0"/>
                                          <w:divBdr>
                                            <w:top w:val="single" w:sz="2" w:space="0" w:color="E3E3E3"/>
                                            <w:left w:val="single" w:sz="2" w:space="0" w:color="E3E3E3"/>
                                            <w:bottom w:val="single" w:sz="2" w:space="0" w:color="E3E3E3"/>
                                            <w:right w:val="single" w:sz="2" w:space="0" w:color="E3E3E3"/>
                                          </w:divBdr>
                                          <w:divsChild>
                                            <w:div w:id="1821118027">
                                              <w:marLeft w:val="0"/>
                                              <w:marRight w:val="0"/>
                                              <w:marTop w:val="0"/>
                                              <w:marBottom w:val="0"/>
                                              <w:divBdr>
                                                <w:top w:val="single" w:sz="2" w:space="0" w:color="E3E3E3"/>
                                                <w:left w:val="single" w:sz="2" w:space="0" w:color="E3E3E3"/>
                                                <w:bottom w:val="single" w:sz="2" w:space="0" w:color="E3E3E3"/>
                                                <w:right w:val="single" w:sz="2" w:space="0" w:color="E3E3E3"/>
                                              </w:divBdr>
                                              <w:divsChild>
                                                <w:div w:id="583343529">
                                                  <w:marLeft w:val="0"/>
                                                  <w:marRight w:val="0"/>
                                                  <w:marTop w:val="0"/>
                                                  <w:marBottom w:val="0"/>
                                                  <w:divBdr>
                                                    <w:top w:val="single" w:sz="2" w:space="0" w:color="E3E3E3"/>
                                                    <w:left w:val="single" w:sz="2" w:space="0" w:color="E3E3E3"/>
                                                    <w:bottom w:val="single" w:sz="2" w:space="0" w:color="E3E3E3"/>
                                                    <w:right w:val="single" w:sz="2" w:space="0" w:color="E3E3E3"/>
                                                  </w:divBdr>
                                                  <w:divsChild>
                                                    <w:div w:id="269901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30071177">
          <w:marLeft w:val="0"/>
          <w:marRight w:val="0"/>
          <w:marTop w:val="0"/>
          <w:marBottom w:val="0"/>
          <w:divBdr>
            <w:top w:val="none" w:sz="0" w:space="0" w:color="auto"/>
            <w:left w:val="none" w:sz="0" w:space="0" w:color="auto"/>
            <w:bottom w:val="none" w:sz="0" w:space="0" w:color="auto"/>
            <w:right w:val="none" w:sz="0" w:space="0" w:color="auto"/>
          </w:divBdr>
        </w:div>
      </w:divsChild>
    </w:div>
    <w:div w:id="1678344096">
      <w:bodyDiv w:val="1"/>
      <w:marLeft w:val="0"/>
      <w:marRight w:val="0"/>
      <w:marTop w:val="0"/>
      <w:marBottom w:val="0"/>
      <w:divBdr>
        <w:top w:val="none" w:sz="0" w:space="0" w:color="auto"/>
        <w:left w:val="none" w:sz="0" w:space="0" w:color="auto"/>
        <w:bottom w:val="none" w:sz="0" w:space="0" w:color="auto"/>
        <w:right w:val="none" w:sz="0" w:space="0" w:color="auto"/>
      </w:divBdr>
    </w:div>
    <w:div w:id="1725903780">
      <w:bodyDiv w:val="1"/>
      <w:marLeft w:val="0"/>
      <w:marRight w:val="0"/>
      <w:marTop w:val="0"/>
      <w:marBottom w:val="0"/>
      <w:divBdr>
        <w:top w:val="none" w:sz="0" w:space="0" w:color="auto"/>
        <w:left w:val="none" w:sz="0" w:space="0" w:color="auto"/>
        <w:bottom w:val="none" w:sz="0" w:space="0" w:color="auto"/>
        <w:right w:val="none" w:sz="0" w:space="0" w:color="auto"/>
      </w:divBdr>
    </w:div>
    <w:div w:id="1729574512">
      <w:bodyDiv w:val="1"/>
      <w:marLeft w:val="0"/>
      <w:marRight w:val="0"/>
      <w:marTop w:val="0"/>
      <w:marBottom w:val="0"/>
      <w:divBdr>
        <w:top w:val="none" w:sz="0" w:space="0" w:color="auto"/>
        <w:left w:val="none" w:sz="0" w:space="0" w:color="auto"/>
        <w:bottom w:val="none" w:sz="0" w:space="0" w:color="auto"/>
        <w:right w:val="none" w:sz="0" w:space="0" w:color="auto"/>
      </w:divBdr>
    </w:div>
    <w:div w:id="1839154796">
      <w:bodyDiv w:val="1"/>
      <w:marLeft w:val="0"/>
      <w:marRight w:val="0"/>
      <w:marTop w:val="0"/>
      <w:marBottom w:val="0"/>
      <w:divBdr>
        <w:top w:val="none" w:sz="0" w:space="0" w:color="auto"/>
        <w:left w:val="none" w:sz="0" w:space="0" w:color="auto"/>
        <w:bottom w:val="none" w:sz="0" w:space="0" w:color="auto"/>
        <w:right w:val="none" w:sz="0" w:space="0" w:color="auto"/>
      </w:divBdr>
    </w:div>
    <w:div w:id="1840926174">
      <w:bodyDiv w:val="1"/>
      <w:marLeft w:val="0"/>
      <w:marRight w:val="0"/>
      <w:marTop w:val="0"/>
      <w:marBottom w:val="0"/>
      <w:divBdr>
        <w:top w:val="none" w:sz="0" w:space="0" w:color="auto"/>
        <w:left w:val="none" w:sz="0" w:space="0" w:color="auto"/>
        <w:bottom w:val="none" w:sz="0" w:space="0" w:color="auto"/>
        <w:right w:val="none" w:sz="0" w:space="0" w:color="auto"/>
      </w:divBdr>
    </w:div>
    <w:div w:id="1877355534">
      <w:bodyDiv w:val="1"/>
      <w:marLeft w:val="0"/>
      <w:marRight w:val="0"/>
      <w:marTop w:val="0"/>
      <w:marBottom w:val="0"/>
      <w:divBdr>
        <w:top w:val="none" w:sz="0" w:space="0" w:color="auto"/>
        <w:left w:val="none" w:sz="0" w:space="0" w:color="auto"/>
        <w:bottom w:val="none" w:sz="0" w:space="0" w:color="auto"/>
        <w:right w:val="none" w:sz="0" w:space="0" w:color="auto"/>
      </w:divBdr>
    </w:div>
    <w:div w:id="1975136009">
      <w:bodyDiv w:val="1"/>
      <w:marLeft w:val="0"/>
      <w:marRight w:val="0"/>
      <w:marTop w:val="0"/>
      <w:marBottom w:val="0"/>
      <w:divBdr>
        <w:top w:val="none" w:sz="0" w:space="0" w:color="auto"/>
        <w:left w:val="none" w:sz="0" w:space="0" w:color="auto"/>
        <w:bottom w:val="none" w:sz="0" w:space="0" w:color="auto"/>
        <w:right w:val="none" w:sz="0" w:space="0" w:color="auto"/>
      </w:divBdr>
    </w:div>
    <w:div w:id="1979678182">
      <w:bodyDiv w:val="1"/>
      <w:marLeft w:val="0"/>
      <w:marRight w:val="0"/>
      <w:marTop w:val="0"/>
      <w:marBottom w:val="0"/>
      <w:divBdr>
        <w:top w:val="none" w:sz="0" w:space="0" w:color="auto"/>
        <w:left w:val="none" w:sz="0" w:space="0" w:color="auto"/>
        <w:bottom w:val="none" w:sz="0" w:space="0" w:color="auto"/>
        <w:right w:val="none" w:sz="0" w:space="0" w:color="auto"/>
      </w:divBdr>
    </w:div>
    <w:div w:id="2079327933">
      <w:bodyDiv w:val="1"/>
      <w:marLeft w:val="0"/>
      <w:marRight w:val="0"/>
      <w:marTop w:val="0"/>
      <w:marBottom w:val="0"/>
      <w:divBdr>
        <w:top w:val="none" w:sz="0" w:space="0" w:color="auto"/>
        <w:left w:val="none" w:sz="0" w:space="0" w:color="auto"/>
        <w:bottom w:val="none" w:sz="0" w:space="0" w:color="auto"/>
        <w:right w:val="none" w:sz="0" w:space="0" w:color="auto"/>
      </w:divBdr>
    </w:div>
    <w:div w:id="2080400935">
      <w:bodyDiv w:val="1"/>
      <w:marLeft w:val="0"/>
      <w:marRight w:val="0"/>
      <w:marTop w:val="0"/>
      <w:marBottom w:val="0"/>
      <w:divBdr>
        <w:top w:val="none" w:sz="0" w:space="0" w:color="auto"/>
        <w:left w:val="none" w:sz="0" w:space="0" w:color="auto"/>
        <w:bottom w:val="none" w:sz="0" w:space="0" w:color="auto"/>
        <w:right w:val="none" w:sz="0" w:space="0" w:color="auto"/>
      </w:divBdr>
    </w:div>
    <w:div w:id="2092700010">
      <w:bodyDiv w:val="1"/>
      <w:marLeft w:val="0"/>
      <w:marRight w:val="0"/>
      <w:marTop w:val="0"/>
      <w:marBottom w:val="0"/>
      <w:divBdr>
        <w:top w:val="none" w:sz="0" w:space="0" w:color="auto"/>
        <w:left w:val="none" w:sz="0" w:space="0" w:color="auto"/>
        <w:bottom w:val="none" w:sz="0" w:space="0" w:color="auto"/>
        <w:right w:val="none" w:sz="0" w:space="0" w:color="auto"/>
      </w:divBdr>
    </w:div>
    <w:div w:id="2093892620">
      <w:bodyDiv w:val="1"/>
      <w:marLeft w:val="0"/>
      <w:marRight w:val="0"/>
      <w:marTop w:val="0"/>
      <w:marBottom w:val="0"/>
      <w:divBdr>
        <w:top w:val="none" w:sz="0" w:space="0" w:color="auto"/>
        <w:left w:val="none" w:sz="0" w:space="0" w:color="auto"/>
        <w:bottom w:val="none" w:sz="0" w:space="0" w:color="auto"/>
        <w:right w:val="none" w:sz="0" w:space="0" w:color="auto"/>
      </w:divBdr>
    </w:div>
    <w:div w:id="2105951801">
      <w:bodyDiv w:val="1"/>
      <w:marLeft w:val="0"/>
      <w:marRight w:val="0"/>
      <w:marTop w:val="0"/>
      <w:marBottom w:val="0"/>
      <w:divBdr>
        <w:top w:val="none" w:sz="0" w:space="0" w:color="auto"/>
        <w:left w:val="none" w:sz="0" w:space="0" w:color="auto"/>
        <w:bottom w:val="none" w:sz="0" w:space="0" w:color="auto"/>
        <w:right w:val="none" w:sz="0" w:space="0" w:color="auto"/>
      </w:divBdr>
      <w:divsChild>
        <w:div w:id="1346055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69D26-4C37-492F-8DE6-EA7889FB6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2925</Words>
  <Characters>21302</Characters>
  <Application>Microsoft Office Word</Application>
  <DocSecurity>0</DocSecurity>
  <Lines>409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Elderly Care: Integrating ICT and AI into Future Healthcare Services</dc:title>
  <dc:subject>BMHP6009</dc:subject>
  <dc:creator>Chloe Rees (2105842)</dc:creator>
  <cp:keywords/>
  <dc:description/>
  <cp:lastModifiedBy>Chloe Rees</cp:lastModifiedBy>
  <cp:revision>12</cp:revision>
  <dcterms:created xsi:type="dcterms:W3CDTF">2024-04-29T15:43:00Z</dcterms:created>
  <dcterms:modified xsi:type="dcterms:W3CDTF">2024-04-29T15:50:00Z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267df932-d5ed-4972-80ae-6b44fc16f6a6</vt:lpwstr>
  </property>
</Properties>
</file>