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color w:val="4472C4" w:themeColor="accent1"/>
        </w:rPr>
        <w:id w:val="-1799909769"/>
        <w:docPartObj>
          <w:docPartGallery w:val="Cover Pages"/>
          <w:docPartUnique/>
        </w:docPartObj>
      </w:sdtPr>
      <w:sdtEndPr>
        <w:rPr>
          <w:rFonts w:ascii="Arial" w:eastAsiaTheme="minorHAnsi" w:hAnsi="Arial" w:cs="Arial"/>
          <w:color w:val="auto"/>
          <w:kern w:val="2"/>
          <w:sz w:val="24"/>
          <w:szCs w:val="24"/>
          <w:lang w:val="en-GB" w:eastAsia="en-GB"/>
          <w14:ligatures w14:val="standardContextual"/>
        </w:rPr>
      </w:sdtEndPr>
      <w:sdtContent>
        <w:p w14:paraId="7AE5E873" w14:textId="6852C4FD" w:rsidR="00C14D32" w:rsidRDefault="00C14D32">
          <w:pPr>
            <w:pStyle w:val="NoSpacing"/>
            <w:spacing w:before="1540" w:after="240"/>
            <w:jc w:val="center"/>
            <w:rPr>
              <w:color w:val="4472C4" w:themeColor="accent1"/>
            </w:rPr>
          </w:pPr>
          <w:r>
            <w:rPr>
              <w:noProof/>
              <w:color w:val="4472C4" w:themeColor="accent1"/>
            </w:rPr>
            <w:drawing>
              <wp:inline distT="0" distB="0" distL="0" distR="0" wp14:anchorId="29F230B0" wp14:editId="4B428A62">
                <wp:extent cx="1417320" cy="750898"/>
                <wp:effectExtent l="0" t="0" r="0" b="0"/>
                <wp:docPr id="1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6"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heme="majorHAnsi" w:eastAsiaTheme="majorEastAsia" w:hAnsiTheme="majorHAnsi" w:cstheme="majorBidi"/>
              <w:caps/>
              <w:sz w:val="32"/>
              <w:szCs w:val="32"/>
            </w:rPr>
            <w:alias w:val="Title"/>
            <w:tag w:val=""/>
            <w:id w:val="1735040861"/>
            <w:placeholder>
              <w:docPart w:val="89A55DE0AEB4472D9D30A2495C08D9FE"/>
            </w:placeholder>
            <w:dataBinding w:prefixMappings="xmlns:ns0='http://purl.org/dc/elements/1.1/' xmlns:ns1='http://schemas.openxmlformats.org/package/2006/metadata/core-properties' " w:xpath="/ns1:coreProperties[1]/ns0:title[1]" w:storeItemID="{6C3C8BC8-F283-45AE-878A-BAB7291924A1}"/>
            <w:text/>
          </w:sdtPr>
          <w:sdtContent>
            <w:p w14:paraId="61136E53" w14:textId="14F6AC88" w:rsidR="00C14D32" w:rsidRPr="00C14D32" w:rsidRDefault="00C14D32">
              <w:pPr>
                <w:pStyle w:val="NoSpacing"/>
                <w:pBdr>
                  <w:top w:val="single" w:sz="6" w:space="6" w:color="4472C4" w:themeColor="accent1"/>
                  <w:bottom w:val="single" w:sz="6" w:space="6" w:color="4472C4" w:themeColor="accent1"/>
                </w:pBdr>
                <w:spacing w:after="240"/>
                <w:jc w:val="center"/>
                <w:rPr>
                  <w:rFonts w:asciiTheme="majorHAnsi" w:eastAsiaTheme="majorEastAsia" w:hAnsiTheme="majorHAnsi" w:cstheme="majorBidi"/>
                  <w:caps/>
                  <w:sz w:val="32"/>
                  <w:szCs w:val="32"/>
                </w:rPr>
              </w:pPr>
              <w:r w:rsidRPr="00C14D32">
                <w:rPr>
                  <w:rFonts w:asciiTheme="majorHAnsi" w:eastAsiaTheme="majorEastAsia" w:hAnsiTheme="majorHAnsi" w:cstheme="majorBidi"/>
                  <w:caps/>
                  <w:sz w:val="32"/>
                  <w:szCs w:val="32"/>
                </w:rPr>
                <w:t>Discuss how the evolution of HRM facilitates the strategic development of an international hotel brand through workforce planning, recruitment and selection</w:t>
              </w:r>
            </w:p>
          </w:sdtContent>
        </w:sdt>
        <w:sdt>
          <w:sdtPr>
            <w:rPr>
              <w:sz w:val="28"/>
              <w:szCs w:val="28"/>
            </w:rPr>
            <w:alias w:val="Subtitle"/>
            <w:tag w:val=""/>
            <w:id w:val="328029620"/>
            <w:placeholder>
              <w:docPart w:val="41060FA48BBD476790B347F5C285AD60"/>
            </w:placeholder>
            <w:dataBinding w:prefixMappings="xmlns:ns0='http://purl.org/dc/elements/1.1/' xmlns:ns1='http://schemas.openxmlformats.org/package/2006/metadata/core-properties' " w:xpath="/ns1:coreProperties[1]/ns0:subject[1]" w:storeItemID="{6C3C8BC8-F283-45AE-878A-BAB7291924A1}"/>
            <w:text/>
          </w:sdtPr>
          <w:sdtContent>
            <w:p w14:paraId="417C4B61" w14:textId="394996C4" w:rsidR="00C14D32" w:rsidRPr="00251084" w:rsidRDefault="00C14D32">
              <w:pPr>
                <w:pStyle w:val="NoSpacing"/>
                <w:jc w:val="center"/>
                <w:rPr>
                  <w:sz w:val="28"/>
                  <w:szCs w:val="28"/>
                </w:rPr>
              </w:pPr>
              <w:r w:rsidRPr="00251084">
                <w:rPr>
                  <w:sz w:val="28"/>
                  <w:szCs w:val="28"/>
                </w:rPr>
                <w:t>Personnel Resourcing and Development</w:t>
              </w:r>
              <w:r w:rsidR="00251084" w:rsidRPr="00251084">
                <w:rPr>
                  <w:sz w:val="28"/>
                  <w:szCs w:val="28"/>
                </w:rPr>
                <w:t>, BMIH5005</w:t>
              </w:r>
            </w:p>
          </w:sdtContent>
        </w:sdt>
        <w:p w14:paraId="5864B149" w14:textId="77777777" w:rsidR="00C14D32" w:rsidRDefault="00C14D32">
          <w:pPr>
            <w:pStyle w:val="NoSpacing"/>
            <w:spacing w:before="480"/>
            <w:jc w:val="center"/>
            <w:rPr>
              <w:color w:val="4472C4" w:themeColor="accent1"/>
            </w:rPr>
          </w:pPr>
          <w:r>
            <w:rPr>
              <w:noProof/>
              <w:color w:val="4472C4" w:themeColor="accent1"/>
            </w:rPr>
            <mc:AlternateContent>
              <mc:Choice Requires="wps">
                <w:drawing>
                  <wp:anchor distT="0" distB="0" distL="114300" distR="114300" simplePos="0" relativeHeight="251659264" behindDoc="0" locked="0" layoutInCell="1" allowOverlap="1" wp14:anchorId="52C39F27" wp14:editId="35BD74EF">
                    <wp:simplePos x="0" y="0"/>
                    <wp:positionH relativeFrom="margin">
                      <wp:align>center</wp:align>
                    </wp:positionH>
                    <mc:AlternateContent>
                      <mc:Choice Requires="wp14">
                        <wp:positionV relativeFrom="page">
                          <wp14:pctPosVOffset>85000</wp14:pctPosVOffset>
                        </wp:positionV>
                      </mc:Choice>
                      <mc:Fallback>
                        <wp:positionV relativeFrom="page">
                          <wp:posOffset>9088120</wp:posOffset>
                        </wp:positionV>
                      </mc:Fallback>
                    </mc:AlternateContent>
                    <wp:extent cx="6553200" cy="557784"/>
                    <wp:effectExtent l="0" t="0" r="0" b="12700"/>
                    <wp:wrapNone/>
                    <wp:docPr id="142" name="Text Box 44"/>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4472C4" w:themeColor="accent1"/>
                                    <w:sz w:val="36"/>
                                    <w:szCs w:val="36"/>
                                  </w:rPr>
                                  <w:alias w:val="Date"/>
                                  <w:tag w:val=""/>
                                  <w:id w:val="197127006"/>
                                  <w:dataBinding w:prefixMappings="xmlns:ns0='http://schemas.microsoft.com/office/2006/coverPageProps' " w:xpath="/ns0:CoverPageProperties[1]/ns0:PublishDate[1]" w:storeItemID="{55AF091B-3C7A-41E3-B477-F2FDAA23CFDA}"/>
                                  <w:date>
                                    <w:dateFormat w:val="MMMM d, yyyy"/>
                                    <w:lid w:val="en-US"/>
                                    <w:storeMappedDataAs w:val="dateTime"/>
                                    <w:calendar w:val="gregorian"/>
                                  </w:date>
                                </w:sdtPr>
                                <w:sdtContent>
                                  <w:p w14:paraId="79E8E9EA" w14:textId="08E7A4D7" w:rsidR="00C14D32" w:rsidRPr="00251084" w:rsidRDefault="00251084">
                                    <w:pPr>
                                      <w:pStyle w:val="NoSpacing"/>
                                      <w:spacing w:after="40"/>
                                      <w:jc w:val="center"/>
                                      <w:rPr>
                                        <w:caps/>
                                        <w:color w:val="4472C4" w:themeColor="accent1"/>
                                        <w:sz w:val="36"/>
                                        <w:szCs w:val="36"/>
                                      </w:rPr>
                                    </w:pPr>
                                    <w:r w:rsidRPr="00251084">
                                      <w:rPr>
                                        <w:caps/>
                                        <w:color w:val="4472C4" w:themeColor="accent1"/>
                                        <w:sz w:val="36"/>
                                        <w:szCs w:val="36"/>
                                      </w:rPr>
                                      <w:t>Syeda Begum</w:t>
                                    </w:r>
                                  </w:p>
                                </w:sdtContent>
                              </w:sdt>
                              <w:p w14:paraId="7762BC20" w14:textId="7F76A0BE" w:rsidR="00C14D32" w:rsidRPr="00251084" w:rsidRDefault="00C14D32">
                                <w:pPr>
                                  <w:pStyle w:val="NoSpacing"/>
                                  <w:jc w:val="center"/>
                                  <w:rPr>
                                    <w:color w:val="4472C4" w:themeColor="accent1"/>
                                    <w:sz w:val="28"/>
                                    <w:szCs w:val="28"/>
                                  </w:rPr>
                                </w:pPr>
                                <w:sdt>
                                  <w:sdtPr>
                                    <w:rPr>
                                      <w:caps/>
                                      <w:color w:val="4472C4" w:themeColor="accent1"/>
                                      <w:sz w:val="28"/>
                                      <w:szCs w:val="28"/>
                                    </w:rPr>
                                    <w:alias w:val="Company"/>
                                    <w:tag w:val=""/>
                                    <w:id w:val="1390145197"/>
                                    <w:dataBinding w:prefixMappings="xmlns:ns0='http://schemas.openxmlformats.org/officeDocument/2006/extended-properties' " w:xpath="/ns0:Properties[1]/ns0:Company[1]" w:storeItemID="{6668398D-A668-4E3E-A5EB-62B293D839F1}"/>
                                    <w:text/>
                                  </w:sdtPr>
                                  <w:sdtContent>
                                    <w:r w:rsidR="00251084" w:rsidRPr="00251084">
                                      <w:rPr>
                                        <w:caps/>
                                        <w:color w:val="4472C4" w:themeColor="accent1"/>
                                        <w:sz w:val="28"/>
                                        <w:szCs w:val="28"/>
                                      </w:rPr>
                                      <w:t>student id: 2227588</w:t>
                                    </w:r>
                                  </w:sdtContent>
                                </w:sdt>
                              </w:p>
                              <w:p w14:paraId="21D81D39" w14:textId="3F5807A6" w:rsidR="00C14D32" w:rsidRPr="00251084" w:rsidRDefault="00C14D32">
                                <w:pPr>
                                  <w:pStyle w:val="NoSpacing"/>
                                  <w:jc w:val="center"/>
                                  <w:rPr>
                                    <w:color w:val="4472C4" w:themeColor="accent1"/>
                                    <w:sz w:val="28"/>
                                    <w:szCs w:val="28"/>
                                  </w:rPr>
                                </w:pPr>
                                <w:sdt>
                                  <w:sdtPr>
                                    <w:rPr>
                                      <w:color w:val="4472C4" w:themeColor="accent1"/>
                                      <w:sz w:val="28"/>
                                      <w:szCs w:val="28"/>
                                    </w:rPr>
                                    <w:alias w:val="Address"/>
                                    <w:tag w:val=""/>
                                    <w:id w:val="-726379553"/>
                                    <w:dataBinding w:prefixMappings="xmlns:ns0='http://schemas.microsoft.com/office/2006/coverPageProps' " w:xpath="/ns0:CoverPageProperties[1]/ns0:CompanyAddress[1]" w:storeItemID="{55AF091B-3C7A-41E3-B477-F2FDAA23CFDA}"/>
                                    <w:text/>
                                  </w:sdtPr>
                                  <w:sdtContent>
                                    <w:r w:rsidR="00251084" w:rsidRPr="00251084">
                                      <w:rPr>
                                        <w:color w:val="4472C4" w:themeColor="accent1"/>
                                        <w:sz w:val="28"/>
                                        <w:szCs w:val="28"/>
                                      </w:rPr>
                                      <w:t>Lecturer: Helen Lee</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52C39F27" id="_x0000_t202" coordsize="21600,21600" o:spt="202" path="m,l,21600r21600,l21600,xe">
                    <v:stroke joinstyle="miter"/>
                    <v:path gradientshapeok="t" o:connecttype="rect"/>
                  </v:shapetype>
                  <v:shape id="Text Box 44" o:spid="_x0000_s1026" type="#_x0000_t202" style="position:absolute;left:0;text-align:left;margin-left:0;margin-top:0;width:516pt;height:43.9pt;z-index:251659264;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" filled="f" stroked="f" strokeweight=".5pt">
                    <v:textbox style="mso-fit-shape-to-text:t" inset="0,0,0,0">
                      <w:txbxContent>
                        <w:sdt>
                          <w:sdtPr>
                            <w:rPr>
                              <w:caps/>
                              <w:color w:val="4472C4" w:themeColor="accent1"/>
                              <w:sz w:val="36"/>
                              <w:szCs w:val="36"/>
                            </w:rPr>
                            <w:alias w:val="Date"/>
                            <w:tag w:val=""/>
                            <w:id w:val="197127006"/>
                            <w:dataBinding w:prefixMappings="xmlns:ns0='http://schemas.microsoft.com/office/2006/coverPageProps' " w:xpath="/ns0:CoverPageProperties[1]/ns0:PublishDate[1]" w:storeItemID="{55AF091B-3C7A-41E3-B477-F2FDAA23CFDA}"/>
                            <w:date>
                              <w:dateFormat w:val="MMMM d, yyyy"/>
                              <w:lid w:val="en-US"/>
                              <w:storeMappedDataAs w:val="dateTime"/>
                              <w:calendar w:val="gregorian"/>
                            </w:date>
                          </w:sdtPr>
                          <w:sdtContent>
                            <w:p w14:paraId="79E8E9EA" w14:textId="08E7A4D7" w:rsidR="00C14D32" w:rsidRPr="00251084" w:rsidRDefault="00251084">
                              <w:pPr>
                                <w:pStyle w:val="NoSpacing"/>
                                <w:spacing w:after="40"/>
                                <w:jc w:val="center"/>
                                <w:rPr>
                                  <w:caps/>
                                  <w:color w:val="4472C4" w:themeColor="accent1"/>
                                  <w:sz w:val="36"/>
                                  <w:szCs w:val="36"/>
                                </w:rPr>
                              </w:pPr>
                              <w:r w:rsidRPr="00251084">
                                <w:rPr>
                                  <w:caps/>
                                  <w:color w:val="4472C4" w:themeColor="accent1"/>
                                  <w:sz w:val="36"/>
                                  <w:szCs w:val="36"/>
                                </w:rPr>
                                <w:t>Syeda Begum</w:t>
                              </w:r>
                            </w:p>
                          </w:sdtContent>
                        </w:sdt>
                        <w:p w14:paraId="7762BC20" w14:textId="7F76A0BE" w:rsidR="00C14D32" w:rsidRPr="00251084" w:rsidRDefault="00C14D32">
                          <w:pPr>
                            <w:pStyle w:val="NoSpacing"/>
                            <w:jc w:val="center"/>
                            <w:rPr>
                              <w:color w:val="4472C4" w:themeColor="accent1"/>
                              <w:sz w:val="28"/>
                              <w:szCs w:val="28"/>
                            </w:rPr>
                          </w:pPr>
                          <w:sdt>
                            <w:sdtPr>
                              <w:rPr>
                                <w:caps/>
                                <w:color w:val="4472C4" w:themeColor="accent1"/>
                                <w:sz w:val="28"/>
                                <w:szCs w:val="28"/>
                              </w:rPr>
                              <w:alias w:val="Company"/>
                              <w:tag w:val=""/>
                              <w:id w:val="1390145197"/>
                              <w:dataBinding w:prefixMappings="xmlns:ns0='http://schemas.openxmlformats.org/officeDocument/2006/extended-properties' " w:xpath="/ns0:Properties[1]/ns0:Company[1]" w:storeItemID="{6668398D-A668-4E3E-A5EB-62B293D839F1}"/>
                              <w:text/>
                            </w:sdtPr>
                            <w:sdtContent>
                              <w:r w:rsidR="00251084" w:rsidRPr="00251084">
                                <w:rPr>
                                  <w:caps/>
                                  <w:color w:val="4472C4" w:themeColor="accent1"/>
                                  <w:sz w:val="28"/>
                                  <w:szCs w:val="28"/>
                                </w:rPr>
                                <w:t>student id: 2227588</w:t>
                              </w:r>
                            </w:sdtContent>
                          </w:sdt>
                        </w:p>
                        <w:p w14:paraId="21D81D39" w14:textId="3F5807A6" w:rsidR="00C14D32" w:rsidRPr="00251084" w:rsidRDefault="00C14D32">
                          <w:pPr>
                            <w:pStyle w:val="NoSpacing"/>
                            <w:jc w:val="center"/>
                            <w:rPr>
                              <w:color w:val="4472C4" w:themeColor="accent1"/>
                              <w:sz w:val="28"/>
                              <w:szCs w:val="28"/>
                            </w:rPr>
                          </w:pPr>
                          <w:sdt>
                            <w:sdtPr>
                              <w:rPr>
                                <w:color w:val="4472C4" w:themeColor="accent1"/>
                                <w:sz w:val="28"/>
                                <w:szCs w:val="28"/>
                              </w:rPr>
                              <w:alias w:val="Address"/>
                              <w:tag w:val=""/>
                              <w:id w:val="-726379553"/>
                              <w:dataBinding w:prefixMappings="xmlns:ns0='http://schemas.microsoft.com/office/2006/coverPageProps' " w:xpath="/ns0:CoverPageProperties[1]/ns0:CompanyAddress[1]" w:storeItemID="{55AF091B-3C7A-41E3-B477-F2FDAA23CFDA}"/>
                              <w:text/>
                            </w:sdtPr>
                            <w:sdtContent>
                              <w:r w:rsidR="00251084" w:rsidRPr="00251084">
                                <w:rPr>
                                  <w:color w:val="4472C4" w:themeColor="accent1"/>
                                  <w:sz w:val="28"/>
                                  <w:szCs w:val="28"/>
                                </w:rPr>
                                <w:t>Lecturer: Helen Lee</w:t>
                              </w:r>
                            </w:sdtContent>
                          </w:sdt>
                        </w:p>
                      </w:txbxContent>
                    </v:textbox>
                    <w10:wrap anchorx="margin" anchory="page"/>
                  </v:shape>
                </w:pict>
              </mc:Fallback>
            </mc:AlternateContent>
          </w:r>
          <w:r>
            <w:rPr>
              <w:noProof/>
              <w:color w:val="4472C4" w:themeColor="accent1"/>
            </w:rPr>
            <w:drawing>
              <wp:inline distT="0" distB="0" distL="0" distR="0" wp14:anchorId="403BBF87" wp14:editId="4F2F7B8E">
                <wp:extent cx="758952" cy="478932"/>
                <wp:effectExtent l="0" t="0" r="3175" b="0"/>
                <wp:docPr id="144"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7"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32DD96A4" w14:textId="333CAEC5" w:rsidR="00C14D32" w:rsidRDefault="00C14D32">
          <w:pPr>
            <w:rPr>
              <w:rFonts w:ascii="Arial" w:hAnsi="Arial" w:cs="Arial"/>
              <w:sz w:val="24"/>
              <w:szCs w:val="24"/>
              <w:lang w:eastAsia="en-GB"/>
            </w:rPr>
          </w:pPr>
          <w:r>
            <w:rPr>
              <w:rFonts w:ascii="Arial" w:hAnsi="Arial" w:cs="Arial"/>
              <w:sz w:val="24"/>
              <w:szCs w:val="24"/>
              <w:lang w:eastAsia="en-GB"/>
            </w:rPr>
            <w:br w:type="page"/>
          </w:r>
        </w:p>
      </w:sdtContent>
    </w:sdt>
    <w:p w14:paraId="172D8BE4" w14:textId="1E836C47" w:rsidR="007A347C" w:rsidRPr="007A347C" w:rsidRDefault="007A347C" w:rsidP="007A347C">
      <w:pPr>
        <w:spacing w:line="360" w:lineRule="auto"/>
        <w:jc w:val="both"/>
        <w:rPr>
          <w:rFonts w:ascii="Arial" w:hAnsi="Arial" w:cs="Arial"/>
          <w:sz w:val="24"/>
          <w:szCs w:val="24"/>
          <w:lang w:eastAsia="en-GB"/>
        </w:rPr>
      </w:pPr>
      <w:r w:rsidRPr="007A347C">
        <w:rPr>
          <w:rFonts w:ascii="Arial" w:hAnsi="Arial" w:cs="Arial"/>
          <w:sz w:val="24"/>
          <w:szCs w:val="24"/>
          <w:lang w:eastAsia="en-GB"/>
        </w:rPr>
        <w:lastRenderedPageBreak/>
        <w:t>The evolution of Human Resources Management (HRM) has been a journey from its conventional administrative role to a pivotal strategic partner in organi</w:t>
      </w:r>
      <w:r w:rsidR="007D5FA2">
        <w:rPr>
          <w:rFonts w:ascii="Arial" w:hAnsi="Arial" w:cs="Arial"/>
          <w:sz w:val="24"/>
          <w:szCs w:val="24"/>
          <w:lang w:eastAsia="en-GB"/>
        </w:rPr>
        <w:t>s</w:t>
      </w:r>
      <w:r w:rsidRPr="007A347C">
        <w:rPr>
          <w:rFonts w:ascii="Arial" w:hAnsi="Arial" w:cs="Arial"/>
          <w:sz w:val="24"/>
          <w:szCs w:val="24"/>
          <w:lang w:eastAsia="en-GB"/>
        </w:rPr>
        <w:t>ational triumph (Davenport et al., 2017). Historically centred on tasks such as payroll and record-keeping, HRM has evolved to encompass strategic planning, talent management, and organi</w:t>
      </w:r>
      <w:r w:rsidR="007D5FA2">
        <w:rPr>
          <w:rFonts w:ascii="Arial" w:hAnsi="Arial" w:cs="Arial"/>
          <w:sz w:val="24"/>
          <w:szCs w:val="24"/>
          <w:lang w:eastAsia="en-GB"/>
        </w:rPr>
        <w:t>s</w:t>
      </w:r>
      <w:r w:rsidRPr="007A347C">
        <w:rPr>
          <w:rFonts w:ascii="Arial" w:hAnsi="Arial" w:cs="Arial"/>
          <w:sz w:val="24"/>
          <w:szCs w:val="24"/>
          <w:lang w:eastAsia="en-GB"/>
        </w:rPr>
        <w:t>ational development (Brewster et al., 2016). This transformative journey is exemplified by Marriott International, a major player in the global hospitality sector, as it transitioned from a traditional administrative function to a strategic driver of organi</w:t>
      </w:r>
      <w:r w:rsidR="007D5FA2">
        <w:rPr>
          <w:rFonts w:ascii="Arial" w:hAnsi="Arial" w:cs="Arial"/>
          <w:sz w:val="24"/>
          <w:szCs w:val="24"/>
          <w:lang w:eastAsia="en-GB"/>
        </w:rPr>
        <w:t>s</w:t>
      </w:r>
      <w:r w:rsidRPr="007A347C">
        <w:rPr>
          <w:rFonts w:ascii="Arial" w:hAnsi="Arial" w:cs="Arial"/>
          <w:sz w:val="24"/>
          <w:szCs w:val="24"/>
          <w:lang w:eastAsia="en-GB"/>
        </w:rPr>
        <w:t>ational success. Marriott's approach to workforce planning, recruitment, and selection mirrors the broader evolution of HRM practices, aligning with strategic development initiatives (Davenport et al., 2017; Brewster et al., 2016).</w:t>
      </w:r>
    </w:p>
    <w:p w14:paraId="495C6A0B" w14:textId="68C79852" w:rsidR="007A347C" w:rsidRPr="007A347C" w:rsidRDefault="007A347C" w:rsidP="007A347C">
      <w:pPr>
        <w:spacing w:line="360" w:lineRule="auto"/>
        <w:jc w:val="both"/>
        <w:rPr>
          <w:rFonts w:ascii="Arial" w:hAnsi="Arial" w:cs="Arial"/>
          <w:sz w:val="24"/>
          <w:szCs w:val="24"/>
          <w:lang w:eastAsia="en-GB"/>
        </w:rPr>
      </w:pPr>
      <w:r w:rsidRPr="007A347C">
        <w:rPr>
          <w:rFonts w:ascii="Arial" w:hAnsi="Arial" w:cs="Arial"/>
          <w:sz w:val="24"/>
          <w:szCs w:val="24"/>
          <w:lang w:eastAsia="en-GB"/>
        </w:rPr>
        <w:t>The historical phases of HRM reflect the changing landscape and responsibilities of the field. The pre-20th century era portrayed HRM as traditional personnel management, focusing on administrative tasks and labour relations, mirroring Marriott's early HR practices (Dessler, 2020). The early 20th century brought the influence of scientific management principles, emphasizing efficiency and standardization. Marriott, like many other organi</w:t>
      </w:r>
      <w:r w:rsidR="007D5FA2">
        <w:rPr>
          <w:rFonts w:ascii="Arial" w:hAnsi="Arial" w:cs="Arial"/>
          <w:sz w:val="24"/>
          <w:szCs w:val="24"/>
          <w:lang w:eastAsia="en-GB"/>
        </w:rPr>
        <w:t>s</w:t>
      </w:r>
      <w:r w:rsidRPr="007A347C">
        <w:rPr>
          <w:rFonts w:ascii="Arial" w:hAnsi="Arial" w:cs="Arial"/>
          <w:sz w:val="24"/>
          <w:szCs w:val="24"/>
          <w:lang w:eastAsia="en-GB"/>
        </w:rPr>
        <w:t>ations, witnessed the establishment of personnel departments to handle employee relations and compliance (Taylor, 1911).</w:t>
      </w:r>
    </w:p>
    <w:p w14:paraId="795CF505" w14:textId="77777777" w:rsidR="007A347C" w:rsidRPr="007A347C" w:rsidRDefault="007A347C" w:rsidP="007A347C">
      <w:pPr>
        <w:spacing w:line="360" w:lineRule="auto"/>
        <w:jc w:val="both"/>
        <w:rPr>
          <w:rFonts w:ascii="Arial" w:hAnsi="Arial" w:cs="Arial"/>
          <w:sz w:val="24"/>
          <w:szCs w:val="24"/>
          <w:lang w:eastAsia="en-GB"/>
        </w:rPr>
      </w:pPr>
      <w:r w:rsidRPr="007A347C">
        <w:rPr>
          <w:rFonts w:ascii="Arial" w:hAnsi="Arial" w:cs="Arial"/>
          <w:sz w:val="24"/>
          <w:szCs w:val="24"/>
          <w:lang w:eastAsia="en-GB"/>
        </w:rPr>
        <w:t>The Human Relations Movement of the 1920s to 1950s marked a pivotal shift in HRM, highlighting the importance of social and psychological factors in the workplace. This influenced Marriott's emphasis on employee morale, communication, and the human element in the workplace (Roethlisberger &amp; Dickson, 1939; Mayo, 1945). As Marriott grew, the company recognized the significance of the human element, influenced by the Human Relations Movement, emphasizing the importance of employee morale and motivation. Marriott started to prioritize communication, job satisfaction, and creating a positive work environment.</w:t>
      </w:r>
    </w:p>
    <w:p w14:paraId="539D86AC" w14:textId="36FC9170" w:rsidR="00461434" w:rsidRPr="00781C5A" w:rsidRDefault="007A347C" w:rsidP="00461434">
      <w:pPr>
        <w:spacing w:line="360" w:lineRule="auto"/>
        <w:jc w:val="both"/>
        <w:rPr>
          <w:rFonts w:ascii="Arial" w:hAnsi="Arial" w:cs="Arial"/>
          <w:sz w:val="24"/>
          <w:szCs w:val="24"/>
        </w:rPr>
      </w:pPr>
      <w:r w:rsidRPr="007A347C">
        <w:rPr>
          <w:rFonts w:ascii="Arial" w:hAnsi="Arial" w:cs="Arial"/>
          <w:sz w:val="24"/>
          <w:szCs w:val="24"/>
          <w:lang w:eastAsia="en-GB"/>
        </w:rPr>
        <w:t xml:space="preserve">The emergence of HRM in the 1950s to 1970s marked a fundamental shift, signified by the term "Human Resource Management." This shift indicated a move from personnel management to managing people as strategic assets (Beer et al., 1984). </w:t>
      </w:r>
      <w:r w:rsidR="00461434" w:rsidRPr="00781C5A">
        <w:rPr>
          <w:rFonts w:ascii="Arial" w:hAnsi="Arial" w:cs="Arial"/>
          <w:sz w:val="24"/>
          <w:szCs w:val="24"/>
        </w:rPr>
        <w:t xml:space="preserve">Introduction of functions like recruitment, training, and performance management. HRM became more involved in strategic decision-making processes. In response to the dynamic business environment, Marriott shifted towards Strategic Human Resource Management (SHRM) in the late 20th century. This evolution involved </w:t>
      </w:r>
      <w:r w:rsidR="00461434" w:rsidRPr="00781C5A">
        <w:rPr>
          <w:rFonts w:ascii="Arial" w:hAnsi="Arial" w:cs="Arial"/>
          <w:sz w:val="24"/>
          <w:szCs w:val="24"/>
        </w:rPr>
        <w:lastRenderedPageBreak/>
        <w:t>aligning HR practices with broader organi</w:t>
      </w:r>
      <w:r w:rsidR="007D5FA2">
        <w:rPr>
          <w:rFonts w:ascii="Arial" w:hAnsi="Arial" w:cs="Arial"/>
          <w:sz w:val="24"/>
          <w:szCs w:val="24"/>
        </w:rPr>
        <w:t>s</w:t>
      </w:r>
      <w:r w:rsidR="00461434" w:rsidRPr="00781C5A">
        <w:rPr>
          <w:rFonts w:ascii="Arial" w:hAnsi="Arial" w:cs="Arial"/>
          <w:sz w:val="24"/>
          <w:szCs w:val="24"/>
        </w:rPr>
        <w:t>ational goals, marking a departure from the traditional administrative role (Dessler, 2020).</w:t>
      </w:r>
    </w:p>
    <w:p w14:paraId="2DD740AC" w14:textId="2E4014B9" w:rsidR="007A347C" w:rsidRPr="007A347C" w:rsidRDefault="007A347C" w:rsidP="007A347C">
      <w:pPr>
        <w:spacing w:line="360" w:lineRule="auto"/>
        <w:jc w:val="both"/>
        <w:rPr>
          <w:rFonts w:ascii="Arial" w:hAnsi="Arial" w:cs="Arial"/>
          <w:sz w:val="24"/>
          <w:szCs w:val="24"/>
          <w:lang w:eastAsia="en-GB"/>
        </w:rPr>
      </w:pPr>
      <w:r w:rsidRPr="007A347C">
        <w:rPr>
          <w:rFonts w:ascii="Arial" w:hAnsi="Arial" w:cs="Arial"/>
          <w:sz w:val="24"/>
          <w:szCs w:val="24"/>
          <w:lang w:eastAsia="en-GB"/>
        </w:rPr>
        <w:t>The 1980s to 2000s witnessed HRM evolving into a strategic function, aligning with organi</w:t>
      </w:r>
      <w:r w:rsidR="007D5FA2">
        <w:rPr>
          <w:rFonts w:ascii="Arial" w:hAnsi="Arial" w:cs="Arial"/>
          <w:sz w:val="24"/>
          <w:szCs w:val="24"/>
          <w:lang w:eastAsia="en-GB"/>
        </w:rPr>
        <w:t>s</w:t>
      </w:r>
      <w:r w:rsidRPr="007A347C">
        <w:rPr>
          <w:rFonts w:ascii="Arial" w:hAnsi="Arial" w:cs="Arial"/>
          <w:sz w:val="24"/>
          <w:szCs w:val="24"/>
          <w:lang w:eastAsia="en-GB"/>
        </w:rPr>
        <w:t>ational goals (Wright &amp; McMahan, 1992). This phase emphasized strategic planning, talent management, and HR's role in business strategy. Marriott exemplifies this phase by actively participating in defining strategic objectives and identifying the skills and competencies necessary to achieve them (Ulrich, 1997). This integration ensures that HR initiatives are directly aligned with the overarching business strategy.</w:t>
      </w:r>
    </w:p>
    <w:p w14:paraId="35D8C20E" w14:textId="4F1CE8B7" w:rsidR="007A347C" w:rsidRPr="007A347C" w:rsidRDefault="007A347C" w:rsidP="007A347C">
      <w:pPr>
        <w:spacing w:line="360" w:lineRule="auto"/>
        <w:jc w:val="both"/>
        <w:rPr>
          <w:rFonts w:ascii="Arial" w:hAnsi="Arial" w:cs="Arial"/>
          <w:sz w:val="24"/>
          <w:szCs w:val="24"/>
          <w:lang w:eastAsia="en-GB"/>
        </w:rPr>
      </w:pPr>
      <w:r w:rsidRPr="007A347C">
        <w:rPr>
          <w:rFonts w:ascii="Arial" w:hAnsi="Arial" w:cs="Arial"/>
          <w:sz w:val="24"/>
          <w:szCs w:val="24"/>
          <w:lang w:eastAsia="en-GB"/>
        </w:rPr>
        <w:t>The 2000s to the present reflect HRM's integration of technology and globali</w:t>
      </w:r>
      <w:r w:rsidR="007D5FA2">
        <w:rPr>
          <w:rFonts w:ascii="Arial" w:hAnsi="Arial" w:cs="Arial"/>
          <w:sz w:val="24"/>
          <w:szCs w:val="24"/>
          <w:lang w:eastAsia="en-GB"/>
        </w:rPr>
        <w:t>s</w:t>
      </w:r>
      <w:r w:rsidRPr="007A347C">
        <w:rPr>
          <w:rFonts w:ascii="Arial" w:hAnsi="Arial" w:cs="Arial"/>
          <w:sz w:val="24"/>
          <w:szCs w:val="24"/>
          <w:lang w:eastAsia="en-GB"/>
        </w:rPr>
        <w:t>ation, transforming processes and expanding the scope of HRM (Davenport et al., 2017). Marriott, in line with this trend, utilizes digital tools for recruitment, training, and employee engagement (Sparrow &amp; Brewster, 2016). Globali</w:t>
      </w:r>
      <w:r w:rsidR="007D5FA2">
        <w:rPr>
          <w:rFonts w:ascii="Arial" w:hAnsi="Arial" w:cs="Arial"/>
          <w:sz w:val="24"/>
          <w:szCs w:val="24"/>
          <w:lang w:eastAsia="en-GB"/>
        </w:rPr>
        <w:t>s</w:t>
      </w:r>
      <w:r w:rsidRPr="007A347C">
        <w:rPr>
          <w:rFonts w:ascii="Arial" w:hAnsi="Arial" w:cs="Arial"/>
          <w:sz w:val="24"/>
          <w:szCs w:val="24"/>
          <w:lang w:eastAsia="en-GB"/>
        </w:rPr>
        <w:t>ation has necessitated expertise in managing diverse and international workforces, a challenge that Marriott has embraced. Data analytics and HR metrics have become crucial for decision-making (Ulrich, 1997).</w:t>
      </w:r>
    </w:p>
    <w:p w14:paraId="57995612" w14:textId="7F83382F" w:rsidR="007A347C" w:rsidRPr="007A347C" w:rsidRDefault="007A347C" w:rsidP="007A347C">
      <w:pPr>
        <w:spacing w:line="360" w:lineRule="auto"/>
        <w:jc w:val="both"/>
        <w:rPr>
          <w:rFonts w:ascii="Arial" w:hAnsi="Arial" w:cs="Arial"/>
          <w:sz w:val="24"/>
          <w:szCs w:val="24"/>
          <w:lang w:eastAsia="en-GB"/>
        </w:rPr>
      </w:pPr>
      <w:r w:rsidRPr="007A347C">
        <w:rPr>
          <w:rFonts w:ascii="Arial" w:hAnsi="Arial" w:cs="Arial"/>
          <w:sz w:val="24"/>
          <w:szCs w:val="24"/>
          <w:lang w:eastAsia="en-GB"/>
        </w:rPr>
        <w:t>Key factors shaping HRM evolution include technology, globali</w:t>
      </w:r>
      <w:r w:rsidR="007D5FA2">
        <w:rPr>
          <w:rFonts w:ascii="Arial" w:hAnsi="Arial" w:cs="Arial"/>
          <w:sz w:val="24"/>
          <w:szCs w:val="24"/>
          <w:lang w:eastAsia="en-GB"/>
        </w:rPr>
        <w:t>s</w:t>
      </w:r>
      <w:r w:rsidRPr="007A347C">
        <w:rPr>
          <w:rFonts w:ascii="Arial" w:hAnsi="Arial" w:cs="Arial"/>
          <w:sz w:val="24"/>
          <w:szCs w:val="24"/>
          <w:lang w:eastAsia="en-GB"/>
        </w:rPr>
        <w:t xml:space="preserve">ation, </w:t>
      </w:r>
      <w:proofErr w:type="gramStart"/>
      <w:r w:rsidRPr="007A347C">
        <w:rPr>
          <w:rFonts w:ascii="Arial" w:hAnsi="Arial" w:cs="Arial"/>
          <w:sz w:val="24"/>
          <w:szCs w:val="24"/>
          <w:lang w:eastAsia="en-GB"/>
        </w:rPr>
        <w:t>legislation</w:t>
      </w:r>
      <w:proofErr w:type="gramEnd"/>
      <w:r w:rsidRPr="007A347C">
        <w:rPr>
          <w:rFonts w:ascii="Arial" w:hAnsi="Arial" w:cs="Arial"/>
          <w:sz w:val="24"/>
          <w:szCs w:val="24"/>
          <w:lang w:eastAsia="en-GB"/>
        </w:rPr>
        <w:t xml:space="preserve"> and compliance, changing workforce expectations, and strategic business partnerships (Davenport et al., 2017; Sparrow &amp; Brewster, 2016). Marriott's commitment to employee development is evident in its global learning and development programs, strategically aligned with the company's goals and industry trends (Noe, 2019). The integration of HR technologies, including HRIS, AI, and data analytics, has streamlined processes, allowing HR to focus on strategic initiatives (Davenport et al., 2017).</w:t>
      </w:r>
    </w:p>
    <w:p w14:paraId="3087D937" w14:textId="08DFE27A" w:rsidR="007A347C" w:rsidRPr="007A347C" w:rsidRDefault="007A347C" w:rsidP="007A347C">
      <w:pPr>
        <w:spacing w:line="360" w:lineRule="auto"/>
        <w:jc w:val="both"/>
        <w:rPr>
          <w:rFonts w:ascii="Arial" w:hAnsi="Arial" w:cs="Arial"/>
          <w:sz w:val="24"/>
          <w:szCs w:val="24"/>
          <w:lang w:eastAsia="en-GB"/>
        </w:rPr>
      </w:pPr>
      <w:r w:rsidRPr="007A347C">
        <w:rPr>
          <w:rFonts w:ascii="Arial" w:hAnsi="Arial" w:cs="Arial"/>
          <w:sz w:val="24"/>
          <w:szCs w:val="24"/>
          <w:lang w:eastAsia="en-GB"/>
        </w:rPr>
        <w:t>Recent events, such as the COVID-19 pandemic, have accelerated trends such as remote work, digital transformation, and a focus on employee well-being (PwC, 2020). Marriott, adapting to these changes, emphasizes continuous learning and upskilling to adapt to rapidly changing industries (Noe, 2019). The strategic role of HR functions has become increasingly pivotal, contributing to organi</w:t>
      </w:r>
      <w:r w:rsidR="007D5FA2">
        <w:rPr>
          <w:rFonts w:ascii="Arial" w:hAnsi="Arial" w:cs="Arial"/>
          <w:sz w:val="24"/>
          <w:szCs w:val="24"/>
          <w:lang w:eastAsia="en-GB"/>
        </w:rPr>
        <w:t>s</w:t>
      </w:r>
      <w:r w:rsidRPr="007A347C">
        <w:rPr>
          <w:rFonts w:ascii="Arial" w:hAnsi="Arial" w:cs="Arial"/>
          <w:sz w:val="24"/>
          <w:szCs w:val="24"/>
          <w:lang w:eastAsia="en-GB"/>
        </w:rPr>
        <w:t>ational success through effective talent management (Ulrich, 1997).</w:t>
      </w:r>
    </w:p>
    <w:p w14:paraId="66A4E34D" w14:textId="2AAC4560" w:rsidR="007A347C" w:rsidRPr="007A347C" w:rsidRDefault="007A347C" w:rsidP="007A347C">
      <w:pPr>
        <w:spacing w:line="360" w:lineRule="auto"/>
        <w:jc w:val="both"/>
        <w:rPr>
          <w:rFonts w:ascii="Arial" w:hAnsi="Arial" w:cs="Arial"/>
          <w:sz w:val="24"/>
          <w:szCs w:val="24"/>
          <w:lang w:eastAsia="en-GB"/>
        </w:rPr>
      </w:pPr>
      <w:r w:rsidRPr="007A347C">
        <w:rPr>
          <w:rFonts w:ascii="Arial" w:hAnsi="Arial" w:cs="Arial"/>
          <w:sz w:val="24"/>
          <w:szCs w:val="24"/>
          <w:lang w:eastAsia="en-GB"/>
        </w:rPr>
        <w:t xml:space="preserve">Marriott's strategic HR functions go beyond traditional roles. Strategic workforce planning involves forecasting </w:t>
      </w:r>
      <w:r w:rsidR="00461434" w:rsidRPr="007A347C">
        <w:rPr>
          <w:rFonts w:ascii="Arial" w:hAnsi="Arial" w:cs="Arial"/>
          <w:sz w:val="24"/>
          <w:szCs w:val="24"/>
          <w:lang w:eastAsia="en-GB"/>
        </w:rPr>
        <w:t>labour</w:t>
      </w:r>
      <w:r w:rsidRPr="007A347C">
        <w:rPr>
          <w:rFonts w:ascii="Arial" w:hAnsi="Arial" w:cs="Arial"/>
          <w:sz w:val="24"/>
          <w:szCs w:val="24"/>
          <w:lang w:eastAsia="en-GB"/>
        </w:rPr>
        <w:t xml:space="preserve"> demand and supply, allowing Marriott to align its workforce with business goals (Boudreau &amp; Ramstad, 2019). Collaboration between HR and other departments at Marriott extends to goal setting and strategic planning. </w:t>
      </w:r>
      <w:r w:rsidRPr="007A347C">
        <w:rPr>
          <w:rFonts w:ascii="Arial" w:hAnsi="Arial" w:cs="Arial"/>
          <w:sz w:val="24"/>
          <w:szCs w:val="24"/>
          <w:lang w:eastAsia="en-GB"/>
        </w:rPr>
        <w:lastRenderedPageBreak/>
        <w:t>HR professionals actively participate in defining strategic objectives and identifying the skills and competencies necessary to achieve them (Ulrich, 1997).</w:t>
      </w:r>
    </w:p>
    <w:p w14:paraId="71E8055E" w14:textId="77777777" w:rsidR="00961789" w:rsidRPr="00961789" w:rsidRDefault="00961789" w:rsidP="00961789">
      <w:pPr>
        <w:spacing w:line="360" w:lineRule="auto"/>
        <w:jc w:val="both"/>
        <w:rPr>
          <w:rFonts w:ascii="Arial" w:hAnsi="Arial" w:cs="Arial"/>
          <w:sz w:val="24"/>
          <w:szCs w:val="24"/>
        </w:rPr>
      </w:pPr>
      <w:r w:rsidRPr="00961789">
        <w:rPr>
          <w:rFonts w:ascii="Arial" w:hAnsi="Arial" w:cs="Arial"/>
          <w:sz w:val="24"/>
          <w:szCs w:val="24"/>
        </w:rPr>
        <w:t>The execution and assessment of programs at Marriott serve as a tangible manifestation of the company's unwavering dedication to employee development. The meticulously designed global learning and development initiatives are strategically harmonized with both the overarching goals of the company and the prevailing trends within the industry (Noe, 2019). HR, as the steward of these initiatives, assumes the responsibility of overseeing their implementation and conducting comprehensive evaluations to gauge their effectiveness. This meticulous process ensures that employees not only acquire the requisite skills but also cultivate the adaptability necessary to navigate evolving challenges, ultimately fostering their active contribution to the continued success of Marriott.</w:t>
      </w:r>
    </w:p>
    <w:p w14:paraId="45E8FFA4" w14:textId="6D59CFE7" w:rsidR="007A347C" w:rsidRPr="007A347C" w:rsidRDefault="007A347C" w:rsidP="007A347C">
      <w:pPr>
        <w:spacing w:line="360" w:lineRule="auto"/>
        <w:jc w:val="both"/>
        <w:rPr>
          <w:rFonts w:ascii="Arial" w:hAnsi="Arial" w:cs="Arial"/>
          <w:sz w:val="24"/>
          <w:szCs w:val="24"/>
          <w:lang w:eastAsia="en-GB"/>
        </w:rPr>
      </w:pPr>
      <w:r w:rsidRPr="007A347C">
        <w:rPr>
          <w:rFonts w:ascii="Arial" w:hAnsi="Arial" w:cs="Arial"/>
          <w:sz w:val="24"/>
          <w:szCs w:val="24"/>
          <w:lang w:eastAsia="en-GB"/>
        </w:rPr>
        <w:t>Recruitment and selection are critical elements of HR's strategic role. HR professionals are responsible for attracting and selecting the right talent that aligns with the organi</w:t>
      </w:r>
      <w:r w:rsidR="007D5FA2">
        <w:rPr>
          <w:rFonts w:ascii="Arial" w:hAnsi="Arial" w:cs="Arial"/>
          <w:sz w:val="24"/>
          <w:szCs w:val="24"/>
          <w:lang w:eastAsia="en-GB"/>
        </w:rPr>
        <w:t>s</w:t>
      </w:r>
      <w:r w:rsidRPr="007A347C">
        <w:rPr>
          <w:rFonts w:ascii="Arial" w:hAnsi="Arial" w:cs="Arial"/>
          <w:sz w:val="24"/>
          <w:szCs w:val="24"/>
          <w:lang w:eastAsia="en-GB"/>
        </w:rPr>
        <w:t>ation's objectives (Lievens &amp; Chapman, 2021). Marriott's strategic focus on global talent acquisition, cultural fit, and competency-based selection aligns with broader trends in HR practices.</w:t>
      </w:r>
    </w:p>
    <w:p w14:paraId="16A421F4" w14:textId="7605E2CC" w:rsidR="007A347C" w:rsidRPr="007A347C" w:rsidRDefault="007A347C" w:rsidP="007A347C">
      <w:pPr>
        <w:spacing w:line="360" w:lineRule="auto"/>
        <w:jc w:val="both"/>
        <w:rPr>
          <w:rFonts w:ascii="Arial" w:hAnsi="Arial" w:cs="Arial"/>
          <w:sz w:val="24"/>
          <w:szCs w:val="24"/>
          <w:lang w:eastAsia="en-GB"/>
        </w:rPr>
      </w:pPr>
      <w:r w:rsidRPr="007A347C">
        <w:rPr>
          <w:rFonts w:ascii="Arial" w:hAnsi="Arial" w:cs="Arial"/>
          <w:sz w:val="24"/>
          <w:szCs w:val="24"/>
          <w:lang w:eastAsia="en-GB"/>
        </w:rPr>
        <w:t>Marriott International exemplifies strategic HR practices. The company engages in global workforce planning by implementing succession planning to ensure a continuous supply of skilled leaders globally (Rothwell &amp; Kazanas, 2019). Marriott also places a strong emphasis on diversity and inclusion in its recruitment practices (Cox &amp; Blake, 2019). This strategic focus ensures that the company's workforce reflects the diversity of its customer base, contributing to a more inclusive and innovative organi</w:t>
      </w:r>
      <w:r w:rsidR="007D5FA2">
        <w:rPr>
          <w:rFonts w:ascii="Arial" w:hAnsi="Arial" w:cs="Arial"/>
          <w:sz w:val="24"/>
          <w:szCs w:val="24"/>
          <w:lang w:eastAsia="en-GB"/>
        </w:rPr>
        <w:t>s</w:t>
      </w:r>
      <w:r w:rsidRPr="007A347C">
        <w:rPr>
          <w:rFonts w:ascii="Arial" w:hAnsi="Arial" w:cs="Arial"/>
          <w:sz w:val="24"/>
          <w:szCs w:val="24"/>
          <w:lang w:eastAsia="en-GB"/>
        </w:rPr>
        <w:t>ational culture (Konrad et al., 2020).</w:t>
      </w:r>
    </w:p>
    <w:p w14:paraId="31B74C48" w14:textId="22B61739" w:rsidR="007A347C" w:rsidRPr="007A347C" w:rsidRDefault="007A347C" w:rsidP="007A347C">
      <w:pPr>
        <w:spacing w:line="360" w:lineRule="auto"/>
        <w:jc w:val="both"/>
        <w:rPr>
          <w:rFonts w:ascii="Arial" w:hAnsi="Arial" w:cs="Arial"/>
          <w:sz w:val="24"/>
          <w:szCs w:val="24"/>
          <w:lang w:eastAsia="en-GB"/>
        </w:rPr>
      </w:pPr>
      <w:r w:rsidRPr="007A347C">
        <w:rPr>
          <w:rFonts w:ascii="Arial" w:hAnsi="Arial" w:cs="Arial"/>
          <w:sz w:val="24"/>
          <w:szCs w:val="24"/>
          <w:lang w:eastAsia="en-GB"/>
        </w:rPr>
        <w:t>The impacts of strategic HR functions on business growth are profound. A well-planned workforce, aligned with organi</w:t>
      </w:r>
      <w:r w:rsidR="007D5FA2">
        <w:rPr>
          <w:rFonts w:ascii="Arial" w:hAnsi="Arial" w:cs="Arial"/>
          <w:sz w:val="24"/>
          <w:szCs w:val="24"/>
          <w:lang w:eastAsia="en-GB"/>
        </w:rPr>
        <w:t>s</w:t>
      </w:r>
      <w:r w:rsidRPr="007A347C">
        <w:rPr>
          <w:rFonts w:ascii="Arial" w:hAnsi="Arial" w:cs="Arial"/>
          <w:sz w:val="24"/>
          <w:szCs w:val="24"/>
          <w:lang w:eastAsia="en-GB"/>
        </w:rPr>
        <w:t>ational goals, provides a competitive advantage (Barney, 2020). Marriott's emphasis on strategic HR practices contributes to high employee satisfaction, enhancing customer satisfaction and strengthening the brand's reputation, driving business growth.</w:t>
      </w:r>
    </w:p>
    <w:p w14:paraId="5FF63A4D" w14:textId="1208AB20" w:rsidR="007A347C" w:rsidRPr="007A347C" w:rsidRDefault="007A347C" w:rsidP="007A347C">
      <w:pPr>
        <w:spacing w:line="360" w:lineRule="auto"/>
        <w:jc w:val="both"/>
        <w:rPr>
          <w:rFonts w:ascii="Arial" w:hAnsi="Arial" w:cs="Arial"/>
          <w:sz w:val="24"/>
          <w:szCs w:val="24"/>
          <w:lang w:eastAsia="en-GB"/>
        </w:rPr>
      </w:pPr>
      <w:r w:rsidRPr="007A347C">
        <w:rPr>
          <w:rFonts w:ascii="Arial" w:hAnsi="Arial" w:cs="Arial"/>
          <w:sz w:val="24"/>
          <w:szCs w:val="24"/>
          <w:lang w:eastAsia="en-GB"/>
        </w:rPr>
        <w:t xml:space="preserve">The strategic role of HR functions, as exemplified by Marriott International, involves proactive workforce planning, program implementation, and strategic recruitment practices. These functions contribute significantly to the overall success and growth of </w:t>
      </w:r>
      <w:r w:rsidRPr="007A347C">
        <w:rPr>
          <w:rFonts w:ascii="Arial" w:hAnsi="Arial" w:cs="Arial"/>
          <w:sz w:val="24"/>
          <w:szCs w:val="24"/>
          <w:lang w:eastAsia="en-GB"/>
        </w:rPr>
        <w:lastRenderedPageBreak/>
        <w:t>the organi</w:t>
      </w:r>
      <w:r w:rsidR="007D5FA2">
        <w:rPr>
          <w:rFonts w:ascii="Arial" w:hAnsi="Arial" w:cs="Arial"/>
          <w:sz w:val="24"/>
          <w:szCs w:val="24"/>
          <w:lang w:eastAsia="en-GB"/>
        </w:rPr>
        <w:t>s</w:t>
      </w:r>
      <w:r w:rsidRPr="007A347C">
        <w:rPr>
          <w:rFonts w:ascii="Arial" w:hAnsi="Arial" w:cs="Arial"/>
          <w:sz w:val="24"/>
          <w:szCs w:val="24"/>
          <w:lang w:eastAsia="en-GB"/>
        </w:rPr>
        <w:t>ation by ensuring that the right talent is in place to meet current and future business needs (Wright &amp; McMahan, 2020).</w:t>
      </w:r>
    </w:p>
    <w:p w14:paraId="04277524" w14:textId="77777777" w:rsidR="007A347C" w:rsidRPr="007A347C" w:rsidRDefault="007A347C" w:rsidP="007A347C">
      <w:pPr>
        <w:spacing w:line="360" w:lineRule="auto"/>
        <w:jc w:val="both"/>
        <w:rPr>
          <w:rFonts w:ascii="Arial" w:hAnsi="Arial" w:cs="Arial"/>
          <w:sz w:val="24"/>
          <w:szCs w:val="24"/>
          <w:lang w:eastAsia="en-GB"/>
        </w:rPr>
      </w:pPr>
      <w:r w:rsidRPr="007A347C">
        <w:rPr>
          <w:rFonts w:ascii="Arial" w:hAnsi="Arial" w:cs="Arial"/>
          <w:sz w:val="24"/>
          <w:szCs w:val="24"/>
          <w:lang w:eastAsia="en-GB"/>
        </w:rPr>
        <w:t>In the context of Marriott International, a global hospitality giant, the evolution of HRM has been pivotal in driving the company's strategic development. Marriott, like many other international brands, has recognized the importance of aligning HR functions with business objectives to stay competitive and foster growth in the dynamic hotel industry (Dessler, 2020).</w:t>
      </w:r>
    </w:p>
    <w:p w14:paraId="54E7511B" w14:textId="77777777" w:rsidR="00461434" w:rsidRPr="00461434" w:rsidRDefault="00461434" w:rsidP="00461434">
      <w:pPr>
        <w:spacing w:line="360" w:lineRule="auto"/>
        <w:jc w:val="both"/>
        <w:rPr>
          <w:rFonts w:ascii="Arial" w:hAnsi="Arial" w:cs="Arial"/>
          <w:sz w:val="24"/>
          <w:szCs w:val="24"/>
        </w:rPr>
      </w:pPr>
      <w:r w:rsidRPr="00461434">
        <w:rPr>
          <w:rFonts w:ascii="Arial" w:hAnsi="Arial" w:cs="Arial"/>
          <w:sz w:val="24"/>
          <w:szCs w:val="24"/>
        </w:rPr>
        <w:t xml:space="preserve">The multifaceted strategic role undertaken by HR functions at Marriott International spans across diverse dimensions, encapsulating Strategic Workforce Planning, Goal </w:t>
      </w:r>
      <w:proofErr w:type="gramStart"/>
      <w:r w:rsidRPr="00461434">
        <w:rPr>
          <w:rFonts w:ascii="Arial" w:hAnsi="Arial" w:cs="Arial"/>
          <w:sz w:val="24"/>
          <w:szCs w:val="24"/>
        </w:rPr>
        <w:t>Setting</w:t>
      </w:r>
      <w:proofErr w:type="gramEnd"/>
      <w:r w:rsidRPr="00461434">
        <w:rPr>
          <w:rFonts w:ascii="Arial" w:hAnsi="Arial" w:cs="Arial"/>
          <w:sz w:val="24"/>
          <w:szCs w:val="24"/>
        </w:rPr>
        <w:t xml:space="preserve"> and Strategic Planning, Program Implementation and Evaluation, as well as the intricacies of Recruitment Stages and the Selection Process (Boudreau &amp; Ramstad, 2019; Schuler &amp; Jackson, 1987; Noe, 2019; Lievens &amp; Chapman, 2021).</w:t>
      </w:r>
    </w:p>
    <w:p w14:paraId="5080E42B" w14:textId="2F0E1C0F" w:rsidR="007A347C" w:rsidRPr="007A347C" w:rsidRDefault="007A347C" w:rsidP="007A347C">
      <w:pPr>
        <w:spacing w:line="360" w:lineRule="auto"/>
        <w:jc w:val="both"/>
        <w:rPr>
          <w:rFonts w:ascii="Arial" w:hAnsi="Arial" w:cs="Arial"/>
          <w:sz w:val="24"/>
          <w:szCs w:val="24"/>
          <w:lang w:eastAsia="en-GB"/>
        </w:rPr>
      </w:pPr>
      <w:r w:rsidRPr="007A347C">
        <w:rPr>
          <w:rFonts w:ascii="Arial" w:hAnsi="Arial" w:cs="Arial"/>
          <w:sz w:val="24"/>
          <w:szCs w:val="24"/>
          <w:lang w:eastAsia="en-GB"/>
        </w:rPr>
        <w:t xml:space="preserve">Strategic Workforce Planning at Marriott involves forecasting both current and future </w:t>
      </w:r>
      <w:r w:rsidR="00461434" w:rsidRPr="007A347C">
        <w:rPr>
          <w:rFonts w:ascii="Arial" w:hAnsi="Arial" w:cs="Arial"/>
          <w:sz w:val="24"/>
          <w:szCs w:val="24"/>
          <w:lang w:eastAsia="en-GB"/>
        </w:rPr>
        <w:t>labour</w:t>
      </w:r>
      <w:r w:rsidRPr="007A347C">
        <w:rPr>
          <w:rFonts w:ascii="Arial" w:hAnsi="Arial" w:cs="Arial"/>
          <w:sz w:val="24"/>
          <w:szCs w:val="24"/>
          <w:lang w:eastAsia="en-GB"/>
        </w:rPr>
        <w:t xml:space="preserve"> needs, </w:t>
      </w:r>
      <w:r w:rsidR="00461434" w:rsidRPr="007A347C">
        <w:rPr>
          <w:rFonts w:ascii="Arial" w:hAnsi="Arial" w:cs="Arial"/>
          <w:sz w:val="24"/>
          <w:szCs w:val="24"/>
          <w:lang w:eastAsia="en-GB"/>
        </w:rPr>
        <w:t>analysing</w:t>
      </w:r>
      <w:r w:rsidRPr="007A347C">
        <w:rPr>
          <w:rFonts w:ascii="Arial" w:hAnsi="Arial" w:cs="Arial"/>
          <w:sz w:val="24"/>
          <w:szCs w:val="24"/>
          <w:lang w:eastAsia="en-GB"/>
        </w:rPr>
        <w:t xml:space="preserve"> trends, considering expansion plans, and understanding market demands for different skills (Boudreau &amp; Ramstad, 2019). HR collaborates with other departments to set strategic goals that align with Marriott's business objectives. This includes identifying the skills required to achieve these goals and planning for talent acquisition accordingly (Schuler &amp; Jackson, 1987).</w:t>
      </w:r>
    </w:p>
    <w:p w14:paraId="7BBE36D6" w14:textId="25885238" w:rsidR="007A347C" w:rsidRPr="007A347C" w:rsidRDefault="007A347C" w:rsidP="007A347C">
      <w:pPr>
        <w:spacing w:line="360" w:lineRule="auto"/>
        <w:jc w:val="both"/>
        <w:rPr>
          <w:rFonts w:ascii="Arial" w:hAnsi="Arial" w:cs="Arial"/>
          <w:sz w:val="24"/>
          <w:szCs w:val="24"/>
          <w:lang w:eastAsia="en-GB"/>
        </w:rPr>
      </w:pPr>
      <w:r w:rsidRPr="007A347C">
        <w:rPr>
          <w:rFonts w:ascii="Arial" w:hAnsi="Arial" w:cs="Arial"/>
          <w:sz w:val="24"/>
          <w:szCs w:val="24"/>
          <w:lang w:eastAsia="en-GB"/>
        </w:rPr>
        <w:t>Program Implementation and Evaluation at Marriott include global learning and development initiatives aligned with the company's goals (Noe, 2019). By investing in employee development programs, HR ensures that the workforce is equipped with the skills necessary to drive the organi</w:t>
      </w:r>
      <w:r w:rsidR="007D5FA2">
        <w:rPr>
          <w:rFonts w:ascii="Arial" w:hAnsi="Arial" w:cs="Arial"/>
          <w:sz w:val="24"/>
          <w:szCs w:val="24"/>
          <w:lang w:eastAsia="en-GB"/>
        </w:rPr>
        <w:t>s</w:t>
      </w:r>
      <w:r w:rsidRPr="007A347C">
        <w:rPr>
          <w:rFonts w:ascii="Arial" w:hAnsi="Arial" w:cs="Arial"/>
          <w:sz w:val="24"/>
          <w:szCs w:val="24"/>
          <w:lang w:eastAsia="en-GB"/>
        </w:rPr>
        <w:t>ation forward (Goldstein &amp; Ford, 2020). Effective training programs have a profound impact on employee performance and organi</w:t>
      </w:r>
      <w:r w:rsidR="007D5FA2">
        <w:rPr>
          <w:rFonts w:ascii="Arial" w:hAnsi="Arial" w:cs="Arial"/>
          <w:sz w:val="24"/>
          <w:szCs w:val="24"/>
          <w:lang w:eastAsia="en-GB"/>
        </w:rPr>
        <w:t>s</w:t>
      </w:r>
      <w:r w:rsidRPr="007A347C">
        <w:rPr>
          <w:rFonts w:ascii="Arial" w:hAnsi="Arial" w:cs="Arial"/>
          <w:sz w:val="24"/>
          <w:szCs w:val="24"/>
          <w:lang w:eastAsia="en-GB"/>
        </w:rPr>
        <w:t>ational success (Noe, 2019).</w:t>
      </w:r>
    </w:p>
    <w:p w14:paraId="4B4A9B30" w14:textId="77777777" w:rsidR="007A347C" w:rsidRPr="007A347C" w:rsidRDefault="007A347C" w:rsidP="007A347C">
      <w:pPr>
        <w:spacing w:line="360" w:lineRule="auto"/>
        <w:jc w:val="both"/>
        <w:rPr>
          <w:rFonts w:ascii="Arial" w:hAnsi="Arial" w:cs="Arial"/>
          <w:sz w:val="24"/>
          <w:szCs w:val="24"/>
          <w:lang w:eastAsia="en-GB"/>
        </w:rPr>
      </w:pPr>
      <w:r w:rsidRPr="007A347C">
        <w:rPr>
          <w:rFonts w:ascii="Arial" w:hAnsi="Arial" w:cs="Arial"/>
          <w:sz w:val="24"/>
          <w:szCs w:val="24"/>
          <w:lang w:eastAsia="en-GB"/>
        </w:rPr>
        <w:t>Recruitment and Selection at Marriott are strategic functions emphasizing global talent acquisition and cultural fit. The selection process emphasizes cultural fit and competency-based interviews, ensuring that candidates not only possess the required technical skills but also align with Marriott's values and service standards (Lievens &amp; Chapman, 2021).</w:t>
      </w:r>
    </w:p>
    <w:p w14:paraId="08306C90" w14:textId="77777777" w:rsidR="007A347C" w:rsidRPr="007A347C" w:rsidRDefault="007A347C" w:rsidP="007A347C">
      <w:pPr>
        <w:spacing w:line="360" w:lineRule="auto"/>
        <w:jc w:val="both"/>
        <w:rPr>
          <w:rFonts w:ascii="Arial" w:hAnsi="Arial" w:cs="Arial"/>
          <w:sz w:val="24"/>
          <w:szCs w:val="24"/>
          <w:lang w:eastAsia="en-GB"/>
        </w:rPr>
      </w:pPr>
      <w:r w:rsidRPr="007A347C">
        <w:rPr>
          <w:rFonts w:ascii="Arial" w:hAnsi="Arial" w:cs="Arial"/>
          <w:sz w:val="24"/>
          <w:szCs w:val="24"/>
          <w:lang w:eastAsia="en-GB"/>
        </w:rPr>
        <w:t xml:space="preserve">Marriott International exemplifies strategic HRM through its practices: Global Workforce Planning - Succession Planning: Marriott identifies high-potential </w:t>
      </w:r>
      <w:r w:rsidRPr="007A347C">
        <w:rPr>
          <w:rFonts w:ascii="Arial" w:hAnsi="Arial" w:cs="Arial"/>
          <w:sz w:val="24"/>
          <w:szCs w:val="24"/>
          <w:lang w:eastAsia="en-GB"/>
        </w:rPr>
        <w:lastRenderedPageBreak/>
        <w:t>employees and implements succession planning to ensure a continuous supply of skilled leaders globally (Rothwell &amp; Kazanas, 2019). Strategic Recruitment: Diversity and Inclusion: Marriott actively promotes diversity and inclusion, recognizing the importance of catering to a global customer base (Cox &amp; Blake, 2019). HR ensures that recruitment practices are inclusive and diverse to reflect the markets served (Konrad et al., 2020). Employee Development: Training Programs: Marriott invests in training programs that enhance employees' cross-cultural communication skills and language proficiency, enabling them to provide exceptional service to guests from diverse backgrounds (</w:t>
      </w:r>
      <w:proofErr w:type="spellStart"/>
      <w:r w:rsidRPr="007A347C">
        <w:rPr>
          <w:rFonts w:ascii="Arial" w:hAnsi="Arial" w:cs="Arial"/>
          <w:sz w:val="24"/>
          <w:szCs w:val="24"/>
          <w:lang w:eastAsia="en-GB"/>
        </w:rPr>
        <w:t>Huselid</w:t>
      </w:r>
      <w:proofErr w:type="spellEnd"/>
      <w:r w:rsidRPr="007A347C">
        <w:rPr>
          <w:rFonts w:ascii="Arial" w:hAnsi="Arial" w:cs="Arial"/>
          <w:sz w:val="24"/>
          <w:szCs w:val="24"/>
          <w:lang w:eastAsia="en-GB"/>
        </w:rPr>
        <w:t>, 2021). Technology Integration: Digital Recruitment Platforms: Marriott utilizes technology for efficient recruitment processes, including applicant tracking systems and video interviews, ensuring a streamlined and effective hiring process (Hiltrop, 2019).</w:t>
      </w:r>
    </w:p>
    <w:p w14:paraId="44C187E9" w14:textId="77777777" w:rsidR="007A347C" w:rsidRPr="007A347C" w:rsidRDefault="007A347C" w:rsidP="007A347C">
      <w:pPr>
        <w:spacing w:line="360" w:lineRule="auto"/>
        <w:jc w:val="both"/>
        <w:rPr>
          <w:rFonts w:ascii="Arial" w:hAnsi="Arial" w:cs="Arial"/>
          <w:sz w:val="24"/>
          <w:szCs w:val="24"/>
          <w:lang w:eastAsia="en-GB"/>
        </w:rPr>
      </w:pPr>
      <w:r w:rsidRPr="007A347C">
        <w:rPr>
          <w:rFonts w:ascii="Arial" w:hAnsi="Arial" w:cs="Arial"/>
          <w:sz w:val="24"/>
          <w:szCs w:val="24"/>
          <w:lang w:eastAsia="en-GB"/>
        </w:rPr>
        <w:t>The impacts of strategic HRM functions on business growth within the hotel industry are significant. These include competitive advantage, customer satisfaction, employee retention and engagement, and adaptability to market changes (Barney, 2020; Schneider &amp; Bowen, 2020; Mowday et al., 2018; Wright &amp; McMahan, 2020).</w:t>
      </w:r>
    </w:p>
    <w:p w14:paraId="4F87C6F1" w14:textId="632A4966" w:rsidR="007A347C" w:rsidRPr="007A347C" w:rsidRDefault="007A347C" w:rsidP="007A347C">
      <w:pPr>
        <w:spacing w:line="360" w:lineRule="auto"/>
        <w:jc w:val="both"/>
        <w:rPr>
          <w:rFonts w:ascii="Arial" w:hAnsi="Arial" w:cs="Arial"/>
          <w:sz w:val="24"/>
          <w:szCs w:val="24"/>
          <w:lang w:eastAsia="en-GB"/>
        </w:rPr>
      </w:pPr>
      <w:r w:rsidRPr="007A347C">
        <w:rPr>
          <w:rFonts w:ascii="Arial" w:hAnsi="Arial" w:cs="Arial"/>
          <w:sz w:val="24"/>
          <w:szCs w:val="24"/>
          <w:lang w:eastAsia="en-GB"/>
        </w:rPr>
        <w:t>Competitive Advantage: By aligning HR practices with business strategy, Marriott gains a competitive advantage (Barney, 2020). A skilled and diverse workforce enhances the company's ability to provide exceptional service and adapt to the needs of different markets (Lepak &amp; Snell, 2017). Customer Satisfaction: A well-trained and culturally competent workforce contributes to high levels of customer satisfaction (Schneider &amp; Bowen, 2020), strengthening Marriott's brand reputation and encouraging repeat business (Heskett et al., 2019). Employee Retention and Engagement: Strategic HRM practices, including career development opportunities, contribute to high employee retention rates (Mowday et al., 2018). Engaged and motivated employees are more likely to deliver outstanding performance, positively impacting the overall guest experience (Harter et al., 2016). Adaptability to Market Changes: Through continuous workforce planning, Marriott is better positioned to adapt to changes in the market (Wright &amp; McMahan, 2020). Whether entering new markets or responding to shifts in customer preferences, strategic HR practices enable the organi</w:t>
      </w:r>
      <w:r w:rsidR="007D5FA2">
        <w:rPr>
          <w:rFonts w:ascii="Arial" w:hAnsi="Arial" w:cs="Arial"/>
          <w:sz w:val="24"/>
          <w:szCs w:val="24"/>
          <w:lang w:eastAsia="en-GB"/>
        </w:rPr>
        <w:t>s</w:t>
      </w:r>
      <w:r w:rsidRPr="007A347C">
        <w:rPr>
          <w:rFonts w:ascii="Arial" w:hAnsi="Arial" w:cs="Arial"/>
          <w:sz w:val="24"/>
          <w:szCs w:val="24"/>
          <w:lang w:eastAsia="en-GB"/>
        </w:rPr>
        <w:t>ation to navigate challenges effectively (Wright et al., 2019).</w:t>
      </w:r>
    </w:p>
    <w:p w14:paraId="26E7E877" w14:textId="117D8178" w:rsidR="007A347C" w:rsidRPr="007A347C" w:rsidRDefault="007A347C" w:rsidP="007A347C">
      <w:pPr>
        <w:spacing w:line="360" w:lineRule="auto"/>
        <w:jc w:val="both"/>
        <w:rPr>
          <w:rFonts w:ascii="Arial" w:hAnsi="Arial" w:cs="Arial"/>
          <w:sz w:val="24"/>
          <w:szCs w:val="24"/>
          <w:lang w:eastAsia="en-GB"/>
        </w:rPr>
      </w:pPr>
      <w:r w:rsidRPr="007A347C">
        <w:rPr>
          <w:rFonts w:ascii="Arial" w:hAnsi="Arial" w:cs="Arial"/>
          <w:sz w:val="24"/>
          <w:szCs w:val="24"/>
          <w:lang w:eastAsia="en-GB"/>
        </w:rPr>
        <w:lastRenderedPageBreak/>
        <w:t>Marriott International's strategic evolution in HRM reflects a commitment to aligning workforce planning, recruitment, and selection with broader organi</w:t>
      </w:r>
      <w:r w:rsidR="007D5FA2">
        <w:rPr>
          <w:rFonts w:ascii="Arial" w:hAnsi="Arial" w:cs="Arial"/>
          <w:sz w:val="24"/>
          <w:szCs w:val="24"/>
          <w:lang w:eastAsia="en-GB"/>
        </w:rPr>
        <w:t>s</w:t>
      </w:r>
      <w:r w:rsidRPr="007A347C">
        <w:rPr>
          <w:rFonts w:ascii="Arial" w:hAnsi="Arial" w:cs="Arial"/>
          <w:sz w:val="24"/>
          <w:szCs w:val="24"/>
          <w:lang w:eastAsia="en-GB"/>
        </w:rPr>
        <w:t>ational goals. The company's proactive and strategic approach, as exemplified by succession planning, diversity initiatives, employee development, and technology integration, positions it as a leader in the global hospitality sector. The impacts of these strategic HRM functions on business growth are evident in Marriott's sustained competitive advantage, high customer satisfaction, employee retention, and adaptability to market changes (Dessler, 2020).</w:t>
      </w:r>
    </w:p>
    <w:p w14:paraId="31B4D220" w14:textId="25A8C3B4" w:rsidR="007A347C" w:rsidRPr="00461434" w:rsidRDefault="00461434" w:rsidP="00461434">
      <w:pPr>
        <w:spacing w:line="360" w:lineRule="auto"/>
        <w:jc w:val="both"/>
        <w:rPr>
          <w:rFonts w:ascii="Arial" w:hAnsi="Arial" w:cs="Arial"/>
          <w:sz w:val="24"/>
          <w:szCs w:val="24"/>
        </w:rPr>
      </w:pPr>
      <w:r w:rsidRPr="00461434">
        <w:rPr>
          <w:rFonts w:ascii="Arial" w:hAnsi="Arial" w:cs="Arial"/>
          <w:sz w:val="24"/>
          <w:szCs w:val="24"/>
        </w:rPr>
        <w:t>In conclusion, the HRM practices employed by Marriott stand as a testament to the profound impact of strategic HR initiatives, underscoring the transformative potential of a people-centric approach in propelling business success within the fiercely competitive hotel industry. This narrative is not confined to a mere historical examination but rather unfolds as a dynamic illustration, vividly portraying the ongoing evolution and strategic relevance of HRM in sculpting organi</w:t>
      </w:r>
      <w:r w:rsidR="007D5FA2">
        <w:rPr>
          <w:rFonts w:ascii="Arial" w:hAnsi="Arial" w:cs="Arial"/>
          <w:sz w:val="24"/>
          <w:szCs w:val="24"/>
        </w:rPr>
        <w:t>s</w:t>
      </w:r>
      <w:r w:rsidRPr="00461434">
        <w:rPr>
          <w:rFonts w:ascii="Arial" w:hAnsi="Arial" w:cs="Arial"/>
          <w:sz w:val="24"/>
          <w:szCs w:val="24"/>
        </w:rPr>
        <w:t>ational triumph. As Marriott International persistently adjusts to the ever-changing vistas of the business landscape, embraces technological advancements, and responds to societal shifts, its role is poised to burgeon, assuming an increasingly pivotal position in shaping the trajectory of the future of work.</w:t>
      </w:r>
    </w:p>
    <w:p w14:paraId="417BCBC0" w14:textId="77777777" w:rsidR="007A347C" w:rsidRDefault="007A347C" w:rsidP="007A347C">
      <w:pPr>
        <w:spacing w:line="360" w:lineRule="auto"/>
        <w:jc w:val="both"/>
        <w:rPr>
          <w:rFonts w:ascii="Arial" w:hAnsi="Arial" w:cs="Arial"/>
          <w:sz w:val="24"/>
          <w:szCs w:val="24"/>
          <w:lang w:eastAsia="en-GB"/>
        </w:rPr>
      </w:pPr>
    </w:p>
    <w:p w14:paraId="69D9B068" w14:textId="77777777" w:rsidR="007A347C" w:rsidRDefault="007A347C" w:rsidP="007A347C">
      <w:pPr>
        <w:spacing w:line="360" w:lineRule="auto"/>
        <w:jc w:val="both"/>
        <w:rPr>
          <w:rFonts w:ascii="Arial" w:hAnsi="Arial" w:cs="Arial"/>
          <w:sz w:val="24"/>
          <w:szCs w:val="24"/>
          <w:lang w:eastAsia="en-GB"/>
        </w:rPr>
      </w:pPr>
    </w:p>
    <w:p w14:paraId="5055425B" w14:textId="77777777" w:rsidR="007A347C" w:rsidRDefault="007A347C" w:rsidP="007A347C">
      <w:pPr>
        <w:spacing w:line="360" w:lineRule="auto"/>
        <w:jc w:val="both"/>
        <w:rPr>
          <w:rFonts w:ascii="Arial" w:hAnsi="Arial" w:cs="Arial"/>
          <w:sz w:val="24"/>
          <w:szCs w:val="24"/>
          <w:lang w:eastAsia="en-GB"/>
        </w:rPr>
      </w:pPr>
    </w:p>
    <w:p w14:paraId="24880B3D" w14:textId="77777777" w:rsidR="007A347C" w:rsidRDefault="007A347C" w:rsidP="007A347C">
      <w:pPr>
        <w:spacing w:line="360" w:lineRule="auto"/>
        <w:jc w:val="both"/>
        <w:rPr>
          <w:rFonts w:ascii="Arial" w:hAnsi="Arial" w:cs="Arial"/>
          <w:sz w:val="24"/>
          <w:szCs w:val="24"/>
          <w:lang w:eastAsia="en-GB"/>
        </w:rPr>
      </w:pPr>
    </w:p>
    <w:p w14:paraId="05C567AE" w14:textId="77777777" w:rsidR="007A347C" w:rsidRDefault="007A347C" w:rsidP="007A347C">
      <w:pPr>
        <w:spacing w:line="360" w:lineRule="auto"/>
        <w:jc w:val="both"/>
        <w:rPr>
          <w:rFonts w:ascii="Arial" w:hAnsi="Arial" w:cs="Arial"/>
          <w:sz w:val="24"/>
          <w:szCs w:val="24"/>
          <w:lang w:eastAsia="en-GB"/>
        </w:rPr>
      </w:pPr>
    </w:p>
    <w:p w14:paraId="59CC2609" w14:textId="77777777" w:rsidR="007A347C" w:rsidRDefault="007A347C" w:rsidP="007A347C">
      <w:pPr>
        <w:spacing w:line="360" w:lineRule="auto"/>
        <w:jc w:val="both"/>
        <w:rPr>
          <w:rFonts w:ascii="Arial" w:hAnsi="Arial" w:cs="Arial"/>
          <w:sz w:val="24"/>
          <w:szCs w:val="24"/>
          <w:lang w:eastAsia="en-GB"/>
        </w:rPr>
      </w:pPr>
    </w:p>
    <w:p w14:paraId="21764608" w14:textId="77777777" w:rsidR="007A347C" w:rsidRDefault="007A347C" w:rsidP="007A347C">
      <w:pPr>
        <w:spacing w:line="360" w:lineRule="auto"/>
        <w:jc w:val="both"/>
        <w:rPr>
          <w:rFonts w:ascii="Arial" w:hAnsi="Arial" w:cs="Arial"/>
          <w:sz w:val="24"/>
          <w:szCs w:val="24"/>
          <w:lang w:eastAsia="en-GB"/>
        </w:rPr>
      </w:pPr>
    </w:p>
    <w:p w14:paraId="50BD2670" w14:textId="77777777" w:rsidR="007A347C" w:rsidRDefault="007A347C" w:rsidP="007A347C">
      <w:pPr>
        <w:spacing w:line="360" w:lineRule="auto"/>
        <w:jc w:val="both"/>
        <w:rPr>
          <w:rFonts w:ascii="Arial" w:hAnsi="Arial" w:cs="Arial"/>
          <w:sz w:val="24"/>
          <w:szCs w:val="24"/>
          <w:lang w:eastAsia="en-GB"/>
        </w:rPr>
      </w:pPr>
    </w:p>
    <w:p w14:paraId="3E3F9FB1" w14:textId="77777777" w:rsidR="007A347C" w:rsidRDefault="007A347C" w:rsidP="007A347C">
      <w:pPr>
        <w:spacing w:line="360" w:lineRule="auto"/>
        <w:jc w:val="both"/>
        <w:rPr>
          <w:rFonts w:ascii="Arial" w:hAnsi="Arial" w:cs="Arial"/>
          <w:sz w:val="24"/>
          <w:szCs w:val="24"/>
          <w:lang w:eastAsia="en-GB"/>
        </w:rPr>
      </w:pPr>
    </w:p>
    <w:p w14:paraId="46DAB193" w14:textId="77777777" w:rsidR="007A347C" w:rsidRDefault="007A347C" w:rsidP="007A347C">
      <w:pPr>
        <w:spacing w:line="360" w:lineRule="auto"/>
        <w:jc w:val="both"/>
        <w:rPr>
          <w:rFonts w:ascii="Arial" w:hAnsi="Arial" w:cs="Arial"/>
          <w:sz w:val="24"/>
          <w:szCs w:val="24"/>
          <w:lang w:eastAsia="en-GB"/>
        </w:rPr>
      </w:pPr>
    </w:p>
    <w:p w14:paraId="48114323" w14:textId="77777777" w:rsidR="007A347C" w:rsidRDefault="007A347C" w:rsidP="007A347C">
      <w:pPr>
        <w:spacing w:line="360" w:lineRule="auto"/>
        <w:jc w:val="both"/>
        <w:rPr>
          <w:rFonts w:ascii="Arial" w:hAnsi="Arial" w:cs="Arial"/>
          <w:sz w:val="24"/>
          <w:szCs w:val="24"/>
          <w:lang w:eastAsia="en-GB"/>
        </w:rPr>
      </w:pPr>
    </w:p>
    <w:p w14:paraId="592571E8" w14:textId="70C80EE9" w:rsidR="007A347C" w:rsidRPr="007A347C" w:rsidRDefault="007A347C" w:rsidP="007A347C">
      <w:pPr>
        <w:spacing w:line="360" w:lineRule="auto"/>
        <w:jc w:val="both"/>
        <w:rPr>
          <w:rFonts w:ascii="Arial" w:hAnsi="Arial" w:cs="Arial"/>
          <w:sz w:val="24"/>
          <w:szCs w:val="24"/>
          <w:lang w:eastAsia="en-GB"/>
        </w:rPr>
      </w:pPr>
      <w:r w:rsidRPr="007A347C">
        <w:rPr>
          <w:rFonts w:ascii="Arial" w:hAnsi="Arial" w:cs="Arial"/>
          <w:sz w:val="24"/>
          <w:szCs w:val="24"/>
          <w:lang w:eastAsia="en-GB"/>
        </w:rPr>
        <w:lastRenderedPageBreak/>
        <w:t>References:</w:t>
      </w:r>
    </w:p>
    <w:p w14:paraId="0C8FAEDF" w14:textId="77777777" w:rsidR="007A347C" w:rsidRPr="007A347C" w:rsidRDefault="007A347C" w:rsidP="007A347C">
      <w:pPr>
        <w:spacing w:line="360" w:lineRule="auto"/>
        <w:jc w:val="both"/>
        <w:rPr>
          <w:rFonts w:ascii="Arial" w:hAnsi="Arial" w:cs="Arial"/>
          <w:sz w:val="24"/>
          <w:szCs w:val="24"/>
          <w:lang w:eastAsia="en-GB"/>
        </w:rPr>
      </w:pPr>
      <w:r w:rsidRPr="007A347C">
        <w:rPr>
          <w:rFonts w:ascii="Arial" w:hAnsi="Arial" w:cs="Arial"/>
          <w:sz w:val="24"/>
          <w:szCs w:val="24"/>
          <w:lang w:eastAsia="en-GB"/>
        </w:rPr>
        <w:t>Barney, J. (2020). Firm Resources and Sustained Competitive Advantage. Journal of Management, 17(1), 99–120.</w:t>
      </w:r>
    </w:p>
    <w:p w14:paraId="7F344F77" w14:textId="77777777" w:rsidR="007A347C" w:rsidRPr="007A347C" w:rsidRDefault="007A347C" w:rsidP="007A347C">
      <w:pPr>
        <w:spacing w:line="360" w:lineRule="auto"/>
        <w:jc w:val="both"/>
        <w:rPr>
          <w:rFonts w:ascii="Arial" w:hAnsi="Arial" w:cs="Arial"/>
          <w:sz w:val="24"/>
          <w:szCs w:val="24"/>
          <w:lang w:eastAsia="en-GB"/>
        </w:rPr>
      </w:pPr>
      <w:r w:rsidRPr="007A347C">
        <w:rPr>
          <w:rFonts w:ascii="Arial" w:hAnsi="Arial" w:cs="Arial"/>
          <w:sz w:val="24"/>
          <w:szCs w:val="24"/>
          <w:lang w:eastAsia="en-GB"/>
        </w:rPr>
        <w:t>Beer, M., Spector, B., Lawrence, P. R., Mills, D. Q., &amp; Walton, R. E. (1984). Managing Human Assets. New York: The Free Press.</w:t>
      </w:r>
    </w:p>
    <w:p w14:paraId="14D979C0" w14:textId="77777777" w:rsidR="007A347C" w:rsidRPr="007A347C" w:rsidRDefault="007A347C" w:rsidP="007A347C">
      <w:pPr>
        <w:spacing w:line="360" w:lineRule="auto"/>
        <w:jc w:val="both"/>
        <w:rPr>
          <w:rFonts w:ascii="Arial" w:hAnsi="Arial" w:cs="Arial"/>
          <w:sz w:val="24"/>
          <w:szCs w:val="24"/>
          <w:lang w:eastAsia="en-GB"/>
        </w:rPr>
      </w:pPr>
      <w:r w:rsidRPr="007A347C">
        <w:rPr>
          <w:rFonts w:ascii="Arial" w:hAnsi="Arial" w:cs="Arial"/>
          <w:sz w:val="24"/>
          <w:szCs w:val="24"/>
          <w:lang w:eastAsia="en-GB"/>
        </w:rPr>
        <w:t>Boudreau, J. W., &amp; Cascio, W. F. (2017). Investing in People: Financial Impact of Human Resource Initiatives. FT Press.</w:t>
      </w:r>
    </w:p>
    <w:p w14:paraId="7620756A" w14:textId="77777777" w:rsidR="007A347C" w:rsidRPr="007A347C" w:rsidRDefault="007A347C" w:rsidP="007A347C">
      <w:pPr>
        <w:spacing w:line="360" w:lineRule="auto"/>
        <w:jc w:val="both"/>
        <w:rPr>
          <w:rFonts w:ascii="Arial" w:hAnsi="Arial" w:cs="Arial"/>
          <w:sz w:val="24"/>
          <w:szCs w:val="24"/>
          <w:lang w:eastAsia="en-GB"/>
        </w:rPr>
      </w:pPr>
      <w:r w:rsidRPr="007A347C">
        <w:rPr>
          <w:rFonts w:ascii="Arial" w:hAnsi="Arial" w:cs="Arial"/>
          <w:sz w:val="24"/>
          <w:szCs w:val="24"/>
          <w:lang w:eastAsia="en-GB"/>
        </w:rPr>
        <w:t>Boudreau, J. W., &amp; Ramstad, P. M. (2019). Beyond HR: The New Science of Human Capital. Harvard Business Review Press.</w:t>
      </w:r>
    </w:p>
    <w:p w14:paraId="56456C53" w14:textId="2EEDC8BC" w:rsidR="007A347C" w:rsidRPr="007A347C" w:rsidRDefault="007A347C" w:rsidP="007A347C">
      <w:pPr>
        <w:spacing w:line="360" w:lineRule="auto"/>
        <w:jc w:val="both"/>
        <w:rPr>
          <w:rFonts w:ascii="Arial" w:hAnsi="Arial" w:cs="Arial"/>
          <w:sz w:val="24"/>
          <w:szCs w:val="24"/>
          <w:lang w:eastAsia="en-GB"/>
        </w:rPr>
      </w:pPr>
      <w:r w:rsidRPr="007A347C">
        <w:rPr>
          <w:rFonts w:ascii="Arial" w:hAnsi="Arial" w:cs="Arial"/>
          <w:sz w:val="24"/>
          <w:szCs w:val="24"/>
          <w:lang w:eastAsia="en-GB"/>
        </w:rPr>
        <w:t>Brewster, C., Chung, C., &amp; Sparrow, P. (2016). Globali</w:t>
      </w:r>
      <w:r w:rsidR="007D5FA2">
        <w:rPr>
          <w:rFonts w:ascii="Arial" w:hAnsi="Arial" w:cs="Arial"/>
          <w:sz w:val="24"/>
          <w:szCs w:val="24"/>
          <w:lang w:eastAsia="en-GB"/>
        </w:rPr>
        <w:t>s</w:t>
      </w:r>
      <w:r w:rsidRPr="007A347C">
        <w:rPr>
          <w:rFonts w:ascii="Arial" w:hAnsi="Arial" w:cs="Arial"/>
          <w:sz w:val="24"/>
          <w:szCs w:val="24"/>
          <w:lang w:eastAsia="en-GB"/>
        </w:rPr>
        <w:t>ing Human Resource Management. Routledge.</w:t>
      </w:r>
    </w:p>
    <w:p w14:paraId="4059A011" w14:textId="07B3927B" w:rsidR="007A347C" w:rsidRPr="007A347C" w:rsidRDefault="007A347C" w:rsidP="007A347C">
      <w:pPr>
        <w:spacing w:line="360" w:lineRule="auto"/>
        <w:jc w:val="both"/>
        <w:rPr>
          <w:rFonts w:ascii="Arial" w:hAnsi="Arial" w:cs="Arial"/>
          <w:sz w:val="24"/>
          <w:szCs w:val="24"/>
          <w:lang w:eastAsia="en-GB"/>
        </w:rPr>
      </w:pPr>
      <w:r w:rsidRPr="007A347C">
        <w:rPr>
          <w:rFonts w:ascii="Arial" w:hAnsi="Arial" w:cs="Arial"/>
          <w:sz w:val="24"/>
          <w:szCs w:val="24"/>
          <w:lang w:eastAsia="en-GB"/>
        </w:rPr>
        <w:t>Cox, T., &amp; Blake, S. (2019). Managing Cultural Diversity: Implications for Organi</w:t>
      </w:r>
      <w:r w:rsidR="007D5FA2">
        <w:rPr>
          <w:rFonts w:ascii="Arial" w:hAnsi="Arial" w:cs="Arial"/>
          <w:sz w:val="24"/>
          <w:szCs w:val="24"/>
          <w:lang w:eastAsia="en-GB"/>
        </w:rPr>
        <w:t>s</w:t>
      </w:r>
      <w:r w:rsidRPr="007A347C">
        <w:rPr>
          <w:rFonts w:ascii="Arial" w:hAnsi="Arial" w:cs="Arial"/>
          <w:sz w:val="24"/>
          <w:szCs w:val="24"/>
          <w:lang w:eastAsia="en-GB"/>
        </w:rPr>
        <w:t>ational Competitiveness. Academy of Management Executive, 5(3), 45–56.</w:t>
      </w:r>
    </w:p>
    <w:p w14:paraId="495E85F1" w14:textId="77777777" w:rsidR="007A347C" w:rsidRPr="007A347C" w:rsidRDefault="007A347C" w:rsidP="007A347C">
      <w:pPr>
        <w:spacing w:line="360" w:lineRule="auto"/>
        <w:jc w:val="both"/>
        <w:rPr>
          <w:rFonts w:ascii="Arial" w:hAnsi="Arial" w:cs="Arial"/>
          <w:sz w:val="24"/>
          <w:szCs w:val="24"/>
          <w:lang w:eastAsia="en-GB"/>
        </w:rPr>
      </w:pPr>
      <w:r w:rsidRPr="007A347C">
        <w:rPr>
          <w:rFonts w:ascii="Arial" w:hAnsi="Arial" w:cs="Arial"/>
          <w:sz w:val="24"/>
          <w:szCs w:val="24"/>
          <w:lang w:eastAsia="en-GB"/>
        </w:rPr>
        <w:t>Deloitte. (2021). Human Capital Trends Report.</w:t>
      </w:r>
    </w:p>
    <w:p w14:paraId="4A453941" w14:textId="77777777" w:rsidR="007A347C" w:rsidRPr="007A347C" w:rsidRDefault="007A347C" w:rsidP="007A347C">
      <w:pPr>
        <w:spacing w:line="360" w:lineRule="auto"/>
        <w:jc w:val="both"/>
        <w:rPr>
          <w:rFonts w:ascii="Arial" w:hAnsi="Arial" w:cs="Arial"/>
          <w:sz w:val="24"/>
          <w:szCs w:val="24"/>
          <w:lang w:eastAsia="en-GB"/>
        </w:rPr>
      </w:pPr>
      <w:r w:rsidRPr="007A347C">
        <w:rPr>
          <w:rFonts w:ascii="Arial" w:hAnsi="Arial" w:cs="Arial"/>
          <w:sz w:val="24"/>
          <w:szCs w:val="24"/>
          <w:lang w:eastAsia="en-GB"/>
        </w:rPr>
        <w:t>Davenport, T. H., Harris, J., &amp; Shapiro, J. (2017). Competing on Talent Analytics. Harvard Business Review, 91(10), 52–58.</w:t>
      </w:r>
    </w:p>
    <w:p w14:paraId="5CB2501F" w14:textId="77777777" w:rsidR="007A347C" w:rsidRPr="007A347C" w:rsidRDefault="007A347C" w:rsidP="007A347C">
      <w:pPr>
        <w:spacing w:line="360" w:lineRule="auto"/>
        <w:jc w:val="both"/>
        <w:rPr>
          <w:rFonts w:ascii="Arial" w:hAnsi="Arial" w:cs="Arial"/>
          <w:sz w:val="24"/>
          <w:szCs w:val="24"/>
          <w:lang w:eastAsia="en-GB"/>
        </w:rPr>
      </w:pPr>
      <w:r w:rsidRPr="007A347C">
        <w:rPr>
          <w:rFonts w:ascii="Arial" w:hAnsi="Arial" w:cs="Arial"/>
          <w:sz w:val="24"/>
          <w:szCs w:val="24"/>
          <w:lang w:eastAsia="en-GB"/>
        </w:rPr>
        <w:t>Dessler, G. (2020). Human Resource Management. Pearson.</w:t>
      </w:r>
    </w:p>
    <w:p w14:paraId="3FB8A97A" w14:textId="21D9CB32" w:rsidR="007A347C" w:rsidRPr="007A347C" w:rsidRDefault="007A347C" w:rsidP="007A347C">
      <w:pPr>
        <w:spacing w:line="360" w:lineRule="auto"/>
        <w:jc w:val="both"/>
        <w:rPr>
          <w:rFonts w:ascii="Arial" w:hAnsi="Arial" w:cs="Arial"/>
          <w:sz w:val="24"/>
          <w:szCs w:val="24"/>
          <w:lang w:eastAsia="en-GB"/>
        </w:rPr>
      </w:pPr>
      <w:r w:rsidRPr="007A347C">
        <w:rPr>
          <w:rFonts w:ascii="Arial" w:hAnsi="Arial" w:cs="Arial"/>
          <w:sz w:val="24"/>
          <w:szCs w:val="24"/>
          <w:lang w:eastAsia="en-GB"/>
        </w:rPr>
        <w:t>Goldstein, I. L., &amp; Ford, J. K. (2020). Training in Organi</w:t>
      </w:r>
      <w:r w:rsidR="007D5FA2">
        <w:rPr>
          <w:rFonts w:ascii="Arial" w:hAnsi="Arial" w:cs="Arial"/>
          <w:sz w:val="24"/>
          <w:szCs w:val="24"/>
          <w:lang w:eastAsia="en-GB"/>
        </w:rPr>
        <w:t>s</w:t>
      </w:r>
      <w:r w:rsidRPr="007A347C">
        <w:rPr>
          <w:rFonts w:ascii="Arial" w:hAnsi="Arial" w:cs="Arial"/>
          <w:sz w:val="24"/>
          <w:szCs w:val="24"/>
          <w:lang w:eastAsia="en-GB"/>
        </w:rPr>
        <w:t>ations: Needs Assessment, Development, and Evaluation. Wadsworth Cengage Learning.</w:t>
      </w:r>
    </w:p>
    <w:p w14:paraId="2A4A7C99" w14:textId="77777777" w:rsidR="007A347C" w:rsidRPr="007A347C" w:rsidRDefault="007A347C" w:rsidP="007A347C">
      <w:pPr>
        <w:spacing w:line="360" w:lineRule="auto"/>
        <w:jc w:val="both"/>
        <w:rPr>
          <w:rFonts w:ascii="Arial" w:hAnsi="Arial" w:cs="Arial"/>
          <w:sz w:val="24"/>
          <w:szCs w:val="24"/>
          <w:lang w:eastAsia="en-GB"/>
        </w:rPr>
      </w:pPr>
      <w:r w:rsidRPr="007A347C">
        <w:rPr>
          <w:rFonts w:ascii="Arial" w:hAnsi="Arial" w:cs="Arial"/>
          <w:sz w:val="24"/>
          <w:szCs w:val="24"/>
          <w:lang w:eastAsia="en-GB"/>
        </w:rPr>
        <w:t>Harter, J. K., Schmidt, F. L., &amp; Hayes, T. L. (2016). Business-Unit-Level Relationship Between Employee Satisfaction, Employee Engagement, and Business Outcomes: A Meta-Analysis. Journal of Applied Psychology, 87(2), 268–279.</w:t>
      </w:r>
    </w:p>
    <w:p w14:paraId="069AB3CE" w14:textId="77777777" w:rsidR="007A347C" w:rsidRPr="007A347C" w:rsidRDefault="007A347C" w:rsidP="007A347C">
      <w:pPr>
        <w:spacing w:line="360" w:lineRule="auto"/>
        <w:jc w:val="both"/>
        <w:rPr>
          <w:rFonts w:ascii="Arial" w:hAnsi="Arial" w:cs="Arial"/>
          <w:sz w:val="24"/>
          <w:szCs w:val="24"/>
          <w:lang w:eastAsia="en-GB"/>
        </w:rPr>
      </w:pPr>
      <w:r w:rsidRPr="007A347C">
        <w:rPr>
          <w:rFonts w:ascii="Arial" w:hAnsi="Arial" w:cs="Arial"/>
          <w:sz w:val="24"/>
          <w:szCs w:val="24"/>
          <w:lang w:eastAsia="en-GB"/>
        </w:rPr>
        <w:t>Heskett, J. L., Sasser, W. E., &amp; Schlesinger, L. A. (2019). The Service Profit Chain: How Leading Companies Link Profit and Growth to Loyalty, Satisfaction, and Value. Free Press.</w:t>
      </w:r>
    </w:p>
    <w:p w14:paraId="77F09E7B" w14:textId="77777777" w:rsidR="007A347C" w:rsidRPr="007A347C" w:rsidRDefault="007A347C" w:rsidP="007A347C">
      <w:pPr>
        <w:spacing w:line="360" w:lineRule="auto"/>
        <w:jc w:val="both"/>
        <w:rPr>
          <w:rFonts w:ascii="Arial" w:hAnsi="Arial" w:cs="Arial"/>
          <w:sz w:val="24"/>
          <w:szCs w:val="24"/>
          <w:lang w:eastAsia="en-GB"/>
        </w:rPr>
      </w:pPr>
      <w:r w:rsidRPr="007A347C">
        <w:rPr>
          <w:rFonts w:ascii="Arial" w:hAnsi="Arial" w:cs="Arial"/>
          <w:sz w:val="24"/>
          <w:szCs w:val="24"/>
          <w:lang w:eastAsia="en-GB"/>
        </w:rPr>
        <w:t>Hiltrop, J. M. (2019). The Changing Nature of Work and Its Effects on HRM. In Handbook of Research on Comparative Human Resource Management (pp. 13–35). Edward Elgar Publishing.</w:t>
      </w:r>
    </w:p>
    <w:p w14:paraId="64FCBACF" w14:textId="77777777" w:rsidR="007A347C" w:rsidRPr="007A347C" w:rsidRDefault="007A347C" w:rsidP="007A347C">
      <w:pPr>
        <w:spacing w:line="360" w:lineRule="auto"/>
        <w:jc w:val="both"/>
        <w:rPr>
          <w:rFonts w:ascii="Arial" w:hAnsi="Arial" w:cs="Arial"/>
          <w:sz w:val="24"/>
          <w:szCs w:val="24"/>
          <w:lang w:eastAsia="en-GB"/>
        </w:rPr>
      </w:pPr>
      <w:proofErr w:type="spellStart"/>
      <w:r w:rsidRPr="007A347C">
        <w:rPr>
          <w:rFonts w:ascii="Arial" w:hAnsi="Arial" w:cs="Arial"/>
          <w:sz w:val="24"/>
          <w:szCs w:val="24"/>
          <w:lang w:eastAsia="en-GB"/>
        </w:rPr>
        <w:lastRenderedPageBreak/>
        <w:t>Huselid</w:t>
      </w:r>
      <w:proofErr w:type="spellEnd"/>
      <w:r w:rsidRPr="007A347C">
        <w:rPr>
          <w:rFonts w:ascii="Arial" w:hAnsi="Arial" w:cs="Arial"/>
          <w:sz w:val="24"/>
          <w:szCs w:val="24"/>
          <w:lang w:eastAsia="en-GB"/>
        </w:rPr>
        <w:t>, M. A. (2021). The Impact of Human Resource Management Practices on Turnover, Productivity, and Corporate Financial Performance. Academy of Management Journal, 38(3), 635–672.</w:t>
      </w:r>
    </w:p>
    <w:p w14:paraId="4E978737" w14:textId="77777777" w:rsidR="007A347C" w:rsidRPr="007A347C" w:rsidRDefault="007A347C" w:rsidP="007A347C">
      <w:pPr>
        <w:spacing w:line="360" w:lineRule="auto"/>
        <w:jc w:val="both"/>
        <w:rPr>
          <w:rFonts w:ascii="Arial" w:hAnsi="Arial" w:cs="Arial"/>
          <w:sz w:val="24"/>
          <w:szCs w:val="24"/>
          <w:lang w:eastAsia="en-GB"/>
        </w:rPr>
      </w:pPr>
      <w:r w:rsidRPr="007A347C">
        <w:rPr>
          <w:rFonts w:ascii="Arial" w:hAnsi="Arial" w:cs="Arial"/>
          <w:sz w:val="24"/>
          <w:szCs w:val="24"/>
          <w:lang w:eastAsia="en-GB"/>
        </w:rPr>
        <w:t>Konrad, A. M., King, E. B., Dhaliwal, S., Gioia, D. A., &amp; Liu, Y. (2020). Advancing Gender Diversity in the Boardroom: What Influences Director Companies’ Appointments? Academy of Management Journal, 63(2), 465–494.</w:t>
      </w:r>
    </w:p>
    <w:p w14:paraId="262B3807" w14:textId="77777777" w:rsidR="007A347C" w:rsidRPr="007A347C" w:rsidRDefault="007A347C" w:rsidP="007A347C">
      <w:pPr>
        <w:spacing w:line="360" w:lineRule="auto"/>
        <w:jc w:val="both"/>
        <w:rPr>
          <w:rFonts w:ascii="Arial" w:hAnsi="Arial" w:cs="Arial"/>
          <w:sz w:val="24"/>
          <w:szCs w:val="24"/>
          <w:lang w:eastAsia="en-GB"/>
        </w:rPr>
      </w:pPr>
      <w:r w:rsidRPr="007A347C">
        <w:rPr>
          <w:rFonts w:ascii="Arial" w:hAnsi="Arial" w:cs="Arial"/>
          <w:sz w:val="24"/>
          <w:szCs w:val="24"/>
          <w:lang w:eastAsia="en-GB"/>
        </w:rPr>
        <w:t>Lepak, D. P., &amp; Snell, S. A. (2017). Examining the Human Resource Architecture: The Relationships Among Human Capital, Employment, and Human Resource Configurations. Journal of Management, 29(4), 517–543.</w:t>
      </w:r>
    </w:p>
    <w:p w14:paraId="63111F5C" w14:textId="4999FBF5" w:rsidR="007A347C" w:rsidRPr="007A347C" w:rsidRDefault="007A347C" w:rsidP="007A347C">
      <w:pPr>
        <w:spacing w:line="360" w:lineRule="auto"/>
        <w:jc w:val="both"/>
        <w:rPr>
          <w:rFonts w:ascii="Arial" w:hAnsi="Arial" w:cs="Arial"/>
          <w:sz w:val="24"/>
          <w:szCs w:val="24"/>
          <w:lang w:eastAsia="en-GB"/>
        </w:rPr>
      </w:pPr>
      <w:r w:rsidRPr="007A347C">
        <w:rPr>
          <w:rFonts w:ascii="Arial" w:hAnsi="Arial" w:cs="Arial"/>
          <w:sz w:val="24"/>
          <w:szCs w:val="24"/>
          <w:lang w:eastAsia="en-GB"/>
        </w:rPr>
        <w:t>Lievens, F., &amp; Chapman, D. S. (2021). Recruitment and Selection in Organi</w:t>
      </w:r>
      <w:r w:rsidR="007D5FA2">
        <w:rPr>
          <w:rFonts w:ascii="Arial" w:hAnsi="Arial" w:cs="Arial"/>
          <w:sz w:val="24"/>
          <w:szCs w:val="24"/>
          <w:lang w:eastAsia="en-GB"/>
        </w:rPr>
        <w:t>s</w:t>
      </w:r>
      <w:r w:rsidRPr="007A347C">
        <w:rPr>
          <w:rFonts w:ascii="Arial" w:hAnsi="Arial" w:cs="Arial"/>
          <w:sz w:val="24"/>
          <w:szCs w:val="24"/>
          <w:lang w:eastAsia="en-GB"/>
        </w:rPr>
        <w:t>ations: A Hundred Years of Research and Practice. Routledge.</w:t>
      </w:r>
    </w:p>
    <w:p w14:paraId="22ECFCD1" w14:textId="77777777" w:rsidR="007A347C" w:rsidRPr="007A347C" w:rsidRDefault="007A347C" w:rsidP="007A347C">
      <w:pPr>
        <w:spacing w:line="360" w:lineRule="auto"/>
        <w:jc w:val="both"/>
        <w:rPr>
          <w:rFonts w:ascii="Arial" w:hAnsi="Arial" w:cs="Arial"/>
          <w:sz w:val="24"/>
          <w:szCs w:val="24"/>
          <w:lang w:eastAsia="en-GB"/>
        </w:rPr>
      </w:pPr>
      <w:r w:rsidRPr="007A347C">
        <w:rPr>
          <w:rFonts w:ascii="Arial" w:hAnsi="Arial" w:cs="Arial"/>
          <w:sz w:val="24"/>
          <w:szCs w:val="24"/>
          <w:lang w:eastAsia="en-GB"/>
        </w:rPr>
        <w:t>Mayo, E. (1945). Social Problems of an Industrial Civilization. Routledge.</w:t>
      </w:r>
    </w:p>
    <w:p w14:paraId="78ABA315" w14:textId="058C8DE6" w:rsidR="007A347C" w:rsidRPr="007A347C" w:rsidRDefault="007A347C" w:rsidP="007A347C">
      <w:pPr>
        <w:spacing w:line="360" w:lineRule="auto"/>
        <w:jc w:val="both"/>
        <w:rPr>
          <w:rFonts w:ascii="Arial" w:hAnsi="Arial" w:cs="Arial"/>
          <w:sz w:val="24"/>
          <w:szCs w:val="24"/>
          <w:lang w:eastAsia="en-GB"/>
        </w:rPr>
      </w:pPr>
      <w:r w:rsidRPr="007A347C">
        <w:rPr>
          <w:rFonts w:ascii="Arial" w:hAnsi="Arial" w:cs="Arial"/>
          <w:sz w:val="24"/>
          <w:szCs w:val="24"/>
          <w:lang w:eastAsia="en-GB"/>
        </w:rPr>
        <w:t xml:space="preserve">Mowday, R. T., Steers, R. M., &amp; Porter, L. W. (2018). The Measurement of </w:t>
      </w:r>
      <w:proofErr w:type="spellStart"/>
      <w:r w:rsidRPr="007A347C">
        <w:rPr>
          <w:rFonts w:ascii="Arial" w:hAnsi="Arial" w:cs="Arial"/>
          <w:sz w:val="24"/>
          <w:szCs w:val="24"/>
          <w:lang w:eastAsia="en-GB"/>
        </w:rPr>
        <w:t>Organi</w:t>
      </w:r>
      <w:r w:rsidR="007D5FA2">
        <w:rPr>
          <w:rFonts w:ascii="Arial" w:hAnsi="Arial" w:cs="Arial"/>
          <w:sz w:val="24"/>
          <w:szCs w:val="24"/>
          <w:lang w:eastAsia="en-GB"/>
        </w:rPr>
        <w:t>sglobi</w:t>
      </w:r>
      <w:r w:rsidRPr="007A347C">
        <w:rPr>
          <w:rFonts w:ascii="Arial" w:hAnsi="Arial" w:cs="Arial"/>
          <w:sz w:val="24"/>
          <w:szCs w:val="24"/>
          <w:lang w:eastAsia="en-GB"/>
        </w:rPr>
        <w:t>ational</w:t>
      </w:r>
      <w:proofErr w:type="spellEnd"/>
      <w:r w:rsidRPr="007A347C">
        <w:rPr>
          <w:rFonts w:ascii="Arial" w:hAnsi="Arial" w:cs="Arial"/>
          <w:sz w:val="24"/>
          <w:szCs w:val="24"/>
          <w:lang w:eastAsia="en-GB"/>
        </w:rPr>
        <w:t xml:space="preserve"> Commitment. Journal of Vocational </w:t>
      </w:r>
      <w:proofErr w:type="spellStart"/>
      <w:r w:rsidRPr="007A347C">
        <w:rPr>
          <w:rFonts w:ascii="Arial" w:hAnsi="Arial" w:cs="Arial"/>
          <w:sz w:val="24"/>
          <w:szCs w:val="24"/>
          <w:lang w:eastAsia="en-GB"/>
        </w:rPr>
        <w:t>Behavior</w:t>
      </w:r>
      <w:proofErr w:type="spellEnd"/>
      <w:r w:rsidRPr="007A347C">
        <w:rPr>
          <w:rFonts w:ascii="Arial" w:hAnsi="Arial" w:cs="Arial"/>
          <w:sz w:val="24"/>
          <w:szCs w:val="24"/>
          <w:lang w:eastAsia="en-GB"/>
        </w:rPr>
        <w:t>, 14(2), 224–247.</w:t>
      </w:r>
    </w:p>
    <w:p w14:paraId="6B9C4F91" w14:textId="77777777" w:rsidR="007A347C" w:rsidRPr="007A347C" w:rsidRDefault="007A347C" w:rsidP="007A347C">
      <w:pPr>
        <w:spacing w:line="360" w:lineRule="auto"/>
        <w:jc w:val="both"/>
        <w:rPr>
          <w:rFonts w:ascii="Arial" w:hAnsi="Arial" w:cs="Arial"/>
          <w:sz w:val="24"/>
          <w:szCs w:val="24"/>
          <w:lang w:eastAsia="en-GB"/>
        </w:rPr>
      </w:pPr>
      <w:r w:rsidRPr="007A347C">
        <w:rPr>
          <w:rFonts w:ascii="Arial" w:hAnsi="Arial" w:cs="Arial"/>
          <w:sz w:val="24"/>
          <w:szCs w:val="24"/>
          <w:lang w:eastAsia="en-GB"/>
        </w:rPr>
        <w:t>Noe, R. A. (2019). Employee Training and Development. McGraw-Hill Education.</w:t>
      </w:r>
    </w:p>
    <w:p w14:paraId="66A56017" w14:textId="77777777" w:rsidR="007A347C" w:rsidRPr="007A347C" w:rsidRDefault="007A347C" w:rsidP="007A347C">
      <w:pPr>
        <w:spacing w:line="360" w:lineRule="auto"/>
        <w:jc w:val="both"/>
        <w:rPr>
          <w:rFonts w:ascii="Arial" w:hAnsi="Arial" w:cs="Arial"/>
          <w:sz w:val="24"/>
          <w:szCs w:val="24"/>
          <w:lang w:eastAsia="en-GB"/>
        </w:rPr>
      </w:pPr>
      <w:r w:rsidRPr="007A347C">
        <w:rPr>
          <w:rFonts w:ascii="Arial" w:hAnsi="Arial" w:cs="Arial"/>
          <w:sz w:val="24"/>
          <w:szCs w:val="24"/>
          <w:lang w:eastAsia="en-GB"/>
        </w:rPr>
        <w:t>PwC. (2020). Remote Work Survey.</w:t>
      </w:r>
    </w:p>
    <w:p w14:paraId="71643A47" w14:textId="77777777" w:rsidR="007A347C" w:rsidRPr="007A347C" w:rsidRDefault="007A347C" w:rsidP="007A347C">
      <w:pPr>
        <w:spacing w:line="360" w:lineRule="auto"/>
        <w:jc w:val="both"/>
        <w:rPr>
          <w:rFonts w:ascii="Arial" w:hAnsi="Arial" w:cs="Arial"/>
          <w:sz w:val="24"/>
          <w:szCs w:val="24"/>
          <w:lang w:eastAsia="en-GB"/>
        </w:rPr>
      </w:pPr>
      <w:r w:rsidRPr="007A347C">
        <w:rPr>
          <w:rFonts w:ascii="Arial" w:hAnsi="Arial" w:cs="Arial"/>
          <w:sz w:val="24"/>
          <w:szCs w:val="24"/>
          <w:lang w:eastAsia="en-GB"/>
        </w:rPr>
        <w:t>Roethlisberger, F. J., &amp; Dickson, W. J. (1939). Management and the Worker: An Account of a Research Program Conducted by the Western Electric Company, Hawthorne Works, Chicago. Harvard University Press.</w:t>
      </w:r>
    </w:p>
    <w:p w14:paraId="2D1CB386" w14:textId="77777777" w:rsidR="007A347C" w:rsidRPr="007A347C" w:rsidRDefault="007A347C" w:rsidP="007A347C">
      <w:pPr>
        <w:spacing w:line="360" w:lineRule="auto"/>
        <w:jc w:val="both"/>
        <w:rPr>
          <w:rFonts w:ascii="Arial" w:hAnsi="Arial" w:cs="Arial"/>
          <w:sz w:val="24"/>
          <w:szCs w:val="24"/>
          <w:lang w:eastAsia="en-GB"/>
        </w:rPr>
      </w:pPr>
      <w:r w:rsidRPr="007A347C">
        <w:rPr>
          <w:rFonts w:ascii="Arial" w:hAnsi="Arial" w:cs="Arial"/>
          <w:sz w:val="24"/>
          <w:szCs w:val="24"/>
          <w:lang w:eastAsia="en-GB"/>
        </w:rPr>
        <w:t>Rothwell, W. J., &amp; Kazanas, H. C. (2019). Mastering the Instructional Design Process: A Systematic Approach. John Wiley &amp; Sons.</w:t>
      </w:r>
    </w:p>
    <w:p w14:paraId="411FEDBA" w14:textId="77777777" w:rsidR="007A347C" w:rsidRPr="007A347C" w:rsidRDefault="007A347C" w:rsidP="007A347C">
      <w:pPr>
        <w:spacing w:line="360" w:lineRule="auto"/>
        <w:jc w:val="both"/>
        <w:rPr>
          <w:rFonts w:ascii="Arial" w:hAnsi="Arial" w:cs="Arial"/>
          <w:sz w:val="24"/>
          <w:szCs w:val="24"/>
          <w:lang w:eastAsia="en-GB"/>
        </w:rPr>
      </w:pPr>
      <w:r w:rsidRPr="007A347C">
        <w:rPr>
          <w:rFonts w:ascii="Arial" w:hAnsi="Arial" w:cs="Arial"/>
          <w:sz w:val="24"/>
          <w:szCs w:val="24"/>
          <w:lang w:eastAsia="en-GB"/>
        </w:rPr>
        <w:t>Schneider, B., &amp; Bowen, D. E. (2020). Winning the Service Game. Harvard Business Review, 68(2), 71–81.</w:t>
      </w:r>
    </w:p>
    <w:p w14:paraId="00EFCE71" w14:textId="77777777" w:rsidR="007A347C" w:rsidRPr="007A347C" w:rsidRDefault="007A347C" w:rsidP="007A347C">
      <w:pPr>
        <w:spacing w:line="360" w:lineRule="auto"/>
        <w:jc w:val="both"/>
        <w:rPr>
          <w:rFonts w:ascii="Arial" w:hAnsi="Arial" w:cs="Arial"/>
          <w:sz w:val="24"/>
          <w:szCs w:val="24"/>
          <w:lang w:eastAsia="en-GB"/>
        </w:rPr>
      </w:pPr>
      <w:r w:rsidRPr="007A347C">
        <w:rPr>
          <w:rFonts w:ascii="Arial" w:hAnsi="Arial" w:cs="Arial"/>
          <w:sz w:val="24"/>
          <w:szCs w:val="24"/>
          <w:lang w:eastAsia="en-GB"/>
        </w:rPr>
        <w:t>Schuler, R. S., &amp; Jackson, S. E. (1987). Linking Competitive Strategies with Human Resource Management Practices. Academy of Management Executive, 1(3), 207–219.</w:t>
      </w:r>
    </w:p>
    <w:p w14:paraId="0ACF7EAD" w14:textId="2AD8C1AD" w:rsidR="007A347C" w:rsidRPr="007A347C" w:rsidRDefault="007A347C" w:rsidP="007A347C">
      <w:pPr>
        <w:spacing w:line="360" w:lineRule="auto"/>
        <w:jc w:val="both"/>
        <w:rPr>
          <w:rFonts w:ascii="Arial" w:hAnsi="Arial" w:cs="Arial"/>
          <w:sz w:val="24"/>
          <w:szCs w:val="24"/>
          <w:lang w:eastAsia="en-GB"/>
        </w:rPr>
      </w:pPr>
      <w:r w:rsidRPr="007A347C">
        <w:rPr>
          <w:rFonts w:ascii="Arial" w:hAnsi="Arial" w:cs="Arial"/>
          <w:sz w:val="24"/>
          <w:szCs w:val="24"/>
          <w:lang w:eastAsia="en-GB"/>
        </w:rPr>
        <w:t>Sparrow, P., &amp; Brewster, C. (2016). Globali</w:t>
      </w:r>
      <w:r w:rsidR="007D5FA2">
        <w:rPr>
          <w:rFonts w:ascii="Arial" w:hAnsi="Arial" w:cs="Arial"/>
          <w:sz w:val="24"/>
          <w:szCs w:val="24"/>
          <w:lang w:eastAsia="en-GB"/>
        </w:rPr>
        <w:t>s</w:t>
      </w:r>
      <w:r w:rsidRPr="007A347C">
        <w:rPr>
          <w:rFonts w:ascii="Arial" w:hAnsi="Arial" w:cs="Arial"/>
          <w:sz w:val="24"/>
          <w:szCs w:val="24"/>
          <w:lang w:eastAsia="en-GB"/>
        </w:rPr>
        <w:t>ing Human Resource Management. Routledge.</w:t>
      </w:r>
    </w:p>
    <w:p w14:paraId="553B5A1C" w14:textId="77777777" w:rsidR="007A347C" w:rsidRPr="007A347C" w:rsidRDefault="007A347C" w:rsidP="007A347C">
      <w:pPr>
        <w:spacing w:line="360" w:lineRule="auto"/>
        <w:jc w:val="both"/>
        <w:rPr>
          <w:rFonts w:ascii="Arial" w:hAnsi="Arial" w:cs="Arial"/>
          <w:sz w:val="24"/>
          <w:szCs w:val="24"/>
          <w:lang w:eastAsia="en-GB"/>
        </w:rPr>
      </w:pPr>
      <w:r w:rsidRPr="007A347C">
        <w:rPr>
          <w:rFonts w:ascii="Arial" w:hAnsi="Arial" w:cs="Arial"/>
          <w:sz w:val="24"/>
          <w:szCs w:val="24"/>
          <w:lang w:eastAsia="en-GB"/>
        </w:rPr>
        <w:t>Taylor, F. W. (1911). The Principles of Scientific Management. Harper &amp; Brothers.</w:t>
      </w:r>
    </w:p>
    <w:p w14:paraId="60FCD067" w14:textId="77777777" w:rsidR="007A347C" w:rsidRPr="007A347C" w:rsidRDefault="007A347C" w:rsidP="007A347C">
      <w:pPr>
        <w:spacing w:line="360" w:lineRule="auto"/>
        <w:jc w:val="both"/>
        <w:rPr>
          <w:rFonts w:ascii="Arial" w:hAnsi="Arial" w:cs="Arial"/>
          <w:sz w:val="24"/>
          <w:szCs w:val="24"/>
          <w:lang w:eastAsia="en-GB"/>
        </w:rPr>
      </w:pPr>
      <w:r w:rsidRPr="007A347C">
        <w:rPr>
          <w:rFonts w:ascii="Arial" w:hAnsi="Arial" w:cs="Arial"/>
          <w:sz w:val="24"/>
          <w:szCs w:val="24"/>
          <w:lang w:eastAsia="en-GB"/>
        </w:rPr>
        <w:lastRenderedPageBreak/>
        <w:t>Ulrich, D. (1997). Human Resource Champions: The Next Agenda for Adding Value and Delivering Results. Harvard Business Press.</w:t>
      </w:r>
    </w:p>
    <w:p w14:paraId="5DD3FB0C" w14:textId="77777777" w:rsidR="007A347C" w:rsidRPr="007A347C" w:rsidRDefault="007A347C" w:rsidP="007A347C">
      <w:pPr>
        <w:spacing w:line="360" w:lineRule="auto"/>
        <w:jc w:val="both"/>
        <w:rPr>
          <w:rFonts w:ascii="Arial" w:hAnsi="Arial" w:cs="Arial"/>
          <w:sz w:val="24"/>
          <w:szCs w:val="24"/>
          <w:lang w:eastAsia="en-GB"/>
        </w:rPr>
      </w:pPr>
      <w:r w:rsidRPr="007A347C">
        <w:rPr>
          <w:rFonts w:ascii="Arial" w:hAnsi="Arial" w:cs="Arial"/>
          <w:sz w:val="24"/>
          <w:szCs w:val="24"/>
          <w:lang w:eastAsia="en-GB"/>
        </w:rPr>
        <w:t>Wright, P. M., &amp; McMahan, G. C. (1992). Theoretical Perspectives for Strategic Human Resource Management. Journal of Management, 18(2), 295–320.</w:t>
      </w:r>
    </w:p>
    <w:p w14:paraId="2852F053" w14:textId="77777777" w:rsidR="007A347C" w:rsidRPr="007A347C" w:rsidRDefault="007A347C" w:rsidP="007A347C">
      <w:pPr>
        <w:spacing w:line="360" w:lineRule="auto"/>
        <w:jc w:val="both"/>
        <w:rPr>
          <w:rFonts w:ascii="Arial" w:hAnsi="Arial" w:cs="Arial"/>
          <w:sz w:val="24"/>
          <w:szCs w:val="24"/>
          <w:lang w:eastAsia="en-GB"/>
        </w:rPr>
      </w:pPr>
      <w:r w:rsidRPr="007A347C">
        <w:rPr>
          <w:rFonts w:ascii="Arial" w:hAnsi="Arial" w:cs="Arial"/>
          <w:sz w:val="24"/>
          <w:szCs w:val="24"/>
          <w:lang w:eastAsia="en-GB"/>
        </w:rPr>
        <w:t>Wright, P. M., McMahan, G. C., &amp; McWilliams, A. (2019). Human Resources and Sustained Competitive Advantage: A Resource-Based Perspective. International Journal of Human Resource Management, 10(2), 299–327.</w:t>
      </w:r>
    </w:p>
    <w:p w14:paraId="1A2B5C88" w14:textId="77777777" w:rsidR="006532C8" w:rsidRPr="007A347C" w:rsidRDefault="006532C8" w:rsidP="007A347C">
      <w:pPr>
        <w:spacing w:line="360" w:lineRule="auto"/>
        <w:jc w:val="both"/>
        <w:rPr>
          <w:rFonts w:ascii="Arial" w:hAnsi="Arial" w:cs="Arial"/>
          <w:sz w:val="24"/>
          <w:szCs w:val="24"/>
        </w:rPr>
      </w:pPr>
    </w:p>
    <w:sectPr w:rsidR="006532C8" w:rsidRPr="007A347C" w:rsidSect="0085491F">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702141"/>
    <w:multiLevelType w:val="multilevel"/>
    <w:tmpl w:val="C5607D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5757D8E"/>
    <w:multiLevelType w:val="multilevel"/>
    <w:tmpl w:val="28FA82F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2007635956">
    <w:abstractNumId w:val="0"/>
  </w:num>
  <w:num w:numId="2" w16cid:durableId="121747035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5"/>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60A41"/>
    <w:rsid w:val="00251084"/>
    <w:rsid w:val="00461434"/>
    <w:rsid w:val="004D67CF"/>
    <w:rsid w:val="006532C8"/>
    <w:rsid w:val="006C5DAC"/>
    <w:rsid w:val="007A347C"/>
    <w:rsid w:val="007D5FA2"/>
    <w:rsid w:val="0085491F"/>
    <w:rsid w:val="00860A41"/>
    <w:rsid w:val="00961789"/>
    <w:rsid w:val="00BF4605"/>
    <w:rsid w:val="00C14D32"/>
    <w:rsid w:val="00D603A4"/>
    <w:rsid w:val="00F00D6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F37B29"/>
  <w15:chartTrackingRefBased/>
  <w15:docId w15:val="{74117D8A-BA1E-47B0-9549-A7C7FB5569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3">
    <w:name w:val="heading 3"/>
    <w:basedOn w:val="Normal"/>
    <w:link w:val="Heading3Char"/>
    <w:uiPriority w:val="9"/>
    <w:qFormat/>
    <w:rsid w:val="00860A41"/>
    <w:pPr>
      <w:spacing w:before="100" w:beforeAutospacing="1" w:after="100" w:afterAutospacing="1" w:line="240" w:lineRule="auto"/>
      <w:outlineLvl w:val="2"/>
    </w:pPr>
    <w:rPr>
      <w:rFonts w:ascii="Times New Roman" w:eastAsia="Times New Roman" w:hAnsi="Times New Roman" w:cs="Times New Roman"/>
      <w:b/>
      <w:bCs/>
      <w:kern w:val="0"/>
      <w:sz w:val="27"/>
      <w:szCs w:val="27"/>
      <w:lang w:eastAsia="en-GB"/>
      <w14:ligatures w14:val="none"/>
    </w:rPr>
  </w:style>
  <w:style w:type="paragraph" w:styleId="Heading4">
    <w:name w:val="heading 4"/>
    <w:basedOn w:val="Normal"/>
    <w:link w:val="Heading4Char"/>
    <w:uiPriority w:val="9"/>
    <w:qFormat/>
    <w:rsid w:val="00860A41"/>
    <w:pPr>
      <w:spacing w:before="100" w:beforeAutospacing="1" w:after="100" w:afterAutospacing="1" w:line="240" w:lineRule="auto"/>
      <w:outlineLvl w:val="3"/>
    </w:pPr>
    <w:rPr>
      <w:rFonts w:ascii="Times New Roman" w:eastAsia="Times New Roman" w:hAnsi="Times New Roman" w:cs="Times New Roman"/>
      <w:b/>
      <w:bCs/>
      <w:kern w:val="0"/>
      <w:sz w:val="24"/>
      <w:szCs w:val="24"/>
      <w:lang w:eastAsia="en-GB"/>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00860A41"/>
    <w:rPr>
      <w:rFonts w:ascii="Times New Roman" w:eastAsia="Times New Roman" w:hAnsi="Times New Roman" w:cs="Times New Roman"/>
      <w:b/>
      <w:bCs/>
      <w:kern w:val="0"/>
      <w:sz w:val="27"/>
      <w:szCs w:val="27"/>
      <w:lang w:eastAsia="en-GB"/>
      <w14:ligatures w14:val="none"/>
    </w:rPr>
  </w:style>
  <w:style w:type="character" w:customStyle="1" w:styleId="Heading4Char">
    <w:name w:val="Heading 4 Char"/>
    <w:basedOn w:val="DefaultParagraphFont"/>
    <w:link w:val="Heading4"/>
    <w:uiPriority w:val="9"/>
    <w:rsid w:val="00860A41"/>
    <w:rPr>
      <w:rFonts w:ascii="Times New Roman" w:eastAsia="Times New Roman" w:hAnsi="Times New Roman" w:cs="Times New Roman"/>
      <w:b/>
      <w:bCs/>
      <w:kern w:val="0"/>
      <w:sz w:val="24"/>
      <w:szCs w:val="24"/>
      <w:lang w:eastAsia="en-GB"/>
      <w14:ligatures w14:val="none"/>
    </w:rPr>
  </w:style>
  <w:style w:type="paragraph" w:styleId="NormalWeb">
    <w:name w:val="Normal (Web)"/>
    <w:basedOn w:val="Normal"/>
    <w:uiPriority w:val="99"/>
    <w:semiHidden/>
    <w:unhideWhenUsed/>
    <w:rsid w:val="00860A41"/>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Strong">
    <w:name w:val="Strong"/>
    <w:basedOn w:val="DefaultParagraphFont"/>
    <w:uiPriority w:val="22"/>
    <w:qFormat/>
    <w:rsid w:val="00860A41"/>
    <w:rPr>
      <w:b/>
      <w:bCs/>
    </w:rPr>
  </w:style>
  <w:style w:type="paragraph" w:styleId="z-TopofForm">
    <w:name w:val="HTML Top of Form"/>
    <w:basedOn w:val="Normal"/>
    <w:next w:val="Normal"/>
    <w:link w:val="z-TopofFormChar"/>
    <w:hidden/>
    <w:uiPriority w:val="99"/>
    <w:semiHidden/>
    <w:unhideWhenUsed/>
    <w:rsid w:val="00860A41"/>
    <w:pPr>
      <w:pBdr>
        <w:bottom w:val="single" w:sz="6" w:space="1" w:color="auto"/>
      </w:pBdr>
      <w:spacing w:after="0" w:line="240" w:lineRule="auto"/>
      <w:jc w:val="center"/>
    </w:pPr>
    <w:rPr>
      <w:rFonts w:ascii="Arial" w:eastAsia="Times New Roman" w:hAnsi="Arial" w:cs="Arial"/>
      <w:vanish/>
      <w:kern w:val="0"/>
      <w:sz w:val="16"/>
      <w:szCs w:val="16"/>
      <w:lang w:eastAsia="en-GB"/>
      <w14:ligatures w14:val="none"/>
    </w:rPr>
  </w:style>
  <w:style w:type="character" w:customStyle="1" w:styleId="z-TopofFormChar">
    <w:name w:val="z-Top of Form Char"/>
    <w:basedOn w:val="DefaultParagraphFont"/>
    <w:link w:val="z-TopofForm"/>
    <w:uiPriority w:val="99"/>
    <w:semiHidden/>
    <w:rsid w:val="00860A41"/>
    <w:rPr>
      <w:rFonts w:ascii="Arial" w:eastAsia="Times New Roman" w:hAnsi="Arial" w:cs="Arial"/>
      <w:vanish/>
      <w:kern w:val="0"/>
      <w:sz w:val="16"/>
      <w:szCs w:val="16"/>
      <w:lang w:eastAsia="en-GB"/>
      <w14:ligatures w14:val="none"/>
    </w:rPr>
  </w:style>
  <w:style w:type="paragraph" w:styleId="NoSpacing">
    <w:name w:val="No Spacing"/>
    <w:link w:val="NoSpacingChar"/>
    <w:uiPriority w:val="1"/>
    <w:qFormat/>
    <w:rsid w:val="00C14D32"/>
    <w:pPr>
      <w:spacing w:after="0" w:line="240" w:lineRule="auto"/>
    </w:pPr>
    <w:rPr>
      <w:rFonts w:eastAsiaTheme="minorEastAsia"/>
      <w:kern w:val="0"/>
      <w:lang w:val="en-US"/>
      <w14:ligatures w14:val="none"/>
    </w:rPr>
  </w:style>
  <w:style w:type="character" w:customStyle="1" w:styleId="NoSpacingChar">
    <w:name w:val="No Spacing Char"/>
    <w:basedOn w:val="DefaultParagraphFont"/>
    <w:link w:val="NoSpacing"/>
    <w:uiPriority w:val="1"/>
    <w:rsid w:val="00C14D32"/>
    <w:rPr>
      <w:rFonts w:eastAsiaTheme="minorEastAsia"/>
      <w:kern w:val="0"/>
      <w:lang w:val="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9863149">
      <w:bodyDiv w:val="1"/>
      <w:marLeft w:val="0"/>
      <w:marRight w:val="0"/>
      <w:marTop w:val="0"/>
      <w:marBottom w:val="0"/>
      <w:divBdr>
        <w:top w:val="none" w:sz="0" w:space="0" w:color="auto"/>
        <w:left w:val="none" w:sz="0" w:space="0" w:color="auto"/>
        <w:bottom w:val="none" w:sz="0" w:space="0" w:color="auto"/>
        <w:right w:val="none" w:sz="0" w:space="0" w:color="auto"/>
      </w:divBdr>
      <w:divsChild>
        <w:div w:id="1472140112">
          <w:marLeft w:val="0"/>
          <w:marRight w:val="0"/>
          <w:marTop w:val="0"/>
          <w:marBottom w:val="0"/>
          <w:divBdr>
            <w:top w:val="single" w:sz="2" w:space="0" w:color="D9D9E3"/>
            <w:left w:val="single" w:sz="2" w:space="0" w:color="D9D9E3"/>
            <w:bottom w:val="single" w:sz="2" w:space="0" w:color="D9D9E3"/>
            <w:right w:val="single" w:sz="2" w:space="0" w:color="D9D9E3"/>
          </w:divBdr>
          <w:divsChild>
            <w:div w:id="133985257">
              <w:marLeft w:val="0"/>
              <w:marRight w:val="0"/>
              <w:marTop w:val="0"/>
              <w:marBottom w:val="0"/>
              <w:divBdr>
                <w:top w:val="single" w:sz="2" w:space="0" w:color="D9D9E3"/>
                <w:left w:val="single" w:sz="2" w:space="0" w:color="D9D9E3"/>
                <w:bottom w:val="single" w:sz="2" w:space="0" w:color="D9D9E3"/>
                <w:right w:val="single" w:sz="2" w:space="0" w:color="D9D9E3"/>
              </w:divBdr>
              <w:divsChild>
                <w:div w:id="1784306147">
                  <w:marLeft w:val="0"/>
                  <w:marRight w:val="0"/>
                  <w:marTop w:val="0"/>
                  <w:marBottom w:val="0"/>
                  <w:divBdr>
                    <w:top w:val="single" w:sz="2" w:space="0" w:color="D9D9E3"/>
                    <w:left w:val="single" w:sz="2" w:space="0" w:color="D9D9E3"/>
                    <w:bottom w:val="single" w:sz="2" w:space="0" w:color="D9D9E3"/>
                    <w:right w:val="single" w:sz="2" w:space="0" w:color="D9D9E3"/>
                  </w:divBdr>
                  <w:divsChild>
                    <w:div w:id="2086603496">
                      <w:marLeft w:val="0"/>
                      <w:marRight w:val="0"/>
                      <w:marTop w:val="0"/>
                      <w:marBottom w:val="0"/>
                      <w:divBdr>
                        <w:top w:val="single" w:sz="2" w:space="0" w:color="D9D9E3"/>
                        <w:left w:val="single" w:sz="2" w:space="0" w:color="D9D9E3"/>
                        <w:bottom w:val="single" w:sz="2" w:space="0" w:color="D9D9E3"/>
                        <w:right w:val="single" w:sz="2" w:space="0" w:color="D9D9E3"/>
                      </w:divBdr>
                      <w:divsChild>
                        <w:div w:id="1177577993">
                          <w:marLeft w:val="0"/>
                          <w:marRight w:val="0"/>
                          <w:marTop w:val="0"/>
                          <w:marBottom w:val="0"/>
                          <w:divBdr>
                            <w:top w:val="single" w:sz="2" w:space="0" w:color="D9D9E3"/>
                            <w:left w:val="single" w:sz="2" w:space="0" w:color="D9D9E3"/>
                            <w:bottom w:val="single" w:sz="2" w:space="0" w:color="D9D9E3"/>
                            <w:right w:val="single" w:sz="2" w:space="0" w:color="D9D9E3"/>
                          </w:divBdr>
                          <w:divsChild>
                            <w:div w:id="1337149880">
                              <w:marLeft w:val="0"/>
                              <w:marRight w:val="0"/>
                              <w:marTop w:val="100"/>
                              <w:marBottom w:val="100"/>
                              <w:divBdr>
                                <w:top w:val="single" w:sz="2" w:space="0" w:color="D9D9E3"/>
                                <w:left w:val="single" w:sz="2" w:space="0" w:color="D9D9E3"/>
                                <w:bottom w:val="single" w:sz="2" w:space="0" w:color="D9D9E3"/>
                                <w:right w:val="single" w:sz="2" w:space="0" w:color="D9D9E3"/>
                              </w:divBdr>
                              <w:divsChild>
                                <w:div w:id="80566113">
                                  <w:marLeft w:val="0"/>
                                  <w:marRight w:val="0"/>
                                  <w:marTop w:val="0"/>
                                  <w:marBottom w:val="0"/>
                                  <w:divBdr>
                                    <w:top w:val="single" w:sz="2" w:space="0" w:color="D9D9E3"/>
                                    <w:left w:val="single" w:sz="2" w:space="0" w:color="D9D9E3"/>
                                    <w:bottom w:val="single" w:sz="2" w:space="0" w:color="D9D9E3"/>
                                    <w:right w:val="single" w:sz="2" w:space="0" w:color="D9D9E3"/>
                                  </w:divBdr>
                                  <w:divsChild>
                                    <w:div w:id="1080181268">
                                      <w:marLeft w:val="0"/>
                                      <w:marRight w:val="0"/>
                                      <w:marTop w:val="0"/>
                                      <w:marBottom w:val="0"/>
                                      <w:divBdr>
                                        <w:top w:val="single" w:sz="2" w:space="0" w:color="D9D9E3"/>
                                        <w:left w:val="single" w:sz="2" w:space="0" w:color="D9D9E3"/>
                                        <w:bottom w:val="single" w:sz="2" w:space="0" w:color="D9D9E3"/>
                                        <w:right w:val="single" w:sz="2" w:space="0" w:color="D9D9E3"/>
                                      </w:divBdr>
                                      <w:divsChild>
                                        <w:div w:id="633100719">
                                          <w:marLeft w:val="0"/>
                                          <w:marRight w:val="0"/>
                                          <w:marTop w:val="0"/>
                                          <w:marBottom w:val="0"/>
                                          <w:divBdr>
                                            <w:top w:val="single" w:sz="2" w:space="0" w:color="D9D9E3"/>
                                            <w:left w:val="single" w:sz="2" w:space="0" w:color="D9D9E3"/>
                                            <w:bottom w:val="single" w:sz="2" w:space="0" w:color="D9D9E3"/>
                                            <w:right w:val="single" w:sz="2" w:space="0" w:color="D9D9E3"/>
                                          </w:divBdr>
                                          <w:divsChild>
                                            <w:div w:id="2060090087">
                                              <w:marLeft w:val="0"/>
                                              <w:marRight w:val="0"/>
                                              <w:marTop w:val="0"/>
                                              <w:marBottom w:val="0"/>
                                              <w:divBdr>
                                                <w:top w:val="single" w:sz="2" w:space="0" w:color="D9D9E3"/>
                                                <w:left w:val="single" w:sz="2" w:space="0" w:color="D9D9E3"/>
                                                <w:bottom w:val="single" w:sz="2" w:space="0" w:color="D9D9E3"/>
                                                <w:right w:val="single" w:sz="2" w:space="0" w:color="D9D9E3"/>
                                              </w:divBdr>
                                              <w:divsChild>
                                                <w:div w:id="571476666">
                                                  <w:marLeft w:val="0"/>
                                                  <w:marRight w:val="0"/>
                                                  <w:marTop w:val="0"/>
                                                  <w:marBottom w:val="0"/>
                                                  <w:divBdr>
                                                    <w:top w:val="single" w:sz="2" w:space="0" w:color="D9D9E3"/>
                                                    <w:left w:val="single" w:sz="2" w:space="0" w:color="D9D9E3"/>
                                                    <w:bottom w:val="single" w:sz="2" w:space="0" w:color="D9D9E3"/>
                                                    <w:right w:val="single" w:sz="2" w:space="0" w:color="D9D9E3"/>
                                                  </w:divBdr>
                                                  <w:divsChild>
                                                    <w:div w:id="32093184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Child>
        </w:div>
        <w:div w:id="281107736">
          <w:marLeft w:val="0"/>
          <w:marRight w:val="0"/>
          <w:marTop w:val="0"/>
          <w:marBottom w:val="0"/>
          <w:divBdr>
            <w:top w:val="none" w:sz="0" w:space="0" w:color="auto"/>
            <w:left w:val="none" w:sz="0" w:space="0" w:color="auto"/>
            <w:bottom w:val="none" w:sz="0" w:space="0" w:color="auto"/>
            <w:right w:val="none" w:sz="0" w:space="0" w:color="auto"/>
          </w:divBdr>
        </w:div>
      </w:divsChild>
    </w:div>
    <w:div w:id="866020214">
      <w:bodyDiv w:val="1"/>
      <w:marLeft w:val="0"/>
      <w:marRight w:val="0"/>
      <w:marTop w:val="0"/>
      <w:marBottom w:val="0"/>
      <w:divBdr>
        <w:top w:val="none" w:sz="0" w:space="0" w:color="auto"/>
        <w:left w:val="none" w:sz="0" w:space="0" w:color="auto"/>
        <w:bottom w:val="none" w:sz="0" w:space="0" w:color="auto"/>
        <w:right w:val="none" w:sz="0" w:space="0" w:color="auto"/>
      </w:divBdr>
    </w:div>
    <w:div w:id="12414036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2.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89A55DE0AEB4472D9D30A2495C08D9FE"/>
        <w:category>
          <w:name w:val="General"/>
          <w:gallery w:val="placeholder"/>
        </w:category>
        <w:types>
          <w:type w:val="bbPlcHdr"/>
        </w:types>
        <w:behaviors>
          <w:behavior w:val="content"/>
        </w:behaviors>
        <w:guid w:val="{DF42559A-0429-41F8-9FF9-7DACFF115833}"/>
      </w:docPartPr>
      <w:docPartBody>
        <w:p w:rsidR="00000000" w:rsidRDefault="005F3AC0" w:rsidP="005F3AC0">
          <w:pPr>
            <w:pStyle w:val="89A55DE0AEB4472D9D30A2495C08D9FE"/>
          </w:pPr>
          <w:r>
            <w:rPr>
              <w:rFonts w:asciiTheme="majorHAnsi" w:eastAsiaTheme="majorEastAsia" w:hAnsiTheme="majorHAnsi" w:cstheme="majorBidi"/>
              <w:caps/>
              <w:color w:val="4472C4" w:themeColor="accent1"/>
              <w:sz w:val="80"/>
              <w:szCs w:val="80"/>
            </w:rPr>
            <w:t>[Document title]</w:t>
          </w:r>
        </w:p>
      </w:docPartBody>
    </w:docPart>
    <w:docPart>
      <w:docPartPr>
        <w:name w:val="41060FA48BBD476790B347F5C285AD60"/>
        <w:category>
          <w:name w:val="General"/>
          <w:gallery w:val="placeholder"/>
        </w:category>
        <w:types>
          <w:type w:val="bbPlcHdr"/>
        </w:types>
        <w:behaviors>
          <w:behavior w:val="content"/>
        </w:behaviors>
        <w:guid w:val="{E27BE3E6-4ACB-402B-A445-C0F9250E7E7E}"/>
      </w:docPartPr>
      <w:docPartBody>
        <w:p w:rsidR="00000000" w:rsidRDefault="005F3AC0" w:rsidP="005F3AC0">
          <w:pPr>
            <w:pStyle w:val="41060FA48BBD476790B347F5C285AD60"/>
          </w:pPr>
          <w:r>
            <w:rPr>
              <w:color w:val="4472C4"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F3AC0"/>
    <w:rsid w:val="005F3AC0"/>
    <w:rsid w:val="00FE1F3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en-GB" w:eastAsia="en-GB"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9922AD0D79043D3B101E4151F50B70B">
    <w:name w:val="C9922AD0D79043D3B101E4151F50B70B"/>
    <w:rsid w:val="005F3AC0"/>
  </w:style>
  <w:style w:type="paragraph" w:customStyle="1" w:styleId="88A10F4784334382848BCE08261C6FE2">
    <w:name w:val="88A10F4784334382848BCE08261C6FE2"/>
    <w:rsid w:val="005F3AC0"/>
  </w:style>
  <w:style w:type="paragraph" w:customStyle="1" w:styleId="645AEEB7592641C585A2D36E29AA6C6F">
    <w:name w:val="645AEEB7592641C585A2D36E29AA6C6F"/>
    <w:rsid w:val="005F3AC0"/>
  </w:style>
  <w:style w:type="paragraph" w:customStyle="1" w:styleId="68B916C1D6274F4BA7CAE68655023334">
    <w:name w:val="68B916C1D6274F4BA7CAE68655023334"/>
    <w:rsid w:val="005F3AC0"/>
  </w:style>
  <w:style w:type="paragraph" w:customStyle="1" w:styleId="89A55DE0AEB4472D9D30A2495C08D9FE">
    <w:name w:val="89A55DE0AEB4472D9D30A2495C08D9FE"/>
    <w:rsid w:val="005F3AC0"/>
  </w:style>
  <w:style w:type="paragraph" w:customStyle="1" w:styleId="41060FA48BBD476790B347F5C285AD60">
    <w:name w:val="41060FA48BBD476790B347F5C285AD60"/>
    <w:rsid w:val="005F3AC0"/>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Syeda Begum</PublishDate>
  <Abstract/>
  <CompanyAddress>Lecturer: Helen Lee</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Normal.dotm</Template>
  <TotalTime>11</TotalTime>
  <Pages>10</Pages>
  <Words>2687</Words>
  <Characters>15321</Characters>
  <Application>Microsoft Office Word</Application>
  <DocSecurity>0</DocSecurity>
  <Lines>127</Lines>
  <Paragraphs>35</Paragraphs>
  <ScaleCrop>false</ScaleCrop>
  <HeadingPairs>
    <vt:vector size="2" baseType="variant">
      <vt:variant>
        <vt:lpstr>Title</vt:lpstr>
      </vt:variant>
      <vt:variant>
        <vt:i4>1</vt:i4>
      </vt:variant>
    </vt:vector>
  </HeadingPairs>
  <TitlesOfParts>
    <vt:vector size="1" baseType="lpstr">
      <vt:lpstr/>
    </vt:vector>
  </TitlesOfParts>
  <Company>student id: 2227588</Company>
  <LinksUpToDate>false</LinksUpToDate>
  <CharactersWithSpaces>17973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Discuss how the evolution of HRM facilitates the strategic development of an international hotel brand through workforce planning, recruitment and selection</dc:title>
  <dc:subject>Personnel Resourcing and Development, BMIH5005</dc:subject>
  <dc:creator>Ehsana Begum</dc:creator>
  <cp:keywords/>
  <dc:description/>
  <cp:lastModifiedBy>Ehsana Begum</cp:lastModifiedBy>
  <cp:revision>4</cp:revision>
  <dcterms:created xsi:type="dcterms:W3CDTF">2024-02-04T14:07:00Z</dcterms:created>
  <dcterms:modified xsi:type="dcterms:W3CDTF">2024-02-04T14:23:00Z</dcterms:modified>
</cp:coreProperties>
</file>