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3F51F" w14:textId="45FD1074" w:rsidR="000F5E95" w:rsidRDefault="000F5E95" w:rsidP="00B51699">
      <w:pPr>
        <w:jc w:val="center"/>
        <w:rPr>
          <w:b/>
          <w:bCs/>
          <w:sz w:val="28"/>
          <w:szCs w:val="28"/>
        </w:rPr>
      </w:pPr>
      <w:r>
        <w:rPr>
          <w:b/>
          <w:bCs/>
          <w:sz w:val="28"/>
          <w:szCs w:val="28"/>
        </w:rPr>
        <w:t>Healthy Weight Healthy Wales: A digital growth chart for Wales</w:t>
      </w:r>
    </w:p>
    <w:p w14:paraId="21EEE105" w14:textId="77777777" w:rsidR="000F5E95" w:rsidRDefault="000F5E95">
      <w:pPr>
        <w:rPr>
          <w:b/>
          <w:bCs/>
          <w:sz w:val="28"/>
          <w:szCs w:val="28"/>
        </w:rPr>
      </w:pPr>
    </w:p>
    <w:p w14:paraId="7BE0ABCA" w14:textId="596F67D3" w:rsidR="00F66748" w:rsidRPr="00BB0FB0" w:rsidRDefault="00F66748">
      <w:pPr>
        <w:rPr>
          <w:b/>
          <w:bCs/>
          <w:sz w:val="28"/>
          <w:szCs w:val="28"/>
        </w:rPr>
      </w:pPr>
      <w:r w:rsidRPr="00BB0FB0">
        <w:rPr>
          <w:b/>
          <w:bCs/>
          <w:sz w:val="28"/>
          <w:szCs w:val="28"/>
        </w:rPr>
        <w:t>Introduction</w:t>
      </w:r>
    </w:p>
    <w:p w14:paraId="34EDF564" w14:textId="32CB203A" w:rsidR="00B957BE" w:rsidRPr="00F73028" w:rsidRDefault="0076663E" w:rsidP="00F73028">
      <w:pPr>
        <w:ind w:firstLine="720"/>
        <w:rPr>
          <w:rFonts w:cstheme="minorHAnsi"/>
          <w:color w:val="333333"/>
        </w:rPr>
      </w:pPr>
      <w:r w:rsidRPr="008C1968">
        <w:rPr>
          <w:rFonts w:cstheme="minorHAnsi"/>
          <w:color w:val="000000"/>
          <w:shd w:val="clear" w:color="auto" w:fill="FFFFFF"/>
        </w:rPr>
        <w:t>Growth is an important indicator of a child's health (RCPCH</w:t>
      </w:r>
      <w:r w:rsidR="005A1068">
        <w:rPr>
          <w:rFonts w:cstheme="minorHAnsi"/>
          <w:color w:val="000000"/>
          <w:shd w:val="clear" w:color="auto" w:fill="FFFFFF"/>
        </w:rPr>
        <w:t>, 2022</w:t>
      </w:r>
      <w:r w:rsidRPr="008C1968">
        <w:rPr>
          <w:rFonts w:cstheme="minorHAnsi"/>
          <w:color w:val="000000"/>
          <w:shd w:val="clear" w:color="auto" w:fill="FFFFFF"/>
        </w:rPr>
        <w:t>)</w:t>
      </w:r>
      <w:r w:rsidR="008C1968" w:rsidRPr="008C1968">
        <w:rPr>
          <w:rFonts w:cstheme="minorHAnsi"/>
          <w:color w:val="000000"/>
          <w:shd w:val="clear" w:color="auto" w:fill="FFFFFF"/>
        </w:rPr>
        <w:t xml:space="preserve"> and wellbeing. </w:t>
      </w:r>
      <w:r w:rsidR="0079464B" w:rsidRPr="008C1968">
        <w:rPr>
          <w:rStyle w:val="Strong"/>
          <w:rFonts w:cstheme="minorHAnsi"/>
          <w:b w:val="0"/>
          <w:bCs w:val="0"/>
          <w:color w:val="333333"/>
          <w:bdr w:val="none" w:sz="0" w:space="0" w:color="auto" w:frame="1"/>
        </w:rPr>
        <w:t>Serial weight and height</w:t>
      </w:r>
      <w:r w:rsidR="005A1068">
        <w:rPr>
          <w:rFonts w:cstheme="minorHAnsi"/>
          <w:color w:val="333333"/>
        </w:rPr>
        <w:t xml:space="preserve"> </w:t>
      </w:r>
      <w:r w:rsidR="0079464B" w:rsidRPr="008C1968">
        <w:rPr>
          <w:rFonts w:cstheme="minorHAnsi"/>
          <w:color w:val="333333"/>
        </w:rPr>
        <w:t xml:space="preserve">measurements are necessary for the assessment of normal growth and </w:t>
      </w:r>
      <w:r w:rsidR="008C1968">
        <w:rPr>
          <w:rFonts w:cstheme="minorHAnsi"/>
          <w:color w:val="333333"/>
        </w:rPr>
        <w:t xml:space="preserve">for early identification of under or over nutrition but also as a form of reassurance for parents that their child is growing appropriately. </w:t>
      </w:r>
      <w:r w:rsidR="00D939F0">
        <w:rPr>
          <w:rStyle w:val="Strong"/>
          <w:rFonts w:cstheme="minorHAnsi"/>
          <w:b w:val="0"/>
          <w:bCs w:val="0"/>
          <w:color w:val="333333"/>
          <w:bdr w:val="none" w:sz="0" w:space="0" w:color="auto" w:frame="1"/>
        </w:rPr>
        <w:t>The measurement of h</w:t>
      </w:r>
      <w:r w:rsidR="0079464B" w:rsidRPr="008C1968">
        <w:rPr>
          <w:rStyle w:val="Strong"/>
          <w:rFonts w:cstheme="minorHAnsi"/>
          <w:b w:val="0"/>
          <w:bCs w:val="0"/>
          <w:color w:val="333333"/>
          <w:bdr w:val="none" w:sz="0" w:space="0" w:color="auto" w:frame="1"/>
        </w:rPr>
        <w:t>ead circumference</w:t>
      </w:r>
      <w:r w:rsidR="005A1068">
        <w:rPr>
          <w:rFonts w:cstheme="minorHAnsi"/>
          <w:color w:val="333333"/>
        </w:rPr>
        <w:t xml:space="preserve"> </w:t>
      </w:r>
      <w:r w:rsidR="00D939F0">
        <w:rPr>
          <w:rFonts w:cstheme="minorHAnsi"/>
          <w:color w:val="333333"/>
        </w:rPr>
        <w:t>is important for early identification of conditions such as hydrocephalus</w:t>
      </w:r>
      <w:r w:rsidR="0079464B" w:rsidRPr="008C1968">
        <w:rPr>
          <w:rFonts w:cstheme="minorHAnsi"/>
          <w:color w:val="333333"/>
        </w:rPr>
        <w:t>.</w:t>
      </w:r>
      <w:r w:rsidR="00F73028">
        <w:rPr>
          <w:rFonts w:cstheme="minorHAnsi"/>
          <w:color w:val="333333"/>
        </w:rPr>
        <w:t xml:space="preserve">  </w:t>
      </w:r>
      <w:r w:rsidR="00B957BE" w:rsidRPr="00F73028">
        <w:t>NICE guidance recommends that all babies and preschool children have their measurements plotted on a growth chart. If concerns are raised about the growth of a baby or preschool child, regular measurement and plotting of their weight and length or height on the</w:t>
      </w:r>
      <w:r w:rsidR="00396E1D">
        <w:t xml:space="preserve"> UK-WHO growth chart in</w:t>
      </w:r>
      <w:r w:rsidR="00B957BE" w:rsidRPr="00F73028">
        <w:t xml:space="preserve"> their personal child health record ('red book'), or electronic equivalent, can confirm whether their growth is faltering.</w:t>
      </w:r>
      <w:r w:rsidR="00D939F0">
        <w:t xml:space="preserve"> (NICE Guidance, 2020)</w:t>
      </w:r>
    </w:p>
    <w:p w14:paraId="4F4DC058" w14:textId="7EBB4005" w:rsidR="008C1968" w:rsidRPr="00D7718C" w:rsidRDefault="008C1968" w:rsidP="00B957BE">
      <w:pPr>
        <w:pStyle w:val="NormalWeb"/>
        <w:spacing w:before="0" w:beforeAutospacing="0" w:after="240" w:afterAutospacing="0" w:line="336" w:lineRule="atLeast"/>
        <w:ind w:firstLine="720"/>
        <w:textAlignment w:val="baseline"/>
        <w:rPr>
          <w:rFonts w:asciiTheme="minorHAnsi" w:hAnsiTheme="minorHAnsi" w:cstheme="minorHAnsi"/>
          <w:color w:val="333333"/>
          <w:sz w:val="22"/>
          <w:szCs w:val="22"/>
        </w:rPr>
      </w:pPr>
      <w:r w:rsidRPr="00D7718C">
        <w:rPr>
          <w:rFonts w:asciiTheme="minorHAnsi" w:hAnsiTheme="minorHAnsi" w:cstheme="minorHAnsi"/>
          <w:color w:val="333333"/>
          <w:sz w:val="22"/>
          <w:szCs w:val="22"/>
        </w:rPr>
        <w:t xml:space="preserve">In 2006, </w:t>
      </w:r>
      <w:r w:rsidR="00D7718C" w:rsidRPr="00D7718C">
        <w:rPr>
          <w:rFonts w:asciiTheme="minorHAnsi" w:hAnsiTheme="minorHAnsi" w:cstheme="minorHAnsi"/>
          <w:color w:val="333333"/>
          <w:sz w:val="22"/>
          <w:szCs w:val="22"/>
        </w:rPr>
        <w:t>the World Health Organisation</w:t>
      </w:r>
      <w:r w:rsidR="00DA753D">
        <w:rPr>
          <w:rFonts w:asciiTheme="minorHAnsi" w:hAnsiTheme="minorHAnsi" w:cstheme="minorHAnsi"/>
          <w:color w:val="333333"/>
          <w:sz w:val="22"/>
          <w:szCs w:val="22"/>
        </w:rPr>
        <w:t xml:space="preserve"> </w:t>
      </w:r>
      <w:r w:rsidR="00DA753D" w:rsidRPr="00DA753D">
        <w:rPr>
          <w:rFonts w:asciiTheme="minorHAnsi" w:hAnsiTheme="minorHAnsi" w:cstheme="minorHAnsi"/>
          <w:color w:val="212121"/>
          <w:sz w:val="22"/>
          <w:szCs w:val="22"/>
          <w:shd w:val="clear" w:color="auto" w:fill="FFFFFF"/>
        </w:rPr>
        <w:t>Multicentre Growth Reference Study Group</w:t>
      </w:r>
      <w:r w:rsidR="00D7718C" w:rsidRPr="00D7718C">
        <w:rPr>
          <w:rFonts w:asciiTheme="minorHAnsi" w:hAnsiTheme="minorHAnsi" w:cstheme="minorHAnsi"/>
          <w:color w:val="333333"/>
          <w:sz w:val="22"/>
          <w:szCs w:val="22"/>
        </w:rPr>
        <w:t xml:space="preserve"> (</w:t>
      </w:r>
      <w:r w:rsidRPr="00D7718C">
        <w:rPr>
          <w:rFonts w:asciiTheme="minorHAnsi" w:hAnsiTheme="minorHAnsi" w:cstheme="minorHAnsi"/>
          <w:color w:val="333333"/>
          <w:sz w:val="22"/>
          <w:szCs w:val="22"/>
        </w:rPr>
        <w:t>WHO</w:t>
      </w:r>
      <w:r w:rsidR="00DA753D">
        <w:rPr>
          <w:rFonts w:asciiTheme="minorHAnsi" w:hAnsiTheme="minorHAnsi" w:cstheme="minorHAnsi"/>
          <w:color w:val="333333"/>
          <w:sz w:val="22"/>
          <w:szCs w:val="22"/>
        </w:rPr>
        <w:t>, 2006</w:t>
      </w:r>
      <w:r w:rsidR="00D7718C" w:rsidRPr="00D7718C">
        <w:rPr>
          <w:rFonts w:asciiTheme="minorHAnsi" w:hAnsiTheme="minorHAnsi" w:cstheme="minorHAnsi"/>
          <w:color w:val="333333"/>
          <w:sz w:val="22"/>
          <w:szCs w:val="22"/>
        </w:rPr>
        <w:t>)</w:t>
      </w:r>
      <w:r w:rsidRPr="00D7718C">
        <w:rPr>
          <w:rFonts w:asciiTheme="minorHAnsi" w:hAnsiTheme="minorHAnsi" w:cstheme="minorHAnsi"/>
          <w:color w:val="333333"/>
          <w:sz w:val="22"/>
          <w:szCs w:val="22"/>
        </w:rPr>
        <w:t xml:space="preserve"> published growth standards for babies and young children based on the growth of healthy breastfed children in optimal conditions from six different countries. In 2009, UK-WHO charts were published (updated in 2013) </w:t>
      </w:r>
      <w:r w:rsidR="00B957BE">
        <w:rPr>
          <w:rFonts w:asciiTheme="minorHAnsi" w:hAnsiTheme="minorHAnsi" w:cstheme="minorHAnsi"/>
          <w:color w:val="333333"/>
          <w:sz w:val="22"/>
          <w:szCs w:val="22"/>
        </w:rPr>
        <w:t>and</w:t>
      </w:r>
      <w:r w:rsidRPr="00D7718C">
        <w:rPr>
          <w:rFonts w:asciiTheme="minorHAnsi" w:hAnsiTheme="minorHAnsi" w:cstheme="minorHAnsi"/>
          <w:color w:val="333333"/>
          <w:sz w:val="22"/>
          <w:szCs w:val="22"/>
        </w:rPr>
        <w:t xml:space="preserve"> are appropriate for all babies whether breast or bottle-fed and for all children under the age of 4 years. The 9-centile format is a unique UK invention, which allows the extremes of growth to be more sensitively recorded</w:t>
      </w:r>
      <w:r w:rsidR="00D7718C" w:rsidRPr="00D7718C">
        <w:rPr>
          <w:rFonts w:asciiTheme="minorHAnsi" w:hAnsiTheme="minorHAnsi" w:cstheme="minorHAnsi"/>
          <w:color w:val="333333"/>
          <w:sz w:val="22"/>
          <w:szCs w:val="22"/>
        </w:rPr>
        <w:t xml:space="preserve"> with t</w:t>
      </w:r>
      <w:r w:rsidRPr="00D7718C">
        <w:rPr>
          <w:rFonts w:asciiTheme="minorHAnsi" w:hAnsiTheme="minorHAnsi" w:cstheme="minorHAnsi"/>
          <w:color w:val="333333"/>
          <w:sz w:val="22"/>
          <w:szCs w:val="22"/>
        </w:rPr>
        <w:t>he centiles themselves describ</w:t>
      </w:r>
      <w:r w:rsidR="00D7718C" w:rsidRPr="00D7718C">
        <w:rPr>
          <w:rFonts w:asciiTheme="minorHAnsi" w:hAnsiTheme="minorHAnsi" w:cstheme="minorHAnsi"/>
          <w:color w:val="333333"/>
          <w:sz w:val="22"/>
          <w:szCs w:val="22"/>
        </w:rPr>
        <w:t>ing</w:t>
      </w:r>
      <w:r w:rsidRPr="00D7718C">
        <w:rPr>
          <w:rFonts w:asciiTheme="minorHAnsi" w:hAnsiTheme="minorHAnsi" w:cstheme="minorHAnsi"/>
          <w:color w:val="333333"/>
          <w:sz w:val="22"/>
          <w:szCs w:val="22"/>
        </w:rPr>
        <w:t xml:space="preserve"> what percentage of the population is above or below a centile line at any age (e.g. 25th centile: 25% of children will be shorter, 75% of children will be taller)</w:t>
      </w:r>
    </w:p>
    <w:p w14:paraId="77E23B62" w14:textId="3F5CBEB1" w:rsidR="00B53BAC" w:rsidRDefault="00644FCB" w:rsidP="00B53BAC">
      <w:pPr>
        <w:spacing w:after="0" w:line="336" w:lineRule="atLeast"/>
        <w:ind w:firstLine="720"/>
        <w:textAlignment w:val="baseline"/>
        <w:rPr>
          <w:rFonts w:cstheme="minorHAnsi"/>
          <w:color w:val="333333"/>
        </w:rPr>
      </w:pPr>
      <w:r w:rsidRPr="0079464B">
        <w:rPr>
          <w:rFonts w:eastAsia="Times New Roman" w:cstheme="minorHAnsi"/>
          <w:color w:val="333333"/>
          <w:lang w:eastAsia="en-GB"/>
        </w:rPr>
        <w:t>The Healthy Child Programme schedule recommends weighing at routine contacts</w:t>
      </w:r>
      <w:r w:rsidR="00396E1D">
        <w:rPr>
          <w:rFonts w:eastAsia="Times New Roman" w:cstheme="minorHAnsi"/>
          <w:color w:val="333333"/>
          <w:lang w:eastAsia="en-GB"/>
        </w:rPr>
        <w:t>:</w:t>
      </w:r>
      <w:r w:rsidR="00B53BAC">
        <w:rPr>
          <w:rFonts w:eastAsia="Times New Roman" w:cstheme="minorHAnsi"/>
          <w:color w:val="333333"/>
          <w:lang w:eastAsia="en-GB"/>
        </w:rPr>
        <w:t xml:space="preserve"> </w:t>
      </w:r>
      <w:r w:rsidRPr="0079464B">
        <w:rPr>
          <w:rFonts w:eastAsia="Times New Roman" w:cstheme="minorHAnsi"/>
          <w:color w:val="333333"/>
          <w:lang w:eastAsia="en-GB"/>
        </w:rPr>
        <w:t>2 weeks</w:t>
      </w:r>
      <w:r w:rsidR="00B53BAC">
        <w:rPr>
          <w:rFonts w:eastAsia="Times New Roman" w:cstheme="minorHAnsi"/>
          <w:color w:val="333333"/>
          <w:lang w:eastAsia="en-GB"/>
        </w:rPr>
        <w:t xml:space="preserve">; </w:t>
      </w:r>
      <w:r w:rsidRPr="00B53BAC">
        <w:rPr>
          <w:rFonts w:eastAsia="Times New Roman" w:cstheme="minorHAnsi"/>
          <w:color w:val="333333"/>
          <w:lang w:eastAsia="en-GB"/>
        </w:rPr>
        <w:t>6-12 months</w:t>
      </w:r>
      <w:r w:rsidR="00B53BAC">
        <w:rPr>
          <w:rFonts w:eastAsia="Times New Roman" w:cstheme="minorHAnsi"/>
          <w:color w:val="333333"/>
          <w:lang w:eastAsia="en-GB"/>
        </w:rPr>
        <w:t xml:space="preserve">; </w:t>
      </w:r>
      <w:r w:rsidRPr="00B53BAC">
        <w:rPr>
          <w:rFonts w:eastAsia="Times New Roman" w:cstheme="minorHAnsi"/>
          <w:color w:val="333333"/>
          <w:lang w:eastAsia="en-GB"/>
        </w:rPr>
        <w:t>2-2½ years</w:t>
      </w:r>
      <w:r w:rsidR="00B53BAC">
        <w:rPr>
          <w:rFonts w:eastAsia="Times New Roman" w:cstheme="minorHAnsi"/>
          <w:color w:val="333333"/>
          <w:lang w:eastAsia="en-GB"/>
        </w:rPr>
        <w:t xml:space="preserve">; </w:t>
      </w:r>
      <w:r w:rsidRPr="00B53BAC">
        <w:rPr>
          <w:rFonts w:eastAsia="Times New Roman" w:cstheme="minorHAnsi"/>
          <w:color w:val="333333"/>
          <w:lang w:eastAsia="en-GB"/>
        </w:rPr>
        <w:t>School entry (4-5 years)</w:t>
      </w:r>
      <w:r w:rsidR="00B53BAC">
        <w:rPr>
          <w:rFonts w:eastAsia="Times New Roman" w:cstheme="minorHAnsi"/>
          <w:color w:val="333333"/>
          <w:lang w:eastAsia="en-GB"/>
        </w:rPr>
        <w:t xml:space="preserve">; </w:t>
      </w:r>
      <w:r w:rsidRPr="00B53BAC">
        <w:rPr>
          <w:rFonts w:eastAsia="Times New Roman" w:cstheme="minorHAnsi"/>
          <w:color w:val="333333"/>
          <w:lang w:eastAsia="en-GB"/>
        </w:rPr>
        <w:t>End of primary school (10-11 years)</w:t>
      </w:r>
      <w:r w:rsidR="00B53BAC">
        <w:rPr>
          <w:rFonts w:eastAsia="Times New Roman" w:cstheme="minorHAnsi"/>
          <w:color w:val="333333"/>
          <w:lang w:eastAsia="en-GB"/>
        </w:rPr>
        <w:t xml:space="preserve">  </w:t>
      </w:r>
      <w:r w:rsidR="00C357F8">
        <w:rPr>
          <w:rFonts w:eastAsia="Times New Roman" w:cstheme="minorHAnsi"/>
          <w:color w:val="333333"/>
          <w:lang w:eastAsia="en-GB"/>
        </w:rPr>
        <w:t xml:space="preserve">(Department of Health, 2009) </w:t>
      </w:r>
      <w:r>
        <w:rPr>
          <w:rFonts w:eastAsia="Times New Roman" w:cstheme="minorHAnsi"/>
          <w:color w:val="333333"/>
          <w:lang w:eastAsia="en-GB"/>
        </w:rPr>
        <w:t>B</w:t>
      </w:r>
      <w:r w:rsidRPr="0079464B">
        <w:rPr>
          <w:rFonts w:eastAsia="Times New Roman" w:cstheme="minorHAnsi"/>
          <w:color w:val="333333"/>
          <w:lang w:eastAsia="en-GB"/>
        </w:rPr>
        <w:t>abies should be weighed more frequently if there is concern about poor or excessive weight gain</w:t>
      </w:r>
      <w:r>
        <w:rPr>
          <w:rFonts w:eastAsia="Times New Roman" w:cstheme="minorHAnsi"/>
          <w:color w:val="333333"/>
          <w:lang w:eastAsia="en-GB"/>
        </w:rPr>
        <w:t xml:space="preserve">. </w:t>
      </w:r>
      <w:r w:rsidR="00F73028">
        <w:rPr>
          <w:rFonts w:eastAsia="Times New Roman" w:cstheme="minorHAnsi"/>
          <w:color w:val="333333"/>
          <w:lang w:eastAsia="en-GB"/>
        </w:rPr>
        <w:t xml:space="preserve"> </w:t>
      </w:r>
      <w:r w:rsidR="00532F02" w:rsidRPr="00644FCB">
        <w:rPr>
          <w:rFonts w:cstheme="minorHAnsi"/>
          <w:color w:val="333333"/>
        </w:rPr>
        <w:t xml:space="preserve">Recording measurements accurately is just as important as taking them. </w:t>
      </w:r>
      <w:r w:rsidR="00B53BAC">
        <w:rPr>
          <w:rFonts w:cstheme="minorHAnsi"/>
          <w:color w:val="333333"/>
        </w:rPr>
        <w:t xml:space="preserve"> </w:t>
      </w:r>
      <w:r w:rsidR="00532F02" w:rsidRPr="00644FCB">
        <w:rPr>
          <w:rFonts w:cstheme="minorHAnsi"/>
          <w:color w:val="333333"/>
        </w:rPr>
        <w:t>Over time, a well-plotted growth chart may help to identify a number of weight or growth-related conditions.</w:t>
      </w:r>
    </w:p>
    <w:p w14:paraId="3BED9060" w14:textId="77777777" w:rsidR="00B53BAC" w:rsidRDefault="00B53BAC" w:rsidP="00B53BAC">
      <w:pPr>
        <w:spacing w:after="0" w:line="336" w:lineRule="atLeast"/>
        <w:textAlignment w:val="baseline"/>
        <w:rPr>
          <w:rFonts w:cstheme="minorHAnsi"/>
          <w:color w:val="333333"/>
        </w:rPr>
      </w:pPr>
    </w:p>
    <w:p w14:paraId="7CE0002E" w14:textId="426F210D" w:rsidR="00532F02" w:rsidRPr="00B53BAC" w:rsidRDefault="00532F02" w:rsidP="00B53BAC">
      <w:pPr>
        <w:spacing w:after="0" w:line="336" w:lineRule="atLeast"/>
        <w:ind w:firstLine="720"/>
        <w:textAlignment w:val="baseline"/>
        <w:rPr>
          <w:rFonts w:eastAsia="Times New Roman" w:cstheme="minorHAnsi"/>
          <w:color w:val="333333"/>
          <w:lang w:eastAsia="en-GB"/>
        </w:rPr>
      </w:pPr>
      <w:r w:rsidRPr="00644FCB">
        <w:rPr>
          <w:rFonts w:cstheme="minorHAnsi"/>
          <w:color w:val="333333"/>
        </w:rPr>
        <w:t>Growth charts are available through the Royal College of Paediatrics and Child Health</w:t>
      </w:r>
      <w:r w:rsidR="00396E1D">
        <w:rPr>
          <w:rFonts w:cstheme="minorHAnsi"/>
          <w:color w:val="333333"/>
        </w:rPr>
        <w:t xml:space="preserve"> and </w:t>
      </w:r>
      <w:r w:rsidRPr="00644FCB">
        <w:rPr>
          <w:rFonts w:cstheme="minorHAnsi"/>
          <w:color w:val="333333"/>
        </w:rPr>
        <w:t xml:space="preserve">are separated into pre-school years and school years. Within these are also options for closer monitoring e.g. for infants, toddlers, children or teenagers with health or nutritional problems </w:t>
      </w:r>
      <w:r w:rsidRPr="00F73028">
        <w:rPr>
          <w:rFonts w:cstheme="minorHAnsi"/>
          <w:color w:val="333333"/>
        </w:rPr>
        <w:t>that may warrant increased surveillance. There are also charts available specific to conditions e.g. Down's Syndrome and for premature babies</w:t>
      </w:r>
      <w:r w:rsidR="000627C7" w:rsidRPr="00F73028">
        <w:rPr>
          <w:rFonts w:cstheme="minorHAnsi"/>
          <w:color w:val="333333"/>
        </w:rPr>
        <w:t>.</w:t>
      </w:r>
      <w:r w:rsidR="00396E1D">
        <w:rPr>
          <w:rFonts w:cstheme="minorHAnsi"/>
          <w:color w:val="333333"/>
        </w:rPr>
        <w:t xml:space="preserve">  </w:t>
      </w:r>
      <w:r w:rsidR="00644FCB" w:rsidRPr="00F73028">
        <w:rPr>
          <w:rFonts w:eastAsia="Times New Roman" w:cstheme="minorHAnsi"/>
          <w:color w:val="333333"/>
          <w:lang w:eastAsia="en-GB"/>
        </w:rPr>
        <w:t xml:space="preserve">Despite measures put in place to halt the year-on-year rise in </w:t>
      </w:r>
      <w:r w:rsidR="00231423">
        <w:rPr>
          <w:rFonts w:eastAsia="Times New Roman" w:cstheme="minorHAnsi"/>
          <w:color w:val="333333"/>
          <w:lang w:eastAsia="en-GB"/>
        </w:rPr>
        <w:t xml:space="preserve">childhood </w:t>
      </w:r>
      <w:r w:rsidR="00644FCB" w:rsidRPr="00F73028">
        <w:rPr>
          <w:rFonts w:eastAsia="Times New Roman" w:cstheme="minorHAnsi"/>
          <w:color w:val="333333"/>
          <w:lang w:eastAsia="en-GB"/>
        </w:rPr>
        <w:t>obesity, obesity is still a major public health concern in the UK and therefore BMI measurement should be considered at health contacts</w:t>
      </w:r>
      <w:r w:rsidR="00396E1D">
        <w:rPr>
          <w:rFonts w:eastAsia="Times New Roman" w:cstheme="minorHAnsi"/>
          <w:color w:val="333333"/>
          <w:lang w:eastAsia="en-GB"/>
        </w:rPr>
        <w:t>.</w:t>
      </w:r>
    </w:p>
    <w:p w14:paraId="38F887F6" w14:textId="77777777" w:rsidR="00396E1D" w:rsidRDefault="00396E1D" w:rsidP="00506E31">
      <w:pPr>
        <w:pStyle w:val="NormalWeb"/>
        <w:shd w:val="clear" w:color="auto" w:fill="FFFFFF"/>
        <w:spacing w:before="0" w:beforeAutospacing="0" w:after="375" w:afterAutospacing="0"/>
        <w:rPr>
          <w:rFonts w:asciiTheme="minorHAnsi" w:hAnsiTheme="minorHAnsi" w:cstheme="minorHAnsi"/>
          <w:color w:val="000000"/>
          <w:sz w:val="22"/>
          <w:szCs w:val="22"/>
        </w:rPr>
      </w:pPr>
    </w:p>
    <w:p w14:paraId="7D52FADF" w14:textId="36C60FA7" w:rsidR="00BB0FB0" w:rsidRPr="000F5E95" w:rsidRDefault="00BF3CE1" w:rsidP="00506E31">
      <w:pPr>
        <w:pStyle w:val="NormalWeb"/>
        <w:shd w:val="clear" w:color="auto" w:fill="FFFFFF"/>
        <w:spacing w:before="0" w:beforeAutospacing="0" w:after="375" w:afterAutospacing="0"/>
        <w:rPr>
          <w:rFonts w:asciiTheme="minorHAnsi" w:hAnsiTheme="minorHAnsi" w:cstheme="minorHAnsi"/>
          <w:b/>
          <w:bCs/>
          <w:color w:val="000000"/>
          <w:sz w:val="22"/>
          <w:szCs w:val="22"/>
        </w:rPr>
      </w:pPr>
      <w:r>
        <w:rPr>
          <w:rFonts w:asciiTheme="minorHAnsi" w:hAnsiTheme="minorHAnsi" w:cstheme="minorHAnsi"/>
          <w:b/>
          <w:bCs/>
          <w:color w:val="000000"/>
          <w:sz w:val="22"/>
          <w:szCs w:val="22"/>
        </w:rPr>
        <w:t>Healthy Weight Healthy Wales</w:t>
      </w:r>
      <w:r w:rsidR="00BB0FB0" w:rsidRPr="000F5E95">
        <w:rPr>
          <w:rFonts w:asciiTheme="minorHAnsi" w:hAnsiTheme="minorHAnsi" w:cstheme="minorHAnsi"/>
          <w:b/>
          <w:bCs/>
          <w:color w:val="000000"/>
          <w:sz w:val="22"/>
          <w:szCs w:val="22"/>
        </w:rPr>
        <w:t xml:space="preserve"> : Welsh Government 20</w:t>
      </w:r>
      <w:r>
        <w:rPr>
          <w:rFonts w:asciiTheme="minorHAnsi" w:hAnsiTheme="minorHAnsi" w:cstheme="minorHAnsi"/>
          <w:b/>
          <w:bCs/>
          <w:color w:val="000000"/>
          <w:sz w:val="22"/>
          <w:szCs w:val="22"/>
        </w:rPr>
        <w:t>19</w:t>
      </w:r>
    </w:p>
    <w:p w14:paraId="2AE24186" w14:textId="26BC7567" w:rsidR="001F37AD" w:rsidRDefault="00F73028" w:rsidP="00396E1D">
      <w:pPr>
        <w:pStyle w:val="NormalWeb"/>
        <w:shd w:val="clear" w:color="auto" w:fill="FFFFFF"/>
        <w:spacing w:before="0" w:beforeAutospacing="0" w:after="375" w:afterAutospacing="0"/>
        <w:ind w:firstLine="720"/>
        <w:rPr>
          <w:rFonts w:asciiTheme="minorHAnsi" w:hAnsiTheme="minorHAnsi" w:cstheme="minorHAnsi"/>
          <w:color w:val="000000"/>
          <w:sz w:val="22"/>
          <w:szCs w:val="22"/>
        </w:rPr>
      </w:pPr>
      <w:r>
        <w:rPr>
          <w:rFonts w:asciiTheme="minorHAnsi" w:hAnsiTheme="minorHAnsi" w:cstheme="minorHAnsi"/>
          <w:color w:val="000000"/>
          <w:sz w:val="22"/>
          <w:szCs w:val="22"/>
        </w:rPr>
        <w:t xml:space="preserve">The Healthy Weight Healthy Wales </w:t>
      </w:r>
      <w:r w:rsidR="00BF3CE1">
        <w:rPr>
          <w:rFonts w:asciiTheme="minorHAnsi" w:hAnsiTheme="minorHAnsi" w:cstheme="minorHAnsi"/>
          <w:color w:val="000000"/>
          <w:sz w:val="22"/>
          <w:szCs w:val="22"/>
        </w:rPr>
        <w:t>strategy of 2019 addresses</w:t>
      </w:r>
      <w:r>
        <w:rPr>
          <w:rFonts w:asciiTheme="minorHAnsi" w:hAnsiTheme="minorHAnsi" w:cstheme="minorHAnsi"/>
          <w:color w:val="000000"/>
          <w:sz w:val="22"/>
          <w:szCs w:val="22"/>
        </w:rPr>
        <w:t xml:space="preserve"> a Welsh Government </w:t>
      </w:r>
      <w:r w:rsidR="00BF3CE1">
        <w:rPr>
          <w:rFonts w:asciiTheme="minorHAnsi" w:hAnsiTheme="minorHAnsi" w:cstheme="minorHAnsi"/>
          <w:color w:val="000000"/>
          <w:sz w:val="22"/>
          <w:szCs w:val="22"/>
        </w:rPr>
        <w:t>policy</w:t>
      </w:r>
      <w:r>
        <w:rPr>
          <w:rFonts w:asciiTheme="minorHAnsi" w:hAnsiTheme="minorHAnsi" w:cstheme="minorHAnsi"/>
          <w:color w:val="000000"/>
          <w:sz w:val="22"/>
          <w:szCs w:val="22"/>
        </w:rPr>
        <w:t xml:space="preserve"> to address the significant impact poor nutrition has on the populations health.</w:t>
      </w:r>
      <w:r w:rsidR="00BF3CE1">
        <w:rPr>
          <w:rFonts w:asciiTheme="minorHAnsi" w:hAnsiTheme="minorHAnsi" w:cstheme="minorHAnsi"/>
          <w:color w:val="000000"/>
          <w:sz w:val="22"/>
          <w:szCs w:val="22"/>
        </w:rPr>
        <w:t xml:space="preserve"> (Welsh Government, </w:t>
      </w:r>
      <w:r w:rsidR="00BF3CE1">
        <w:rPr>
          <w:rFonts w:asciiTheme="minorHAnsi" w:hAnsiTheme="minorHAnsi" w:cstheme="minorHAnsi"/>
          <w:color w:val="000000"/>
          <w:sz w:val="22"/>
          <w:szCs w:val="22"/>
        </w:rPr>
        <w:lastRenderedPageBreak/>
        <w:t>2019)</w:t>
      </w:r>
      <w:r>
        <w:rPr>
          <w:rFonts w:asciiTheme="minorHAnsi" w:hAnsiTheme="minorHAnsi" w:cstheme="minorHAnsi"/>
          <w:color w:val="000000"/>
          <w:sz w:val="22"/>
          <w:szCs w:val="22"/>
        </w:rPr>
        <w:t xml:space="preserve"> The most recent Strategic Delivery </w:t>
      </w:r>
      <w:r w:rsidR="00396E1D">
        <w:rPr>
          <w:rFonts w:asciiTheme="minorHAnsi" w:hAnsiTheme="minorHAnsi" w:cstheme="minorHAnsi"/>
          <w:color w:val="000000"/>
          <w:sz w:val="22"/>
          <w:szCs w:val="22"/>
        </w:rPr>
        <w:t>P</w:t>
      </w:r>
      <w:r>
        <w:rPr>
          <w:rFonts w:asciiTheme="minorHAnsi" w:hAnsiTheme="minorHAnsi" w:cstheme="minorHAnsi"/>
          <w:color w:val="000000"/>
          <w:sz w:val="22"/>
          <w:szCs w:val="22"/>
        </w:rPr>
        <w:t xml:space="preserve">lan </w:t>
      </w:r>
      <w:r w:rsidR="00A008E5">
        <w:rPr>
          <w:rFonts w:asciiTheme="minorHAnsi" w:hAnsiTheme="minorHAnsi" w:cstheme="minorHAnsi"/>
          <w:color w:val="000000"/>
          <w:sz w:val="22"/>
          <w:szCs w:val="22"/>
        </w:rPr>
        <w:t>; ‘Healthy weight Healthy Wales</w:t>
      </w:r>
      <w:r w:rsidR="00BF3CE1">
        <w:rPr>
          <w:rFonts w:asciiTheme="minorHAnsi" w:hAnsiTheme="minorHAnsi" w:cstheme="minorHAnsi"/>
          <w:color w:val="000000"/>
          <w:sz w:val="22"/>
          <w:szCs w:val="22"/>
        </w:rPr>
        <w:t>:</w:t>
      </w:r>
      <w:r w:rsidR="00A008E5">
        <w:rPr>
          <w:rFonts w:asciiTheme="minorHAnsi" w:hAnsiTheme="minorHAnsi" w:cstheme="minorHAnsi"/>
          <w:color w:val="000000"/>
          <w:sz w:val="22"/>
          <w:szCs w:val="22"/>
        </w:rPr>
        <w:t xml:space="preserve"> moving ahead </w:t>
      </w:r>
      <w:r w:rsidR="009023E7">
        <w:rPr>
          <w:rFonts w:asciiTheme="minorHAnsi" w:hAnsiTheme="minorHAnsi" w:cstheme="minorHAnsi"/>
          <w:color w:val="000000"/>
          <w:sz w:val="22"/>
          <w:szCs w:val="22"/>
        </w:rPr>
        <w:t xml:space="preserve">in </w:t>
      </w:r>
      <w:r w:rsidR="00A008E5">
        <w:rPr>
          <w:rFonts w:asciiTheme="minorHAnsi" w:hAnsiTheme="minorHAnsi" w:cstheme="minorHAnsi"/>
          <w:color w:val="000000"/>
          <w:sz w:val="22"/>
          <w:szCs w:val="22"/>
        </w:rPr>
        <w:t xml:space="preserve">2022-2024’ </w:t>
      </w:r>
      <w:r>
        <w:rPr>
          <w:rFonts w:asciiTheme="minorHAnsi" w:hAnsiTheme="minorHAnsi" w:cstheme="minorHAnsi"/>
          <w:color w:val="000000"/>
          <w:sz w:val="22"/>
          <w:szCs w:val="22"/>
        </w:rPr>
        <w:t>was released in March 2022</w:t>
      </w:r>
      <w:r w:rsidR="00A008E5">
        <w:rPr>
          <w:rFonts w:asciiTheme="minorHAnsi" w:hAnsiTheme="minorHAnsi" w:cstheme="minorHAnsi"/>
          <w:color w:val="000000"/>
          <w:sz w:val="22"/>
          <w:szCs w:val="22"/>
        </w:rPr>
        <w:t xml:space="preserve"> (Welsh Government, 2022)</w:t>
      </w:r>
      <w:r>
        <w:rPr>
          <w:rFonts w:asciiTheme="minorHAnsi" w:hAnsiTheme="minorHAnsi" w:cstheme="minorHAnsi"/>
          <w:color w:val="000000"/>
          <w:sz w:val="22"/>
          <w:szCs w:val="22"/>
        </w:rPr>
        <w:t xml:space="preserve">. </w:t>
      </w:r>
      <w:r w:rsidR="008A24D6">
        <w:rPr>
          <w:rFonts w:asciiTheme="minorHAnsi" w:hAnsiTheme="minorHAnsi" w:cstheme="minorHAnsi"/>
          <w:color w:val="000000"/>
          <w:sz w:val="22"/>
          <w:szCs w:val="22"/>
        </w:rPr>
        <w:t>The plan particularly focussed on taking action on obesity with funding packages set out for a range of key actions with a significant emphasis on children and early years and on reducing inequalities.</w:t>
      </w:r>
      <w:r w:rsidR="00396E1D">
        <w:rPr>
          <w:rFonts w:asciiTheme="minorHAnsi" w:hAnsiTheme="minorHAnsi" w:cstheme="minorHAnsi"/>
          <w:color w:val="000000"/>
          <w:sz w:val="22"/>
          <w:szCs w:val="22"/>
        </w:rPr>
        <w:t xml:space="preserve"> </w:t>
      </w:r>
      <w:r w:rsidR="00506E31" w:rsidRPr="00506E31">
        <w:rPr>
          <w:rFonts w:asciiTheme="minorHAnsi" w:hAnsiTheme="minorHAnsi" w:cstheme="minorHAnsi"/>
          <w:color w:val="000000"/>
          <w:sz w:val="22"/>
          <w:szCs w:val="22"/>
        </w:rPr>
        <w:t xml:space="preserve"> </w:t>
      </w:r>
      <w:r w:rsidR="00F036A6">
        <w:rPr>
          <w:rFonts w:asciiTheme="minorHAnsi" w:hAnsiTheme="minorHAnsi" w:cstheme="minorHAnsi"/>
          <w:color w:val="000000"/>
          <w:sz w:val="22"/>
          <w:szCs w:val="22"/>
        </w:rPr>
        <w:t>D</w:t>
      </w:r>
      <w:r w:rsidR="00506E31" w:rsidRPr="00506E31">
        <w:rPr>
          <w:rFonts w:asciiTheme="minorHAnsi" w:hAnsiTheme="minorHAnsi" w:cstheme="minorHAnsi"/>
          <w:color w:val="000000"/>
          <w:sz w:val="22"/>
          <w:szCs w:val="22"/>
        </w:rPr>
        <w:t xml:space="preserve">ata published by the Childhood Measurement Programme 2018/19 showed a </w:t>
      </w:r>
      <w:r w:rsidR="00F036A6">
        <w:rPr>
          <w:rFonts w:asciiTheme="minorHAnsi" w:hAnsiTheme="minorHAnsi" w:cstheme="minorHAnsi"/>
          <w:color w:val="000000"/>
          <w:sz w:val="22"/>
          <w:szCs w:val="22"/>
        </w:rPr>
        <w:t xml:space="preserve">sustained </w:t>
      </w:r>
      <w:r w:rsidR="00506E31" w:rsidRPr="00506E31">
        <w:rPr>
          <w:rFonts w:asciiTheme="minorHAnsi" w:hAnsiTheme="minorHAnsi" w:cstheme="minorHAnsi"/>
          <w:color w:val="000000"/>
          <w:sz w:val="22"/>
          <w:szCs w:val="22"/>
        </w:rPr>
        <w:t xml:space="preserve">rise in childhood obesity </w:t>
      </w:r>
      <w:r w:rsidR="00F036A6">
        <w:rPr>
          <w:rFonts w:asciiTheme="minorHAnsi" w:hAnsiTheme="minorHAnsi" w:cstheme="minorHAnsi"/>
          <w:color w:val="000000"/>
          <w:sz w:val="22"/>
          <w:szCs w:val="22"/>
        </w:rPr>
        <w:t>of</w:t>
      </w:r>
      <w:r w:rsidR="00506E31" w:rsidRPr="00506E31">
        <w:rPr>
          <w:rFonts w:asciiTheme="minorHAnsi" w:hAnsiTheme="minorHAnsi" w:cstheme="minorHAnsi"/>
          <w:color w:val="000000"/>
          <w:sz w:val="22"/>
          <w:szCs w:val="22"/>
        </w:rPr>
        <w:t xml:space="preserve"> Welsh c</w:t>
      </w:r>
      <w:r w:rsidR="00F036A6">
        <w:rPr>
          <w:rFonts w:asciiTheme="minorHAnsi" w:hAnsiTheme="minorHAnsi" w:cstheme="minorHAnsi"/>
          <w:color w:val="000000"/>
          <w:sz w:val="22"/>
          <w:szCs w:val="22"/>
        </w:rPr>
        <w:t>hildren</w:t>
      </w:r>
      <w:r w:rsidR="00506E31" w:rsidRPr="00506E31">
        <w:rPr>
          <w:rFonts w:asciiTheme="minorHAnsi" w:hAnsiTheme="minorHAnsi" w:cstheme="minorHAnsi"/>
          <w:color w:val="000000"/>
          <w:sz w:val="22"/>
          <w:szCs w:val="22"/>
        </w:rPr>
        <w:t xml:space="preserve">. </w:t>
      </w:r>
      <w:r w:rsidR="00554D08">
        <w:rPr>
          <w:rFonts w:asciiTheme="minorHAnsi" w:hAnsiTheme="minorHAnsi" w:cstheme="minorHAnsi"/>
          <w:color w:val="000000"/>
          <w:sz w:val="22"/>
          <w:szCs w:val="22"/>
        </w:rPr>
        <w:t>(Public Health Wales, 2021)</w:t>
      </w:r>
    </w:p>
    <w:p w14:paraId="559E33FF" w14:textId="75D997B3" w:rsidR="00A008E5" w:rsidRDefault="001F37AD" w:rsidP="001F37AD">
      <w:pPr>
        <w:suppressAutoHyphens/>
        <w:autoSpaceDN w:val="0"/>
        <w:spacing w:line="254" w:lineRule="auto"/>
        <w:rPr>
          <w:rFonts w:ascii="Calibri" w:eastAsia="Calibri" w:hAnsi="Calibri" w:cs="Times New Roman"/>
          <w:i/>
          <w:iCs/>
          <w:sz w:val="20"/>
          <w:szCs w:val="20"/>
        </w:rPr>
      </w:pPr>
      <w:r w:rsidRPr="001F37AD">
        <w:rPr>
          <w:rFonts w:ascii="Calibri" w:eastAsia="Calibri" w:hAnsi="Calibri" w:cs="Times New Roman"/>
          <w:i/>
          <w:iCs/>
          <w:sz w:val="20"/>
          <w:szCs w:val="20"/>
        </w:rPr>
        <w:t>Healthy Wales Policy:</w:t>
      </w:r>
      <w:r w:rsidR="00A008E5">
        <w:rPr>
          <w:rFonts w:ascii="Calibri" w:eastAsia="Calibri" w:hAnsi="Calibri" w:cs="Times New Roman"/>
          <w:i/>
          <w:iCs/>
          <w:sz w:val="20"/>
          <w:szCs w:val="20"/>
        </w:rPr>
        <w:t xml:space="preserve"> National Priority Area </w:t>
      </w:r>
      <w:r w:rsidRPr="001F37AD">
        <w:rPr>
          <w:rFonts w:ascii="Calibri" w:eastAsia="Calibri" w:hAnsi="Calibri" w:cs="Times New Roman"/>
          <w:i/>
          <w:iCs/>
          <w:sz w:val="20"/>
          <w:szCs w:val="20"/>
        </w:rPr>
        <w:t>7:</w:t>
      </w:r>
      <w:r w:rsidR="00A008E5">
        <w:rPr>
          <w:rFonts w:ascii="Calibri" w:eastAsia="Calibri" w:hAnsi="Calibri" w:cs="Times New Roman"/>
          <w:i/>
          <w:iCs/>
          <w:sz w:val="20"/>
          <w:szCs w:val="20"/>
        </w:rPr>
        <w:t xml:space="preserve"> </w:t>
      </w:r>
    </w:p>
    <w:p w14:paraId="2016CE90" w14:textId="599689F1" w:rsidR="001F37AD" w:rsidRPr="001F37AD" w:rsidRDefault="00A008E5" w:rsidP="001F37AD">
      <w:pPr>
        <w:suppressAutoHyphens/>
        <w:autoSpaceDN w:val="0"/>
        <w:spacing w:line="254" w:lineRule="auto"/>
        <w:rPr>
          <w:rFonts w:ascii="Calibri" w:eastAsia="Calibri" w:hAnsi="Calibri" w:cs="Times New Roman"/>
          <w:i/>
          <w:iCs/>
          <w:sz w:val="20"/>
          <w:szCs w:val="20"/>
        </w:rPr>
      </w:pPr>
      <w:r>
        <w:rPr>
          <w:rFonts w:ascii="Calibri" w:eastAsia="Calibri" w:hAnsi="Calibri" w:cs="Times New Roman"/>
          <w:i/>
          <w:iCs/>
          <w:sz w:val="20"/>
          <w:szCs w:val="20"/>
        </w:rPr>
        <w:t>“</w:t>
      </w:r>
      <w:r w:rsidR="001F37AD" w:rsidRPr="001F37AD">
        <w:rPr>
          <w:rFonts w:ascii="Calibri" w:eastAsia="Calibri" w:hAnsi="Calibri" w:cs="Times New Roman"/>
          <w:i/>
          <w:iCs/>
          <w:sz w:val="20"/>
          <w:szCs w:val="20"/>
        </w:rPr>
        <w:t>Enhance the development of the system of prevention which enables leadership at every level.</w:t>
      </w:r>
    </w:p>
    <w:p w14:paraId="25FF3A6A" w14:textId="77777777" w:rsidR="001F37AD" w:rsidRPr="001F37AD" w:rsidRDefault="001F37AD" w:rsidP="001F37AD">
      <w:pPr>
        <w:suppressAutoHyphens/>
        <w:autoSpaceDN w:val="0"/>
        <w:spacing w:line="254" w:lineRule="auto"/>
        <w:rPr>
          <w:rFonts w:ascii="Calibri" w:eastAsia="Calibri" w:hAnsi="Calibri" w:cs="Times New Roman"/>
          <w:i/>
          <w:iCs/>
          <w:sz w:val="20"/>
          <w:szCs w:val="20"/>
        </w:rPr>
      </w:pPr>
      <w:r w:rsidRPr="001F37AD">
        <w:rPr>
          <w:rFonts w:ascii="Calibri" w:eastAsia="Calibri" w:hAnsi="Calibri" w:cs="Times New Roman"/>
          <w:i/>
          <w:iCs/>
          <w:sz w:val="20"/>
          <w:szCs w:val="20"/>
        </w:rPr>
        <w:t>● Strengthen the role of evaluation, surveillance and research to enable delivery by:</w:t>
      </w:r>
    </w:p>
    <w:p w14:paraId="0B781CBD" w14:textId="75CBBCD9" w:rsidR="001F37AD" w:rsidRDefault="001F37AD" w:rsidP="001F37AD">
      <w:pPr>
        <w:numPr>
          <w:ilvl w:val="0"/>
          <w:numId w:val="4"/>
        </w:numPr>
        <w:suppressAutoHyphens/>
        <w:autoSpaceDN w:val="0"/>
        <w:spacing w:line="254" w:lineRule="auto"/>
        <w:contextualSpacing/>
        <w:rPr>
          <w:rFonts w:ascii="Calibri" w:eastAsia="Calibri" w:hAnsi="Calibri" w:cs="Times New Roman"/>
          <w:i/>
          <w:iCs/>
          <w:sz w:val="20"/>
          <w:szCs w:val="20"/>
        </w:rPr>
      </w:pPr>
      <w:r w:rsidRPr="001F37AD">
        <w:rPr>
          <w:rFonts w:ascii="Calibri" w:eastAsia="Calibri" w:hAnsi="Calibri" w:cs="Times New Roman"/>
          <w:i/>
          <w:iCs/>
          <w:sz w:val="20"/>
          <w:szCs w:val="20"/>
        </w:rPr>
        <w:t>Taking steps to improve systematic collection and access to primary care data regarding height and weight in order to inform the development of services and understand the impact of interventions on the prevalence of overweight and obesity in Wales.</w:t>
      </w:r>
      <w:r w:rsidR="00A008E5">
        <w:rPr>
          <w:rFonts w:ascii="Calibri" w:eastAsia="Calibri" w:hAnsi="Calibri" w:cs="Times New Roman"/>
          <w:i/>
          <w:iCs/>
          <w:sz w:val="20"/>
          <w:szCs w:val="20"/>
        </w:rPr>
        <w:t xml:space="preserve">” </w:t>
      </w:r>
      <w:r w:rsidR="00A008E5" w:rsidRPr="00A008E5">
        <w:rPr>
          <w:rFonts w:ascii="Calibri" w:eastAsia="Calibri" w:hAnsi="Calibri" w:cs="Times New Roman"/>
          <w:sz w:val="20"/>
          <w:szCs w:val="20"/>
        </w:rPr>
        <w:t>(Welsh Government, 2022)</w:t>
      </w:r>
    </w:p>
    <w:p w14:paraId="5F6D6667" w14:textId="77777777" w:rsidR="001F37AD" w:rsidRPr="001F37AD" w:rsidRDefault="001F37AD" w:rsidP="001F37AD">
      <w:pPr>
        <w:suppressAutoHyphens/>
        <w:autoSpaceDN w:val="0"/>
        <w:spacing w:line="254" w:lineRule="auto"/>
        <w:ind w:left="720"/>
        <w:contextualSpacing/>
        <w:rPr>
          <w:rFonts w:ascii="Calibri" w:eastAsia="Calibri" w:hAnsi="Calibri" w:cs="Times New Roman"/>
          <w:i/>
          <w:iCs/>
          <w:sz w:val="20"/>
          <w:szCs w:val="20"/>
        </w:rPr>
      </w:pPr>
    </w:p>
    <w:p w14:paraId="65DC70C6" w14:textId="32760465" w:rsidR="00506E31" w:rsidRPr="00506E31" w:rsidRDefault="00506E31" w:rsidP="00A32D67">
      <w:pPr>
        <w:pStyle w:val="NormalWeb"/>
        <w:shd w:val="clear" w:color="auto" w:fill="FFFFFF"/>
        <w:spacing w:before="0" w:beforeAutospacing="0" w:after="375" w:afterAutospacing="0"/>
        <w:ind w:firstLine="360"/>
        <w:rPr>
          <w:rFonts w:asciiTheme="minorHAnsi" w:hAnsiTheme="minorHAnsi" w:cstheme="minorHAnsi"/>
          <w:color w:val="000000"/>
          <w:sz w:val="22"/>
          <w:szCs w:val="22"/>
        </w:rPr>
      </w:pPr>
      <w:r w:rsidRPr="00506E31">
        <w:rPr>
          <w:rFonts w:asciiTheme="minorHAnsi" w:hAnsiTheme="minorHAnsi" w:cstheme="minorHAnsi"/>
          <w:color w:val="000000"/>
          <w:sz w:val="22"/>
          <w:szCs w:val="22"/>
        </w:rPr>
        <w:t>The commitment in th</w:t>
      </w:r>
      <w:r w:rsidR="008A24D6">
        <w:rPr>
          <w:rFonts w:asciiTheme="minorHAnsi" w:hAnsiTheme="minorHAnsi" w:cstheme="minorHAnsi"/>
          <w:color w:val="000000"/>
          <w:sz w:val="22"/>
          <w:szCs w:val="22"/>
        </w:rPr>
        <w:t>e</w:t>
      </w:r>
      <w:r w:rsidRPr="00506E31">
        <w:rPr>
          <w:rFonts w:asciiTheme="minorHAnsi" w:hAnsiTheme="minorHAnsi" w:cstheme="minorHAnsi"/>
          <w:color w:val="000000"/>
          <w:sz w:val="22"/>
          <w:szCs w:val="22"/>
        </w:rPr>
        <w:t xml:space="preserve"> delivery plan to expand the</w:t>
      </w:r>
      <w:r w:rsidR="00A32D67">
        <w:rPr>
          <w:rFonts w:asciiTheme="minorHAnsi" w:hAnsiTheme="minorHAnsi" w:cstheme="minorHAnsi"/>
          <w:color w:val="000000"/>
          <w:sz w:val="22"/>
          <w:szCs w:val="22"/>
        </w:rPr>
        <w:t xml:space="preserve"> support for accurate</w:t>
      </w:r>
      <w:r w:rsidRPr="00506E31">
        <w:rPr>
          <w:rFonts w:asciiTheme="minorHAnsi" w:hAnsiTheme="minorHAnsi" w:cstheme="minorHAnsi"/>
          <w:color w:val="000000"/>
          <w:sz w:val="22"/>
          <w:szCs w:val="22"/>
        </w:rPr>
        <w:t xml:space="preserve"> </w:t>
      </w:r>
      <w:r w:rsidR="00A32D67">
        <w:rPr>
          <w:rFonts w:asciiTheme="minorHAnsi" w:hAnsiTheme="minorHAnsi" w:cstheme="minorHAnsi"/>
          <w:color w:val="000000"/>
          <w:sz w:val="22"/>
          <w:szCs w:val="22"/>
        </w:rPr>
        <w:t>c</w:t>
      </w:r>
      <w:r w:rsidRPr="00506E31">
        <w:rPr>
          <w:rFonts w:asciiTheme="minorHAnsi" w:hAnsiTheme="minorHAnsi" w:cstheme="minorHAnsi"/>
          <w:color w:val="000000"/>
          <w:sz w:val="22"/>
          <w:szCs w:val="22"/>
        </w:rPr>
        <w:t>hildhood</w:t>
      </w:r>
      <w:r w:rsidR="00A32D67">
        <w:rPr>
          <w:rFonts w:asciiTheme="minorHAnsi" w:hAnsiTheme="minorHAnsi" w:cstheme="minorHAnsi"/>
          <w:color w:val="000000"/>
          <w:sz w:val="22"/>
          <w:szCs w:val="22"/>
        </w:rPr>
        <w:t xml:space="preserve"> growth</w:t>
      </w:r>
      <w:r w:rsidRPr="00506E31">
        <w:rPr>
          <w:rFonts w:asciiTheme="minorHAnsi" w:hAnsiTheme="minorHAnsi" w:cstheme="minorHAnsi"/>
          <w:color w:val="000000"/>
          <w:sz w:val="22"/>
          <w:szCs w:val="22"/>
        </w:rPr>
        <w:t xml:space="preserve"> </w:t>
      </w:r>
      <w:r w:rsidR="00A32D67">
        <w:rPr>
          <w:rFonts w:asciiTheme="minorHAnsi" w:hAnsiTheme="minorHAnsi" w:cstheme="minorHAnsi"/>
          <w:color w:val="000000"/>
          <w:sz w:val="22"/>
          <w:szCs w:val="22"/>
        </w:rPr>
        <w:t>m</w:t>
      </w:r>
      <w:r w:rsidRPr="00506E31">
        <w:rPr>
          <w:rFonts w:asciiTheme="minorHAnsi" w:hAnsiTheme="minorHAnsi" w:cstheme="minorHAnsi"/>
          <w:color w:val="000000"/>
          <w:sz w:val="22"/>
          <w:szCs w:val="22"/>
        </w:rPr>
        <w:t>easurement</w:t>
      </w:r>
      <w:r w:rsidR="00A32D67">
        <w:rPr>
          <w:rFonts w:asciiTheme="minorHAnsi" w:hAnsiTheme="minorHAnsi" w:cstheme="minorHAnsi"/>
          <w:color w:val="000000"/>
          <w:sz w:val="22"/>
          <w:szCs w:val="22"/>
        </w:rPr>
        <w:t>s</w:t>
      </w:r>
      <w:r w:rsidRPr="00506E31">
        <w:rPr>
          <w:rFonts w:asciiTheme="minorHAnsi" w:hAnsiTheme="minorHAnsi" w:cstheme="minorHAnsi"/>
          <w:color w:val="000000"/>
          <w:sz w:val="22"/>
          <w:szCs w:val="22"/>
        </w:rPr>
        <w:t xml:space="preserve"> is crucial so that </w:t>
      </w:r>
      <w:r w:rsidR="008A24D6">
        <w:rPr>
          <w:rFonts w:asciiTheme="minorHAnsi" w:hAnsiTheme="minorHAnsi" w:cstheme="minorHAnsi"/>
          <w:color w:val="000000"/>
          <w:sz w:val="22"/>
          <w:szCs w:val="22"/>
        </w:rPr>
        <w:t>healthcare providers have the necessary data about children and young people to instigate timely interventions.</w:t>
      </w:r>
      <w:r w:rsidR="0049362A">
        <w:rPr>
          <w:rFonts w:asciiTheme="minorHAnsi" w:hAnsiTheme="minorHAnsi" w:cstheme="minorHAnsi"/>
          <w:color w:val="000000"/>
          <w:sz w:val="22"/>
          <w:szCs w:val="22"/>
        </w:rPr>
        <w:t>1</w:t>
      </w:r>
      <w:r w:rsidR="00BC6F92">
        <w:rPr>
          <w:rFonts w:asciiTheme="minorHAnsi" w:hAnsiTheme="minorHAnsi" w:cstheme="minorHAnsi"/>
          <w:color w:val="000000"/>
          <w:sz w:val="22"/>
          <w:szCs w:val="22"/>
        </w:rPr>
        <w:t xml:space="preserve"> (Tuthill, 2022)</w:t>
      </w:r>
      <w:r w:rsidR="001F37AD">
        <w:rPr>
          <w:rFonts w:asciiTheme="minorHAnsi" w:hAnsiTheme="minorHAnsi" w:cstheme="minorHAnsi"/>
          <w:color w:val="000000"/>
          <w:sz w:val="22"/>
          <w:szCs w:val="22"/>
        </w:rPr>
        <w:t xml:space="preserve"> </w:t>
      </w:r>
      <w:r w:rsidR="008A24D6">
        <w:rPr>
          <w:rFonts w:asciiTheme="minorHAnsi" w:hAnsiTheme="minorHAnsi" w:cstheme="minorHAnsi"/>
          <w:color w:val="000000"/>
          <w:sz w:val="22"/>
          <w:szCs w:val="22"/>
        </w:rPr>
        <w:t xml:space="preserve">Without </w:t>
      </w:r>
      <w:r w:rsidR="001F37AD">
        <w:rPr>
          <w:rFonts w:asciiTheme="minorHAnsi" w:hAnsiTheme="minorHAnsi" w:cstheme="minorHAnsi"/>
          <w:color w:val="000000"/>
          <w:sz w:val="22"/>
          <w:szCs w:val="22"/>
        </w:rPr>
        <w:t>this fundamental</w:t>
      </w:r>
      <w:r w:rsidR="008A24D6">
        <w:rPr>
          <w:rFonts w:asciiTheme="minorHAnsi" w:hAnsiTheme="minorHAnsi" w:cstheme="minorHAnsi"/>
          <w:color w:val="000000"/>
          <w:sz w:val="22"/>
          <w:szCs w:val="22"/>
        </w:rPr>
        <w:t xml:space="preserve"> growth data</w:t>
      </w:r>
      <w:r w:rsidR="001F37AD">
        <w:rPr>
          <w:rFonts w:asciiTheme="minorHAnsi" w:hAnsiTheme="minorHAnsi" w:cstheme="minorHAnsi"/>
          <w:color w:val="000000"/>
          <w:sz w:val="22"/>
          <w:szCs w:val="22"/>
        </w:rPr>
        <w:t xml:space="preserve"> any assessment of the effectiveness of government interventions </w:t>
      </w:r>
      <w:r w:rsidR="008A24D6">
        <w:rPr>
          <w:rFonts w:asciiTheme="minorHAnsi" w:hAnsiTheme="minorHAnsi" w:cstheme="minorHAnsi"/>
          <w:color w:val="000000"/>
          <w:sz w:val="22"/>
          <w:szCs w:val="22"/>
        </w:rPr>
        <w:t xml:space="preserve">proposed within the strategic delivery plan </w:t>
      </w:r>
      <w:r w:rsidR="001F37AD">
        <w:rPr>
          <w:rFonts w:asciiTheme="minorHAnsi" w:hAnsiTheme="minorHAnsi" w:cstheme="minorHAnsi"/>
          <w:color w:val="000000"/>
          <w:sz w:val="22"/>
          <w:szCs w:val="22"/>
        </w:rPr>
        <w:t xml:space="preserve">will be impossible. </w:t>
      </w:r>
    </w:p>
    <w:p w14:paraId="5831CA02" w14:textId="091FA20B" w:rsidR="00741DE1" w:rsidRDefault="00741DE1" w:rsidP="00741DE1">
      <w:pPr>
        <w:suppressAutoHyphens/>
        <w:autoSpaceDN w:val="0"/>
        <w:spacing w:line="254" w:lineRule="auto"/>
        <w:contextualSpacing/>
        <w:rPr>
          <w:rFonts w:ascii="Calibri" w:eastAsia="Calibri" w:hAnsi="Calibri" w:cs="Times New Roman"/>
        </w:rPr>
      </w:pPr>
    </w:p>
    <w:p w14:paraId="34A2DA77" w14:textId="3853EF99" w:rsidR="00A32D67" w:rsidRPr="005D5E4B" w:rsidRDefault="00D549DA" w:rsidP="00D549DA">
      <w:pPr>
        <w:rPr>
          <w:b/>
          <w:bCs/>
          <w:sz w:val="28"/>
          <w:szCs w:val="28"/>
        </w:rPr>
      </w:pPr>
      <w:r w:rsidRPr="00A60E6F">
        <w:rPr>
          <w:b/>
          <w:bCs/>
          <w:sz w:val="28"/>
          <w:szCs w:val="28"/>
        </w:rPr>
        <w:t>Methods</w:t>
      </w:r>
    </w:p>
    <w:p w14:paraId="5448CCDC" w14:textId="52447C86" w:rsidR="00D94BCC" w:rsidRDefault="00D549DA" w:rsidP="00D549DA">
      <w:r>
        <w:t>A series of meetings were conducted</w:t>
      </w:r>
      <w:r w:rsidR="00A32D67">
        <w:t xml:space="preserve"> with individuals to </w:t>
      </w:r>
      <w:r w:rsidR="00D94BCC">
        <w:t>understand the digital landscape and</w:t>
      </w:r>
      <w:r w:rsidR="00652537">
        <w:t xml:space="preserve"> the</w:t>
      </w:r>
      <w:r w:rsidR="00D94BCC">
        <w:t xml:space="preserve"> history </w:t>
      </w:r>
      <w:r w:rsidR="00652537">
        <w:t>surrounding</w:t>
      </w:r>
      <w:r w:rsidR="00D94BCC">
        <w:t xml:space="preserve"> previous attempts at implementing an all Wales digital growth chart.  These included meetings with</w:t>
      </w:r>
      <w:r w:rsidR="00A32D67">
        <w:t xml:space="preserve"> </w:t>
      </w:r>
      <w:r w:rsidR="00D94BCC">
        <w:t>:</w:t>
      </w:r>
      <w:r>
        <w:t xml:space="preserve"> </w:t>
      </w:r>
    </w:p>
    <w:p w14:paraId="5FD5DE28" w14:textId="09210EFE" w:rsidR="00D94BCC" w:rsidRDefault="00D549DA" w:rsidP="00D94BCC">
      <w:pPr>
        <w:pStyle w:val="ListParagraph"/>
        <w:numPr>
          <w:ilvl w:val="0"/>
          <w:numId w:val="29"/>
        </w:numPr>
      </w:pPr>
      <w:r>
        <w:t xml:space="preserve">CCIO (Chief Clinical Information Officer) </w:t>
      </w:r>
      <w:r w:rsidR="00D94BCC">
        <w:t xml:space="preserve">at </w:t>
      </w:r>
      <w:r>
        <w:t>Cardiff and Vale University Health Board.</w:t>
      </w:r>
    </w:p>
    <w:p w14:paraId="6E767531" w14:textId="77777777" w:rsidR="00D94BCC" w:rsidRDefault="00D94BCC" w:rsidP="00D94BCC">
      <w:pPr>
        <w:pStyle w:val="ListParagraph"/>
        <w:numPr>
          <w:ilvl w:val="0"/>
          <w:numId w:val="29"/>
        </w:numPr>
      </w:pPr>
      <w:r>
        <w:t xml:space="preserve">Child Health </w:t>
      </w:r>
      <w:r w:rsidR="00D549DA">
        <w:t xml:space="preserve">Clinical Director at Aneurin Bevan University Health Board </w:t>
      </w:r>
    </w:p>
    <w:p w14:paraId="22CCB967" w14:textId="0FD36448" w:rsidR="00D549DA" w:rsidRDefault="00D94BCC" w:rsidP="00D94BCC">
      <w:pPr>
        <w:pStyle w:val="ListParagraph"/>
        <w:numPr>
          <w:ilvl w:val="0"/>
          <w:numId w:val="29"/>
        </w:numPr>
      </w:pPr>
      <w:r>
        <w:t xml:space="preserve">ABUHB </w:t>
      </w:r>
      <w:r w:rsidR="00D549DA">
        <w:t xml:space="preserve">Clinical Informatician that had written and developed their own bespoke </w:t>
      </w:r>
      <w:proofErr w:type="spellStart"/>
      <w:r w:rsidR="00D549DA">
        <w:t>eGrowth</w:t>
      </w:r>
      <w:proofErr w:type="spellEnd"/>
      <w:r w:rsidR="00D549DA">
        <w:t xml:space="preserve"> solution.</w:t>
      </w:r>
    </w:p>
    <w:p w14:paraId="0382117C" w14:textId="64267E9D" w:rsidR="00D549DA" w:rsidRDefault="00D549DA" w:rsidP="00D94BCC">
      <w:pPr>
        <w:pStyle w:val="ListParagraph"/>
        <w:numPr>
          <w:ilvl w:val="0"/>
          <w:numId w:val="29"/>
        </w:numPr>
      </w:pPr>
      <w:r>
        <w:t>Chair of the Welsh Paediatric Informatics Group.</w:t>
      </w:r>
    </w:p>
    <w:p w14:paraId="33D42E38" w14:textId="2A0D2CDC" w:rsidR="00D94BCC" w:rsidRDefault="00D94BCC" w:rsidP="00D94BCC">
      <w:pPr>
        <w:pStyle w:val="ListParagraph"/>
        <w:numPr>
          <w:ilvl w:val="0"/>
          <w:numId w:val="29"/>
        </w:numPr>
      </w:pPr>
      <w:r>
        <w:t>Royal College of Paediatrics and Child Health Officer for Wales/ Welsh Paediatric Society</w:t>
      </w:r>
    </w:p>
    <w:p w14:paraId="02BB6024" w14:textId="682724F6" w:rsidR="005D5E4B" w:rsidRDefault="00652537" w:rsidP="00D549DA">
      <w:r>
        <w:t>A gap analysis of current growth measurement practices within Welsh Child Health departments was undertaken</w:t>
      </w:r>
      <w:r w:rsidR="005444F0">
        <w:t xml:space="preserve"> using a 4 stage Gap analysis methodology.</w:t>
      </w:r>
      <w:r w:rsidR="00987B1C">
        <w:t xml:space="preserve"> (Forbes, 2022)</w:t>
      </w:r>
    </w:p>
    <w:p w14:paraId="0D1FA637" w14:textId="3CE186B3" w:rsidR="00407B79" w:rsidRPr="00F66748" w:rsidRDefault="005D5E4B" w:rsidP="00D549DA">
      <w:r>
        <w:t>F</w:t>
      </w:r>
      <w:r w:rsidR="005F4FBD">
        <w:t>ollowing which a</w:t>
      </w:r>
      <w:r w:rsidR="00652537">
        <w:t xml:space="preserve"> structured questionnaire was submitted </w:t>
      </w:r>
      <w:r w:rsidR="00C83C07">
        <w:t xml:space="preserve">electronically to </w:t>
      </w:r>
      <w:r w:rsidR="00652537">
        <w:t xml:space="preserve">leading practitioners, informaticians and software developers </w:t>
      </w:r>
      <w:r w:rsidR="00C8700F">
        <w:t xml:space="preserve">between April and May 2022 </w:t>
      </w:r>
      <w:r w:rsidR="00652537">
        <w:t>to answer key technological and procurement questions</w:t>
      </w:r>
      <w:r w:rsidR="00C83C07">
        <w:t xml:space="preserve"> enabling an options appraisal</w:t>
      </w:r>
      <w:r w:rsidR="00331C55">
        <w:t xml:space="preserve"> (HM Treasury, 2012)</w:t>
      </w:r>
      <w:r w:rsidR="00C83C07">
        <w:t xml:space="preserve"> and SWOT </w:t>
      </w:r>
      <w:r w:rsidR="003A656C">
        <w:t xml:space="preserve">(Strengths, Weaknesses, Opportunities, Threats) </w:t>
      </w:r>
      <w:r w:rsidR="00C83C07">
        <w:t>analysis to be</w:t>
      </w:r>
      <w:r w:rsidR="00C8700F">
        <w:t xml:space="preserve"> performed</w:t>
      </w:r>
      <w:r w:rsidR="00C83C07">
        <w:t>.</w:t>
      </w:r>
      <w:r w:rsidR="00E77F92">
        <w:t xml:space="preserve"> (</w:t>
      </w:r>
      <w:proofErr w:type="spellStart"/>
      <w:r w:rsidR="00A11DEF" w:rsidRPr="00A11DEF">
        <w:t>Sasankar</w:t>
      </w:r>
      <w:proofErr w:type="spellEnd"/>
      <w:r w:rsidR="00A11DEF" w:rsidRPr="00A11DEF">
        <w:t>,</w:t>
      </w:r>
      <w:r w:rsidR="00A11DEF">
        <w:t xml:space="preserve"> </w:t>
      </w:r>
      <w:r w:rsidR="00A11DEF" w:rsidRPr="00A11DEF">
        <w:t>2011).</w:t>
      </w:r>
    </w:p>
    <w:p w14:paraId="33B0E9E3" w14:textId="288EA4E0" w:rsidR="00775ED1" w:rsidRDefault="00775ED1">
      <w:r>
        <w:br w:type="page"/>
      </w:r>
    </w:p>
    <w:p w14:paraId="45263101" w14:textId="4B08CCC4" w:rsidR="002A00B6" w:rsidRPr="00B51699" w:rsidRDefault="00F66748" w:rsidP="002A00B6">
      <w:pPr>
        <w:rPr>
          <w:b/>
          <w:bCs/>
          <w:sz w:val="28"/>
          <w:szCs w:val="28"/>
        </w:rPr>
      </w:pPr>
      <w:r w:rsidRPr="00A60E6F">
        <w:rPr>
          <w:b/>
          <w:bCs/>
          <w:sz w:val="28"/>
          <w:szCs w:val="28"/>
        </w:rPr>
        <w:lastRenderedPageBreak/>
        <w:t>Results</w:t>
      </w:r>
    </w:p>
    <w:p w14:paraId="6A34E40D" w14:textId="712F7379" w:rsidR="00F26D2D" w:rsidRDefault="00A60E6F" w:rsidP="00F26D2D">
      <w:pPr>
        <w:pStyle w:val="ListParagraph"/>
        <w:numPr>
          <w:ilvl w:val="0"/>
          <w:numId w:val="26"/>
        </w:numPr>
        <w:suppressAutoHyphens/>
        <w:autoSpaceDN w:val="0"/>
        <w:spacing w:line="254" w:lineRule="auto"/>
        <w:rPr>
          <w:rFonts w:ascii="Calibri" w:eastAsia="Calibri" w:hAnsi="Calibri" w:cs="Times New Roman"/>
          <w:b/>
          <w:bCs/>
          <w:sz w:val="28"/>
          <w:szCs w:val="28"/>
        </w:rPr>
      </w:pPr>
      <w:r w:rsidRPr="00F26D2D">
        <w:rPr>
          <w:rFonts w:ascii="Calibri" w:eastAsia="Calibri" w:hAnsi="Calibri" w:cs="Times New Roman"/>
          <w:b/>
          <w:bCs/>
          <w:sz w:val="28"/>
          <w:szCs w:val="28"/>
        </w:rPr>
        <w:t>Gap analysis</w:t>
      </w:r>
    </w:p>
    <w:p w14:paraId="446DD4C7" w14:textId="77777777" w:rsidR="00F26D2D" w:rsidRPr="00F26D2D" w:rsidRDefault="00F26D2D" w:rsidP="00F26D2D">
      <w:pPr>
        <w:pStyle w:val="ListParagraph"/>
        <w:suppressAutoHyphens/>
        <w:autoSpaceDN w:val="0"/>
        <w:spacing w:line="254" w:lineRule="auto"/>
        <w:rPr>
          <w:rFonts w:ascii="Calibri" w:eastAsia="Calibri" w:hAnsi="Calibri" w:cs="Times New Roman"/>
          <w:b/>
          <w:bCs/>
          <w:sz w:val="28"/>
          <w:szCs w:val="28"/>
        </w:rPr>
      </w:pPr>
    </w:p>
    <w:p w14:paraId="6114A27F" w14:textId="533D7F4C" w:rsidR="00A60E6F" w:rsidRPr="00F26D2D" w:rsidRDefault="00A60E6F" w:rsidP="00F26D2D">
      <w:pPr>
        <w:pStyle w:val="ListParagraph"/>
        <w:numPr>
          <w:ilvl w:val="0"/>
          <w:numId w:val="25"/>
        </w:numPr>
        <w:suppressAutoHyphens/>
        <w:autoSpaceDN w:val="0"/>
        <w:spacing w:line="254" w:lineRule="auto"/>
        <w:rPr>
          <w:rFonts w:ascii="Calibri" w:eastAsia="Calibri" w:hAnsi="Calibri" w:cs="Times New Roman"/>
          <w:b/>
          <w:bCs/>
        </w:rPr>
      </w:pPr>
      <w:r w:rsidRPr="00F26D2D">
        <w:rPr>
          <w:rFonts w:ascii="Calibri" w:eastAsia="Calibri" w:hAnsi="Calibri" w:cs="Times New Roman"/>
          <w:b/>
          <w:bCs/>
        </w:rPr>
        <w:t>Current position:</w:t>
      </w:r>
    </w:p>
    <w:p w14:paraId="0BC01F31" w14:textId="385F47DB" w:rsidR="00A60E6F" w:rsidRDefault="00A60E6F" w:rsidP="009A3C7F">
      <w:pPr>
        <w:suppressAutoHyphens/>
        <w:autoSpaceDN w:val="0"/>
        <w:spacing w:line="254" w:lineRule="auto"/>
        <w:ind w:firstLine="720"/>
        <w:contextualSpacing/>
        <w:rPr>
          <w:rFonts w:ascii="Calibri" w:eastAsia="Calibri" w:hAnsi="Calibri" w:cs="Times New Roman"/>
        </w:rPr>
      </w:pPr>
      <w:r>
        <w:rPr>
          <w:rFonts w:ascii="Calibri" w:eastAsia="Calibri" w:hAnsi="Calibri" w:cs="Times New Roman"/>
        </w:rPr>
        <w:t xml:space="preserve">At present growth measurements of children are recorded within each health board with no sharing of this vital health data. </w:t>
      </w:r>
      <w:r w:rsidR="00057031">
        <w:rPr>
          <w:rFonts w:ascii="Calibri" w:eastAsia="Calibri" w:hAnsi="Calibri" w:cs="Times New Roman"/>
        </w:rPr>
        <w:t xml:space="preserve"> The majority of this data is recorded on paper growth charts which are prone to being lost, duplicated or unavailable.  </w:t>
      </w:r>
      <w:r>
        <w:rPr>
          <w:rFonts w:ascii="Calibri" w:eastAsia="Calibri" w:hAnsi="Calibri" w:cs="Times New Roman"/>
        </w:rPr>
        <w:t xml:space="preserve">Tertiary specialist services that are referred patients across health board boundaries do not have access to their </w:t>
      </w:r>
      <w:r w:rsidR="00057031">
        <w:rPr>
          <w:rFonts w:ascii="Calibri" w:eastAsia="Calibri" w:hAnsi="Calibri" w:cs="Times New Roman"/>
        </w:rPr>
        <w:t xml:space="preserve">patients </w:t>
      </w:r>
      <w:r>
        <w:rPr>
          <w:rFonts w:ascii="Calibri" w:eastAsia="Calibri" w:hAnsi="Calibri" w:cs="Times New Roman"/>
        </w:rPr>
        <w:t xml:space="preserve">local growth measurements. This poses patient safety issues in terms of </w:t>
      </w:r>
      <w:r w:rsidR="00AB6FB7">
        <w:rPr>
          <w:rFonts w:ascii="Calibri" w:eastAsia="Calibri" w:hAnsi="Calibri" w:cs="Times New Roman"/>
        </w:rPr>
        <w:t xml:space="preserve">the ability to </w:t>
      </w:r>
      <w:r>
        <w:rPr>
          <w:rFonts w:ascii="Calibri" w:eastAsia="Calibri" w:hAnsi="Calibri" w:cs="Times New Roman"/>
        </w:rPr>
        <w:t>accurate diagnos</w:t>
      </w:r>
      <w:r w:rsidR="00AB6FB7">
        <w:rPr>
          <w:rFonts w:ascii="Calibri" w:eastAsia="Calibri" w:hAnsi="Calibri" w:cs="Times New Roman"/>
        </w:rPr>
        <w:t xml:space="preserve">e </w:t>
      </w:r>
      <w:r>
        <w:rPr>
          <w:rFonts w:ascii="Calibri" w:eastAsia="Calibri" w:hAnsi="Calibri" w:cs="Times New Roman"/>
        </w:rPr>
        <w:t xml:space="preserve">growth </w:t>
      </w:r>
      <w:r w:rsidR="00AB6FB7">
        <w:rPr>
          <w:rFonts w:ascii="Calibri" w:eastAsia="Calibri" w:hAnsi="Calibri" w:cs="Times New Roman"/>
        </w:rPr>
        <w:t xml:space="preserve">deficiencies </w:t>
      </w:r>
      <w:r>
        <w:rPr>
          <w:rFonts w:ascii="Calibri" w:eastAsia="Calibri" w:hAnsi="Calibri" w:cs="Times New Roman"/>
        </w:rPr>
        <w:t xml:space="preserve">in addition to potential </w:t>
      </w:r>
      <w:r w:rsidR="00AB6FB7">
        <w:rPr>
          <w:rFonts w:ascii="Calibri" w:eastAsia="Calibri" w:hAnsi="Calibri" w:cs="Times New Roman"/>
        </w:rPr>
        <w:t xml:space="preserve">medication dosing </w:t>
      </w:r>
      <w:r>
        <w:rPr>
          <w:rFonts w:ascii="Calibri" w:eastAsia="Calibri" w:hAnsi="Calibri" w:cs="Times New Roman"/>
        </w:rPr>
        <w:t xml:space="preserve">and </w:t>
      </w:r>
      <w:r w:rsidR="00AB6FB7">
        <w:rPr>
          <w:rFonts w:ascii="Calibri" w:eastAsia="Calibri" w:hAnsi="Calibri" w:cs="Times New Roman"/>
        </w:rPr>
        <w:t xml:space="preserve">the inability to </w:t>
      </w:r>
      <w:r>
        <w:rPr>
          <w:rFonts w:ascii="Calibri" w:eastAsia="Calibri" w:hAnsi="Calibri" w:cs="Times New Roman"/>
        </w:rPr>
        <w:t>monitor of associated side effects</w:t>
      </w:r>
      <w:r w:rsidR="00AB6FB7">
        <w:rPr>
          <w:rFonts w:ascii="Calibri" w:eastAsia="Calibri" w:hAnsi="Calibri" w:cs="Times New Roman"/>
        </w:rPr>
        <w:t xml:space="preserve"> such as weight loss or gains</w:t>
      </w:r>
      <w:r>
        <w:rPr>
          <w:rFonts w:ascii="Calibri" w:eastAsia="Calibri" w:hAnsi="Calibri" w:cs="Times New Roman"/>
        </w:rPr>
        <w:t xml:space="preserve">. </w:t>
      </w:r>
      <w:r w:rsidR="00AB6FB7">
        <w:rPr>
          <w:rFonts w:ascii="Calibri" w:eastAsia="Calibri" w:hAnsi="Calibri" w:cs="Times New Roman"/>
        </w:rPr>
        <w:t xml:space="preserve"> Within</w:t>
      </w:r>
      <w:r>
        <w:rPr>
          <w:rFonts w:ascii="Calibri" w:eastAsia="Calibri" w:hAnsi="Calibri" w:cs="Times New Roman"/>
        </w:rPr>
        <w:t xml:space="preserve"> an acute setting </w:t>
      </w:r>
      <w:r w:rsidR="00057031">
        <w:rPr>
          <w:rFonts w:ascii="Calibri" w:eastAsia="Calibri" w:hAnsi="Calibri" w:cs="Times New Roman"/>
        </w:rPr>
        <w:t>c</w:t>
      </w:r>
      <w:r>
        <w:rPr>
          <w:rFonts w:ascii="Calibri" w:eastAsia="Calibri" w:hAnsi="Calibri" w:cs="Times New Roman"/>
        </w:rPr>
        <w:t xml:space="preserve">hildren are admitted as emergencies to A+E where </w:t>
      </w:r>
      <w:r w:rsidR="00057031">
        <w:rPr>
          <w:rFonts w:ascii="Calibri" w:eastAsia="Calibri" w:hAnsi="Calibri" w:cs="Times New Roman"/>
        </w:rPr>
        <w:t xml:space="preserve">an </w:t>
      </w:r>
      <w:r>
        <w:rPr>
          <w:rFonts w:ascii="Calibri" w:eastAsia="Calibri" w:hAnsi="Calibri" w:cs="Times New Roman"/>
        </w:rPr>
        <w:t xml:space="preserve">accurate measurement of </w:t>
      </w:r>
      <w:r w:rsidR="00057031">
        <w:rPr>
          <w:rFonts w:ascii="Calibri" w:eastAsia="Calibri" w:hAnsi="Calibri" w:cs="Times New Roman"/>
        </w:rPr>
        <w:t xml:space="preserve">the </w:t>
      </w:r>
      <w:r w:rsidR="00AB6FB7">
        <w:rPr>
          <w:rFonts w:ascii="Calibri" w:eastAsia="Calibri" w:hAnsi="Calibri" w:cs="Times New Roman"/>
        </w:rPr>
        <w:t>child’s</w:t>
      </w:r>
      <w:r w:rsidR="00057031">
        <w:rPr>
          <w:rFonts w:ascii="Calibri" w:eastAsia="Calibri" w:hAnsi="Calibri" w:cs="Times New Roman"/>
        </w:rPr>
        <w:t xml:space="preserve"> </w:t>
      </w:r>
      <w:r>
        <w:rPr>
          <w:rFonts w:ascii="Calibri" w:eastAsia="Calibri" w:hAnsi="Calibri" w:cs="Times New Roman"/>
        </w:rPr>
        <w:t xml:space="preserve">weight </w:t>
      </w:r>
      <w:r w:rsidR="00057031">
        <w:rPr>
          <w:rFonts w:ascii="Calibri" w:eastAsia="Calibri" w:hAnsi="Calibri" w:cs="Times New Roman"/>
        </w:rPr>
        <w:t>might not be</w:t>
      </w:r>
      <w:r>
        <w:rPr>
          <w:rFonts w:ascii="Calibri" w:eastAsia="Calibri" w:hAnsi="Calibri" w:cs="Times New Roman"/>
        </w:rPr>
        <w:t xml:space="preserve"> possible </w:t>
      </w:r>
      <w:r w:rsidR="00057031">
        <w:rPr>
          <w:rFonts w:ascii="Calibri" w:eastAsia="Calibri" w:hAnsi="Calibri" w:cs="Times New Roman"/>
        </w:rPr>
        <w:t xml:space="preserve">leading to the use of estimated weights based on age that </w:t>
      </w:r>
      <w:r>
        <w:rPr>
          <w:rFonts w:ascii="Calibri" w:eastAsia="Calibri" w:hAnsi="Calibri" w:cs="Times New Roman"/>
        </w:rPr>
        <w:t xml:space="preserve">are often incorrect </w:t>
      </w:r>
      <w:r w:rsidR="00057031">
        <w:rPr>
          <w:rFonts w:ascii="Calibri" w:eastAsia="Calibri" w:hAnsi="Calibri" w:cs="Times New Roman"/>
        </w:rPr>
        <w:t xml:space="preserve">thus </w:t>
      </w:r>
      <w:r>
        <w:rPr>
          <w:rFonts w:ascii="Calibri" w:eastAsia="Calibri" w:hAnsi="Calibri" w:cs="Times New Roman"/>
        </w:rPr>
        <w:t>leading to</w:t>
      </w:r>
      <w:r w:rsidR="00057031">
        <w:rPr>
          <w:rFonts w:ascii="Calibri" w:eastAsia="Calibri" w:hAnsi="Calibri" w:cs="Times New Roman"/>
        </w:rPr>
        <w:t xml:space="preserve"> an</w:t>
      </w:r>
      <w:r>
        <w:rPr>
          <w:rFonts w:ascii="Calibri" w:eastAsia="Calibri" w:hAnsi="Calibri" w:cs="Times New Roman"/>
        </w:rPr>
        <w:t xml:space="preserve"> under</w:t>
      </w:r>
      <w:r w:rsidR="00057031">
        <w:rPr>
          <w:rFonts w:ascii="Calibri" w:eastAsia="Calibri" w:hAnsi="Calibri" w:cs="Times New Roman"/>
        </w:rPr>
        <w:t xml:space="preserve"> or </w:t>
      </w:r>
      <w:r>
        <w:rPr>
          <w:rFonts w:ascii="Calibri" w:eastAsia="Calibri" w:hAnsi="Calibri" w:cs="Times New Roman"/>
        </w:rPr>
        <w:t xml:space="preserve">overdosing of life saving </w:t>
      </w:r>
      <w:r w:rsidR="00057031">
        <w:rPr>
          <w:rFonts w:ascii="Calibri" w:eastAsia="Calibri" w:hAnsi="Calibri" w:cs="Times New Roman"/>
        </w:rPr>
        <w:t>medications</w:t>
      </w:r>
      <w:r w:rsidR="00BB506E">
        <w:rPr>
          <w:rFonts w:ascii="Calibri" w:eastAsia="Calibri" w:hAnsi="Calibri" w:cs="Times New Roman"/>
        </w:rPr>
        <w:t>.</w:t>
      </w:r>
    </w:p>
    <w:p w14:paraId="1D9181E6" w14:textId="77777777" w:rsidR="00A60E6F" w:rsidRDefault="00A60E6F" w:rsidP="00A60E6F">
      <w:pPr>
        <w:suppressAutoHyphens/>
        <w:autoSpaceDN w:val="0"/>
        <w:spacing w:line="254" w:lineRule="auto"/>
        <w:contextualSpacing/>
        <w:rPr>
          <w:rFonts w:ascii="Calibri" w:eastAsia="Calibri" w:hAnsi="Calibri" w:cs="Times New Roman"/>
        </w:rPr>
      </w:pPr>
    </w:p>
    <w:p w14:paraId="72310987" w14:textId="51BA5846" w:rsidR="00A60E6F" w:rsidRPr="00F26D2D" w:rsidRDefault="00A60E6F" w:rsidP="00F26D2D">
      <w:pPr>
        <w:pStyle w:val="ListParagraph"/>
        <w:numPr>
          <w:ilvl w:val="0"/>
          <w:numId w:val="25"/>
        </w:numPr>
        <w:suppressAutoHyphens/>
        <w:autoSpaceDN w:val="0"/>
        <w:spacing w:line="254" w:lineRule="auto"/>
        <w:rPr>
          <w:rFonts w:ascii="Calibri" w:eastAsia="Calibri" w:hAnsi="Calibri" w:cs="Times New Roman"/>
          <w:b/>
          <w:bCs/>
        </w:rPr>
      </w:pPr>
      <w:r w:rsidRPr="00F26D2D">
        <w:rPr>
          <w:rFonts w:ascii="Calibri" w:eastAsia="Calibri" w:hAnsi="Calibri" w:cs="Times New Roman"/>
          <w:b/>
          <w:bCs/>
        </w:rPr>
        <w:t>Future goal:</w:t>
      </w:r>
    </w:p>
    <w:p w14:paraId="42B1DEB0" w14:textId="74FBC772" w:rsidR="00A60E6F" w:rsidRDefault="007D2883" w:rsidP="007D2883">
      <w:pPr>
        <w:suppressAutoHyphens/>
        <w:autoSpaceDN w:val="0"/>
        <w:spacing w:line="254" w:lineRule="auto"/>
        <w:ind w:firstLine="720"/>
        <w:contextualSpacing/>
        <w:rPr>
          <w:rFonts w:ascii="Calibri" w:eastAsia="Calibri" w:hAnsi="Calibri" w:cs="Times New Roman"/>
        </w:rPr>
      </w:pPr>
      <w:r>
        <w:rPr>
          <w:rFonts w:ascii="Calibri" w:eastAsia="Calibri" w:hAnsi="Calibri" w:cs="Times New Roman"/>
        </w:rPr>
        <w:t xml:space="preserve">The introduction of a digital growth chart is a fundamental requirement should NHS Wales aim to enable paper-lite wards, clinic and community work with the improved level of governance enabled through digital working.  </w:t>
      </w:r>
      <w:r w:rsidR="00A60E6F">
        <w:rPr>
          <w:rFonts w:ascii="Calibri" w:eastAsia="Calibri" w:hAnsi="Calibri" w:cs="Times New Roman"/>
        </w:rPr>
        <w:t xml:space="preserve">The </w:t>
      </w:r>
      <w:r w:rsidR="00233667">
        <w:rPr>
          <w:rFonts w:ascii="Calibri" w:eastAsia="Calibri" w:hAnsi="Calibri" w:cs="Times New Roman"/>
        </w:rPr>
        <w:t xml:space="preserve">primary </w:t>
      </w:r>
      <w:r w:rsidR="00A60E6F">
        <w:rPr>
          <w:rFonts w:ascii="Calibri" w:eastAsia="Calibri" w:hAnsi="Calibri" w:cs="Times New Roman"/>
        </w:rPr>
        <w:t>aim of this project is to introduce a digital growth chart</w:t>
      </w:r>
      <w:r w:rsidR="00233667">
        <w:rPr>
          <w:rFonts w:ascii="Calibri" w:eastAsia="Calibri" w:hAnsi="Calibri" w:cs="Times New Roman"/>
        </w:rPr>
        <w:t xml:space="preserve"> that meets the specifications of the current paper form RCPCH UK-WHO growth charts for every child in Wales</w:t>
      </w:r>
      <w:r>
        <w:rPr>
          <w:rFonts w:ascii="Calibri" w:eastAsia="Calibri" w:hAnsi="Calibri" w:cs="Times New Roman"/>
        </w:rPr>
        <w:t xml:space="preserve"> with t</w:t>
      </w:r>
      <w:r w:rsidR="00233667">
        <w:rPr>
          <w:rFonts w:ascii="Calibri" w:eastAsia="Calibri" w:hAnsi="Calibri" w:cs="Times New Roman"/>
        </w:rPr>
        <w:t xml:space="preserve">he data for the charts </w:t>
      </w:r>
      <w:r w:rsidR="00A60E6F">
        <w:rPr>
          <w:rFonts w:ascii="Calibri" w:eastAsia="Calibri" w:hAnsi="Calibri" w:cs="Times New Roman"/>
        </w:rPr>
        <w:t>centrally stored but is easily accessible across Wales</w:t>
      </w:r>
      <w:r>
        <w:rPr>
          <w:rFonts w:ascii="Calibri" w:eastAsia="Calibri" w:hAnsi="Calibri" w:cs="Times New Roman"/>
        </w:rPr>
        <w:t xml:space="preserve">.  The timeframe for implementation of the digital charts should be </w:t>
      </w:r>
      <w:r w:rsidR="00233667">
        <w:rPr>
          <w:rFonts w:ascii="Calibri" w:eastAsia="Calibri" w:hAnsi="Calibri" w:cs="Times New Roman"/>
        </w:rPr>
        <w:t>within the lifespan of the current Healthy Weight Healthy Wales Strategic Delivery plan: 2022-2024.</w:t>
      </w:r>
      <w:r>
        <w:rPr>
          <w:rFonts w:ascii="Calibri" w:eastAsia="Calibri" w:hAnsi="Calibri" w:cs="Times New Roman"/>
        </w:rPr>
        <w:t xml:space="preserve">  </w:t>
      </w:r>
      <w:r w:rsidR="00A60E6F">
        <w:rPr>
          <w:rFonts w:ascii="Calibri" w:eastAsia="Calibri" w:hAnsi="Calibri" w:cs="Times New Roman"/>
        </w:rPr>
        <w:t>The longer term goal may be to enable functions such as automatic alerts and referral pathways depending on set criteria</w:t>
      </w:r>
      <w:r>
        <w:rPr>
          <w:rFonts w:ascii="Calibri" w:eastAsia="Calibri" w:hAnsi="Calibri" w:cs="Times New Roman"/>
        </w:rPr>
        <w:t>.</w:t>
      </w:r>
    </w:p>
    <w:p w14:paraId="7B96D55E" w14:textId="5B53D1A3" w:rsidR="00411193" w:rsidRDefault="00411193" w:rsidP="00411193">
      <w:pPr>
        <w:rPr>
          <w:rFonts w:ascii="Calibri" w:eastAsia="Calibri" w:hAnsi="Calibri" w:cs="Times New Roman"/>
        </w:rPr>
      </w:pPr>
    </w:p>
    <w:p w14:paraId="72810E42" w14:textId="7D4A992F" w:rsidR="00BB506E" w:rsidRPr="00BB506E" w:rsidRDefault="00BB506E" w:rsidP="00BB506E">
      <w:pPr>
        <w:pStyle w:val="ListParagraph"/>
        <w:numPr>
          <w:ilvl w:val="0"/>
          <w:numId w:val="25"/>
        </w:numPr>
        <w:rPr>
          <w:rFonts w:ascii="Calibri" w:eastAsia="Calibri" w:hAnsi="Calibri" w:cs="Times New Roman"/>
          <w:b/>
          <w:bCs/>
        </w:rPr>
      </w:pPr>
      <w:r w:rsidRPr="00BB506E">
        <w:rPr>
          <w:rFonts w:ascii="Calibri" w:eastAsia="Calibri" w:hAnsi="Calibri" w:cs="Times New Roman"/>
          <w:b/>
          <w:bCs/>
        </w:rPr>
        <w:t>Gap in practice:</w:t>
      </w:r>
    </w:p>
    <w:p w14:paraId="399E4B95" w14:textId="0AE8D1CF" w:rsidR="00BB506E" w:rsidRDefault="005444F0" w:rsidP="00BB506E">
      <w:pPr>
        <w:ind w:firstLine="360"/>
        <w:rPr>
          <w:rFonts w:ascii="Calibri" w:eastAsia="Calibri" w:hAnsi="Calibri" w:cs="Times New Roman"/>
        </w:rPr>
      </w:pPr>
      <w:r w:rsidRPr="00BB506E">
        <w:rPr>
          <w:rFonts w:ascii="Calibri" w:eastAsia="Calibri" w:hAnsi="Calibri" w:cs="Times New Roman"/>
        </w:rPr>
        <w:t xml:space="preserve">There is a wide discrepancy between the more digitally </w:t>
      </w:r>
      <w:r>
        <w:rPr>
          <w:rFonts w:ascii="Calibri" w:eastAsia="Calibri" w:hAnsi="Calibri" w:cs="Times New Roman"/>
        </w:rPr>
        <w:t xml:space="preserve">mature and digitally naïve health boards. </w:t>
      </w:r>
      <w:r w:rsidRPr="00BB506E">
        <w:rPr>
          <w:rFonts w:ascii="Calibri" w:eastAsia="Calibri" w:hAnsi="Calibri" w:cs="Times New Roman"/>
        </w:rPr>
        <w:t xml:space="preserve"> </w:t>
      </w:r>
      <w:r w:rsidR="00BB506E" w:rsidRPr="00BB506E">
        <w:rPr>
          <w:rFonts w:ascii="Calibri" w:eastAsia="Calibri" w:hAnsi="Calibri" w:cs="Times New Roman"/>
        </w:rPr>
        <w:t>The only LHB within Wales that currently has a functioning digital growth chart is Aneurin Bevan UHB. All other health boards continue to use paper based charts with all of the aforementioned limitations.</w:t>
      </w:r>
    </w:p>
    <w:p w14:paraId="20C5A1A2" w14:textId="77777777" w:rsidR="005444F0" w:rsidRPr="00BB506E" w:rsidRDefault="005444F0" w:rsidP="00BB506E">
      <w:pPr>
        <w:ind w:firstLine="360"/>
        <w:rPr>
          <w:rFonts w:ascii="Calibri" w:eastAsia="Calibri" w:hAnsi="Calibri" w:cs="Times New Roman"/>
        </w:rPr>
      </w:pPr>
    </w:p>
    <w:p w14:paraId="46D053C6" w14:textId="284CEE1C" w:rsidR="003964BE" w:rsidRPr="00411193" w:rsidRDefault="003964BE" w:rsidP="00411193">
      <w:pPr>
        <w:pStyle w:val="ListParagraph"/>
        <w:numPr>
          <w:ilvl w:val="0"/>
          <w:numId w:val="25"/>
        </w:numPr>
        <w:rPr>
          <w:b/>
          <w:bCs/>
        </w:rPr>
      </w:pPr>
      <w:r w:rsidRPr="003964BE">
        <w:t xml:space="preserve"> </w:t>
      </w:r>
      <w:r w:rsidR="00411193" w:rsidRPr="00411193">
        <w:rPr>
          <w:b/>
          <w:bCs/>
        </w:rPr>
        <w:t>Plan to close the gap</w:t>
      </w:r>
    </w:p>
    <w:p w14:paraId="7A49F027" w14:textId="00FEB772" w:rsidR="003964BE" w:rsidRDefault="003964BE" w:rsidP="00411193">
      <w:pPr>
        <w:pStyle w:val="ListParagraph"/>
        <w:numPr>
          <w:ilvl w:val="0"/>
          <w:numId w:val="30"/>
        </w:numPr>
      </w:pPr>
      <w:r>
        <w:t>Identification of a key individual from Child Health with the authority to act as a voice for Paediatricians:</w:t>
      </w:r>
      <w:r w:rsidRPr="00B440C9">
        <w:t xml:space="preserve"> </w:t>
      </w:r>
      <w:r>
        <w:t>The Welsh Paediatric Society President who also serves as Royal College of Paediatrics and Child Health Officer for Wales was identified as the key ‘Core Paediatrician’ to act as a link between DHCW and Welsh Paediatricians.</w:t>
      </w:r>
    </w:p>
    <w:p w14:paraId="018EFF62" w14:textId="77777777" w:rsidR="003964BE" w:rsidRDefault="003964BE" w:rsidP="003964BE">
      <w:pPr>
        <w:pStyle w:val="ListParagraph"/>
        <w:numPr>
          <w:ilvl w:val="0"/>
          <w:numId w:val="18"/>
        </w:numPr>
      </w:pPr>
      <w:r>
        <w:t>‘Core Paediatrician’ to highlight the Digital Growth chart project as a key objective at an All-Wales Child Health Clinical Directors meeting.</w:t>
      </w:r>
    </w:p>
    <w:p w14:paraId="65E805C7" w14:textId="27C42507" w:rsidR="003964BE" w:rsidRDefault="003964BE" w:rsidP="003964BE">
      <w:pPr>
        <w:pStyle w:val="ListParagraph"/>
        <w:numPr>
          <w:ilvl w:val="0"/>
          <w:numId w:val="18"/>
        </w:numPr>
      </w:pPr>
      <w:r>
        <w:t>Identification of a group of Digitally aware Paediatricians across all health boards to create a working grou</w:t>
      </w:r>
      <w:r w:rsidR="00411193">
        <w:t>p.</w:t>
      </w:r>
    </w:p>
    <w:p w14:paraId="2ACD4720" w14:textId="60F8C8F9" w:rsidR="00775ED1" w:rsidRDefault="00411193" w:rsidP="003964BE">
      <w:pPr>
        <w:pStyle w:val="ListParagraph"/>
        <w:numPr>
          <w:ilvl w:val="0"/>
          <w:numId w:val="18"/>
        </w:numPr>
      </w:pPr>
      <w:r>
        <w:t>Identification by the Digital Growth Chart working Group of the core Clinically relevant specifications and requirements for a functioning digital growth chart.</w:t>
      </w:r>
    </w:p>
    <w:p w14:paraId="4342EB06" w14:textId="77777777" w:rsidR="00775ED1" w:rsidRDefault="00775ED1" w:rsidP="00775ED1">
      <w:pPr>
        <w:pStyle w:val="ListParagraph"/>
        <w:ind w:left="1440"/>
      </w:pPr>
    </w:p>
    <w:p w14:paraId="7E72C13E" w14:textId="5302661C" w:rsidR="00A60E6F" w:rsidRPr="00F26D2D" w:rsidRDefault="00660E8F" w:rsidP="00F26D2D">
      <w:pPr>
        <w:pStyle w:val="ListParagraph"/>
        <w:numPr>
          <w:ilvl w:val="0"/>
          <w:numId w:val="26"/>
        </w:numPr>
        <w:rPr>
          <w:b/>
          <w:bCs/>
          <w:sz w:val="28"/>
          <w:szCs w:val="28"/>
        </w:rPr>
      </w:pPr>
      <w:r w:rsidRPr="00F26D2D">
        <w:rPr>
          <w:b/>
          <w:bCs/>
          <w:sz w:val="28"/>
          <w:szCs w:val="28"/>
        </w:rPr>
        <w:lastRenderedPageBreak/>
        <w:t>Product Requirements:</w:t>
      </w:r>
    </w:p>
    <w:p w14:paraId="6E07AB2A" w14:textId="44223649" w:rsidR="00660E8F" w:rsidRDefault="009F77B2" w:rsidP="002A00B6">
      <w:r>
        <w:t xml:space="preserve">The requirements below were identified as the core </w:t>
      </w:r>
      <w:r w:rsidR="00123CD5">
        <w:t>data</w:t>
      </w:r>
      <w:r w:rsidR="008C53FA">
        <w:t xml:space="preserve">, organisational </w:t>
      </w:r>
      <w:r w:rsidR="00123CD5">
        <w:t>and technical specifications required for a digital growth chart</w:t>
      </w:r>
      <w:r w:rsidR="008C53FA">
        <w:t xml:space="preserve"> to function in the desired manner</w:t>
      </w:r>
      <w:r w:rsidR="00123CD5">
        <w:t>:</w:t>
      </w:r>
    </w:p>
    <w:p w14:paraId="6F896968" w14:textId="77777777" w:rsidR="008C53FA" w:rsidRPr="00660E8F" w:rsidRDefault="008C53FA" w:rsidP="002A00B6"/>
    <w:p w14:paraId="3911CF8B" w14:textId="41EA61ED" w:rsidR="002A00B6" w:rsidRPr="00F26D2D" w:rsidRDefault="00660E8F" w:rsidP="00F26D2D">
      <w:pPr>
        <w:pStyle w:val="ListParagraph"/>
        <w:numPr>
          <w:ilvl w:val="0"/>
          <w:numId w:val="27"/>
        </w:numPr>
        <w:rPr>
          <w:b/>
          <w:bCs/>
          <w:lang w:val="it-IT"/>
        </w:rPr>
      </w:pPr>
      <w:r w:rsidRPr="00F26D2D">
        <w:rPr>
          <w:b/>
          <w:bCs/>
          <w:lang w:val="it-IT"/>
        </w:rPr>
        <w:t>D</w:t>
      </w:r>
      <w:r w:rsidR="00553924" w:rsidRPr="00F26D2D">
        <w:rPr>
          <w:b/>
          <w:bCs/>
          <w:lang w:val="it-IT"/>
        </w:rPr>
        <w:t>ata/</w:t>
      </w:r>
      <w:r w:rsidR="00B51699" w:rsidRPr="00F26D2D">
        <w:rPr>
          <w:b/>
          <w:bCs/>
          <w:lang w:val="it-IT"/>
        </w:rPr>
        <w:t xml:space="preserve"> </w:t>
      </w:r>
      <w:proofErr w:type="spellStart"/>
      <w:r w:rsidR="00553924" w:rsidRPr="00F26D2D">
        <w:rPr>
          <w:b/>
          <w:bCs/>
          <w:lang w:val="it-IT"/>
        </w:rPr>
        <w:t>organisational</w:t>
      </w:r>
      <w:proofErr w:type="spellEnd"/>
      <w:r w:rsidR="00B51699" w:rsidRPr="00F26D2D">
        <w:rPr>
          <w:b/>
          <w:bCs/>
          <w:lang w:val="it-IT"/>
        </w:rPr>
        <w:t xml:space="preserve"> </w:t>
      </w:r>
      <w:proofErr w:type="spellStart"/>
      <w:r w:rsidR="002A00B6" w:rsidRPr="00F26D2D">
        <w:rPr>
          <w:b/>
          <w:bCs/>
          <w:lang w:val="it-IT"/>
        </w:rPr>
        <w:t>requirement</w:t>
      </w:r>
      <w:r w:rsidR="00681788" w:rsidRPr="00F26D2D">
        <w:rPr>
          <w:b/>
          <w:bCs/>
          <w:lang w:val="it-IT"/>
        </w:rPr>
        <w:t>s</w:t>
      </w:r>
      <w:proofErr w:type="spellEnd"/>
      <w:r w:rsidR="002A00B6" w:rsidRPr="00F26D2D">
        <w:rPr>
          <w:b/>
          <w:bCs/>
          <w:lang w:val="it-IT"/>
        </w:rPr>
        <w:t>:</w:t>
      </w:r>
    </w:p>
    <w:p w14:paraId="42A4673C" w14:textId="7A2EC8F1" w:rsidR="00A706B9" w:rsidRDefault="00A706B9" w:rsidP="00A706B9">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Data available and accessible across all Welsh Health Boards</w:t>
      </w:r>
    </w:p>
    <w:p w14:paraId="6FDFB8A3" w14:textId="27EF427D" w:rsidR="00553924" w:rsidRPr="00094288" w:rsidRDefault="00553924" w:rsidP="00A706B9">
      <w:pPr>
        <w:pStyle w:val="v1msonormal"/>
        <w:numPr>
          <w:ilvl w:val="0"/>
          <w:numId w:val="5"/>
        </w:numPr>
        <w:shd w:val="clear" w:color="auto" w:fill="FFFFFF"/>
        <w:spacing w:before="0" w:beforeAutospacing="0" w:after="0" w:afterAutospacing="0"/>
        <w:rPr>
          <w:rFonts w:ascii="Calibri" w:hAnsi="Calibri" w:cs="Calibri"/>
          <w:color w:val="000000"/>
        </w:rPr>
      </w:pPr>
      <w:r w:rsidRPr="00094288">
        <w:rPr>
          <w:rFonts w:ascii="Calibri" w:hAnsi="Calibri" w:cs="Calibri"/>
          <w:color w:val="000000"/>
        </w:rPr>
        <w:t>Secure data storage solution</w:t>
      </w:r>
      <w:r w:rsidR="00094288" w:rsidRPr="00094288">
        <w:rPr>
          <w:rFonts w:ascii="Calibri" w:hAnsi="Calibri" w:cs="Calibri"/>
          <w:color w:val="000000"/>
        </w:rPr>
        <w:t xml:space="preserve"> compliant with n</w:t>
      </w:r>
      <w:r w:rsidR="00094288">
        <w:rPr>
          <w:rFonts w:ascii="Calibri" w:hAnsi="Calibri" w:cs="Calibri"/>
          <w:color w:val="000000"/>
        </w:rPr>
        <w:t>ational patient privacy requirements</w:t>
      </w:r>
    </w:p>
    <w:p w14:paraId="41EA0C4F" w14:textId="0906F5D9" w:rsidR="00A706B9" w:rsidRDefault="00553924" w:rsidP="00A706B9">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A</w:t>
      </w:r>
      <w:r w:rsidR="00A706B9">
        <w:rPr>
          <w:rFonts w:ascii="Calibri" w:hAnsi="Calibri" w:cs="Calibri"/>
          <w:color w:val="000000"/>
        </w:rPr>
        <w:t xml:space="preserve">ccess to </w:t>
      </w:r>
      <w:r>
        <w:rPr>
          <w:rFonts w:ascii="Calibri" w:hAnsi="Calibri" w:cs="Calibri"/>
          <w:color w:val="000000"/>
        </w:rPr>
        <w:t>authorised individuals to view and submit growth data</w:t>
      </w:r>
    </w:p>
    <w:p w14:paraId="04935B71" w14:textId="5E7107E4" w:rsidR="00553924" w:rsidRDefault="00553924" w:rsidP="00553924">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Editability of recordings with clear data trail</w:t>
      </w:r>
    </w:p>
    <w:p w14:paraId="3148A34D" w14:textId="3524DB78" w:rsidR="00094288" w:rsidRDefault="00094288" w:rsidP="00553924">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Reliable system with minimal downtime and easily accessible IT support</w:t>
      </w:r>
    </w:p>
    <w:p w14:paraId="51CEA616" w14:textId="7FC67BFF" w:rsidR="00553924" w:rsidRPr="00553924" w:rsidRDefault="00553924" w:rsidP="00553924">
      <w:pPr>
        <w:pStyle w:val="v1msonormal"/>
        <w:shd w:val="clear" w:color="auto" w:fill="FFFFFF"/>
        <w:spacing w:before="0" w:beforeAutospacing="0" w:after="0" w:afterAutospacing="0"/>
        <w:rPr>
          <w:rFonts w:asciiTheme="minorHAnsi" w:hAnsiTheme="minorHAnsi" w:cstheme="minorHAnsi"/>
          <w:b/>
          <w:bCs/>
          <w:color w:val="000000"/>
          <w:sz w:val="22"/>
          <w:szCs w:val="22"/>
        </w:rPr>
      </w:pPr>
    </w:p>
    <w:p w14:paraId="7C8FD5F3" w14:textId="066B9EF8" w:rsidR="00553924" w:rsidRPr="00553924" w:rsidRDefault="00660E8F" w:rsidP="00F26D2D">
      <w:pPr>
        <w:pStyle w:val="v1msonormal"/>
        <w:numPr>
          <w:ilvl w:val="0"/>
          <w:numId w:val="27"/>
        </w:numPr>
        <w:shd w:val="clear" w:color="auto" w:fill="FFFFFF"/>
        <w:spacing w:before="0" w:beforeAutospacing="0" w:after="0" w:afterAutospacing="0"/>
        <w:rPr>
          <w:rFonts w:asciiTheme="minorHAnsi" w:hAnsiTheme="minorHAnsi" w:cstheme="minorHAnsi"/>
          <w:b/>
          <w:bCs/>
          <w:color w:val="000000"/>
          <w:sz w:val="22"/>
          <w:szCs w:val="22"/>
        </w:rPr>
      </w:pPr>
      <w:r>
        <w:rPr>
          <w:rFonts w:asciiTheme="minorHAnsi" w:hAnsiTheme="minorHAnsi" w:cstheme="minorHAnsi"/>
          <w:b/>
          <w:bCs/>
          <w:color w:val="000000"/>
          <w:sz w:val="22"/>
          <w:szCs w:val="22"/>
        </w:rPr>
        <w:t>T</w:t>
      </w:r>
      <w:r w:rsidR="00553924" w:rsidRPr="00553924">
        <w:rPr>
          <w:rFonts w:asciiTheme="minorHAnsi" w:hAnsiTheme="minorHAnsi" w:cstheme="minorHAnsi"/>
          <w:b/>
          <w:bCs/>
          <w:color w:val="000000"/>
          <w:sz w:val="22"/>
          <w:szCs w:val="22"/>
        </w:rPr>
        <w:t xml:space="preserve">echnical </w:t>
      </w:r>
      <w:r w:rsidR="004F3934">
        <w:rPr>
          <w:rFonts w:asciiTheme="minorHAnsi" w:hAnsiTheme="minorHAnsi" w:cstheme="minorHAnsi"/>
          <w:b/>
          <w:bCs/>
          <w:color w:val="000000"/>
          <w:sz w:val="22"/>
          <w:szCs w:val="22"/>
        </w:rPr>
        <w:t>specifications</w:t>
      </w:r>
      <w:r w:rsidR="00553924" w:rsidRPr="00553924">
        <w:rPr>
          <w:rFonts w:asciiTheme="minorHAnsi" w:hAnsiTheme="minorHAnsi" w:cstheme="minorHAnsi"/>
          <w:b/>
          <w:bCs/>
          <w:color w:val="000000"/>
          <w:sz w:val="22"/>
          <w:szCs w:val="22"/>
        </w:rPr>
        <w:t xml:space="preserve">: </w:t>
      </w:r>
    </w:p>
    <w:p w14:paraId="2354F9B9" w14:textId="3F1F063C" w:rsidR="00D96579" w:rsidRDefault="00D96579"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M</w:t>
      </w:r>
      <w:r w:rsidR="00D7265A">
        <w:rPr>
          <w:rFonts w:ascii="Calibri" w:hAnsi="Calibri" w:cs="Calibri"/>
          <w:color w:val="000000"/>
        </w:rPr>
        <w:t>ultiple charts for both genders based on age</w:t>
      </w:r>
      <w:r w:rsidR="00553924">
        <w:rPr>
          <w:rFonts w:ascii="Calibri" w:hAnsi="Calibri" w:cs="Calibri"/>
          <w:color w:val="000000"/>
        </w:rPr>
        <w:t xml:space="preserve">: </w:t>
      </w:r>
      <w:r>
        <w:rPr>
          <w:rFonts w:ascii="Calibri" w:hAnsi="Calibri" w:cs="Calibri"/>
          <w:color w:val="2C363A"/>
          <w:sz w:val="22"/>
          <w:szCs w:val="22"/>
        </w:rPr>
        <w:t xml:space="preserve"> </w:t>
      </w:r>
      <w:r>
        <w:rPr>
          <w:rFonts w:ascii="Calibri" w:hAnsi="Calibri" w:cs="Calibri"/>
          <w:color w:val="000000"/>
        </w:rPr>
        <w:t>f</w:t>
      </w:r>
      <w:r w:rsidR="00D7265A">
        <w:rPr>
          <w:rFonts w:ascii="Calibri" w:hAnsi="Calibri" w:cs="Calibri"/>
          <w:color w:val="000000"/>
        </w:rPr>
        <w:t>or boys and girls, 0-2. 0-4, 0-18</w:t>
      </w:r>
    </w:p>
    <w:p w14:paraId="535A7B30" w14:textId="0E309877" w:rsidR="00D96579" w:rsidRDefault="00D96579"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M</w:t>
      </w:r>
      <w:r w:rsidR="00D7265A">
        <w:rPr>
          <w:rFonts w:ascii="Calibri" w:hAnsi="Calibri" w:cs="Calibri"/>
          <w:color w:val="000000"/>
        </w:rPr>
        <w:t>easurement of weight and height visible together</w:t>
      </w:r>
    </w:p>
    <w:p w14:paraId="6C7B12B3" w14:textId="58999474" w:rsidR="00553924" w:rsidRDefault="00D96579" w:rsidP="00553924">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H</w:t>
      </w:r>
      <w:r w:rsidR="00D7265A">
        <w:rPr>
          <w:rFonts w:ascii="Calibri" w:hAnsi="Calibri" w:cs="Calibri"/>
          <w:color w:val="000000"/>
        </w:rPr>
        <w:t>ead circumference</w:t>
      </w:r>
      <w:r>
        <w:rPr>
          <w:rFonts w:ascii="Calibri" w:hAnsi="Calibri" w:cs="Calibri"/>
          <w:color w:val="000000"/>
        </w:rPr>
        <w:t xml:space="preserve"> measurement</w:t>
      </w:r>
      <w:r w:rsidR="00D7265A">
        <w:rPr>
          <w:rFonts w:ascii="Calibri" w:hAnsi="Calibri" w:cs="Calibri"/>
          <w:color w:val="000000"/>
        </w:rPr>
        <w:t xml:space="preserve"> also visible (triple chart) </w:t>
      </w:r>
      <w:r w:rsidR="00553924">
        <w:rPr>
          <w:rFonts w:ascii="Calibri" w:hAnsi="Calibri" w:cs="Calibri"/>
          <w:color w:val="000000"/>
        </w:rPr>
        <w:t>for ages</w:t>
      </w:r>
      <w:r w:rsidR="00D7265A">
        <w:rPr>
          <w:rFonts w:ascii="Calibri" w:hAnsi="Calibri" w:cs="Calibri"/>
          <w:color w:val="000000"/>
        </w:rPr>
        <w:t xml:space="preserve"> 0</w:t>
      </w:r>
      <w:r w:rsidR="00553924">
        <w:rPr>
          <w:rFonts w:ascii="Calibri" w:hAnsi="Calibri" w:cs="Calibri"/>
          <w:color w:val="000000"/>
        </w:rPr>
        <w:t>-2</w:t>
      </w:r>
    </w:p>
    <w:p w14:paraId="206B2215" w14:textId="59E2CA63" w:rsidR="00D96579" w:rsidRPr="00553924" w:rsidRDefault="00553924" w:rsidP="00553924">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Corrections for prematurity in 0-2 year chart</w:t>
      </w:r>
    </w:p>
    <w:p w14:paraId="49BE8AC8" w14:textId="671499CA" w:rsidR="00D7265A" w:rsidRDefault="00D7265A"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 xml:space="preserve">BMI </w:t>
      </w:r>
      <w:r w:rsidR="00F259AE">
        <w:rPr>
          <w:rFonts w:ascii="Calibri" w:hAnsi="Calibri" w:cs="Calibri"/>
          <w:color w:val="000000"/>
        </w:rPr>
        <w:t xml:space="preserve">(Body mass index) </w:t>
      </w:r>
      <w:r>
        <w:rPr>
          <w:rFonts w:ascii="Calibri" w:hAnsi="Calibri" w:cs="Calibri"/>
          <w:color w:val="000000"/>
        </w:rPr>
        <w:t xml:space="preserve">chart. </w:t>
      </w:r>
    </w:p>
    <w:p w14:paraId="1C5CD079" w14:textId="303298D8" w:rsidR="00F259AE" w:rsidRDefault="00F259AE"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Down syndrome chart</w:t>
      </w:r>
    </w:p>
    <w:p w14:paraId="3D0FC6EB" w14:textId="77777777" w:rsidR="00723B39" w:rsidRDefault="00F259AE"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Height velocity charts</w:t>
      </w:r>
    </w:p>
    <w:p w14:paraId="12C8CEF2" w14:textId="4AE13735" w:rsidR="00F259AE" w:rsidRDefault="00F259AE"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Ability for retrospective data entry for plotting of previous recordings (</w:t>
      </w:r>
      <w:proofErr w:type="spellStart"/>
      <w:r>
        <w:rPr>
          <w:rFonts w:ascii="Calibri" w:hAnsi="Calibri" w:cs="Calibri"/>
          <w:color w:val="000000"/>
        </w:rPr>
        <w:t>eg</w:t>
      </w:r>
      <w:proofErr w:type="spellEnd"/>
      <w:r>
        <w:rPr>
          <w:rFonts w:ascii="Calibri" w:hAnsi="Calibri" w:cs="Calibri"/>
          <w:color w:val="000000"/>
        </w:rPr>
        <w:t xml:space="preserve"> from old paper notes)</w:t>
      </w:r>
    </w:p>
    <w:p w14:paraId="3CB7DA6E" w14:textId="77777777" w:rsidR="00F259AE" w:rsidRDefault="00F259AE"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Trend line capability</w:t>
      </w:r>
    </w:p>
    <w:p w14:paraId="1113F2D6" w14:textId="5B9DB495" w:rsidR="00E93155" w:rsidRDefault="00E93155"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Use of RCPCH / UK-WHO centile p</w:t>
      </w:r>
      <w:r w:rsidR="00461679">
        <w:rPr>
          <w:rFonts w:ascii="Calibri" w:hAnsi="Calibri" w:cs="Calibri"/>
          <w:color w:val="000000"/>
        </w:rPr>
        <w:t>oint standards</w:t>
      </w:r>
    </w:p>
    <w:p w14:paraId="178AE61E" w14:textId="74046E6B" w:rsidR="00C84C71" w:rsidRDefault="00C84C71" w:rsidP="00F259AE">
      <w:pPr>
        <w:pStyle w:val="v1msonormal"/>
        <w:numPr>
          <w:ilvl w:val="0"/>
          <w:numId w:val="5"/>
        </w:numPr>
        <w:shd w:val="clear" w:color="auto" w:fill="FFFFFF"/>
        <w:spacing w:before="0" w:beforeAutospacing="0" w:after="0" w:afterAutospacing="0"/>
        <w:rPr>
          <w:rFonts w:ascii="Calibri" w:hAnsi="Calibri" w:cs="Calibri"/>
          <w:color w:val="000000"/>
        </w:rPr>
      </w:pPr>
      <w:r>
        <w:rPr>
          <w:rFonts w:ascii="Calibri" w:hAnsi="Calibri" w:cs="Calibri"/>
          <w:color w:val="000000"/>
        </w:rPr>
        <w:t>Facilities for plotting the target centile and bone age</w:t>
      </w:r>
    </w:p>
    <w:p w14:paraId="5C524946" w14:textId="77777777" w:rsidR="00D7265A" w:rsidRDefault="00D7265A" w:rsidP="00D7265A">
      <w:pPr>
        <w:pStyle w:val="v1msonormal"/>
        <w:shd w:val="clear" w:color="auto" w:fill="FFFFFF"/>
        <w:spacing w:before="0" w:beforeAutospacing="0" w:after="0" w:afterAutospacing="0"/>
        <w:rPr>
          <w:rFonts w:ascii="Calibri" w:hAnsi="Calibri" w:cs="Calibri"/>
          <w:color w:val="2C363A"/>
          <w:sz w:val="22"/>
          <w:szCs w:val="22"/>
        </w:rPr>
      </w:pPr>
      <w:r>
        <w:rPr>
          <w:rFonts w:ascii="Calibri" w:hAnsi="Calibri" w:cs="Calibri"/>
          <w:color w:val="000000"/>
        </w:rPr>
        <w:t> </w:t>
      </w:r>
    </w:p>
    <w:p w14:paraId="5920F962" w14:textId="77777777" w:rsidR="00EA4D2C" w:rsidRPr="00A5405D" w:rsidRDefault="00EA4D2C" w:rsidP="002A00B6">
      <w:pPr>
        <w:rPr>
          <w:b/>
          <w:bCs/>
        </w:rPr>
      </w:pPr>
    </w:p>
    <w:p w14:paraId="0CE3EDC3" w14:textId="303BDA69" w:rsidR="005A0532" w:rsidRPr="00F26D2D" w:rsidRDefault="00BD5EBF" w:rsidP="00F26D2D">
      <w:pPr>
        <w:pStyle w:val="ListParagraph"/>
        <w:numPr>
          <w:ilvl w:val="0"/>
          <w:numId w:val="26"/>
        </w:numPr>
        <w:rPr>
          <w:rFonts w:ascii="Calibri" w:hAnsi="Calibri"/>
          <w:b/>
        </w:rPr>
      </w:pPr>
      <w:r w:rsidRPr="00F26D2D">
        <w:rPr>
          <w:rFonts w:ascii="Calibri" w:hAnsi="Calibri"/>
          <w:b/>
          <w:sz w:val="28"/>
          <w:szCs w:val="28"/>
        </w:rPr>
        <w:t>Options appraisal</w:t>
      </w:r>
      <w:r w:rsidRPr="00F26D2D">
        <w:rPr>
          <w:rFonts w:ascii="Calibri" w:hAnsi="Calibri"/>
          <w:b/>
        </w:rPr>
        <w:t xml:space="preserve"> : </w:t>
      </w:r>
    </w:p>
    <w:p w14:paraId="5859C778" w14:textId="4217B606" w:rsidR="00F8281C" w:rsidRPr="00F8281C" w:rsidRDefault="00F8281C" w:rsidP="00BD5EBF">
      <w:pPr>
        <w:rPr>
          <w:rFonts w:ascii="Calibri" w:hAnsi="Calibri"/>
          <w:bCs/>
        </w:rPr>
      </w:pPr>
      <w:r>
        <w:rPr>
          <w:rFonts w:ascii="Calibri" w:hAnsi="Calibri"/>
          <w:bCs/>
        </w:rPr>
        <w:t>Two options that could potentially meet the technical and organisational requirements</w:t>
      </w:r>
      <w:r w:rsidR="006F1003">
        <w:rPr>
          <w:rFonts w:ascii="Calibri" w:hAnsi="Calibri"/>
          <w:bCs/>
        </w:rPr>
        <w:t xml:space="preserve"> were identified</w:t>
      </w:r>
      <w:r>
        <w:rPr>
          <w:rFonts w:ascii="Calibri" w:hAnsi="Calibri"/>
          <w:bCs/>
        </w:rPr>
        <w:t xml:space="preserve">. The first was </w:t>
      </w:r>
      <w:proofErr w:type="spellStart"/>
      <w:r>
        <w:rPr>
          <w:rFonts w:ascii="Calibri" w:hAnsi="Calibri"/>
          <w:bCs/>
        </w:rPr>
        <w:t>eGrowth</w:t>
      </w:r>
      <w:proofErr w:type="spellEnd"/>
      <w:r>
        <w:rPr>
          <w:rFonts w:ascii="Calibri" w:hAnsi="Calibri"/>
          <w:bCs/>
        </w:rPr>
        <w:t xml:space="preserve"> which is currently in use in Aneurin Bevan UHB the other being a DHCW in house development of a digital growth chart to be housed within the current Welsh Clinical Portal system. </w:t>
      </w:r>
    </w:p>
    <w:p w14:paraId="49327E7D" w14:textId="6F7FA48F" w:rsidR="00BD5EBF" w:rsidRPr="00F26D2D" w:rsidRDefault="00BD5EBF" w:rsidP="00F26D2D">
      <w:pPr>
        <w:pStyle w:val="ListParagraph"/>
        <w:numPr>
          <w:ilvl w:val="0"/>
          <w:numId w:val="28"/>
        </w:numPr>
        <w:rPr>
          <w:rFonts w:ascii="Calibri" w:hAnsi="Calibri"/>
          <w:b/>
          <w:sz w:val="28"/>
          <w:szCs w:val="28"/>
        </w:rPr>
      </w:pPr>
      <w:proofErr w:type="spellStart"/>
      <w:r w:rsidRPr="00F26D2D">
        <w:rPr>
          <w:rFonts w:ascii="Calibri" w:hAnsi="Calibri"/>
          <w:b/>
          <w:sz w:val="28"/>
          <w:szCs w:val="28"/>
        </w:rPr>
        <w:t>eGrowth</w:t>
      </w:r>
      <w:proofErr w:type="spellEnd"/>
      <w:r w:rsidRPr="00F26D2D">
        <w:rPr>
          <w:rFonts w:ascii="Calibri" w:hAnsi="Calibri"/>
          <w:b/>
          <w:sz w:val="28"/>
          <w:szCs w:val="28"/>
        </w:rPr>
        <w:t xml:space="preserve"> (</w:t>
      </w:r>
      <w:proofErr w:type="spellStart"/>
      <w:r w:rsidRPr="00F26D2D">
        <w:rPr>
          <w:rFonts w:ascii="Calibri" w:hAnsi="Calibri"/>
          <w:b/>
          <w:sz w:val="28"/>
          <w:szCs w:val="28"/>
        </w:rPr>
        <w:t>CCube</w:t>
      </w:r>
      <w:proofErr w:type="spellEnd"/>
      <w:r w:rsidRPr="00F26D2D">
        <w:rPr>
          <w:rFonts w:ascii="Calibri" w:hAnsi="Calibri"/>
          <w:b/>
          <w:sz w:val="28"/>
          <w:szCs w:val="28"/>
        </w:rPr>
        <w:t xml:space="preserve"> Solutions)</w:t>
      </w:r>
    </w:p>
    <w:p w14:paraId="0D3FDCA7" w14:textId="7E8C4815" w:rsidR="005A0532" w:rsidRDefault="00BD5EBF" w:rsidP="00BD5EBF">
      <w:pPr>
        <w:jc w:val="both"/>
      </w:pPr>
      <w:proofErr w:type="spellStart"/>
      <w:r>
        <w:t>CCube</w:t>
      </w:r>
      <w:proofErr w:type="spellEnd"/>
      <w:r>
        <w:t xml:space="preserve"> Solutions have developed </w:t>
      </w:r>
      <w:proofErr w:type="spellStart"/>
      <w:r>
        <w:t>eGrowth</w:t>
      </w:r>
      <w:proofErr w:type="spellEnd"/>
      <w:r>
        <w:t xml:space="preserve"> an electronic growth chart software application for recording and graphically displaying point data for patients – height, weight, and head circumference measurements. </w:t>
      </w:r>
      <w:r w:rsidR="005A0532">
        <w:rPr>
          <w:rFonts w:cstheme="minorHAnsi"/>
          <w:color w:val="000000"/>
        </w:rPr>
        <w:t xml:space="preserve">The </w:t>
      </w:r>
      <w:proofErr w:type="spellStart"/>
      <w:r w:rsidR="005A0532">
        <w:rPr>
          <w:rFonts w:cstheme="minorHAnsi"/>
          <w:color w:val="000000"/>
        </w:rPr>
        <w:t>eGrowth</w:t>
      </w:r>
      <w:proofErr w:type="spellEnd"/>
      <w:r w:rsidR="005A0532">
        <w:rPr>
          <w:rFonts w:cstheme="minorHAnsi"/>
          <w:color w:val="000000"/>
        </w:rPr>
        <w:t xml:space="preserve"> application was designed and developed by </w:t>
      </w:r>
      <w:proofErr w:type="spellStart"/>
      <w:r w:rsidR="005A0532">
        <w:rPr>
          <w:rFonts w:cstheme="minorHAnsi"/>
          <w:color w:val="000000"/>
        </w:rPr>
        <w:t>CCube</w:t>
      </w:r>
      <w:proofErr w:type="spellEnd"/>
      <w:r w:rsidR="005A0532">
        <w:rPr>
          <w:rFonts w:cstheme="minorHAnsi"/>
          <w:color w:val="000000"/>
        </w:rPr>
        <w:t xml:space="preserve"> Solutions, in close partnership with </w:t>
      </w:r>
      <w:r w:rsidR="005A0532">
        <w:t xml:space="preserve">Aneurin Bevan University Health Board (ABUHB) Child Health and Informatics department, using the </w:t>
      </w:r>
      <w:proofErr w:type="spellStart"/>
      <w:r w:rsidR="005A0532">
        <w:t>CCube</w:t>
      </w:r>
      <w:proofErr w:type="spellEnd"/>
      <w:r w:rsidR="005A0532">
        <w:t xml:space="preserve"> </w:t>
      </w:r>
      <w:proofErr w:type="spellStart"/>
      <w:r w:rsidR="005A0532">
        <w:t>eForms</w:t>
      </w:r>
      <w:proofErr w:type="spellEnd"/>
      <w:r w:rsidR="005A0532">
        <w:t xml:space="preserve"> product; </w:t>
      </w:r>
      <w:proofErr w:type="spellStart"/>
      <w:r w:rsidR="005A0532">
        <w:t>eGrowth</w:t>
      </w:r>
      <w:proofErr w:type="spellEnd"/>
      <w:r w:rsidR="005A0532">
        <w:t xml:space="preserve"> is used independently of </w:t>
      </w:r>
      <w:proofErr w:type="spellStart"/>
      <w:r w:rsidR="005A0532">
        <w:t>eForms</w:t>
      </w:r>
      <w:proofErr w:type="spellEnd"/>
      <w:r w:rsidR="005A0532">
        <w:t xml:space="preserve"> for which </w:t>
      </w:r>
      <w:proofErr w:type="spellStart"/>
      <w:r w:rsidR="005A0532">
        <w:t>CCube</w:t>
      </w:r>
      <w:proofErr w:type="spellEnd"/>
      <w:r w:rsidR="005A0532">
        <w:t xml:space="preserve"> Solutions own the rights to the underlying code.</w:t>
      </w:r>
      <w:r w:rsidR="005A0532" w:rsidRPr="005A0532">
        <w:t xml:space="preserve"> </w:t>
      </w:r>
      <w:r w:rsidR="005A0532">
        <w:t>It is an independent application that can be accessed from any IT platform.  In ABUHB it is deployed and accessible from the Clinical Work Station (CWS) a form of Electronic Patient Record.</w:t>
      </w:r>
    </w:p>
    <w:p w14:paraId="11440D2D" w14:textId="13B9F0F3" w:rsidR="00BA4E93" w:rsidRPr="00AA0C50" w:rsidRDefault="00BD5EBF" w:rsidP="0025423D">
      <w:pPr>
        <w:ind w:firstLine="720"/>
        <w:jc w:val="both"/>
        <w:rPr>
          <w:rFonts w:ascii="Calibri" w:hAnsi="Calibri"/>
        </w:rPr>
      </w:pPr>
      <w:r>
        <w:rPr>
          <w:rFonts w:ascii="Calibri" w:hAnsi="Calibri"/>
        </w:rPr>
        <w:lastRenderedPageBreak/>
        <w:t>It allows the creation of an electronic growth chart for all children who are registered in ABUHB, viewable by all CWS users, and data can be added from any location in ABUHB. Data entry and modification is however only allowed by users who have received appropriate training, both in the uses of the CWS application, and the clinical skill of measurement.</w:t>
      </w:r>
    </w:p>
    <w:p w14:paraId="048C293D" w14:textId="37971BB5" w:rsidR="00BD5EBF" w:rsidRDefault="00BD5EBF" w:rsidP="00BD5EBF">
      <w:pPr>
        <w:jc w:val="both"/>
        <w:rPr>
          <w:rFonts w:ascii="Calibri" w:hAnsi="Calibri"/>
        </w:rPr>
      </w:pPr>
      <w:r>
        <w:rPr>
          <w:rFonts w:ascii="Calibri" w:hAnsi="Calibri"/>
        </w:rPr>
        <w:t>The following combined charts are available to users</w:t>
      </w:r>
      <w:r w:rsidR="005A0532">
        <w:rPr>
          <w:rFonts w:ascii="Calibri" w:hAnsi="Calibri"/>
        </w:rPr>
        <w:t>:</w:t>
      </w:r>
    </w:p>
    <w:p w14:paraId="1016B765" w14:textId="77777777" w:rsidR="00BD5EBF" w:rsidRDefault="00BD5EBF" w:rsidP="00BD5EBF">
      <w:pPr>
        <w:numPr>
          <w:ilvl w:val="0"/>
          <w:numId w:val="6"/>
        </w:numPr>
        <w:spacing w:after="0" w:line="240" w:lineRule="auto"/>
        <w:jc w:val="both"/>
        <w:rPr>
          <w:rFonts w:ascii="Calibri" w:hAnsi="Calibri"/>
        </w:rPr>
      </w:pPr>
      <w:r>
        <w:rPr>
          <w:rFonts w:ascii="Calibri" w:hAnsi="Calibri"/>
        </w:rPr>
        <w:t>0-2 Year chart for boys and girls displaying height, weight, head circumference</w:t>
      </w:r>
    </w:p>
    <w:p w14:paraId="528653F0" w14:textId="77777777" w:rsidR="00BD5EBF" w:rsidRDefault="00BD5EBF" w:rsidP="00BD5EBF">
      <w:pPr>
        <w:numPr>
          <w:ilvl w:val="0"/>
          <w:numId w:val="6"/>
        </w:numPr>
        <w:spacing w:after="0" w:line="240" w:lineRule="auto"/>
        <w:jc w:val="both"/>
        <w:rPr>
          <w:rFonts w:ascii="Calibri" w:hAnsi="Calibri"/>
        </w:rPr>
      </w:pPr>
      <w:r>
        <w:rPr>
          <w:rFonts w:ascii="Calibri" w:hAnsi="Calibri"/>
        </w:rPr>
        <w:t>0-4 Year charts for boys and girls displaying height and weight</w:t>
      </w:r>
    </w:p>
    <w:p w14:paraId="4042C671" w14:textId="77777777" w:rsidR="005A0532" w:rsidRDefault="00BD5EBF" w:rsidP="00BD5EBF">
      <w:pPr>
        <w:numPr>
          <w:ilvl w:val="0"/>
          <w:numId w:val="6"/>
        </w:numPr>
        <w:spacing w:after="0" w:line="240" w:lineRule="auto"/>
        <w:jc w:val="both"/>
        <w:rPr>
          <w:rFonts w:ascii="Calibri" w:hAnsi="Calibri"/>
        </w:rPr>
      </w:pPr>
      <w:r>
        <w:rPr>
          <w:rFonts w:ascii="Calibri" w:hAnsi="Calibri"/>
        </w:rPr>
        <w:t xml:space="preserve">0-18 Year charts for boys and girls displaying height and weight </w:t>
      </w:r>
    </w:p>
    <w:p w14:paraId="5807A022" w14:textId="77777777" w:rsidR="005A0532" w:rsidRDefault="00BD5EBF" w:rsidP="00BD5EBF">
      <w:pPr>
        <w:numPr>
          <w:ilvl w:val="0"/>
          <w:numId w:val="6"/>
        </w:numPr>
        <w:spacing w:after="0" w:line="240" w:lineRule="auto"/>
        <w:jc w:val="both"/>
        <w:rPr>
          <w:rFonts w:ascii="Calibri" w:hAnsi="Calibri"/>
        </w:rPr>
      </w:pPr>
      <w:r w:rsidRPr="005A0532">
        <w:rPr>
          <w:rFonts w:ascii="Calibri" w:hAnsi="Calibri"/>
        </w:rPr>
        <w:t>Charts are also available For BMI and at each age range displaying a single growth parameter.</w:t>
      </w:r>
      <w:r w:rsidR="005A0532" w:rsidRPr="005A0532">
        <w:rPr>
          <w:rFonts w:ascii="Calibri" w:hAnsi="Calibri"/>
        </w:rPr>
        <w:t xml:space="preserve"> </w:t>
      </w:r>
    </w:p>
    <w:p w14:paraId="7D6AD18E" w14:textId="3B0EC30D" w:rsidR="005A0532" w:rsidRDefault="00BD5EBF" w:rsidP="00BD5EBF">
      <w:pPr>
        <w:numPr>
          <w:ilvl w:val="0"/>
          <w:numId w:val="6"/>
        </w:numPr>
        <w:spacing w:after="0" w:line="240" w:lineRule="auto"/>
        <w:jc w:val="both"/>
        <w:rPr>
          <w:rFonts w:ascii="Calibri" w:hAnsi="Calibri"/>
        </w:rPr>
      </w:pPr>
      <w:r w:rsidRPr="005A0532">
        <w:rPr>
          <w:rFonts w:ascii="Calibri" w:hAnsi="Calibri"/>
        </w:rPr>
        <w:t>Charts can be switched to a background display for Down syndrome.</w:t>
      </w:r>
      <w:r w:rsidR="005A0532" w:rsidRPr="005A0532">
        <w:rPr>
          <w:rFonts w:ascii="Calibri" w:hAnsi="Calibri"/>
        </w:rPr>
        <w:t xml:space="preserve"> </w:t>
      </w:r>
    </w:p>
    <w:p w14:paraId="405D8A76" w14:textId="77777777" w:rsidR="005A0532" w:rsidRPr="005A0532" w:rsidRDefault="005A0532" w:rsidP="005A0532">
      <w:pPr>
        <w:spacing w:after="0" w:line="240" w:lineRule="auto"/>
        <w:ind w:left="360"/>
        <w:jc w:val="both"/>
        <w:rPr>
          <w:rFonts w:ascii="Calibri" w:hAnsi="Calibri"/>
        </w:rPr>
      </w:pPr>
    </w:p>
    <w:p w14:paraId="74525959" w14:textId="741CADDF" w:rsidR="00BD5EBF" w:rsidRPr="005A0532" w:rsidRDefault="00BD5EBF" w:rsidP="0025423D">
      <w:pPr>
        <w:ind w:firstLine="360"/>
        <w:jc w:val="both"/>
        <w:rPr>
          <w:rFonts w:ascii="Calibri" w:hAnsi="Calibri"/>
        </w:rPr>
      </w:pPr>
      <w:r>
        <w:rPr>
          <w:szCs w:val="20"/>
        </w:rPr>
        <w:t>A pilot phase began at ABUHB in June 2014</w:t>
      </w:r>
      <w:r w:rsidR="0049362A">
        <w:rPr>
          <w:szCs w:val="20"/>
        </w:rPr>
        <w:t xml:space="preserve"> and within six month paper based charts were no longer in use for new patients.  O</w:t>
      </w:r>
      <w:r w:rsidRPr="00BA4E93">
        <w:rPr>
          <w:szCs w:val="20"/>
        </w:rPr>
        <w:t>ver 67,000 children have active growth charts holding over 418,000 data points.</w:t>
      </w:r>
      <w:r>
        <w:rPr>
          <w:szCs w:val="20"/>
        </w:rPr>
        <w:t xml:space="preserve"> </w:t>
      </w:r>
      <w:r w:rsidR="0049362A">
        <w:rPr>
          <w:szCs w:val="20"/>
        </w:rPr>
        <w:t xml:space="preserve">As </w:t>
      </w:r>
      <w:proofErr w:type="spellStart"/>
      <w:r w:rsidR="0049362A">
        <w:rPr>
          <w:szCs w:val="20"/>
        </w:rPr>
        <w:t>eGrowth</w:t>
      </w:r>
      <w:proofErr w:type="spellEnd"/>
      <w:r w:rsidR="0049362A">
        <w:rPr>
          <w:szCs w:val="20"/>
        </w:rPr>
        <w:t xml:space="preserve"> became more established within the health board data points began to get collected from various locations other than by inpatient Paediatric services.</w:t>
      </w:r>
    </w:p>
    <w:p w14:paraId="163AAB2A" w14:textId="77777777" w:rsidR="00BD5EBF" w:rsidRDefault="00BD5EBF" w:rsidP="00BD5EBF">
      <w:pPr>
        <w:jc w:val="both"/>
        <w:rPr>
          <w:szCs w:val="20"/>
        </w:rPr>
      </w:pPr>
    </w:p>
    <w:tbl>
      <w:tblPr>
        <w:tblW w:w="4559" w:type="dxa"/>
        <w:jc w:val="center"/>
        <w:tblCellMar>
          <w:left w:w="0" w:type="dxa"/>
          <w:right w:w="0" w:type="dxa"/>
        </w:tblCellMar>
        <w:tblLook w:val="04A0" w:firstRow="1" w:lastRow="0" w:firstColumn="1" w:lastColumn="0" w:noHBand="0" w:noVBand="1"/>
      </w:tblPr>
      <w:tblGrid>
        <w:gridCol w:w="3005"/>
        <w:gridCol w:w="1554"/>
      </w:tblGrid>
      <w:tr w:rsidR="00BD5EBF" w14:paraId="354FE00B" w14:textId="77777777" w:rsidTr="005A0532">
        <w:trPr>
          <w:trHeight w:val="244"/>
          <w:jc w:val="center"/>
        </w:trPr>
        <w:tc>
          <w:tcPr>
            <w:tcW w:w="3005" w:type="dxa"/>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63C5193C" w14:textId="77777777" w:rsidR="00BD5EBF" w:rsidRDefault="00BD5EBF">
            <w:pPr>
              <w:jc w:val="center"/>
              <w:rPr>
                <w:rFonts w:cstheme="minorHAnsi"/>
                <w:b/>
                <w:bCs/>
                <w:color w:val="000000"/>
                <w:lang w:eastAsia="en-GB"/>
              </w:rPr>
            </w:pPr>
            <w:r>
              <w:rPr>
                <w:rFonts w:cstheme="minorHAnsi"/>
                <w:b/>
                <w:bCs/>
                <w:color w:val="000000"/>
              </w:rPr>
              <w:t>Location</w:t>
            </w:r>
          </w:p>
        </w:tc>
        <w:tc>
          <w:tcPr>
            <w:tcW w:w="1554" w:type="dxa"/>
            <w:tcBorders>
              <w:top w:val="single" w:sz="8" w:space="0" w:color="auto"/>
              <w:left w:val="nil"/>
              <w:bottom w:val="single" w:sz="8" w:space="0" w:color="auto"/>
              <w:right w:val="single" w:sz="8" w:space="0" w:color="auto"/>
            </w:tcBorders>
            <w:noWrap/>
            <w:tcMar>
              <w:top w:w="0" w:type="dxa"/>
              <w:left w:w="108" w:type="dxa"/>
              <w:bottom w:w="0" w:type="dxa"/>
              <w:right w:w="108" w:type="dxa"/>
            </w:tcMar>
            <w:vAlign w:val="bottom"/>
            <w:hideMark/>
          </w:tcPr>
          <w:p w14:paraId="1B660EBB" w14:textId="77777777" w:rsidR="00BD5EBF" w:rsidRDefault="00BD5EBF">
            <w:pPr>
              <w:jc w:val="center"/>
              <w:rPr>
                <w:rFonts w:cstheme="minorHAnsi"/>
                <w:b/>
                <w:bCs/>
                <w:color w:val="000000"/>
                <w:lang w:val="en-US"/>
              </w:rPr>
            </w:pPr>
            <w:r>
              <w:rPr>
                <w:rFonts w:cstheme="minorHAnsi"/>
                <w:b/>
                <w:bCs/>
                <w:color w:val="000000"/>
              </w:rPr>
              <w:t>Recordings</w:t>
            </w:r>
          </w:p>
        </w:tc>
      </w:tr>
      <w:tr w:rsidR="00BD5EBF" w14:paraId="767EDDA9"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452E41B" w14:textId="77777777" w:rsidR="00BD5EBF" w:rsidRDefault="00BD5EBF">
            <w:pPr>
              <w:rPr>
                <w:rFonts w:cstheme="minorHAnsi"/>
                <w:color w:val="000000"/>
              </w:rPr>
            </w:pPr>
            <w:r>
              <w:rPr>
                <w:rFonts w:cstheme="minorHAnsi"/>
                <w:color w:val="000000"/>
              </w:rPr>
              <w:t>Child assessment Unit (CAU)</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B05BF0C" w14:textId="77777777" w:rsidR="00BD5EBF" w:rsidRDefault="00BD5EBF">
            <w:pPr>
              <w:rPr>
                <w:rFonts w:cstheme="minorHAnsi"/>
                <w:color w:val="000000"/>
              </w:rPr>
            </w:pPr>
            <w:r>
              <w:rPr>
                <w:rFonts w:cstheme="minorHAnsi"/>
                <w:color w:val="000000"/>
              </w:rPr>
              <w:t>12,868</w:t>
            </w:r>
          </w:p>
        </w:tc>
      </w:tr>
      <w:tr w:rsidR="00BD5EBF" w14:paraId="62B21BBC"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C0AA656" w14:textId="77777777" w:rsidR="00BD5EBF" w:rsidRDefault="00BD5EBF">
            <w:pPr>
              <w:rPr>
                <w:rFonts w:cstheme="minorHAnsi"/>
                <w:color w:val="000000"/>
              </w:rPr>
            </w:pPr>
            <w:r>
              <w:rPr>
                <w:rFonts w:cstheme="minorHAnsi"/>
                <w:color w:val="000000"/>
              </w:rPr>
              <w:t>Clinic (CL)</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F9C1A84" w14:textId="77777777" w:rsidR="00BD5EBF" w:rsidRDefault="00BD5EBF">
            <w:pPr>
              <w:rPr>
                <w:rFonts w:cstheme="minorHAnsi"/>
                <w:color w:val="000000"/>
              </w:rPr>
            </w:pPr>
            <w:r>
              <w:rPr>
                <w:rFonts w:cstheme="minorHAnsi"/>
                <w:color w:val="000000"/>
              </w:rPr>
              <w:t>263,005</w:t>
            </w:r>
          </w:p>
        </w:tc>
      </w:tr>
      <w:tr w:rsidR="00BD5EBF" w14:paraId="15086C10"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65DED6B5" w14:textId="77777777" w:rsidR="00BD5EBF" w:rsidRDefault="00BD5EBF">
            <w:pPr>
              <w:rPr>
                <w:rFonts w:cstheme="minorHAnsi"/>
                <w:color w:val="000000"/>
              </w:rPr>
            </w:pPr>
            <w:r>
              <w:rPr>
                <w:rFonts w:cstheme="minorHAnsi"/>
                <w:color w:val="000000"/>
              </w:rPr>
              <w:t>Dietician (DI)</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0DFCEAC" w14:textId="77777777" w:rsidR="00BD5EBF" w:rsidRDefault="00BD5EBF">
            <w:pPr>
              <w:rPr>
                <w:rFonts w:cstheme="minorHAnsi"/>
                <w:color w:val="000000"/>
              </w:rPr>
            </w:pPr>
            <w:r>
              <w:rPr>
                <w:rFonts w:cstheme="minorHAnsi"/>
                <w:color w:val="000000"/>
              </w:rPr>
              <w:t>16,055</w:t>
            </w:r>
          </w:p>
        </w:tc>
      </w:tr>
      <w:tr w:rsidR="00BD5EBF" w14:paraId="025A7772"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F26518A" w14:textId="77777777" w:rsidR="00BD5EBF" w:rsidRDefault="00BD5EBF">
            <w:pPr>
              <w:rPr>
                <w:rFonts w:cstheme="minorHAnsi"/>
                <w:color w:val="000000"/>
              </w:rPr>
            </w:pPr>
            <w:r>
              <w:rPr>
                <w:rFonts w:cstheme="minorHAnsi"/>
                <w:color w:val="000000"/>
              </w:rPr>
              <w:t>GP (GP)</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C131005" w14:textId="77777777" w:rsidR="00BD5EBF" w:rsidRDefault="00BD5EBF">
            <w:pPr>
              <w:rPr>
                <w:rFonts w:cstheme="minorHAnsi"/>
                <w:color w:val="000000"/>
              </w:rPr>
            </w:pPr>
            <w:r>
              <w:rPr>
                <w:rFonts w:cstheme="minorHAnsi"/>
                <w:color w:val="000000"/>
              </w:rPr>
              <w:t>2,691</w:t>
            </w:r>
          </w:p>
        </w:tc>
      </w:tr>
      <w:tr w:rsidR="00BD5EBF" w14:paraId="4714B215"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63A50BFB" w14:textId="77777777" w:rsidR="00BD5EBF" w:rsidRDefault="00BD5EBF">
            <w:pPr>
              <w:rPr>
                <w:rFonts w:cstheme="minorHAnsi"/>
                <w:color w:val="000000"/>
              </w:rPr>
            </w:pPr>
            <w:r>
              <w:rPr>
                <w:rFonts w:cstheme="minorHAnsi"/>
                <w:color w:val="000000"/>
              </w:rPr>
              <w:t>Health Visitor (HV)</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DC98589" w14:textId="77777777" w:rsidR="00BD5EBF" w:rsidRDefault="00BD5EBF">
            <w:pPr>
              <w:rPr>
                <w:rFonts w:cstheme="minorHAnsi"/>
                <w:color w:val="000000"/>
              </w:rPr>
            </w:pPr>
            <w:r>
              <w:rPr>
                <w:rFonts w:cstheme="minorHAnsi"/>
                <w:color w:val="000000"/>
              </w:rPr>
              <w:t>12,093</w:t>
            </w:r>
          </w:p>
        </w:tc>
      </w:tr>
      <w:tr w:rsidR="00BD5EBF" w14:paraId="549C673A"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000BD41" w14:textId="77777777" w:rsidR="00BD5EBF" w:rsidRDefault="00BD5EBF">
            <w:pPr>
              <w:rPr>
                <w:rFonts w:cstheme="minorHAnsi"/>
                <w:color w:val="000000"/>
              </w:rPr>
            </w:pPr>
            <w:r>
              <w:rPr>
                <w:rFonts w:cstheme="minorHAnsi"/>
                <w:color w:val="000000"/>
              </w:rPr>
              <w:t>School Nurse (SN)</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7691020" w14:textId="77777777" w:rsidR="00BD5EBF" w:rsidRDefault="00BD5EBF">
            <w:pPr>
              <w:rPr>
                <w:rFonts w:cstheme="minorHAnsi"/>
                <w:color w:val="000000"/>
              </w:rPr>
            </w:pPr>
            <w:r>
              <w:rPr>
                <w:rFonts w:cstheme="minorHAnsi"/>
                <w:color w:val="000000"/>
              </w:rPr>
              <w:t>2,296</w:t>
            </w:r>
          </w:p>
        </w:tc>
      </w:tr>
      <w:tr w:rsidR="00BD5EBF" w14:paraId="6E0E1447"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F310E44" w14:textId="77777777" w:rsidR="00BD5EBF" w:rsidRDefault="00BD5EBF">
            <w:pPr>
              <w:rPr>
                <w:rFonts w:cstheme="minorHAnsi"/>
                <w:color w:val="000000"/>
              </w:rPr>
            </w:pPr>
            <w:r>
              <w:rPr>
                <w:rFonts w:cstheme="minorHAnsi"/>
                <w:color w:val="000000"/>
              </w:rPr>
              <w:t>Ward (WA)</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7FCF349" w14:textId="77777777" w:rsidR="00BD5EBF" w:rsidRDefault="00BD5EBF">
            <w:pPr>
              <w:rPr>
                <w:rFonts w:cstheme="minorHAnsi"/>
                <w:color w:val="000000"/>
              </w:rPr>
            </w:pPr>
            <w:r>
              <w:rPr>
                <w:rFonts w:cstheme="minorHAnsi"/>
                <w:color w:val="000000"/>
              </w:rPr>
              <w:t>43,357</w:t>
            </w:r>
          </w:p>
        </w:tc>
      </w:tr>
      <w:tr w:rsidR="00BD5EBF" w14:paraId="197A8A2E" w14:textId="77777777" w:rsidTr="005A0532">
        <w:trPr>
          <w:trHeight w:val="244"/>
          <w:jc w:val="center"/>
        </w:trPr>
        <w:tc>
          <w:tcPr>
            <w:tcW w:w="3005"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2D2CE30D" w14:textId="77777777" w:rsidR="00BD5EBF" w:rsidRDefault="00BD5EBF">
            <w:pPr>
              <w:rPr>
                <w:rFonts w:cstheme="minorHAnsi"/>
                <w:color w:val="000000"/>
              </w:rPr>
            </w:pPr>
            <w:r>
              <w:rPr>
                <w:rFonts w:cstheme="minorHAnsi"/>
                <w:color w:val="000000"/>
              </w:rPr>
              <w:t>Other</w:t>
            </w:r>
          </w:p>
        </w:tc>
        <w:tc>
          <w:tcPr>
            <w:tcW w:w="155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E0F3BEC" w14:textId="77777777" w:rsidR="00BD5EBF" w:rsidRDefault="00BD5EBF">
            <w:pPr>
              <w:rPr>
                <w:rFonts w:cstheme="minorHAnsi"/>
                <w:color w:val="000000"/>
              </w:rPr>
            </w:pPr>
            <w:r>
              <w:rPr>
                <w:rFonts w:cstheme="minorHAnsi"/>
                <w:color w:val="000000"/>
              </w:rPr>
              <w:t>63,019</w:t>
            </w:r>
          </w:p>
        </w:tc>
      </w:tr>
    </w:tbl>
    <w:p w14:paraId="0D13B818" w14:textId="77777777" w:rsidR="00BD5EBF" w:rsidRDefault="00BD5EBF" w:rsidP="00BD5EBF">
      <w:pPr>
        <w:jc w:val="both"/>
        <w:rPr>
          <w:rFonts w:cs="Times New Roman"/>
          <w:szCs w:val="20"/>
          <w:lang w:val="en-US"/>
        </w:rPr>
      </w:pPr>
    </w:p>
    <w:p w14:paraId="488A18BB" w14:textId="164681D8" w:rsidR="00BD5EBF" w:rsidRDefault="00EC2233" w:rsidP="00787BBC">
      <w:pPr>
        <w:ind w:firstLine="720"/>
        <w:jc w:val="both"/>
        <w:rPr>
          <w:szCs w:val="20"/>
        </w:rPr>
      </w:pPr>
      <w:r>
        <w:rPr>
          <w:szCs w:val="20"/>
        </w:rPr>
        <w:t>E</w:t>
      </w:r>
      <w:r w:rsidR="00BD5EBF">
        <w:rPr>
          <w:szCs w:val="20"/>
        </w:rPr>
        <w:t xml:space="preserve">xamples </w:t>
      </w:r>
      <w:r>
        <w:rPr>
          <w:szCs w:val="20"/>
        </w:rPr>
        <w:t xml:space="preserve">of </w:t>
      </w:r>
      <w:r w:rsidR="00BD5EBF">
        <w:rPr>
          <w:szCs w:val="20"/>
        </w:rPr>
        <w:t>where clinical practice has been enhanced primarily relate to the fact that all clinicians in all settings can see and use the same chart on-line, a</w:t>
      </w:r>
      <w:r>
        <w:rPr>
          <w:szCs w:val="20"/>
        </w:rPr>
        <w:t>long with an improvement in</w:t>
      </w:r>
      <w:r w:rsidR="00BD5EBF">
        <w:rPr>
          <w:szCs w:val="20"/>
        </w:rPr>
        <w:t xml:space="preserve"> plotting accuracy. </w:t>
      </w:r>
      <w:r w:rsidR="00AA3FCC">
        <w:rPr>
          <w:szCs w:val="20"/>
        </w:rPr>
        <w:t>(Williams, 2015)</w:t>
      </w:r>
    </w:p>
    <w:p w14:paraId="6D11AB21" w14:textId="48D0546E" w:rsidR="00DF21D7" w:rsidRPr="00AA0C50" w:rsidRDefault="00BD5EBF" w:rsidP="00787BBC">
      <w:pPr>
        <w:spacing w:after="0" w:line="240" w:lineRule="auto"/>
        <w:ind w:firstLine="720"/>
        <w:jc w:val="both"/>
        <w:rPr>
          <w:rFonts w:cstheme="minorHAnsi"/>
          <w:color w:val="000000"/>
        </w:rPr>
      </w:pPr>
      <w:r>
        <w:t xml:space="preserve">The data collected and held in </w:t>
      </w:r>
      <w:proofErr w:type="spellStart"/>
      <w:r>
        <w:t>eGrowth</w:t>
      </w:r>
      <w:proofErr w:type="spellEnd"/>
      <w:r>
        <w:t xml:space="preserve"> is restricted to patients seen in the ABUHB hospitals and care </w:t>
      </w:r>
      <w:proofErr w:type="spellStart"/>
      <w:r>
        <w:t>centers</w:t>
      </w:r>
      <w:proofErr w:type="spellEnd"/>
      <w:r>
        <w:t xml:space="preserve">; it does not hold data on all patients in the region or across Wales. </w:t>
      </w:r>
      <w:proofErr w:type="spellStart"/>
      <w:r w:rsidR="00AA0C50" w:rsidRPr="00AA0C50">
        <w:rPr>
          <w:rFonts w:cstheme="minorHAnsi"/>
          <w:color w:val="000000"/>
        </w:rPr>
        <w:t>eGrowth</w:t>
      </w:r>
      <w:proofErr w:type="spellEnd"/>
      <w:r w:rsidR="00AA0C50" w:rsidRPr="00AA0C50">
        <w:rPr>
          <w:rFonts w:cstheme="minorHAnsi"/>
          <w:color w:val="000000"/>
        </w:rPr>
        <w:t xml:space="preserve"> is currently installed on the ABUHB IT Infrastructure. It is integrated with CWS and all users access </w:t>
      </w:r>
      <w:proofErr w:type="spellStart"/>
      <w:r w:rsidR="00AA0C50" w:rsidRPr="00AA0C50">
        <w:rPr>
          <w:rFonts w:cstheme="minorHAnsi"/>
          <w:color w:val="000000"/>
        </w:rPr>
        <w:t>eGrowth</w:t>
      </w:r>
      <w:proofErr w:type="spellEnd"/>
      <w:r w:rsidR="00AA0C50" w:rsidRPr="00AA0C50">
        <w:rPr>
          <w:rFonts w:cstheme="minorHAnsi"/>
          <w:color w:val="000000"/>
        </w:rPr>
        <w:t xml:space="preserve"> via CWS (in patient context). All patient data points are stored in the </w:t>
      </w:r>
      <w:proofErr w:type="spellStart"/>
      <w:r w:rsidR="00AA0C50" w:rsidRPr="00AA0C50">
        <w:rPr>
          <w:rFonts w:cstheme="minorHAnsi"/>
          <w:color w:val="000000"/>
        </w:rPr>
        <w:t>eGrowth</w:t>
      </w:r>
      <w:proofErr w:type="spellEnd"/>
      <w:r w:rsidR="00AA0C50" w:rsidRPr="00AA0C50">
        <w:rPr>
          <w:rFonts w:cstheme="minorHAnsi"/>
          <w:color w:val="000000"/>
        </w:rPr>
        <w:t xml:space="preserve"> back-end MS SQL database provided by ABUHB. ABUHB maintain responsibility for the data security and access to the stored patient data however other agencies can request access to this data subject to ABUHB authorisation.</w:t>
      </w:r>
      <w:r w:rsidR="00DF21D7">
        <w:rPr>
          <w:rFonts w:cstheme="minorHAnsi"/>
          <w:color w:val="000000"/>
        </w:rPr>
        <w:t xml:space="preserve"> Currently the </w:t>
      </w:r>
      <w:proofErr w:type="spellStart"/>
      <w:r w:rsidR="00DF21D7">
        <w:rPr>
          <w:rFonts w:cstheme="minorHAnsi"/>
          <w:color w:val="000000"/>
        </w:rPr>
        <w:t>eGrowth</w:t>
      </w:r>
      <w:proofErr w:type="spellEnd"/>
      <w:r w:rsidR="00DF21D7">
        <w:rPr>
          <w:rFonts w:cstheme="minorHAnsi"/>
          <w:color w:val="000000"/>
        </w:rPr>
        <w:t xml:space="preserve"> data at ABUHB is only accessible from a secure intranet connection</w:t>
      </w:r>
      <w:r w:rsidR="00491212">
        <w:rPr>
          <w:rFonts w:cstheme="minorHAnsi"/>
          <w:color w:val="000000"/>
        </w:rPr>
        <w:t xml:space="preserve"> with t</w:t>
      </w:r>
      <w:r w:rsidR="00DF21D7">
        <w:rPr>
          <w:rFonts w:cstheme="minorHAnsi"/>
          <w:color w:val="000000"/>
        </w:rPr>
        <w:t xml:space="preserve">echnical support for </w:t>
      </w:r>
      <w:proofErr w:type="spellStart"/>
      <w:r w:rsidR="00DF21D7">
        <w:rPr>
          <w:rFonts w:cstheme="minorHAnsi"/>
          <w:color w:val="000000"/>
        </w:rPr>
        <w:t>eGrowth</w:t>
      </w:r>
      <w:proofErr w:type="spellEnd"/>
      <w:r w:rsidR="00DF21D7">
        <w:rPr>
          <w:rFonts w:cstheme="minorHAnsi"/>
          <w:color w:val="000000"/>
        </w:rPr>
        <w:t xml:space="preserve"> provided by the </w:t>
      </w:r>
      <w:proofErr w:type="spellStart"/>
      <w:r w:rsidR="00DF21D7">
        <w:rPr>
          <w:rFonts w:cstheme="minorHAnsi"/>
          <w:color w:val="000000"/>
        </w:rPr>
        <w:t>CCube</w:t>
      </w:r>
      <w:proofErr w:type="spellEnd"/>
      <w:r w:rsidR="00DF21D7">
        <w:rPr>
          <w:rFonts w:cstheme="minorHAnsi"/>
          <w:color w:val="000000"/>
        </w:rPr>
        <w:t xml:space="preserve"> Solutions</w:t>
      </w:r>
      <w:r w:rsidR="00546F3F">
        <w:rPr>
          <w:rFonts w:cstheme="minorHAnsi"/>
          <w:color w:val="000000"/>
        </w:rPr>
        <w:t xml:space="preserve"> </w:t>
      </w:r>
      <w:r w:rsidR="00DF21D7">
        <w:rPr>
          <w:rFonts w:cstheme="minorHAnsi"/>
          <w:color w:val="000000"/>
        </w:rPr>
        <w:t>Help Desk.</w:t>
      </w:r>
    </w:p>
    <w:p w14:paraId="32069986" w14:textId="0A258419" w:rsidR="00AA0C50" w:rsidRDefault="00AA0C50" w:rsidP="00AA0C50">
      <w:pPr>
        <w:jc w:val="both"/>
        <w:rPr>
          <w:rFonts w:cstheme="minorHAnsi"/>
          <w:color w:val="000000"/>
        </w:rPr>
      </w:pPr>
    </w:p>
    <w:p w14:paraId="5C4962F6" w14:textId="77777777" w:rsidR="007834B4" w:rsidRDefault="007834B4" w:rsidP="00AA0C50">
      <w:pPr>
        <w:jc w:val="both"/>
        <w:rPr>
          <w:rFonts w:cstheme="minorHAnsi"/>
          <w:color w:val="000000"/>
        </w:rPr>
      </w:pPr>
    </w:p>
    <w:p w14:paraId="792543C1" w14:textId="26708307" w:rsidR="00BD5EBF" w:rsidRDefault="00BD5EBF" w:rsidP="00BD5EBF">
      <w:pPr>
        <w:rPr>
          <w:rFonts w:ascii="Calibri" w:hAnsi="Calibri"/>
          <w:b/>
        </w:rPr>
      </w:pPr>
      <w:r>
        <w:rPr>
          <w:rFonts w:ascii="Calibri" w:hAnsi="Calibri"/>
          <w:b/>
        </w:rPr>
        <w:lastRenderedPageBreak/>
        <w:t>Centralised Deployment</w:t>
      </w:r>
      <w:r w:rsidR="00014F73">
        <w:rPr>
          <w:rFonts w:ascii="Calibri" w:hAnsi="Calibri"/>
          <w:b/>
        </w:rPr>
        <w:t xml:space="preserve"> of </w:t>
      </w:r>
      <w:proofErr w:type="spellStart"/>
      <w:r w:rsidR="00014F73">
        <w:rPr>
          <w:rFonts w:ascii="Calibri" w:hAnsi="Calibri"/>
          <w:b/>
        </w:rPr>
        <w:t>eGrowth</w:t>
      </w:r>
      <w:proofErr w:type="spellEnd"/>
    </w:p>
    <w:p w14:paraId="25A532E9" w14:textId="29150C0B" w:rsidR="00BD5EBF" w:rsidRDefault="00BD5EBF" w:rsidP="00BD5EBF">
      <w:pPr>
        <w:jc w:val="both"/>
      </w:pPr>
      <w:r>
        <w:t xml:space="preserve">The underlying </w:t>
      </w:r>
      <w:proofErr w:type="spellStart"/>
      <w:r>
        <w:t>eGrowth</w:t>
      </w:r>
      <w:proofErr w:type="spellEnd"/>
      <w:r>
        <w:t xml:space="preserve"> data repository is based on a scalable and non-proprietary SQL database – MS SQL. </w:t>
      </w:r>
      <w:r w:rsidR="00EA2BFB">
        <w:t xml:space="preserve"> To </w:t>
      </w:r>
      <w:r>
        <w:t xml:space="preserve">re-deploy </w:t>
      </w:r>
      <w:proofErr w:type="spellStart"/>
      <w:r>
        <w:t>eGrowth</w:t>
      </w:r>
      <w:proofErr w:type="spellEnd"/>
      <w:r>
        <w:t xml:space="preserve"> on a centralised IT Infrastructure, accessible across Wales, all LHBs and care </w:t>
      </w:r>
      <w:proofErr w:type="spellStart"/>
      <w:r>
        <w:t>centers</w:t>
      </w:r>
      <w:proofErr w:type="spellEnd"/>
      <w:r>
        <w:t xml:space="preserve"> could see, add-to, and share growth data for children across Wales</w:t>
      </w:r>
      <w:r w:rsidR="00EA2BFB">
        <w:t xml:space="preserve"> t</w:t>
      </w:r>
      <w:r>
        <w:t xml:space="preserve">he following key requirements </w:t>
      </w:r>
      <w:r w:rsidR="00EA2BFB">
        <w:t>would be necessary</w:t>
      </w:r>
      <w:r>
        <w:t>:</w:t>
      </w:r>
    </w:p>
    <w:p w14:paraId="4D9EC86B" w14:textId="77777777" w:rsidR="00BD5EBF" w:rsidRDefault="00BD5EBF" w:rsidP="00BD5EBF">
      <w:pPr>
        <w:pStyle w:val="ListParagraph"/>
        <w:numPr>
          <w:ilvl w:val="0"/>
          <w:numId w:val="11"/>
        </w:numPr>
        <w:spacing w:after="0" w:line="240" w:lineRule="auto"/>
        <w:jc w:val="both"/>
        <w:rPr>
          <w:b/>
        </w:rPr>
      </w:pPr>
      <w:r>
        <w:rPr>
          <w:b/>
        </w:rPr>
        <w:t>Central Repository for growth data</w:t>
      </w:r>
    </w:p>
    <w:p w14:paraId="5F7B9E6A" w14:textId="644DD95C" w:rsidR="00BD5EBF" w:rsidRDefault="00BD5EBF" w:rsidP="00BD5EBF">
      <w:pPr>
        <w:ind w:left="360"/>
        <w:jc w:val="both"/>
      </w:pPr>
      <w:r>
        <w:t xml:space="preserve">To support a national data repository, the current </w:t>
      </w:r>
      <w:proofErr w:type="spellStart"/>
      <w:r>
        <w:t>eGrowth</w:t>
      </w:r>
      <w:proofErr w:type="spellEnd"/>
      <w:r>
        <w:t xml:space="preserve"> application will need a change </w:t>
      </w:r>
      <w:r w:rsidR="00EA2BFB">
        <w:t>to the</w:t>
      </w:r>
      <w:r>
        <w:t xml:space="preserve"> software and the database structure</w:t>
      </w:r>
      <w:r w:rsidR="00EA2BFB">
        <w:t xml:space="preserve"> enabling the</w:t>
      </w:r>
      <w:r>
        <w:t xml:space="preserve"> use </w:t>
      </w:r>
      <w:r w:rsidR="00EA2BFB">
        <w:t xml:space="preserve">of </w:t>
      </w:r>
      <w:r>
        <w:t>a central Master Patient Index for all patients registered in Wales</w:t>
      </w:r>
      <w:r w:rsidR="00EA2BFB">
        <w:t xml:space="preserve"> and to </w:t>
      </w:r>
      <w:r>
        <w:t xml:space="preserve">enable each </w:t>
      </w:r>
      <w:r w:rsidR="00EA2BFB">
        <w:t>local Health Board (</w:t>
      </w:r>
      <w:r>
        <w:t>LHB</w:t>
      </w:r>
      <w:r w:rsidR="00EA2BFB">
        <w:t>)</w:t>
      </w:r>
      <w:r>
        <w:t xml:space="preserve"> to hold and access its own data allow</w:t>
      </w:r>
      <w:r w:rsidR="00EA2BFB">
        <w:t>ing</w:t>
      </w:r>
      <w:r>
        <w:t xml:space="preserve"> designated users to access a patient’s growth data across</w:t>
      </w:r>
      <w:r w:rsidR="00EA2BFB">
        <w:t xml:space="preserve"> the</w:t>
      </w:r>
      <w:r>
        <w:t xml:space="preserve"> LHBs</w:t>
      </w:r>
      <w:r w:rsidR="009D1A24">
        <w:t xml:space="preserve"> and could be incorporated into the recently developed National Data Repository.</w:t>
      </w:r>
    </w:p>
    <w:p w14:paraId="247937C7" w14:textId="77777777" w:rsidR="00BD5EBF" w:rsidRDefault="00BD5EBF" w:rsidP="00BD5EBF">
      <w:pPr>
        <w:pStyle w:val="ListParagraph"/>
        <w:numPr>
          <w:ilvl w:val="0"/>
          <w:numId w:val="11"/>
        </w:numPr>
        <w:spacing w:after="0" w:line="240" w:lineRule="auto"/>
        <w:jc w:val="both"/>
        <w:rPr>
          <w:b/>
        </w:rPr>
      </w:pPr>
      <w:r>
        <w:rPr>
          <w:b/>
        </w:rPr>
        <w:t>Administration, including read/write access</w:t>
      </w:r>
    </w:p>
    <w:p w14:paraId="595D9D04" w14:textId="77777777" w:rsidR="00BD5EBF" w:rsidRDefault="00BD5EBF" w:rsidP="00BD5EBF">
      <w:pPr>
        <w:ind w:left="360"/>
        <w:jc w:val="both"/>
      </w:pPr>
      <w:r>
        <w:t>Each LHB will be able to assign read/write permissions for users within its region, to support data entry at locations other than hospitals.</w:t>
      </w:r>
    </w:p>
    <w:p w14:paraId="775D867B" w14:textId="77777777" w:rsidR="00BD5EBF" w:rsidRDefault="00BD5EBF" w:rsidP="00BD5EBF">
      <w:pPr>
        <w:pStyle w:val="ListParagraph"/>
        <w:numPr>
          <w:ilvl w:val="0"/>
          <w:numId w:val="11"/>
        </w:numPr>
        <w:spacing w:after="0" w:line="240" w:lineRule="auto"/>
        <w:jc w:val="both"/>
        <w:rPr>
          <w:b/>
        </w:rPr>
      </w:pPr>
      <w:r>
        <w:rPr>
          <w:b/>
        </w:rPr>
        <w:t>Accessible via designated IT systems</w:t>
      </w:r>
    </w:p>
    <w:p w14:paraId="59FD0954" w14:textId="2414C57E" w:rsidR="00BD5EBF" w:rsidRDefault="00BD5EBF" w:rsidP="00BD5EBF">
      <w:pPr>
        <w:ind w:left="360"/>
        <w:jc w:val="both"/>
      </w:pPr>
      <w:r>
        <w:t xml:space="preserve">The centralised </w:t>
      </w:r>
      <w:proofErr w:type="spellStart"/>
      <w:r>
        <w:t>eGrowth</w:t>
      </w:r>
      <w:proofErr w:type="spellEnd"/>
      <w:r>
        <w:t xml:space="preserve"> system </w:t>
      </w:r>
      <w:r w:rsidR="00EA2BFB">
        <w:t xml:space="preserve">could be made </w:t>
      </w:r>
      <w:r>
        <w:t xml:space="preserve">accessible via specified IT system(s) within each LHB, </w:t>
      </w:r>
      <w:proofErr w:type="spellStart"/>
      <w:r>
        <w:t>eg.</w:t>
      </w:r>
      <w:proofErr w:type="spellEnd"/>
      <w:r>
        <w:t xml:space="preserve"> CWS at ABUHB, and (potentially) via</w:t>
      </w:r>
      <w:r w:rsidR="00EA2BFB">
        <w:t xml:space="preserve"> Welsh Clinical Portal</w:t>
      </w:r>
      <w:r>
        <w:t xml:space="preserve"> </w:t>
      </w:r>
      <w:r w:rsidR="00EA2BFB">
        <w:t>(</w:t>
      </w:r>
      <w:r>
        <w:t>WCP</w:t>
      </w:r>
      <w:r w:rsidR="00EA2BFB">
        <w:t>)</w:t>
      </w:r>
      <w:r>
        <w:t>. It c</w:t>
      </w:r>
      <w:r w:rsidR="00EA2BFB">
        <w:t>ould</w:t>
      </w:r>
      <w:r>
        <w:t xml:space="preserve"> also be accessed via links with Primary Care Clinical IT systems.</w:t>
      </w:r>
    </w:p>
    <w:p w14:paraId="5B5BC40A" w14:textId="2057AADD" w:rsidR="00BD5EBF" w:rsidRDefault="00BD5EBF" w:rsidP="00BD5EBF">
      <w:pPr>
        <w:pStyle w:val="ListParagraph"/>
        <w:numPr>
          <w:ilvl w:val="0"/>
          <w:numId w:val="11"/>
        </w:numPr>
        <w:spacing w:after="0" w:line="240" w:lineRule="auto"/>
        <w:jc w:val="both"/>
        <w:rPr>
          <w:b/>
        </w:rPr>
      </w:pPr>
      <w:r>
        <w:rPr>
          <w:b/>
        </w:rPr>
        <w:t>Interfacing –</w:t>
      </w:r>
      <w:r w:rsidR="00313D45">
        <w:rPr>
          <w:b/>
        </w:rPr>
        <w:t xml:space="preserve"> Fast Healthcare Interoperability Resources</w:t>
      </w:r>
      <w:r>
        <w:rPr>
          <w:b/>
        </w:rPr>
        <w:t xml:space="preserve"> </w:t>
      </w:r>
      <w:r w:rsidR="00313D45">
        <w:rPr>
          <w:b/>
        </w:rPr>
        <w:t>(</w:t>
      </w:r>
      <w:r>
        <w:rPr>
          <w:b/>
        </w:rPr>
        <w:t>FHIR</w:t>
      </w:r>
      <w:r w:rsidR="00313D45">
        <w:rPr>
          <w:b/>
        </w:rPr>
        <w:t>)</w:t>
      </w:r>
      <w:r>
        <w:rPr>
          <w:b/>
        </w:rPr>
        <w:t xml:space="preserve"> Compliant</w:t>
      </w:r>
    </w:p>
    <w:p w14:paraId="574DC813" w14:textId="77777777" w:rsidR="00EA6E79" w:rsidRDefault="00BD5EBF" w:rsidP="00EA6E79">
      <w:pPr>
        <w:ind w:left="360"/>
        <w:jc w:val="both"/>
      </w:pPr>
      <w:r>
        <w:t xml:space="preserve">All the data </w:t>
      </w:r>
      <w:r w:rsidR="00EA2BFB">
        <w:t xml:space="preserve">currently </w:t>
      </w:r>
      <w:r>
        <w:t>collected is held in</w:t>
      </w:r>
      <w:r w:rsidR="00EA2BFB">
        <w:t xml:space="preserve"> a</w:t>
      </w:r>
      <w:r>
        <w:t xml:space="preserve"> back-end MS SQL database. The existing </w:t>
      </w:r>
      <w:proofErr w:type="spellStart"/>
      <w:r>
        <w:t>eForms</w:t>
      </w:r>
      <w:proofErr w:type="spellEnd"/>
      <w:r>
        <w:t xml:space="preserve"> APIs will</w:t>
      </w:r>
      <w:r w:rsidR="00EA2BFB">
        <w:t xml:space="preserve"> require </w:t>
      </w:r>
      <w:r>
        <w:t>upda</w:t>
      </w:r>
      <w:r w:rsidR="00EA2BFB">
        <w:t>ting</w:t>
      </w:r>
      <w:r>
        <w:t xml:space="preserve"> to support FHIR-compliant bi-directional data interfaces with any third-party IT application, for example, a third-party application will be able to issue a FHIR API to request a patient’s height/weight from </w:t>
      </w:r>
      <w:proofErr w:type="spellStart"/>
      <w:r>
        <w:t>eGrowth</w:t>
      </w:r>
      <w:proofErr w:type="spellEnd"/>
      <w:r>
        <w:t xml:space="preserve">. </w:t>
      </w:r>
    </w:p>
    <w:p w14:paraId="3BCB1C6E" w14:textId="77777777" w:rsidR="00BD5EBF" w:rsidRDefault="00BD5EBF" w:rsidP="00BD5EBF">
      <w:pPr>
        <w:jc w:val="both"/>
        <w:rPr>
          <w:rFonts w:ascii="Calibri" w:hAnsi="Calibri"/>
        </w:rPr>
      </w:pPr>
    </w:p>
    <w:p w14:paraId="7A0E7AC1" w14:textId="77777777" w:rsidR="00BD5EBF" w:rsidRDefault="00BD5EBF" w:rsidP="00BD5EBF">
      <w:pPr>
        <w:jc w:val="both"/>
        <w:rPr>
          <w:rFonts w:ascii="Calibri" w:hAnsi="Calibri"/>
          <w:b/>
          <w:bCs/>
        </w:rPr>
      </w:pPr>
      <w:r>
        <w:rPr>
          <w:rFonts w:ascii="Calibri" w:hAnsi="Calibri"/>
          <w:b/>
          <w:bCs/>
        </w:rPr>
        <w:t>Deployment Options</w:t>
      </w:r>
    </w:p>
    <w:p w14:paraId="1888334E" w14:textId="7A03CD78" w:rsidR="00BD5EBF" w:rsidRDefault="00EA6E79" w:rsidP="00BD5EBF">
      <w:pPr>
        <w:jc w:val="both"/>
        <w:rPr>
          <w:lang w:val="en-US"/>
        </w:rPr>
      </w:pPr>
      <w:r>
        <w:rPr>
          <w:rFonts w:ascii="Calibri" w:hAnsi="Calibri"/>
        </w:rPr>
        <w:t>The possible</w:t>
      </w:r>
      <w:r w:rsidR="00BD5EBF">
        <w:rPr>
          <w:rFonts w:ascii="Calibri" w:hAnsi="Calibri"/>
        </w:rPr>
        <w:t xml:space="preserve"> options for </w:t>
      </w:r>
      <w:r w:rsidR="00BD5EBF">
        <w:t xml:space="preserve">a centralised deployment of </w:t>
      </w:r>
      <w:proofErr w:type="spellStart"/>
      <w:r w:rsidR="00BD5EBF">
        <w:t>eGrowth</w:t>
      </w:r>
      <w:proofErr w:type="spellEnd"/>
      <w:r>
        <w:t xml:space="preserve"> </w:t>
      </w:r>
      <w:r w:rsidR="00BD5EBF">
        <w:t xml:space="preserve">accessible by LHBs and care </w:t>
      </w:r>
      <w:proofErr w:type="spellStart"/>
      <w:r w:rsidR="00BD5EBF">
        <w:t>centers</w:t>
      </w:r>
      <w:proofErr w:type="spellEnd"/>
      <w:r w:rsidR="00BD5EBF">
        <w:t xml:space="preserve"> across Wales</w:t>
      </w:r>
      <w:r w:rsidR="009D613A">
        <w:t xml:space="preserve"> are</w:t>
      </w:r>
      <w:r w:rsidR="00BD5EBF">
        <w:t>:</w:t>
      </w:r>
    </w:p>
    <w:p w14:paraId="3C24EE1C" w14:textId="42BF2034" w:rsidR="00BD5EBF" w:rsidRDefault="00EA6E79" w:rsidP="00BD5EBF">
      <w:pPr>
        <w:pStyle w:val="ListParagraph"/>
        <w:numPr>
          <w:ilvl w:val="0"/>
          <w:numId w:val="13"/>
        </w:numPr>
        <w:spacing w:after="0" w:line="240" w:lineRule="auto"/>
        <w:jc w:val="both"/>
        <w:rPr>
          <w:rFonts w:ascii="Calibri" w:hAnsi="Calibri"/>
        </w:rPr>
      </w:pPr>
      <w:r>
        <w:rPr>
          <w:rFonts w:ascii="Calibri" w:hAnsi="Calibri"/>
          <w:b/>
          <w:bCs/>
          <w:lang w:val="en-US"/>
        </w:rPr>
        <w:t>DHCW</w:t>
      </w:r>
      <w:r w:rsidR="00BD5EBF">
        <w:rPr>
          <w:rFonts w:ascii="Calibri" w:hAnsi="Calibri"/>
          <w:b/>
          <w:bCs/>
        </w:rPr>
        <w:t xml:space="preserve"> Data Centre</w:t>
      </w:r>
      <w:r w:rsidR="00BD5EBF">
        <w:rPr>
          <w:rFonts w:ascii="Calibri" w:hAnsi="Calibri"/>
        </w:rPr>
        <w:t xml:space="preserve"> – </w:t>
      </w:r>
      <w:proofErr w:type="spellStart"/>
      <w:r w:rsidR="00BD5EBF">
        <w:rPr>
          <w:rFonts w:ascii="Calibri" w:hAnsi="Calibri"/>
        </w:rPr>
        <w:t>eGrowth</w:t>
      </w:r>
      <w:proofErr w:type="spellEnd"/>
      <w:r w:rsidR="00BD5EBF">
        <w:rPr>
          <w:rFonts w:ascii="Calibri" w:hAnsi="Calibri"/>
        </w:rPr>
        <w:t xml:space="preserve"> can be installed and setup on the existing </w:t>
      </w:r>
      <w:r>
        <w:rPr>
          <w:rFonts w:ascii="Calibri" w:hAnsi="Calibri"/>
        </w:rPr>
        <w:t>DHCW</w:t>
      </w:r>
      <w:r w:rsidR="00BD5EBF">
        <w:rPr>
          <w:rFonts w:ascii="Calibri" w:hAnsi="Calibri"/>
        </w:rPr>
        <w:t xml:space="preserve"> IT Infrastructure.</w:t>
      </w:r>
    </w:p>
    <w:p w14:paraId="394348C7" w14:textId="77777777" w:rsidR="009D613A" w:rsidRDefault="009D613A" w:rsidP="009D613A">
      <w:pPr>
        <w:pStyle w:val="ListParagraph"/>
        <w:spacing w:after="0" w:line="240" w:lineRule="auto"/>
        <w:jc w:val="both"/>
        <w:rPr>
          <w:rFonts w:ascii="Calibri" w:hAnsi="Calibri"/>
        </w:rPr>
      </w:pPr>
    </w:p>
    <w:p w14:paraId="6FCF798B" w14:textId="77777777" w:rsidR="00BD5EBF" w:rsidRDefault="00BD5EBF" w:rsidP="00BD5EBF">
      <w:pPr>
        <w:ind w:left="720"/>
        <w:rPr>
          <w:rFonts w:ascii="Calibri" w:hAnsi="Calibri"/>
          <w:b/>
          <w:sz w:val="24"/>
          <w:lang w:val="en-US"/>
        </w:rPr>
      </w:pPr>
      <w:r>
        <w:rPr>
          <w:rFonts w:ascii="Calibri" w:hAnsi="Calibri"/>
          <w:b/>
        </w:rPr>
        <w:t>Indicative Costs</w:t>
      </w:r>
    </w:p>
    <w:p w14:paraId="7A99969D" w14:textId="4F52A73D" w:rsidR="00BD5EBF" w:rsidRPr="009D613A" w:rsidRDefault="00BD5EBF" w:rsidP="009D613A">
      <w:pPr>
        <w:pStyle w:val="ListParagraph"/>
        <w:numPr>
          <w:ilvl w:val="0"/>
          <w:numId w:val="14"/>
        </w:numPr>
        <w:spacing w:after="0" w:line="240" w:lineRule="auto"/>
        <w:jc w:val="both"/>
        <w:rPr>
          <w:rFonts w:ascii="Calibri" w:hAnsi="Calibri"/>
        </w:rPr>
      </w:pPr>
      <w:r>
        <w:rPr>
          <w:rFonts w:ascii="Calibri" w:hAnsi="Calibri"/>
        </w:rPr>
        <w:t xml:space="preserve">A one-off capital cost for carrying out all the software changes </w:t>
      </w:r>
      <w:r w:rsidRPr="009D613A">
        <w:rPr>
          <w:rFonts w:ascii="Calibri" w:hAnsi="Calibri"/>
        </w:rPr>
        <w:t xml:space="preserve">and redeploying </w:t>
      </w:r>
      <w:proofErr w:type="spellStart"/>
      <w:r w:rsidRPr="009D613A">
        <w:rPr>
          <w:rFonts w:ascii="Calibri" w:hAnsi="Calibri"/>
        </w:rPr>
        <w:t>eGrowth</w:t>
      </w:r>
      <w:proofErr w:type="spellEnd"/>
      <w:r w:rsidRPr="009D613A">
        <w:rPr>
          <w:rFonts w:ascii="Calibri" w:hAnsi="Calibri"/>
        </w:rPr>
        <w:t xml:space="preserve"> centrally as an online application on an existing IT Infrastructure, accessible across Wales</w:t>
      </w:r>
      <w:r w:rsidRPr="009D613A">
        <w:rPr>
          <w:rFonts w:ascii="Calibri" w:hAnsi="Calibri"/>
        </w:rPr>
        <w:tab/>
      </w:r>
      <w:r w:rsidRPr="009D613A">
        <w:rPr>
          <w:rFonts w:ascii="Calibri" w:hAnsi="Calibri"/>
        </w:rPr>
        <w:tab/>
      </w:r>
      <w:r w:rsidRP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001B7717">
        <w:rPr>
          <w:rFonts w:ascii="Calibri" w:hAnsi="Calibri"/>
        </w:rPr>
        <w:tab/>
      </w:r>
      <w:r w:rsidR="001B7717">
        <w:rPr>
          <w:rFonts w:ascii="Calibri" w:hAnsi="Calibri"/>
        </w:rPr>
        <w:tab/>
      </w:r>
      <w:r w:rsidR="001B7717">
        <w:rPr>
          <w:rFonts w:ascii="Calibri" w:hAnsi="Calibri"/>
        </w:rPr>
        <w:tab/>
      </w:r>
      <w:r w:rsidRPr="009D613A">
        <w:rPr>
          <w:rFonts w:ascii="Calibri" w:hAnsi="Calibri"/>
        </w:rPr>
        <w:t>£42,500.00</w:t>
      </w:r>
    </w:p>
    <w:p w14:paraId="71340157" w14:textId="6F4228E8" w:rsidR="00BD5EBF" w:rsidRDefault="00BD5EBF" w:rsidP="00BD5EBF">
      <w:pPr>
        <w:pStyle w:val="ListParagraph"/>
        <w:numPr>
          <w:ilvl w:val="0"/>
          <w:numId w:val="14"/>
        </w:numPr>
        <w:spacing w:after="0" w:line="240" w:lineRule="auto"/>
        <w:jc w:val="both"/>
        <w:rPr>
          <w:rFonts w:ascii="Calibri" w:hAnsi="Calibri"/>
        </w:rPr>
      </w:pPr>
      <w:r>
        <w:rPr>
          <w:rFonts w:ascii="Calibri" w:hAnsi="Calibri"/>
        </w:rPr>
        <w:t>Recurring Cost</w:t>
      </w:r>
      <w:r w:rsidR="001B7717">
        <w:rPr>
          <w:rFonts w:ascii="Calibri" w:hAnsi="Calibri"/>
        </w:rPr>
        <w:t>:</w:t>
      </w:r>
      <w:r>
        <w:rPr>
          <w:rFonts w:ascii="Calibri" w:hAnsi="Calibri"/>
        </w:rPr>
        <w:t xml:space="preserve"> annual maintenance and support charge to cover </w:t>
      </w:r>
    </w:p>
    <w:p w14:paraId="73244DA1" w14:textId="77777777" w:rsidR="00BD5EBF" w:rsidRDefault="00BD5EBF" w:rsidP="00BD5EBF">
      <w:pPr>
        <w:ind w:left="360" w:firstLine="720"/>
        <w:jc w:val="both"/>
        <w:rPr>
          <w:rFonts w:ascii="Calibri" w:hAnsi="Calibri"/>
        </w:rPr>
      </w:pPr>
      <w:r>
        <w:rPr>
          <w:rFonts w:ascii="Calibri" w:hAnsi="Calibri"/>
        </w:rPr>
        <w:t>upgrades, support, and use of licensed growth data</w:t>
      </w:r>
      <w:r>
        <w:rPr>
          <w:rFonts w:ascii="Calibri" w:hAnsi="Calibri"/>
        </w:rPr>
        <w:tab/>
      </w:r>
      <w:r>
        <w:rPr>
          <w:rFonts w:ascii="Calibri" w:hAnsi="Calibri"/>
        </w:rPr>
        <w:tab/>
      </w:r>
      <w:r>
        <w:rPr>
          <w:rFonts w:ascii="Calibri" w:hAnsi="Calibri"/>
        </w:rPr>
        <w:tab/>
        <w:t>£27,800.00pa.</w:t>
      </w:r>
    </w:p>
    <w:p w14:paraId="52C31066" w14:textId="1B8421EA" w:rsidR="00BD5EBF" w:rsidRDefault="009D613A" w:rsidP="009D613A">
      <w:pPr>
        <w:ind w:left="360" w:firstLine="720"/>
        <w:jc w:val="both"/>
        <w:rPr>
          <w:rFonts w:ascii="Calibri" w:hAnsi="Calibri"/>
        </w:rPr>
      </w:pPr>
      <w:r>
        <w:rPr>
          <w:rFonts w:ascii="Calibri" w:hAnsi="Calibri"/>
        </w:rPr>
        <w:t>(</w:t>
      </w:r>
      <w:r w:rsidR="00BD5EBF">
        <w:rPr>
          <w:rFonts w:ascii="Calibri" w:hAnsi="Calibri"/>
        </w:rPr>
        <w:t>All costs are exclusive of VAT</w:t>
      </w:r>
      <w:r>
        <w:rPr>
          <w:rFonts w:ascii="Calibri" w:hAnsi="Calibri"/>
        </w:rPr>
        <w:t xml:space="preserve"> – costing data </w:t>
      </w:r>
      <w:r w:rsidR="005D55A0">
        <w:rPr>
          <w:rFonts w:ascii="Calibri" w:hAnsi="Calibri"/>
        </w:rPr>
        <w:t xml:space="preserve">provided by </w:t>
      </w:r>
      <w:proofErr w:type="spellStart"/>
      <w:r w:rsidR="005D55A0">
        <w:rPr>
          <w:rFonts w:ascii="Calibri" w:hAnsi="Calibri"/>
        </w:rPr>
        <w:t>CCube</w:t>
      </w:r>
      <w:proofErr w:type="spellEnd"/>
      <w:r w:rsidR="005D55A0">
        <w:rPr>
          <w:rFonts w:ascii="Calibri" w:hAnsi="Calibri"/>
        </w:rPr>
        <w:t xml:space="preserve"> </w:t>
      </w:r>
      <w:r>
        <w:rPr>
          <w:rFonts w:ascii="Calibri" w:hAnsi="Calibri"/>
        </w:rPr>
        <w:t>accurate as of April 2022)</w:t>
      </w:r>
    </w:p>
    <w:p w14:paraId="2058FD16" w14:textId="77777777" w:rsidR="00BD5EBF" w:rsidRDefault="00BD5EBF" w:rsidP="00BD5EBF">
      <w:pPr>
        <w:jc w:val="both"/>
        <w:rPr>
          <w:rFonts w:ascii="Calibri" w:hAnsi="Calibri"/>
        </w:rPr>
      </w:pPr>
    </w:p>
    <w:p w14:paraId="1F50D688" w14:textId="77777777" w:rsidR="00EA56A2" w:rsidRPr="00EA56A2" w:rsidRDefault="00BD5EBF" w:rsidP="00EA56A2">
      <w:pPr>
        <w:pStyle w:val="ListParagraph"/>
        <w:numPr>
          <w:ilvl w:val="0"/>
          <w:numId w:val="13"/>
        </w:numPr>
        <w:spacing w:after="0" w:line="240" w:lineRule="auto"/>
        <w:jc w:val="both"/>
        <w:rPr>
          <w:rFonts w:ascii="Calibri" w:hAnsi="Calibri"/>
        </w:rPr>
      </w:pPr>
      <w:r>
        <w:rPr>
          <w:rFonts w:ascii="Calibri" w:hAnsi="Calibri"/>
          <w:b/>
          <w:bCs/>
        </w:rPr>
        <w:t xml:space="preserve">SaaS </w:t>
      </w:r>
      <w:proofErr w:type="spellStart"/>
      <w:r>
        <w:rPr>
          <w:rFonts w:ascii="Calibri" w:hAnsi="Calibri"/>
          <w:b/>
          <w:bCs/>
        </w:rPr>
        <w:t>eGrowth</w:t>
      </w:r>
      <w:proofErr w:type="spellEnd"/>
      <w:r>
        <w:rPr>
          <w:rFonts w:ascii="Calibri" w:hAnsi="Calibri"/>
          <w:b/>
          <w:bCs/>
        </w:rPr>
        <w:t xml:space="preserve"> </w:t>
      </w:r>
      <w:r>
        <w:rPr>
          <w:rFonts w:ascii="Calibri" w:hAnsi="Calibri"/>
        </w:rPr>
        <w:t xml:space="preserve">– </w:t>
      </w:r>
      <w:proofErr w:type="spellStart"/>
      <w:r>
        <w:rPr>
          <w:rFonts w:ascii="Calibri" w:hAnsi="Calibri"/>
        </w:rPr>
        <w:t>eGrowth</w:t>
      </w:r>
      <w:proofErr w:type="spellEnd"/>
      <w:r>
        <w:rPr>
          <w:rFonts w:ascii="Calibri" w:hAnsi="Calibri"/>
        </w:rPr>
        <w:t xml:space="preserve"> hosted on a secure and managed Cloud platform</w:t>
      </w:r>
      <w:r w:rsidR="00EA56A2">
        <w:rPr>
          <w:rFonts w:ascii="Calibri" w:hAnsi="Calibri"/>
        </w:rPr>
        <w:t xml:space="preserve"> as an </w:t>
      </w:r>
      <w:r w:rsidR="00EA56A2">
        <w:rPr>
          <w:rFonts w:cs="Arial"/>
        </w:rPr>
        <w:t>a</w:t>
      </w:r>
      <w:r w:rsidR="00A023F3" w:rsidRPr="00EA56A2">
        <w:rPr>
          <w:rFonts w:cs="Arial"/>
        </w:rPr>
        <w:t>lternative to local storage &amp; backup solutions</w:t>
      </w:r>
    </w:p>
    <w:p w14:paraId="70E3D2F2" w14:textId="3649934D" w:rsidR="00BD5EBF" w:rsidRPr="00081C4A" w:rsidRDefault="00EA56A2" w:rsidP="00081C4A">
      <w:pPr>
        <w:pStyle w:val="ListParagraph"/>
        <w:numPr>
          <w:ilvl w:val="1"/>
          <w:numId w:val="13"/>
        </w:numPr>
        <w:spacing w:after="0" w:line="240" w:lineRule="auto"/>
        <w:jc w:val="both"/>
        <w:rPr>
          <w:rFonts w:ascii="Calibri" w:hAnsi="Calibri"/>
        </w:rPr>
      </w:pPr>
      <w:r>
        <w:rPr>
          <w:rFonts w:cs="Arial"/>
        </w:rPr>
        <w:lastRenderedPageBreak/>
        <w:t>U</w:t>
      </w:r>
      <w:r w:rsidRPr="00EA56A2">
        <w:rPr>
          <w:rFonts w:cs="Arial"/>
        </w:rPr>
        <w:t>s</w:t>
      </w:r>
      <w:r>
        <w:rPr>
          <w:rFonts w:cs="Arial"/>
        </w:rPr>
        <w:t>e of</w:t>
      </w:r>
      <w:r w:rsidRPr="00EA56A2">
        <w:rPr>
          <w:rFonts w:cs="Arial"/>
        </w:rPr>
        <w:t xml:space="preserve"> accredited </w:t>
      </w:r>
      <w:r w:rsidR="005951F5">
        <w:rPr>
          <w:rFonts w:cs="Arial"/>
        </w:rPr>
        <w:t xml:space="preserve">and Government approved </w:t>
      </w:r>
      <w:r w:rsidRPr="00EA56A2">
        <w:rPr>
          <w:rFonts w:cs="Arial"/>
        </w:rPr>
        <w:t>UK data centres</w:t>
      </w:r>
      <w:r w:rsidR="005951F5">
        <w:rPr>
          <w:rFonts w:cs="Arial"/>
        </w:rPr>
        <w:t xml:space="preserve"> </w:t>
      </w:r>
      <w:r w:rsidR="00081C4A">
        <w:rPr>
          <w:rFonts w:cs="Arial"/>
        </w:rPr>
        <w:t>e</w:t>
      </w:r>
      <w:r w:rsidR="00081C4A" w:rsidRPr="00EA56A2">
        <w:rPr>
          <w:rFonts w:cs="Arial"/>
        </w:rPr>
        <w:t>nsuring service traffic and storage remains within the UK</w:t>
      </w:r>
    </w:p>
    <w:p w14:paraId="10526A82" w14:textId="7362623E" w:rsidR="00EA56A2" w:rsidRPr="00EA56A2" w:rsidRDefault="00EA56A2" w:rsidP="00EA56A2">
      <w:pPr>
        <w:pStyle w:val="ListParagraph"/>
        <w:numPr>
          <w:ilvl w:val="1"/>
          <w:numId w:val="13"/>
        </w:numPr>
        <w:spacing w:after="0" w:line="240" w:lineRule="auto"/>
        <w:jc w:val="both"/>
        <w:rPr>
          <w:rFonts w:ascii="Calibri" w:hAnsi="Calibri"/>
        </w:rPr>
      </w:pPr>
      <w:r>
        <w:rPr>
          <w:rFonts w:cs="Arial"/>
        </w:rPr>
        <w:t xml:space="preserve">Access via Distributed denial of service </w:t>
      </w:r>
      <w:r w:rsidR="005951F5">
        <w:rPr>
          <w:rFonts w:cs="Arial"/>
        </w:rPr>
        <w:t>(</w:t>
      </w:r>
      <w:proofErr w:type="spellStart"/>
      <w:r w:rsidR="005951F5">
        <w:rPr>
          <w:rFonts w:cs="Arial"/>
        </w:rPr>
        <w:t>DDos</w:t>
      </w:r>
      <w:proofErr w:type="spellEnd"/>
      <w:r w:rsidR="005951F5">
        <w:rPr>
          <w:rFonts w:cs="Arial"/>
        </w:rPr>
        <w:t>) protected internet</w:t>
      </w:r>
    </w:p>
    <w:p w14:paraId="3CA866FE" w14:textId="042BFB3A" w:rsidR="00EA56A2" w:rsidRPr="00EA56A2" w:rsidRDefault="00EA56A2" w:rsidP="00EA56A2">
      <w:pPr>
        <w:pStyle w:val="NoSpacing"/>
        <w:ind w:left="720"/>
        <w:rPr>
          <w:rFonts w:cs="Arial"/>
          <w:lang w:val="en-GB"/>
        </w:rPr>
      </w:pPr>
    </w:p>
    <w:p w14:paraId="6F208738" w14:textId="77777777" w:rsidR="00BD5EBF" w:rsidRDefault="00BD5EBF" w:rsidP="00BD5EBF">
      <w:pPr>
        <w:ind w:left="720"/>
        <w:rPr>
          <w:rFonts w:ascii="Calibri" w:hAnsi="Calibri"/>
          <w:b/>
          <w:sz w:val="24"/>
          <w:lang w:val="en-US"/>
        </w:rPr>
      </w:pPr>
      <w:r>
        <w:rPr>
          <w:rFonts w:ascii="Calibri" w:hAnsi="Calibri"/>
          <w:b/>
        </w:rPr>
        <w:t>Indicative Costs</w:t>
      </w:r>
    </w:p>
    <w:p w14:paraId="1C671A70" w14:textId="14220D51" w:rsidR="00BD5EBF" w:rsidRPr="009D613A" w:rsidRDefault="00BD5EBF" w:rsidP="009D613A">
      <w:pPr>
        <w:pStyle w:val="ListParagraph"/>
        <w:numPr>
          <w:ilvl w:val="0"/>
          <w:numId w:val="14"/>
        </w:numPr>
        <w:spacing w:after="0" w:line="240" w:lineRule="auto"/>
        <w:jc w:val="both"/>
        <w:rPr>
          <w:rFonts w:ascii="Calibri" w:hAnsi="Calibri"/>
        </w:rPr>
      </w:pPr>
      <w:r>
        <w:rPr>
          <w:rFonts w:ascii="Calibri" w:hAnsi="Calibri"/>
        </w:rPr>
        <w:t>A one-off setup cost - online application on a secure hosted</w:t>
      </w:r>
      <w:r w:rsidR="009D613A">
        <w:rPr>
          <w:rFonts w:ascii="Calibri" w:hAnsi="Calibri"/>
        </w:rPr>
        <w:t xml:space="preserve"> a</w:t>
      </w:r>
      <w:r w:rsidRPr="009D613A">
        <w:rPr>
          <w:rFonts w:ascii="Calibri" w:hAnsi="Calibri"/>
        </w:rPr>
        <w:t>nd managed platform, accessible across Wales</w:t>
      </w:r>
      <w:r w:rsidRPr="009D613A">
        <w:rPr>
          <w:rFonts w:ascii="Calibri" w:hAnsi="Calibri"/>
        </w:rPr>
        <w:tab/>
      </w:r>
      <w:r w:rsidRPr="009D613A">
        <w:rPr>
          <w:rFonts w:ascii="Calibri" w:hAnsi="Calibri"/>
        </w:rPr>
        <w:tab/>
      </w:r>
      <w:r w:rsidRP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Pr="009D613A">
        <w:rPr>
          <w:rFonts w:ascii="Calibri" w:hAnsi="Calibri"/>
        </w:rPr>
        <w:t>£14,500.00</w:t>
      </w:r>
    </w:p>
    <w:p w14:paraId="626EAAF5" w14:textId="46CD082A" w:rsidR="00BD5EBF" w:rsidRPr="009D613A" w:rsidRDefault="00BD5EBF" w:rsidP="009D613A">
      <w:pPr>
        <w:pStyle w:val="ListParagraph"/>
        <w:numPr>
          <w:ilvl w:val="0"/>
          <w:numId w:val="14"/>
        </w:numPr>
        <w:spacing w:after="0" w:line="240" w:lineRule="auto"/>
        <w:jc w:val="both"/>
        <w:rPr>
          <w:rFonts w:ascii="Calibri" w:hAnsi="Calibri"/>
        </w:rPr>
      </w:pPr>
      <w:r>
        <w:rPr>
          <w:rFonts w:ascii="Calibri" w:hAnsi="Calibri"/>
        </w:rPr>
        <w:t xml:space="preserve">Recurring Cost – annual maintenance and support charge </w:t>
      </w:r>
      <w:r w:rsidRPr="009D613A">
        <w:rPr>
          <w:rFonts w:ascii="Calibri" w:hAnsi="Calibri"/>
        </w:rPr>
        <w:t>to cover: IT hardware, connectivity, software, upgrades,   managed services, and use of licensed growth data</w:t>
      </w:r>
      <w:r w:rsidRPr="009D613A">
        <w:rPr>
          <w:rFonts w:ascii="Calibri" w:hAnsi="Calibri"/>
        </w:rPr>
        <w:tab/>
      </w:r>
      <w:r w:rsidRPr="009D613A">
        <w:rPr>
          <w:rFonts w:ascii="Calibri" w:hAnsi="Calibri"/>
        </w:rPr>
        <w:tab/>
      </w:r>
      <w:r w:rsidRP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009D613A">
        <w:rPr>
          <w:rFonts w:ascii="Calibri" w:hAnsi="Calibri"/>
        </w:rPr>
        <w:tab/>
      </w:r>
      <w:r w:rsidRPr="009D613A">
        <w:rPr>
          <w:rFonts w:ascii="Calibri" w:hAnsi="Calibri"/>
        </w:rPr>
        <w:t>£49,800.00pa.</w:t>
      </w:r>
    </w:p>
    <w:p w14:paraId="4AA1553E" w14:textId="596C82F4" w:rsidR="00BD5EBF" w:rsidRDefault="005D55A0" w:rsidP="00BD5EBF">
      <w:pPr>
        <w:ind w:firstLine="720"/>
        <w:jc w:val="both"/>
        <w:rPr>
          <w:rFonts w:ascii="Calibri" w:hAnsi="Calibri"/>
        </w:rPr>
      </w:pPr>
      <w:r>
        <w:rPr>
          <w:rFonts w:ascii="Calibri" w:hAnsi="Calibri"/>
        </w:rPr>
        <w:t>(</w:t>
      </w:r>
      <w:r w:rsidR="00BD5EBF">
        <w:rPr>
          <w:rFonts w:ascii="Calibri" w:hAnsi="Calibri"/>
        </w:rPr>
        <w:t>All costs are exclusive of VAT</w:t>
      </w:r>
      <w:r>
        <w:rPr>
          <w:rFonts w:ascii="Calibri" w:hAnsi="Calibri"/>
        </w:rPr>
        <w:t xml:space="preserve">- costing data provided by </w:t>
      </w:r>
      <w:proofErr w:type="spellStart"/>
      <w:r>
        <w:rPr>
          <w:rFonts w:ascii="Calibri" w:hAnsi="Calibri"/>
        </w:rPr>
        <w:t>CCube</w:t>
      </w:r>
      <w:proofErr w:type="spellEnd"/>
      <w:r>
        <w:rPr>
          <w:rFonts w:ascii="Calibri" w:hAnsi="Calibri"/>
        </w:rPr>
        <w:t xml:space="preserve"> </w:t>
      </w:r>
      <w:r w:rsidR="00427441">
        <w:rPr>
          <w:rFonts w:ascii="Calibri" w:hAnsi="Calibri"/>
        </w:rPr>
        <w:t>accurate as of April 2022)</w:t>
      </w:r>
    </w:p>
    <w:p w14:paraId="6F3C8321" w14:textId="77777777" w:rsidR="00427441" w:rsidRDefault="00427441" w:rsidP="00BD5EBF">
      <w:pPr>
        <w:ind w:firstLine="720"/>
        <w:jc w:val="both"/>
        <w:rPr>
          <w:rFonts w:ascii="Calibri" w:hAnsi="Calibri"/>
        </w:rPr>
      </w:pPr>
    </w:p>
    <w:p w14:paraId="6D64CA60" w14:textId="5F987EAB" w:rsidR="00DF21D7" w:rsidRPr="00F26D2D" w:rsidRDefault="00427441" w:rsidP="00F26D2D">
      <w:pPr>
        <w:pStyle w:val="ListParagraph"/>
        <w:numPr>
          <w:ilvl w:val="0"/>
          <w:numId w:val="28"/>
        </w:numPr>
        <w:jc w:val="both"/>
        <w:rPr>
          <w:rFonts w:ascii="Calibri" w:hAnsi="Calibri"/>
          <w:b/>
          <w:bCs/>
          <w:sz w:val="28"/>
          <w:szCs w:val="28"/>
        </w:rPr>
      </w:pPr>
      <w:r w:rsidRPr="00F26D2D">
        <w:rPr>
          <w:rFonts w:ascii="Calibri" w:hAnsi="Calibri"/>
          <w:b/>
          <w:bCs/>
          <w:sz w:val="28"/>
          <w:szCs w:val="28"/>
        </w:rPr>
        <w:t>DHCW developed Growth Chart within W</w:t>
      </w:r>
      <w:r w:rsidR="007E530B" w:rsidRPr="00F26D2D">
        <w:rPr>
          <w:rFonts w:ascii="Calibri" w:hAnsi="Calibri"/>
          <w:b/>
          <w:bCs/>
          <w:sz w:val="28"/>
          <w:szCs w:val="28"/>
        </w:rPr>
        <w:t>elsh Clinical Portal</w:t>
      </w:r>
    </w:p>
    <w:p w14:paraId="09C72A83" w14:textId="0E22C82A" w:rsidR="0073381E" w:rsidRDefault="008B5F14" w:rsidP="0073381E">
      <w:pPr>
        <w:pStyle w:val="NormalWeb"/>
        <w:shd w:val="clear" w:color="auto" w:fill="FFFFFF"/>
        <w:spacing w:before="0" w:beforeAutospacing="0"/>
        <w:ind w:firstLine="360"/>
        <w:rPr>
          <w:rFonts w:asciiTheme="minorHAnsi" w:hAnsiTheme="minorHAnsi" w:cstheme="minorHAnsi"/>
          <w:sz w:val="22"/>
          <w:szCs w:val="22"/>
        </w:rPr>
      </w:pPr>
      <w:r w:rsidRPr="008B5F14">
        <w:rPr>
          <w:rFonts w:asciiTheme="minorHAnsi" w:hAnsiTheme="minorHAnsi" w:cstheme="minorHAnsi"/>
          <w:color w:val="343A40"/>
          <w:sz w:val="22"/>
          <w:szCs w:val="22"/>
        </w:rPr>
        <w:t xml:space="preserve">The Welsh Clinical Portal (WCP) is an application that </w:t>
      </w:r>
      <w:r>
        <w:rPr>
          <w:rFonts w:asciiTheme="minorHAnsi" w:hAnsiTheme="minorHAnsi" w:cstheme="minorHAnsi"/>
          <w:color w:val="343A40"/>
          <w:sz w:val="22"/>
          <w:szCs w:val="22"/>
        </w:rPr>
        <w:t>enables</w:t>
      </w:r>
      <w:r w:rsidRPr="008B5F14">
        <w:rPr>
          <w:rFonts w:asciiTheme="minorHAnsi" w:hAnsiTheme="minorHAnsi" w:cstheme="minorHAnsi"/>
          <w:color w:val="343A40"/>
          <w:sz w:val="22"/>
          <w:szCs w:val="22"/>
        </w:rPr>
        <w:t xml:space="preserve"> health professionals access to a digital patient record across hospitals and health boards in Wales.</w:t>
      </w:r>
      <w:r w:rsidR="009F7D83">
        <w:rPr>
          <w:rFonts w:asciiTheme="minorHAnsi" w:hAnsiTheme="minorHAnsi" w:cstheme="minorHAnsi"/>
          <w:color w:val="343A40"/>
          <w:sz w:val="22"/>
          <w:szCs w:val="22"/>
        </w:rPr>
        <w:t xml:space="preserve"> (DHCW, 2022) </w:t>
      </w:r>
      <w:r>
        <w:rPr>
          <w:rFonts w:asciiTheme="minorHAnsi" w:hAnsiTheme="minorHAnsi" w:cstheme="minorHAnsi"/>
          <w:color w:val="343A40"/>
          <w:sz w:val="22"/>
          <w:szCs w:val="22"/>
        </w:rPr>
        <w:t xml:space="preserve"> </w:t>
      </w:r>
      <w:r w:rsidRPr="008B5F14">
        <w:rPr>
          <w:rFonts w:asciiTheme="minorHAnsi" w:hAnsiTheme="minorHAnsi" w:cstheme="minorHAnsi"/>
          <w:color w:val="343A40"/>
          <w:sz w:val="22"/>
          <w:szCs w:val="22"/>
        </w:rPr>
        <w:t xml:space="preserve">It shares, delivers and displays patient information from a number of sources with a single log-on across different health care settings. </w:t>
      </w:r>
      <w:r w:rsidRPr="008B5F14">
        <w:rPr>
          <w:rFonts w:asciiTheme="minorHAnsi" w:hAnsiTheme="minorHAnsi" w:cstheme="minorHAnsi"/>
          <w:sz w:val="22"/>
          <w:szCs w:val="22"/>
        </w:rPr>
        <w:t>A pilot feasibility exercise for a Digital Growth Chart within WCP was undertaken by DHCW in 2017. Due to a lack of clinician agreement on product requirements this programme was not developed further</w:t>
      </w:r>
      <w:r>
        <w:rPr>
          <w:rFonts w:asciiTheme="minorHAnsi" w:hAnsiTheme="minorHAnsi" w:cstheme="minorHAnsi"/>
          <w:sz w:val="22"/>
          <w:szCs w:val="22"/>
        </w:rPr>
        <w:t xml:space="preserve"> however the basic technical requirements for a growth chart are in place</w:t>
      </w:r>
      <w:r w:rsidR="0073381E">
        <w:rPr>
          <w:rFonts w:asciiTheme="minorHAnsi" w:hAnsiTheme="minorHAnsi" w:cstheme="minorHAnsi"/>
          <w:sz w:val="22"/>
          <w:szCs w:val="22"/>
        </w:rPr>
        <w:t>.</w:t>
      </w:r>
    </w:p>
    <w:p w14:paraId="220F5082" w14:textId="77777777" w:rsidR="0073381E" w:rsidRDefault="0073381E" w:rsidP="0073381E">
      <w:pPr>
        <w:numPr>
          <w:ilvl w:val="0"/>
          <w:numId w:val="6"/>
        </w:numPr>
        <w:spacing w:after="0" w:line="240" w:lineRule="auto"/>
        <w:jc w:val="both"/>
        <w:rPr>
          <w:rFonts w:ascii="Calibri" w:hAnsi="Calibri"/>
        </w:rPr>
      </w:pPr>
      <w:r>
        <w:rPr>
          <w:rFonts w:ascii="Calibri" w:hAnsi="Calibri"/>
        </w:rPr>
        <w:t>0-2 Year chart for boys and girls displaying height, weight, head circumference</w:t>
      </w:r>
    </w:p>
    <w:p w14:paraId="40905A47" w14:textId="77777777" w:rsidR="0073381E" w:rsidRDefault="0073381E" w:rsidP="0073381E">
      <w:pPr>
        <w:numPr>
          <w:ilvl w:val="0"/>
          <w:numId w:val="6"/>
        </w:numPr>
        <w:spacing w:after="0" w:line="240" w:lineRule="auto"/>
        <w:jc w:val="both"/>
        <w:rPr>
          <w:rFonts w:ascii="Calibri" w:hAnsi="Calibri"/>
        </w:rPr>
      </w:pPr>
      <w:r>
        <w:rPr>
          <w:rFonts w:ascii="Calibri" w:hAnsi="Calibri"/>
        </w:rPr>
        <w:t>0-4 Year charts for boys and girls displaying height and weight</w:t>
      </w:r>
    </w:p>
    <w:p w14:paraId="7CE42178" w14:textId="7D1C292C" w:rsidR="0073381E" w:rsidRDefault="0073381E" w:rsidP="0073381E">
      <w:pPr>
        <w:numPr>
          <w:ilvl w:val="0"/>
          <w:numId w:val="6"/>
        </w:numPr>
        <w:spacing w:after="0" w:line="240" w:lineRule="auto"/>
        <w:jc w:val="both"/>
        <w:rPr>
          <w:rFonts w:ascii="Calibri" w:hAnsi="Calibri"/>
        </w:rPr>
      </w:pPr>
      <w:r>
        <w:rPr>
          <w:rFonts w:ascii="Calibri" w:hAnsi="Calibri"/>
        </w:rPr>
        <w:t xml:space="preserve">0-18 Year charts for boys and girls displaying height and weight </w:t>
      </w:r>
    </w:p>
    <w:p w14:paraId="3C64788B" w14:textId="427BBBFE" w:rsidR="00094451" w:rsidRDefault="005C00F8" w:rsidP="0073381E">
      <w:pPr>
        <w:numPr>
          <w:ilvl w:val="0"/>
          <w:numId w:val="6"/>
        </w:numPr>
        <w:spacing w:after="0" w:line="240" w:lineRule="auto"/>
        <w:jc w:val="both"/>
        <w:rPr>
          <w:rFonts w:ascii="Calibri" w:hAnsi="Calibri"/>
        </w:rPr>
      </w:pPr>
      <w:r>
        <w:rPr>
          <w:rFonts w:ascii="Calibri" w:hAnsi="Calibri"/>
        </w:rPr>
        <w:t>C</w:t>
      </w:r>
      <w:r w:rsidR="00094451">
        <w:rPr>
          <w:rFonts w:ascii="Calibri" w:hAnsi="Calibri"/>
        </w:rPr>
        <w:t xml:space="preserve">entile data is </w:t>
      </w:r>
      <w:r w:rsidR="00094451" w:rsidRPr="005C00F8">
        <w:rPr>
          <w:rFonts w:ascii="Calibri" w:hAnsi="Calibri"/>
          <w:i/>
          <w:iCs/>
        </w:rPr>
        <w:t>not</w:t>
      </w:r>
      <w:r w:rsidR="00094451">
        <w:rPr>
          <w:rFonts w:ascii="Calibri" w:hAnsi="Calibri"/>
        </w:rPr>
        <w:t xml:space="preserve"> currently aligned with RCPCH centile algorithmic standards.</w:t>
      </w:r>
    </w:p>
    <w:p w14:paraId="164C2ADC" w14:textId="32FAF5E8" w:rsidR="00094451" w:rsidRDefault="00094451" w:rsidP="00094451">
      <w:pPr>
        <w:spacing w:after="0" w:line="240" w:lineRule="auto"/>
        <w:ind w:left="360"/>
        <w:jc w:val="both"/>
        <w:rPr>
          <w:rFonts w:ascii="Calibri" w:hAnsi="Calibri"/>
        </w:rPr>
      </w:pPr>
    </w:p>
    <w:p w14:paraId="7E085E1C" w14:textId="364FA259" w:rsidR="0073381E" w:rsidRPr="009F2F9C" w:rsidRDefault="009F2F9C" w:rsidP="009F2F9C">
      <w:pPr>
        <w:spacing w:after="0" w:line="240" w:lineRule="auto"/>
        <w:jc w:val="both"/>
        <w:rPr>
          <w:rFonts w:ascii="Calibri" w:hAnsi="Calibri"/>
          <w:b/>
          <w:bCs/>
        </w:rPr>
      </w:pPr>
      <w:r w:rsidRPr="009F2F9C">
        <w:rPr>
          <w:rFonts w:ascii="Calibri" w:hAnsi="Calibri"/>
          <w:b/>
          <w:bCs/>
        </w:rPr>
        <w:t>Costing:</w:t>
      </w:r>
      <w:r>
        <w:rPr>
          <w:rFonts w:ascii="Calibri" w:hAnsi="Calibri"/>
          <w:b/>
          <w:bCs/>
        </w:rPr>
        <w:t xml:space="preserve"> </w:t>
      </w:r>
      <w:r w:rsidR="00094451">
        <w:rPr>
          <w:rFonts w:ascii="Calibri" w:hAnsi="Calibri"/>
        </w:rPr>
        <w:t>A weakness of the WCP proposal is that it requires a significant software development programme and the necessary funds to implement this to the required standard</w:t>
      </w:r>
      <w:r w:rsidR="001B7717">
        <w:rPr>
          <w:rFonts w:ascii="Calibri" w:hAnsi="Calibri"/>
        </w:rPr>
        <w:t xml:space="preserve">.  Costings for this approach is not known however the basic coding is already in place </w:t>
      </w:r>
      <w:r w:rsidR="003D5539">
        <w:rPr>
          <w:rFonts w:ascii="Calibri" w:hAnsi="Calibri"/>
        </w:rPr>
        <w:t>following the initial 2017 pilot phase</w:t>
      </w:r>
      <w:r w:rsidR="00094451">
        <w:rPr>
          <w:rFonts w:ascii="Calibri" w:hAnsi="Calibri"/>
        </w:rPr>
        <w:t>.</w:t>
      </w:r>
    </w:p>
    <w:p w14:paraId="5B5AECD6" w14:textId="77777777" w:rsidR="00094451" w:rsidRPr="00094451" w:rsidRDefault="00094451" w:rsidP="00094451">
      <w:pPr>
        <w:spacing w:after="0" w:line="240" w:lineRule="auto"/>
        <w:ind w:left="360"/>
        <w:jc w:val="both"/>
        <w:rPr>
          <w:rFonts w:ascii="Calibri" w:hAnsi="Calibri"/>
        </w:rPr>
      </w:pPr>
    </w:p>
    <w:p w14:paraId="40117529" w14:textId="5C3DC226" w:rsidR="00B73B2F" w:rsidRPr="000E4BD8" w:rsidRDefault="0073381E" w:rsidP="000E4BD8">
      <w:pPr>
        <w:pStyle w:val="NormalWeb"/>
        <w:shd w:val="clear" w:color="auto" w:fill="FFFFFF"/>
        <w:spacing w:before="0" w:beforeAutospacing="0"/>
        <w:ind w:firstLine="360"/>
        <w:rPr>
          <w:rFonts w:asciiTheme="minorHAnsi" w:hAnsiTheme="minorHAnsi" w:cstheme="minorHAnsi"/>
          <w:sz w:val="22"/>
          <w:szCs w:val="22"/>
        </w:rPr>
      </w:pPr>
      <w:r>
        <w:rPr>
          <w:rFonts w:asciiTheme="minorHAnsi" w:hAnsiTheme="minorHAnsi" w:cstheme="minorHAnsi"/>
          <w:sz w:val="22"/>
          <w:szCs w:val="22"/>
        </w:rPr>
        <w:t>A key strength of th</w:t>
      </w:r>
      <w:r w:rsidR="00094451">
        <w:rPr>
          <w:rFonts w:asciiTheme="minorHAnsi" w:hAnsiTheme="minorHAnsi" w:cstheme="minorHAnsi"/>
          <w:sz w:val="22"/>
          <w:szCs w:val="22"/>
        </w:rPr>
        <w:t>e WCP proposal is that it is</w:t>
      </w:r>
      <w:r>
        <w:rPr>
          <w:rFonts w:asciiTheme="minorHAnsi" w:hAnsiTheme="minorHAnsi" w:cstheme="minorHAnsi"/>
          <w:sz w:val="22"/>
          <w:szCs w:val="22"/>
        </w:rPr>
        <w:t xml:space="preserve"> deployable within the current DHCW digi</w:t>
      </w:r>
      <w:r w:rsidRPr="0073381E">
        <w:rPr>
          <w:rFonts w:asciiTheme="minorHAnsi" w:hAnsiTheme="minorHAnsi" w:cstheme="minorHAnsi"/>
          <w:sz w:val="22"/>
          <w:szCs w:val="22"/>
        </w:rPr>
        <w:t>tal infrastructure</w:t>
      </w:r>
      <w:r w:rsidR="00094451">
        <w:rPr>
          <w:rFonts w:asciiTheme="minorHAnsi" w:hAnsiTheme="minorHAnsi" w:cstheme="minorHAnsi"/>
          <w:sz w:val="22"/>
          <w:szCs w:val="22"/>
        </w:rPr>
        <w:t xml:space="preserve"> thus</w:t>
      </w:r>
      <w:r w:rsidRPr="0073381E">
        <w:rPr>
          <w:rFonts w:asciiTheme="minorHAnsi" w:hAnsiTheme="minorHAnsi" w:cstheme="minorHAnsi"/>
          <w:sz w:val="22"/>
          <w:szCs w:val="22"/>
        </w:rPr>
        <w:t xml:space="preserve"> enabl</w:t>
      </w:r>
      <w:r w:rsidR="00094451">
        <w:rPr>
          <w:rFonts w:asciiTheme="minorHAnsi" w:hAnsiTheme="minorHAnsi" w:cstheme="minorHAnsi"/>
          <w:sz w:val="22"/>
          <w:szCs w:val="22"/>
        </w:rPr>
        <w:t>ing</w:t>
      </w:r>
      <w:r w:rsidRPr="0073381E">
        <w:rPr>
          <w:rFonts w:asciiTheme="minorHAnsi" w:hAnsiTheme="minorHAnsi" w:cstheme="minorHAnsi"/>
          <w:sz w:val="22"/>
          <w:szCs w:val="22"/>
        </w:rPr>
        <w:t xml:space="preserve"> the </w:t>
      </w:r>
      <w:r w:rsidR="00427441" w:rsidRPr="0073381E">
        <w:rPr>
          <w:rFonts w:asciiTheme="minorHAnsi" w:hAnsiTheme="minorHAnsi" w:cstheme="minorHAnsi"/>
          <w:sz w:val="22"/>
          <w:szCs w:val="22"/>
        </w:rPr>
        <w:t>30,000 users across Wales</w:t>
      </w:r>
      <w:r w:rsidRPr="0073381E">
        <w:rPr>
          <w:rFonts w:asciiTheme="minorHAnsi" w:hAnsiTheme="minorHAnsi" w:cstheme="minorHAnsi"/>
          <w:sz w:val="22"/>
          <w:szCs w:val="22"/>
        </w:rPr>
        <w:t xml:space="preserve"> that</w:t>
      </w:r>
      <w:r w:rsidR="00427441" w:rsidRPr="0073381E">
        <w:rPr>
          <w:rFonts w:asciiTheme="minorHAnsi" w:hAnsiTheme="minorHAnsi" w:cstheme="minorHAnsi"/>
          <w:sz w:val="22"/>
          <w:szCs w:val="22"/>
        </w:rPr>
        <w:t xml:space="preserve"> have access to Welsh Clinical Porta</w:t>
      </w:r>
      <w:r w:rsidRPr="0073381E">
        <w:rPr>
          <w:rFonts w:asciiTheme="minorHAnsi" w:hAnsiTheme="minorHAnsi" w:cstheme="minorHAnsi"/>
          <w:sz w:val="22"/>
          <w:szCs w:val="22"/>
        </w:rPr>
        <w:t>l access to the Digital Growth Chart data.</w:t>
      </w:r>
      <w:r w:rsidR="00094451">
        <w:rPr>
          <w:rFonts w:asciiTheme="minorHAnsi" w:hAnsiTheme="minorHAnsi" w:cstheme="minorHAnsi"/>
          <w:sz w:val="22"/>
          <w:szCs w:val="22"/>
        </w:rPr>
        <w:t xml:space="preserve"> The benefit of a single sign on application which the majority of health professionals use to access medical reports should not be underestimated and once developed there would be no recurring licensing cost to DHCW. </w:t>
      </w:r>
    </w:p>
    <w:p w14:paraId="73FC67DF" w14:textId="01D4140A" w:rsidR="004F3934" w:rsidRDefault="008F55CD" w:rsidP="004F3934">
      <w:pPr>
        <w:pStyle w:val="NormalWeb"/>
        <w:shd w:val="clear" w:color="auto" w:fill="FFFFFF"/>
        <w:spacing w:before="0" w:beforeAutospacing="0"/>
        <w:ind w:firstLine="360"/>
        <w:rPr>
          <w:rFonts w:asciiTheme="minorHAnsi" w:hAnsiTheme="minorHAnsi" w:cstheme="minorHAnsi"/>
          <w:sz w:val="22"/>
          <w:szCs w:val="22"/>
        </w:rPr>
      </w:pPr>
      <w:r>
        <w:rPr>
          <w:rFonts w:asciiTheme="minorHAnsi" w:hAnsiTheme="minorHAnsi" w:cstheme="minorHAnsi"/>
          <w:b/>
          <w:bCs/>
          <w:sz w:val="22"/>
          <w:szCs w:val="22"/>
        </w:rPr>
        <w:t xml:space="preserve">Figure 1: </w:t>
      </w:r>
      <w:r w:rsidRPr="004F3934">
        <w:rPr>
          <w:rFonts w:asciiTheme="minorHAnsi" w:hAnsiTheme="minorHAnsi" w:cstheme="minorHAnsi"/>
          <w:b/>
          <w:bCs/>
          <w:sz w:val="22"/>
          <w:szCs w:val="22"/>
        </w:rPr>
        <w:t>Summary SW</w:t>
      </w:r>
      <w:r>
        <w:rPr>
          <w:rFonts w:asciiTheme="minorHAnsi" w:hAnsiTheme="minorHAnsi" w:cstheme="minorHAnsi"/>
          <w:b/>
          <w:bCs/>
          <w:sz w:val="22"/>
          <w:szCs w:val="22"/>
        </w:rPr>
        <w:t>O</w:t>
      </w:r>
      <w:r w:rsidRPr="004F3934">
        <w:rPr>
          <w:rFonts w:asciiTheme="minorHAnsi" w:hAnsiTheme="minorHAnsi" w:cstheme="minorHAnsi"/>
          <w:b/>
          <w:bCs/>
          <w:sz w:val="22"/>
          <w:szCs w:val="22"/>
        </w:rPr>
        <w:t>T analysis</w:t>
      </w:r>
      <w:r>
        <w:rPr>
          <w:rFonts w:asciiTheme="minorHAnsi" w:hAnsiTheme="minorHAnsi" w:cstheme="minorHAnsi"/>
          <w:b/>
          <w:bCs/>
          <w:sz w:val="22"/>
          <w:szCs w:val="22"/>
        </w:rPr>
        <w:t>:</w:t>
      </w:r>
    </w:p>
    <w:tbl>
      <w:tblPr>
        <w:tblStyle w:val="TableGrid"/>
        <w:tblW w:w="9270" w:type="dxa"/>
        <w:tblLook w:val="04A0" w:firstRow="1" w:lastRow="0" w:firstColumn="1" w:lastColumn="0" w:noHBand="0" w:noVBand="1"/>
      </w:tblPr>
      <w:tblGrid>
        <w:gridCol w:w="1838"/>
        <w:gridCol w:w="3402"/>
        <w:gridCol w:w="4030"/>
      </w:tblGrid>
      <w:tr w:rsidR="00F73CFA" w14:paraId="1FD6F99C" w14:textId="77777777" w:rsidTr="008F55CD">
        <w:trPr>
          <w:trHeight w:val="384"/>
        </w:trPr>
        <w:tc>
          <w:tcPr>
            <w:tcW w:w="1838" w:type="dxa"/>
          </w:tcPr>
          <w:p w14:paraId="1FB5741D" w14:textId="2F8A315C" w:rsidR="008F55CD" w:rsidRPr="008F55CD" w:rsidRDefault="008F55CD" w:rsidP="00BD5EBF">
            <w:pPr>
              <w:rPr>
                <w:rFonts w:cstheme="minorHAnsi"/>
                <w:b/>
                <w:bCs/>
              </w:rPr>
            </w:pPr>
          </w:p>
        </w:tc>
        <w:tc>
          <w:tcPr>
            <w:tcW w:w="3402" w:type="dxa"/>
          </w:tcPr>
          <w:p w14:paraId="0F3452B5" w14:textId="7783DF64" w:rsidR="00F73CFA" w:rsidRPr="008F55CD" w:rsidRDefault="008F55CD" w:rsidP="008F55CD">
            <w:pPr>
              <w:jc w:val="center"/>
              <w:rPr>
                <w:rFonts w:ascii="Calibri" w:hAnsi="Calibri"/>
                <w:b/>
                <w:bCs/>
              </w:rPr>
            </w:pPr>
            <w:proofErr w:type="spellStart"/>
            <w:r w:rsidRPr="008F55CD">
              <w:rPr>
                <w:rFonts w:ascii="Calibri" w:hAnsi="Calibri"/>
                <w:b/>
                <w:bCs/>
              </w:rPr>
              <w:t>eGrowth</w:t>
            </w:r>
            <w:proofErr w:type="spellEnd"/>
            <w:r w:rsidRPr="008F55CD">
              <w:rPr>
                <w:rFonts w:ascii="Calibri" w:hAnsi="Calibri"/>
                <w:b/>
                <w:bCs/>
              </w:rPr>
              <w:t xml:space="preserve"> (</w:t>
            </w:r>
            <w:proofErr w:type="spellStart"/>
            <w:r w:rsidRPr="008F55CD">
              <w:rPr>
                <w:rFonts w:ascii="Calibri" w:hAnsi="Calibri"/>
                <w:b/>
                <w:bCs/>
              </w:rPr>
              <w:t>CCube</w:t>
            </w:r>
            <w:proofErr w:type="spellEnd"/>
            <w:r w:rsidRPr="008F55CD">
              <w:rPr>
                <w:rFonts w:ascii="Calibri" w:hAnsi="Calibri"/>
                <w:b/>
                <w:bCs/>
              </w:rPr>
              <w:t>)</w:t>
            </w:r>
          </w:p>
        </w:tc>
        <w:tc>
          <w:tcPr>
            <w:tcW w:w="4030" w:type="dxa"/>
          </w:tcPr>
          <w:p w14:paraId="655598E2" w14:textId="1425259D" w:rsidR="00F73CFA" w:rsidRPr="008F55CD" w:rsidRDefault="008F55CD" w:rsidP="008F55CD">
            <w:pPr>
              <w:jc w:val="center"/>
              <w:rPr>
                <w:rFonts w:ascii="Calibri" w:hAnsi="Calibri"/>
                <w:b/>
                <w:bCs/>
              </w:rPr>
            </w:pPr>
            <w:r w:rsidRPr="008F55CD">
              <w:rPr>
                <w:rFonts w:ascii="Calibri" w:hAnsi="Calibri"/>
                <w:b/>
                <w:bCs/>
              </w:rPr>
              <w:t>WCP Growth Chart (DHCW)</w:t>
            </w:r>
          </w:p>
        </w:tc>
      </w:tr>
      <w:tr w:rsidR="00F73CFA" w14:paraId="7F04B00C" w14:textId="77777777" w:rsidTr="008F55CD">
        <w:trPr>
          <w:trHeight w:val="384"/>
        </w:trPr>
        <w:tc>
          <w:tcPr>
            <w:tcW w:w="1838" w:type="dxa"/>
          </w:tcPr>
          <w:p w14:paraId="1532918B" w14:textId="54F8C2CE" w:rsidR="00F73CFA" w:rsidRPr="008F55CD" w:rsidRDefault="00F73CFA" w:rsidP="00BD5EBF">
            <w:pPr>
              <w:rPr>
                <w:rFonts w:ascii="Calibri" w:hAnsi="Calibri"/>
                <w:b/>
                <w:bCs/>
              </w:rPr>
            </w:pPr>
            <w:r w:rsidRPr="008F55CD">
              <w:rPr>
                <w:rFonts w:ascii="Calibri" w:hAnsi="Calibri"/>
                <w:b/>
                <w:bCs/>
              </w:rPr>
              <w:t>Strength</w:t>
            </w:r>
          </w:p>
        </w:tc>
        <w:tc>
          <w:tcPr>
            <w:tcW w:w="3402" w:type="dxa"/>
          </w:tcPr>
          <w:p w14:paraId="209C5075" w14:textId="490BD96D" w:rsidR="00F73CFA" w:rsidRPr="00B73B2F" w:rsidRDefault="00B73B2F" w:rsidP="00B73B2F">
            <w:pPr>
              <w:pStyle w:val="ListParagraph"/>
              <w:numPr>
                <w:ilvl w:val="0"/>
                <w:numId w:val="22"/>
              </w:numPr>
              <w:rPr>
                <w:rFonts w:ascii="Calibri" w:hAnsi="Calibri"/>
              </w:rPr>
            </w:pPr>
            <w:r w:rsidRPr="00B73B2F">
              <w:rPr>
                <w:rFonts w:ascii="Calibri" w:hAnsi="Calibri"/>
              </w:rPr>
              <w:t>Operational within a LHB with proven success.</w:t>
            </w:r>
          </w:p>
          <w:p w14:paraId="66A10C4D" w14:textId="19C5F1EE" w:rsidR="00B73B2F" w:rsidRPr="00E816CB" w:rsidRDefault="00B73B2F" w:rsidP="00E816CB">
            <w:pPr>
              <w:pStyle w:val="ListParagraph"/>
              <w:numPr>
                <w:ilvl w:val="0"/>
                <w:numId w:val="22"/>
              </w:numPr>
              <w:rPr>
                <w:rFonts w:ascii="Calibri" w:hAnsi="Calibri"/>
              </w:rPr>
            </w:pPr>
            <w:r w:rsidRPr="00E816CB">
              <w:rPr>
                <w:rFonts w:ascii="Calibri" w:hAnsi="Calibri"/>
              </w:rPr>
              <w:t>Meets majority of technical specifications</w:t>
            </w:r>
          </w:p>
          <w:p w14:paraId="500639FE" w14:textId="75AA4815" w:rsidR="00B73B2F" w:rsidRDefault="00B73B2F" w:rsidP="00BD5EBF">
            <w:pPr>
              <w:rPr>
                <w:rFonts w:ascii="Calibri" w:hAnsi="Calibri"/>
              </w:rPr>
            </w:pPr>
          </w:p>
        </w:tc>
        <w:tc>
          <w:tcPr>
            <w:tcW w:w="4030" w:type="dxa"/>
          </w:tcPr>
          <w:p w14:paraId="03E25F1D" w14:textId="77777777" w:rsidR="00F73CFA" w:rsidRPr="004234CD" w:rsidRDefault="00E816CB" w:rsidP="004234CD">
            <w:pPr>
              <w:pStyle w:val="ListParagraph"/>
              <w:numPr>
                <w:ilvl w:val="0"/>
                <w:numId w:val="22"/>
              </w:numPr>
              <w:rPr>
                <w:rFonts w:ascii="Calibri" w:hAnsi="Calibri"/>
              </w:rPr>
            </w:pPr>
            <w:r w:rsidRPr="004234CD">
              <w:rPr>
                <w:rFonts w:ascii="Calibri" w:hAnsi="Calibri"/>
              </w:rPr>
              <w:t>Functional data storage with interoperability between health boards</w:t>
            </w:r>
          </w:p>
          <w:p w14:paraId="0A8515CC" w14:textId="77777777" w:rsidR="00E816CB" w:rsidRPr="004234CD" w:rsidRDefault="00E816CB" w:rsidP="004234CD">
            <w:pPr>
              <w:pStyle w:val="ListParagraph"/>
              <w:numPr>
                <w:ilvl w:val="0"/>
                <w:numId w:val="22"/>
              </w:numPr>
              <w:rPr>
                <w:rFonts w:ascii="Calibri" w:hAnsi="Calibri"/>
              </w:rPr>
            </w:pPr>
            <w:r w:rsidRPr="004234CD">
              <w:rPr>
                <w:rFonts w:ascii="Calibri" w:hAnsi="Calibri"/>
              </w:rPr>
              <w:t>Single sign-on function</w:t>
            </w:r>
          </w:p>
          <w:p w14:paraId="38DA58F3" w14:textId="77777777" w:rsidR="004234CD" w:rsidRPr="004234CD" w:rsidRDefault="004234CD" w:rsidP="004234CD">
            <w:pPr>
              <w:pStyle w:val="ListParagraph"/>
              <w:numPr>
                <w:ilvl w:val="0"/>
                <w:numId w:val="22"/>
              </w:numPr>
              <w:rPr>
                <w:rFonts w:ascii="Calibri" w:hAnsi="Calibri"/>
              </w:rPr>
            </w:pPr>
            <w:r w:rsidRPr="004234CD">
              <w:rPr>
                <w:rFonts w:ascii="Calibri" w:hAnsi="Calibri"/>
              </w:rPr>
              <w:t>Large portion of healthcare providers already WCP registered users</w:t>
            </w:r>
          </w:p>
          <w:p w14:paraId="19EB9D77" w14:textId="27606A4A" w:rsidR="004234CD" w:rsidRDefault="004234CD" w:rsidP="00BD5EBF">
            <w:pPr>
              <w:rPr>
                <w:rFonts w:ascii="Calibri" w:hAnsi="Calibri"/>
              </w:rPr>
            </w:pPr>
          </w:p>
        </w:tc>
      </w:tr>
      <w:tr w:rsidR="00F73CFA" w14:paraId="1D8D18AD" w14:textId="77777777" w:rsidTr="008F55CD">
        <w:trPr>
          <w:trHeight w:val="384"/>
        </w:trPr>
        <w:tc>
          <w:tcPr>
            <w:tcW w:w="1838" w:type="dxa"/>
          </w:tcPr>
          <w:p w14:paraId="71E2CA0C" w14:textId="07352190" w:rsidR="00F73CFA" w:rsidRPr="008F55CD" w:rsidRDefault="00F73CFA" w:rsidP="00BD5EBF">
            <w:pPr>
              <w:rPr>
                <w:rFonts w:ascii="Calibri" w:hAnsi="Calibri"/>
                <w:b/>
                <w:bCs/>
              </w:rPr>
            </w:pPr>
            <w:r w:rsidRPr="008F55CD">
              <w:rPr>
                <w:rFonts w:ascii="Calibri" w:hAnsi="Calibri"/>
                <w:b/>
                <w:bCs/>
              </w:rPr>
              <w:lastRenderedPageBreak/>
              <w:t>Weaknesses</w:t>
            </w:r>
          </w:p>
        </w:tc>
        <w:tc>
          <w:tcPr>
            <w:tcW w:w="3402" w:type="dxa"/>
          </w:tcPr>
          <w:p w14:paraId="1DE10DA5" w14:textId="77777777" w:rsidR="00F73CFA" w:rsidRDefault="00E816CB" w:rsidP="00E816CB">
            <w:pPr>
              <w:pStyle w:val="ListParagraph"/>
              <w:numPr>
                <w:ilvl w:val="0"/>
                <w:numId w:val="23"/>
              </w:numPr>
              <w:rPr>
                <w:rFonts w:ascii="Calibri" w:hAnsi="Calibri"/>
              </w:rPr>
            </w:pPr>
            <w:r w:rsidRPr="00E816CB">
              <w:rPr>
                <w:rFonts w:ascii="Calibri" w:hAnsi="Calibri"/>
              </w:rPr>
              <w:t>Currently limited to health board</w:t>
            </w:r>
            <w:r>
              <w:rPr>
                <w:rFonts w:ascii="Calibri" w:hAnsi="Calibri"/>
              </w:rPr>
              <w:t>s;</w:t>
            </w:r>
            <w:r w:rsidRPr="00E816CB">
              <w:rPr>
                <w:rFonts w:ascii="Calibri" w:hAnsi="Calibri"/>
              </w:rPr>
              <w:t xml:space="preserve"> interoperability between LHB requires a central data repository / support for </w:t>
            </w:r>
            <w:proofErr w:type="spellStart"/>
            <w:r w:rsidRPr="00E816CB">
              <w:rPr>
                <w:rFonts w:ascii="Calibri" w:hAnsi="Calibri"/>
              </w:rPr>
              <w:t>Saas</w:t>
            </w:r>
            <w:proofErr w:type="spellEnd"/>
          </w:p>
          <w:p w14:paraId="246E1AC8" w14:textId="56ACDF9C" w:rsidR="00B10C16" w:rsidRPr="00E816CB" w:rsidRDefault="00B10C16" w:rsidP="00E816CB">
            <w:pPr>
              <w:pStyle w:val="ListParagraph"/>
              <w:numPr>
                <w:ilvl w:val="0"/>
                <w:numId w:val="23"/>
              </w:numPr>
              <w:rPr>
                <w:rFonts w:ascii="Calibri" w:hAnsi="Calibri"/>
              </w:rPr>
            </w:pPr>
            <w:r>
              <w:rPr>
                <w:rFonts w:ascii="Calibri" w:hAnsi="Calibri"/>
              </w:rPr>
              <w:t>Purchase and recurring licensing cost</w:t>
            </w:r>
          </w:p>
        </w:tc>
        <w:tc>
          <w:tcPr>
            <w:tcW w:w="4030" w:type="dxa"/>
          </w:tcPr>
          <w:p w14:paraId="187F83C0" w14:textId="77777777" w:rsidR="00F73CFA" w:rsidRDefault="004234CD" w:rsidP="00B10C16">
            <w:pPr>
              <w:pStyle w:val="ListParagraph"/>
              <w:numPr>
                <w:ilvl w:val="0"/>
                <w:numId w:val="23"/>
              </w:numPr>
              <w:rPr>
                <w:rFonts w:ascii="Calibri" w:hAnsi="Calibri"/>
              </w:rPr>
            </w:pPr>
            <w:r w:rsidRPr="00B10C16">
              <w:rPr>
                <w:rFonts w:ascii="Calibri" w:hAnsi="Calibri"/>
              </w:rPr>
              <w:t>Requires investment for software development</w:t>
            </w:r>
            <w:r w:rsidR="00896F31">
              <w:rPr>
                <w:rFonts w:ascii="Calibri" w:hAnsi="Calibri"/>
              </w:rPr>
              <w:t xml:space="preserve"> (unknown amount)</w:t>
            </w:r>
          </w:p>
          <w:p w14:paraId="2F063E34" w14:textId="46B228D9" w:rsidR="000726C1" w:rsidRPr="00B10C16" w:rsidRDefault="000726C1" w:rsidP="00B10C16">
            <w:pPr>
              <w:pStyle w:val="ListParagraph"/>
              <w:numPr>
                <w:ilvl w:val="0"/>
                <w:numId w:val="23"/>
              </w:numPr>
              <w:rPr>
                <w:rFonts w:ascii="Calibri" w:hAnsi="Calibri"/>
              </w:rPr>
            </w:pPr>
            <w:r>
              <w:rPr>
                <w:rFonts w:ascii="Calibri" w:hAnsi="Calibri"/>
              </w:rPr>
              <w:t>Potentially lengthy software development phase</w:t>
            </w:r>
            <w:r w:rsidR="00C25B60">
              <w:rPr>
                <w:rFonts w:ascii="Calibri" w:hAnsi="Calibri"/>
              </w:rPr>
              <w:t>.</w:t>
            </w:r>
          </w:p>
        </w:tc>
      </w:tr>
      <w:tr w:rsidR="00F73CFA" w14:paraId="0C3AAE84" w14:textId="77777777" w:rsidTr="008F55CD">
        <w:trPr>
          <w:trHeight w:val="370"/>
        </w:trPr>
        <w:tc>
          <w:tcPr>
            <w:tcW w:w="1838" w:type="dxa"/>
          </w:tcPr>
          <w:p w14:paraId="48F858C6" w14:textId="1301F0FD" w:rsidR="00F73CFA" w:rsidRPr="008F55CD" w:rsidRDefault="00F73CFA" w:rsidP="00BD5EBF">
            <w:pPr>
              <w:rPr>
                <w:rFonts w:ascii="Calibri" w:hAnsi="Calibri"/>
                <w:b/>
                <w:bCs/>
              </w:rPr>
            </w:pPr>
            <w:r w:rsidRPr="008F55CD">
              <w:rPr>
                <w:rFonts w:ascii="Calibri" w:hAnsi="Calibri"/>
                <w:b/>
                <w:bCs/>
              </w:rPr>
              <w:t>Opportunities</w:t>
            </w:r>
          </w:p>
        </w:tc>
        <w:tc>
          <w:tcPr>
            <w:tcW w:w="3402" w:type="dxa"/>
          </w:tcPr>
          <w:p w14:paraId="7A72790C" w14:textId="5DE3BCF6" w:rsidR="00F73CFA" w:rsidRPr="00E77CCF" w:rsidRDefault="00E77CCF" w:rsidP="00E77CCF">
            <w:pPr>
              <w:pStyle w:val="ListParagraph"/>
              <w:numPr>
                <w:ilvl w:val="0"/>
                <w:numId w:val="24"/>
              </w:numPr>
              <w:rPr>
                <w:rFonts w:ascii="Calibri" w:hAnsi="Calibri"/>
              </w:rPr>
            </w:pPr>
            <w:r>
              <w:rPr>
                <w:rFonts w:ascii="Calibri" w:hAnsi="Calibri"/>
              </w:rPr>
              <w:t>E</w:t>
            </w:r>
            <w:r w:rsidRPr="00E77CCF">
              <w:rPr>
                <w:rFonts w:ascii="Calibri" w:hAnsi="Calibri"/>
              </w:rPr>
              <w:t xml:space="preserve">stablish </w:t>
            </w:r>
            <w:r w:rsidR="00EA4730">
              <w:rPr>
                <w:rFonts w:ascii="Calibri" w:hAnsi="Calibri"/>
              </w:rPr>
              <w:t>the use of an application using</w:t>
            </w:r>
            <w:r w:rsidRPr="00E77CCF">
              <w:rPr>
                <w:rFonts w:ascii="Calibri" w:hAnsi="Calibri"/>
              </w:rPr>
              <w:t xml:space="preserve"> interoperable data structure in the Welsh Healthcare </w:t>
            </w:r>
            <w:r>
              <w:rPr>
                <w:rFonts w:ascii="Calibri" w:hAnsi="Calibri"/>
              </w:rPr>
              <w:t>system</w:t>
            </w:r>
          </w:p>
        </w:tc>
        <w:tc>
          <w:tcPr>
            <w:tcW w:w="4030" w:type="dxa"/>
          </w:tcPr>
          <w:p w14:paraId="149AA864" w14:textId="687078DD" w:rsidR="00F73CFA" w:rsidRPr="0048353D" w:rsidRDefault="0048353D" w:rsidP="0048353D">
            <w:pPr>
              <w:pStyle w:val="ListParagraph"/>
              <w:numPr>
                <w:ilvl w:val="0"/>
                <w:numId w:val="24"/>
              </w:numPr>
              <w:rPr>
                <w:rFonts w:ascii="Calibri" w:hAnsi="Calibri"/>
              </w:rPr>
            </w:pPr>
            <w:r w:rsidRPr="0048353D">
              <w:rPr>
                <w:rFonts w:ascii="Calibri" w:hAnsi="Calibri"/>
              </w:rPr>
              <w:t>Development of links between clinicians and DHCW software development, increasing likelihood of further projects.</w:t>
            </w:r>
          </w:p>
        </w:tc>
      </w:tr>
      <w:tr w:rsidR="00F73CFA" w14:paraId="370FEE1F" w14:textId="77777777" w:rsidTr="008F55CD">
        <w:trPr>
          <w:trHeight w:val="384"/>
        </w:trPr>
        <w:tc>
          <w:tcPr>
            <w:tcW w:w="1838" w:type="dxa"/>
          </w:tcPr>
          <w:p w14:paraId="4245BB8B" w14:textId="5AF4E907" w:rsidR="00F73CFA" w:rsidRPr="008F55CD" w:rsidRDefault="00F73CFA" w:rsidP="00BD5EBF">
            <w:pPr>
              <w:rPr>
                <w:rFonts w:ascii="Calibri" w:hAnsi="Calibri"/>
                <w:b/>
                <w:bCs/>
              </w:rPr>
            </w:pPr>
            <w:r w:rsidRPr="008F55CD">
              <w:rPr>
                <w:rFonts w:ascii="Calibri" w:hAnsi="Calibri"/>
                <w:b/>
                <w:bCs/>
              </w:rPr>
              <w:t>Th</w:t>
            </w:r>
            <w:r w:rsidR="008F55CD" w:rsidRPr="008F55CD">
              <w:rPr>
                <w:rFonts w:ascii="Calibri" w:hAnsi="Calibri"/>
                <w:b/>
                <w:bCs/>
              </w:rPr>
              <w:t>r</w:t>
            </w:r>
            <w:r w:rsidRPr="008F55CD">
              <w:rPr>
                <w:rFonts w:ascii="Calibri" w:hAnsi="Calibri"/>
                <w:b/>
                <w:bCs/>
              </w:rPr>
              <w:t>eats</w:t>
            </w:r>
          </w:p>
        </w:tc>
        <w:tc>
          <w:tcPr>
            <w:tcW w:w="3402" w:type="dxa"/>
          </w:tcPr>
          <w:p w14:paraId="0838A92D" w14:textId="5B48C307" w:rsidR="0048353D" w:rsidRPr="0048353D" w:rsidRDefault="00773B8E" w:rsidP="0048353D">
            <w:pPr>
              <w:pStyle w:val="ListParagraph"/>
              <w:numPr>
                <w:ilvl w:val="0"/>
                <w:numId w:val="24"/>
              </w:numPr>
              <w:rPr>
                <w:rFonts w:ascii="Calibri" w:hAnsi="Calibri"/>
              </w:rPr>
            </w:pPr>
            <w:r>
              <w:rPr>
                <w:rFonts w:ascii="Calibri" w:hAnsi="Calibri"/>
              </w:rPr>
              <w:t>Another commercial enterprise may develop a similar product at less cost.</w:t>
            </w:r>
          </w:p>
        </w:tc>
        <w:tc>
          <w:tcPr>
            <w:tcW w:w="4030" w:type="dxa"/>
          </w:tcPr>
          <w:p w14:paraId="00BEE97C" w14:textId="1551C59C" w:rsidR="00F73CFA" w:rsidRPr="00567EFC" w:rsidRDefault="00567EFC" w:rsidP="00567EFC">
            <w:pPr>
              <w:pStyle w:val="ListParagraph"/>
              <w:numPr>
                <w:ilvl w:val="0"/>
                <w:numId w:val="24"/>
              </w:numPr>
              <w:rPr>
                <w:rFonts w:ascii="Calibri" w:hAnsi="Calibri"/>
              </w:rPr>
            </w:pPr>
            <w:r w:rsidRPr="00567EFC">
              <w:rPr>
                <w:rFonts w:ascii="Calibri" w:hAnsi="Calibri"/>
              </w:rPr>
              <w:t>Change</w:t>
            </w:r>
            <w:r>
              <w:rPr>
                <w:rFonts w:ascii="Calibri" w:hAnsi="Calibri"/>
              </w:rPr>
              <w:t xml:space="preserve"> of</w:t>
            </w:r>
            <w:r w:rsidRPr="00567EFC">
              <w:rPr>
                <w:rFonts w:ascii="Calibri" w:hAnsi="Calibri"/>
              </w:rPr>
              <w:t xml:space="preserve"> focus </w:t>
            </w:r>
            <w:r>
              <w:rPr>
                <w:rFonts w:ascii="Calibri" w:hAnsi="Calibri"/>
              </w:rPr>
              <w:t>or</w:t>
            </w:r>
            <w:r w:rsidRPr="00567EFC">
              <w:rPr>
                <w:rFonts w:ascii="Calibri" w:hAnsi="Calibri"/>
              </w:rPr>
              <w:t xml:space="preserve"> policy may stall the project</w:t>
            </w:r>
            <w:r>
              <w:rPr>
                <w:rFonts w:ascii="Calibri" w:hAnsi="Calibri"/>
              </w:rPr>
              <w:t xml:space="preserve"> though lack of funding</w:t>
            </w:r>
          </w:p>
        </w:tc>
      </w:tr>
    </w:tbl>
    <w:p w14:paraId="7A700C3D" w14:textId="77777777" w:rsidR="00DE30AD" w:rsidRDefault="00DE30AD" w:rsidP="004F3934">
      <w:pPr>
        <w:rPr>
          <w:b/>
          <w:bCs/>
          <w:sz w:val="28"/>
          <w:szCs w:val="28"/>
        </w:rPr>
      </w:pPr>
    </w:p>
    <w:p w14:paraId="4B7BE28C" w14:textId="3573E06A" w:rsidR="00C66609" w:rsidRPr="004F3934" w:rsidRDefault="00F66748" w:rsidP="004F3934">
      <w:pPr>
        <w:rPr>
          <w:b/>
          <w:bCs/>
          <w:sz w:val="28"/>
          <w:szCs w:val="28"/>
        </w:rPr>
      </w:pPr>
      <w:r w:rsidRPr="007E530B">
        <w:rPr>
          <w:b/>
          <w:bCs/>
          <w:sz w:val="28"/>
          <w:szCs w:val="28"/>
        </w:rPr>
        <w:t>Discussion</w:t>
      </w:r>
    </w:p>
    <w:p w14:paraId="1BD3FB66" w14:textId="71F5D7AB" w:rsidR="00656FAD" w:rsidRDefault="00C66609" w:rsidP="004F3934">
      <w:pPr>
        <w:ind w:firstLine="720"/>
      </w:pPr>
      <w:r>
        <w:t xml:space="preserve">A key component to the success of a Digital Growth Chart with interoperability across health boards is the </w:t>
      </w:r>
      <w:r w:rsidR="004F3934">
        <w:t xml:space="preserve">whether or not the project has the </w:t>
      </w:r>
      <w:r>
        <w:t xml:space="preserve">support </w:t>
      </w:r>
      <w:r w:rsidR="004F3934">
        <w:t xml:space="preserve">of </w:t>
      </w:r>
      <w:r>
        <w:t xml:space="preserve">Digital Health Care Wales. </w:t>
      </w:r>
      <w:r w:rsidR="004F3934">
        <w:t>The project a</w:t>
      </w:r>
      <w:r w:rsidR="00430F70">
        <w:t>ligns with DHCWs pan</w:t>
      </w:r>
      <w:r w:rsidR="004F3934">
        <w:t>-</w:t>
      </w:r>
      <w:r w:rsidR="00430F70">
        <w:t>Wales interoperability objectives</w:t>
      </w:r>
      <w:r w:rsidR="004F3934">
        <w:t>.</w:t>
      </w:r>
    </w:p>
    <w:p w14:paraId="61A07FA4" w14:textId="546E00F3" w:rsidR="00B440C9" w:rsidRDefault="00B440C9" w:rsidP="00B440C9">
      <w:pPr>
        <w:rPr>
          <w:b/>
          <w:bCs/>
        </w:rPr>
      </w:pPr>
      <w:r w:rsidRPr="00B440C9">
        <w:rPr>
          <w:b/>
          <w:bCs/>
        </w:rPr>
        <w:t>Implementation strategy:</w:t>
      </w:r>
    </w:p>
    <w:p w14:paraId="4AEAF23A" w14:textId="77777777" w:rsidR="00DB3A60" w:rsidRDefault="003514AF" w:rsidP="000E4BD8">
      <w:pPr>
        <w:pStyle w:val="ListParagraph"/>
        <w:numPr>
          <w:ilvl w:val="0"/>
          <w:numId w:val="18"/>
        </w:numPr>
      </w:pPr>
      <w:r>
        <w:t>Digital Growth Chart Working group meeting; chaired by ‘Core Paediatrician’ with DHCW Executive Medical Director</w:t>
      </w:r>
      <w:r w:rsidR="00DB3A60">
        <w:t xml:space="preserve"> for a d</w:t>
      </w:r>
      <w:r>
        <w:t>iscussion of options</w:t>
      </w:r>
      <w:r w:rsidR="00DB3A60">
        <w:t>.</w:t>
      </w:r>
    </w:p>
    <w:p w14:paraId="4E92AA80" w14:textId="6DF16F1D" w:rsidR="00697E30" w:rsidRPr="000E4BD8" w:rsidRDefault="003514AF" w:rsidP="00DB3A60">
      <w:pPr>
        <w:pStyle w:val="ListParagraph"/>
        <w:numPr>
          <w:ilvl w:val="1"/>
          <w:numId w:val="18"/>
        </w:numPr>
      </w:pPr>
      <w:r>
        <w:t xml:space="preserve">pan-Wales support for </w:t>
      </w:r>
      <w:r w:rsidR="00F26D2D">
        <w:t>a</w:t>
      </w:r>
      <w:r>
        <w:t xml:space="preserve"> DHCW developed </w:t>
      </w:r>
      <w:r w:rsidR="00DB3A60">
        <w:t>WCP Growth Chart</w:t>
      </w:r>
      <w:r w:rsidR="002761E7">
        <w:t>.</w:t>
      </w:r>
    </w:p>
    <w:p w14:paraId="5C7E8557" w14:textId="1180B83A" w:rsidR="00697E30" w:rsidRDefault="00697E30" w:rsidP="00DB3A60">
      <w:pPr>
        <w:pStyle w:val="ListParagraph"/>
        <w:numPr>
          <w:ilvl w:val="0"/>
          <w:numId w:val="21"/>
        </w:numPr>
      </w:pPr>
      <w:r>
        <w:t xml:space="preserve">‘Core Paediatrician’ </w:t>
      </w:r>
      <w:r w:rsidR="00DB3A60">
        <w:t>to</w:t>
      </w:r>
      <w:r>
        <w:t xml:space="preserve"> formally submit a request to DHCW to explore the development of a digital growth chart within WCP.</w:t>
      </w:r>
    </w:p>
    <w:p w14:paraId="5F1A68B9" w14:textId="42E82680" w:rsidR="00697E30" w:rsidRDefault="00697E30" w:rsidP="00DB3A60">
      <w:pPr>
        <w:pStyle w:val="ListParagraph"/>
        <w:numPr>
          <w:ilvl w:val="0"/>
          <w:numId w:val="21"/>
        </w:numPr>
      </w:pPr>
      <w:r>
        <w:t>Identification of funds from DHCW budget / funding application from DHCW to Welsh Government to support the required software development</w:t>
      </w:r>
      <w:r w:rsidR="00BF3A00">
        <w:t xml:space="preserve"> and implementation.</w:t>
      </w:r>
    </w:p>
    <w:p w14:paraId="4A93FBBD" w14:textId="77777777" w:rsidR="00C40716" w:rsidRDefault="00697E30" w:rsidP="00C40716">
      <w:pPr>
        <w:pStyle w:val="ListParagraph"/>
        <w:numPr>
          <w:ilvl w:val="0"/>
          <w:numId w:val="21"/>
        </w:numPr>
      </w:pPr>
      <w:r>
        <w:t xml:space="preserve">Digital Growth Chart Working Group to </w:t>
      </w:r>
      <w:r w:rsidR="004E74E2">
        <w:t>support in the testing and development of the WCP Growth Chart using an Agile method approach</w:t>
      </w:r>
      <w:r w:rsidR="00C40716">
        <w:t xml:space="preserve"> and responsible to evaluate the standard and suitability of the developed product.</w:t>
      </w:r>
    </w:p>
    <w:p w14:paraId="62F67B9C" w14:textId="0523DDE5" w:rsidR="00BE6299" w:rsidRDefault="00C40716" w:rsidP="00C40716">
      <w:pPr>
        <w:pStyle w:val="ListParagraph"/>
        <w:numPr>
          <w:ilvl w:val="0"/>
          <w:numId w:val="21"/>
        </w:numPr>
      </w:pPr>
      <w:r>
        <w:t xml:space="preserve">Explore national </w:t>
      </w:r>
      <w:r w:rsidR="009F3BEC">
        <w:t>interoperability</w:t>
      </w:r>
      <w:r>
        <w:t xml:space="preserve"> developments to enable healthcare users that do not currently use WCP as their primary </w:t>
      </w:r>
      <w:r w:rsidR="009F3BEC">
        <w:t xml:space="preserve">digital source of patient data to access the digital growth chart through their preferred application. </w:t>
      </w:r>
    </w:p>
    <w:p w14:paraId="174C965F" w14:textId="652BED70" w:rsidR="00320DF0" w:rsidRDefault="00E8047B" w:rsidP="000E4BD8">
      <w:pPr>
        <w:ind w:firstLine="720"/>
      </w:pPr>
      <w:r>
        <w:t>T</w:t>
      </w:r>
      <w:r w:rsidR="003E0B45">
        <w:t xml:space="preserve">he success of the project would be measured </w:t>
      </w:r>
      <w:r w:rsidR="00BC61CC">
        <w:t xml:space="preserve">by the implementation of a functioning growth chart of sufficient standard available to all health providers that have access to Welsh Clinical Portal within </w:t>
      </w:r>
      <w:r w:rsidR="00AC249D">
        <w:t>the next 12-24</w:t>
      </w:r>
      <w:r w:rsidR="00BE6299">
        <w:t xml:space="preserve"> </w:t>
      </w:r>
      <w:r w:rsidR="00AC249D">
        <w:t>months</w:t>
      </w:r>
      <w:r w:rsidR="009F3BEC">
        <w:t xml:space="preserve"> (which is within lifespan of the current Healthy Weight Healthy Wales delivery plan 2022-2024).</w:t>
      </w:r>
    </w:p>
    <w:p w14:paraId="605F39F1" w14:textId="3887C397" w:rsidR="00EF6D83" w:rsidRDefault="00EF6D83">
      <w:r>
        <w:br w:type="page"/>
      </w:r>
    </w:p>
    <w:p w14:paraId="1B274910" w14:textId="40DF88EE" w:rsidR="00B440C9" w:rsidRDefault="008F55CD" w:rsidP="00B440C9">
      <w:pPr>
        <w:rPr>
          <w:b/>
          <w:bCs/>
          <w:sz w:val="28"/>
          <w:szCs w:val="28"/>
        </w:rPr>
      </w:pPr>
      <w:r w:rsidRPr="008F55CD">
        <w:rPr>
          <w:b/>
          <w:bCs/>
          <w:sz w:val="28"/>
          <w:szCs w:val="28"/>
        </w:rPr>
        <w:lastRenderedPageBreak/>
        <w:t>References:</w:t>
      </w:r>
    </w:p>
    <w:p w14:paraId="3D7DFB06" w14:textId="03F9D4FA" w:rsidR="00B8061C" w:rsidRPr="00072EEA" w:rsidRDefault="00072EEA" w:rsidP="00B440C9">
      <w:pPr>
        <w:rPr>
          <w:rFonts w:cstheme="minorHAnsi"/>
          <w:sz w:val="20"/>
          <w:szCs w:val="20"/>
        </w:rPr>
      </w:pPr>
      <w:r>
        <w:rPr>
          <w:rFonts w:cstheme="minorHAnsi"/>
          <w:color w:val="212121"/>
          <w:shd w:val="clear" w:color="auto" w:fill="FFFFFF"/>
        </w:rPr>
        <w:t>5</w:t>
      </w:r>
      <w:r w:rsidR="00B8061C" w:rsidRPr="00072EEA">
        <w:rPr>
          <w:rFonts w:cstheme="minorHAnsi"/>
          <w:color w:val="212121"/>
          <w:sz w:val="20"/>
          <w:szCs w:val="20"/>
          <w:shd w:val="clear" w:color="auto" w:fill="FFFFFF"/>
        </w:rPr>
        <w:t xml:space="preserve">Department of Health (2009) Healthy Child Programme, Pregnancy and the first five years of life. </w:t>
      </w:r>
      <w:r w:rsidR="00B8061C" w:rsidRPr="00072EEA">
        <w:rPr>
          <w:rFonts w:cstheme="minorHAnsi"/>
          <w:i/>
          <w:iCs/>
          <w:color w:val="212121"/>
          <w:sz w:val="20"/>
          <w:szCs w:val="20"/>
          <w:shd w:val="clear" w:color="auto" w:fill="FFFFFF"/>
        </w:rPr>
        <w:t>Department for children, schools and families</w:t>
      </w:r>
      <w:r w:rsidR="00B8061C" w:rsidRPr="00072EEA">
        <w:rPr>
          <w:rFonts w:cstheme="minorHAnsi"/>
          <w:color w:val="212121"/>
          <w:sz w:val="20"/>
          <w:szCs w:val="20"/>
          <w:shd w:val="clear" w:color="auto" w:fill="FFFFFF"/>
        </w:rPr>
        <w:t xml:space="preserve">. Available at </w:t>
      </w:r>
      <w:hyperlink r:id="rId5" w:history="1">
        <w:r w:rsidR="00B8061C" w:rsidRPr="00072EEA">
          <w:rPr>
            <w:rStyle w:val="Hyperlink"/>
            <w:rFonts w:cstheme="minorHAnsi"/>
            <w:sz w:val="20"/>
            <w:szCs w:val="20"/>
            <w:shd w:val="clear" w:color="auto" w:fill="FFFFFF"/>
          </w:rPr>
          <w:t>https://assets.publishing.service.gov.uk/government/uploads/system/uploads/attachment_data/file/167998/Health_Child_Programme.pdf</w:t>
        </w:r>
      </w:hyperlink>
      <w:r w:rsidR="00B8061C" w:rsidRPr="00072EEA">
        <w:rPr>
          <w:rFonts w:cstheme="minorHAnsi"/>
          <w:color w:val="212121"/>
          <w:sz w:val="20"/>
          <w:szCs w:val="20"/>
          <w:shd w:val="clear" w:color="auto" w:fill="FFFFFF"/>
        </w:rPr>
        <w:t xml:space="preserve"> [Accessed on 18/05/2022]</w:t>
      </w:r>
    </w:p>
    <w:p w14:paraId="2513FA7C" w14:textId="77777777" w:rsidR="00B8061C" w:rsidRPr="00072EEA" w:rsidRDefault="00B8061C" w:rsidP="00B440C9">
      <w:pPr>
        <w:rPr>
          <w:rFonts w:cstheme="minorHAnsi"/>
          <w:color w:val="212121"/>
          <w:sz w:val="20"/>
          <w:szCs w:val="20"/>
          <w:shd w:val="clear" w:color="auto" w:fill="FFFFFF"/>
        </w:rPr>
      </w:pPr>
      <w:r w:rsidRPr="00072EEA">
        <w:rPr>
          <w:rFonts w:cstheme="minorHAnsi"/>
          <w:color w:val="212121"/>
          <w:sz w:val="20"/>
          <w:szCs w:val="20"/>
          <w:shd w:val="clear" w:color="auto" w:fill="FFFFFF"/>
        </w:rPr>
        <w:t xml:space="preserve">DHCW (2022) Digital Health and Care Wales, </w:t>
      </w:r>
      <w:r w:rsidRPr="00072EEA">
        <w:rPr>
          <w:rFonts w:cstheme="minorHAnsi"/>
          <w:i/>
          <w:iCs/>
          <w:color w:val="212121"/>
          <w:sz w:val="20"/>
          <w:szCs w:val="20"/>
          <w:shd w:val="clear" w:color="auto" w:fill="FFFFFF"/>
        </w:rPr>
        <w:t>Welsh Clinical Portal</w:t>
      </w:r>
      <w:r w:rsidRPr="00072EEA">
        <w:rPr>
          <w:rFonts w:cstheme="minorHAnsi"/>
          <w:color w:val="212121"/>
          <w:sz w:val="20"/>
          <w:szCs w:val="20"/>
          <w:shd w:val="clear" w:color="auto" w:fill="FFFFFF"/>
        </w:rPr>
        <w:t xml:space="preserve">. Available at : </w:t>
      </w:r>
      <w:hyperlink r:id="rId6" w:history="1">
        <w:r w:rsidRPr="00072EEA">
          <w:rPr>
            <w:rStyle w:val="Hyperlink"/>
            <w:rFonts w:cstheme="minorHAnsi"/>
            <w:sz w:val="20"/>
            <w:szCs w:val="20"/>
            <w:shd w:val="clear" w:color="auto" w:fill="FFFFFF"/>
          </w:rPr>
          <w:t>https://dhcw.nhs.wales/systems-and-services/secondary-care/welsh-clinical-portal/</w:t>
        </w:r>
      </w:hyperlink>
      <w:r w:rsidRPr="00072EEA">
        <w:rPr>
          <w:rFonts w:cstheme="minorHAnsi"/>
          <w:color w:val="212121"/>
          <w:sz w:val="20"/>
          <w:szCs w:val="20"/>
          <w:shd w:val="clear" w:color="auto" w:fill="FFFFFF"/>
        </w:rPr>
        <w:t xml:space="preserve"> [Accessed on 11/05/2022]</w:t>
      </w:r>
    </w:p>
    <w:p w14:paraId="0A7D30B4" w14:textId="226C1FC3" w:rsidR="00B8061C" w:rsidRDefault="00B8061C" w:rsidP="00F82C81">
      <w:pPr>
        <w:spacing w:after="0" w:line="240" w:lineRule="auto"/>
        <w:rPr>
          <w:rFonts w:cstheme="minorHAnsi"/>
          <w:sz w:val="20"/>
          <w:szCs w:val="20"/>
        </w:rPr>
      </w:pPr>
      <w:r w:rsidRPr="00072EEA">
        <w:rPr>
          <w:rFonts w:eastAsia="Times New Roman" w:cstheme="minorHAnsi"/>
          <w:sz w:val="20"/>
          <w:szCs w:val="20"/>
          <w:lang w:eastAsia="en-GB"/>
        </w:rPr>
        <w:t>HM Treasury (2012)</w:t>
      </w:r>
      <w:r w:rsidRPr="00072EEA">
        <w:rPr>
          <w:rFonts w:eastAsia="Times New Roman" w:cstheme="minorHAnsi"/>
          <w:i/>
          <w:iCs/>
          <w:sz w:val="20"/>
          <w:szCs w:val="20"/>
          <w:lang w:eastAsia="en-GB"/>
        </w:rPr>
        <w:t xml:space="preserve"> </w:t>
      </w:r>
      <w:r w:rsidRPr="00072EEA">
        <w:rPr>
          <w:rFonts w:eastAsia="Times New Roman" w:cstheme="minorHAnsi"/>
          <w:sz w:val="20"/>
          <w:szCs w:val="20"/>
          <w:lang w:eastAsia="en-GB"/>
        </w:rPr>
        <w:t>Options Appraisal workbook, Planning Advisory Service pilot projects</w:t>
      </w:r>
      <w:r w:rsidRPr="00072EEA">
        <w:rPr>
          <w:rFonts w:eastAsia="Times New Roman" w:cstheme="minorHAnsi"/>
          <w:i/>
          <w:iCs/>
          <w:sz w:val="20"/>
          <w:szCs w:val="20"/>
          <w:lang w:eastAsia="en-GB"/>
        </w:rPr>
        <w:t xml:space="preserve"> : Local Partnerships </w:t>
      </w:r>
      <w:r w:rsidRPr="00072EEA">
        <w:rPr>
          <w:rFonts w:cstheme="minorHAnsi"/>
          <w:sz w:val="20"/>
          <w:szCs w:val="20"/>
        </w:rPr>
        <w:t xml:space="preserve">Available at </w:t>
      </w:r>
      <w:hyperlink r:id="rId7" w:history="1">
        <w:r w:rsidRPr="00072EEA">
          <w:rPr>
            <w:rStyle w:val="Hyperlink"/>
            <w:rFonts w:cstheme="minorHAnsi"/>
            <w:sz w:val="20"/>
            <w:szCs w:val="20"/>
          </w:rPr>
          <w:t>https://www.local.gov.uk/sites/default/files/documents/pas-options-appraisal-wor-7f5.pdf</w:t>
        </w:r>
      </w:hyperlink>
      <w:r w:rsidRPr="00072EEA">
        <w:rPr>
          <w:rFonts w:cstheme="minorHAnsi"/>
          <w:sz w:val="20"/>
          <w:szCs w:val="20"/>
        </w:rPr>
        <w:t xml:space="preserve"> [Accessed on 15/05/2022]</w:t>
      </w:r>
    </w:p>
    <w:p w14:paraId="290B445F" w14:textId="77777777" w:rsidR="00072EEA" w:rsidRPr="00072EEA" w:rsidRDefault="00072EEA" w:rsidP="00F82C81">
      <w:pPr>
        <w:spacing w:after="0" w:line="240" w:lineRule="auto"/>
        <w:rPr>
          <w:rFonts w:cstheme="minorHAnsi"/>
          <w:sz w:val="20"/>
          <w:szCs w:val="20"/>
        </w:rPr>
      </w:pPr>
    </w:p>
    <w:p w14:paraId="7FC23211" w14:textId="77777777" w:rsidR="00B8061C" w:rsidRPr="00072EEA" w:rsidRDefault="00B8061C" w:rsidP="00B440C9">
      <w:pPr>
        <w:rPr>
          <w:sz w:val="20"/>
          <w:szCs w:val="20"/>
        </w:rPr>
      </w:pPr>
      <w:r w:rsidRPr="00072EEA">
        <w:rPr>
          <w:sz w:val="20"/>
          <w:szCs w:val="20"/>
        </w:rPr>
        <w:t xml:space="preserve">Leonard K, Bottorff C (2022) Conducting a Gap Analysis: A four step Template, </w:t>
      </w:r>
      <w:r w:rsidRPr="00072EEA">
        <w:rPr>
          <w:i/>
          <w:iCs/>
          <w:sz w:val="20"/>
          <w:szCs w:val="20"/>
        </w:rPr>
        <w:t>Forbes Advisor</w:t>
      </w:r>
      <w:r w:rsidRPr="00072EEA">
        <w:rPr>
          <w:sz w:val="20"/>
          <w:szCs w:val="20"/>
        </w:rPr>
        <w:t xml:space="preserve">. Available at : </w:t>
      </w:r>
      <w:hyperlink r:id="rId8" w:history="1">
        <w:r w:rsidRPr="00072EEA">
          <w:rPr>
            <w:rStyle w:val="Hyperlink"/>
            <w:sz w:val="20"/>
            <w:szCs w:val="20"/>
          </w:rPr>
          <w:t>https://www.forbes.com/advisor/business/gap-analysis-template/</w:t>
        </w:r>
      </w:hyperlink>
      <w:r w:rsidRPr="00072EEA">
        <w:rPr>
          <w:sz w:val="20"/>
          <w:szCs w:val="20"/>
        </w:rPr>
        <w:t xml:space="preserve"> [ Accessed on 12/05/2022]</w:t>
      </w:r>
    </w:p>
    <w:p w14:paraId="5807BDB8" w14:textId="77777777" w:rsidR="00B8061C" w:rsidRPr="00072EEA" w:rsidRDefault="00B8061C" w:rsidP="00B440C9">
      <w:pPr>
        <w:rPr>
          <w:rFonts w:cstheme="minorHAnsi"/>
          <w:color w:val="212121"/>
          <w:sz w:val="20"/>
          <w:szCs w:val="20"/>
          <w:shd w:val="clear" w:color="auto" w:fill="FFFFFF"/>
        </w:rPr>
      </w:pPr>
      <w:r w:rsidRPr="00072EEA">
        <w:rPr>
          <w:rFonts w:cstheme="minorHAnsi"/>
          <w:color w:val="212121"/>
          <w:sz w:val="20"/>
          <w:szCs w:val="20"/>
          <w:shd w:val="clear" w:color="auto" w:fill="FFFFFF"/>
        </w:rPr>
        <w:t xml:space="preserve">NICE Guidance (2020), Faltering growth (Quality Standard QS197), </w:t>
      </w:r>
      <w:r w:rsidRPr="00072EEA">
        <w:rPr>
          <w:rFonts w:cstheme="minorHAnsi"/>
          <w:i/>
          <w:iCs/>
          <w:color w:val="212121"/>
          <w:sz w:val="20"/>
          <w:szCs w:val="20"/>
          <w:shd w:val="clear" w:color="auto" w:fill="FFFFFF"/>
        </w:rPr>
        <w:t xml:space="preserve">NICE National Institute for Health and Care Excellence. </w:t>
      </w:r>
      <w:r w:rsidRPr="00072EEA">
        <w:rPr>
          <w:rFonts w:cstheme="minorHAnsi"/>
          <w:color w:val="212121"/>
          <w:sz w:val="20"/>
          <w:szCs w:val="20"/>
          <w:shd w:val="clear" w:color="auto" w:fill="FFFFFF"/>
        </w:rPr>
        <w:t xml:space="preserve">Available at: </w:t>
      </w:r>
      <w:hyperlink r:id="rId9" w:history="1">
        <w:r w:rsidRPr="00072EEA">
          <w:rPr>
            <w:rStyle w:val="Hyperlink"/>
            <w:rFonts w:cstheme="minorHAnsi"/>
            <w:sz w:val="20"/>
            <w:szCs w:val="20"/>
            <w:shd w:val="clear" w:color="auto" w:fill="FFFFFF"/>
          </w:rPr>
          <w:t>https://www.nice.org.uk/guidance/qs197/chapter/Quality-statement-1-Measurement-of-growth</w:t>
        </w:r>
      </w:hyperlink>
      <w:r w:rsidRPr="00072EEA">
        <w:rPr>
          <w:rFonts w:cstheme="minorHAnsi"/>
          <w:color w:val="212121"/>
          <w:sz w:val="20"/>
          <w:szCs w:val="20"/>
          <w:shd w:val="clear" w:color="auto" w:fill="FFFFFF"/>
        </w:rPr>
        <w:t xml:space="preserve"> [Accessed on 12/05/2022]</w:t>
      </w:r>
    </w:p>
    <w:p w14:paraId="3C062C50" w14:textId="77777777" w:rsidR="00B8061C" w:rsidRPr="00072EEA" w:rsidRDefault="00B8061C" w:rsidP="0073744A">
      <w:pPr>
        <w:rPr>
          <w:sz w:val="20"/>
          <w:szCs w:val="20"/>
        </w:rPr>
      </w:pPr>
      <w:r w:rsidRPr="00072EEA">
        <w:rPr>
          <w:sz w:val="20"/>
          <w:szCs w:val="20"/>
        </w:rPr>
        <w:t xml:space="preserve">Public Health Wales (2021) Child Measurement Programme for Wales 2018/19, Public Health Wales NHS Trust. Available at :  </w:t>
      </w:r>
      <w:hyperlink r:id="rId10" w:history="1">
        <w:r w:rsidRPr="00072EEA">
          <w:rPr>
            <w:rStyle w:val="Hyperlink"/>
            <w:sz w:val="20"/>
            <w:szCs w:val="20"/>
          </w:rPr>
          <w:t>https://phw.nhs.wales/services-and-teams/child-measurement-programme/cmp-2018-19/child-measurement-programme-for-wales-report-2018-19/</w:t>
        </w:r>
      </w:hyperlink>
      <w:r w:rsidRPr="00072EEA">
        <w:rPr>
          <w:sz w:val="20"/>
          <w:szCs w:val="20"/>
        </w:rPr>
        <w:t xml:space="preserve"> [Accessed on 15/05/2022]</w:t>
      </w:r>
    </w:p>
    <w:p w14:paraId="53DEC530" w14:textId="77777777" w:rsidR="00B8061C" w:rsidRPr="00072EEA" w:rsidRDefault="00B8061C" w:rsidP="00B440C9">
      <w:pPr>
        <w:rPr>
          <w:sz w:val="20"/>
          <w:szCs w:val="20"/>
        </w:rPr>
      </w:pPr>
      <w:r w:rsidRPr="00072EEA">
        <w:rPr>
          <w:sz w:val="20"/>
          <w:szCs w:val="20"/>
        </w:rPr>
        <w:t xml:space="preserve">RCPCH (2022) Growth Charts, Resources. Available at : </w:t>
      </w:r>
      <w:hyperlink r:id="rId11" w:history="1">
        <w:r w:rsidRPr="00072EEA">
          <w:rPr>
            <w:rStyle w:val="Hyperlink"/>
            <w:sz w:val="20"/>
            <w:szCs w:val="20"/>
          </w:rPr>
          <w:t>https://www.rcpch.ac.uk/resources/growth-charts</w:t>
        </w:r>
      </w:hyperlink>
      <w:r w:rsidRPr="00072EEA">
        <w:rPr>
          <w:sz w:val="20"/>
          <w:szCs w:val="20"/>
        </w:rPr>
        <w:t xml:space="preserve"> [Accessed on 10/05/2022]</w:t>
      </w:r>
    </w:p>
    <w:p w14:paraId="4AE37929" w14:textId="77777777" w:rsidR="00072EEA" w:rsidRDefault="00B8061C" w:rsidP="00072EEA">
      <w:pPr>
        <w:rPr>
          <w:sz w:val="20"/>
          <w:szCs w:val="20"/>
        </w:rPr>
      </w:pPr>
      <w:proofErr w:type="spellStart"/>
      <w:r w:rsidRPr="00072EEA">
        <w:rPr>
          <w:sz w:val="20"/>
          <w:szCs w:val="20"/>
        </w:rPr>
        <w:t>Sasankar</w:t>
      </w:r>
      <w:proofErr w:type="spellEnd"/>
      <w:r w:rsidRPr="00072EEA">
        <w:rPr>
          <w:sz w:val="20"/>
          <w:szCs w:val="20"/>
        </w:rPr>
        <w:t>, Ashish &amp; Chavan, Vinay. (2011). SWOT Analysis of Software Development Process Models. International Journal of Computer Science Issues. 8.</w:t>
      </w:r>
    </w:p>
    <w:p w14:paraId="3A7FFD41" w14:textId="3F44BBC0" w:rsidR="00B8061C" w:rsidRPr="00072EEA" w:rsidRDefault="00B8061C" w:rsidP="00072EEA">
      <w:pPr>
        <w:rPr>
          <w:sz w:val="20"/>
          <w:szCs w:val="20"/>
        </w:rPr>
      </w:pPr>
      <w:r w:rsidRPr="00072EEA">
        <w:rPr>
          <w:rFonts w:cstheme="minorHAnsi"/>
          <w:sz w:val="20"/>
          <w:szCs w:val="20"/>
          <w:shd w:val="clear" w:color="auto" w:fill="FFFFFF"/>
        </w:rPr>
        <w:t xml:space="preserve">Tuthill D (2022) </w:t>
      </w:r>
      <w:r w:rsidRPr="00072EEA">
        <w:rPr>
          <w:rFonts w:eastAsia="Times New Roman" w:cstheme="minorHAnsi"/>
          <w:kern w:val="36"/>
          <w:sz w:val="20"/>
          <w:szCs w:val="20"/>
          <w:lang w:eastAsia="en-GB"/>
        </w:rPr>
        <w:t>RCPCH comments on the Welsh Government’s Healthy Weight Healthy Wales delivery strategy</w:t>
      </w:r>
      <w:r w:rsidRPr="00072EEA">
        <w:rPr>
          <w:rFonts w:eastAsia="Times New Roman" w:cstheme="minorHAnsi"/>
          <w:kern w:val="36"/>
          <w:sz w:val="20"/>
          <w:szCs w:val="20"/>
          <w:lang w:eastAsia="en-GB"/>
        </w:rPr>
        <w:t xml:space="preserve">, RCPCH. Available at: </w:t>
      </w:r>
      <w:hyperlink r:id="rId12" w:history="1">
        <w:r w:rsidRPr="00072EEA">
          <w:rPr>
            <w:rStyle w:val="Hyperlink"/>
            <w:rFonts w:eastAsia="Times New Roman" w:cstheme="minorHAnsi"/>
            <w:kern w:val="36"/>
            <w:sz w:val="20"/>
            <w:szCs w:val="20"/>
            <w:lang w:eastAsia="en-GB"/>
          </w:rPr>
          <w:t>https://www.rcpch.ac.uk/news-events/news/rcpch-comments-welsh-governments-healthy-weight-healthy-wales-delivery-strategy</w:t>
        </w:r>
      </w:hyperlink>
      <w:r w:rsidRPr="00072EEA">
        <w:rPr>
          <w:rFonts w:eastAsia="Times New Roman" w:cstheme="minorHAnsi"/>
          <w:kern w:val="36"/>
          <w:sz w:val="20"/>
          <w:szCs w:val="20"/>
          <w:lang w:eastAsia="en-GB"/>
        </w:rPr>
        <w:t xml:space="preserve"> [Accessed on 10/05/2022]</w:t>
      </w:r>
    </w:p>
    <w:p w14:paraId="5B237D01" w14:textId="77777777" w:rsidR="00B8061C" w:rsidRPr="00072EEA" w:rsidRDefault="00B8061C" w:rsidP="00B440C9">
      <w:pPr>
        <w:rPr>
          <w:sz w:val="20"/>
          <w:szCs w:val="20"/>
        </w:rPr>
      </w:pPr>
      <w:r w:rsidRPr="00072EEA">
        <w:rPr>
          <w:sz w:val="20"/>
          <w:szCs w:val="20"/>
        </w:rPr>
        <w:t xml:space="preserve">Welsh Government (2019) Healthy Weight Strategy (Healthy Weight Healthy Wales) Available at : </w:t>
      </w:r>
      <w:hyperlink r:id="rId13" w:history="1">
        <w:r w:rsidRPr="00072EEA">
          <w:rPr>
            <w:rStyle w:val="Hyperlink"/>
            <w:sz w:val="20"/>
            <w:szCs w:val="20"/>
          </w:rPr>
          <w:t>https://gov.wales/sites/default/files/publications/2019-10/healthy-weight-healthy-wales_0.pdf</w:t>
        </w:r>
      </w:hyperlink>
      <w:r w:rsidRPr="00072EEA">
        <w:rPr>
          <w:sz w:val="20"/>
          <w:szCs w:val="20"/>
        </w:rPr>
        <w:t xml:space="preserve"> [Accessed on 17/05/2022]</w:t>
      </w:r>
    </w:p>
    <w:p w14:paraId="7B7F79C2" w14:textId="77777777" w:rsidR="00B8061C" w:rsidRPr="00072EEA" w:rsidRDefault="00B8061C" w:rsidP="0073744A">
      <w:pPr>
        <w:rPr>
          <w:sz w:val="20"/>
          <w:szCs w:val="20"/>
        </w:rPr>
      </w:pPr>
      <w:r w:rsidRPr="00072EEA">
        <w:rPr>
          <w:sz w:val="20"/>
          <w:szCs w:val="20"/>
        </w:rPr>
        <w:t xml:space="preserve">Welsh Government (2022) Healthy Weight Healthy Wales : moving ahead in 2022-2024 Available at : </w:t>
      </w:r>
      <w:hyperlink r:id="rId14" w:history="1">
        <w:r w:rsidRPr="00072EEA">
          <w:rPr>
            <w:rStyle w:val="Hyperlink"/>
            <w:sz w:val="20"/>
            <w:szCs w:val="20"/>
          </w:rPr>
          <w:t>https://gov.wales/sites/default/files/publications/2022-03/healthy-weight-healthy-wales-2022-to-2024-delivery-plan_0.pdf</w:t>
        </w:r>
      </w:hyperlink>
      <w:r w:rsidRPr="00072EEA">
        <w:rPr>
          <w:sz w:val="20"/>
          <w:szCs w:val="20"/>
        </w:rPr>
        <w:t xml:space="preserve"> [Accessed on 17/05/2022]</w:t>
      </w:r>
    </w:p>
    <w:p w14:paraId="646F04FB" w14:textId="77777777" w:rsidR="00B8061C" w:rsidRPr="00072EEA" w:rsidRDefault="00B8061C" w:rsidP="00B440C9">
      <w:pPr>
        <w:rPr>
          <w:rFonts w:cstheme="minorHAnsi"/>
          <w:color w:val="212121"/>
          <w:sz w:val="20"/>
          <w:szCs w:val="20"/>
          <w:shd w:val="clear" w:color="auto" w:fill="FFFFFF"/>
        </w:rPr>
      </w:pPr>
      <w:r w:rsidRPr="00072EEA">
        <w:rPr>
          <w:rFonts w:cstheme="minorHAnsi"/>
          <w:color w:val="212121"/>
          <w:sz w:val="20"/>
          <w:szCs w:val="20"/>
          <w:shd w:val="clear" w:color="auto" w:fill="FFFFFF"/>
        </w:rPr>
        <w:t>WHO Multicentre Growth Reference Study Group (2006). WHO Child Growth Standards based on length/height, weight and age. </w:t>
      </w:r>
      <w:r w:rsidRPr="00072EEA">
        <w:rPr>
          <w:rFonts w:cstheme="minorHAnsi"/>
          <w:i/>
          <w:iCs/>
          <w:color w:val="212121"/>
          <w:sz w:val="20"/>
          <w:szCs w:val="20"/>
          <w:shd w:val="clear" w:color="auto" w:fill="FFFFFF"/>
        </w:rPr>
        <w:t xml:space="preserve">Acta </w:t>
      </w:r>
      <w:proofErr w:type="spellStart"/>
      <w:r w:rsidRPr="00072EEA">
        <w:rPr>
          <w:rFonts w:cstheme="minorHAnsi"/>
          <w:i/>
          <w:iCs/>
          <w:color w:val="212121"/>
          <w:sz w:val="20"/>
          <w:szCs w:val="20"/>
          <w:shd w:val="clear" w:color="auto" w:fill="FFFFFF"/>
        </w:rPr>
        <w:t>Paediatr</w:t>
      </w:r>
      <w:proofErr w:type="spellEnd"/>
      <w:r w:rsidRPr="00072EEA">
        <w:rPr>
          <w:rFonts w:cstheme="minorHAnsi"/>
          <w:i/>
          <w:iCs/>
          <w:color w:val="212121"/>
          <w:sz w:val="20"/>
          <w:szCs w:val="20"/>
          <w:shd w:val="clear" w:color="auto" w:fill="FFFFFF"/>
        </w:rPr>
        <w:t xml:space="preserve"> Suppl</w:t>
      </w:r>
      <w:r w:rsidRPr="00072EEA">
        <w:rPr>
          <w:rFonts w:cstheme="minorHAnsi"/>
          <w:color w:val="212121"/>
          <w:sz w:val="20"/>
          <w:szCs w:val="20"/>
          <w:shd w:val="clear" w:color="auto" w:fill="FFFFFF"/>
        </w:rPr>
        <w:t>.;450:76-85. doi:10.1111/j.1651-2227.2006.tb02378.x</w:t>
      </w:r>
    </w:p>
    <w:p w14:paraId="121EF49E" w14:textId="489B064C" w:rsidR="00B8061C" w:rsidRPr="00072EEA" w:rsidRDefault="00B8061C" w:rsidP="00FA3180">
      <w:pPr>
        <w:shd w:val="clear" w:color="auto" w:fill="FFFFFF"/>
        <w:spacing w:after="0" w:line="240" w:lineRule="auto"/>
        <w:rPr>
          <w:rFonts w:cstheme="minorHAnsi"/>
          <w:color w:val="005A96"/>
          <w:sz w:val="20"/>
          <w:szCs w:val="20"/>
          <w:u w:val="single"/>
          <w:shd w:val="clear" w:color="auto" w:fill="FFFFFF"/>
        </w:rPr>
      </w:pPr>
      <w:r w:rsidRPr="00FA3180">
        <w:rPr>
          <w:rFonts w:eastAsia="Times New Roman" w:cstheme="minorHAnsi"/>
          <w:color w:val="333333"/>
          <w:sz w:val="20"/>
          <w:szCs w:val="20"/>
          <w:lang w:eastAsia="en-GB"/>
        </w:rPr>
        <w:t>Williams</w:t>
      </w:r>
      <w:r w:rsidRPr="00072EEA">
        <w:rPr>
          <w:rFonts w:eastAsia="Times New Roman" w:cstheme="minorHAnsi"/>
          <w:color w:val="333333"/>
          <w:sz w:val="20"/>
          <w:szCs w:val="20"/>
          <w:lang w:eastAsia="en-GB"/>
        </w:rPr>
        <w:t xml:space="preserve"> </w:t>
      </w:r>
      <w:r w:rsidRPr="00FA3180">
        <w:rPr>
          <w:rFonts w:eastAsia="Times New Roman" w:cstheme="minorHAnsi"/>
          <w:color w:val="333333"/>
          <w:sz w:val="20"/>
          <w:szCs w:val="20"/>
          <w:lang w:eastAsia="en-GB"/>
        </w:rPr>
        <w:t>T,</w:t>
      </w:r>
      <w:r w:rsidRPr="00072EEA">
        <w:rPr>
          <w:rFonts w:eastAsia="Times New Roman" w:cstheme="minorHAnsi"/>
          <w:color w:val="333333"/>
          <w:sz w:val="20"/>
          <w:szCs w:val="20"/>
          <w:lang w:eastAsia="en-GB"/>
        </w:rPr>
        <w:t xml:space="preserve"> </w:t>
      </w:r>
      <w:proofErr w:type="spellStart"/>
      <w:r w:rsidRPr="00FA3180">
        <w:rPr>
          <w:rFonts w:eastAsia="Times New Roman" w:cstheme="minorHAnsi"/>
          <w:color w:val="333333"/>
          <w:sz w:val="20"/>
          <w:szCs w:val="20"/>
          <w:lang w:eastAsia="en-GB"/>
        </w:rPr>
        <w:t>Mistray</w:t>
      </w:r>
      <w:proofErr w:type="spellEnd"/>
      <w:r w:rsidRPr="00072EEA">
        <w:rPr>
          <w:rFonts w:eastAsia="Times New Roman" w:cstheme="minorHAnsi"/>
          <w:color w:val="333333"/>
          <w:sz w:val="20"/>
          <w:szCs w:val="20"/>
          <w:lang w:eastAsia="en-GB"/>
        </w:rPr>
        <w:t xml:space="preserve"> </w:t>
      </w:r>
      <w:r w:rsidRPr="00FA3180">
        <w:rPr>
          <w:rFonts w:eastAsia="Times New Roman" w:cstheme="minorHAnsi"/>
          <w:color w:val="333333"/>
          <w:sz w:val="20"/>
          <w:szCs w:val="20"/>
          <w:lang w:eastAsia="en-GB"/>
        </w:rPr>
        <w:t>S</w:t>
      </w:r>
      <w:r w:rsidRPr="00072EEA">
        <w:rPr>
          <w:rFonts w:eastAsia="Times New Roman" w:cstheme="minorHAnsi"/>
          <w:color w:val="333333"/>
          <w:sz w:val="20"/>
          <w:szCs w:val="20"/>
          <w:lang w:eastAsia="en-GB"/>
        </w:rPr>
        <w:t xml:space="preserve"> (2015) </w:t>
      </w:r>
      <w:r w:rsidRPr="00FA3180">
        <w:rPr>
          <w:rFonts w:eastAsia="Times New Roman" w:cstheme="minorHAnsi"/>
          <w:color w:val="333333"/>
          <w:sz w:val="20"/>
          <w:szCs w:val="20"/>
          <w:lang w:eastAsia="en-GB"/>
        </w:rPr>
        <w:t>G286</w:t>
      </w:r>
      <w:r w:rsidRPr="00072EEA">
        <w:rPr>
          <w:rFonts w:eastAsia="Times New Roman" w:cstheme="minorHAnsi"/>
          <w:color w:val="333333"/>
          <w:sz w:val="20"/>
          <w:szCs w:val="20"/>
          <w:lang w:eastAsia="en-GB"/>
        </w:rPr>
        <w:t xml:space="preserve"> </w:t>
      </w:r>
      <w:r w:rsidRPr="00FA3180">
        <w:rPr>
          <w:rFonts w:eastAsia="Times New Roman" w:cstheme="minorHAnsi"/>
          <w:color w:val="333333"/>
          <w:sz w:val="20"/>
          <w:szCs w:val="20"/>
          <w:lang w:eastAsia="en-GB"/>
        </w:rPr>
        <w:t>Early experience with electronic growth chart use throughout a local health board</w:t>
      </w:r>
      <w:r w:rsidRPr="00072EEA">
        <w:rPr>
          <w:rFonts w:eastAsia="Times New Roman" w:cstheme="minorHAnsi"/>
          <w:color w:val="333333"/>
          <w:sz w:val="20"/>
          <w:szCs w:val="20"/>
          <w:lang w:eastAsia="en-GB"/>
        </w:rPr>
        <w:t xml:space="preserve">, </w:t>
      </w:r>
      <w:r w:rsidRPr="00FA3180">
        <w:rPr>
          <w:rFonts w:eastAsia="Times New Roman" w:cstheme="minorHAnsi"/>
          <w:i/>
          <w:iCs/>
          <w:color w:val="333333"/>
          <w:sz w:val="20"/>
          <w:szCs w:val="20"/>
          <w:lang w:eastAsia="en-GB"/>
        </w:rPr>
        <w:t>Archives of Disease in Childhood</w:t>
      </w:r>
      <w:r w:rsidRPr="00FA3180">
        <w:rPr>
          <w:rFonts w:eastAsia="Times New Roman" w:cstheme="minorHAnsi"/>
          <w:color w:val="333333"/>
          <w:sz w:val="20"/>
          <w:szCs w:val="20"/>
          <w:lang w:eastAsia="en-GB"/>
        </w:rPr>
        <w:t>;</w:t>
      </w:r>
      <w:r w:rsidRPr="00FA3180">
        <w:rPr>
          <w:rFonts w:eastAsia="Times New Roman" w:cstheme="minorHAnsi"/>
          <w:b/>
          <w:bCs/>
          <w:color w:val="333333"/>
          <w:sz w:val="20"/>
          <w:szCs w:val="20"/>
          <w:lang w:eastAsia="en-GB"/>
        </w:rPr>
        <w:t>100:</w:t>
      </w:r>
      <w:r w:rsidRPr="00FA3180">
        <w:rPr>
          <w:rFonts w:eastAsia="Times New Roman" w:cstheme="minorHAnsi"/>
          <w:color w:val="333333"/>
          <w:sz w:val="20"/>
          <w:szCs w:val="20"/>
          <w:lang w:eastAsia="en-GB"/>
        </w:rPr>
        <w:t>A120.</w:t>
      </w:r>
      <w:r w:rsidRPr="00072EEA">
        <w:rPr>
          <w:sz w:val="20"/>
          <w:szCs w:val="20"/>
        </w:rPr>
        <w:t xml:space="preserve"> </w:t>
      </w:r>
      <w:hyperlink r:id="rId15" w:history="1">
        <w:r w:rsidRPr="00072EEA">
          <w:rPr>
            <w:rStyle w:val="Hyperlink"/>
            <w:rFonts w:cstheme="minorHAnsi"/>
            <w:sz w:val="20"/>
            <w:szCs w:val="20"/>
            <w:shd w:val="clear" w:color="auto" w:fill="FFFFFF"/>
          </w:rPr>
          <w:t>http://dx.doi.org/10.1136/archdischild-2015-308599.263</w:t>
        </w:r>
      </w:hyperlink>
    </w:p>
    <w:p w14:paraId="4A518FE1" w14:textId="533E1D62" w:rsidR="00B8061C" w:rsidRPr="00072EEA" w:rsidRDefault="00B8061C" w:rsidP="00FA3180">
      <w:pPr>
        <w:shd w:val="clear" w:color="auto" w:fill="FFFFFF"/>
        <w:spacing w:after="0" w:line="240" w:lineRule="auto"/>
        <w:rPr>
          <w:rFonts w:cstheme="minorHAnsi"/>
          <w:color w:val="005A96"/>
          <w:sz w:val="20"/>
          <w:szCs w:val="20"/>
          <w:u w:val="single"/>
          <w:shd w:val="clear" w:color="auto" w:fill="FFFFFF"/>
        </w:rPr>
      </w:pPr>
    </w:p>
    <w:p w14:paraId="305A17FD" w14:textId="77777777" w:rsidR="00B8061C" w:rsidRDefault="00B8061C" w:rsidP="00FA3180">
      <w:pPr>
        <w:shd w:val="clear" w:color="auto" w:fill="FFFFFF"/>
        <w:spacing w:after="0" w:line="240" w:lineRule="auto"/>
        <w:rPr>
          <w:rFonts w:cstheme="minorHAnsi"/>
          <w:b/>
          <w:bCs/>
          <w:color w:val="000000" w:themeColor="text1"/>
          <w:shd w:val="clear" w:color="auto" w:fill="FFFFFF"/>
        </w:rPr>
      </w:pPr>
    </w:p>
    <w:p w14:paraId="10FA1225" w14:textId="45C3AFB4" w:rsidR="00B8061C" w:rsidRPr="00FA3180" w:rsidRDefault="00B8061C" w:rsidP="00FA3180">
      <w:pPr>
        <w:shd w:val="clear" w:color="auto" w:fill="FFFFFF"/>
        <w:spacing w:after="0" w:line="240" w:lineRule="auto"/>
        <w:rPr>
          <w:rFonts w:eastAsia="Times New Roman" w:cstheme="minorHAnsi"/>
          <w:b/>
          <w:bCs/>
          <w:color w:val="000000" w:themeColor="text1"/>
          <w:lang w:eastAsia="en-GB"/>
        </w:rPr>
      </w:pPr>
      <w:r w:rsidRPr="00B8061C">
        <w:rPr>
          <w:rFonts w:cstheme="minorHAnsi"/>
          <w:b/>
          <w:bCs/>
          <w:color w:val="000000" w:themeColor="text1"/>
          <w:shd w:val="clear" w:color="auto" w:fill="FFFFFF"/>
        </w:rPr>
        <w:t>Word Count 338</w:t>
      </w:r>
      <w:r w:rsidR="00072EEA">
        <w:rPr>
          <w:rFonts w:cstheme="minorHAnsi"/>
          <w:b/>
          <w:bCs/>
          <w:color w:val="000000" w:themeColor="text1"/>
          <w:shd w:val="clear" w:color="auto" w:fill="FFFFFF"/>
        </w:rPr>
        <w:t>0</w:t>
      </w:r>
    </w:p>
    <w:sectPr w:rsidR="00B8061C" w:rsidRPr="00FA3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36F6"/>
    <w:multiLevelType w:val="hybridMultilevel"/>
    <w:tmpl w:val="7FCAF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EE6755"/>
    <w:multiLevelType w:val="hybridMultilevel"/>
    <w:tmpl w:val="70BC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200F4"/>
    <w:multiLevelType w:val="hybridMultilevel"/>
    <w:tmpl w:val="D116D92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25B550F"/>
    <w:multiLevelType w:val="hybridMultilevel"/>
    <w:tmpl w:val="E394274E"/>
    <w:lvl w:ilvl="0" w:tplc="10D65E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4F4574"/>
    <w:multiLevelType w:val="hybridMultilevel"/>
    <w:tmpl w:val="B03A0CE4"/>
    <w:lvl w:ilvl="0" w:tplc="BB289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9D5042"/>
    <w:multiLevelType w:val="multilevel"/>
    <w:tmpl w:val="7FEABE4E"/>
    <w:lvl w:ilvl="0">
      <w:start w:val="1"/>
      <w:numFmt w:val="bullet"/>
      <w:lvlText w:val=""/>
      <w:lvlJc w:val="left"/>
      <w:pPr>
        <w:tabs>
          <w:tab w:val="num" w:pos="1440"/>
        </w:tabs>
        <w:ind w:left="1440" w:hanging="360"/>
      </w:pPr>
      <w:rPr>
        <w:rFonts w:ascii="Symbol" w:hAnsi="Symbol" w:hint="default"/>
        <w:sz w:val="20"/>
      </w:rPr>
    </w:lvl>
    <w:lvl w:ilvl="1" w:tentative="1">
      <w:numFmt w:val="bullet"/>
      <w:lvlText w:val=""/>
      <w:lvlJc w:val="left"/>
      <w:pPr>
        <w:tabs>
          <w:tab w:val="num" w:pos="2160"/>
        </w:tabs>
        <w:ind w:left="2160" w:hanging="360"/>
      </w:pPr>
      <w:rPr>
        <w:rFonts w:ascii="Symbol" w:hAnsi="Symbol" w:hint="default"/>
        <w:sz w:val="20"/>
      </w:rPr>
    </w:lvl>
    <w:lvl w:ilvl="2" w:tentative="1">
      <w:numFmt w:val="bullet"/>
      <w:lvlText w:val=""/>
      <w:lvlJc w:val="left"/>
      <w:pPr>
        <w:tabs>
          <w:tab w:val="num" w:pos="2880"/>
        </w:tabs>
        <w:ind w:left="2880" w:hanging="360"/>
      </w:pPr>
      <w:rPr>
        <w:rFonts w:ascii="Symbol" w:hAnsi="Symbol" w:hint="default"/>
        <w:sz w:val="20"/>
      </w:rPr>
    </w:lvl>
    <w:lvl w:ilvl="3" w:tentative="1">
      <w:numFmt w:val="bullet"/>
      <w:lvlText w:val=""/>
      <w:lvlJc w:val="left"/>
      <w:pPr>
        <w:tabs>
          <w:tab w:val="num" w:pos="3600"/>
        </w:tabs>
        <w:ind w:left="3600" w:hanging="360"/>
      </w:pPr>
      <w:rPr>
        <w:rFonts w:ascii="Symbol" w:hAnsi="Symbol" w:hint="default"/>
        <w:sz w:val="20"/>
      </w:rPr>
    </w:lvl>
    <w:lvl w:ilvl="4" w:tentative="1">
      <w:numFmt w:val="bullet"/>
      <w:lvlText w:val=""/>
      <w:lvlJc w:val="left"/>
      <w:pPr>
        <w:tabs>
          <w:tab w:val="num" w:pos="4320"/>
        </w:tabs>
        <w:ind w:left="4320" w:hanging="360"/>
      </w:pPr>
      <w:rPr>
        <w:rFonts w:ascii="Symbol" w:hAnsi="Symbol" w:hint="default"/>
        <w:sz w:val="20"/>
      </w:rPr>
    </w:lvl>
    <w:lvl w:ilvl="5" w:tentative="1">
      <w:numFmt w:val="bullet"/>
      <w:lvlText w:val=""/>
      <w:lvlJc w:val="left"/>
      <w:pPr>
        <w:tabs>
          <w:tab w:val="num" w:pos="5040"/>
        </w:tabs>
        <w:ind w:left="5040" w:hanging="360"/>
      </w:pPr>
      <w:rPr>
        <w:rFonts w:ascii="Symbol" w:hAnsi="Symbol" w:hint="default"/>
        <w:sz w:val="20"/>
      </w:rPr>
    </w:lvl>
    <w:lvl w:ilvl="6" w:tentative="1">
      <w:numFmt w:val="bullet"/>
      <w:lvlText w:val=""/>
      <w:lvlJc w:val="left"/>
      <w:pPr>
        <w:tabs>
          <w:tab w:val="num" w:pos="5760"/>
        </w:tabs>
        <w:ind w:left="5760" w:hanging="360"/>
      </w:pPr>
      <w:rPr>
        <w:rFonts w:ascii="Symbol" w:hAnsi="Symbol" w:hint="default"/>
        <w:sz w:val="20"/>
      </w:rPr>
    </w:lvl>
    <w:lvl w:ilvl="7" w:tentative="1">
      <w:numFmt w:val="bullet"/>
      <w:lvlText w:val=""/>
      <w:lvlJc w:val="left"/>
      <w:pPr>
        <w:tabs>
          <w:tab w:val="num" w:pos="6480"/>
        </w:tabs>
        <w:ind w:left="6480" w:hanging="360"/>
      </w:pPr>
      <w:rPr>
        <w:rFonts w:ascii="Symbol" w:hAnsi="Symbol" w:hint="default"/>
        <w:sz w:val="20"/>
      </w:rPr>
    </w:lvl>
    <w:lvl w:ilvl="8" w:tentative="1">
      <w:numFmt w:val="bullet"/>
      <w:lvlText w:val=""/>
      <w:lvlJc w:val="left"/>
      <w:pPr>
        <w:tabs>
          <w:tab w:val="num" w:pos="7200"/>
        </w:tabs>
        <w:ind w:left="7200" w:hanging="360"/>
      </w:pPr>
      <w:rPr>
        <w:rFonts w:ascii="Symbol" w:hAnsi="Symbol" w:hint="default"/>
        <w:sz w:val="20"/>
      </w:rPr>
    </w:lvl>
  </w:abstractNum>
  <w:abstractNum w:abstractNumId="6" w15:restartNumberingAfterBreak="0">
    <w:nsid w:val="1BE83F39"/>
    <w:multiLevelType w:val="hybridMultilevel"/>
    <w:tmpl w:val="E4701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63311"/>
    <w:multiLevelType w:val="hybridMultilevel"/>
    <w:tmpl w:val="38E8A0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FCA453B"/>
    <w:multiLevelType w:val="hybridMultilevel"/>
    <w:tmpl w:val="B5E222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65036C"/>
    <w:multiLevelType w:val="multilevel"/>
    <w:tmpl w:val="931C170A"/>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b/>
        <w:bCs/>
        <w:sz w:val="22"/>
        <w:szCs w:val="22"/>
      </w:rPr>
    </w:lvl>
    <w:lvl w:ilvl="2">
      <w:start w:val="1"/>
      <w:numFmt w:val="lowerLetter"/>
      <w:lvlText w:val="%3)"/>
      <w:lvlJc w:val="left"/>
      <w:pPr>
        <w:ind w:left="2160" w:hanging="360"/>
      </w:pPr>
      <w:rPr>
        <w:rFonts w:hint="default"/>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DB3474"/>
    <w:multiLevelType w:val="hybridMultilevel"/>
    <w:tmpl w:val="DD909B5A"/>
    <w:lvl w:ilvl="0" w:tplc="C91E2506">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6976CB"/>
    <w:multiLevelType w:val="hybridMultilevel"/>
    <w:tmpl w:val="885EFF0E"/>
    <w:lvl w:ilvl="0" w:tplc="E82EB166">
      <w:start w:val="1"/>
      <w:numFmt w:val="lowerLetter"/>
      <w:lvlText w:val="%1."/>
      <w:lvlJc w:val="left"/>
      <w:pPr>
        <w:ind w:left="720" w:hanging="360"/>
      </w:pPr>
      <w:rPr>
        <w:rFonts w:asciiTheme="minorHAnsi" w:hAnsiTheme="minorHAnsi" w:cs="Times New Roman"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0FB4D5A"/>
    <w:multiLevelType w:val="hybridMultilevel"/>
    <w:tmpl w:val="5D40BBA2"/>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start w:val="1"/>
      <w:numFmt w:val="bullet"/>
      <w:lvlText w:val=""/>
      <w:lvlJc w:val="left"/>
      <w:pPr>
        <w:ind w:left="2226" w:hanging="360"/>
      </w:pPr>
      <w:rPr>
        <w:rFonts w:ascii="Wingdings" w:hAnsi="Wingdings" w:hint="default"/>
      </w:rPr>
    </w:lvl>
    <w:lvl w:ilvl="3" w:tplc="08090001">
      <w:start w:val="1"/>
      <w:numFmt w:val="bullet"/>
      <w:lvlText w:val=""/>
      <w:lvlJc w:val="left"/>
      <w:pPr>
        <w:ind w:left="2946" w:hanging="360"/>
      </w:pPr>
      <w:rPr>
        <w:rFonts w:ascii="Symbol" w:hAnsi="Symbol" w:hint="default"/>
      </w:rPr>
    </w:lvl>
    <w:lvl w:ilvl="4" w:tplc="08090003">
      <w:start w:val="1"/>
      <w:numFmt w:val="bullet"/>
      <w:lvlText w:val="o"/>
      <w:lvlJc w:val="left"/>
      <w:pPr>
        <w:ind w:left="3666" w:hanging="360"/>
      </w:pPr>
      <w:rPr>
        <w:rFonts w:ascii="Courier New" w:hAnsi="Courier New" w:cs="Courier New" w:hint="default"/>
      </w:rPr>
    </w:lvl>
    <w:lvl w:ilvl="5" w:tplc="08090005">
      <w:start w:val="1"/>
      <w:numFmt w:val="bullet"/>
      <w:lvlText w:val=""/>
      <w:lvlJc w:val="left"/>
      <w:pPr>
        <w:ind w:left="4386" w:hanging="360"/>
      </w:pPr>
      <w:rPr>
        <w:rFonts w:ascii="Wingdings" w:hAnsi="Wingdings" w:hint="default"/>
      </w:rPr>
    </w:lvl>
    <w:lvl w:ilvl="6" w:tplc="08090001">
      <w:start w:val="1"/>
      <w:numFmt w:val="bullet"/>
      <w:lvlText w:val=""/>
      <w:lvlJc w:val="left"/>
      <w:pPr>
        <w:ind w:left="5106" w:hanging="360"/>
      </w:pPr>
      <w:rPr>
        <w:rFonts w:ascii="Symbol" w:hAnsi="Symbol" w:hint="default"/>
      </w:rPr>
    </w:lvl>
    <w:lvl w:ilvl="7" w:tplc="08090003">
      <w:start w:val="1"/>
      <w:numFmt w:val="bullet"/>
      <w:lvlText w:val="o"/>
      <w:lvlJc w:val="left"/>
      <w:pPr>
        <w:ind w:left="5826" w:hanging="360"/>
      </w:pPr>
      <w:rPr>
        <w:rFonts w:ascii="Courier New" w:hAnsi="Courier New" w:cs="Courier New" w:hint="default"/>
      </w:rPr>
    </w:lvl>
    <w:lvl w:ilvl="8" w:tplc="08090005">
      <w:start w:val="1"/>
      <w:numFmt w:val="bullet"/>
      <w:lvlText w:val=""/>
      <w:lvlJc w:val="left"/>
      <w:pPr>
        <w:ind w:left="6546" w:hanging="360"/>
      </w:pPr>
      <w:rPr>
        <w:rFonts w:ascii="Wingdings" w:hAnsi="Wingdings" w:hint="default"/>
      </w:rPr>
    </w:lvl>
  </w:abstractNum>
  <w:abstractNum w:abstractNumId="13" w15:restartNumberingAfterBreak="0">
    <w:nsid w:val="35F95E31"/>
    <w:multiLevelType w:val="hybridMultilevel"/>
    <w:tmpl w:val="AE5A2BE0"/>
    <w:lvl w:ilvl="0" w:tplc="9182B15C">
      <w:start w:val="1"/>
      <w:numFmt w:val="bullet"/>
      <w:lvlText w:val="-"/>
      <w:lvlJc w:val="left"/>
      <w:pPr>
        <w:tabs>
          <w:tab w:val="num" w:pos="360"/>
        </w:tabs>
        <w:ind w:left="360" w:hanging="360"/>
      </w:pPr>
      <w:rPr>
        <w:rFonts w:ascii="Courier New" w:hAnsi="Courier New" w:cs="Times New Roman" w:hint="default"/>
      </w:rPr>
    </w:lvl>
    <w:lvl w:ilvl="1" w:tplc="04090003">
      <w:start w:val="1"/>
      <w:numFmt w:val="bullet"/>
      <w:lvlText w:val="o"/>
      <w:lvlJc w:val="left"/>
      <w:pPr>
        <w:tabs>
          <w:tab w:val="num" w:pos="-60"/>
        </w:tabs>
        <w:ind w:left="-60" w:hanging="360"/>
      </w:pPr>
      <w:rPr>
        <w:rFonts w:ascii="Courier New" w:hAnsi="Courier New" w:cs="Courier New" w:hint="default"/>
      </w:rPr>
    </w:lvl>
    <w:lvl w:ilvl="2" w:tplc="04090005">
      <w:start w:val="1"/>
      <w:numFmt w:val="bullet"/>
      <w:lvlText w:val=""/>
      <w:lvlJc w:val="left"/>
      <w:pPr>
        <w:tabs>
          <w:tab w:val="num" w:pos="660"/>
        </w:tabs>
        <w:ind w:left="660" w:hanging="360"/>
      </w:pPr>
      <w:rPr>
        <w:rFonts w:ascii="Wingdings" w:hAnsi="Wingdings" w:hint="default"/>
      </w:rPr>
    </w:lvl>
    <w:lvl w:ilvl="3" w:tplc="04090001">
      <w:start w:val="1"/>
      <w:numFmt w:val="bullet"/>
      <w:lvlText w:val=""/>
      <w:lvlJc w:val="left"/>
      <w:pPr>
        <w:tabs>
          <w:tab w:val="num" w:pos="1380"/>
        </w:tabs>
        <w:ind w:left="1380" w:hanging="360"/>
      </w:pPr>
      <w:rPr>
        <w:rFonts w:ascii="Symbol" w:hAnsi="Symbol" w:hint="default"/>
      </w:rPr>
    </w:lvl>
    <w:lvl w:ilvl="4" w:tplc="04090003">
      <w:start w:val="1"/>
      <w:numFmt w:val="bullet"/>
      <w:lvlText w:val="o"/>
      <w:lvlJc w:val="left"/>
      <w:pPr>
        <w:tabs>
          <w:tab w:val="num" w:pos="2100"/>
        </w:tabs>
        <w:ind w:left="2100" w:hanging="360"/>
      </w:pPr>
      <w:rPr>
        <w:rFonts w:ascii="Courier New" w:hAnsi="Courier New" w:cs="Courier New" w:hint="default"/>
      </w:rPr>
    </w:lvl>
    <w:lvl w:ilvl="5" w:tplc="04090005">
      <w:start w:val="1"/>
      <w:numFmt w:val="bullet"/>
      <w:lvlText w:val=""/>
      <w:lvlJc w:val="left"/>
      <w:pPr>
        <w:tabs>
          <w:tab w:val="num" w:pos="2820"/>
        </w:tabs>
        <w:ind w:left="2820" w:hanging="360"/>
      </w:pPr>
      <w:rPr>
        <w:rFonts w:ascii="Wingdings" w:hAnsi="Wingdings" w:hint="default"/>
      </w:rPr>
    </w:lvl>
    <w:lvl w:ilvl="6" w:tplc="04090001">
      <w:start w:val="1"/>
      <w:numFmt w:val="bullet"/>
      <w:lvlText w:val=""/>
      <w:lvlJc w:val="left"/>
      <w:pPr>
        <w:tabs>
          <w:tab w:val="num" w:pos="3540"/>
        </w:tabs>
        <w:ind w:left="3540" w:hanging="360"/>
      </w:pPr>
      <w:rPr>
        <w:rFonts w:ascii="Symbol" w:hAnsi="Symbol" w:hint="default"/>
      </w:rPr>
    </w:lvl>
    <w:lvl w:ilvl="7" w:tplc="04090003">
      <w:start w:val="1"/>
      <w:numFmt w:val="bullet"/>
      <w:lvlText w:val="o"/>
      <w:lvlJc w:val="left"/>
      <w:pPr>
        <w:tabs>
          <w:tab w:val="num" w:pos="4260"/>
        </w:tabs>
        <w:ind w:left="4260" w:hanging="360"/>
      </w:pPr>
      <w:rPr>
        <w:rFonts w:ascii="Courier New" w:hAnsi="Courier New" w:cs="Courier New" w:hint="default"/>
      </w:rPr>
    </w:lvl>
    <w:lvl w:ilvl="8" w:tplc="04090005">
      <w:start w:val="1"/>
      <w:numFmt w:val="bullet"/>
      <w:lvlText w:val=""/>
      <w:lvlJc w:val="left"/>
      <w:pPr>
        <w:tabs>
          <w:tab w:val="num" w:pos="4980"/>
        </w:tabs>
        <w:ind w:left="4980" w:hanging="360"/>
      </w:pPr>
      <w:rPr>
        <w:rFonts w:ascii="Wingdings" w:hAnsi="Wingdings" w:hint="default"/>
      </w:rPr>
    </w:lvl>
  </w:abstractNum>
  <w:abstractNum w:abstractNumId="14" w15:restartNumberingAfterBreak="0">
    <w:nsid w:val="3703260F"/>
    <w:multiLevelType w:val="hybridMultilevel"/>
    <w:tmpl w:val="B08EAFCA"/>
    <w:lvl w:ilvl="0" w:tplc="7B6C3BE8">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32615B"/>
    <w:multiLevelType w:val="hybridMultilevel"/>
    <w:tmpl w:val="E822D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8065B3"/>
    <w:multiLevelType w:val="hybridMultilevel"/>
    <w:tmpl w:val="B5C86E02"/>
    <w:lvl w:ilvl="0" w:tplc="4D5C415A">
      <w:numFmt w:val="bullet"/>
      <w:lvlText w:val="•"/>
      <w:lvlJc w:val="left"/>
      <w:pPr>
        <w:ind w:left="1080" w:hanging="360"/>
      </w:pPr>
      <w:rPr>
        <w:rFonts w:ascii="Calibri" w:eastAsiaTheme="minorEastAsia" w:hAnsi="Calibri"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7" w15:restartNumberingAfterBreak="0">
    <w:nsid w:val="4FD72344"/>
    <w:multiLevelType w:val="hybridMultilevel"/>
    <w:tmpl w:val="F278875A"/>
    <w:lvl w:ilvl="0" w:tplc="A5A41A80">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B26735"/>
    <w:multiLevelType w:val="hybridMultilevel"/>
    <w:tmpl w:val="52669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A535F4D"/>
    <w:multiLevelType w:val="multilevel"/>
    <w:tmpl w:val="ABAA48B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5AEA7DA1"/>
    <w:multiLevelType w:val="hybridMultilevel"/>
    <w:tmpl w:val="12549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EE2465"/>
    <w:multiLevelType w:val="multilevel"/>
    <w:tmpl w:val="2A8A73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bCs/>
        <w:sz w:val="22"/>
        <w:szCs w:val="22"/>
      </w:rPr>
    </w:lvl>
    <w:lvl w:ilvl="2">
      <w:start w:val="1"/>
      <w:numFmt w:val="lowerLetter"/>
      <w:lvlText w:val="%3)"/>
      <w:lvlJc w:val="left"/>
      <w:pPr>
        <w:ind w:left="2160" w:hanging="360"/>
      </w:pPr>
      <w:rPr>
        <w:rFonts w:hint="default"/>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4782E77"/>
    <w:multiLevelType w:val="multilevel"/>
    <w:tmpl w:val="BC26B344"/>
    <w:lvl w:ilvl="0">
      <w:start w:val="1"/>
      <w:numFmt w:val="decimal"/>
      <w:lvlText w:val="%1."/>
      <w:lvlJc w:val="left"/>
      <w:pPr>
        <w:tabs>
          <w:tab w:val="num" w:pos="720"/>
        </w:tabs>
        <w:ind w:left="720" w:hanging="360"/>
      </w:pPr>
      <w:rPr>
        <w:rFonts w:asciiTheme="minorHAnsi" w:hAnsiTheme="minorHAnsi" w:cstheme="minorHAnsi" w:hint="default"/>
        <w:sz w:val="28"/>
        <w:szCs w:val="28"/>
      </w:rPr>
    </w:lvl>
    <w:lvl w:ilvl="1">
      <w:start w:val="1"/>
      <w:numFmt w:val="decimal"/>
      <w:lvlText w:val="%2)"/>
      <w:lvlJc w:val="left"/>
      <w:pPr>
        <w:ind w:left="1440" w:hanging="360"/>
      </w:pPr>
      <w:rPr>
        <w:rFonts w:hint="default"/>
        <w:b/>
        <w:bCs/>
        <w:sz w:val="22"/>
        <w:szCs w:val="22"/>
      </w:rPr>
    </w:lvl>
    <w:lvl w:ilvl="2">
      <w:start w:val="1"/>
      <w:numFmt w:val="lowerLetter"/>
      <w:lvlText w:val="%3)"/>
      <w:lvlJc w:val="left"/>
      <w:pPr>
        <w:ind w:left="2160" w:hanging="360"/>
      </w:pPr>
      <w:rPr>
        <w:rFonts w:hint="default"/>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0927E7"/>
    <w:multiLevelType w:val="hybridMultilevel"/>
    <w:tmpl w:val="E94EE1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18A7F55"/>
    <w:multiLevelType w:val="hybridMultilevel"/>
    <w:tmpl w:val="928A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C26B83"/>
    <w:multiLevelType w:val="hybridMultilevel"/>
    <w:tmpl w:val="BFD62C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2D53077"/>
    <w:multiLevelType w:val="hybridMultilevel"/>
    <w:tmpl w:val="E520A324"/>
    <w:lvl w:ilvl="0" w:tplc="08090019">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721330"/>
    <w:multiLevelType w:val="hybridMultilevel"/>
    <w:tmpl w:val="2E025EF6"/>
    <w:lvl w:ilvl="0" w:tplc="002E6604">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77DC78F3"/>
    <w:multiLevelType w:val="hybridMultilevel"/>
    <w:tmpl w:val="F8D4724A"/>
    <w:lvl w:ilvl="0" w:tplc="BEBAA02A">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907C24"/>
    <w:multiLevelType w:val="hybridMultilevel"/>
    <w:tmpl w:val="12BE6E44"/>
    <w:lvl w:ilvl="0" w:tplc="B582DC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006929">
    <w:abstractNumId w:val="3"/>
  </w:num>
  <w:num w:numId="2" w16cid:durableId="340553070">
    <w:abstractNumId w:val="17"/>
  </w:num>
  <w:num w:numId="3" w16cid:durableId="1375423778">
    <w:abstractNumId w:val="10"/>
  </w:num>
  <w:num w:numId="4" w16cid:durableId="1958871837">
    <w:abstractNumId w:val="19"/>
  </w:num>
  <w:num w:numId="5" w16cid:durableId="1907180368">
    <w:abstractNumId w:val="1"/>
  </w:num>
  <w:num w:numId="6" w16cid:durableId="1544246564">
    <w:abstractNumId w:val="13"/>
  </w:num>
  <w:num w:numId="7" w16cid:durableId="187303675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7943787">
    <w:abstractNumId w:val="12"/>
  </w:num>
  <w:num w:numId="9" w16cid:durableId="1074086913">
    <w:abstractNumId w:val="15"/>
  </w:num>
  <w:num w:numId="10" w16cid:durableId="638995929">
    <w:abstractNumId w:val="23"/>
  </w:num>
  <w:num w:numId="11" w16cid:durableId="68158841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30355410">
    <w:abstractNumId w:val="18"/>
  </w:num>
  <w:num w:numId="13" w16cid:durableId="105273410">
    <w:abstractNumId w:val="11"/>
  </w:num>
  <w:num w:numId="14" w16cid:durableId="173880412">
    <w:abstractNumId w:val="2"/>
  </w:num>
  <w:num w:numId="15" w16cid:durableId="320934584">
    <w:abstractNumId w:val="16"/>
  </w:num>
  <w:num w:numId="16" w16cid:durableId="1493791275">
    <w:abstractNumId w:val="21"/>
  </w:num>
  <w:num w:numId="17" w16cid:durableId="1381437529">
    <w:abstractNumId w:val="5"/>
  </w:num>
  <w:num w:numId="18" w16cid:durableId="499589021">
    <w:abstractNumId w:val="25"/>
  </w:num>
  <w:num w:numId="19" w16cid:durableId="1135676875">
    <w:abstractNumId w:val="22"/>
  </w:num>
  <w:num w:numId="20" w16cid:durableId="1792892080">
    <w:abstractNumId w:val="9"/>
  </w:num>
  <w:num w:numId="21" w16cid:durableId="987518188">
    <w:abstractNumId w:val="7"/>
  </w:num>
  <w:num w:numId="22" w16cid:durableId="1345203815">
    <w:abstractNumId w:val="24"/>
  </w:num>
  <w:num w:numId="23" w16cid:durableId="306864441">
    <w:abstractNumId w:val="6"/>
  </w:num>
  <w:num w:numId="24" w16cid:durableId="1639214863">
    <w:abstractNumId w:val="20"/>
  </w:num>
  <w:num w:numId="25" w16cid:durableId="444735595">
    <w:abstractNumId w:val="28"/>
  </w:num>
  <w:num w:numId="26" w16cid:durableId="1084031815">
    <w:abstractNumId w:val="14"/>
  </w:num>
  <w:num w:numId="27" w16cid:durableId="1084572321">
    <w:abstractNumId w:val="29"/>
  </w:num>
  <w:num w:numId="28" w16cid:durableId="909848858">
    <w:abstractNumId w:val="4"/>
  </w:num>
  <w:num w:numId="29" w16cid:durableId="696321858">
    <w:abstractNumId w:val="8"/>
  </w:num>
  <w:num w:numId="30" w16cid:durableId="1234704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748"/>
    <w:rsid w:val="00014F73"/>
    <w:rsid w:val="00057031"/>
    <w:rsid w:val="000627C7"/>
    <w:rsid w:val="000726C1"/>
    <w:rsid w:val="00072EEA"/>
    <w:rsid w:val="00081C4A"/>
    <w:rsid w:val="0008445A"/>
    <w:rsid w:val="00094288"/>
    <w:rsid w:val="00094451"/>
    <w:rsid w:val="000E4BD8"/>
    <w:rsid w:val="000F5E95"/>
    <w:rsid w:val="001029DE"/>
    <w:rsid w:val="00123CD5"/>
    <w:rsid w:val="00172A2D"/>
    <w:rsid w:val="001802C5"/>
    <w:rsid w:val="001B7717"/>
    <w:rsid w:val="001F37AD"/>
    <w:rsid w:val="00231423"/>
    <w:rsid w:val="00233667"/>
    <w:rsid w:val="0025423D"/>
    <w:rsid w:val="00265E6B"/>
    <w:rsid w:val="002761E7"/>
    <w:rsid w:val="002A00B6"/>
    <w:rsid w:val="002D3539"/>
    <w:rsid w:val="002F1519"/>
    <w:rsid w:val="00313D45"/>
    <w:rsid w:val="00320DF0"/>
    <w:rsid w:val="00325824"/>
    <w:rsid w:val="00331C55"/>
    <w:rsid w:val="003415B3"/>
    <w:rsid w:val="00347A9E"/>
    <w:rsid w:val="003514AF"/>
    <w:rsid w:val="003964BE"/>
    <w:rsid w:val="00396E1D"/>
    <w:rsid w:val="003A656C"/>
    <w:rsid w:val="003D5539"/>
    <w:rsid w:val="003E0B45"/>
    <w:rsid w:val="003E13A2"/>
    <w:rsid w:val="004011D2"/>
    <w:rsid w:val="00407B79"/>
    <w:rsid w:val="00411193"/>
    <w:rsid w:val="004234CD"/>
    <w:rsid w:val="00425AF1"/>
    <w:rsid w:val="00427441"/>
    <w:rsid w:val="00430F70"/>
    <w:rsid w:val="00461679"/>
    <w:rsid w:val="00465E09"/>
    <w:rsid w:val="0048018C"/>
    <w:rsid w:val="0048353D"/>
    <w:rsid w:val="00484255"/>
    <w:rsid w:val="00491212"/>
    <w:rsid w:val="0049362A"/>
    <w:rsid w:val="004C4139"/>
    <w:rsid w:val="004E74E2"/>
    <w:rsid w:val="004F3934"/>
    <w:rsid w:val="00503091"/>
    <w:rsid w:val="00506E31"/>
    <w:rsid w:val="00532F02"/>
    <w:rsid w:val="005444F0"/>
    <w:rsid w:val="00546F3F"/>
    <w:rsid w:val="00553924"/>
    <w:rsid w:val="00554D08"/>
    <w:rsid w:val="00567EFC"/>
    <w:rsid w:val="00592CC7"/>
    <w:rsid w:val="005951F5"/>
    <w:rsid w:val="005A0532"/>
    <w:rsid w:val="005A1068"/>
    <w:rsid w:val="005B035A"/>
    <w:rsid w:val="005C00F8"/>
    <w:rsid w:val="005D55A0"/>
    <w:rsid w:val="005D5E4B"/>
    <w:rsid w:val="005E75AD"/>
    <w:rsid w:val="005F4FBD"/>
    <w:rsid w:val="00626FE2"/>
    <w:rsid w:val="00644FCB"/>
    <w:rsid w:val="00652537"/>
    <w:rsid w:val="00656FAD"/>
    <w:rsid w:val="00660E8F"/>
    <w:rsid w:val="00681788"/>
    <w:rsid w:val="00697E30"/>
    <w:rsid w:val="006A559D"/>
    <w:rsid w:val="006D3AFC"/>
    <w:rsid w:val="006F1003"/>
    <w:rsid w:val="0070371B"/>
    <w:rsid w:val="00723B39"/>
    <w:rsid w:val="0073381E"/>
    <w:rsid w:val="0073744A"/>
    <w:rsid w:val="00741DE1"/>
    <w:rsid w:val="00765664"/>
    <w:rsid w:val="0076663E"/>
    <w:rsid w:val="00773B8E"/>
    <w:rsid w:val="00775ED1"/>
    <w:rsid w:val="007834B4"/>
    <w:rsid w:val="00787BBC"/>
    <w:rsid w:val="0079464B"/>
    <w:rsid w:val="007D2883"/>
    <w:rsid w:val="007E530B"/>
    <w:rsid w:val="007E5460"/>
    <w:rsid w:val="007F02DC"/>
    <w:rsid w:val="008720A3"/>
    <w:rsid w:val="00896F31"/>
    <w:rsid w:val="008A24D6"/>
    <w:rsid w:val="008B5F14"/>
    <w:rsid w:val="008C1968"/>
    <w:rsid w:val="008C53FA"/>
    <w:rsid w:val="008E2112"/>
    <w:rsid w:val="008E4D10"/>
    <w:rsid w:val="008F55CD"/>
    <w:rsid w:val="009023E7"/>
    <w:rsid w:val="009819A2"/>
    <w:rsid w:val="00987B1C"/>
    <w:rsid w:val="009A3C7F"/>
    <w:rsid w:val="009D1A24"/>
    <w:rsid w:val="009D613A"/>
    <w:rsid w:val="009F2F9C"/>
    <w:rsid w:val="009F3BEC"/>
    <w:rsid w:val="009F77B2"/>
    <w:rsid w:val="009F7D83"/>
    <w:rsid w:val="00A008E5"/>
    <w:rsid w:val="00A023F3"/>
    <w:rsid w:val="00A11DEF"/>
    <w:rsid w:val="00A17B01"/>
    <w:rsid w:val="00A32D67"/>
    <w:rsid w:val="00A45255"/>
    <w:rsid w:val="00A5405D"/>
    <w:rsid w:val="00A60E6F"/>
    <w:rsid w:val="00A6749F"/>
    <w:rsid w:val="00A706B9"/>
    <w:rsid w:val="00AA0C50"/>
    <w:rsid w:val="00AA3FCC"/>
    <w:rsid w:val="00AB6FB7"/>
    <w:rsid w:val="00AC249D"/>
    <w:rsid w:val="00B050AE"/>
    <w:rsid w:val="00B10C16"/>
    <w:rsid w:val="00B440C9"/>
    <w:rsid w:val="00B51699"/>
    <w:rsid w:val="00B53BAC"/>
    <w:rsid w:val="00B71547"/>
    <w:rsid w:val="00B73B2F"/>
    <w:rsid w:val="00B8061C"/>
    <w:rsid w:val="00B957BE"/>
    <w:rsid w:val="00BA4E93"/>
    <w:rsid w:val="00BB0FB0"/>
    <w:rsid w:val="00BB506E"/>
    <w:rsid w:val="00BC2BC0"/>
    <w:rsid w:val="00BC61CC"/>
    <w:rsid w:val="00BC6F92"/>
    <w:rsid w:val="00BD5EBF"/>
    <w:rsid w:val="00BE6299"/>
    <w:rsid w:val="00BF3A00"/>
    <w:rsid w:val="00BF3CE1"/>
    <w:rsid w:val="00C25B60"/>
    <w:rsid w:val="00C357F8"/>
    <w:rsid w:val="00C40716"/>
    <w:rsid w:val="00C63845"/>
    <w:rsid w:val="00C66609"/>
    <w:rsid w:val="00C77909"/>
    <w:rsid w:val="00C83C07"/>
    <w:rsid w:val="00C84C71"/>
    <w:rsid w:val="00C8700F"/>
    <w:rsid w:val="00CE6988"/>
    <w:rsid w:val="00D03747"/>
    <w:rsid w:val="00D549DA"/>
    <w:rsid w:val="00D7265A"/>
    <w:rsid w:val="00D7718C"/>
    <w:rsid w:val="00D939F0"/>
    <w:rsid w:val="00D94BCC"/>
    <w:rsid w:val="00D96579"/>
    <w:rsid w:val="00DA753D"/>
    <w:rsid w:val="00DB3A60"/>
    <w:rsid w:val="00DE30AD"/>
    <w:rsid w:val="00DF21D7"/>
    <w:rsid w:val="00E47952"/>
    <w:rsid w:val="00E54C3F"/>
    <w:rsid w:val="00E728B8"/>
    <w:rsid w:val="00E77CCF"/>
    <w:rsid w:val="00E77F92"/>
    <w:rsid w:val="00E8047B"/>
    <w:rsid w:val="00E816CB"/>
    <w:rsid w:val="00E93155"/>
    <w:rsid w:val="00EA2BFB"/>
    <w:rsid w:val="00EA4730"/>
    <w:rsid w:val="00EA4D2C"/>
    <w:rsid w:val="00EA56A2"/>
    <w:rsid w:val="00EA6E79"/>
    <w:rsid w:val="00EC07C0"/>
    <w:rsid w:val="00EC2233"/>
    <w:rsid w:val="00EE3157"/>
    <w:rsid w:val="00EF5C46"/>
    <w:rsid w:val="00EF6D83"/>
    <w:rsid w:val="00F036A6"/>
    <w:rsid w:val="00F03BD1"/>
    <w:rsid w:val="00F259AE"/>
    <w:rsid w:val="00F26D2D"/>
    <w:rsid w:val="00F66748"/>
    <w:rsid w:val="00F73028"/>
    <w:rsid w:val="00F73CFA"/>
    <w:rsid w:val="00F8281C"/>
    <w:rsid w:val="00F82C81"/>
    <w:rsid w:val="00F837C5"/>
    <w:rsid w:val="00FA3180"/>
    <w:rsid w:val="00FC2016"/>
    <w:rsid w:val="00FD2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27BC"/>
  <w15:chartTrackingRefBased/>
  <w15:docId w15:val="{D4D1AD05-6926-4FA7-A449-5A10BE977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F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6748"/>
    <w:pPr>
      <w:ind w:left="720"/>
      <w:contextualSpacing/>
    </w:pPr>
  </w:style>
  <w:style w:type="character" w:styleId="Hyperlink">
    <w:name w:val="Hyperlink"/>
    <w:basedOn w:val="DefaultParagraphFont"/>
    <w:uiPriority w:val="99"/>
    <w:unhideWhenUsed/>
    <w:rsid w:val="00EE3157"/>
    <w:rPr>
      <w:color w:val="0000FF"/>
      <w:u w:val="single"/>
    </w:rPr>
  </w:style>
  <w:style w:type="paragraph" w:styleId="NormalWeb">
    <w:name w:val="Normal (Web)"/>
    <w:basedOn w:val="Normal"/>
    <w:uiPriority w:val="99"/>
    <w:unhideWhenUsed/>
    <w:rsid w:val="00506E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1msonormal">
    <w:name w:val="v1msonormal"/>
    <w:basedOn w:val="Normal"/>
    <w:rsid w:val="00D726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locked/>
    <w:rsid w:val="00BD5EBF"/>
    <w:rPr>
      <w:rFonts w:eastAsiaTheme="minorEastAsia"/>
      <w:lang w:val="en-US"/>
    </w:rPr>
  </w:style>
  <w:style w:type="paragraph" w:styleId="NoSpacing">
    <w:name w:val="No Spacing"/>
    <w:link w:val="NoSpacingChar"/>
    <w:uiPriority w:val="1"/>
    <w:qFormat/>
    <w:rsid w:val="00BD5EBF"/>
    <w:pPr>
      <w:spacing w:after="0" w:line="240" w:lineRule="auto"/>
    </w:pPr>
    <w:rPr>
      <w:rFonts w:eastAsiaTheme="minorEastAsia"/>
      <w:lang w:val="en-US"/>
    </w:rPr>
  </w:style>
  <w:style w:type="character" w:styleId="Strong">
    <w:name w:val="Strong"/>
    <w:basedOn w:val="DefaultParagraphFont"/>
    <w:uiPriority w:val="22"/>
    <w:qFormat/>
    <w:rsid w:val="0079464B"/>
    <w:rPr>
      <w:b/>
      <w:bCs/>
    </w:rPr>
  </w:style>
  <w:style w:type="table" w:styleId="TableGrid">
    <w:name w:val="Table Grid"/>
    <w:basedOn w:val="TableNormal"/>
    <w:uiPriority w:val="39"/>
    <w:rsid w:val="00F73C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31C55"/>
    <w:rPr>
      <w:color w:val="605E5C"/>
      <w:shd w:val="clear" w:color="auto" w:fill="E1DFDD"/>
    </w:rPr>
  </w:style>
  <w:style w:type="character" w:customStyle="1" w:styleId="Heading1Char">
    <w:name w:val="Heading 1 Char"/>
    <w:basedOn w:val="DefaultParagraphFont"/>
    <w:link w:val="Heading1"/>
    <w:uiPriority w:val="9"/>
    <w:rsid w:val="00BC6F9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6804">
      <w:bodyDiv w:val="1"/>
      <w:marLeft w:val="0"/>
      <w:marRight w:val="0"/>
      <w:marTop w:val="0"/>
      <w:marBottom w:val="0"/>
      <w:divBdr>
        <w:top w:val="none" w:sz="0" w:space="0" w:color="auto"/>
        <w:left w:val="none" w:sz="0" w:space="0" w:color="auto"/>
        <w:bottom w:val="none" w:sz="0" w:space="0" w:color="auto"/>
        <w:right w:val="none" w:sz="0" w:space="0" w:color="auto"/>
      </w:divBdr>
    </w:div>
    <w:div w:id="388959435">
      <w:bodyDiv w:val="1"/>
      <w:marLeft w:val="0"/>
      <w:marRight w:val="0"/>
      <w:marTop w:val="0"/>
      <w:marBottom w:val="0"/>
      <w:divBdr>
        <w:top w:val="none" w:sz="0" w:space="0" w:color="auto"/>
        <w:left w:val="none" w:sz="0" w:space="0" w:color="auto"/>
        <w:bottom w:val="none" w:sz="0" w:space="0" w:color="auto"/>
        <w:right w:val="none" w:sz="0" w:space="0" w:color="auto"/>
      </w:divBdr>
      <w:divsChild>
        <w:div w:id="1893537590">
          <w:marLeft w:val="0"/>
          <w:marRight w:val="0"/>
          <w:marTop w:val="0"/>
          <w:marBottom w:val="0"/>
          <w:divBdr>
            <w:top w:val="none" w:sz="0" w:space="0" w:color="auto"/>
            <w:left w:val="none" w:sz="0" w:space="0" w:color="auto"/>
            <w:bottom w:val="none" w:sz="0" w:space="0" w:color="auto"/>
            <w:right w:val="none" w:sz="0" w:space="0" w:color="auto"/>
          </w:divBdr>
        </w:div>
        <w:div w:id="58287751">
          <w:marLeft w:val="0"/>
          <w:marRight w:val="0"/>
          <w:marTop w:val="0"/>
          <w:marBottom w:val="0"/>
          <w:divBdr>
            <w:top w:val="none" w:sz="0" w:space="0" w:color="auto"/>
            <w:left w:val="none" w:sz="0" w:space="0" w:color="auto"/>
            <w:bottom w:val="none" w:sz="0" w:space="0" w:color="auto"/>
            <w:right w:val="none" w:sz="0" w:space="0" w:color="auto"/>
          </w:divBdr>
        </w:div>
        <w:div w:id="2083017741">
          <w:marLeft w:val="0"/>
          <w:marRight w:val="0"/>
          <w:marTop w:val="0"/>
          <w:marBottom w:val="0"/>
          <w:divBdr>
            <w:top w:val="none" w:sz="0" w:space="0" w:color="auto"/>
            <w:left w:val="none" w:sz="0" w:space="0" w:color="auto"/>
            <w:bottom w:val="none" w:sz="0" w:space="0" w:color="auto"/>
            <w:right w:val="none" w:sz="0" w:space="0" w:color="auto"/>
          </w:divBdr>
        </w:div>
      </w:divsChild>
    </w:div>
    <w:div w:id="500241163">
      <w:bodyDiv w:val="1"/>
      <w:marLeft w:val="0"/>
      <w:marRight w:val="0"/>
      <w:marTop w:val="0"/>
      <w:marBottom w:val="0"/>
      <w:divBdr>
        <w:top w:val="none" w:sz="0" w:space="0" w:color="auto"/>
        <w:left w:val="none" w:sz="0" w:space="0" w:color="auto"/>
        <w:bottom w:val="none" w:sz="0" w:space="0" w:color="auto"/>
        <w:right w:val="none" w:sz="0" w:space="0" w:color="auto"/>
      </w:divBdr>
      <w:divsChild>
        <w:div w:id="1192720793">
          <w:marLeft w:val="0"/>
          <w:marRight w:val="0"/>
          <w:marTop w:val="0"/>
          <w:marBottom w:val="0"/>
          <w:divBdr>
            <w:top w:val="none" w:sz="0" w:space="0" w:color="auto"/>
            <w:left w:val="none" w:sz="0" w:space="0" w:color="auto"/>
            <w:bottom w:val="none" w:sz="0" w:space="0" w:color="auto"/>
            <w:right w:val="none" w:sz="0" w:space="0" w:color="auto"/>
          </w:divBdr>
        </w:div>
      </w:divsChild>
    </w:div>
    <w:div w:id="677732089">
      <w:bodyDiv w:val="1"/>
      <w:marLeft w:val="0"/>
      <w:marRight w:val="0"/>
      <w:marTop w:val="0"/>
      <w:marBottom w:val="0"/>
      <w:divBdr>
        <w:top w:val="none" w:sz="0" w:space="0" w:color="auto"/>
        <w:left w:val="none" w:sz="0" w:space="0" w:color="auto"/>
        <w:bottom w:val="none" w:sz="0" w:space="0" w:color="auto"/>
        <w:right w:val="none" w:sz="0" w:space="0" w:color="auto"/>
      </w:divBdr>
      <w:divsChild>
        <w:div w:id="1682052779">
          <w:marLeft w:val="0"/>
          <w:marRight w:val="0"/>
          <w:marTop w:val="0"/>
          <w:marBottom w:val="0"/>
          <w:divBdr>
            <w:top w:val="none" w:sz="0" w:space="0" w:color="auto"/>
            <w:left w:val="none" w:sz="0" w:space="0" w:color="auto"/>
            <w:bottom w:val="none" w:sz="0" w:space="0" w:color="auto"/>
            <w:right w:val="none" w:sz="0" w:space="0" w:color="auto"/>
          </w:divBdr>
        </w:div>
      </w:divsChild>
    </w:div>
    <w:div w:id="866718227">
      <w:bodyDiv w:val="1"/>
      <w:marLeft w:val="0"/>
      <w:marRight w:val="0"/>
      <w:marTop w:val="0"/>
      <w:marBottom w:val="0"/>
      <w:divBdr>
        <w:top w:val="none" w:sz="0" w:space="0" w:color="auto"/>
        <w:left w:val="none" w:sz="0" w:space="0" w:color="auto"/>
        <w:bottom w:val="none" w:sz="0" w:space="0" w:color="auto"/>
        <w:right w:val="none" w:sz="0" w:space="0" w:color="auto"/>
      </w:divBdr>
    </w:div>
    <w:div w:id="1250119720">
      <w:bodyDiv w:val="1"/>
      <w:marLeft w:val="0"/>
      <w:marRight w:val="0"/>
      <w:marTop w:val="0"/>
      <w:marBottom w:val="0"/>
      <w:divBdr>
        <w:top w:val="none" w:sz="0" w:space="0" w:color="auto"/>
        <w:left w:val="none" w:sz="0" w:space="0" w:color="auto"/>
        <w:bottom w:val="none" w:sz="0" w:space="0" w:color="auto"/>
        <w:right w:val="none" w:sz="0" w:space="0" w:color="auto"/>
      </w:divBdr>
    </w:div>
    <w:div w:id="1643463659">
      <w:bodyDiv w:val="1"/>
      <w:marLeft w:val="0"/>
      <w:marRight w:val="0"/>
      <w:marTop w:val="0"/>
      <w:marBottom w:val="0"/>
      <w:divBdr>
        <w:top w:val="none" w:sz="0" w:space="0" w:color="auto"/>
        <w:left w:val="none" w:sz="0" w:space="0" w:color="auto"/>
        <w:bottom w:val="none" w:sz="0" w:space="0" w:color="auto"/>
        <w:right w:val="none" w:sz="0" w:space="0" w:color="auto"/>
      </w:divBdr>
    </w:div>
    <w:div w:id="1705213400">
      <w:bodyDiv w:val="1"/>
      <w:marLeft w:val="0"/>
      <w:marRight w:val="0"/>
      <w:marTop w:val="0"/>
      <w:marBottom w:val="0"/>
      <w:divBdr>
        <w:top w:val="none" w:sz="0" w:space="0" w:color="auto"/>
        <w:left w:val="none" w:sz="0" w:space="0" w:color="auto"/>
        <w:bottom w:val="none" w:sz="0" w:space="0" w:color="auto"/>
        <w:right w:val="none" w:sz="0" w:space="0" w:color="auto"/>
      </w:divBdr>
    </w:div>
    <w:div w:id="1767117396">
      <w:bodyDiv w:val="1"/>
      <w:marLeft w:val="0"/>
      <w:marRight w:val="0"/>
      <w:marTop w:val="0"/>
      <w:marBottom w:val="0"/>
      <w:divBdr>
        <w:top w:val="none" w:sz="0" w:space="0" w:color="auto"/>
        <w:left w:val="none" w:sz="0" w:space="0" w:color="auto"/>
        <w:bottom w:val="none" w:sz="0" w:space="0" w:color="auto"/>
        <w:right w:val="none" w:sz="0" w:space="0" w:color="auto"/>
      </w:divBdr>
    </w:div>
    <w:div w:id="1812748875">
      <w:bodyDiv w:val="1"/>
      <w:marLeft w:val="0"/>
      <w:marRight w:val="0"/>
      <w:marTop w:val="0"/>
      <w:marBottom w:val="0"/>
      <w:divBdr>
        <w:top w:val="none" w:sz="0" w:space="0" w:color="auto"/>
        <w:left w:val="none" w:sz="0" w:space="0" w:color="auto"/>
        <w:bottom w:val="none" w:sz="0" w:space="0" w:color="auto"/>
        <w:right w:val="none" w:sz="0" w:space="0" w:color="auto"/>
      </w:divBdr>
    </w:div>
    <w:div w:id="2032217982">
      <w:bodyDiv w:val="1"/>
      <w:marLeft w:val="0"/>
      <w:marRight w:val="0"/>
      <w:marTop w:val="0"/>
      <w:marBottom w:val="0"/>
      <w:divBdr>
        <w:top w:val="none" w:sz="0" w:space="0" w:color="auto"/>
        <w:left w:val="none" w:sz="0" w:space="0" w:color="auto"/>
        <w:bottom w:val="none" w:sz="0" w:space="0" w:color="auto"/>
        <w:right w:val="none" w:sz="0" w:space="0" w:color="auto"/>
      </w:divBdr>
    </w:div>
    <w:div w:id="209697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gap-analysis-template/" TargetMode="External"/><Relationship Id="rId13" Type="http://schemas.openxmlformats.org/officeDocument/2006/relationships/hyperlink" Target="https://gov.wales/sites/default/files/publications/2019-10/healthy-weight-healthy-wales_0.pdf" TargetMode="External"/><Relationship Id="rId3" Type="http://schemas.openxmlformats.org/officeDocument/2006/relationships/settings" Target="settings.xml"/><Relationship Id="rId7" Type="http://schemas.openxmlformats.org/officeDocument/2006/relationships/hyperlink" Target="https://www.local.gov.uk/sites/default/files/documents/pas-options-appraisal-wor-7f5.pdf" TargetMode="External"/><Relationship Id="rId12" Type="http://schemas.openxmlformats.org/officeDocument/2006/relationships/hyperlink" Target="https://www.rcpch.ac.uk/news-events/news/rcpch-comments-welsh-governments-healthy-weight-healthy-wales-delivery-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hcw.nhs.wales/systems-and-services/secondary-care/welsh-clinical-portal/" TargetMode="External"/><Relationship Id="rId11" Type="http://schemas.openxmlformats.org/officeDocument/2006/relationships/hyperlink" Target="https://www.rcpch.ac.uk/resources/growth-charts" TargetMode="External"/><Relationship Id="rId5" Type="http://schemas.openxmlformats.org/officeDocument/2006/relationships/hyperlink" Target="https://assets.publishing.service.gov.uk/government/uploads/system/uploads/attachment_data/file/167998/Health_Child_Programme.pdf" TargetMode="External"/><Relationship Id="rId15" Type="http://schemas.openxmlformats.org/officeDocument/2006/relationships/hyperlink" Target="http://dx.doi.org/10.1136/archdischild-2015-308599.263" TargetMode="External"/><Relationship Id="rId10" Type="http://schemas.openxmlformats.org/officeDocument/2006/relationships/hyperlink" Target="https://phw.nhs.wales/services-and-teams/child-measurement-programme/cmp-2018-19/child-measurement-programme-for-wales-report-2018-19/" TargetMode="External"/><Relationship Id="rId4" Type="http://schemas.openxmlformats.org/officeDocument/2006/relationships/webSettings" Target="webSettings.xml"/><Relationship Id="rId9" Type="http://schemas.openxmlformats.org/officeDocument/2006/relationships/hyperlink" Target="https://www.nice.org.uk/guidance/qs197/chapter/Quality-statement-1-Measurement-of-growth" TargetMode="External"/><Relationship Id="rId14" Type="http://schemas.openxmlformats.org/officeDocument/2006/relationships/hyperlink" Target="https://gov.wales/sites/default/files/publications/2022-03/healthy-weight-healthy-wales-2022-to-2024-delivery-plan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3651</Words>
  <Characters>20816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Selyf Nathanael Shapey (2115173)</dc:creator>
  <cp:keywords/>
  <dc:description/>
  <cp:lastModifiedBy>Selyf Nathanael Shapey (2115173)</cp:lastModifiedBy>
  <cp:revision>19</cp:revision>
  <dcterms:created xsi:type="dcterms:W3CDTF">2022-05-18T13:25:00Z</dcterms:created>
  <dcterms:modified xsi:type="dcterms:W3CDTF">2022-05-18T23:11:00Z</dcterms:modified>
</cp:coreProperties>
</file>