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68CAA39D" w14:textId="77777777" w:rsidTr="00366F48">
        <w:tc>
          <w:tcPr>
            <w:tcW w:w="10768" w:type="dxa"/>
          </w:tcPr>
          <w:p w14:paraId="02F8EE88" w14:textId="559D942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01997">
              <w:rPr>
                <w:rFonts w:ascii="Times New Roman" w:hAnsi="Times New Roman" w:cs="Times New Roman"/>
                <w:b/>
                <w:color w:val="auto"/>
                <w:sz w:val="48"/>
              </w:rPr>
              <w:t>Helen Tanner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302383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01997">
              <w:rPr>
                <w:rFonts w:ascii="Times New Roman" w:hAnsi="Times New Roman" w:cs="Times New Roman"/>
                <w:b/>
                <w:color w:val="auto"/>
                <w:sz w:val="48"/>
              </w:rPr>
              <w:t>helen.tanner@powys.gov.uk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723AE48"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66F48">
              <w:rPr>
                <w:rFonts w:ascii="Times New Roman" w:hAnsi="Times New Roman" w:cs="Times New Roman"/>
                <w:b/>
                <w:color w:val="auto"/>
                <w:sz w:val="48"/>
              </w:rPr>
              <w:t>2416654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B7592EA"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AFKA Cymru (2018) </w:t>
      </w:r>
      <w:r w:rsidRPr="0068242C">
        <w:rPr>
          <w:rFonts w:ascii="Aptos" w:eastAsia="Aptos" w:hAnsi="Aptos" w:cs="Times New Roman"/>
          <w:i/>
          <w:iCs/>
          <w:sz w:val="24"/>
          <w:szCs w:val="24"/>
        </w:rPr>
        <w:t>Kinship care: Guidance for practice</w:t>
      </w:r>
      <w:r w:rsidRPr="0068242C">
        <w:rPr>
          <w:rFonts w:ascii="Aptos" w:eastAsia="Aptos" w:hAnsi="Aptos" w:cs="Times New Roman"/>
          <w:sz w:val="24"/>
          <w:szCs w:val="24"/>
        </w:rPr>
        <w:t>. Available at: https://www.afkacymru.org.uk (Accessed: 23 March 2026).</w:t>
      </w:r>
    </w:p>
    <w:p w14:paraId="65C7534E" w14:textId="77777777" w:rsidR="00903D2C" w:rsidRPr="0068242C" w:rsidRDefault="00903D2C" w:rsidP="0068242C">
      <w:pPr>
        <w:rPr>
          <w:rFonts w:ascii="Aptos" w:eastAsia="Aptos" w:hAnsi="Aptos" w:cs="Times New Roman"/>
          <w:sz w:val="24"/>
          <w:szCs w:val="24"/>
        </w:rPr>
      </w:pPr>
    </w:p>
    <w:p w14:paraId="68921224"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AFKA (2025) </w:t>
      </w:r>
      <w:r w:rsidRPr="0068242C">
        <w:rPr>
          <w:rFonts w:ascii="Aptos" w:eastAsia="Aptos" w:hAnsi="Aptos" w:cs="Times New Roman"/>
          <w:i/>
          <w:iCs/>
          <w:sz w:val="24"/>
          <w:szCs w:val="24"/>
        </w:rPr>
        <w:t>Foster Wales good practice guide</w:t>
      </w:r>
      <w:r w:rsidRPr="0068242C">
        <w:rPr>
          <w:rFonts w:ascii="Aptos" w:eastAsia="Aptos" w:hAnsi="Aptos" w:cs="Times New Roman"/>
          <w:sz w:val="24"/>
          <w:szCs w:val="24"/>
        </w:rPr>
        <w:t>. Available at: https://www.fosterwales.gov.wales (Accessed: 23 March 2026).</w:t>
      </w:r>
    </w:p>
    <w:p w14:paraId="1ADB6800" w14:textId="77777777" w:rsidR="00903D2C" w:rsidRPr="0068242C" w:rsidRDefault="00903D2C" w:rsidP="0068242C">
      <w:pPr>
        <w:rPr>
          <w:rFonts w:ascii="Aptos" w:eastAsia="Aptos" w:hAnsi="Aptos" w:cs="Times New Roman"/>
          <w:sz w:val="24"/>
          <w:szCs w:val="24"/>
        </w:rPr>
      </w:pPr>
    </w:p>
    <w:p w14:paraId="46CEE816"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Bowlby, J. (1969) Attachment and loss: Volume I – Attachment. London: Tavistock.</w:t>
      </w:r>
    </w:p>
    <w:p w14:paraId="7B0A4C9C" w14:textId="77777777" w:rsidR="00903D2C" w:rsidRPr="0068242C" w:rsidRDefault="00903D2C" w:rsidP="0068242C">
      <w:pPr>
        <w:rPr>
          <w:rFonts w:ascii="Aptos" w:eastAsia="Aptos" w:hAnsi="Aptos" w:cs="Times New Roman"/>
          <w:sz w:val="24"/>
          <w:szCs w:val="24"/>
        </w:rPr>
      </w:pPr>
    </w:p>
    <w:p w14:paraId="0AAA7B3F"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Bronfenbrenner, U. (1979) The ecology of human development: Experiments by nature and design. Cambridge, MA: Harvard University Press.</w:t>
      </w:r>
    </w:p>
    <w:p w14:paraId="46D6EF1F" w14:textId="77777777" w:rsidR="00903D2C" w:rsidRPr="0068242C" w:rsidRDefault="00903D2C" w:rsidP="0068242C">
      <w:pPr>
        <w:rPr>
          <w:rFonts w:ascii="Aptos" w:eastAsia="Aptos" w:hAnsi="Aptos" w:cs="Times New Roman"/>
          <w:sz w:val="24"/>
          <w:szCs w:val="24"/>
        </w:rPr>
      </w:pPr>
    </w:p>
    <w:p w14:paraId="4946DEE7"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Children Act 1989. Available at: https://www.legislation.gov.uk/ukpga/1989/41/contents (Accessed: 15 April 2026).</w:t>
      </w:r>
    </w:p>
    <w:p w14:paraId="287495DE" w14:textId="77777777" w:rsidR="00903D2C" w:rsidRPr="0068242C" w:rsidRDefault="00903D2C" w:rsidP="0068242C">
      <w:pPr>
        <w:rPr>
          <w:rFonts w:ascii="Aptos" w:eastAsia="Aptos" w:hAnsi="Aptos" w:cs="Times New Roman"/>
          <w:sz w:val="24"/>
          <w:szCs w:val="24"/>
        </w:rPr>
      </w:pPr>
    </w:p>
    <w:p w14:paraId="3EE2148B"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Children Act 2004. Available at: https://www.legislation.gov.uk/ukpga/2004/31/contents (Accessed: 15 April 2026).</w:t>
      </w:r>
    </w:p>
    <w:p w14:paraId="51D067BF" w14:textId="77777777" w:rsidR="00903D2C" w:rsidRPr="0068242C" w:rsidRDefault="00903D2C" w:rsidP="0068242C">
      <w:pPr>
        <w:rPr>
          <w:rFonts w:ascii="Aptos" w:eastAsia="Aptos" w:hAnsi="Aptos" w:cs="Times New Roman"/>
          <w:sz w:val="24"/>
          <w:szCs w:val="24"/>
        </w:rPr>
      </w:pPr>
    </w:p>
    <w:p w14:paraId="023ADD0F"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Children (Abolition of Defence of Reasonable Punishment) (Wales) Act 2020. Available at: https://www.legislation.gov.uk/anaw/2020/3/contents (Accessed: 15 April 2026).</w:t>
      </w:r>
    </w:p>
    <w:p w14:paraId="167FCBF0" w14:textId="77777777" w:rsidR="00903D2C" w:rsidRPr="0068242C" w:rsidRDefault="00903D2C" w:rsidP="0068242C">
      <w:pPr>
        <w:rPr>
          <w:rFonts w:ascii="Aptos" w:eastAsia="Aptos" w:hAnsi="Aptos" w:cs="Times New Roman"/>
          <w:sz w:val="24"/>
          <w:szCs w:val="24"/>
        </w:rPr>
      </w:pPr>
    </w:p>
    <w:p w14:paraId="273F43A5"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CoramBAAF (2022) </w:t>
      </w:r>
      <w:r w:rsidRPr="0068242C">
        <w:rPr>
          <w:rFonts w:ascii="Aptos" w:eastAsia="Aptos" w:hAnsi="Aptos" w:cs="Times New Roman"/>
          <w:i/>
          <w:iCs/>
          <w:sz w:val="24"/>
          <w:szCs w:val="24"/>
        </w:rPr>
        <w:t>Form C assessment: Connected persons (Wales)</w:t>
      </w:r>
      <w:r w:rsidRPr="0068242C">
        <w:rPr>
          <w:rFonts w:ascii="Aptos" w:eastAsia="Aptos" w:hAnsi="Aptos" w:cs="Times New Roman"/>
          <w:sz w:val="24"/>
          <w:szCs w:val="24"/>
        </w:rPr>
        <w:t>. Available at: https://corambaaf.org.uk/resources (Accessed: 30 April 2026).</w:t>
      </w:r>
    </w:p>
    <w:p w14:paraId="2FC0B3DA" w14:textId="77777777" w:rsidR="00903D2C" w:rsidRPr="0068242C" w:rsidRDefault="00903D2C" w:rsidP="0068242C">
      <w:pPr>
        <w:rPr>
          <w:rFonts w:ascii="Aptos" w:eastAsia="Aptos" w:hAnsi="Aptos" w:cs="Times New Roman"/>
          <w:sz w:val="24"/>
          <w:szCs w:val="24"/>
        </w:rPr>
      </w:pPr>
    </w:p>
    <w:p w14:paraId="4112D774"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CoramBAAF (2025) </w:t>
      </w:r>
      <w:r w:rsidRPr="0068242C">
        <w:rPr>
          <w:rFonts w:ascii="Aptos" w:eastAsia="Aptos" w:hAnsi="Aptos" w:cs="Times New Roman"/>
          <w:i/>
          <w:iCs/>
          <w:sz w:val="24"/>
          <w:szCs w:val="24"/>
        </w:rPr>
        <w:t>Guidance on kinship and connected persons assessments</w:t>
      </w:r>
      <w:r w:rsidRPr="0068242C">
        <w:rPr>
          <w:rFonts w:ascii="Aptos" w:eastAsia="Aptos" w:hAnsi="Aptos" w:cs="Times New Roman"/>
          <w:sz w:val="24"/>
          <w:szCs w:val="24"/>
        </w:rPr>
        <w:t>. London: CoramBAAF.</w:t>
      </w:r>
    </w:p>
    <w:p w14:paraId="077658BC" w14:textId="77777777" w:rsidR="00903D2C" w:rsidRPr="0068242C" w:rsidRDefault="00903D2C" w:rsidP="0068242C">
      <w:pPr>
        <w:rPr>
          <w:rFonts w:ascii="Aptos" w:eastAsia="Aptos" w:hAnsi="Aptos" w:cs="Times New Roman"/>
          <w:sz w:val="24"/>
          <w:szCs w:val="24"/>
        </w:rPr>
      </w:pPr>
    </w:p>
    <w:p w14:paraId="0AE044B3"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CoramBAAF (2025b) Viability and connected persons assessment guidance. Available at: https://corambaaf.org.uk/resources (Accessed: 30 April 2026). </w:t>
      </w:r>
    </w:p>
    <w:p w14:paraId="6EFD61B5" w14:textId="77777777" w:rsidR="00903D2C" w:rsidRPr="0068242C" w:rsidRDefault="00903D2C" w:rsidP="0068242C">
      <w:pPr>
        <w:rPr>
          <w:rFonts w:ascii="Aptos" w:eastAsia="Aptos" w:hAnsi="Aptos" w:cs="Times New Roman"/>
          <w:sz w:val="24"/>
          <w:szCs w:val="24"/>
        </w:rPr>
      </w:pPr>
    </w:p>
    <w:p w14:paraId="58B84C69"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Family Rights Group (2020) Kinship care: Research and practice. London: Family Rights Group.</w:t>
      </w:r>
    </w:p>
    <w:p w14:paraId="6490B112" w14:textId="77777777" w:rsidR="00903D2C" w:rsidRPr="0068242C" w:rsidRDefault="00903D2C" w:rsidP="0068242C">
      <w:pPr>
        <w:rPr>
          <w:rFonts w:ascii="Aptos" w:eastAsia="Aptos" w:hAnsi="Aptos" w:cs="Times New Roman"/>
          <w:sz w:val="24"/>
          <w:szCs w:val="24"/>
        </w:rPr>
      </w:pPr>
    </w:p>
    <w:p w14:paraId="315839A1"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Foundations (2024) </w:t>
      </w:r>
      <w:r w:rsidRPr="0068242C">
        <w:rPr>
          <w:rFonts w:ascii="Aptos" w:eastAsia="Aptos" w:hAnsi="Aptos" w:cs="Times New Roman"/>
          <w:i/>
          <w:iCs/>
          <w:sz w:val="24"/>
          <w:szCs w:val="24"/>
        </w:rPr>
        <w:t>What interventions improve outcomes for kinship carers and the children in their care?</w:t>
      </w:r>
      <w:r w:rsidRPr="0068242C">
        <w:rPr>
          <w:rFonts w:ascii="Aptos" w:eastAsia="Aptos" w:hAnsi="Aptos" w:cs="Times New Roman"/>
          <w:sz w:val="24"/>
          <w:szCs w:val="24"/>
        </w:rPr>
        <w:t xml:space="preserve"> London: Foundations – What Works Centre for Children &amp; Families.</w:t>
      </w:r>
    </w:p>
    <w:p w14:paraId="01C79683" w14:textId="77777777" w:rsidR="00903D2C" w:rsidRPr="0068242C" w:rsidRDefault="00903D2C" w:rsidP="0068242C">
      <w:pPr>
        <w:rPr>
          <w:rFonts w:ascii="Aptos" w:eastAsia="Aptos" w:hAnsi="Aptos" w:cs="Times New Roman"/>
          <w:sz w:val="24"/>
          <w:szCs w:val="24"/>
        </w:rPr>
      </w:pPr>
    </w:p>
    <w:p w14:paraId="20A79508"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Hallett, S., Garstang, J. and Taylor, J. (2021) ‘Abuse and neglect in kinship care’, Child Abuse &amp; Neglect, 119, 105145.</w:t>
      </w:r>
    </w:p>
    <w:p w14:paraId="6A6C3588" w14:textId="77777777" w:rsidR="00903D2C" w:rsidRPr="0068242C" w:rsidRDefault="00903D2C" w:rsidP="0068242C">
      <w:pPr>
        <w:rPr>
          <w:rFonts w:ascii="Aptos" w:eastAsia="Aptos" w:hAnsi="Aptos" w:cs="Times New Roman"/>
          <w:sz w:val="24"/>
          <w:szCs w:val="24"/>
        </w:rPr>
      </w:pPr>
    </w:p>
    <w:p w14:paraId="580D0894"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lastRenderedPageBreak/>
        <w:t>Herrero</w:t>
      </w:r>
      <w:r w:rsidRPr="0068242C">
        <w:rPr>
          <w:rFonts w:ascii="Aptos" w:eastAsia="Aptos" w:hAnsi="Aptos" w:cs="Times New Roman"/>
          <w:sz w:val="24"/>
          <w:szCs w:val="24"/>
        </w:rPr>
        <w:noBreakHyphen/>
        <w:t>Roldán, S. and Martín</w:t>
      </w:r>
      <w:r w:rsidRPr="0068242C">
        <w:rPr>
          <w:rFonts w:ascii="Aptos" w:eastAsia="Aptos" w:hAnsi="Aptos" w:cs="Times New Roman"/>
          <w:sz w:val="24"/>
          <w:szCs w:val="24"/>
        </w:rPr>
        <w:noBreakHyphen/>
        <w:t xml:space="preserve">Rodríguez, A. (2025) </w:t>
      </w:r>
      <w:r w:rsidRPr="0068242C">
        <w:rPr>
          <w:rFonts w:ascii="Aptos" w:eastAsia="Aptos" w:hAnsi="Aptos" w:cs="Times New Roman"/>
          <w:i/>
          <w:iCs/>
          <w:sz w:val="24"/>
          <w:szCs w:val="24"/>
        </w:rPr>
        <w:t>Neglect and neurodevelopment: Understanding the link between child neglect and executive function deficits</w:t>
      </w:r>
      <w:r w:rsidRPr="0068242C">
        <w:rPr>
          <w:rFonts w:ascii="Aptos" w:eastAsia="Aptos" w:hAnsi="Aptos" w:cs="Times New Roman"/>
          <w:sz w:val="24"/>
          <w:szCs w:val="24"/>
        </w:rPr>
        <w:t xml:space="preserve">. </w:t>
      </w:r>
      <w:r w:rsidRPr="0068242C">
        <w:rPr>
          <w:rFonts w:ascii="Aptos" w:eastAsia="Aptos" w:hAnsi="Aptos" w:cs="Times New Roman"/>
          <w:i/>
          <w:iCs/>
          <w:sz w:val="24"/>
          <w:szCs w:val="24"/>
        </w:rPr>
        <w:t>Biomedicines</w:t>
      </w:r>
      <w:r w:rsidRPr="0068242C">
        <w:rPr>
          <w:rFonts w:ascii="Aptos" w:eastAsia="Aptos" w:hAnsi="Aptos" w:cs="Times New Roman"/>
          <w:sz w:val="24"/>
          <w:szCs w:val="24"/>
        </w:rPr>
        <w:t>, 13(7).</w:t>
      </w:r>
    </w:p>
    <w:p w14:paraId="18AB4F10" w14:textId="77777777" w:rsidR="00903D2C" w:rsidRPr="0068242C" w:rsidRDefault="00903D2C" w:rsidP="0068242C">
      <w:pPr>
        <w:rPr>
          <w:rFonts w:ascii="Aptos" w:eastAsia="Aptos" w:hAnsi="Aptos" w:cs="Times New Roman"/>
          <w:sz w:val="24"/>
          <w:szCs w:val="24"/>
        </w:rPr>
      </w:pPr>
    </w:p>
    <w:p w14:paraId="070F0A35"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Hong, J.S., Algood, C.L., Chiu, Y.-L. and Lee, S.A. (2011) ‘An ecological understanding of kinship foster care in the United States’, </w:t>
      </w:r>
      <w:r w:rsidRPr="0068242C">
        <w:rPr>
          <w:rFonts w:ascii="Aptos" w:eastAsia="Aptos" w:hAnsi="Aptos" w:cs="Times New Roman"/>
          <w:i/>
          <w:iCs/>
          <w:sz w:val="24"/>
          <w:szCs w:val="24"/>
        </w:rPr>
        <w:t>Journal of Child and Family Studies</w:t>
      </w:r>
      <w:r w:rsidRPr="0068242C">
        <w:rPr>
          <w:rFonts w:ascii="Aptos" w:eastAsia="Aptos" w:hAnsi="Aptos" w:cs="Times New Roman"/>
          <w:sz w:val="24"/>
          <w:szCs w:val="24"/>
        </w:rPr>
        <w:t>, 20(6), pp. 863–872. Available at: https://link.springer.com (Accessed: 21 April 2026).</w:t>
      </w:r>
    </w:p>
    <w:p w14:paraId="7A28D5FE" w14:textId="77777777" w:rsidR="00903D2C" w:rsidRPr="0068242C" w:rsidRDefault="00903D2C" w:rsidP="0068242C">
      <w:pPr>
        <w:rPr>
          <w:rFonts w:ascii="Aptos" w:eastAsia="Aptos" w:hAnsi="Aptos" w:cs="Times New Roman"/>
          <w:sz w:val="24"/>
          <w:szCs w:val="24"/>
        </w:rPr>
      </w:pPr>
    </w:p>
    <w:p w14:paraId="67075111"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Human Rights Act 1998. Available at: https://www.legislation.gov.uk/ukpga/1998/42/contents (Accessed: 30 April 2026).</w:t>
      </w:r>
    </w:p>
    <w:p w14:paraId="0D3391DC" w14:textId="77777777" w:rsidR="00903D2C" w:rsidRPr="0068242C" w:rsidRDefault="00903D2C" w:rsidP="0068242C">
      <w:pPr>
        <w:rPr>
          <w:rFonts w:ascii="Aptos" w:eastAsia="Aptos" w:hAnsi="Aptos" w:cs="Times New Roman"/>
          <w:sz w:val="24"/>
          <w:szCs w:val="24"/>
        </w:rPr>
      </w:pPr>
    </w:p>
    <w:p w14:paraId="1EBDF3C3"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Kolb, D.A. (1984) Experiential learning: Experience as the source of learning and development. Englewood Cliffs, NJ: Prentice Hall.</w:t>
      </w:r>
    </w:p>
    <w:p w14:paraId="63CC8E20" w14:textId="77777777" w:rsidR="00903D2C" w:rsidRPr="0068242C" w:rsidRDefault="00903D2C" w:rsidP="0068242C">
      <w:pPr>
        <w:rPr>
          <w:rFonts w:ascii="Aptos" w:eastAsia="Aptos" w:hAnsi="Aptos" w:cs="Times New Roman"/>
          <w:sz w:val="24"/>
          <w:szCs w:val="24"/>
        </w:rPr>
      </w:pPr>
    </w:p>
    <w:p w14:paraId="783D399B"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Law Wales (n.d.a) </w:t>
      </w:r>
      <w:r w:rsidRPr="0068242C">
        <w:rPr>
          <w:rFonts w:ascii="Aptos" w:eastAsia="Aptos" w:hAnsi="Aptos" w:cs="Times New Roman"/>
          <w:i/>
          <w:iCs/>
          <w:sz w:val="24"/>
          <w:szCs w:val="24"/>
        </w:rPr>
        <w:t>Children Act 1989 and safeguarding duties</w:t>
      </w:r>
      <w:r w:rsidRPr="0068242C">
        <w:rPr>
          <w:rFonts w:ascii="Aptos" w:eastAsia="Aptos" w:hAnsi="Aptos" w:cs="Times New Roman"/>
          <w:sz w:val="24"/>
          <w:szCs w:val="24"/>
        </w:rPr>
        <w:t>. Available at: https://www.law.gov.wales (Accessed: 30 April 2026).</w:t>
      </w:r>
    </w:p>
    <w:p w14:paraId="64D84EF9" w14:textId="77777777" w:rsidR="00903D2C" w:rsidRPr="0068242C" w:rsidRDefault="00903D2C" w:rsidP="0068242C">
      <w:pPr>
        <w:rPr>
          <w:rFonts w:ascii="Aptos" w:eastAsia="Aptos" w:hAnsi="Aptos" w:cs="Times New Roman"/>
          <w:sz w:val="24"/>
          <w:szCs w:val="24"/>
        </w:rPr>
      </w:pPr>
    </w:p>
    <w:p w14:paraId="5FD7F13C"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Law Wales (n.d.b) </w:t>
      </w:r>
      <w:r w:rsidRPr="0068242C">
        <w:rPr>
          <w:rFonts w:ascii="Aptos" w:eastAsia="Aptos" w:hAnsi="Aptos" w:cs="Times New Roman"/>
          <w:i/>
          <w:iCs/>
          <w:sz w:val="24"/>
          <w:szCs w:val="24"/>
        </w:rPr>
        <w:t>Safeguarding under the Social Services and Well-being (Wales) Act 2014</w:t>
      </w:r>
      <w:r w:rsidRPr="0068242C">
        <w:rPr>
          <w:rFonts w:ascii="Aptos" w:eastAsia="Aptos" w:hAnsi="Aptos" w:cs="Times New Roman"/>
          <w:sz w:val="24"/>
          <w:szCs w:val="24"/>
        </w:rPr>
        <w:t>. Available at: https://www.law.gov.wales (Accessed: 30 April 2026).</w:t>
      </w:r>
    </w:p>
    <w:p w14:paraId="03BBA9F6" w14:textId="77777777" w:rsidR="00903D2C" w:rsidRPr="0068242C" w:rsidRDefault="00903D2C" w:rsidP="0068242C">
      <w:pPr>
        <w:rPr>
          <w:rFonts w:ascii="Aptos" w:eastAsia="Aptos" w:hAnsi="Aptos" w:cs="Times New Roman"/>
          <w:sz w:val="24"/>
          <w:szCs w:val="24"/>
        </w:rPr>
      </w:pPr>
    </w:p>
    <w:p w14:paraId="7A4E636F"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Law Wales (n.d.c) </w:t>
      </w:r>
      <w:r w:rsidRPr="0068242C">
        <w:rPr>
          <w:rFonts w:ascii="Aptos" w:eastAsia="Aptos" w:hAnsi="Aptos" w:cs="Times New Roman"/>
          <w:i/>
          <w:iCs/>
          <w:sz w:val="24"/>
          <w:szCs w:val="24"/>
        </w:rPr>
        <w:t>Social Services and Well-being (Wales) Act 2014</w:t>
      </w:r>
      <w:r w:rsidRPr="0068242C">
        <w:rPr>
          <w:rFonts w:ascii="Aptos" w:eastAsia="Aptos" w:hAnsi="Aptos" w:cs="Times New Roman"/>
          <w:sz w:val="24"/>
          <w:szCs w:val="24"/>
        </w:rPr>
        <w:t>. Available at: https://www.law.gov.wales (Accessed: 30 April 2026).</w:t>
      </w:r>
    </w:p>
    <w:p w14:paraId="68AE1102" w14:textId="77777777" w:rsidR="00903D2C" w:rsidRPr="0068242C" w:rsidRDefault="00903D2C" w:rsidP="0068242C">
      <w:pPr>
        <w:rPr>
          <w:rFonts w:ascii="Aptos" w:eastAsia="Aptos" w:hAnsi="Aptos" w:cs="Times New Roman"/>
          <w:sz w:val="24"/>
          <w:szCs w:val="24"/>
        </w:rPr>
      </w:pPr>
    </w:p>
    <w:p w14:paraId="2C4994F5" w14:textId="77777777" w:rsidR="0068242C" w:rsidRPr="0068242C" w:rsidRDefault="0068242C" w:rsidP="0068242C">
      <w:pPr>
        <w:rPr>
          <w:rFonts w:ascii="Aptos" w:eastAsia="Aptos" w:hAnsi="Aptos" w:cs="Times New Roman"/>
          <w:sz w:val="24"/>
          <w:szCs w:val="24"/>
        </w:rPr>
      </w:pPr>
      <w:r w:rsidRPr="0068242C">
        <w:rPr>
          <w:rFonts w:ascii="Aptos" w:eastAsia="Aptos" w:hAnsi="Aptos" w:cs="Times New Roman"/>
          <w:sz w:val="24"/>
          <w:szCs w:val="24"/>
        </w:rPr>
        <w:t>Mezirow, J. (1991) Transformative dimensions of adult learning. San Francisco: Jossey-Bass.</w:t>
      </w:r>
    </w:p>
    <w:p w14:paraId="1DE449C2"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National Occupational Standards (2011) </w:t>
      </w:r>
      <w:r w:rsidRPr="0068242C">
        <w:rPr>
          <w:rFonts w:ascii="Aptos" w:eastAsia="Aptos" w:hAnsi="Aptos" w:cs="Times New Roman"/>
          <w:i/>
          <w:iCs/>
          <w:sz w:val="24"/>
          <w:szCs w:val="24"/>
        </w:rPr>
        <w:t>National occupational standards for social work</w:t>
      </w:r>
      <w:r w:rsidRPr="0068242C">
        <w:rPr>
          <w:rFonts w:ascii="Aptos" w:eastAsia="Aptos" w:hAnsi="Aptos" w:cs="Times New Roman"/>
          <w:sz w:val="24"/>
          <w:szCs w:val="24"/>
        </w:rPr>
        <w:t>. Available at: https://www.skillsforcare.org.uk (Accessed: 30 April 2026).</w:t>
      </w:r>
    </w:p>
    <w:p w14:paraId="49D61905" w14:textId="77777777" w:rsidR="00903D2C" w:rsidRPr="0068242C" w:rsidRDefault="00903D2C" w:rsidP="0068242C">
      <w:pPr>
        <w:rPr>
          <w:rFonts w:ascii="Aptos" w:eastAsia="Aptos" w:hAnsi="Aptos" w:cs="Times New Roman"/>
          <w:sz w:val="24"/>
          <w:szCs w:val="24"/>
        </w:rPr>
      </w:pPr>
    </w:p>
    <w:p w14:paraId="59EE4748"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RCPCH (2022) </w:t>
      </w:r>
      <w:r w:rsidRPr="0068242C">
        <w:rPr>
          <w:rFonts w:ascii="Aptos" w:eastAsia="Aptos" w:hAnsi="Aptos" w:cs="Times New Roman"/>
          <w:i/>
          <w:iCs/>
          <w:sz w:val="24"/>
          <w:szCs w:val="24"/>
        </w:rPr>
        <w:t>Child protection evidence: Early years neglect systematic review</w:t>
      </w:r>
      <w:r w:rsidRPr="0068242C">
        <w:rPr>
          <w:rFonts w:ascii="Aptos" w:eastAsia="Aptos" w:hAnsi="Aptos" w:cs="Times New Roman"/>
          <w:sz w:val="24"/>
          <w:szCs w:val="24"/>
        </w:rPr>
        <w:t>. Available at: https://childprotection.rcpch.ac.uk (Accessed: 27 May 2026).</w:t>
      </w:r>
    </w:p>
    <w:p w14:paraId="277A50C1" w14:textId="77777777" w:rsidR="00903D2C" w:rsidRPr="0068242C" w:rsidRDefault="00903D2C" w:rsidP="0068242C">
      <w:pPr>
        <w:rPr>
          <w:rFonts w:ascii="Aptos" w:eastAsia="Aptos" w:hAnsi="Aptos" w:cs="Times New Roman"/>
          <w:sz w:val="24"/>
          <w:szCs w:val="24"/>
        </w:rPr>
      </w:pPr>
    </w:p>
    <w:p w14:paraId="25316AA7"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Re B</w:t>
      </w:r>
      <w:r w:rsidRPr="0068242C">
        <w:rPr>
          <w:rFonts w:ascii="Aptos" w:eastAsia="Aptos" w:hAnsi="Aptos" w:cs="Times New Roman"/>
          <w:sz w:val="24"/>
          <w:szCs w:val="24"/>
        </w:rPr>
        <w:noBreakHyphen/>
        <w:t>S (Children) [2014] EWCA Civ 1146. Available at: https://www.bailii.org (Accessed: 30 April 2026).</w:t>
      </w:r>
    </w:p>
    <w:p w14:paraId="23ACFD41" w14:textId="77777777" w:rsidR="00903D2C" w:rsidRPr="0068242C" w:rsidRDefault="00903D2C" w:rsidP="0068242C">
      <w:pPr>
        <w:rPr>
          <w:rFonts w:ascii="Aptos" w:eastAsia="Aptos" w:hAnsi="Aptos" w:cs="Times New Roman"/>
          <w:sz w:val="24"/>
          <w:szCs w:val="24"/>
        </w:rPr>
      </w:pPr>
    </w:p>
    <w:p w14:paraId="73D545CE"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Saraw, S. (2009) ‘Kinship care and child welfare: A review of ecological outcomes’, </w:t>
      </w:r>
      <w:r w:rsidRPr="0068242C">
        <w:rPr>
          <w:rFonts w:ascii="Aptos" w:eastAsia="Aptos" w:hAnsi="Aptos" w:cs="Times New Roman"/>
          <w:i/>
          <w:iCs/>
          <w:sz w:val="24"/>
          <w:szCs w:val="24"/>
        </w:rPr>
        <w:t>Child Welfare</w:t>
      </w:r>
      <w:r w:rsidRPr="0068242C">
        <w:rPr>
          <w:rFonts w:ascii="Aptos" w:eastAsia="Aptos" w:hAnsi="Aptos" w:cs="Times New Roman"/>
          <w:sz w:val="24"/>
          <w:szCs w:val="24"/>
        </w:rPr>
        <w:t>, 88(6), pp. 141–165. Available at: https://www.jstor.org (Accessed: 30 April 2026).</w:t>
      </w:r>
    </w:p>
    <w:p w14:paraId="443FAE87" w14:textId="77777777" w:rsidR="00903D2C" w:rsidRPr="0068242C" w:rsidRDefault="00903D2C" w:rsidP="0068242C">
      <w:pPr>
        <w:rPr>
          <w:rFonts w:ascii="Aptos" w:eastAsia="Aptos" w:hAnsi="Aptos" w:cs="Times New Roman"/>
          <w:sz w:val="24"/>
          <w:szCs w:val="24"/>
        </w:rPr>
      </w:pPr>
    </w:p>
    <w:p w14:paraId="57E3F86E"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Social Care Wales (2021) </w:t>
      </w:r>
      <w:r w:rsidRPr="0068242C">
        <w:rPr>
          <w:rFonts w:ascii="Aptos" w:eastAsia="Aptos" w:hAnsi="Aptos" w:cs="Times New Roman"/>
          <w:i/>
          <w:iCs/>
          <w:sz w:val="24"/>
          <w:szCs w:val="24"/>
        </w:rPr>
        <w:t>Code of professional practice for social care</w:t>
      </w:r>
      <w:r w:rsidRPr="0068242C">
        <w:rPr>
          <w:rFonts w:ascii="Aptos" w:eastAsia="Aptos" w:hAnsi="Aptos" w:cs="Times New Roman"/>
          <w:sz w:val="24"/>
          <w:szCs w:val="24"/>
        </w:rPr>
        <w:t>. Available at: https://socialcare.wales (Accessed: 30 April 2026).</w:t>
      </w:r>
    </w:p>
    <w:p w14:paraId="493C21CF" w14:textId="77777777" w:rsidR="00903D2C" w:rsidRPr="0068242C" w:rsidRDefault="00903D2C" w:rsidP="0068242C">
      <w:pPr>
        <w:rPr>
          <w:rFonts w:ascii="Aptos" w:eastAsia="Aptos" w:hAnsi="Aptos" w:cs="Times New Roman"/>
          <w:sz w:val="24"/>
          <w:szCs w:val="24"/>
        </w:rPr>
      </w:pPr>
    </w:p>
    <w:p w14:paraId="5FBE72E5"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United Nations (1989) </w:t>
      </w:r>
      <w:r w:rsidRPr="0068242C">
        <w:rPr>
          <w:rFonts w:ascii="Aptos" w:eastAsia="Aptos" w:hAnsi="Aptos" w:cs="Times New Roman"/>
          <w:i/>
          <w:iCs/>
          <w:sz w:val="24"/>
          <w:szCs w:val="24"/>
        </w:rPr>
        <w:t>United Nations Convention on the Rights of the Child</w:t>
      </w:r>
      <w:r w:rsidRPr="0068242C">
        <w:rPr>
          <w:rFonts w:ascii="Aptos" w:eastAsia="Aptos" w:hAnsi="Aptos" w:cs="Times New Roman"/>
          <w:sz w:val="24"/>
          <w:szCs w:val="24"/>
        </w:rPr>
        <w:t>. Available at: https://www.ohchr.org (Accessed: 15 April 2026).</w:t>
      </w:r>
    </w:p>
    <w:p w14:paraId="027168E0" w14:textId="77777777" w:rsidR="00903D2C" w:rsidRPr="0068242C" w:rsidRDefault="00903D2C" w:rsidP="0068242C">
      <w:pPr>
        <w:rPr>
          <w:rFonts w:ascii="Aptos" w:eastAsia="Aptos" w:hAnsi="Aptos" w:cs="Times New Roman"/>
          <w:sz w:val="24"/>
          <w:szCs w:val="24"/>
        </w:rPr>
      </w:pPr>
    </w:p>
    <w:p w14:paraId="284A9A5A" w14:textId="77777777" w:rsidR="0068242C" w:rsidRPr="0068242C" w:rsidRDefault="0068242C" w:rsidP="0068242C">
      <w:pPr>
        <w:rPr>
          <w:rFonts w:ascii="Aptos" w:eastAsia="Aptos" w:hAnsi="Aptos" w:cs="Times New Roman"/>
          <w:sz w:val="24"/>
          <w:szCs w:val="24"/>
        </w:rPr>
      </w:pPr>
      <w:r w:rsidRPr="0068242C">
        <w:rPr>
          <w:rFonts w:ascii="Aptos" w:eastAsia="Aptos" w:hAnsi="Aptos" w:cs="Times New Roman"/>
          <w:sz w:val="24"/>
          <w:szCs w:val="24"/>
        </w:rPr>
        <w:t>Violence Against Women, Domestic Abuse and Sexual Violence (Wales) Act 2015. Available at: https://www.legislation.gov.uk/anaw/2015/3/contents (Accessed: 15 April 2026).</w:t>
      </w:r>
    </w:p>
    <w:p w14:paraId="51103C65"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lastRenderedPageBreak/>
        <w:t xml:space="preserve">Wales Safeguarding Procedures (2019) </w:t>
      </w:r>
      <w:r w:rsidRPr="0068242C">
        <w:rPr>
          <w:rFonts w:ascii="Aptos" w:eastAsia="Aptos" w:hAnsi="Aptos" w:cs="Times New Roman"/>
          <w:i/>
          <w:iCs/>
          <w:sz w:val="24"/>
          <w:szCs w:val="24"/>
        </w:rPr>
        <w:t>National safeguarding procedures for children and adults at risk in Wales</w:t>
      </w:r>
      <w:r w:rsidRPr="0068242C">
        <w:rPr>
          <w:rFonts w:ascii="Aptos" w:eastAsia="Aptos" w:hAnsi="Aptos" w:cs="Times New Roman"/>
          <w:sz w:val="24"/>
          <w:szCs w:val="24"/>
        </w:rPr>
        <w:t>. Available at: https://www.safeguarding.wales (Accessed: 01 April 2026).</w:t>
      </w:r>
    </w:p>
    <w:p w14:paraId="15FDD7D6" w14:textId="77777777" w:rsidR="00903D2C" w:rsidRPr="0068242C" w:rsidRDefault="00903D2C" w:rsidP="0068242C">
      <w:pPr>
        <w:rPr>
          <w:rFonts w:ascii="Aptos" w:eastAsia="Aptos" w:hAnsi="Aptos" w:cs="Times New Roman"/>
          <w:sz w:val="24"/>
          <w:szCs w:val="24"/>
        </w:rPr>
      </w:pPr>
    </w:p>
    <w:p w14:paraId="76E9D664"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Welsh Government (2015a) </w:t>
      </w:r>
      <w:r w:rsidRPr="0068242C">
        <w:rPr>
          <w:rFonts w:ascii="Aptos" w:eastAsia="Aptos" w:hAnsi="Aptos" w:cs="Times New Roman"/>
          <w:i/>
          <w:iCs/>
          <w:sz w:val="24"/>
          <w:szCs w:val="24"/>
        </w:rPr>
        <w:t>Code of practice on assessing the needs of individuals</w:t>
      </w:r>
      <w:r w:rsidRPr="0068242C">
        <w:rPr>
          <w:rFonts w:ascii="Aptos" w:eastAsia="Aptos" w:hAnsi="Aptos" w:cs="Times New Roman"/>
          <w:sz w:val="24"/>
          <w:szCs w:val="24"/>
        </w:rPr>
        <w:t>. Available at: https://www.gov.wales (Accessed: 30 April 2026).</w:t>
      </w:r>
    </w:p>
    <w:p w14:paraId="38CFC5C7" w14:textId="77777777" w:rsidR="00903D2C" w:rsidRPr="0068242C" w:rsidRDefault="00903D2C" w:rsidP="0068242C">
      <w:pPr>
        <w:rPr>
          <w:rFonts w:ascii="Aptos" w:eastAsia="Aptos" w:hAnsi="Aptos" w:cs="Times New Roman"/>
          <w:sz w:val="24"/>
          <w:szCs w:val="24"/>
        </w:rPr>
      </w:pPr>
    </w:p>
    <w:p w14:paraId="03D2A328"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Welsh Government (2015b) </w:t>
      </w:r>
      <w:r w:rsidRPr="0068242C">
        <w:rPr>
          <w:rFonts w:ascii="Aptos" w:eastAsia="Aptos" w:hAnsi="Aptos" w:cs="Times New Roman"/>
          <w:i/>
          <w:iCs/>
          <w:sz w:val="24"/>
          <w:szCs w:val="24"/>
        </w:rPr>
        <w:t>More than just words: Strategic framework for Welsh language services in health, social services, and social care</w:t>
      </w:r>
      <w:r w:rsidRPr="0068242C">
        <w:rPr>
          <w:rFonts w:ascii="Aptos" w:eastAsia="Aptos" w:hAnsi="Aptos" w:cs="Times New Roman"/>
          <w:sz w:val="24"/>
          <w:szCs w:val="24"/>
        </w:rPr>
        <w:t>. Available at: https://www.gov.wales (Accessed: 30 April 2026).</w:t>
      </w:r>
    </w:p>
    <w:p w14:paraId="49373853" w14:textId="77777777" w:rsidR="00903D2C" w:rsidRPr="0068242C" w:rsidRDefault="00903D2C" w:rsidP="0068242C">
      <w:pPr>
        <w:rPr>
          <w:rFonts w:ascii="Aptos" w:eastAsia="Aptos" w:hAnsi="Aptos" w:cs="Times New Roman"/>
          <w:sz w:val="24"/>
          <w:szCs w:val="24"/>
        </w:rPr>
      </w:pPr>
    </w:p>
    <w:p w14:paraId="42C9ED81"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Welsh Government (2016) Working together to safeguard people: Volume 1 – Introduction and overview. Cardiff: Welsh Government.</w:t>
      </w:r>
    </w:p>
    <w:p w14:paraId="6E9BC085" w14:textId="77777777" w:rsidR="003E5E83" w:rsidRPr="0068242C" w:rsidRDefault="003E5E83" w:rsidP="0068242C">
      <w:pPr>
        <w:rPr>
          <w:rFonts w:ascii="Aptos" w:eastAsia="Aptos" w:hAnsi="Aptos" w:cs="Times New Roman"/>
          <w:sz w:val="24"/>
          <w:szCs w:val="24"/>
        </w:rPr>
      </w:pPr>
    </w:p>
    <w:p w14:paraId="57A93BA3"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Welsh Government (2018) </w:t>
      </w:r>
      <w:r w:rsidRPr="0068242C">
        <w:rPr>
          <w:rFonts w:ascii="Aptos" w:eastAsia="Aptos" w:hAnsi="Aptos" w:cs="Times New Roman"/>
          <w:i/>
          <w:iCs/>
          <w:sz w:val="24"/>
          <w:szCs w:val="24"/>
        </w:rPr>
        <w:t>Kinship care: Evidence review</w:t>
      </w:r>
      <w:r w:rsidRPr="0068242C">
        <w:rPr>
          <w:rFonts w:ascii="Aptos" w:eastAsia="Aptos" w:hAnsi="Aptos" w:cs="Times New Roman"/>
          <w:sz w:val="24"/>
          <w:szCs w:val="24"/>
        </w:rPr>
        <w:t>. Available at: https://www.gov.wales (Accessed: 30 April 2026).</w:t>
      </w:r>
    </w:p>
    <w:p w14:paraId="6B363B83" w14:textId="77777777" w:rsidR="003E5E83" w:rsidRPr="0068242C" w:rsidRDefault="003E5E83" w:rsidP="0068242C">
      <w:pPr>
        <w:rPr>
          <w:rFonts w:ascii="Aptos" w:eastAsia="Aptos" w:hAnsi="Aptos" w:cs="Times New Roman"/>
          <w:sz w:val="24"/>
          <w:szCs w:val="24"/>
        </w:rPr>
      </w:pPr>
    </w:p>
    <w:p w14:paraId="1261CAE3"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Welsh Government (2022) </w:t>
      </w:r>
      <w:r w:rsidRPr="0068242C">
        <w:rPr>
          <w:rFonts w:ascii="Aptos" w:eastAsia="Aptos" w:hAnsi="Aptos" w:cs="Times New Roman"/>
          <w:i/>
          <w:iCs/>
          <w:sz w:val="24"/>
          <w:szCs w:val="24"/>
        </w:rPr>
        <w:t>Working together to safeguard people: Code of practice</w:t>
      </w:r>
      <w:r w:rsidRPr="0068242C">
        <w:rPr>
          <w:rFonts w:ascii="Aptos" w:eastAsia="Aptos" w:hAnsi="Aptos" w:cs="Times New Roman"/>
          <w:sz w:val="24"/>
          <w:szCs w:val="24"/>
        </w:rPr>
        <w:t>. Available at: https://www.gov.wales (Accessed: 30 April 2026).</w:t>
      </w:r>
    </w:p>
    <w:p w14:paraId="0696D589" w14:textId="77777777" w:rsidR="003E5E83" w:rsidRPr="0068242C" w:rsidRDefault="003E5E83" w:rsidP="0068242C">
      <w:pPr>
        <w:rPr>
          <w:rFonts w:ascii="Aptos" w:eastAsia="Aptos" w:hAnsi="Aptos" w:cs="Times New Roman"/>
          <w:sz w:val="24"/>
          <w:szCs w:val="24"/>
        </w:rPr>
      </w:pPr>
    </w:p>
    <w:p w14:paraId="4CB124CE" w14:textId="77777777" w:rsid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Welsh Government (2024) </w:t>
      </w:r>
      <w:r w:rsidRPr="0068242C">
        <w:rPr>
          <w:rFonts w:ascii="Aptos" w:eastAsia="Aptos" w:hAnsi="Aptos" w:cs="Times New Roman"/>
          <w:i/>
          <w:iCs/>
          <w:sz w:val="24"/>
          <w:szCs w:val="24"/>
        </w:rPr>
        <w:t>General social care functions code of practice</w:t>
      </w:r>
      <w:r w:rsidRPr="0068242C">
        <w:rPr>
          <w:rFonts w:ascii="Aptos" w:eastAsia="Aptos" w:hAnsi="Aptos" w:cs="Times New Roman"/>
          <w:sz w:val="24"/>
          <w:szCs w:val="24"/>
        </w:rPr>
        <w:t>. Available at: https://www.gov.wales (Accessed: 30 April 2026).</w:t>
      </w:r>
    </w:p>
    <w:p w14:paraId="54FB2CB1" w14:textId="77777777" w:rsidR="003E5E83" w:rsidRPr="0068242C" w:rsidRDefault="003E5E83" w:rsidP="0068242C">
      <w:pPr>
        <w:rPr>
          <w:rFonts w:ascii="Aptos" w:eastAsia="Aptos" w:hAnsi="Aptos" w:cs="Times New Roman"/>
          <w:sz w:val="24"/>
          <w:szCs w:val="24"/>
        </w:rPr>
      </w:pPr>
    </w:p>
    <w:p w14:paraId="42DDD178" w14:textId="4E569E39" w:rsidR="0068242C" w:rsidRPr="0068242C" w:rsidRDefault="0068242C" w:rsidP="0068242C">
      <w:pPr>
        <w:rPr>
          <w:rFonts w:ascii="Aptos" w:eastAsia="Aptos" w:hAnsi="Aptos" w:cs="Times New Roman"/>
          <w:sz w:val="24"/>
          <w:szCs w:val="24"/>
        </w:rPr>
      </w:pPr>
      <w:r w:rsidRPr="0068242C">
        <w:rPr>
          <w:rFonts w:ascii="Aptos" w:eastAsia="Aptos" w:hAnsi="Aptos" w:cs="Times New Roman"/>
          <w:sz w:val="24"/>
          <w:szCs w:val="24"/>
        </w:rPr>
        <w:t xml:space="preserve">Welsh Government (2025) </w:t>
      </w:r>
      <w:r w:rsidRPr="0068242C">
        <w:rPr>
          <w:rFonts w:ascii="Aptos" w:eastAsia="Aptos" w:hAnsi="Aptos" w:cs="Times New Roman"/>
          <w:i/>
          <w:iCs/>
          <w:sz w:val="24"/>
          <w:szCs w:val="24"/>
        </w:rPr>
        <w:t>Safeguarding guidance for practitioners</w:t>
      </w:r>
      <w:r w:rsidRPr="0068242C">
        <w:rPr>
          <w:rFonts w:ascii="Aptos" w:eastAsia="Aptos" w:hAnsi="Aptos" w:cs="Times New Roman"/>
          <w:sz w:val="24"/>
          <w:szCs w:val="24"/>
        </w:rPr>
        <w:t>. Available at: https://www.gov.wales (Accessed: 30 April 2026)</w:t>
      </w:r>
      <w:r w:rsidR="003B2E2B">
        <w:rPr>
          <w:rFonts w:ascii="Aptos" w:eastAsia="Aptos" w:hAnsi="Aptos" w:cs="Times New Roman"/>
          <w:sz w:val="24"/>
          <w:szCs w:val="24"/>
        </w:rPr>
        <w:t>.</w:t>
      </w:r>
    </w:p>
    <w:p w14:paraId="72CB8C5E" w14:textId="77777777" w:rsidR="002211AD" w:rsidRDefault="002211AD"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7777777" w:rsidR="00E559CE" w:rsidRPr="00B17FA0" w:rsidRDefault="00E559CE" w:rsidP="00B94443">
            <w:pPr>
              <w:jc w:val="both"/>
              <w:rPr>
                <w:sz w:val="24"/>
                <w:szCs w:val="24"/>
              </w:rPr>
            </w:pP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7777777" w:rsidR="00E559CE" w:rsidRPr="00B17FA0" w:rsidRDefault="00E559CE" w:rsidP="00B94443">
            <w:pPr>
              <w:jc w:val="both"/>
              <w:rPr>
                <w:sz w:val="24"/>
                <w:szCs w:val="24"/>
              </w:rPr>
            </w:pP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7777777" w:rsidR="00E559CE" w:rsidRPr="00B17FA0" w:rsidRDefault="00E559CE" w:rsidP="00B94443">
            <w:pPr>
              <w:jc w:val="both"/>
              <w:rPr>
                <w:sz w:val="24"/>
                <w:szCs w:val="24"/>
              </w:rPr>
            </w:pP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7777777" w:rsidR="00E559CE" w:rsidRPr="00B17FA0" w:rsidRDefault="00E559CE" w:rsidP="00B94443">
            <w:pPr>
              <w:jc w:val="both"/>
              <w:rPr>
                <w:sz w:val="24"/>
                <w:szCs w:val="24"/>
              </w:rPr>
            </w:pP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0DB780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3FFE6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1B9223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7777777" w:rsidR="004923DA" w:rsidRDefault="004923DA" w:rsidP="00FF7EBB">
            <w:pPr>
              <w:jc w:val="both"/>
              <w:rPr>
                <w:b/>
                <w:sz w:val="24"/>
                <w:szCs w:val="24"/>
              </w:rPr>
            </w:pPr>
            <w:r w:rsidRPr="008B28E7">
              <w:rPr>
                <w:b/>
                <w:sz w:val="24"/>
                <w:szCs w:val="24"/>
              </w:rPr>
              <w:t>Name:</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7777777" w:rsidR="00D05A5D" w:rsidRPr="00DA5682" w:rsidRDefault="00D05A5D" w:rsidP="00CC14B6">
            <w:pPr>
              <w:rPr>
                <w:sz w:val="24"/>
                <w:szCs w:val="24"/>
              </w:rPr>
            </w:pP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7777777" w:rsidR="00D05A5D" w:rsidRPr="00DA5682" w:rsidRDefault="00D05A5D" w:rsidP="00CC14B6">
            <w:pPr>
              <w:rPr>
                <w:sz w:val="24"/>
                <w:szCs w:val="24"/>
              </w:rPr>
            </w:pP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7777777" w:rsidR="00D05A5D" w:rsidRPr="00DA5682" w:rsidRDefault="00D05A5D" w:rsidP="00CC14B6">
            <w:pPr>
              <w:rPr>
                <w:sz w:val="24"/>
                <w:szCs w:val="24"/>
              </w:rPr>
            </w:pP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7777777" w:rsidR="00D05A5D" w:rsidRPr="00DA5682" w:rsidRDefault="00D05A5D" w:rsidP="00CC14B6">
            <w:pPr>
              <w:rPr>
                <w:sz w:val="24"/>
                <w:szCs w:val="24"/>
              </w:rPr>
            </w:pP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77777777" w:rsidR="00D05A5D" w:rsidRPr="00DA5682" w:rsidRDefault="00D05A5D" w:rsidP="00D05A5D">
      <w:pPr>
        <w:rPr>
          <w:sz w:val="24"/>
          <w:szCs w:val="24"/>
        </w:rPr>
      </w:pPr>
      <w:r w:rsidRPr="00DA5682">
        <w:rPr>
          <w:sz w:val="24"/>
          <w:szCs w:val="24"/>
        </w:rPr>
        <w:t xml:space="preserve">Signed:……………………….. Print Name:………………………… Date:……….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7777777" w:rsidR="00D05A5D" w:rsidRPr="00DA5682" w:rsidRDefault="00D05A5D" w:rsidP="00D05A5D">
      <w:pPr>
        <w:rPr>
          <w:sz w:val="24"/>
          <w:szCs w:val="24"/>
        </w:rPr>
      </w:pPr>
      <w:r w:rsidRPr="00DA5682">
        <w:rPr>
          <w:sz w:val="24"/>
          <w:szCs w:val="24"/>
        </w:rPr>
        <w:t xml:space="preserve">Signed:……………………….. Print Name:………………………….Date:……….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6276A4" w14:textId="77777777" w:rsidR="00F7126C" w:rsidRDefault="00F7126C">
      <w:r>
        <w:separator/>
      </w:r>
    </w:p>
  </w:endnote>
  <w:endnote w:type="continuationSeparator" w:id="0">
    <w:p w14:paraId="4FEB528F" w14:textId="77777777" w:rsidR="00F7126C" w:rsidRDefault="00F712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A7FEF" w14:textId="77777777" w:rsidR="00F7126C" w:rsidRDefault="00F7126C">
      <w:r>
        <w:separator/>
      </w:r>
    </w:p>
  </w:footnote>
  <w:footnote w:type="continuationSeparator" w:id="0">
    <w:p w14:paraId="4C5F1DB5" w14:textId="77777777" w:rsidR="00F7126C" w:rsidRDefault="00F712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11AD"/>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6F48"/>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E2B"/>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E83"/>
    <w:rsid w:val="003E5FBA"/>
    <w:rsid w:val="003F1233"/>
    <w:rsid w:val="003F67A4"/>
    <w:rsid w:val="00400786"/>
    <w:rsid w:val="00401997"/>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242C"/>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359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6F9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3D2C"/>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126C"/>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874</TotalTime>
  <Pages>14</Pages>
  <Words>3099</Words>
  <Characters>17665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20723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Helen Tanner</cp:lastModifiedBy>
  <cp:revision>9</cp:revision>
  <cp:lastPrinted>2020-02-11T19:20:00Z</cp:lastPrinted>
  <dcterms:created xsi:type="dcterms:W3CDTF">2026-06-10T15:33:00Z</dcterms:created>
  <dcterms:modified xsi:type="dcterms:W3CDTF">2026-06-11T06:08:00Z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