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3845C73" w14:textId="47DB8031" w:rsidR="003D6DF4" w:rsidRDefault="003D6DF4" w:rsidP="00CA5421">
      <w:pPr>
        <w:tabs>
          <w:tab w:val="left" w:pos="3544"/>
        </w:tabs>
        <w:jc w:val="center"/>
        <w:rPr>
          <w:rFonts w:ascii="Arial" w:hAnsi="Arial" w:cs="Arial"/>
          <w:b/>
          <w:sz w:val="24"/>
          <w:szCs w:val="24"/>
        </w:rPr>
      </w:pPr>
      <w:r w:rsidRPr="009356C2">
        <w:rPr>
          <w:rFonts w:ascii="Arial" w:hAnsi="Arial" w:cs="Arial"/>
          <w:noProof/>
        </w:rPr>
        <w:drawing>
          <wp:inline distT="0" distB="0" distL="0" distR="0" wp14:anchorId="4AD1BE87" wp14:editId="6B871C01">
            <wp:extent cx="1859915" cy="758825"/>
            <wp:effectExtent l="0" t="0" r="0" b="317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9915" cy="758825"/>
                    </a:xfrm>
                    <a:prstGeom prst="rect">
                      <a:avLst/>
                    </a:prstGeom>
                    <a:noFill/>
                    <a:ln>
                      <a:noFill/>
                    </a:ln>
                  </pic:spPr>
                </pic:pic>
              </a:graphicData>
            </a:graphic>
          </wp:inline>
        </w:drawing>
      </w:r>
    </w:p>
    <w:p w14:paraId="7E35CBCE" w14:textId="21FB5F51" w:rsidR="00CA5421" w:rsidRPr="00CA5421" w:rsidRDefault="00CA5421" w:rsidP="00CA5421">
      <w:pPr>
        <w:tabs>
          <w:tab w:val="left" w:pos="3544"/>
        </w:tabs>
        <w:jc w:val="center"/>
        <w:rPr>
          <w:rFonts w:ascii="Arial" w:hAnsi="Arial" w:cs="Arial"/>
          <w:b/>
          <w:sz w:val="24"/>
          <w:szCs w:val="24"/>
        </w:rPr>
      </w:pPr>
      <w:r w:rsidRPr="00536CCD">
        <w:rPr>
          <w:rFonts w:ascii="Arial" w:hAnsi="Arial" w:cs="Arial"/>
          <w:b/>
          <w:sz w:val="24"/>
          <w:szCs w:val="24"/>
        </w:rPr>
        <w:t>University of Wales, Trinity Saint David – London</w:t>
      </w:r>
    </w:p>
    <w:p w14:paraId="70D89485" w14:textId="77777777" w:rsidR="00CA5421" w:rsidRPr="00536CCD" w:rsidRDefault="00CA5421" w:rsidP="00CA5421">
      <w:pPr>
        <w:tabs>
          <w:tab w:val="left" w:pos="3544"/>
        </w:tabs>
        <w:jc w:val="center"/>
        <w:rPr>
          <w:rFonts w:ascii="Arial" w:hAnsi="Arial" w:cs="Arial"/>
          <w:b/>
          <w:sz w:val="24"/>
          <w:szCs w:val="24"/>
        </w:rPr>
      </w:pPr>
    </w:p>
    <w:p w14:paraId="3FC6A7BB" w14:textId="77777777" w:rsidR="00CA5421" w:rsidRPr="00536CCD" w:rsidRDefault="00CA5421" w:rsidP="00CA5421">
      <w:pPr>
        <w:tabs>
          <w:tab w:val="left" w:pos="3544"/>
        </w:tabs>
        <w:jc w:val="center"/>
        <w:rPr>
          <w:rFonts w:ascii="Arial" w:hAnsi="Arial" w:cs="Arial"/>
          <w:b/>
          <w:sz w:val="24"/>
          <w:szCs w:val="24"/>
        </w:rPr>
      </w:pPr>
    </w:p>
    <w:p w14:paraId="431D7CB0" w14:textId="1F447C47" w:rsidR="00CA5421" w:rsidRDefault="00CA5421" w:rsidP="00CA5421">
      <w:pPr>
        <w:tabs>
          <w:tab w:val="left" w:pos="3544"/>
        </w:tabs>
        <w:jc w:val="center"/>
        <w:rPr>
          <w:rFonts w:ascii="Arial" w:hAnsi="Arial" w:cs="Arial"/>
          <w:b/>
          <w:sz w:val="24"/>
          <w:szCs w:val="24"/>
        </w:rPr>
      </w:pPr>
    </w:p>
    <w:p w14:paraId="21606D03" w14:textId="77777777" w:rsidR="00CA5421" w:rsidRPr="00536CCD" w:rsidRDefault="00CA5421" w:rsidP="00CA5421">
      <w:pPr>
        <w:tabs>
          <w:tab w:val="left" w:pos="3544"/>
        </w:tabs>
        <w:jc w:val="center"/>
        <w:rPr>
          <w:rFonts w:ascii="Arial" w:hAnsi="Arial" w:cs="Arial"/>
          <w:b/>
          <w:sz w:val="24"/>
          <w:szCs w:val="24"/>
        </w:rPr>
      </w:pPr>
    </w:p>
    <w:p w14:paraId="5D4537EA" w14:textId="77777777" w:rsidR="00CA5421" w:rsidRPr="00B74CCA" w:rsidRDefault="00CA5421" w:rsidP="00CA5421">
      <w:pPr>
        <w:tabs>
          <w:tab w:val="left" w:pos="3544"/>
        </w:tabs>
        <w:jc w:val="center"/>
        <w:rPr>
          <w:rFonts w:ascii="Arial" w:hAnsi="Arial" w:cs="Arial"/>
          <w:b/>
          <w:sz w:val="24"/>
          <w:szCs w:val="24"/>
        </w:rPr>
      </w:pPr>
    </w:p>
    <w:p w14:paraId="48967062" w14:textId="77777777" w:rsidR="00CA5421" w:rsidRPr="00B74CCA" w:rsidRDefault="00CA5421" w:rsidP="00CA5421">
      <w:pPr>
        <w:jc w:val="center"/>
        <w:rPr>
          <w:rFonts w:ascii="Arial" w:hAnsi="Arial" w:cs="Arial"/>
          <w:b/>
          <w:bCs/>
          <w:sz w:val="40"/>
          <w:szCs w:val="40"/>
        </w:rPr>
      </w:pPr>
      <w:r w:rsidRPr="00B74CCA">
        <w:rPr>
          <w:rFonts w:ascii="Arial" w:hAnsi="Arial" w:cs="Arial"/>
          <w:b/>
          <w:bCs/>
          <w:sz w:val="40"/>
          <w:szCs w:val="40"/>
        </w:rPr>
        <w:t xml:space="preserve">THE IMPACT OF LIQUIDITY AND LEVERAGE ON PROFITABILITY </w:t>
      </w:r>
    </w:p>
    <w:p w14:paraId="7752BB58" w14:textId="2C3C3374" w:rsidR="00CA5421" w:rsidRPr="00B74CCA" w:rsidRDefault="00CA5421" w:rsidP="00CA5421">
      <w:pPr>
        <w:jc w:val="center"/>
        <w:rPr>
          <w:rFonts w:ascii="Arial" w:hAnsi="Arial" w:cs="Arial"/>
          <w:b/>
          <w:bCs/>
          <w:sz w:val="36"/>
          <w:szCs w:val="36"/>
        </w:rPr>
      </w:pPr>
      <w:r w:rsidRPr="00B74CCA">
        <w:rPr>
          <w:rFonts w:ascii="Arial" w:hAnsi="Arial" w:cs="Arial"/>
          <w:b/>
          <w:bCs/>
          <w:sz w:val="36"/>
          <w:szCs w:val="36"/>
        </w:rPr>
        <w:t>A quantitative study of European Airline Companies</w:t>
      </w:r>
    </w:p>
    <w:p w14:paraId="291AA88B" w14:textId="77777777" w:rsidR="00CA5421" w:rsidRDefault="00CA5421" w:rsidP="00CA5421">
      <w:pPr>
        <w:tabs>
          <w:tab w:val="left" w:pos="3544"/>
        </w:tabs>
        <w:jc w:val="center"/>
        <w:rPr>
          <w:rFonts w:ascii="Arial" w:hAnsi="Arial" w:cs="Arial"/>
          <w:sz w:val="24"/>
          <w:szCs w:val="24"/>
        </w:rPr>
      </w:pPr>
    </w:p>
    <w:p w14:paraId="1F19B3FA" w14:textId="1C8EB0A0" w:rsidR="00CA5421" w:rsidRPr="00536CCD" w:rsidRDefault="00CA5421" w:rsidP="00CA5421">
      <w:pPr>
        <w:tabs>
          <w:tab w:val="left" w:pos="3544"/>
        </w:tabs>
        <w:jc w:val="center"/>
        <w:rPr>
          <w:rFonts w:ascii="Arial" w:hAnsi="Arial" w:cs="Arial"/>
          <w:sz w:val="24"/>
          <w:szCs w:val="24"/>
        </w:rPr>
      </w:pPr>
      <w:r w:rsidRPr="00536CCD">
        <w:rPr>
          <w:rFonts w:ascii="Arial" w:hAnsi="Arial" w:cs="Arial"/>
          <w:sz w:val="24"/>
          <w:szCs w:val="24"/>
        </w:rPr>
        <w:t>Giorgia Bertaina, student number: 1818666</w:t>
      </w:r>
    </w:p>
    <w:p w14:paraId="381A386A" w14:textId="1B5EE29D" w:rsidR="00CA5421" w:rsidRPr="00536CCD" w:rsidRDefault="00D42A86" w:rsidP="00CA5421">
      <w:pPr>
        <w:tabs>
          <w:tab w:val="left" w:pos="3544"/>
        </w:tabs>
        <w:jc w:val="center"/>
        <w:rPr>
          <w:rFonts w:ascii="Arial" w:hAnsi="Arial" w:cs="Arial"/>
          <w:sz w:val="24"/>
          <w:szCs w:val="24"/>
        </w:rPr>
      </w:pPr>
      <w:r>
        <w:rPr>
          <w:rFonts w:ascii="Arial" w:hAnsi="Arial" w:cs="Arial"/>
          <w:sz w:val="24"/>
          <w:szCs w:val="24"/>
        </w:rPr>
        <w:t>20</w:t>
      </w:r>
      <w:r w:rsidR="00CA5421" w:rsidRPr="00536CCD">
        <w:rPr>
          <w:rFonts w:ascii="Arial" w:hAnsi="Arial" w:cs="Arial"/>
          <w:sz w:val="24"/>
          <w:szCs w:val="24"/>
          <w:vertAlign w:val="superscript"/>
        </w:rPr>
        <w:t>th</w:t>
      </w:r>
      <w:r w:rsidR="00CA5421" w:rsidRPr="00536CCD">
        <w:rPr>
          <w:rFonts w:ascii="Arial" w:hAnsi="Arial" w:cs="Arial"/>
          <w:sz w:val="24"/>
          <w:szCs w:val="24"/>
        </w:rPr>
        <w:t xml:space="preserve"> </w:t>
      </w:r>
      <w:r w:rsidR="00CA5421">
        <w:rPr>
          <w:rFonts w:ascii="Arial" w:hAnsi="Arial" w:cs="Arial"/>
          <w:sz w:val="24"/>
          <w:szCs w:val="24"/>
        </w:rPr>
        <w:t>June</w:t>
      </w:r>
      <w:r w:rsidR="00CA5421" w:rsidRPr="00536CCD">
        <w:rPr>
          <w:rFonts w:ascii="Arial" w:hAnsi="Arial" w:cs="Arial"/>
          <w:sz w:val="24"/>
          <w:szCs w:val="24"/>
        </w:rPr>
        <w:t xml:space="preserve"> 2020</w:t>
      </w:r>
    </w:p>
    <w:p w14:paraId="60F315FE" w14:textId="77777777" w:rsidR="00CA5421" w:rsidRPr="00536CCD" w:rsidRDefault="00CA5421" w:rsidP="00CA5421">
      <w:pPr>
        <w:tabs>
          <w:tab w:val="left" w:pos="3544"/>
        </w:tabs>
        <w:jc w:val="center"/>
        <w:rPr>
          <w:rFonts w:ascii="Arial" w:hAnsi="Arial" w:cs="Arial"/>
          <w:sz w:val="24"/>
          <w:szCs w:val="24"/>
        </w:rPr>
      </w:pPr>
    </w:p>
    <w:p w14:paraId="689FA928" w14:textId="77777777" w:rsidR="00CA5421" w:rsidRPr="00536CCD" w:rsidRDefault="00CA5421" w:rsidP="00CA5421">
      <w:pPr>
        <w:tabs>
          <w:tab w:val="left" w:pos="3544"/>
        </w:tabs>
        <w:jc w:val="center"/>
        <w:rPr>
          <w:rFonts w:ascii="Arial" w:hAnsi="Arial" w:cs="Arial"/>
          <w:sz w:val="24"/>
          <w:szCs w:val="24"/>
        </w:rPr>
      </w:pPr>
    </w:p>
    <w:p w14:paraId="50295559" w14:textId="77777777" w:rsidR="00CA5421" w:rsidRPr="00536CCD" w:rsidRDefault="00CA5421" w:rsidP="00CA5421">
      <w:pPr>
        <w:tabs>
          <w:tab w:val="left" w:pos="3544"/>
        </w:tabs>
        <w:jc w:val="center"/>
        <w:rPr>
          <w:rFonts w:ascii="Arial" w:hAnsi="Arial" w:cs="Arial"/>
          <w:sz w:val="24"/>
          <w:szCs w:val="24"/>
        </w:rPr>
      </w:pPr>
    </w:p>
    <w:p w14:paraId="5CBC0DCC" w14:textId="77777777" w:rsidR="00CA5421" w:rsidRPr="00536CCD" w:rsidRDefault="00CA5421" w:rsidP="00CA5421">
      <w:pPr>
        <w:tabs>
          <w:tab w:val="left" w:pos="3544"/>
        </w:tabs>
        <w:jc w:val="center"/>
        <w:rPr>
          <w:rFonts w:ascii="Arial" w:hAnsi="Arial" w:cs="Arial"/>
          <w:sz w:val="24"/>
          <w:szCs w:val="24"/>
        </w:rPr>
      </w:pPr>
    </w:p>
    <w:p w14:paraId="356A3C7A" w14:textId="77777777" w:rsidR="00CA5421" w:rsidRPr="00536CCD" w:rsidRDefault="00CA5421" w:rsidP="00CA5421">
      <w:pPr>
        <w:tabs>
          <w:tab w:val="left" w:pos="3544"/>
        </w:tabs>
        <w:jc w:val="center"/>
        <w:rPr>
          <w:rFonts w:ascii="Arial" w:hAnsi="Arial" w:cs="Arial"/>
          <w:sz w:val="24"/>
          <w:szCs w:val="24"/>
        </w:rPr>
      </w:pPr>
    </w:p>
    <w:p w14:paraId="479EE757" w14:textId="77777777" w:rsidR="00CA5421" w:rsidRPr="00536CCD" w:rsidRDefault="00CA5421" w:rsidP="00CA5421">
      <w:pPr>
        <w:tabs>
          <w:tab w:val="left" w:pos="3544"/>
        </w:tabs>
        <w:jc w:val="center"/>
        <w:rPr>
          <w:rFonts w:ascii="Arial" w:hAnsi="Arial" w:cs="Arial"/>
          <w:sz w:val="24"/>
          <w:szCs w:val="24"/>
        </w:rPr>
      </w:pPr>
    </w:p>
    <w:p w14:paraId="361DD856" w14:textId="77777777" w:rsidR="00CA5421" w:rsidRPr="00536CCD" w:rsidRDefault="00CA5421" w:rsidP="00CA5421">
      <w:pPr>
        <w:tabs>
          <w:tab w:val="left" w:pos="3544"/>
        </w:tabs>
        <w:jc w:val="center"/>
        <w:rPr>
          <w:rFonts w:ascii="Arial" w:hAnsi="Arial" w:cs="Arial"/>
          <w:sz w:val="24"/>
          <w:szCs w:val="24"/>
        </w:rPr>
      </w:pPr>
    </w:p>
    <w:p w14:paraId="32012C04" w14:textId="77777777" w:rsidR="00CA5421" w:rsidRPr="00536CCD" w:rsidRDefault="00CA5421" w:rsidP="00CA5421">
      <w:pPr>
        <w:tabs>
          <w:tab w:val="left" w:pos="3544"/>
        </w:tabs>
        <w:jc w:val="center"/>
        <w:rPr>
          <w:rFonts w:ascii="Arial" w:hAnsi="Arial" w:cs="Arial"/>
          <w:sz w:val="24"/>
          <w:szCs w:val="24"/>
        </w:rPr>
      </w:pPr>
    </w:p>
    <w:p w14:paraId="720267F2" w14:textId="77777777" w:rsidR="00CA5421" w:rsidRPr="00536CCD" w:rsidRDefault="00CA5421" w:rsidP="00CA5421">
      <w:pPr>
        <w:tabs>
          <w:tab w:val="left" w:pos="3544"/>
        </w:tabs>
        <w:jc w:val="center"/>
        <w:rPr>
          <w:rFonts w:ascii="Arial" w:hAnsi="Arial" w:cs="Arial"/>
          <w:sz w:val="24"/>
          <w:szCs w:val="24"/>
        </w:rPr>
      </w:pPr>
    </w:p>
    <w:p w14:paraId="3C65E5EB" w14:textId="77777777" w:rsidR="00CA5421" w:rsidRPr="00536CCD" w:rsidRDefault="00CA5421" w:rsidP="003D6DF4">
      <w:pPr>
        <w:tabs>
          <w:tab w:val="left" w:pos="3544"/>
        </w:tabs>
        <w:rPr>
          <w:rFonts w:ascii="Arial" w:hAnsi="Arial" w:cs="Arial"/>
          <w:sz w:val="24"/>
          <w:szCs w:val="24"/>
        </w:rPr>
      </w:pPr>
    </w:p>
    <w:p w14:paraId="48B57122" w14:textId="4222590B" w:rsidR="00CA5421" w:rsidRDefault="00CA5421" w:rsidP="00CA5421">
      <w:pPr>
        <w:tabs>
          <w:tab w:val="left" w:pos="3544"/>
        </w:tabs>
        <w:jc w:val="center"/>
        <w:rPr>
          <w:rFonts w:ascii="Arial" w:hAnsi="Arial" w:cs="Arial"/>
          <w:sz w:val="24"/>
          <w:szCs w:val="24"/>
        </w:rPr>
      </w:pPr>
      <w:r w:rsidRPr="00CA5421">
        <w:rPr>
          <w:rFonts w:ascii="Arial" w:hAnsi="Arial" w:cs="Arial"/>
          <w:sz w:val="24"/>
          <w:szCs w:val="24"/>
        </w:rPr>
        <w:t xml:space="preserve">MBA Dissertation </w:t>
      </w:r>
    </w:p>
    <w:p w14:paraId="2C32346D" w14:textId="08958A00" w:rsidR="00CA5421" w:rsidRPr="00CA5421" w:rsidRDefault="00CA5421" w:rsidP="00CA5421">
      <w:pPr>
        <w:tabs>
          <w:tab w:val="left" w:pos="3544"/>
        </w:tabs>
        <w:jc w:val="center"/>
        <w:rPr>
          <w:rFonts w:ascii="Arial" w:hAnsi="Arial" w:cs="Arial"/>
          <w:i/>
          <w:iCs/>
          <w:sz w:val="24"/>
          <w:szCs w:val="24"/>
        </w:rPr>
      </w:pPr>
      <w:r w:rsidRPr="00CA5421">
        <w:rPr>
          <w:rFonts w:ascii="Arial" w:hAnsi="Arial" w:cs="Arial"/>
          <w:i/>
          <w:iCs/>
          <w:sz w:val="24"/>
          <w:szCs w:val="24"/>
        </w:rPr>
        <w:t>Banking and F</w:t>
      </w:r>
      <w:r>
        <w:rPr>
          <w:rFonts w:ascii="Arial" w:hAnsi="Arial" w:cs="Arial"/>
          <w:i/>
          <w:iCs/>
          <w:sz w:val="24"/>
          <w:szCs w:val="24"/>
        </w:rPr>
        <w:t>inance</w:t>
      </w:r>
      <w:r w:rsidR="00E20EFD">
        <w:rPr>
          <w:rFonts w:ascii="Arial" w:hAnsi="Arial" w:cs="Arial"/>
          <w:i/>
          <w:iCs/>
          <w:sz w:val="24"/>
          <w:szCs w:val="24"/>
        </w:rPr>
        <w:t xml:space="preserve"> Program</w:t>
      </w:r>
    </w:p>
    <w:p w14:paraId="3F9C4FCE" w14:textId="75888870" w:rsidR="00CA5421" w:rsidRDefault="00E20EFD" w:rsidP="00CA5421">
      <w:pPr>
        <w:tabs>
          <w:tab w:val="left" w:pos="3544"/>
        </w:tabs>
        <w:jc w:val="center"/>
        <w:rPr>
          <w:rFonts w:ascii="Arial" w:hAnsi="Arial" w:cs="Arial"/>
          <w:sz w:val="24"/>
          <w:szCs w:val="24"/>
        </w:rPr>
      </w:pPr>
      <w:r>
        <w:rPr>
          <w:rFonts w:ascii="Arial" w:hAnsi="Arial" w:cs="Arial"/>
          <w:sz w:val="24"/>
          <w:szCs w:val="24"/>
        </w:rPr>
        <w:t>Summer 2020</w:t>
      </w:r>
    </w:p>
    <w:p w14:paraId="11E72C79" w14:textId="0C5A4A7B" w:rsidR="00E20EFD" w:rsidRPr="00CA5421" w:rsidRDefault="00E20EFD" w:rsidP="00CA5421">
      <w:pPr>
        <w:tabs>
          <w:tab w:val="left" w:pos="3544"/>
        </w:tabs>
        <w:jc w:val="center"/>
        <w:rPr>
          <w:rFonts w:ascii="Arial" w:hAnsi="Arial" w:cs="Arial"/>
          <w:sz w:val="24"/>
          <w:szCs w:val="24"/>
        </w:rPr>
      </w:pPr>
      <w:r>
        <w:rPr>
          <w:rFonts w:ascii="Arial" w:hAnsi="Arial" w:cs="Arial"/>
          <w:sz w:val="24"/>
          <w:szCs w:val="24"/>
        </w:rPr>
        <w:t>Supervisor: Jia Miao</w:t>
      </w:r>
    </w:p>
    <w:p w14:paraId="37C6125F" w14:textId="1BED1550" w:rsidR="003D6DF4" w:rsidRPr="009356C2" w:rsidRDefault="003D6DF4" w:rsidP="003D6DF4">
      <w:pPr>
        <w:pBdr>
          <w:top w:val="single" w:sz="4" w:space="1" w:color="auto"/>
          <w:left w:val="single" w:sz="4" w:space="4" w:color="auto"/>
          <w:bottom w:val="single" w:sz="4" w:space="1" w:color="auto"/>
          <w:right w:val="single" w:sz="4" w:space="4" w:color="auto"/>
        </w:pBdr>
        <w:spacing w:after="120"/>
        <w:jc w:val="center"/>
        <w:rPr>
          <w:rFonts w:ascii="Arial" w:hAnsi="Arial" w:cs="Arial"/>
        </w:rPr>
      </w:pPr>
      <w:r w:rsidRPr="009356C2">
        <w:rPr>
          <w:rFonts w:ascii="Arial" w:hAnsi="Arial" w:cs="Arial"/>
          <w:noProof/>
        </w:rPr>
        <w:lastRenderedPageBreak/>
        <w:drawing>
          <wp:inline distT="0" distB="0" distL="0" distR="0" wp14:anchorId="1F3462FC" wp14:editId="24243409">
            <wp:extent cx="1859915" cy="758825"/>
            <wp:effectExtent l="0" t="0" r="0" b="317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9915" cy="758825"/>
                    </a:xfrm>
                    <a:prstGeom prst="rect">
                      <a:avLst/>
                    </a:prstGeom>
                    <a:noFill/>
                    <a:ln>
                      <a:noFill/>
                    </a:ln>
                  </pic:spPr>
                </pic:pic>
              </a:graphicData>
            </a:graphic>
          </wp:inline>
        </w:drawing>
      </w:r>
    </w:p>
    <w:p w14:paraId="44BBA286" w14:textId="77777777" w:rsidR="003D6DF4" w:rsidRPr="00B74CCA" w:rsidRDefault="003D6DF4" w:rsidP="0060761D">
      <w:pPr>
        <w:pBdr>
          <w:top w:val="single" w:sz="4" w:space="1" w:color="auto"/>
          <w:left w:val="single" w:sz="4" w:space="4" w:color="auto"/>
          <w:bottom w:val="single" w:sz="4" w:space="1" w:color="auto"/>
          <w:right w:val="single" w:sz="4" w:space="4" w:color="auto"/>
        </w:pBdr>
        <w:spacing w:after="120" w:line="276" w:lineRule="auto"/>
        <w:jc w:val="center"/>
        <w:rPr>
          <w:rFonts w:cstheme="minorHAnsi"/>
        </w:rPr>
      </w:pPr>
      <w:r w:rsidRPr="00B74CCA">
        <w:rPr>
          <w:rFonts w:cstheme="minorHAnsi"/>
          <w:b/>
        </w:rPr>
        <w:t>Master’s Degrees by Examination and Dissertation</w:t>
      </w:r>
    </w:p>
    <w:p w14:paraId="6D56CA9D" w14:textId="77777777" w:rsidR="003D6DF4" w:rsidRPr="00B74CCA" w:rsidRDefault="003D6DF4" w:rsidP="0060761D">
      <w:pPr>
        <w:pBdr>
          <w:top w:val="single" w:sz="4" w:space="1" w:color="auto"/>
          <w:left w:val="single" w:sz="4" w:space="4" w:color="auto"/>
          <w:bottom w:val="single" w:sz="4" w:space="1" w:color="auto"/>
          <w:right w:val="single" w:sz="4" w:space="4" w:color="auto"/>
        </w:pBdr>
        <w:spacing w:after="120" w:line="276" w:lineRule="auto"/>
        <w:jc w:val="center"/>
        <w:rPr>
          <w:rFonts w:cstheme="minorHAnsi"/>
        </w:rPr>
      </w:pPr>
      <w:r w:rsidRPr="00B74CCA">
        <w:rPr>
          <w:rFonts w:cstheme="minorHAnsi"/>
          <w:b/>
        </w:rPr>
        <w:t>Declaration Form</w:t>
      </w:r>
      <w:r w:rsidRPr="00B74CCA">
        <w:rPr>
          <w:rFonts w:cstheme="minorHAnsi"/>
        </w:rPr>
        <w:t>.</w:t>
      </w:r>
    </w:p>
    <w:p w14:paraId="35A7E45E" w14:textId="77777777" w:rsidR="003D6DF4" w:rsidRPr="00B74CCA" w:rsidRDefault="003D6DF4" w:rsidP="0060761D">
      <w:pPr>
        <w:pBdr>
          <w:top w:val="single" w:sz="4" w:space="1" w:color="auto"/>
          <w:left w:val="single" w:sz="4" w:space="4" w:color="auto"/>
          <w:bottom w:val="single" w:sz="4" w:space="1" w:color="auto"/>
          <w:right w:val="single" w:sz="4" w:space="4" w:color="auto"/>
        </w:pBdr>
        <w:spacing w:after="120" w:line="276" w:lineRule="auto"/>
        <w:jc w:val="both"/>
        <w:rPr>
          <w:rFonts w:cstheme="minorHAnsi"/>
        </w:rPr>
      </w:pPr>
      <w:r w:rsidRPr="00B74CCA">
        <w:rPr>
          <w:rFonts w:cstheme="minorHAnsi"/>
        </w:rPr>
        <w:t>1. This work has not previously been accepted in substance for any degree and is not being concurrently submitted in candidature for any degree.</w:t>
      </w:r>
    </w:p>
    <w:p w14:paraId="04F0C364" w14:textId="3A90EC90" w:rsidR="003D6DF4" w:rsidRPr="00B74CCA" w:rsidRDefault="003D6DF4" w:rsidP="0060761D">
      <w:pPr>
        <w:pBdr>
          <w:top w:val="single" w:sz="4" w:space="1" w:color="auto"/>
          <w:left w:val="single" w:sz="4" w:space="4" w:color="auto"/>
          <w:bottom w:val="single" w:sz="4" w:space="1" w:color="auto"/>
          <w:right w:val="single" w:sz="4" w:space="4" w:color="auto"/>
        </w:pBdr>
        <w:spacing w:after="120" w:line="276" w:lineRule="auto"/>
        <w:jc w:val="both"/>
        <w:rPr>
          <w:rFonts w:cstheme="minorHAnsi"/>
        </w:rPr>
      </w:pPr>
      <w:r w:rsidRPr="00B74CCA">
        <w:rPr>
          <w:rFonts w:cstheme="minorHAnsi"/>
        </w:rPr>
        <w:t>Signed: Jia Miao</w:t>
      </w:r>
    </w:p>
    <w:p w14:paraId="2384939E" w14:textId="4AB5ADE1" w:rsidR="003D6DF4" w:rsidRPr="00B74CCA" w:rsidRDefault="003D6DF4" w:rsidP="0060761D">
      <w:pPr>
        <w:pBdr>
          <w:top w:val="single" w:sz="4" w:space="1" w:color="auto"/>
          <w:left w:val="single" w:sz="4" w:space="4" w:color="auto"/>
          <w:bottom w:val="single" w:sz="4" w:space="1" w:color="auto"/>
          <w:right w:val="single" w:sz="4" w:space="4" w:color="auto"/>
        </w:pBdr>
        <w:spacing w:after="120" w:line="276" w:lineRule="auto"/>
        <w:jc w:val="both"/>
        <w:rPr>
          <w:rFonts w:cstheme="minorHAnsi"/>
        </w:rPr>
      </w:pPr>
      <w:r w:rsidRPr="00B74CCA">
        <w:rPr>
          <w:rFonts w:cstheme="minorHAnsi"/>
        </w:rPr>
        <w:t xml:space="preserve">Date: </w:t>
      </w:r>
      <w:r w:rsidR="00D42A86">
        <w:rPr>
          <w:rFonts w:cstheme="minorHAnsi"/>
        </w:rPr>
        <w:t>20</w:t>
      </w:r>
      <w:r w:rsidRPr="00B74CCA">
        <w:rPr>
          <w:rFonts w:cstheme="minorHAnsi"/>
        </w:rPr>
        <w:t>/06/2020</w:t>
      </w:r>
    </w:p>
    <w:p w14:paraId="301FE865" w14:textId="77777777" w:rsidR="003D6DF4" w:rsidRPr="00B74CCA" w:rsidRDefault="003D6DF4" w:rsidP="0060761D">
      <w:pPr>
        <w:pBdr>
          <w:top w:val="single" w:sz="4" w:space="1" w:color="auto"/>
          <w:left w:val="single" w:sz="4" w:space="4" w:color="auto"/>
          <w:bottom w:val="single" w:sz="4" w:space="1" w:color="auto"/>
          <w:right w:val="single" w:sz="4" w:space="4" w:color="auto"/>
        </w:pBdr>
        <w:spacing w:after="120" w:line="276" w:lineRule="auto"/>
        <w:jc w:val="both"/>
        <w:rPr>
          <w:rFonts w:cstheme="minorHAnsi"/>
        </w:rPr>
      </w:pPr>
      <w:r w:rsidRPr="00B74CCA">
        <w:rPr>
          <w:rFonts w:cstheme="minorHAnsi"/>
        </w:rPr>
        <w:t xml:space="preserve">  </w:t>
      </w:r>
    </w:p>
    <w:p w14:paraId="532335EB" w14:textId="77777777" w:rsidR="003D6DF4" w:rsidRPr="00B74CCA" w:rsidRDefault="003D6DF4" w:rsidP="0060761D">
      <w:pPr>
        <w:pBdr>
          <w:top w:val="single" w:sz="4" w:space="1" w:color="auto"/>
          <w:left w:val="single" w:sz="4" w:space="4" w:color="auto"/>
          <w:bottom w:val="single" w:sz="4" w:space="1" w:color="auto"/>
          <w:right w:val="single" w:sz="4" w:space="4" w:color="auto"/>
        </w:pBdr>
        <w:spacing w:after="120" w:line="276" w:lineRule="auto"/>
        <w:jc w:val="both"/>
        <w:rPr>
          <w:rFonts w:cstheme="minorHAnsi"/>
        </w:rPr>
      </w:pPr>
      <w:r w:rsidRPr="00B74CCA">
        <w:rPr>
          <w:rFonts w:cstheme="minorHAnsi"/>
        </w:rPr>
        <w:t>2. This dissertation is being submitted in partial fulfilment of the requirements for the degree of Master in Business Administration.</w:t>
      </w:r>
    </w:p>
    <w:p w14:paraId="08D8604D" w14:textId="5DB6DF37" w:rsidR="003D6DF4" w:rsidRPr="00B74CCA" w:rsidRDefault="003D6DF4" w:rsidP="0060761D">
      <w:pPr>
        <w:pBdr>
          <w:top w:val="single" w:sz="4" w:space="1" w:color="auto"/>
          <w:left w:val="single" w:sz="4" w:space="4" w:color="auto"/>
          <w:bottom w:val="single" w:sz="4" w:space="1" w:color="auto"/>
          <w:right w:val="single" w:sz="4" w:space="4" w:color="auto"/>
        </w:pBdr>
        <w:spacing w:after="120" w:line="276" w:lineRule="auto"/>
        <w:jc w:val="both"/>
        <w:rPr>
          <w:rFonts w:cstheme="minorHAnsi"/>
        </w:rPr>
      </w:pPr>
      <w:r w:rsidRPr="00B74CCA">
        <w:rPr>
          <w:rFonts w:cstheme="minorHAnsi"/>
        </w:rPr>
        <w:t>Signed: Jia Miao</w:t>
      </w:r>
    </w:p>
    <w:p w14:paraId="6FF31AF9" w14:textId="0194FAFC" w:rsidR="003D6DF4" w:rsidRPr="00B74CCA" w:rsidRDefault="003D6DF4" w:rsidP="0060761D">
      <w:pPr>
        <w:pBdr>
          <w:top w:val="single" w:sz="4" w:space="1" w:color="auto"/>
          <w:left w:val="single" w:sz="4" w:space="4" w:color="auto"/>
          <w:bottom w:val="single" w:sz="4" w:space="1" w:color="auto"/>
          <w:right w:val="single" w:sz="4" w:space="4" w:color="auto"/>
        </w:pBdr>
        <w:spacing w:after="120" w:line="276" w:lineRule="auto"/>
        <w:jc w:val="both"/>
        <w:rPr>
          <w:rFonts w:cstheme="minorHAnsi"/>
        </w:rPr>
      </w:pPr>
      <w:r w:rsidRPr="00B74CCA">
        <w:rPr>
          <w:rFonts w:cstheme="minorHAnsi"/>
        </w:rPr>
        <w:t xml:space="preserve">Date: </w:t>
      </w:r>
      <w:r w:rsidR="00D42A86">
        <w:rPr>
          <w:rFonts w:cstheme="minorHAnsi"/>
        </w:rPr>
        <w:t>20</w:t>
      </w:r>
      <w:r w:rsidRPr="00B74CCA">
        <w:rPr>
          <w:rFonts w:cstheme="minorHAnsi"/>
        </w:rPr>
        <w:t>/06/2020</w:t>
      </w:r>
    </w:p>
    <w:p w14:paraId="5C5EBAB7" w14:textId="77777777" w:rsidR="003D6DF4" w:rsidRPr="00B74CCA" w:rsidRDefault="003D6DF4" w:rsidP="0060761D">
      <w:pPr>
        <w:pBdr>
          <w:top w:val="single" w:sz="4" w:space="1" w:color="auto"/>
          <w:left w:val="single" w:sz="4" w:space="4" w:color="auto"/>
          <w:bottom w:val="single" w:sz="4" w:space="1" w:color="auto"/>
          <w:right w:val="single" w:sz="4" w:space="4" w:color="auto"/>
        </w:pBdr>
        <w:spacing w:after="120" w:line="276" w:lineRule="auto"/>
        <w:jc w:val="both"/>
        <w:rPr>
          <w:rFonts w:cstheme="minorHAnsi"/>
        </w:rPr>
      </w:pPr>
      <w:r w:rsidRPr="00B74CCA">
        <w:rPr>
          <w:rFonts w:cstheme="minorHAnsi"/>
        </w:rPr>
        <w:t xml:space="preserve"> 3. This dissertation is the result of my own independent work/investigation, except where otherwise stated.</w:t>
      </w:r>
    </w:p>
    <w:p w14:paraId="392DECDA" w14:textId="77777777" w:rsidR="003D6DF4" w:rsidRPr="00B74CCA" w:rsidRDefault="003D6DF4" w:rsidP="0060761D">
      <w:pPr>
        <w:pBdr>
          <w:top w:val="single" w:sz="4" w:space="1" w:color="auto"/>
          <w:left w:val="single" w:sz="4" w:space="4" w:color="auto"/>
          <w:bottom w:val="single" w:sz="4" w:space="1" w:color="auto"/>
          <w:right w:val="single" w:sz="4" w:space="4" w:color="auto"/>
        </w:pBdr>
        <w:spacing w:after="120" w:line="276" w:lineRule="auto"/>
        <w:jc w:val="both"/>
        <w:rPr>
          <w:rFonts w:cstheme="minorHAnsi"/>
        </w:rPr>
      </w:pPr>
      <w:r w:rsidRPr="00B74CCA">
        <w:rPr>
          <w:rFonts w:cstheme="minorHAnsi"/>
        </w:rPr>
        <w:t xml:space="preserve">Other sources are acknowledged by footnotes giving explicit references. </w:t>
      </w:r>
    </w:p>
    <w:p w14:paraId="31E43007" w14:textId="77777777" w:rsidR="003D6DF4" w:rsidRPr="00B74CCA" w:rsidRDefault="003D6DF4" w:rsidP="0060761D">
      <w:pPr>
        <w:pBdr>
          <w:top w:val="single" w:sz="4" w:space="1" w:color="auto"/>
          <w:left w:val="single" w:sz="4" w:space="4" w:color="auto"/>
          <w:bottom w:val="single" w:sz="4" w:space="1" w:color="auto"/>
          <w:right w:val="single" w:sz="4" w:space="4" w:color="auto"/>
        </w:pBdr>
        <w:spacing w:after="120" w:line="276" w:lineRule="auto"/>
        <w:jc w:val="both"/>
        <w:rPr>
          <w:rFonts w:cstheme="minorHAnsi"/>
        </w:rPr>
      </w:pPr>
      <w:r w:rsidRPr="00B74CCA">
        <w:rPr>
          <w:rFonts w:cstheme="minorHAnsi"/>
        </w:rPr>
        <w:t>A bibliography is appended.</w:t>
      </w:r>
    </w:p>
    <w:p w14:paraId="1A13454D" w14:textId="48D5061A" w:rsidR="003D6DF4" w:rsidRPr="00B74CCA" w:rsidRDefault="003D6DF4" w:rsidP="0060761D">
      <w:pPr>
        <w:pBdr>
          <w:top w:val="single" w:sz="4" w:space="1" w:color="auto"/>
          <w:left w:val="single" w:sz="4" w:space="4" w:color="auto"/>
          <w:bottom w:val="single" w:sz="4" w:space="1" w:color="auto"/>
          <w:right w:val="single" w:sz="4" w:space="4" w:color="auto"/>
        </w:pBdr>
        <w:spacing w:after="120" w:line="276" w:lineRule="auto"/>
        <w:jc w:val="both"/>
        <w:rPr>
          <w:rFonts w:cstheme="minorHAnsi"/>
        </w:rPr>
      </w:pPr>
      <w:r w:rsidRPr="00B74CCA">
        <w:rPr>
          <w:rFonts w:cstheme="minorHAnsi"/>
        </w:rPr>
        <w:t>Signed candidate: Giorgia Bertaina</w:t>
      </w:r>
    </w:p>
    <w:p w14:paraId="70565CC2" w14:textId="204C6CFD" w:rsidR="003D6DF4" w:rsidRPr="00B74CCA" w:rsidRDefault="003D6DF4" w:rsidP="0060761D">
      <w:pPr>
        <w:pBdr>
          <w:top w:val="single" w:sz="4" w:space="1" w:color="auto"/>
          <w:left w:val="single" w:sz="4" w:space="4" w:color="auto"/>
          <w:bottom w:val="single" w:sz="4" w:space="1" w:color="auto"/>
          <w:right w:val="single" w:sz="4" w:space="4" w:color="auto"/>
        </w:pBdr>
        <w:spacing w:after="120" w:line="276" w:lineRule="auto"/>
        <w:jc w:val="both"/>
        <w:rPr>
          <w:rFonts w:cstheme="minorHAnsi"/>
        </w:rPr>
      </w:pPr>
      <w:r w:rsidRPr="00B74CCA">
        <w:rPr>
          <w:rFonts w:cstheme="minorHAnsi"/>
        </w:rPr>
        <w:t xml:space="preserve">Date: </w:t>
      </w:r>
      <w:r w:rsidR="00D42A86">
        <w:rPr>
          <w:rFonts w:cstheme="minorHAnsi"/>
        </w:rPr>
        <w:t>20</w:t>
      </w:r>
      <w:r w:rsidRPr="00B74CCA">
        <w:rPr>
          <w:rFonts w:cstheme="minorHAnsi"/>
        </w:rPr>
        <w:t>/06/2020</w:t>
      </w:r>
    </w:p>
    <w:p w14:paraId="3C316AC0" w14:textId="77777777" w:rsidR="003D6DF4" w:rsidRPr="00B74CCA" w:rsidRDefault="003D6DF4" w:rsidP="0060761D">
      <w:pPr>
        <w:pBdr>
          <w:top w:val="single" w:sz="4" w:space="1" w:color="auto"/>
          <w:left w:val="single" w:sz="4" w:space="4" w:color="auto"/>
          <w:bottom w:val="single" w:sz="4" w:space="1" w:color="auto"/>
          <w:right w:val="single" w:sz="4" w:space="4" w:color="auto"/>
        </w:pBdr>
        <w:spacing w:after="120" w:line="276" w:lineRule="auto"/>
        <w:jc w:val="both"/>
        <w:rPr>
          <w:rFonts w:cstheme="minorHAnsi"/>
          <w:sz w:val="20"/>
          <w:szCs w:val="20"/>
        </w:rPr>
      </w:pPr>
      <w:r w:rsidRPr="00B74CCA">
        <w:rPr>
          <w:rFonts w:cstheme="minorHAnsi"/>
        </w:rPr>
        <w:t xml:space="preserve">  </w:t>
      </w:r>
    </w:p>
    <w:p w14:paraId="4ED90D5C" w14:textId="77777777" w:rsidR="003D6DF4" w:rsidRPr="00B74CCA" w:rsidRDefault="003D6DF4" w:rsidP="0060761D">
      <w:pPr>
        <w:pBdr>
          <w:top w:val="single" w:sz="4" w:space="1" w:color="auto"/>
          <w:left w:val="single" w:sz="4" w:space="4" w:color="auto"/>
          <w:bottom w:val="single" w:sz="4" w:space="1" w:color="auto"/>
          <w:right w:val="single" w:sz="4" w:space="4" w:color="auto"/>
        </w:pBdr>
        <w:spacing w:after="120" w:line="276" w:lineRule="auto"/>
        <w:jc w:val="both"/>
        <w:rPr>
          <w:rFonts w:cstheme="minorHAnsi"/>
        </w:rPr>
      </w:pPr>
      <w:r w:rsidRPr="00B74CCA">
        <w:rPr>
          <w:rFonts w:cstheme="minorHAnsi"/>
        </w:rPr>
        <w:t xml:space="preserve">4. I hereby give consent for my dissertation, if accepted, to be available for photocopying,  inter- library loan, and for deposit in the University’s digital repository </w:t>
      </w:r>
    </w:p>
    <w:p w14:paraId="77E25271" w14:textId="145CD38D" w:rsidR="003D6DF4" w:rsidRPr="00B74CCA" w:rsidRDefault="003D6DF4" w:rsidP="0060761D">
      <w:pPr>
        <w:pBdr>
          <w:top w:val="single" w:sz="4" w:space="1" w:color="auto"/>
          <w:left w:val="single" w:sz="4" w:space="4" w:color="auto"/>
          <w:bottom w:val="single" w:sz="4" w:space="1" w:color="auto"/>
          <w:right w:val="single" w:sz="4" w:space="4" w:color="auto"/>
        </w:pBdr>
        <w:spacing w:after="120" w:line="276" w:lineRule="auto"/>
        <w:jc w:val="both"/>
        <w:rPr>
          <w:rFonts w:cstheme="minorHAnsi"/>
        </w:rPr>
      </w:pPr>
      <w:r w:rsidRPr="00B74CCA">
        <w:rPr>
          <w:rFonts w:cstheme="minorHAnsi"/>
        </w:rPr>
        <w:t>Signed (candidate): Giorgia Bertaina</w:t>
      </w:r>
    </w:p>
    <w:p w14:paraId="4081B8F4" w14:textId="3E7DEFBC" w:rsidR="003D6DF4" w:rsidRPr="00B74CCA" w:rsidRDefault="003D6DF4" w:rsidP="0060761D">
      <w:pPr>
        <w:pBdr>
          <w:top w:val="single" w:sz="4" w:space="1" w:color="auto"/>
          <w:left w:val="single" w:sz="4" w:space="4" w:color="auto"/>
          <w:bottom w:val="single" w:sz="4" w:space="1" w:color="auto"/>
          <w:right w:val="single" w:sz="4" w:space="4" w:color="auto"/>
        </w:pBdr>
        <w:spacing w:after="120" w:line="276" w:lineRule="auto"/>
        <w:jc w:val="both"/>
        <w:rPr>
          <w:rFonts w:cstheme="minorHAnsi"/>
        </w:rPr>
      </w:pPr>
      <w:r w:rsidRPr="00B74CCA">
        <w:rPr>
          <w:rFonts w:cstheme="minorHAnsi"/>
        </w:rPr>
        <w:t xml:space="preserve">Date: </w:t>
      </w:r>
      <w:r w:rsidR="00D42A86">
        <w:rPr>
          <w:rFonts w:cstheme="minorHAnsi"/>
        </w:rPr>
        <w:t>20</w:t>
      </w:r>
      <w:r w:rsidRPr="00B74CCA">
        <w:rPr>
          <w:rFonts w:cstheme="minorHAnsi"/>
        </w:rPr>
        <w:t>/06/2020</w:t>
      </w:r>
    </w:p>
    <w:p w14:paraId="4BA144E1" w14:textId="77777777" w:rsidR="003D6DF4" w:rsidRPr="00B74CCA" w:rsidRDefault="003D6DF4" w:rsidP="0060761D">
      <w:pPr>
        <w:pBdr>
          <w:top w:val="single" w:sz="4" w:space="1" w:color="auto"/>
          <w:left w:val="single" w:sz="4" w:space="4" w:color="auto"/>
          <w:bottom w:val="single" w:sz="4" w:space="1" w:color="auto"/>
          <w:right w:val="single" w:sz="4" w:space="4" w:color="auto"/>
        </w:pBdr>
        <w:spacing w:after="120" w:line="276" w:lineRule="auto"/>
        <w:jc w:val="both"/>
        <w:rPr>
          <w:rFonts w:cstheme="minorHAnsi"/>
        </w:rPr>
      </w:pPr>
      <w:r w:rsidRPr="00B74CCA">
        <w:rPr>
          <w:rFonts w:cstheme="minorHAnsi"/>
          <w:b/>
        </w:rPr>
        <w:t>Supervisor’s Declaration</w:t>
      </w:r>
      <w:r w:rsidRPr="00B74CCA">
        <w:rPr>
          <w:rFonts w:cstheme="minorHAnsi"/>
        </w:rPr>
        <w:t>.</w:t>
      </w:r>
    </w:p>
    <w:p w14:paraId="04DC3639" w14:textId="77777777" w:rsidR="003D6DF4" w:rsidRPr="00B74CCA" w:rsidRDefault="003D6DF4" w:rsidP="0060761D">
      <w:pPr>
        <w:pBdr>
          <w:top w:val="single" w:sz="4" w:space="1" w:color="auto"/>
          <w:left w:val="single" w:sz="4" w:space="4" w:color="auto"/>
          <w:bottom w:val="single" w:sz="4" w:space="1" w:color="auto"/>
          <w:right w:val="single" w:sz="4" w:space="4" w:color="auto"/>
        </w:pBdr>
        <w:spacing w:after="120" w:line="276" w:lineRule="auto"/>
        <w:jc w:val="both"/>
        <w:rPr>
          <w:rFonts w:cstheme="minorHAnsi"/>
        </w:rPr>
      </w:pPr>
      <w:r w:rsidRPr="00B74CCA">
        <w:rPr>
          <w:rFonts w:cstheme="minorHAnsi"/>
        </w:rPr>
        <w:t>I am satisfied that this work is the result of the student’s own efforts.</w:t>
      </w:r>
    </w:p>
    <w:p w14:paraId="0F18CAF4" w14:textId="1E02ADA7" w:rsidR="003D6DF4" w:rsidRPr="00B74CCA" w:rsidRDefault="003D6DF4" w:rsidP="0060761D">
      <w:pPr>
        <w:pBdr>
          <w:top w:val="single" w:sz="4" w:space="1" w:color="auto"/>
          <w:left w:val="single" w:sz="4" w:space="4" w:color="auto"/>
          <w:bottom w:val="single" w:sz="4" w:space="1" w:color="auto"/>
          <w:right w:val="single" w:sz="4" w:space="4" w:color="auto"/>
        </w:pBdr>
        <w:spacing w:after="120" w:line="276" w:lineRule="auto"/>
        <w:jc w:val="both"/>
        <w:rPr>
          <w:rFonts w:cstheme="minorHAnsi"/>
        </w:rPr>
      </w:pPr>
      <w:r w:rsidRPr="00B74CCA">
        <w:rPr>
          <w:rFonts w:cstheme="minorHAnsi"/>
        </w:rPr>
        <w:t>Signed: Jia Miao</w:t>
      </w:r>
    </w:p>
    <w:p w14:paraId="452EA67E" w14:textId="5029E2D7" w:rsidR="003D6DF4" w:rsidRPr="00B74CCA" w:rsidRDefault="003D6DF4" w:rsidP="0060761D">
      <w:pPr>
        <w:pBdr>
          <w:top w:val="single" w:sz="4" w:space="1" w:color="auto"/>
          <w:left w:val="single" w:sz="4" w:space="4" w:color="auto"/>
          <w:bottom w:val="single" w:sz="4" w:space="1" w:color="auto"/>
          <w:right w:val="single" w:sz="4" w:space="4" w:color="auto"/>
        </w:pBdr>
        <w:spacing w:after="120" w:line="276" w:lineRule="auto"/>
        <w:jc w:val="both"/>
        <w:rPr>
          <w:rFonts w:cstheme="minorHAnsi"/>
        </w:rPr>
      </w:pPr>
      <w:r w:rsidRPr="00B74CCA">
        <w:rPr>
          <w:rFonts w:cstheme="minorHAnsi"/>
        </w:rPr>
        <w:t xml:space="preserve">Date:  </w:t>
      </w:r>
      <w:r w:rsidR="00D42A86">
        <w:rPr>
          <w:rFonts w:cstheme="minorHAnsi"/>
        </w:rPr>
        <w:t>20</w:t>
      </w:r>
      <w:r w:rsidRPr="00B74CCA">
        <w:rPr>
          <w:rFonts w:cstheme="minorHAnsi"/>
        </w:rPr>
        <w:t>/06/2020</w:t>
      </w:r>
    </w:p>
    <w:p w14:paraId="328B1159" w14:textId="77777777" w:rsidR="00CA5421" w:rsidRPr="00B74CCA" w:rsidRDefault="00CA5421">
      <w:pPr>
        <w:rPr>
          <w:rFonts w:cstheme="minorHAnsi"/>
        </w:rPr>
      </w:pPr>
    </w:p>
    <w:p w14:paraId="5DB6D236" w14:textId="77777777" w:rsidR="00CA5421" w:rsidRPr="00B74CCA" w:rsidRDefault="00CA5421" w:rsidP="00CA5421">
      <w:pPr>
        <w:jc w:val="center"/>
        <w:rPr>
          <w:rFonts w:cstheme="minorHAnsi"/>
        </w:rPr>
      </w:pPr>
    </w:p>
    <w:p w14:paraId="4A39FBFC" w14:textId="77777777" w:rsidR="00CA5421" w:rsidRPr="00B74CCA" w:rsidRDefault="00CA5421">
      <w:pPr>
        <w:rPr>
          <w:rFonts w:cstheme="minorHAnsi"/>
        </w:rPr>
      </w:pPr>
    </w:p>
    <w:p w14:paraId="5ACFC191" w14:textId="77777777" w:rsidR="00CA5421" w:rsidRPr="00B74CCA" w:rsidRDefault="00CA5421">
      <w:pPr>
        <w:rPr>
          <w:rFonts w:cstheme="minorHAnsi"/>
        </w:rPr>
      </w:pPr>
    </w:p>
    <w:p w14:paraId="3B14AEC4" w14:textId="77777777" w:rsidR="003D6DF4" w:rsidRPr="00B74CCA" w:rsidRDefault="003D6DF4" w:rsidP="003D6DF4">
      <w:pPr>
        <w:spacing w:after="120"/>
        <w:rPr>
          <w:rFonts w:cstheme="minorHAnsi"/>
          <w:b/>
        </w:rPr>
      </w:pPr>
    </w:p>
    <w:p w14:paraId="23817ABC" w14:textId="77777777" w:rsidR="003D6DF4" w:rsidRPr="00B74CCA" w:rsidRDefault="003D6DF4" w:rsidP="003D6DF4">
      <w:pPr>
        <w:jc w:val="center"/>
        <w:outlineLvl w:val="0"/>
        <w:rPr>
          <w:rFonts w:cstheme="minorHAnsi"/>
          <w:b/>
        </w:rPr>
      </w:pPr>
      <w:bookmarkStart w:id="0" w:name="_Toc43473578"/>
      <w:r w:rsidRPr="00B74CCA">
        <w:rPr>
          <w:rFonts w:cstheme="minorHAnsi"/>
          <w:b/>
        </w:rPr>
        <w:t>University of Wales: Trinity Saint David</w:t>
      </w:r>
      <w:bookmarkEnd w:id="0"/>
    </w:p>
    <w:p w14:paraId="394E367E" w14:textId="77777777" w:rsidR="003D6DF4" w:rsidRPr="00B74CCA" w:rsidRDefault="003D6DF4" w:rsidP="003D6DF4">
      <w:pPr>
        <w:jc w:val="center"/>
        <w:outlineLvl w:val="0"/>
        <w:rPr>
          <w:rFonts w:cstheme="minorHAnsi"/>
          <w:b/>
        </w:rPr>
      </w:pPr>
      <w:bookmarkStart w:id="1" w:name="_Toc43473579"/>
      <w:r w:rsidRPr="00B74CCA">
        <w:rPr>
          <w:rFonts w:cstheme="minorHAnsi"/>
          <w:b/>
        </w:rPr>
        <w:t>E-Thesis Deposit Agreement</w:t>
      </w:r>
      <w:bookmarkEnd w:id="1"/>
    </w:p>
    <w:p w14:paraId="088D6275" w14:textId="77777777" w:rsidR="003D6DF4" w:rsidRPr="00B74CCA" w:rsidRDefault="003D6DF4" w:rsidP="003D6DF4">
      <w:pPr>
        <w:rPr>
          <w:rFonts w:cstheme="minorHAnsi"/>
          <w:b/>
        </w:rPr>
      </w:pPr>
    </w:p>
    <w:p w14:paraId="3306DE73" w14:textId="77777777" w:rsidR="003D6DF4" w:rsidRPr="00B74CCA" w:rsidRDefault="003D6DF4" w:rsidP="007968D1">
      <w:pPr>
        <w:jc w:val="both"/>
        <w:outlineLvl w:val="0"/>
        <w:rPr>
          <w:rFonts w:cstheme="minorHAnsi"/>
          <w:b/>
        </w:rPr>
      </w:pPr>
      <w:bookmarkStart w:id="2" w:name="_Toc43473580"/>
      <w:r w:rsidRPr="00B74CCA">
        <w:rPr>
          <w:rFonts w:cstheme="minorHAnsi"/>
          <w:b/>
        </w:rPr>
        <w:t>Details of the Work</w:t>
      </w:r>
      <w:bookmarkEnd w:id="2"/>
    </w:p>
    <w:p w14:paraId="2990A13E" w14:textId="77777777" w:rsidR="003D6DF4" w:rsidRPr="00B74CCA" w:rsidRDefault="003D6DF4" w:rsidP="0060761D">
      <w:pPr>
        <w:spacing w:line="360" w:lineRule="auto"/>
        <w:jc w:val="both"/>
        <w:rPr>
          <w:rFonts w:cstheme="minorHAnsi"/>
        </w:rPr>
      </w:pPr>
      <w:r w:rsidRPr="00B74CCA">
        <w:rPr>
          <w:rFonts w:cstheme="minorHAnsi"/>
        </w:rPr>
        <w:t>I would like to deposit the following item in the digital repository maintained by the University, and/or in any other repository authorized for use by the University:</w:t>
      </w:r>
    </w:p>
    <w:p w14:paraId="2C869B98" w14:textId="77777777" w:rsidR="003D6DF4" w:rsidRPr="00B74CCA" w:rsidRDefault="003D6DF4" w:rsidP="0060761D">
      <w:pPr>
        <w:spacing w:line="360" w:lineRule="auto"/>
        <w:jc w:val="both"/>
        <w:rPr>
          <w:rFonts w:cstheme="minorHAnsi"/>
        </w:rPr>
      </w:pPr>
    </w:p>
    <w:p w14:paraId="3AE00E50" w14:textId="5C9611A3" w:rsidR="003D6DF4" w:rsidRPr="00B74CCA" w:rsidRDefault="003D6DF4" w:rsidP="0060761D">
      <w:pPr>
        <w:spacing w:line="360" w:lineRule="auto"/>
        <w:jc w:val="both"/>
        <w:rPr>
          <w:rFonts w:cstheme="minorHAnsi"/>
        </w:rPr>
      </w:pPr>
      <w:r w:rsidRPr="00B74CCA">
        <w:rPr>
          <w:rFonts w:cstheme="minorHAnsi"/>
          <w:b/>
        </w:rPr>
        <w:t>Title</w:t>
      </w:r>
      <w:r w:rsidRPr="00B74CCA">
        <w:rPr>
          <w:rFonts w:cstheme="minorHAnsi"/>
        </w:rPr>
        <w:t>: The Impact of Liquidity and Leverage on Profitability: A quantitative study of European Airline Companies</w:t>
      </w:r>
    </w:p>
    <w:p w14:paraId="4091EACE" w14:textId="77777777" w:rsidR="003D6DF4" w:rsidRPr="00B74CCA" w:rsidRDefault="003D6DF4" w:rsidP="0060761D">
      <w:pPr>
        <w:spacing w:line="360" w:lineRule="auto"/>
        <w:jc w:val="both"/>
        <w:rPr>
          <w:rFonts w:cstheme="minorHAnsi"/>
        </w:rPr>
      </w:pPr>
    </w:p>
    <w:p w14:paraId="38E9AF36" w14:textId="77777777" w:rsidR="003D6DF4" w:rsidRPr="00B74CCA" w:rsidRDefault="003D6DF4" w:rsidP="0060761D">
      <w:pPr>
        <w:spacing w:line="360" w:lineRule="auto"/>
        <w:jc w:val="both"/>
        <w:rPr>
          <w:rFonts w:cstheme="minorHAnsi"/>
        </w:rPr>
      </w:pPr>
      <w:r w:rsidRPr="00B74CCA">
        <w:rPr>
          <w:rFonts w:cstheme="minorHAnsi"/>
        </w:rPr>
        <w:t>This item is a product of my own research endeavours and is covered by the agreement below in which the item is referred to as “the Work”.  It is identical in content to that deposited in the Learning Resources Centre, subject to point 4 below.</w:t>
      </w:r>
    </w:p>
    <w:p w14:paraId="77F3844E" w14:textId="77777777" w:rsidR="003D6DF4" w:rsidRPr="00B74CCA" w:rsidRDefault="003D6DF4" w:rsidP="0060761D">
      <w:pPr>
        <w:spacing w:line="360" w:lineRule="auto"/>
        <w:jc w:val="both"/>
        <w:rPr>
          <w:rFonts w:cstheme="minorHAnsi"/>
        </w:rPr>
      </w:pPr>
    </w:p>
    <w:p w14:paraId="54278E6F" w14:textId="77777777" w:rsidR="003D6DF4" w:rsidRPr="00B74CCA" w:rsidRDefault="003D6DF4" w:rsidP="0060761D">
      <w:pPr>
        <w:spacing w:line="360" w:lineRule="auto"/>
        <w:jc w:val="both"/>
        <w:rPr>
          <w:rFonts w:cstheme="minorHAnsi"/>
        </w:rPr>
      </w:pPr>
      <w:r w:rsidRPr="00B74CCA">
        <w:rPr>
          <w:rFonts w:cstheme="minorHAnsi"/>
        </w:rPr>
        <w:t>I agree that the University of Wales: Trinity Saint David may electronically store, copy or translate the Work to any approved medium or format for the purpose of future preservation and accessibility.  The University is not under any obligation to reproduce or display the Work in the same formats or resolutions in which it was originally deposited.</w:t>
      </w:r>
    </w:p>
    <w:p w14:paraId="0C9019F6" w14:textId="77777777" w:rsidR="003D6DF4" w:rsidRPr="00B74CCA" w:rsidRDefault="003D6DF4" w:rsidP="0060761D">
      <w:pPr>
        <w:spacing w:line="360" w:lineRule="auto"/>
        <w:jc w:val="both"/>
        <w:rPr>
          <w:rFonts w:cstheme="minorHAnsi"/>
        </w:rPr>
      </w:pPr>
    </w:p>
    <w:p w14:paraId="0F40997C" w14:textId="77777777" w:rsidR="003D6DF4" w:rsidRPr="00B74CCA" w:rsidRDefault="003D6DF4" w:rsidP="0060761D">
      <w:pPr>
        <w:spacing w:line="360" w:lineRule="auto"/>
        <w:jc w:val="both"/>
        <w:outlineLvl w:val="0"/>
        <w:rPr>
          <w:rFonts w:cstheme="minorHAnsi"/>
          <w:b/>
        </w:rPr>
      </w:pPr>
      <w:bookmarkStart w:id="3" w:name="_Toc43473581"/>
      <w:r w:rsidRPr="00B74CCA">
        <w:rPr>
          <w:rFonts w:cstheme="minorHAnsi"/>
          <w:b/>
        </w:rPr>
        <w:t>UW: TSD Digital Repository</w:t>
      </w:r>
      <w:bookmarkEnd w:id="3"/>
    </w:p>
    <w:p w14:paraId="3C4CD67B" w14:textId="77777777" w:rsidR="003D6DF4" w:rsidRPr="00B74CCA" w:rsidRDefault="003D6DF4" w:rsidP="0060761D">
      <w:pPr>
        <w:spacing w:line="360" w:lineRule="auto"/>
        <w:jc w:val="both"/>
        <w:rPr>
          <w:rFonts w:cstheme="minorHAnsi"/>
        </w:rPr>
      </w:pPr>
      <w:r w:rsidRPr="00B74CCA">
        <w:rPr>
          <w:rFonts w:cstheme="minorHAnsi"/>
        </w:rPr>
        <w:t>I understand that work deposited in the digital repository will be accessible to a wide variety of people and institutions, including automated agents and search engines via the World Wide Web.</w:t>
      </w:r>
    </w:p>
    <w:p w14:paraId="6ACCFB82" w14:textId="77777777" w:rsidR="003D6DF4" w:rsidRPr="00B74CCA" w:rsidRDefault="003D6DF4" w:rsidP="0060761D">
      <w:pPr>
        <w:spacing w:line="360" w:lineRule="auto"/>
        <w:jc w:val="both"/>
        <w:rPr>
          <w:rFonts w:cstheme="minorHAnsi"/>
        </w:rPr>
      </w:pPr>
    </w:p>
    <w:p w14:paraId="54D9875D" w14:textId="77777777" w:rsidR="003D6DF4" w:rsidRPr="00B74CCA" w:rsidRDefault="003D6DF4" w:rsidP="0060761D">
      <w:pPr>
        <w:spacing w:line="360" w:lineRule="auto"/>
        <w:jc w:val="both"/>
        <w:rPr>
          <w:rFonts w:cstheme="minorHAnsi"/>
          <w:color w:val="FF0000"/>
        </w:rPr>
      </w:pPr>
      <w:r w:rsidRPr="00B74CCA">
        <w:rPr>
          <w:rFonts w:cstheme="minorHAnsi"/>
        </w:rPr>
        <w:t>I understand that once the Work is deposited, the item and its metadata may be incorporated into public access catalogues or services, such as national databases of electronic theses.</w:t>
      </w:r>
    </w:p>
    <w:p w14:paraId="382ACC3C" w14:textId="77777777" w:rsidR="003D6DF4" w:rsidRPr="00B74CCA" w:rsidRDefault="003D6DF4" w:rsidP="0060761D">
      <w:pPr>
        <w:spacing w:line="360" w:lineRule="auto"/>
        <w:jc w:val="both"/>
        <w:rPr>
          <w:rFonts w:cstheme="minorHAnsi"/>
          <w:color w:val="FF0000"/>
        </w:rPr>
      </w:pPr>
    </w:p>
    <w:p w14:paraId="768C2044" w14:textId="77777777" w:rsidR="0060761D" w:rsidRDefault="003D6DF4" w:rsidP="0060761D">
      <w:pPr>
        <w:spacing w:line="360" w:lineRule="auto"/>
        <w:ind w:left="-720" w:right="-334"/>
        <w:jc w:val="both"/>
        <w:outlineLvl w:val="0"/>
        <w:rPr>
          <w:rFonts w:cstheme="minorHAnsi"/>
          <w:b/>
        </w:rPr>
      </w:pPr>
      <w:r w:rsidRPr="00B74CCA">
        <w:rPr>
          <w:rFonts w:cstheme="minorHAnsi"/>
          <w:b/>
        </w:rPr>
        <w:tab/>
        <w:t xml:space="preserve">           </w:t>
      </w:r>
    </w:p>
    <w:p w14:paraId="5CE9DE48" w14:textId="1AB03FCB" w:rsidR="003D6DF4" w:rsidRPr="00B74CCA" w:rsidRDefault="003D6DF4" w:rsidP="0060761D">
      <w:pPr>
        <w:spacing w:line="360" w:lineRule="auto"/>
        <w:ind w:left="-720" w:right="-334"/>
        <w:jc w:val="both"/>
        <w:outlineLvl w:val="0"/>
        <w:rPr>
          <w:rFonts w:cstheme="minorHAnsi"/>
          <w:b/>
        </w:rPr>
      </w:pPr>
      <w:bookmarkStart w:id="4" w:name="_Toc43473582"/>
      <w:r w:rsidRPr="00B74CCA">
        <w:rPr>
          <w:rFonts w:cstheme="minorHAnsi"/>
          <w:b/>
        </w:rPr>
        <w:lastRenderedPageBreak/>
        <w:t>I agree as follows:</w:t>
      </w:r>
      <w:bookmarkEnd w:id="4"/>
    </w:p>
    <w:p w14:paraId="13014ABF" w14:textId="77777777" w:rsidR="003D6DF4" w:rsidRPr="00B74CCA" w:rsidRDefault="003D6DF4" w:rsidP="0060761D">
      <w:pPr>
        <w:numPr>
          <w:ilvl w:val="0"/>
          <w:numId w:val="14"/>
        </w:numPr>
        <w:spacing w:after="0" w:line="360" w:lineRule="auto"/>
        <w:jc w:val="both"/>
        <w:rPr>
          <w:rFonts w:cstheme="minorHAnsi"/>
        </w:rPr>
      </w:pPr>
      <w:r w:rsidRPr="00B74CCA">
        <w:rPr>
          <w:rFonts w:cstheme="minorHAnsi"/>
        </w:rPr>
        <w:t xml:space="preserve">That I am the author or have the authority of the author/s to make this agreement and do hereby give the </w:t>
      </w:r>
      <w:smartTag w:uri="urn:schemas-microsoft-com:office:smarttags" w:element="place">
        <w:smartTag w:uri="urn:schemas-microsoft-com:office:smarttags" w:element="PlaceType">
          <w:r w:rsidRPr="00B74CCA">
            <w:rPr>
              <w:rFonts w:cstheme="minorHAnsi"/>
            </w:rPr>
            <w:t>University</w:t>
          </w:r>
        </w:smartTag>
        <w:r w:rsidRPr="00B74CCA">
          <w:rPr>
            <w:rFonts w:cstheme="minorHAnsi"/>
          </w:rPr>
          <w:t xml:space="preserve"> of </w:t>
        </w:r>
        <w:smartTag w:uri="urn:schemas-microsoft-com:office:smarttags" w:element="PlaceName">
          <w:r w:rsidRPr="00B74CCA">
            <w:rPr>
              <w:rFonts w:cstheme="minorHAnsi"/>
            </w:rPr>
            <w:t>Wales</w:t>
          </w:r>
        </w:smartTag>
      </w:smartTag>
      <w:r w:rsidRPr="00B74CCA">
        <w:rPr>
          <w:rFonts w:cstheme="minorHAnsi"/>
        </w:rPr>
        <w:t>: Trinity Saint David the right to make available the Work in the way described above.</w:t>
      </w:r>
    </w:p>
    <w:p w14:paraId="339D4C04" w14:textId="77777777" w:rsidR="003D6DF4" w:rsidRPr="00B74CCA" w:rsidRDefault="003D6DF4" w:rsidP="0060761D">
      <w:pPr>
        <w:numPr>
          <w:ilvl w:val="0"/>
          <w:numId w:val="14"/>
        </w:numPr>
        <w:spacing w:after="0" w:line="360" w:lineRule="auto"/>
        <w:jc w:val="both"/>
        <w:rPr>
          <w:rFonts w:cstheme="minorHAnsi"/>
        </w:rPr>
      </w:pPr>
      <w:r w:rsidRPr="00B74CCA">
        <w:rPr>
          <w:rFonts w:cstheme="minorHAnsi"/>
        </w:rPr>
        <w:t>That the electronic copy of the Work deposited in the digital repository and covered by this agreement, is identical in content to the paper copy of the Work.</w:t>
      </w:r>
    </w:p>
    <w:p w14:paraId="347A0BFF" w14:textId="77777777" w:rsidR="003D6DF4" w:rsidRPr="00B74CCA" w:rsidRDefault="003D6DF4" w:rsidP="0060761D">
      <w:pPr>
        <w:numPr>
          <w:ilvl w:val="0"/>
          <w:numId w:val="14"/>
        </w:numPr>
        <w:spacing w:after="0" w:line="360" w:lineRule="auto"/>
        <w:jc w:val="both"/>
        <w:rPr>
          <w:rFonts w:cstheme="minorHAnsi"/>
        </w:rPr>
      </w:pPr>
      <w:r w:rsidRPr="00B74CCA">
        <w:rPr>
          <w:rFonts w:cstheme="minorHAnsi"/>
        </w:rPr>
        <w:t>That I have exercised reasonable care to ensure that the Work is original, and to the best of my knowledge, does not breach any laws including those relating to defamation, libel and copyright.</w:t>
      </w:r>
    </w:p>
    <w:p w14:paraId="492B079C" w14:textId="77777777" w:rsidR="003D6DF4" w:rsidRPr="00B74CCA" w:rsidRDefault="003D6DF4" w:rsidP="0060761D">
      <w:pPr>
        <w:numPr>
          <w:ilvl w:val="0"/>
          <w:numId w:val="14"/>
        </w:numPr>
        <w:spacing w:after="0" w:line="360" w:lineRule="auto"/>
        <w:jc w:val="both"/>
        <w:rPr>
          <w:rFonts w:cstheme="minorHAnsi"/>
        </w:rPr>
      </w:pPr>
      <w:r w:rsidRPr="00B74CCA">
        <w:rPr>
          <w:rFonts w:cstheme="minorHAnsi"/>
        </w:rPr>
        <w:t xml:space="preserve">That I have, in instances where the intellectual property of other authors or copyright holders is included in the Work, gained explicit permission for the inclusion of that material in the Work, and in the electronic form of the Work as accessed through the open access digital repository, </w:t>
      </w:r>
      <w:r w:rsidRPr="00B74CCA">
        <w:rPr>
          <w:rFonts w:cstheme="minorHAnsi"/>
          <w:i/>
        </w:rPr>
        <w:t>or</w:t>
      </w:r>
      <w:r w:rsidRPr="00B74CCA">
        <w:rPr>
          <w:rFonts w:cstheme="minorHAnsi"/>
        </w:rPr>
        <w:t xml:space="preserve"> that I have identified and removed that material for which adequate permission has not been obtained and which will be inaccessible via the digital repository</w:t>
      </w:r>
    </w:p>
    <w:p w14:paraId="12CFBA93" w14:textId="77777777" w:rsidR="003D6DF4" w:rsidRPr="00B74CCA" w:rsidRDefault="003D6DF4" w:rsidP="0060761D">
      <w:pPr>
        <w:numPr>
          <w:ilvl w:val="0"/>
          <w:numId w:val="14"/>
        </w:numPr>
        <w:spacing w:after="0" w:line="360" w:lineRule="auto"/>
        <w:jc w:val="both"/>
        <w:rPr>
          <w:rFonts w:cstheme="minorHAnsi"/>
        </w:rPr>
      </w:pPr>
      <w:r w:rsidRPr="00B74CCA">
        <w:rPr>
          <w:rFonts w:cstheme="minorHAnsi"/>
        </w:rPr>
        <w:t xml:space="preserve">That </w:t>
      </w:r>
      <w:smartTag w:uri="urn:schemas-microsoft-com:office:smarttags" w:element="place">
        <w:smartTag w:uri="urn:schemas-microsoft-com:office:smarttags" w:element="PlaceType">
          <w:r w:rsidRPr="00B74CCA">
            <w:rPr>
              <w:rFonts w:cstheme="minorHAnsi"/>
            </w:rPr>
            <w:t>University</w:t>
          </w:r>
        </w:smartTag>
        <w:r w:rsidRPr="00B74CCA">
          <w:rPr>
            <w:rFonts w:cstheme="minorHAnsi"/>
          </w:rPr>
          <w:t xml:space="preserve"> of </w:t>
        </w:r>
        <w:smartTag w:uri="urn:schemas-microsoft-com:office:smarttags" w:element="PlaceName">
          <w:r w:rsidRPr="00B74CCA">
            <w:rPr>
              <w:rFonts w:cstheme="minorHAnsi"/>
            </w:rPr>
            <w:t>Wales</w:t>
          </w:r>
        </w:smartTag>
      </w:smartTag>
      <w:r w:rsidRPr="00B74CCA">
        <w:rPr>
          <w:rFonts w:cstheme="minorHAnsi"/>
        </w:rPr>
        <w:t>: Trinity Saint David does not hold any obligation to take legal action on behalf of the Depositor, or other rights holders, in the event of a breach of intellectual property rights, or any other right, in the material deposited.</w:t>
      </w:r>
    </w:p>
    <w:p w14:paraId="46355725" w14:textId="77777777" w:rsidR="003D6DF4" w:rsidRPr="00B74CCA" w:rsidRDefault="003D6DF4" w:rsidP="0060761D">
      <w:pPr>
        <w:numPr>
          <w:ilvl w:val="0"/>
          <w:numId w:val="14"/>
        </w:numPr>
        <w:spacing w:after="0" w:line="360" w:lineRule="auto"/>
        <w:jc w:val="both"/>
        <w:rPr>
          <w:rFonts w:cstheme="minorHAnsi"/>
        </w:rPr>
      </w:pPr>
      <w:r w:rsidRPr="00B74CCA">
        <w:rPr>
          <w:rFonts w:cstheme="minorHAnsi"/>
        </w:rPr>
        <w:t>That I undertake to indemnify the University of Wales: Trinity Saint David against all actions, suits, proceedings, claims, demands and costs occasioned by the University in consequence of any breach of this agreement</w:t>
      </w:r>
    </w:p>
    <w:p w14:paraId="075CF3B2" w14:textId="77777777" w:rsidR="003D6DF4" w:rsidRPr="00B74CCA" w:rsidRDefault="003D6DF4" w:rsidP="003D6DF4">
      <w:pPr>
        <w:rPr>
          <w:rFonts w:cstheme="minorHAnsi"/>
        </w:rPr>
      </w:pPr>
    </w:p>
    <w:p w14:paraId="13FDB18F" w14:textId="77777777" w:rsidR="003D6DF4" w:rsidRPr="00B74CCA" w:rsidRDefault="003D6DF4" w:rsidP="003D6DF4">
      <w:pPr>
        <w:jc w:val="both"/>
        <w:rPr>
          <w:rFonts w:cstheme="minorHAnsi"/>
        </w:rPr>
      </w:pPr>
    </w:p>
    <w:p w14:paraId="06916FC7" w14:textId="77777777" w:rsidR="003D6DF4" w:rsidRPr="00B74CCA" w:rsidRDefault="003D6DF4" w:rsidP="003D6DF4">
      <w:pPr>
        <w:jc w:val="both"/>
        <w:rPr>
          <w:rFonts w:cstheme="minorHAnsi"/>
        </w:rPr>
      </w:pPr>
    </w:p>
    <w:p w14:paraId="1479DAF2" w14:textId="31DE53B5" w:rsidR="003D6DF4" w:rsidRPr="00B74CCA" w:rsidRDefault="003D6DF4" w:rsidP="003D6DF4">
      <w:pPr>
        <w:outlineLvl w:val="0"/>
        <w:rPr>
          <w:rFonts w:cstheme="minorHAnsi"/>
          <w:b/>
        </w:rPr>
      </w:pPr>
      <w:bookmarkStart w:id="5" w:name="_Toc43473583"/>
      <w:r w:rsidRPr="00B74CCA">
        <w:rPr>
          <w:rFonts w:cstheme="minorHAnsi"/>
          <w:b/>
        </w:rPr>
        <w:t xml:space="preserve">Signature: </w:t>
      </w:r>
      <w:r w:rsidRPr="00B74CCA">
        <w:rPr>
          <w:rFonts w:cstheme="minorHAnsi"/>
          <w:bCs/>
        </w:rPr>
        <w:t>Giorgia Bertaina</w:t>
      </w:r>
      <w:bookmarkEnd w:id="5"/>
      <w:r w:rsidRPr="00B74CCA">
        <w:rPr>
          <w:rFonts w:cstheme="minorHAnsi"/>
          <w:b/>
        </w:rPr>
        <w:t xml:space="preserve"> </w:t>
      </w:r>
    </w:p>
    <w:p w14:paraId="21D12B7D" w14:textId="77777777" w:rsidR="003D6DF4" w:rsidRPr="00B74CCA" w:rsidRDefault="003D6DF4" w:rsidP="003D6DF4">
      <w:pPr>
        <w:outlineLvl w:val="0"/>
        <w:rPr>
          <w:rFonts w:cstheme="minorHAnsi"/>
          <w:b/>
        </w:rPr>
      </w:pPr>
    </w:p>
    <w:p w14:paraId="707E2F60" w14:textId="77777777" w:rsidR="003D6DF4" w:rsidRPr="00B74CCA" w:rsidRDefault="003D6DF4" w:rsidP="003D6DF4">
      <w:pPr>
        <w:outlineLvl w:val="0"/>
        <w:rPr>
          <w:rFonts w:cstheme="minorHAnsi"/>
          <w:b/>
        </w:rPr>
      </w:pPr>
    </w:p>
    <w:p w14:paraId="33EC7554" w14:textId="11D66BF0" w:rsidR="003D6DF4" w:rsidRPr="00B74CCA" w:rsidRDefault="003D6DF4" w:rsidP="003D6DF4">
      <w:pPr>
        <w:outlineLvl w:val="0"/>
        <w:rPr>
          <w:rFonts w:cstheme="minorHAnsi"/>
          <w:bCs/>
        </w:rPr>
      </w:pPr>
      <w:bookmarkStart w:id="6" w:name="_Toc43473584"/>
      <w:r w:rsidRPr="00B74CCA">
        <w:rPr>
          <w:rFonts w:cstheme="minorHAnsi"/>
          <w:b/>
        </w:rPr>
        <w:t xml:space="preserve">Date: </w:t>
      </w:r>
      <w:r w:rsidR="00D42A86">
        <w:rPr>
          <w:rFonts w:cstheme="minorHAnsi"/>
          <w:bCs/>
        </w:rPr>
        <w:t>20</w:t>
      </w:r>
      <w:r w:rsidRPr="00B74CCA">
        <w:rPr>
          <w:rFonts w:cstheme="minorHAnsi"/>
          <w:bCs/>
        </w:rPr>
        <w:t>/06/2020</w:t>
      </w:r>
      <w:bookmarkEnd w:id="6"/>
    </w:p>
    <w:p w14:paraId="47D094C7" w14:textId="115DF04F" w:rsidR="00CA5421" w:rsidRDefault="00CA5421"/>
    <w:p w14:paraId="5BD8C38A" w14:textId="25D271DB" w:rsidR="003D6DF4" w:rsidRDefault="003D6DF4"/>
    <w:p w14:paraId="1566A78B" w14:textId="1E362FD4" w:rsidR="003D6DF4" w:rsidRDefault="003D6DF4"/>
    <w:p w14:paraId="1FD59190" w14:textId="5F3E07F8" w:rsidR="003D6DF4" w:rsidRDefault="003D6DF4"/>
    <w:p w14:paraId="69C499F2" w14:textId="3652C57C" w:rsidR="003D6DF4" w:rsidRDefault="003D6DF4"/>
    <w:p w14:paraId="206F0775" w14:textId="5E7DCC13" w:rsidR="003D6DF4" w:rsidRDefault="003D6DF4"/>
    <w:p w14:paraId="1B0AD410" w14:textId="09763784" w:rsidR="003D6DF4" w:rsidRDefault="003D6DF4"/>
    <w:p w14:paraId="173C844B" w14:textId="07ABF3B6" w:rsidR="003D6DF4" w:rsidRDefault="003D6DF4"/>
    <w:p w14:paraId="6AB14503" w14:textId="2DB17143" w:rsidR="003D6DF4" w:rsidRDefault="003D6DF4"/>
    <w:p w14:paraId="0B52E3C5" w14:textId="05F8BA89" w:rsidR="003D6DF4" w:rsidRDefault="003D6DF4"/>
    <w:p w14:paraId="3218D590" w14:textId="7DC5CD33" w:rsidR="003D6DF4" w:rsidRDefault="003D6DF4"/>
    <w:p w14:paraId="285E2034" w14:textId="3E063C57" w:rsidR="003D6DF4" w:rsidRDefault="003D6DF4"/>
    <w:p w14:paraId="10459A18" w14:textId="59353EF1" w:rsidR="003D6DF4" w:rsidRDefault="003D6DF4"/>
    <w:p w14:paraId="6ABC948A" w14:textId="5F9B6F09" w:rsidR="003D6DF4" w:rsidRDefault="003D6DF4"/>
    <w:p w14:paraId="68FFA49A" w14:textId="325A9D36" w:rsidR="003D6DF4" w:rsidRDefault="003D6DF4"/>
    <w:p w14:paraId="594DDE5B" w14:textId="1B583CAD" w:rsidR="003D6DF4" w:rsidRDefault="003D6DF4"/>
    <w:p w14:paraId="231C76BE" w14:textId="16040BDA" w:rsidR="003D6DF4" w:rsidRDefault="003D6DF4"/>
    <w:p w14:paraId="34475FD8" w14:textId="3134BD68" w:rsidR="003D6DF4" w:rsidRDefault="003D6DF4"/>
    <w:p w14:paraId="4F5313C0" w14:textId="77777777" w:rsidR="003D6DF4" w:rsidRPr="00CA5421" w:rsidRDefault="003D6DF4"/>
    <w:p w14:paraId="3B6AE024" w14:textId="308250DE" w:rsidR="009A58A0" w:rsidRDefault="009A58A0"/>
    <w:p w14:paraId="7780AE62" w14:textId="77777777" w:rsidR="003E7CE7" w:rsidRDefault="009A58A0">
      <w:r>
        <w:br w:type="page"/>
      </w:r>
    </w:p>
    <w:p w14:paraId="0E4DF635" w14:textId="59504555" w:rsidR="005750C9" w:rsidRPr="003E7CE7" w:rsidRDefault="00ED2C3F">
      <w:r>
        <w:rPr>
          <w:b/>
          <w:bCs/>
          <w:sz w:val="32"/>
          <w:szCs w:val="32"/>
        </w:rPr>
        <w:lastRenderedPageBreak/>
        <w:t>Acknowledgement</w:t>
      </w:r>
    </w:p>
    <w:p w14:paraId="3703ABAE" w14:textId="77777777" w:rsidR="003E7CE7" w:rsidRDefault="003E7CE7"/>
    <w:p w14:paraId="398CF6E6" w14:textId="77777777" w:rsidR="003E7CE7" w:rsidRDefault="003E7CE7"/>
    <w:p w14:paraId="4AC61C93" w14:textId="77777777" w:rsidR="003E7CE7" w:rsidRDefault="003E7CE7"/>
    <w:p w14:paraId="7E20EF0F" w14:textId="1EAEE402" w:rsidR="003E7CE7" w:rsidRDefault="003E7CE7"/>
    <w:p w14:paraId="366DE4B0" w14:textId="30EB041D" w:rsidR="003E7CE7" w:rsidRDefault="003E7CE7"/>
    <w:p w14:paraId="43098DA6" w14:textId="554E8E15" w:rsidR="003E7CE7" w:rsidRDefault="003E7CE7"/>
    <w:p w14:paraId="41AD9325" w14:textId="77777777" w:rsidR="003E7CE7" w:rsidRDefault="003E7CE7"/>
    <w:p w14:paraId="73188E54" w14:textId="77777777" w:rsidR="003E7CE7" w:rsidRDefault="003E7CE7"/>
    <w:p w14:paraId="68BE1C93" w14:textId="54751EB2" w:rsidR="00ED2C3F" w:rsidRPr="003E7CE7" w:rsidRDefault="00ED2C3F" w:rsidP="0060761D">
      <w:pPr>
        <w:spacing w:line="360" w:lineRule="auto"/>
        <w:jc w:val="both"/>
        <w:rPr>
          <w:i/>
          <w:iCs/>
        </w:rPr>
      </w:pPr>
      <w:r w:rsidRPr="003E7CE7">
        <w:rPr>
          <w:i/>
          <w:iCs/>
        </w:rPr>
        <w:t xml:space="preserve">I wish to express gratitude to my teacher and supervisor, Jia Miao, who supported me throughout this semester and provided invaluable assistance and guidance. </w:t>
      </w:r>
    </w:p>
    <w:p w14:paraId="4ECF8278" w14:textId="7FD8FB49" w:rsidR="003E7CE7" w:rsidRPr="003E7CE7" w:rsidRDefault="003E7CE7" w:rsidP="0060761D">
      <w:pPr>
        <w:spacing w:line="360" w:lineRule="auto"/>
        <w:jc w:val="both"/>
        <w:rPr>
          <w:i/>
          <w:iCs/>
        </w:rPr>
      </w:pPr>
      <w:r w:rsidRPr="003E7CE7">
        <w:rPr>
          <w:i/>
          <w:iCs/>
        </w:rPr>
        <w:t xml:space="preserve">Also, I would like to thank my family and friends for all the </w:t>
      </w:r>
      <w:r w:rsidR="00B674A2">
        <w:rPr>
          <w:i/>
          <w:iCs/>
        </w:rPr>
        <w:t>encouragement</w:t>
      </w:r>
      <w:r w:rsidRPr="003E7CE7">
        <w:rPr>
          <w:i/>
          <w:iCs/>
        </w:rPr>
        <w:t xml:space="preserve"> and </w:t>
      </w:r>
      <w:r w:rsidR="00B674A2">
        <w:rPr>
          <w:i/>
          <w:iCs/>
        </w:rPr>
        <w:t>enormous</w:t>
      </w:r>
      <w:r w:rsidRPr="003E7CE7">
        <w:rPr>
          <w:i/>
          <w:iCs/>
        </w:rPr>
        <w:t xml:space="preserve"> love that they gave me during this journey; without them</w:t>
      </w:r>
      <w:r w:rsidR="007968D1">
        <w:rPr>
          <w:i/>
          <w:iCs/>
        </w:rPr>
        <w:t>,</w:t>
      </w:r>
      <w:r w:rsidRPr="003E7CE7">
        <w:rPr>
          <w:i/>
          <w:iCs/>
        </w:rPr>
        <w:t xml:space="preserve"> this would not have been possible.</w:t>
      </w:r>
    </w:p>
    <w:p w14:paraId="065720B6" w14:textId="781EF0E6" w:rsidR="003E7CE7" w:rsidRPr="003E7CE7" w:rsidRDefault="003E7CE7" w:rsidP="0060761D">
      <w:pPr>
        <w:spacing w:line="360" w:lineRule="auto"/>
        <w:jc w:val="both"/>
        <w:rPr>
          <w:i/>
          <w:iCs/>
        </w:rPr>
      </w:pPr>
      <w:r w:rsidRPr="003E7CE7">
        <w:rPr>
          <w:i/>
          <w:iCs/>
        </w:rPr>
        <w:t xml:space="preserve">Finally, </w:t>
      </w:r>
      <w:r w:rsidR="007968D1">
        <w:rPr>
          <w:i/>
          <w:iCs/>
        </w:rPr>
        <w:t>I wish to acknowledge the support that I received from</w:t>
      </w:r>
      <w:r w:rsidRPr="003E7CE7">
        <w:rPr>
          <w:i/>
          <w:iCs/>
        </w:rPr>
        <w:t xml:space="preserve"> all my managers and colleagues, who have been flexible with me</w:t>
      </w:r>
      <w:r w:rsidR="007968D1">
        <w:rPr>
          <w:i/>
          <w:iCs/>
        </w:rPr>
        <w:t>,</w:t>
      </w:r>
      <w:r w:rsidRPr="003E7CE7">
        <w:rPr>
          <w:i/>
          <w:iCs/>
        </w:rPr>
        <w:t xml:space="preserve"> allowing me to focus on these studies.</w:t>
      </w:r>
    </w:p>
    <w:p w14:paraId="56B00B9D" w14:textId="77777777" w:rsidR="003E7CE7" w:rsidRPr="00ED2C3F" w:rsidRDefault="003E7CE7"/>
    <w:p w14:paraId="1722E41F" w14:textId="77777777" w:rsidR="00ED2C3F" w:rsidRPr="00ED2C3F" w:rsidRDefault="00ED2C3F">
      <w:pPr>
        <w:rPr>
          <w:b/>
          <w:bCs/>
          <w:sz w:val="32"/>
          <w:szCs w:val="32"/>
        </w:rPr>
      </w:pPr>
    </w:p>
    <w:p w14:paraId="2F6084CA" w14:textId="77777777" w:rsidR="00ED2C3F" w:rsidRDefault="00ED2C3F">
      <w:pPr>
        <w:rPr>
          <w:b/>
          <w:bCs/>
          <w:sz w:val="32"/>
          <w:szCs w:val="32"/>
        </w:rPr>
      </w:pPr>
    </w:p>
    <w:p w14:paraId="665D67B8" w14:textId="77777777" w:rsidR="00ED2C3F" w:rsidRDefault="00ED2C3F">
      <w:pPr>
        <w:rPr>
          <w:b/>
          <w:bCs/>
          <w:sz w:val="32"/>
          <w:szCs w:val="32"/>
        </w:rPr>
      </w:pPr>
    </w:p>
    <w:p w14:paraId="2BE22553" w14:textId="34C06E27" w:rsidR="00ED2C3F" w:rsidRPr="003E7CE7" w:rsidRDefault="003E7CE7">
      <w:pPr>
        <w:rPr>
          <w:i/>
          <w:iCs/>
        </w:rPr>
      </w:pPr>
      <w:r w:rsidRPr="003E7CE7">
        <w:rPr>
          <w:i/>
          <w:iCs/>
        </w:rPr>
        <w:t>Giorgia Bertaina</w:t>
      </w:r>
    </w:p>
    <w:p w14:paraId="39746FCF" w14:textId="77777777" w:rsidR="00ED2C3F" w:rsidRDefault="00ED2C3F">
      <w:pPr>
        <w:rPr>
          <w:b/>
          <w:bCs/>
          <w:sz w:val="32"/>
          <w:szCs w:val="32"/>
        </w:rPr>
      </w:pPr>
    </w:p>
    <w:p w14:paraId="5DE1590C" w14:textId="77777777" w:rsidR="00ED2C3F" w:rsidRDefault="00ED2C3F">
      <w:pPr>
        <w:rPr>
          <w:b/>
          <w:bCs/>
          <w:sz w:val="32"/>
          <w:szCs w:val="32"/>
        </w:rPr>
      </w:pPr>
    </w:p>
    <w:p w14:paraId="1BADF729" w14:textId="77777777" w:rsidR="00ED2C3F" w:rsidRDefault="00ED2C3F">
      <w:pPr>
        <w:rPr>
          <w:b/>
          <w:bCs/>
          <w:sz w:val="32"/>
          <w:szCs w:val="32"/>
        </w:rPr>
      </w:pPr>
    </w:p>
    <w:p w14:paraId="353F83C8" w14:textId="77777777" w:rsidR="00ED2C3F" w:rsidRDefault="00ED2C3F">
      <w:pPr>
        <w:rPr>
          <w:b/>
          <w:bCs/>
          <w:sz w:val="32"/>
          <w:szCs w:val="32"/>
        </w:rPr>
      </w:pPr>
    </w:p>
    <w:p w14:paraId="442A01EA" w14:textId="77777777" w:rsidR="00ED2C3F" w:rsidRDefault="00ED2C3F">
      <w:pPr>
        <w:rPr>
          <w:b/>
          <w:bCs/>
          <w:sz w:val="32"/>
          <w:szCs w:val="32"/>
        </w:rPr>
      </w:pPr>
    </w:p>
    <w:p w14:paraId="5C8AFE36" w14:textId="77777777" w:rsidR="00ED2C3F" w:rsidRDefault="00ED2C3F">
      <w:pPr>
        <w:rPr>
          <w:b/>
          <w:bCs/>
          <w:sz w:val="32"/>
          <w:szCs w:val="32"/>
        </w:rPr>
      </w:pPr>
    </w:p>
    <w:p w14:paraId="5AF59DD3" w14:textId="77777777" w:rsidR="00ED2C3F" w:rsidRDefault="00ED2C3F">
      <w:pPr>
        <w:rPr>
          <w:b/>
          <w:bCs/>
          <w:sz w:val="32"/>
          <w:szCs w:val="32"/>
        </w:rPr>
      </w:pPr>
    </w:p>
    <w:p w14:paraId="76E9CFAB" w14:textId="77777777" w:rsidR="00ED2C3F" w:rsidRDefault="00ED2C3F">
      <w:pPr>
        <w:rPr>
          <w:b/>
          <w:bCs/>
          <w:sz w:val="32"/>
          <w:szCs w:val="32"/>
        </w:rPr>
      </w:pPr>
    </w:p>
    <w:p w14:paraId="1C82145B" w14:textId="01E7C343" w:rsidR="00EB2E2F" w:rsidRDefault="00EB2E2F">
      <w:pPr>
        <w:rPr>
          <w:b/>
          <w:bCs/>
          <w:sz w:val="32"/>
          <w:szCs w:val="32"/>
        </w:rPr>
      </w:pPr>
    </w:p>
    <w:p w14:paraId="333AA1EE" w14:textId="77777777" w:rsidR="00EB2E2F" w:rsidRDefault="00EB2E2F">
      <w:pPr>
        <w:rPr>
          <w:b/>
          <w:bCs/>
          <w:sz w:val="32"/>
          <w:szCs w:val="32"/>
        </w:rPr>
      </w:pPr>
      <w:r>
        <w:rPr>
          <w:b/>
          <w:bCs/>
          <w:sz w:val="32"/>
          <w:szCs w:val="32"/>
        </w:rPr>
        <w:br w:type="page"/>
      </w:r>
    </w:p>
    <w:sdt>
      <w:sdtPr>
        <w:rPr>
          <w:rFonts w:asciiTheme="minorHAnsi" w:eastAsiaTheme="minorHAnsi" w:hAnsiTheme="minorHAnsi" w:cstheme="minorBidi"/>
          <w:color w:val="auto"/>
          <w:sz w:val="22"/>
          <w:szCs w:val="22"/>
          <w:lang w:val="en-GB"/>
        </w:rPr>
        <w:id w:val="-883482906"/>
        <w:docPartObj>
          <w:docPartGallery w:val="Table of Contents"/>
          <w:docPartUnique/>
        </w:docPartObj>
      </w:sdtPr>
      <w:sdtEndPr>
        <w:rPr>
          <w:b/>
          <w:bCs/>
          <w:noProof/>
        </w:rPr>
      </w:sdtEndPr>
      <w:sdtContent>
        <w:p w14:paraId="002A36AE" w14:textId="72467692" w:rsidR="00EB2E2F" w:rsidRPr="00EB2E2F" w:rsidRDefault="001B16BE">
          <w:pPr>
            <w:pStyle w:val="TOCHeading"/>
            <w:rPr>
              <w:b/>
              <w:bCs/>
              <w:color w:val="auto"/>
            </w:rPr>
          </w:pPr>
          <w:r>
            <w:rPr>
              <w:b/>
              <w:bCs/>
              <w:color w:val="auto"/>
            </w:rPr>
            <w:t>TABLE OF CONTENTS</w:t>
          </w:r>
        </w:p>
        <w:p w14:paraId="31ED1EEC" w14:textId="53B83445" w:rsidR="00EB2E2F" w:rsidRPr="00EB2E2F" w:rsidRDefault="00EB2E2F" w:rsidP="00EB2E2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p>
        <w:p w14:paraId="70C800CC" w14:textId="25575BC6" w:rsidR="00EB2E2F" w:rsidRPr="00EB2E2F" w:rsidRDefault="00FC4984">
          <w:pPr>
            <w:pStyle w:val="TOC1"/>
            <w:tabs>
              <w:tab w:val="right" w:leader="dot" w:pos="9016"/>
            </w:tabs>
            <w:rPr>
              <w:rFonts w:eastAsiaTheme="minorEastAsia"/>
              <w:noProof/>
              <w:lang w:eastAsia="en-GB"/>
            </w:rPr>
          </w:pPr>
          <w:hyperlink w:anchor="_Toc43473585" w:history="1">
            <w:r w:rsidR="001B16BE">
              <w:rPr>
                <w:rStyle w:val="Hyperlink"/>
                <w:rFonts w:ascii="Arial" w:hAnsi="Arial" w:cs="Arial"/>
                <w:b/>
                <w:bCs/>
                <w:noProof/>
              </w:rPr>
              <w:t>ABSTRACT</w:t>
            </w:r>
            <w:r w:rsidR="00EB2E2F" w:rsidRPr="00EB2E2F">
              <w:rPr>
                <w:noProof/>
                <w:webHidden/>
              </w:rPr>
              <w:tab/>
            </w:r>
            <w:r w:rsidR="00EB2E2F" w:rsidRPr="00EB2E2F">
              <w:rPr>
                <w:noProof/>
                <w:webHidden/>
              </w:rPr>
              <w:fldChar w:fldCharType="begin"/>
            </w:r>
            <w:r w:rsidR="00EB2E2F" w:rsidRPr="00EB2E2F">
              <w:rPr>
                <w:noProof/>
                <w:webHidden/>
              </w:rPr>
              <w:instrText xml:space="preserve"> PAGEREF _Toc43473585 \h </w:instrText>
            </w:r>
            <w:r w:rsidR="00EB2E2F" w:rsidRPr="00EB2E2F">
              <w:rPr>
                <w:noProof/>
                <w:webHidden/>
              </w:rPr>
            </w:r>
            <w:r w:rsidR="00EB2E2F" w:rsidRPr="00EB2E2F">
              <w:rPr>
                <w:noProof/>
                <w:webHidden/>
              </w:rPr>
              <w:fldChar w:fldCharType="separate"/>
            </w:r>
            <w:r w:rsidR="00EB2E2F">
              <w:rPr>
                <w:noProof/>
                <w:webHidden/>
              </w:rPr>
              <w:t>10</w:t>
            </w:r>
            <w:r w:rsidR="00EB2E2F" w:rsidRPr="00EB2E2F">
              <w:rPr>
                <w:noProof/>
                <w:webHidden/>
              </w:rPr>
              <w:fldChar w:fldCharType="end"/>
            </w:r>
          </w:hyperlink>
        </w:p>
        <w:p w14:paraId="43D393BC" w14:textId="043DC313" w:rsidR="00EB2E2F" w:rsidRPr="00EB2E2F" w:rsidRDefault="00FC4984">
          <w:pPr>
            <w:pStyle w:val="TOC1"/>
            <w:tabs>
              <w:tab w:val="right" w:leader="dot" w:pos="9016"/>
            </w:tabs>
            <w:rPr>
              <w:rFonts w:eastAsiaTheme="minorEastAsia"/>
              <w:noProof/>
              <w:lang w:eastAsia="en-GB"/>
            </w:rPr>
          </w:pPr>
          <w:hyperlink w:anchor="_Toc43473586" w:history="1">
            <w:r w:rsidR="001B16BE">
              <w:rPr>
                <w:rStyle w:val="Hyperlink"/>
                <w:rFonts w:ascii="Arial" w:hAnsi="Arial" w:cs="Arial"/>
                <w:b/>
                <w:bCs/>
                <w:noProof/>
              </w:rPr>
              <w:t>INTRODUCTION</w:t>
            </w:r>
            <w:r w:rsidR="00EB2E2F" w:rsidRPr="00EB2E2F">
              <w:rPr>
                <w:noProof/>
                <w:webHidden/>
              </w:rPr>
              <w:tab/>
            </w:r>
            <w:r w:rsidR="00EB2E2F" w:rsidRPr="00EB2E2F">
              <w:rPr>
                <w:noProof/>
                <w:webHidden/>
              </w:rPr>
              <w:fldChar w:fldCharType="begin"/>
            </w:r>
            <w:r w:rsidR="00EB2E2F" w:rsidRPr="00EB2E2F">
              <w:rPr>
                <w:noProof/>
                <w:webHidden/>
              </w:rPr>
              <w:instrText xml:space="preserve"> PAGEREF _Toc43473586 \h </w:instrText>
            </w:r>
            <w:r w:rsidR="00EB2E2F" w:rsidRPr="00EB2E2F">
              <w:rPr>
                <w:noProof/>
                <w:webHidden/>
              </w:rPr>
            </w:r>
            <w:r w:rsidR="00EB2E2F" w:rsidRPr="00EB2E2F">
              <w:rPr>
                <w:noProof/>
                <w:webHidden/>
              </w:rPr>
              <w:fldChar w:fldCharType="separate"/>
            </w:r>
            <w:r w:rsidR="00EB2E2F">
              <w:rPr>
                <w:noProof/>
                <w:webHidden/>
              </w:rPr>
              <w:t>11</w:t>
            </w:r>
            <w:r w:rsidR="00EB2E2F" w:rsidRPr="00EB2E2F">
              <w:rPr>
                <w:noProof/>
                <w:webHidden/>
              </w:rPr>
              <w:fldChar w:fldCharType="end"/>
            </w:r>
          </w:hyperlink>
        </w:p>
        <w:p w14:paraId="26D7766E" w14:textId="331A5C89" w:rsidR="00EB2E2F" w:rsidRPr="00EB2E2F" w:rsidRDefault="00FC4984">
          <w:pPr>
            <w:pStyle w:val="TOC2"/>
            <w:tabs>
              <w:tab w:val="right" w:leader="dot" w:pos="9016"/>
            </w:tabs>
            <w:rPr>
              <w:rFonts w:eastAsiaTheme="minorEastAsia"/>
              <w:noProof/>
              <w:lang w:eastAsia="en-GB"/>
            </w:rPr>
          </w:pPr>
          <w:hyperlink w:anchor="_Toc43473587" w:history="1">
            <w:r w:rsidR="00EB2E2F" w:rsidRPr="00EB2E2F">
              <w:rPr>
                <w:rStyle w:val="Hyperlink"/>
                <w:rFonts w:ascii="Arial" w:hAnsi="Arial" w:cs="Arial"/>
                <w:noProof/>
              </w:rPr>
              <w:t>Background of the study</w:t>
            </w:r>
            <w:r w:rsidR="00EB2E2F" w:rsidRPr="00EB2E2F">
              <w:rPr>
                <w:noProof/>
                <w:webHidden/>
              </w:rPr>
              <w:tab/>
            </w:r>
            <w:r w:rsidR="00EB2E2F" w:rsidRPr="00EB2E2F">
              <w:rPr>
                <w:noProof/>
                <w:webHidden/>
              </w:rPr>
              <w:fldChar w:fldCharType="begin"/>
            </w:r>
            <w:r w:rsidR="00EB2E2F" w:rsidRPr="00EB2E2F">
              <w:rPr>
                <w:noProof/>
                <w:webHidden/>
              </w:rPr>
              <w:instrText xml:space="preserve"> PAGEREF _Toc43473587 \h </w:instrText>
            </w:r>
            <w:r w:rsidR="00EB2E2F" w:rsidRPr="00EB2E2F">
              <w:rPr>
                <w:noProof/>
                <w:webHidden/>
              </w:rPr>
            </w:r>
            <w:r w:rsidR="00EB2E2F" w:rsidRPr="00EB2E2F">
              <w:rPr>
                <w:noProof/>
                <w:webHidden/>
              </w:rPr>
              <w:fldChar w:fldCharType="separate"/>
            </w:r>
            <w:r w:rsidR="00EB2E2F">
              <w:rPr>
                <w:noProof/>
                <w:webHidden/>
              </w:rPr>
              <w:t>11</w:t>
            </w:r>
            <w:r w:rsidR="00EB2E2F" w:rsidRPr="00EB2E2F">
              <w:rPr>
                <w:noProof/>
                <w:webHidden/>
              </w:rPr>
              <w:fldChar w:fldCharType="end"/>
            </w:r>
          </w:hyperlink>
        </w:p>
        <w:p w14:paraId="32E7195A" w14:textId="20159BB7" w:rsidR="00EB2E2F" w:rsidRPr="00EB2E2F" w:rsidRDefault="00FC4984">
          <w:pPr>
            <w:pStyle w:val="TOC2"/>
            <w:tabs>
              <w:tab w:val="right" w:leader="dot" w:pos="9016"/>
            </w:tabs>
            <w:rPr>
              <w:rFonts w:eastAsiaTheme="minorEastAsia"/>
              <w:noProof/>
              <w:lang w:eastAsia="en-GB"/>
            </w:rPr>
          </w:pPr>
          <w:hyperlink w:anchor="_Toc43473588" w:history="1">
            <w:r w:rsidR="00EB2E2F" w:rsidRPr="00EB2E2F">
              <w:rPr>
                <w:rStyle w:val="Hyperlink"/>
                <w:rFonts w:ascii="Arial" w:hAnsi="Arial" w:cs="Arial"/>
                <w:noProof/>
              </w:rPr>
              <w:t>Objective</w:t>
            </w:r>
            <w:r w:rsidR="00EB2E2F" w:rsidRPr="00EB2E2F">
              <w:rPr>
                <w:noProof/>
                <w:webHidden/>
              </w:rPr>
              <w:tab/>
            </w:r>
            <w:r w:rsidR="00EB2E2F" w:rsidRPr="00EB2E2F">
              <w:rPr>
                <w:noProof/>
                <w:webHidden/>
              </w:rPr>
              <w:fldChar w:fldCharType="begin"/>
            </w:r>
            <w:r w:rsidR="00EB2E2F" w:rsidRPr="00EB2E2F">
              <w:rPr>
                <w:noProof/>
                <w:webHidden/>
              </w:rPr>
              <w:instrText xml:space="preserve"> PAGEREF _Toc43473588 \h </w:instrText>
            </w:r>
            <w:r w:rsidR="00EB2E2F" w:rsidRPr="00EB2E2F">
              <w:rPr>
                <w:noProof/>
                <w:webHidden/>
              </w:rPr>
            </w:r>
            <w:r w:rsidR="00EB2E2F" w:rsidRPr="00EB2E2F">
              <w:rPr>
                <w:noProof/>
                <w:webHidden/>
              </w:rPr>
              <w:fldChar w:fldCharType="separate"/>
            </w:r>
            <w:r w:rsidR="00EB2E2F">
              <w:rPr>
                <w:noProof/>
                <w:webHidden/>
              </w:rPr>
              <w:t>12</w:t>
            </w:r>
            <w:r w:rsidR="00EB2E2F" w:rsidRPr="00EB2E2F">
              <w:rPr>
                <w:noProof/>
                <w:webHidden/>
              </w:rPr>
              <w:fldChar w:fldCharType="end"/>
            </w:r>
          </w:hyperlink>
        </w:p>
        <w:p w14:paraId="66C45ECB" w14:textId="37B5F3D0" w:rsidR="00EB2E2F" w:rsidRPr="00EB2E2F" w:rsidRDefault="00FC4984">
          <w:pPr>
            <w:pStyle w:val="TOC2"/>
            <w:tabs>
              <w:tab w:val="right" w:leader="dot" w:pos="9016"/>
            </w:tabs>
            <w:rPr>
              <w:rFonts w:eastAsiaTheme="minorEastAsia"/>
              <w:noProof/>
              <w:lang w:eastAsia="en-GB"/>
            </w:rPr>
          </w:pPr>
          <w:hyperlink w:anchor="_Toc43473589" w:history="1">
            <w:r w:rsidR="00EB2E2F" w:rsidRPr="00EB2E2F">
              <w:rPr>
                <w:rStyle w:val="Hyperlink"/>
                <w:rFonts w:ascii="Arial" w:hAnsi="Arial" w:cs="Arial"/>
                <w:noProof/>
              </w:rPr>
              <w:t>Scope of the research</w:t>
            </w:r>
            <w:r w:rsidR="00EB2E2F" w:rsidRPr="00EB2E2F">
              <w:rPr>
                <w:noProof/>
                <w:webHidden/>
              </w:rPr>
              <w:tab/>
            </w:r>
            <w:r w:rsidR="00EB2E2F" w:rsidRPr="00EB2E2F">
              <w:rPr>
                <w:noProof/>
                <w:webHidden/>
              </w:rPr>
              <w:fldChar w:fldCharType="begin"/>
            </w:r>
            <w:r w:rsidR="00EB2E2F" w:rsidRPr="00EB2E2F">
              <w:rPr>
                <w:noProof/>
                <w:webHidden/>
              </w:rPr>
              <w:instrText xml:space="preserve"> PAGEREF _Toc43473589 \h </w:instrText>
            </w:r>
            <w:r w:rsidR="00EB2E2F" w:rsidRPr="00EB2E2F">
              <w:rPr>
                <w:noProof/>
                <w:webHidden/>
              </w:rPr>
            </w:r>
            <w:r w:rsidR="00EB2E2F" w:rsidRPr="00EB2E2F">
              <w:rPr>
                <w:noProof/>
                <w:webHidden/>
              </w:rPr>
              <w:fldChar w:fldCharType="separate"/>
            </w:r>
            <w:r w:rsidR="00EB2E2F">
              <w:rPr>
                <w:noProof/>
                <w:webHidden/>
              </w:rPr>
              <w:t>12</w:t>
            </w:r>
            <w:r w:rsidR="00EB2E2F" w:rsidRPr="00EB2E2F">
              <w:rPr>
                <w:noProof/>
                <w:webHidden/>
              </w:rPr>
              <w:fldChar w:fldCharType="end"/>
            </w:r>
          </w:hyperlink>
        </w:p>
        <w:p w14:paraId="16758E6E" w14:textId="61ECDF28" w:rsidR="00EB2E2F" w:rsidRPr="00EB2E2F" w:rsidRDefault="00FC4984">
          <w:pPr>
            <w:pStyle w:val="TOC2"/>
            <w:tabs>
              <w:tab w:val="right" w:leader="dot" w:pos="9016"/>
            </w:tabs>
            <w:rPr>
              <w:rFonts w:eastAsiaTheme="minorEastAsia"/>
              <w:noProof/>
              <w:lang w:eastAsia="en-GB"/>
            </w:rPr>
          </w:pPr>
          <w:hyperlink w:anchor="_Toc43473590" w:history="1">
            <w:r w:rsidR="00EB2E2F" w:rsidRPr="00EB2E2F">
              <w:rPr>
                <w:rStyle w:val="Hyperlink"/>
                <w:rFonts w:ascii="Arial" w:hAnsi="Arial" w:cs="Arial"/>
                <w:noProof/>
              </w:rPr>
              <w:t>Major Problems faced in the research</w:t>
            </w:r>
            <w:r w:rsidR="00EB2E2F" w:rsidRPr="00EB2E2F">
              <w:rPr>
                <w:noProof/>
                <w:webHidden/>
              </w:rPr>
              <w:tab/>
            </w:r>
            <w:r w:rsidR="00EB2E2F" w:rsidRPr="00EB2E2F">
              <w:rPr>
                <w:noProof/>
                <w:webHidden/>
              </w:rPr>
              <w:fldChar w:fldCharType="begin"/>
            </w:r>
            <w:r w:rsidR="00EB2E2F" w:rsidRPr="00EB2E2F">
              <w:rPr>
                <w:noProof/>
                <w:webHidden/>
              </w:rPr>
              <w:instrText xml:space="preserve"> PAGEREF _Toc43473590 \h </w:instrText>
            </w:r>
            <w:r w:rsidR="00EB2E2F" w:rsidRPr="00EB2E2F">
              <w:rPr>
                <w:noProof/>
                <w:webHidden/>
              </w:rPr>
            </w:r>
            <w:r w:rsidR="00EB2E2F" w:rsidRPr="00EB2E2F">
              <w:rPr>
                <w:noProof/>
                <w:webHidden/>
              </w:rPr>
              <w:fldChar w:fldCharType="separate"/>
            </w:r>
            <w:r w:rsidR="00EB2E2F">
              <w:rPr>
                <w:noProof/>
                <w:webHidden/>
              </w:rPr>
              <w:t>13</w:t>
            </w:r>
            <w:r w:rsidR="00EB2E2F" w:rsidRPr="00EB2E2F">
              <w:rPr>
                <w:noProof/>
                <w:webHidden/>
              </w:rPr>
              <w:fldChar w:fldCharType="end"/>
            </w:r>
          </w:hyperlink>
        </w:p>
        <w:p w14:paraId="36E5CF07" w14:textId="65B22E5E" w:rsidR="00EB2E2F" w:rsidRPr="00EB2E2F" w:rsidRDefault="00FC4984">
          <w:pPr>
            <w:pStyle w:val="TOC2"/>
            <w:tabs>
              <w:tab w:val="right" w:leader="dot" w:pos="9016"/>
            </w:tabs>
            <w:rPr>
              <w:rFonts w:eastAsiaTheme="minorEastAsia"/>
              <w:noProof/>
              <w:lang w:eastAsia="en-GB"/>
            </w:rPr>
          </w:pPr>
          <w:hyperlink w:anchor="_Toc43473591" w:history="1">
            <w:r w:rsidR="00EB2E2F" w:rsidRPr="00EB2E2F">
              <w:rPr>
                <w:rStyle w:val="Hyperlink"/>
                <w:rFonts w:ascii="Arial" w:hAnsi="Arial" w:cs="Arial"/>
                <w:noProof/>
              </w:rPr>
              <w:t>Data finding and analysis</w:t>
            </w:r>
            <w:r w:rsidR="00EB2E2F" w:rsidRPr="00EB2E2F">
              <w:rPr>
                <w:noProof/>
                <w:webHidden/>
              </w:rPr>
              <w:tab/>
            </w:r>
            <w:r w:rsidR="00EB2E2F" w:rsidRPr="00EB2E2F">
              <w:rPr>
                <w:noProof/>
                <w:webHidden/>
              </w:rPr>
              <w:fldChar w:fldCharType="begin"/>
            </w:r>
            <w:r w:rsidR="00EB2E2F" w:rsidRPr="00EB2E2F">
              <w:rPr>
                <w:noProof/>
                <w:webHidden/>
              </w:rPr>
              <w:instrText xml:space="preserve"> PAGEREF _Toc43473591 \h </w:instrText>
            </w:r>
            <w:r w:rsidR="00EB2E2F" w:rsidRPr="00EB2E2F">
              <w:rPr>
                <w:noProof/>
                <w:webHidden/>
              </w:rPr>
            </w:r>
            <w:r w:rsidR="00EB2E2F" w:rsidRPr="00EB2E2F">
              <w:rPr>
                <w:noProof/>
                <w:webHidden/>
              </w:rPr>
              <w:fldChar w:fldCharType="separate"/>
            </w:r>
            <w:r w:rsidR="00EB2E2F">
              <w:rPr>
                <w:noProof/>
                <w:webHidden/>
              </w:rPr>
              <w:t>13</w:t>
            </w:r>
            <w:r w:rsidR="00EB2E2F" w:rsidRPr="00EB2E2F">
              <w:rPr>
                <w:noProof/>
                <w:webHidden/>
              </w:rPr>
              <w:fldChar w:fldCharType="end"/>
            </w:r>
          </w:hyperlink>
        </w:p>
        <w:p w14:paraId="29441ACF" w14:textId="1264DEB2" w:rsidR="00EB2E2F" w:rsidRPr="00EB2E2F" w:rsidRDefault="00FC4984">
          <w:pPr>
            <w:pStyle w:val="TOC1"/>
            <w:tabs>
              <w:tab w:val="right" w:leader="dot" w:pos="9016"/>
            </w:tabs>
            <w:rPr>
              <w:rFonts w:eastAsiaTheme="minorEastAsia"/>
              <w:noProof/>
              <w:lang w:eastAsia="en-GB"/>
            </w:rPr>
          </w:pPr>
          <w:hyperlink w:anchor="_Toc43473592" w:history="1">
            <w:r w:rsidR="001B16BE">
              <w:rPr>
                <w:rStyle w:val="Hyperlink"/>
                <w:rFonts w:ascii="Arial" w:hAnsi="Arial" w:cs="Arial"/>
                <w:b/>
                <w:bCs/>
                <w:noProof/>
              </w:rPr>
              <w:t>LITERATURE REVIEW</w:t>
            </w:r>
            <w:r w:rsidR="00EB2E2F" w:rsidRPr="00EB2E2F">
              <w:rPr>
                <w:noProof/>
                <w:webHidden/>
              </w:rPr>
              <w:tab/>
            </w:r>
            <w:r w:rsidR="00EB2E2F" w:rsidRPr="00EB2E2F">
              <w:rPr>
                <w:noProof/>
                <w:webHidden/>
              </w:rPr>
              <w:fldChar w:fldCharType="begin"/>
            </w:r>
            <w:r w:rsidR="00EB2E2F" w:rsidRPr="00EB2E2F">
              <w:rPr>
                <w:noProof/>
                <w:webHidden/>
              </w:rPr>
              <w:instrText xml:space="preserve"> PAGEREF _Toc43473592 \h </w:instrText>
            </w:r>
            <w:r w:rsidR="00EB2E2F" w:rsidRPr="00EB2E2F">
              <w:rPr>
                <w:noProof/>
                <w:webHidden/>
              </w:rPr>
            </w:r>
            <w:r w:rsidR="00EB2E2F" w:rsidRPr="00EB2E2F">
              <w:rPr>
                <w:noProof/>
                <w:webHidden/>
              </w:rPr>
              <w:fldChar w:fldCharType="separate"/>
            </w:r>
            <w:r w:rsidR="00EB2E2F">
              <w:rPr>
                <w:noProof/>
                <w:webHidden/>
              </w:rPr>
              <w:t>14</w:t>
            </w:r>
            <w:r w:rsidR="00EB2E2F" w:rsidRPr="00EB2E2F">
              <w:rPr>
                <w:noProof/>
                <w:webHidden/>
              </w:rPr>
              <w:fldChar w:fldCharType="end"/>
            </w:r>
          </w:hyperlink>
        </w:p>
        <w:p w14:paraId="34C533D1" w14:textId="35382BD4" w:rsidR="00EB2E2F" w:rsidRPr="00EB2E2F" w:rsidRDefault="00FC4984">
          <w:pPr>
            <w:pStyle w:val="TOC2"/>
            <w:tabs>
              <w:tab w:val="left" w:pos="660"/>
              <w:tab w:val="right" w:leader="dot" w:pos="9016"/>
            </w:tabs>
            <w:rPr>
              <w:rFonts w:eastAsiaTheme="minorEastAsia"/>
              <w:noProof/>
              <w:lang w:eastAsia="en-GB"/>
            </w:rPr>
          </w:pPr>
          <w:hyperlink w:anchor="_Toc43473593" w:history="1">
            <w:r w:rsidR="00EB2E2F" w:rsidRPr="00EB2E2F">
              <w:rPr>
                <w:rStyle w:val="Hyperlink"/>
                <w:rFonts w:ascii="Arial" w:hAnsi="Arial" w:cs="Arial"/>
                <w:noProof/>
              </w:rPr>
              <w:t>1.</w:t>
            </w:r>
            <w:r w:rsidR="00EB2E2F" w:rsidRPr="00EB2E2F">
              <w:rPr>
                <w:rFonts w:eastAsiaTheme="minorEastAsia"/>
                <w:noProof/>
                <w:lang w:eastAsia="en-GB"/>
              </w:rPr>
              <w:tab/>
            </w:r>
            <w:r w:rsidR="00EB2E2F" w:rsidRPr="00EB2E2F">
              <w:rPr>
                <w:rStyle w:val="Hyperlink"/>
                <w:rFonts w:ascii="Arial" w:hAnsi="Arial" w:cs="Arial"/>
                <w:noProof/>
              </w:rPr>
              <w:t>Liquidity</w:t>
            </w:r>
            <w:r w:rsidR="00EB2E2F" w:rsidRPr="00EB2E2F">
              <w:rPr>
                <w:noProof/>
                <w:webHidden/>
              </w:rPr>
              <w:tab/>
            </w:r>
            <w:r w:rsidR="00EB2E2F" w:rsidRPr="00EB2E2F">
              <w:rPr>
                <w:noProof/>
                <w:webHidden/>
              </w:rPr>
              <w:fldChar w:fldCharType="begin"/>
            </w:r>
            <w:r w:rsidR="00EB2E2F" w:rsidRPr="00EB2E2F">
              <w:rPr>
                <w:noProof/>
                <w:webHidden/>
              </w:rPr>
              <w:instrText xml:space="preserve"> PAGEREF _Toc43473593 \h </w:instrText>
            </w:r>
            <w:r w:rsidR="00EB2E2F" w:rsidRPr="00EB2E2F">
              <w:rPr>
                <w:noProof/>
                <w:webHidden/>
              </w:rPr>
            </w:r>
            <w:r w:rsidR="00EB2E2F" w:rsidRPr="00EB2E2F">
              <w:rPr>
                <w:noProof/>
                <w:webHidden/>
              </w:rPr>
              <w:fldChar w:fldCharType="separate"/>
            </w:r>
            <w:r w:rsidR="00EB2E2F">
              <w:rPr>
                <w:noProof/>
                <w:webHidden/>
              </w:rPr>
              <w:t>14</w:t>
            </w:r>
            <w:r w:rsidR="00EB2E2F" w:rsidRPr="00EB2E2F">
              <w:rPr>
                <w:noProof/>
                <w:webHidden/>
              </w:rPr>
              <w:fldChar w:fldCharType="end"/>
            </w:r>
          </w:hyperlink>
        </w:p>
        <w:p w14:paraId="0C61B0BF" w14:textId="6DA4AF44" w:rsidR="00EB2E2F" w:rsidRPr="00EB2E2F" w:rsidRDefault="00FC4984">
          <w:pPr>
            <w:pStyle w:val="TOC3"/>
            <w:tabs>
              <w:tab w:val="right" w:leader="dot" w:pos="9016"/>
            </w:tabs>
            <w:rPr>
              <w:rFonts w:eastAsiaTheme="minorEastAsia"/>
              <w:noProof/>
              <w:lang w:eastAsia="en-GB"/>
            </w:rPr>
          </w:pPr>
          <w:hyperlink w:anchor="_Toc43473594" w:history="1">
            <w:r w:rsidR="00EB2E2F" w:rsidRPr="00EB2E2F">
              <w:rPr>
                <w:rStyle w:val="Hyperlink"/>
                <w:rFonts w:ascii="Arial" w:hAnsi="Arial" w:cs="Arial"/>
                <w:noProof/>
              </w:rPr>
              <w:t>1.1 Trade-off Liquidity-Profitability</w:t>
            </w:r>
            <w:r w:rsidR="00EB2E2F" w:rsidRPr="00EB2E2F">
              <w:rPr>
                <w:noProof/>
                <w:webHidden/>
              </w:rPr>
              <w:tab/>
            </w:r>
            <w:r w:rsidR="00EB2E2F" w:rsidRPr="00EB2E2F">
              <w:rPr>
                <w:noProof/>
                <w:webHidden/>
              </w:rPr>
              <w:fldChar w:fldCharType="begin"/>
            </w:r>
            <w:r w:rsidR="00EB2E2F" w:rsidRPr="00EB2E2F">
              <w:rPr>
                <w:noProof/>
                <w:webHidden/>
              </w:rPr>
              <w:instrText xml:space="preserve"> PAGEREF _Toc43473594 \h </w:instrText>
            </w:r>
            <w:r w:rsidR="00EB2E2F" w:rsidRPr="00EB2E2F">
              <w:rPr>
                <w:noProof/>
                <w:webHidden/>
              </w:rPr>
            </w:r>
            <w:r w:rsidR="00EB2E2F" w:rsidRPr="00EB2E2F">
              <w:rPr>
                <w:noProof/>
                <w:webHidden/>
              </w:rPr>
              <w:fldChar w:fldCharType="separate"/>
            </w:r>
            <w:r w:rsidR="00EB2E2F">
              <w:rPr>
                <w:noProof/>
                <w:webHidden/>
              </w:rPr>
              <w:t>14</w:t>
            </w:r>
            <w:r w:rsidR="00EB2E2F" w:rsidRPr="00EB2E2F">
              <w:rPr>
                <w:noProof/>
                <w:webHidden/>
              </w:rPr>
              <w:fldChar w:fldCharType="end"/>
            </w:r>
          </w:hyperlink>
        </w:p>
        <w:p w14:paraId="1AC63E5F" w14:textId="1FC69268" w:rsidR="00EB2E2F" w:rsidRPr="00EB2E2F" w:rsidRDefault="00FC4984">
          <w:pPr>
            <w:pStyle w:val="TOC3"/>
            <w:tabs>
              <w:tab w:val="right" w:leader="dot" w:pos="9016"/>
            </w:tabs>
            <w:rPr>
              <w:rFonts w:eastAsiaTheme="minorEastAsia"/>
              <w:noProof/>
              <w:lang w:eastAsia="en-GB"/>
            </w:rPr>
          </w:pPr>
          <w:hyperlink w:anchor="_Toc43473595" w:history="1">
            <w:r w:rsidR="00EB2E2F" w:rsidRPr="00EB2E2F">
              <w:rPr>
                <w:rStyle w:val="Hyperlink"/>
                <w:rFonts w:ascii="Arial" w:hAnsi="Arial" w:cs="Arial"/>
                <w:noProof/>
              </w:rPr>
              <w:t>1.2 Empirical studies</w:t>
            </w:r>
            <w:r w:rsidR="00EB2E2F" w:rsidRPr="00EB2E2F">
              <w:rPr>
                <w:noProof/>
                <w:webHidden/>
              </w:rPr>
              <w:tab/>
            </w:r>
            <w:r w:rsidR="00EB2E2F" w:rsidRPr="00EB2E2F">
              <w:rPr>
                <w:noProof/>
                <w:webHidden/>
              </w:rPr>
              <w:fldChar w:fldCharType="begin"/>
            </w:r>
            <w:r w:rsidR="00EB2E2F" w:rsidRPr="00EB2E2F">
              <w:rPr>
                <w:noProof/>
                <w:webHidden/>
              </w:rPr>
              <w:instrText xml:space="preserve"> PAGEREF _Toc43473595 \h </w:instrText>
            </w:r>
            <w:r w:rsidR="00EB2E2F" w:rsidRPr="00EB2E2F">
              <w:rPr>
                <w:noProof/>
                <w:webHidden/>
              </w:rPr>
            </w:r>
            <w:r w:rsidR="00EB2E2F" w:rsidRPr="00EB2E2F">
              <w:rPr>
                <w:noProof/>
                <w:webHidden/>
              </w:rPr>
              <w:fldChar w:fldCharType="separate"/>
            </w:r>
            <w:r w:rsidR="00EB2E2F">
              <w:rPr>
                <w:noProof/>
                <w:webHidden/>
              </w:rPr>
              <w:t>16</w:t>
            </w:r>
            <w:r w:rsidR="00EB2E2F" w:rsidRPr="00EB2E2F">
              <w:rPr>
                <w:noProof/>
                <w:webHidden/>
              </w:rPr>
              <w:fldChar w:fldCharType="end"/>
            </w:r>
          </w:hyperlink>
        </w:p>
        <w:p w14:paraId="425371B7" w14:textId="263E4A9A" w:rsidR="00EB2E2F" w:rsidRPr="00EB2E2F" w:rsidRDefault="00FC4984">
          <w:pPr>
            <w:pStyle w:val="TOC2"/>
            <w:tabs>
              <w:tab w:val="left" w:pos="660"/>
              <w:tab w:val="right" w:leader="dot" w:pos="9016"/>
            </w:tabs>
            <w:rPr>
              <w:rFonts w:eastAsiaTheme="minorEastAsia"/>
              <w:noProof/>
              <w:lang w:eastAsia="en-GB"/>
            </w:rPr>
          </w:pPr>
          <w:hyperlink w:anchor="_Toc43473596" w:history="1">
            <w:r w:rsidR="00EB2E2F" w:rsidRPr="00EB2E2F">
              <w:rPr>
                <w:rStyle w:val="Hyperlink"/>
                <w:rFonts w:ascii="Arial" w:hAnsi="Arial" w:cs="Arial"/>
                <w:noProof/>
              </w:rPr>
              <w:t>2.</w:t>
            </w:r>
            <w:r w:rsidR="00EB2E2F" w:rsidRPr="00EB2E2F">
              <w:rPr>
                <w:rFonts w:eastAsiaTheme="minorEastAsia"/>
                <w:noProof/>
                <w:lang w:eastAsia="en-GB"/>
              </w:rPr>
              <w:tab/>
            </w:r>
            <w:r w:rsidR="00EB2E2F" w:rsidRPr="00EB2E2F">
              <w:rPr>
                <w:rStyle w:val="Hyperlink"/>
                <w:rFonts w:ascii="Arial" w:hAnsi="Arial" w:cs="Arial"/>
                <w:noProof/>
              </w:rPr>
              <w:t>Capital Structure</w:t>
            </w:r>
            <w:r w:rsidR="00EB2E2F" w:rsidRPr="00EB2E2F">
              <w:rPr>
                <w:noProof/>
                <w:webHidden/>
              </w:rPr>
              <w:tab/>
            </w:r>
            <w:r w:rsidR="00EB2E2F" w:rsidRPr="00EB2E2F">
              <w:rPr>
                <w:noProof/>
                <w:webHidden/>
              </w:rPr>
              <w:fldChar w:fldCharType="begin"/>
            </w:r>
            <w:r w:rsidR="00EB2E2F" w:rsidRPr="00EB2E2F">
              <w:rPr>
                <w:noProof/>
                <w:webHidden/>
              </w:rPr>
              <w:instrText xml:space="preserve"> PAGEREF _Toc43473596 \h </w:instrText>
            </w:r>
            <w:r w:rsidR="00EB2E2F" w:rsidRPr="00EB2E2F">
              <w:rPr>
                <w:noProof/>
                <w:webHidden/>
              </w:rPr>
            </w:r>
            <w:r w:rsidR="00EB2E2F" w:rsidRPr="00EB2E2F">
              <w:rPr>
                <w:noProof/>
                <w:webHidden/>
              </w:rPr>
              <w:fldChar w:fldCharType="separate"/>
            </w:r>
            <w:r w:rsidR="00EB2E2F">
              <w:rPr>
                <w:noProof/>
                <w:webHidden/>
              </w:rPr>
              <w:t>20</w:t>
            </w:r>
            <w:r w:rsidR="00EB2E2F" w:rsidRPr="00EB2E2F">
              <w:rPr>
                <w:noProof/>
                <w:webHidden/>
              </w:rPr>
              <w:fldChar w:fldCharType="end"/>
            </w:r>
          </w:hyperlink>
        </w:p>
        <w:p w14:paraId="163E63F5" w14:textId="0294AA5D" w:rsidR="00EB2E2F" w:rsidRPr="00EB2E2F" w:rsidRDefault="00FC4984">
          <w:pPr>
            <w:pStyle w:val="TOC3"/>
            <w:tabs>
              <w:tab w:val="right" w:leader="dot" w:pos="9016"/>
            </w:tabs>
            <w:rPr>
              <w:rFonts w:eastAsiaTheme="minorEastAsia"/>
              <w:noProof/>
              <w:lang w:eastAsia="en-GB"/>
            </w:rPr>
          </w:pPr>
          <w:hyperlink w:anchor="_Toc43473597" w:history="1">
            <w:r w:rsidR="00EB2E2F" w:rsidRPr="00EB2E2F">
              <w:rPr>
                <w:rStyle w:val="Hyperlink"/>
                <w:rFonts w:ascii="Arial" w:hAnsi="Arial" w:cs="Arial"/>
                <w:noProof/>
              </w:rPr>
              <w:t>2.1 Trade-off Leverage-Profitability</w:t>
            </w:r>
            <w:r w:rsidR="00EB2E2F" w:rsidRPr="00EB2E2F">
              <w:rPr>
                <w:noProof/>
                <w:webHidden/>
              </w:rPr>
              <w:tab/>
            </w:r>
            <w:r w:rsidR="00EB2E2F" w:rsidRPr="00EB2E2F">
              <w:rPr>
                <w:noProof/>
                <w:webHidden/>
              </w:rPr>
              <w:fldChar w:fldCharType="begin"/>
            </w:r>
            <w:r w:rsidR="00EB2E2F" w:rsidRPr="00EB2E2F">
              <w:rPr>
                <w:noProof/>
                <w:webHidden/>
              </w:rPr>
              <w:instrText xml:space="preserve"> PAGEREF _Toc43473597 \h </w:instrText>
            </w:r>
            <w:r w:rsidR="00EB2E2F" w:rsidRPr="00EB2E2F">
              <w:rPr>
                <w:noProof/>
                <w:webHidden/>
              </w:rPr>
            </w:r>
            <w:r w:rsidR="00EB2E2F" w:rsidRPr="00EB2E2F">
              <w:rPr>
                <w:noProof/>
                <w:webHidden/>
              </w:rPr>
              <w:fldChar w:fldCharType="separate"/>
            </w:r>
            <w:r w:rsidR="00EB2E2F">
              <w:rPr>
                <w:noProof/>
                <w:webHidden/>
              </w:rPr>
              <w:t>20</w:t>
            </w:r>
            <w:r w:rsidR="00EB2E2F" w:rsidRPr="00EB2E2F">
              <w:rPr>
                <w:noProof/>
                <w:webHidden/>
              </w:rPr>
              <w:fldChar w:fldCharType="end"/>
            </w:r>
          </w:hyperlink>
        </w:p>
        <w:p w14:paraId="728D65BF" w14:textId="06CFA5E8" w:rsidR="00EB2E2F" w:rsidRPr="00EB2E2F" w:rsidRDefault="00FC4984">
          <w:pPr>
            <w:pStyle w:val="TOC3"/>
            <w:tabs>
              <w:tab w:val="right" w:leader="dot" w:pos="9016"/>
            </w:tabs>
            <w:rPr>
              <w:rFonts w:eastAsiaTheme="minorEastAsia"/>
              <w:noProof/>
              <w:lang w:eastAsia="en-GB"/>
            </w:rPr>
          </w:pPr>
          <w:hyperlink w:anchor="_Toc43473598" w:history="1">
            <w:r w:rsidR="00EB2E2F" w:rsidRPr="00EB2E2F">
              <w:rPr>
                <w:rStyle w:val="Hyperlink"/>
                <w:rFonts w:ascii="Arial" w:hAnsi="Arial" w:cs="Arial"/>
                <w:noProof/>
              </w:rPr>
              <w:t>2.2 Empirical studies</w:t>
            </w:r>
            <w:r w:rsidR="00EB2E2F" w:rsidRPr="00EB2E2F">
              <w:rPr>
                <w:noProof/>
                <w:webHidden/>
              </w:rPr>
              <w:tab/>
            </w:r>
            <w:r w:rsidR="00EB2E2F" w:rsidRPr="00EB2E2F">
              <w:rPr>
                <w:noProof/>
                <w:webHidden/>
              </w:rPr>
              <w:fldChar w:fldCharType="begin"/>
            </w:r>
            <w:r w:rsidR="00EB2E2F" w:rsidRPr="00EB2E2F">
              <w:rPr>
                <w:noProof/>
                <w:webHidden/>
              </w:rPr>
              <w:instrText xml:space="preserve"> PAGEREF _Toc43473598 \h </w:instrText>
            </w:r>
            <w:r w:rsidR="00EB2E2F" w:rsidRPr="00EB2E2F">
              <w:rPr>
                <w:noProof/>
                <w:webHidden/>
              </w:rPr>
            </w:r>
            <w:r w:rsidR="00EB2E2F" w:rsidRPr="00EB2E2F">
              <w:rPr>
                <w:noProof/>
                <w:webHidden/>
              </w:rPr>
              <w:fldChar w:fldCharType="separate"/>
            </w:r>
            <w:r w:rsidR="00EB2E2F">
              <w:rPr>
                <w:noProof/>
                <w:webHidden/>
              </w:rPr>
              <w:t>22</w:t>
            </w:r>
            <w:r w:rsidR="00EB2E2F" w:rsidRPr="00EB2E2F">
              <w:rPr>
                <w:noProof/>
                <w:webHidden/>
              </w:rPr>
              <w:fldChar w:fldCharType="end"/>
            </w:r>
          </w:hyperlink>
        </w:p>
        <w:p w14:paraId="358555FC" w14:textId="73B5C839" w:rsidR="00EB2E2F" w:rsidRPr="00EB2E2F" w:rsidRDefault="00FC4984">
          <w:pPr>
            <w:pStyle w:val="TOC1"/>
            <w:tabs>
              <w:tab w:val="right" w:leader="dot" w:pos="9016"/>
            </w:tabs>
            <w:rPr>
              <w:rFonts w:eastAsiaTheme="minorEastAsia"/>
              <w:noProof/>
              <w:lang w:eastAsia="en-GB"/>
            </w:rPr>
          </w:pPr>
          <w:hyperlink w:anchor="_Toc43473599" w:history="1">
            <w:r w:rsidR="001B16BE">
              <w:rPr>
                <w:rStyle w:val="Hyperlink"/>
                <w:rFonts w:ascii="Arial" w:hAnsi="Arial" w:cs="Arial"/>
                <w:b/>
                <w:bCs/>
                <w:noProof/>
              </w:rPr>
              <w:t>METHODOLOGY</w:t>
            </w:r>
            <w:r w:rsidR="00EB2E2F" w:rsidRPr="00EB2E2F">
              <w:rPr>
                <w:noProof/>
                <w:webHidden/>
              </w:rPr>
              <w:tab/>
            </w:r>
            <w:r w:rsidR="00EB2E2F" w:rsidRPr="00EB2E2F">
              <w:rPr>
                <w:noProof/>
                <w:webHidden/>
              </w:rPr>
              <w:fldChar w:fldCharType="begin"/>
            </w:r>
            <w:r w:rsidR="00EB2E2F" w:rsidRPr="00EB2E2F">
              <w:rPr>
                <w:noProof/>
                <w:webHidden/>
              </w:rPr>
              <w:instrText xml:space="preserve"> PAGEREF _Toc43473599 \h </w:instrText>
            </w:r>
            <w:r w:rsidR="00EB2E2F" w:rsidRPr="00EB2E2F">
              <w:rPr>
                <w:noProof/>
                <w:webHidden/>
              </w:rPr>
            </w:r>
            <w:r w:rsidR="00EB2E2F" w:rsidRPr="00EB2E2F">
              <w:rPr>
                <w:noProof/>
                <w:webHidden/>
              </w:rPr>
              <w:fldChar w:fldCharType="separate"/>
            </w:r>
            <w:r w:rsidR="00EB2E2F">
              <w:rPr>
                <w:noProof/>
                <w:webHidden/>
              </w:rPr>
              <w:t>27</w:t>
            </w:r>
            <w:r w:rsidR="00EB2E2F" w:rsidRPr="00EB2E2F">
              <w:rPr>
                <w:noProof/>
                <w:webHidden/>
              </w:rPr>
              <w:fldChar w:fldCharType="end"/>
            </w:r>
          </w:hyperlink>
        </w:p>
        <w:p w14:paraId="5740794A" w14:textId="5E957622" w:rsidR="00EB2E2F" w:rsidRPr="00EB2E2F" w:rsidRDefault="00FC4984">
          <w:pPr>
            <w:pStyle w:val="TOC2"/>
            <w:tabs>
              <w:tab w:val="right" w:leader="dot" w:pos="9016"/>
            </w:tabs>
            <w:rPr>
              <w:rFonts w:eastAsiaTheme="minorEastAsia"/>
              <w:noProof/>
              <w:lang w:eastAsia="en-GB"/>
            </w:rPr>
          </w:pPr>
          <w:hyperlink w:anchor="_Toc43473600" w:history="1">
            <w:r w:rsidR="00EB2E2F" w:rsidRPr="00EB2E2F">
              <w:rPr>
                <w:rStyle w:val="Hyperlink"/>
                <w:rFonts w:ascii="Arial" w:hAnsi="Arial" w:cs="Arial"/>
                <w:noProof/>
              </w:rPr>
              <w:t>Data source</w:t>
            </w:r>
            <w:r w:rsidR="00EB2E2F" w:rsidRPr="00EB2E2F">
              <w:rPr>
                <w:noProof/>
                <w:webHidden/>
              </w:rPr>
              <w:tab/>
            </w:r>
            <w:r w:rsidR="00EB2E2F" w:rsidRPr="00EB2E2F">
              <w:rPr>
                <w:noProof/>
                <w:webHidden/>
              </w:rPr>
              <w:fldChar w:fldCharType="begin"/>
            </w:r>
            <w:r w:rsidR="00EB2E2F" w:rsidRPr="00EB2E2F">
              <w:rPr>
                <w:noProof/>
                <w:webHidden/>
              </w:rPr>
              <w:instrText xml:space="preserve"> PAGEREF _Toc43473600 \h </w:instrText>
            </w:r>
            <w:r w:rsidR="00EB2E2F" w:rsidRPr="00EB2E2F">
              <w:rPr>
                <w:noProof/>
                <w:webHidden/>
              </w:rPr>
            </w:r>
            <w:r w:rsidR="00EB2E2F" w:rsidRPr="00EB2E2F">
              <w:rPr>
                <w:noProof/>
                <w:webHidden/>
              </w:rPr>
              <w:fldChar w:fldCharType="separate"/>
            </w:r>
            <w:r w:rsidR="00EB2E2F">
              <w:rPr>
                <w:noProof/>
                <w:webHidden/>
              </w:rPr>
              <w:t>27</w:t>
            </w:r>
            <w:r w:rsidR="00EB2E2F" w:rsidRPr="00EB2E2F">
              <w:rPr>
                <w:noProof/>
                <w:webHidden/>
              </w:rPr>
              <w:fldChar w:fldCharType="end"/>
            </w:r>
          </w:hyperlink>
        </w:p>
        <w:p w14:paraId="5F79F66E" w14:textId="43F08BF3" w:rsidR="00EB2E2F" w:rsidRPr="00EB2E2F" w:rsidRDefault="00FC4984">
          <w:pPr>
            <w:pStyle w:val="TOC2"/>
            <w:tabs>
              <w:tab w:val="right" w:leader="dot" w:pos="9016"/>
            </w:tabs>
            <w:rPr>
              <w:rFonts w:eastAsiaTheme="minorEastAsia"/>
              <w:noProof/>
              <w:lang w:eastAsia="en-GB"/>
            </w:rPr>
          </w:pPr>
          <w:hyperlink w:anchor="_Toc43473601" w:history="1">
            <w:r w:rsidR="00EB2E2F" w:rsidRPr="00EB2E2F">
              <w:rPr>
                <w:rStyle w:val="Hyperlink"/>
                <w:rFonts w:ascii="Arial" w:hAnsi="Arial" w:cs="Arial"/>
                <w:noProof/>
              </w:rPr>
              <w:t>Sampling Design</w:t>
            </w:r>
            <w:r w:rsidR="00EB2E2F" w:rsidRPr="00EB2E2F">
              <w:rPr>
                <w:noProof/>
                <w:webHidden/>
              </w:rPr>
              <w:tab/>
            </w:r>
            <w:r w:rsidR="00EB2E2F" w:rsidRPr="00EB2E2F">
              <w:rPr>
                <w:noProof/>
                <w:webHidden/>
              </w:rPr>
              <w:fldChar w:fldCharType="begin"/>
            </w:r>
            <w:r w:rsidR="00EB2E2F" w:rsidRPr="00EB2E2F">
              <w:rPr>
                <w:noProof/>
                <w:webHidden/>
              </w:rPr>
              <w:instrText xml:space="preserve"> PAGEREF _Toc43473601 \h </w:instrText>
            </w:r>
            <w:r w:rsidR="00EB2E2F" w:rsidRPr="00EB2E2F">
              <w:rPr>
                <w:noProof/>
                <w:webHidden/>
              </w:rPr>
            </w:r>
            <w:r w:rsidR="00EB2E2F" w:rsidRPr="00EB2E2F">
              <w:rPr>
                <w:noProof/>
                <w:webHidden/>
              </w:rPr>
              <w:fldChar w:fldCharType="separate"/>
            </w:r>
            <w:r w:rsidR="00EB2E2F">
              <w:rPr>
                <w:noProof/>
                <w:webHidden/>
              </w:rPr>
              <w:t>27</w:t>
            </w:r>
            <w:r w:rsidR="00EB2E2F" w:rsidRPr="00EB2E2F">
              <w:rPr>
                <w:noProof/>
                <w:webHidden/>
              </w:rPr>
              <w:fldChar w:fldCharType="end"/>
            </w:r>
          </w:hyperlink>
        </w:p>
        <w:p w14:paraId="64EFBF0A" w14:textId="708DDBEE" w:rsidR="00EB2E2F" w:rsidRPr="00EB2E2F" w:rsidRDefault="00FC4984">
          <w:pPr>
            <w:pStyle w:val="TOC2"/>
            <w:tabs>
              <w:tab w:val="right" w:leader="dot" w:pos="9016"/>
            </w:tabs>
            <w:rPr>
              <w:rFonts w:eastAsiaTheme="minorEastAsia"/>
              <w:noProof/>
              <w:lang w:eastAsia="en-GB"/>
            </w:rPr>
          </w:pPr>
          <w:hyperlink w:anchor="_Toc43473602" w:history="1">
            <w:r w:rsidR="00EB2E2F" w:rsidRPr="00EB2E2F">
              <w:rPr>
                <w:rStyle w:val="Hyperlink"/>
                <w:rFonts w:ascii="Arial" w:hAnsi="Arial" w:cs="Arial"/>
                <w:noProof/>
              </w:rPr>
              <w:t>The technique of data analysis</w:t>
            </w:r>
            <w:r w:rsidR="00EB2E2F" w:rsidRPr="00EB2E2F">
              <w:rPr>
                <w:noProof/>
                <w:webHidden/>
              </w:rPr>
              <w:tab/>
            </w:r>
            <w:r w:rsidR="00EB2E2F" w:rsidRPr="00EB2E2F">
              <w:rPr>
                <w:noProof/>
                <w:webHidden/>
              </w:rPr>
              <w:fldChar w:fldCharType="begin"/>
            </w:r>
            <w:r w:rsidR="00EB2E2F" w:rsidRPr="00EB2E2F">
              <w:rPr>
                <w:noProof/>
                <w:webHidden/>
              </w:rPr>
              <w:instrText xml:space="preserve"> PAGEREF _Toc43473602 \h </w:instrText>
            </w:r>
            <w:r w:rsidR="00EB2E2F" w:rsidRPr="00EB2E2F">
              <w:rPr>
                <w:noProof/>
                <w:webHidden/>
              </w:rPr>
            </w:r>
            <w:r w:rsidR="00EB2E2F" w:rsidRPr="00EB2E2F">
              <w:rPr>
                <w:noProof/>
                <w:webHidden/>
              </w:rPr>
              <w:fldChar w:fldCharType="separate"/>
            </w:r>
            <w:r w:rsidR="00EB2E2F">
              <w:rPr>
                <w:noProof/>
                <w:webHidden/>
              </w:rPr>
              <w:t>28</w:t>
            </w:r>
            <w:r w:rsidR="00EB2E2F" w:rsidRPr="00EB2E2F">
              <w:rPr>
                <w:noProof/>
                <w:webHidden/>
              </w:rPr>
              <w:fldChar w:fldCharType="end"/>
            </w:r>
          </w:hyperlink>
        </w:p>
        <w:p w14:paraId="5C80BDBF" w14:textId="3037AD83" w:rsidR="00EB2E2F" w:rsidRPr="00EB2E2F" w:rsidRDefault="00FC4984">
          <w:pPr>
            <w:pStyle w:val="TOC2"/>
            <w:tabs>
              <w:tab w:val="right" w:leader="dot" w:pos="9016"/>
            </w:tabs>
            <w:rPr>
              <w:rFonts w:eastAsiaTheme="minorEastAsia"/>
              <w:noProof/>
              <w:lang w:eastAsia="en-GB"/>
            </w:rPr>
          </w:pPr>
          <w:hyperlink w:anchor="_Toc43473603" w:history="1">
            <w:r w:rsidR="00EB2E2F" w:rsidRPr="00EB2E2F">
              <w:rPr>
                <w:rStyle w:val="Hyperlink"/>
                <w:rFonts w:ascii="Arial" w:hAnsi="Arial" w:cs="Arial"/>
                <w:noProof/>
                <w:lang w:val="en"/>
              </w:rPr>
              <w:t>Selection of variables</w:t>
            </w:r>
            <w:r w:rsidR="00EB2E2F" w:rsidRPr="00EB2E2F">
              <w:rPr>
                <w:noProof/>
                <w:webHidden/>
              </w:rPr>
              <w:tab/>
            </w:r>
            <w:r w:rsidR="00EB2E2F" w:rsidRPr="00EB2E2F">
              <w:rPr>
                <w:noProof/>
                <w:webHidden/>
              </w:rPr>
              <w:fldChar w:fldCharType="begin"/>
            </w:r>
            <w:r w:rsidR="00EB2E2F" w:rsidRPr="00EB2E2F">
              <w:rPr>
                <w:noProof/>
                <w:webHidden/>
              </w:rPr>
              <w:instrText xml:space="preserve"> PAGEREF _Toc43473603 \h </w:instrText>
            </w:r>
            <w:r w:rsidR="00EB2E2F" w:rsidRPr="00EB2E2F">
              <w:rPr>
                <w:noProof/>
                <w:webHidden/>
              </w:rPr>
            </w:r>
            <w:r w:rsidR="00EB2E2F" w:rsidRPr="00EB2E2F">
              <w:rPr>
                <w:noProof/>
                <w:webHidden/>
              </w:rPr>
              <w:fldChar w:fldCharType="separate"/>
            </w:r>
            <w:r w:rsidR="00EB2E2F">
              <w:rPr>
                <w:noProof/>
                <w:webHidden/>
              </w:rPr>
              <w:t>29</w:t>
            </w:r>
            <w:r w:rsidR="00EB2E2F" w:rsidRPr="00EB2E2F">
              <w:rPr>
                <w:noProof/>
                <w:webHidden/>
              </w:rPr>
              <w:fldChar w:fldCharType="end"/>
            </w:r>
          </w:hyperlink>
        </w:p>
        <w:p w14:paraId="51FC1D6E" w14:textId="4F098F3F" w:rsidR="00EB2E2F" w:rsidRPr="00EB2E2F" w:rsidRDefault="00FC4984">
          <w:pPr>
            <w:pStyle w:val="TOC3"/>
            <w:tabs>
              <w:tab w:val="left" w:pos="880"/>
              <w:tab w:val="right" w:leader="dot" w:pos="9016"/>
            </w:tabs>
            <w:rPr>
              <w:rFonts w:eastAsiaTheme="minorEastAsia"/>
              <w:noProof/>
              <w:lang w:eastAsia="en-GB"/>
            </w:rPr>
          </w:pPr>
          <w:hyperlink w:anchor="_Toc43473604" w:history="1">
            <w:r w:rsidR="00EB2E2F" w:rsidRPr="00EB2E2F">
              <w:rPr>
                <w:rStyle w:val="Hyperlink"/>
                <w:rFonts w:ascii="Arial" w:hAnsi="Arial" w:cs="Arial"/>
                <w:noProof/>
                <w:lang w:val="en"/>
              </w:rPr>
              <w:t>1.</w:t>
            </w:r>
            <w:r w:rsidR="00EB2E2F" w:rsidRPr="00EB2E2F">
              <w:rPr>
                <w:rFonts w:eastAsiaTheme="minorEastAsia"/>
                <w:noProof/>
                <w:lang w:eastAsia="en-GB"/>
              </w:rPr>
              <w:tab/>
            </w:r>
            <w:r w:rsidR="00EB2E2F" w:rsidRPr="00EB2E2F">
              <w:rPr>
                <w:rStyle w:val="Hyperlink"/>
                <w:rFonts w:ascii="Arial" w:hAnsi="Arial" w:cs="Arial"/>
                <w:noProof/>
                <w:lang w:val="en"/>
              </w:rPr>
              <w:t>Profitability</w:t>
            </w:r>
            <w:r w:rsidR="00EB2E2F" w:rsidRPr="00EB2E2F">
              <w:rPr>
                <w:noProof/>
                <w:webHidden/>
              </w:rPr>
              <w:tab/>
            </w:r>
            <w:r w:rsidR="00EB2E2F" w:rsidRPr="00EB2E2F">
              <w:rPr>
                <w:noProof/>
                <w:webHidden/>
              </w:rPr>
              <w:fldChar w:fldCharType="begin"/>
            </w:r>
            <w:r w:rsidR="00EB2E2F" w:rsidRPr="00EB2E2F">
              <w:rPr>
                <w:noProof/>
                <w:webHidden/>
              </w:rPr>
              <w:instrText xml:space="preserve"> PAGEREF _Toc43473604 \h </w:instrText>
            </w:r>
            <w:r w:rsidR="00EB2E2F" w:rsidRPr="00EB2E2F">
              <w:rPr>
                <w:noProof/>
                <w:webHidden/>
              </w:rPr>
            </w:r>
            <w:r w:rsidR="00EB2E2F" w:rsidRPr="00EB2E2F">
              <w:rPr>
                <w:noProof/>
                <w:webHidden/>
              </w:rPr>
              <w:fldChar w:fldCharType="separate"/>
            </w:r>
            <w:r w:rsidR="00EB2E2F">
              <w:rPr>
                <w:noProof/>
                <w:webHidden/>
              </w:rPr>
              <w:t>30</w:t>
            </w:r>
            <w:r w:rsidR="00EB2E2F" w:rsidRPr="00EB2E2F">
              <w:rPr>
                <w:noProof/>
                <w:webHidden/>
              </w:rPr>
              <w:fldChar w:fldCharType="end"/>
            </w:r>
          </w:hyperlink>
        </w:p>
        <w:p w14:paraId="5001E505" w14:textId="12B31351" w:rsidR="00EB2E2F" w:rsidRPr="00EB2E2F" w:rsidRDefault="00FC4984">
          <w:pPr>
            <w:pStyle w:val="TOC3"/>
            <w:tabs>
              <w:tab w:val="left" w:pos="880"/>
              <w:tab w:val="right" w:leader="dot" w:pos="9016"/>
            </w:tabs>
            <w:rPr>
              <w:rFonts w:eastAsiaTheme="minorEastAsia"/>
              <w:noProof/>
              <w:lang w:eastAsia="en-GB"/>
            </w:rPr>
          </w:pPr>
          <w:hyperlink w:anchor="_Toc43473605" w:history="1">
            <w:r w:rsidR="00EB2E2F" w:rsidRPr="00EB2E2F">
              <w:rPr>
                <w:rStyle w:val="Hyperlink"/>
                <w:rFonts w:ascii="Arial" w:hAnsi="Arial" w:cs="Arial"/>
                <w:noProof/>
                <w:lang w:val="en"/>
              </w:rPr>
              <w:t>2.</w:t>
            </w:r>
            <w:r w:rsidR="00EB2E2F" w:rsidRPr="00EB2E2F">
              <w:rPr>
                <w:rFonts w:eastAsiaTheme="minorEastAsia"/>
                <w:noProof/>
                <w:lang w:eastAsia="en-GB"/>
              </w:rPr>
              <w:tab/>
            </w:r>
            <w:r w:rsidR="00EB2E2F" w:rsidRPr="00EB2E2F">
              <w:rPr>
                <w:rStyle w:val="Hyperlink"/>
                <w:rFonts w:ascii="Arial" w:hAnsi="Arial" w:cs="Arial"/>
                <w:noProof/>
                <w:lang w:val="en"/>
              </w:rPr>
              <w:t>Liquidity</w:t>
            </w:r>
            <w:r w:rsidR="00EB2E2F" w:rsidRPr="00EB2E2F">
              <w:rPr>
                <w:noProof/>
                <w:webHidden/>
              </w:rPr>
              <w:tab/>
            </w:r>
            <w:r w:rsidR="00EB2E2F" w:rsidRPr="00EB2E2F">
              <w:rPr>
                <w:noProof/>
                <w:webHidden/>
              </w:rPr>
              <w:fldChar w:fldCharType="begin"/>
            </w:r>
            <w:r w:rsidR="00EB2E2F" w:rsidRPr="00EB2E2F">
              <w:rPr>
                <w:noProof/>
                <w:webHidden/>
              </w:rPr>
              <w:instrText xml:space="preserve"> PAGEREF _Toc43473605 \h </w:instrText>
            </w:r>
            <w:r w:rsidR="00EB2E2F" w:rsidRPr="00EB2E2F">
              <w:rPr>
                <w:noProof/>
                <w:webHidden/>
              </w:rPr>
            </w:r>
            <w:r w:rsidR="00EB2E2F" w:rsidRPr="00EB2E2F">
              <w:rPr>
                <w:noProof/>
                <w:webHidden/>
              </w:rPr>
              <w:fldChar w:fldCharType="separate"/>
            </w:r>
            <w:r w:rsidR="00EB2E2F">
              <w:rPr>
                <w:noProof/>
                <w:webHidden/>
              </w:rPr>
              <w:t>31</w:t>
            </w:r>
            <w:r w:rsidR="00EB2E2F" w:rsidRPr="00EB2E2F">
              <w:rPr>
                <w:noProof/>
                <w:webHidden/>
              </w:rPr>
              <w:fldChar w:fldCharType="end"/>
            </w:r>
          </w:hyperlink>
        </w:p>
        <w:p w14:paraId="73BBC568" w14:textId="375D0D44" w:rsidR="00EB2E2F" w:rsidRPr="00EB2E2F" w:rsidRDefault="00FC4984">
          <w:pPr>
            <w:pStyle w:val="TOC3"/>
            <w:tabs>
              <w:tab w:val="left" w:pos="880"/>
              <w:tab w:val="right" w:leader="dot" w:pos="9016"/>
            </w:tabs>
            <w:rPr>
              <w:rFonts w:eastAsiaTheme="minorEastAsia"/>
              <w:noProof/>
              <w:lang w:eastAsia="en-GB"/>
            </w:rPr>
          </w:pPr>
          <w:hyperlink w:anchor="_Toc43473606" w:history="1">
            <w:r w:rsidR="00EB2E2F" w:rsidRPr="00EB2E2F">
              <w:rPr>
                <w:rStyle w:val="Hyperlink"/>
                <w:rFonts w:ascii="Arial" w:hAnsi="Arial" w:cs="Arial"/>
                <w:noProof/>
              </w:rPr>
              <w:t>3.</w:t>
            </w:r>
            <w:r w:rsidR="00EB2E2F" w:rsidRPr="00EB2E2F">
              <w:rPr>
                <w:rFonts w:eastAsiaTheme="minorEastAsia"/>
                <w:noProof/>
                <w:lang w:eastAsia="en-GB"/>
              </w:rPr>
              <w:tab/>
            </w:r>
            <w:r w:rsidR="00EB2E2F" w:rsidRPr="00EB2E2F">
              <w:rPr>
                <w:rStyle w:val="Hyperlink"/>
                <w:rFonts w:ascii="Arial" w:hAnsi="Arial" w:cs="Arial"/>
                <w:noProof/>
              </w:rPr>
              <w:t>Leverage</w:t>
            </w:r>
            <w:r w:rsidR="00EB2E2F" w:rsidRPr="00EB2E2F">
              <w:rPr>
                <w:noProof/>
                <w:webHidden/>
              </w:rPr>
              <w:tab/>
            </w:r>
            <w:r w:rsidR="00EB2E2F" w:rsidRPr="00EB2E2F">
              <w:rPr>
                <w:noProof/>
                <w:webHidden/>
              </w:rPr>
              <w:fldChar w:fldCharType="begin"/>
            </w:r>
            <w:r w:rsidR="00EB2E2F" w:rsidRPr="00EB2E2F">
              <w:rPr>
                <w:noProof/>
                <w:webHidden/>
              </w:rPr>
              <w:instrText xml:space="preserve"> PAGEREF _Toc43473606 \h </w:instrText>
            </w:r>
            <w:r w:rsidR="00EB2E2F" w:rsidRPr="00EB2E2F">
              <w:rPr>
                <w:noProof/>
                <w:webHidden/>
              </w:rPr>
            </w:r>
            <w:r w:rsidR="00EB2E2F" w:rsidRPr="00EB2E2F">
              <w:rPr>
                <w:noProof/>
                <w:webHidden/>
              </w:rPr>
              <w:fldChar w:fldCharType="separate"/>
            </w:r>
            <w:r w:rsidR="00EB2E2F">
              <w:rPr>
                <w:noProof/>
                <w:webHidden/>
              </w:rPr>
              <w:t>31</w:t>
            </w:r>
            <w:r w:rsidR="00EB2E2F" w:rsidRPr="00EB2E2F">
              <w:rPr>
                <w:noProof/>
                <w:webHidden/>
              </w:rPr>
              <w:fldChar w:fldCharType="end"/>
            </w:r>
          </w:hyperlink>
        </w:p>
        <w:p w14:paraId="059129C3" w14:textId="3BAA3CE9" w:rsidR="00EB2E2F" w:rsidRPr="00EB2E2F" w:rsidRDefault="00FC4984">
          <w:pPr>
            <w:pStyle w:val="TOC3"/>
            <w:tabs>
              <w:tab w:val="left" w:pos="880"/>
              <w:tab w:val="right" w:leader="dot" w:pos="9016"/>
            </w:tabs>
            <w:rPr>
              <w:rFonts w:eastAsiaTheme="minorEastAsia"/>
              <w:noProof/>
              <w:lang w:eastAsia="en-GB"/>
            </w:rPr>
          </w:pPr>
          <w:hyperlink w:anchor="_Toc43473607" w:history="1">
            <w:r w:rsidR="00EB2E2F" w:rsidRPr="00EB2E2F">
              <w:rPr>
                <w:rStyle w:val="Hyperlink"/>
                <w:rFonts w:ascii="Arial" w:hAnsi="Arial" w:cs="Arial"/>
                <w:noProof/>
                <w:lang w:val="en"/>
              </w:rPr>
              <w:t>4.</w:t>
            </w:r>
            <w:r w:rsidR="00EB2E2F" w:rsidRPr="00EB2E2F">
              <w:rPr>
                <w:rFonts w:eastAsiaTheme="minorEastAsia"/>
                <w:noProof/>
                <w:lang w:eastAsia="en-GB"/>
              </w:rPr>
              <w:tab/>
            </w:r>
            <w:r w:rsidR="00EB2E2F" w:rsidRPr="00EB2E2F">
              <w:rPr>
                <w:rStyle w:val="Hyperlink"/>
                <w:rFonts w:ascii="Arial" w:hAnsi="Arial" w:cs="Arial"/>
                <w:noProof/>
                <w:lang w:val="en"/>
              </w:rPr>
              <w:t>Control Variables</w:t>
            </w:r>
            <w:r w:rsidR="00EB2E2F" w:rsidRPr="00EB2E2F">
              <w:rPr>
                <w:noProof/>
                <w:webHidden/>
              </w:rPr>
              <w:tab/>
            </w:r>
            <w:r w:rsidR="00EB2E2F" w:rsidRPr="00EB2E2F">
              <w:rPr>
                <w:noProof/>
                <w:webHidden/>
              </w:rPr>
              <w:fldChar w:fldCharType="begin"/>
            </w:r>
            <w:r w:rsidR="00EB2E2F" w:rsidRPr="00EB2E2F">
              <w:rPr>
                <w:noProof/>
                <w:webHidden/>
              </w:rPr>
              <w:instrText xml:space="preserve"> PAGEREF _Toc43473607 \h </w:instrText>
            </w:r>
            <w:r w:rsidR="00EB2E2F" w:rsidRPr="00EB2E2F">
              <w:rPr>
                <w:noProof/>
                <w:webHidden/>
              </w:rPr>
            </w:r>
            <w:r w:rsidR="00EB2E2F" w:rsidRPr="00EB2E2F">
              <w:rPr>
                <w:noProof/>
                <w:webHidden/>
              </w:rPr>
              <w:fldChar w:fldCharType="separate"/>
            </w:r>
            <w:r w:rsidR="00EB2E2F">
              <w:rPr>
                <w:noProof/>
                <w:webHidden/>
              </w:rPr>
              <w:t>32</w:t>
            </w:r>
            <w:r w:rsidR="00EB2E2F" w:rsidRPr="00EB2E2F">
              <w:rPr>
                <w:noProof/>
                <w:webHidden/>
              </w:rPr>
              <w:fldChar w:fldCharType="end"/>
            </w:r>
          </w:hyperlink>
        </w:p>
        <w:p w14:paraId="2CFBBE6F" w14:textId="5C3945B8" w:rsidR="00EB2E2F" w:rsidRPr="00EB2E2F" w:rsidRDefault="00FC4984">
          <w:pPr>
            <w:pStyle w:val="TOC2"/>
            <w:tabs>
              <w:tab w:val="right" w:leader="dot" w:pos="9016"/>
            </w:tabs>
            <w:rPr>
              <w:rFonts w:eastAsiaTheme="minorEastAsia"/>
              <w:noProof/>
              <w:lang w:eastAsia="en-GB"/>
            </w:rPr>
          </w:pPr>
          <w:hyperlink w:anchor="_Toc43473608" w:history="1">
            <w:r w:rsidR="00EB2E2F" w:rsidRPr="00EB2E2F">
              <w:rPr>
                <w:rStyle w:val="Hyperlink"/>
                <w:rFonts w:ascii="Arial" w:hAnsi="Arial" w:cs="Arial"/>
                <w:noProof/>
                <w:lang w:val="en"/>
              </w:rPr>
              <w:t>Panel Data</w:t>
            </w:r>
            <w:r w:rsidR="00EB2E2F" w:rsidRPr="00EB2E2F">
              <w:rPr>
                <w:noProof/>
                <w:webHidden/>
              </w:rPr>
              <w:tab/>
            </w:r>
            <w:r w:rsidR="00EB2E2F" w:rsidRPr="00EB2E2F">
              <w:rPr>
                <w:noProof/>
                <w:webHidden/>
              </w:rPr>
              <w:fldChar w:fldCharType="begin"/>
            </w:r>
            <w:r w:rsidR="00EB2E2F" w:rsidRPr="00EB2E2F">
              <w:rPr>
                <w:noProof/>
                <w:webHidden/>
              </w:rPr>
              <w:instrText xml:space="preserve"> PAGEREF _Toc43473608 \h </w:instrText>
            </w:r>
            <w:r w:rsidR="00EB2E2F" w:rsidRPr="00EB2E2F">
              <w:rPr>
                <w:noProof/>
                <w:webHidden/>
              </w:rPr>
            </w:r>
            <w:r w:rsidR="00EB2E2F" w:rsidRPr="00EB2E2F">
              <w:rPr>
                <w:noProof/>
                <w:webHidden/>
              </w:rPr>
              <w:fldChar w:fldCharType="separate"/>
            </w:r>
            <w:r w:rsidR="00EB2E2F">
              <w:rPr>
                <w:noProof/>
                <w:webHidden/>
              </w:rPr>
              <w:t>33</w:t>
            </w:r>
            <w:r w:rsidR="00EB2E2F" w:rsidRPr="00EB2E2F">
              <w:rPr>
                <w:noProof/>
                <w:webHidden/>
              </w:rPr>
              <w:fldChar w:fldCharType="end"/>
            </w:r>
          </w:hyperlink>
        </w:p>
        <w:p w14:paraId="50C582B0" w14:textId="28F2C72D" w:rsidR="00EB2E2F" w:rsidRPr="00EB2E2F" w:rsidRDefault="00FC4984">
          <w:pPr>
            <w:pStyle w:val="TOC1"/>
            <w:tabs>
              <w:tab w:val="right" w:leader="dot" w:pos="9016"/>
            </w:tabs>
            <w:rPr>
              <w:rFonts w:eastAsiaTheme="minorEastAsia"/>
              <w:noProof/>
              <w:lang w:eastAsia="en-GB"/>
            </w:rPr>
          </w:pPr>
          <w:hyperlink w:anchor="_Toc43473609" w:history="1">
            <w:r w:rsidR="001B16BE">
              <w:rPr>
                <w:rStyle w:val="Hyperlink"/>
                <w:rFonts w:ascii="Arial" w:hAnsi="Arial" w:cs="Arial"/>
                <w:b/>
                <w:bCs/>
                <w:noProof/>
                <w:lang w:val="en"/>
              </w:rPr>
              <w:t>EMPIRICAL RESULTS</w:t>
            </w:r>
            <w:r w:rsidR="00EB2E2F" w:rsidRPr="00EB2E2F">
              <w:rPr>
                <w:noProof/>
                <w:webHidden/>
              </w:rPr>
              <w:tab/>
            </w:r>
            <w:r w:rsidR="00EB2E2F" w:rsidRPr="00EB2E2F">
              <w:rPr>
                <w:noProof/>
                <w:webHidden/>
              </w:rPr>
              <w:fldChar w:fldCharType="begin"/>
            </w:r>
            <w:r w:rsidR="00EB2E2F" w:rsidRPr="00EB2E2F">
              <w:rPr>
                <w:noProof/>
                <w:webHidden/>
              </w:rPr>
              <w:instrText xml:space="preserve"> PAGEREF _Toc43473609 \h </w:instrText>
            </w:r>
            <w:r w:rsidR="00EB2E2F" w:rsidRPr="00EB2E2F">
              <w:rPr>
                <w:noProof/>
                <w:webHidden/>
              </w:rPr>
            </w:r>
            <w:r w:rsidR="00EB2E2F" w:rsidRPr="00EB2E2F">
              <w:rPr>
                <w:noProof/>
                <w:webHidden/>
              </w:rPr>
              <w:fldChar w:fldCharType="separate"/>
            </w:r>
            <w:r w:rsidR="00EB2E2F">
              <w:rPr>
                <w:noProof/>
                <w:webHidden/>
              </w:rPr>
              <w:t>34</w:t>
            </w:r>
            <w:r w:rsidR="00EB2E2F" w:rsidRPr="00EB2E2F">
              <w:rPr>
                <w:noProof/>
                <w:webHidden/>
              </w:rPr>
              <w:fldChar w:fldCharType="end"/>
            </w:r>
          </w:hyperlink>
        </w:p>
        <w:p w14:paraId="44337606" w14:textId="273176A8" w:rsidR="00EB2E2F" w:rsidRPr="00EB2E2F" w:rsidRDefault="00FC4984">
          <w:pPr>
            <w:pStyle w:val="TOC2"/>
            <w:tabs>
              <w:tab w:val="left" w:pos="660"/>
              <w:tab w:val="right" w:leader="dot" w:pos="9016"/>
            </w:tabs>
            <w:rPr>
              <w:rFonts w:eastAsiaTheme="minorEastAsia"/>
              <w:noProof/>
              <w:lang w:eastAsia="en-GB"/>
            </w:rPr>
          </w:pPr>
          <w:hyperlink w:anchor="_Toc43473610" w:history="1">
            <w:r w:rsidR="00EB2E2F" w:rsidRPr="00EB2E2F">
              <w:rPr>
                <w:rStyle w:val="Hyperlink"/>
                <w:rFonts w:ascii="Arial" w:hAnsi="Arial" w:cs="Arial"/>
                <w:noProof/>
                <w:lang w:val="en"/>
              </w:rPr>
              <w:t>1.</w:t>
            </w:r>
            <w:r w:rsidR="00EB2E2F" w:rsidRPr="00EB2E2F">
              <w:rPr>
                <w:rFonts w:eastAsiaTheme="minorEastAsia"/>
                <w:noProof/>
                <w:lang w:eastAsia="en-GB"/>
              </w:rPr>
              <w:tab/>
            </w:r>
            <w:r w:rsidR="00EB2E2F" w:rsidRPr="00EB2E2F">
              <w:rPr>
                <w:rStyle w:val="Hyperlink"/>
                <w:rFonts w:ascii="Arial" w:hAnsi="Arial" w:cs="Arial"/>
                <w:noProof/>
                <w:lang w:val="en"/>
              </w:rPr>
              <w:t>Correlation analysis</w:t>
            </w:r>
            <w:r w:rsidR="00EB2E2F" w:rsidRPr="00EB2E2F">
              <w:rPr>
                <w:noProof/>
                <w:webHidden/>
              </w:rPr>
              <w:tab/>
            </w:r>
            <w:r w:rsidR="00EB2E2F" w:rsidRPr="00EB2E2F">
              <w:rPr>
                <w:noProof/>
                <w:webHidden/>
              </w:rPr>
              <w:fldChar w:fldCharType="begin"/>
            </w:r>
            <w:r w:rsidR="00EB2E2F" w:rsidRPr="00EB2E2F">
              <w:rPr>
                <w:noProof/>
                <w:webHidden/>
              </w:rPr>
              <w:instrText xml:space="preserve"> PAGEREF _Toc43473610 \h </w:instrText>
            </w:r>
            <w:r w:rsidR="00EB2E2F" w:rsidRPr="00EB2E2F">
              <w:rPr>
                <w:noProof/>
                <w:webHidden/>
              </w:rPr>
            </w:r>
            <w:r w:rsidR="00EB2E2F" w:rsidRPr="00EB2E2F">
              <w:rPr>
                <w:noProof/>
                <w:webHidden/>
              </w:rPr>
              <w:fldChar w:fldCharType="separate"/>
            </w:r>
            <w:r w:rsidR="00EB2E2F">
              <w:rPr>
                <w:noProof/>
                <w:webHidden/>
              </w:rPr>
              <w:t>34</w:t>
            </w:r>
            <w:r w:rsidR="00EB2E2F" w:rsidRPr="00EB2E2F">
              <w:rPr>
                <w:noProof/>
                <w:webHidden/>
              </w:rPr>
              <w:fldChar w:fldCharType="end"/>
            </w:r>
          </w:hyperlink>
        </w:p>
        <w:p w14:paraId="0543A717" w14:textId="6E18B03D" w:rsidR="00EB2E2F" w:rsidRPr="00EB2E2F" w:rsidRDefault="00FC4984">
          <w:pPr>
            <w:pStyle w:val="TOC2"/>
            <w:tabs>
              <w:tab w:val="left" w:pos="660"/>
              <w:tab w:val="right" w:leader="dot" w:pos="9016"/>
            </w:tabs>
            <w:rPr>
              <w:rFonts w:eastAsiaTheme="minorEastAsia"/>
              <w:noProof/>
              <w:lang w:eastAsia="en-GB"/>
            </w:rPr>
          </w:pPr>
          <w:hyperlink w:anchor="_Toc43473611" w:history="1">
            <w:r w:rsidR="00EB2E2F" w:rsidRPr="00EB2E2F">
              <w:rPr>
                <w:rStyle w:val="Hyperlink"/>
                <w:rFonts w:ascii="Arial" w:hAnsi="Arial" w:cs="Arial"/>
                <w:noProof/>
                <w:lang w:val="en"/>
              </w:rPr>
              <w:t>2.</w:t>
            </w:r>
            <w:r w:rsidR="00EB2E2F" w:rsidRPr="00EB2E2F">
              <w:rPr>
                <w:rFonts w:eastAsiaTheme="minorEastAsia"/>
                <w:noProof/>
                <w:lang w:eastAsia="en-GB"/>
              </w:rPr>
              <w:tab/>
            </w:r>
            <w:r w:rsidR="00EB2E2F" w:rsidRPr="00EB2E2F">
              <w:rPr>
                <w:rStyle w:val="Hyperlink"/>
                <w:rFonts w:ascii="Arial" w:hAnsi="Arial" w:cs="Arial"/>
                <w:noProof/>
                <w:lang w:val="en"/>
              </w:rPr>
              <w:t>Multiple regression analysis</w:t>
            </w:r>
            <w:r w:rsidR="00EB2E2F" w:rsidRPr="00EB2E2F">
              <w:rPr>
                <w:noProof/>
                <w:webHidden/>
              </w:rPr>
              <w:tab/>
            </w:r>
            <w:r w:rsidR="00EB2E2F" w:rsidRPr="00EB2E2F">
              <w:rPr>
                <w:noProof/>
                <w:webHidden/>
              </w:rPr>
              <w:fldChar w:fldCharType="begin"/>
            </w:r>
            <w:r w:rsidR="00EB2E2F" w:rsidRPr="00EB2E2F">
              <w:rPr>
                <w:noProof/>
                <w:webHidden/>
              </w:rPr>
              <w:instrText xml:space="preserve"> PAGEREF _Toc43473611 \h </w:instrText>
            </w:r>
            <w:r w:rsidR="00EB2E2F" w:rsidRPr="00EB2E2F">
              <w:rPr>
                <w:noProof/>
                <w:webHidden/>
              </w:rPr>
            </w:r>
            <w:r w:rsidR="00EB2E2F" w:rsidRPr="00EB2E2F">
              <w:rPr>
                <w:noProof/>
                <w:webHidden/>
              </w:rPr>
              <w:fldChar w:fldCharType="separate"/>
            </w:r>
            <w:r w:rsidR="00EB2E2F">
              <w:rPr>
                <w:noProof/>
                <w:webHidden/>
              </w:rPr>
              <w:t>36</w:t>
            </w:r>
            <w:r w:rsidR="00EB2E2F" w:rsidRPr="00EB2E2F">
              <w:rPr>
                <w:noProof/>
                <w:webHidden/>
              </w:rPr>
              <w:fldChar w:fldCharType="end"/>
            </w:r>
          </w:hyperlink>
        </w:p>
        <w:p w14:paraId="0F6DC7D8" w14:textId="32357A8F" w:rsidR="00EB2E2F" w:rsidRPr="00EB2E2F" w:rsidRDefault="00FC4984">
          <w:pPr>
            <w:pStyle w:val="TOC3"/>
            <w:tabs>
              <w:tab w:val="right" w:leader="dot" w:pos="9016"/>
            </w:tabs>
            <w:rPr>
              <w:rFonts w:eastAsiaTheme="minorEastAsia"/>
              <w:noProof/>
              <w:lang w:eastAsia="en-GB"/>
            </w:rPr>
          </w:pPr>
          <w:hyperlink w:anchor="_Toc43473612" w:history="1">
            <w:r w:rsidR="00EB2E2F" w:rsidRPr="00EB2E2F">
              <w:rPr>
                <w:rStyle w:val="Hyperlink"/>
                <w:rFonts w:ascii="Arial" w:hAnsi="Arial" w:cs="Arial"/>
                <w:noProof/>
              </w:rPr>
              <w:t>2.1 Equation one Testing</w:t>
            </w:r>
            <w:r w:rsidR="00EB2E2F" w:rsidRPr="00EB2E2F">
              <w:rPr>
                <w:noProof/>
                <w:webHidden/>
              </w:rPr>
              <w:tab/>
            </w:r>
            <w:r w:rsidR="00EB2E2F" w:rsidRPr="00EB2E2F">
              <w:rPr>
                <w:noProof/>
                <w:webHidden/>
              </w:rPr>
              <w:fldChar w:fldCharType="begin"/>
            </w:r>
            <w:r w:rsidR="00EB2E2F" w:rsidRPr="00EB2E2F">
              <w:rPr>
                <w:noProof/>
                <w:webHidden/>
              </w:rPr>
              <w:instrText xml:space="preserve"> PAGEREF _Toc43473612 \h </w:instrText>
            </w:r>
            <w:r w:rsidR="00EB2E2F" w:rsidRPr="00EB2E2F">
              <w:rPr>
                <w:noProof/>
                <w:webHidden/>
              </w:rPr>
            </w:r>
            <w:r w:rsidR="00EB2E2F" w:rsidRPr="00EB2E2F">
              <w:rPr>
                <w:noProof/>
                <w:webHidden/>
              </w:rPr>
              <w:fldChar w:fldCharType="separate"/>
            </w:r>
            <w:r w:rsidR="00EB2E2F">
              <w:rPr>
                <w:noProof/>
                <w:webHidden/>
              </w:rPr>
              <w:t>37</w:t>
            </w:r>
            <w:r w:rsidR="00EB2E2F" w:rsidRPr="00EB2E2F">
              <w:rPr>
                <w:noProof/>
                <w:webHidden/>
              </w:rPr>
              <w:fldChar w:fldCharType="end"/>
            </w:r>
          </w:hyperlink>
        </w:p>
        <w:p w14:paraId="01985C93" w14:textId="75B1402C" w:rsidR="00EB2E2F" w:rsidRPr="00EB2E2F" w:rsidRDefault="00FC4984">
          <w:pPr>
            <w:pStyle w:val="TOC3"/>
            <w:tabs>
              <w:tab w:val="right" w:leader="dot" w:pos="9016"/>
            </w:tabs>
            <w:rPr>
              <w:rFonts w:eastAsiaTheme="minorEastAsia"/>
              <w:noProof/>
              <w:lang w:eastAsia="en-GB"/>
            </w:rPr>
          </w:pPr>
          <w:hyperlink w:anchor="_Toc43473613" w:history="1">
            <w:r w:rsidR="00EB2E2F" w:rsidRPr="00EB2E2F">
              <w:rPr>
                <w:rStyle w:val="Hyperlink"/>
                <w:rFonts w:ascii="Arial" w:hAnsi="Arial" w:cs="Arial"/>
                <w:noProof/>
                <w:shd w:val="clear" w:color="auto" w:fill="FFFFFF"/>
              </w:rPr>
              <w:t>2.2 Equation two Testing</w:t>
            </w:r>
            <w:r w:rsidR="00EB2E2F" w:rsidRPr="00EB2E2F">
              <w:rPr>
                <w:noProof/>
                <w:webHidden/>
              </w:rPr>
              <w:tab/>
            </w:r>
            <w:r w:rsidR="00EB2E2F" w:rsidRPr="00EB2E2F">
              <w:rPr>
                <w:noProof/>
                <w:webHidden/>
              </w:rPr>
              <w:fldChar w:fldCharType="begin"/>
            </w:r>
            <w:r w:rsidR="00EB2E2F" w:rsidRPr="00EB2E2F">
              <w:rPr>
                <w:noProof/>
                <w:webHidden/>
              </w:rPr>
              <w:instrText xml:space="preserve"> PAGEREF _Toc43473613 \h </w:instrText>
            </w:r>
            <w:r w:rsidR="00EB2E2F" w:rsidRPr="00EB2E2F">
              <w:rPr>
                <w:noProof/>
                <w:webHidden/>
              </w:rPr>
            </w:r>
            <w:r w:rsidR="00EB2E2F" w:rsidRPr="00EB2E2F">
              <w:rPr>
                <w:noProof/>
                <w:webHidden/>
              </w:rPr>
              <w:fldChar w:fldCharType="separate"/>
            </w:r>
            <w:r w:rsidR="00EB2E2F">
              <w:rPr>
                <w:noProof/>
                <w:webHidden/>
              </w:rPr>
              <w:t>39</w:t>
            </w:r>
            <w:r w:rsidR="00EB2E2F" w:rsidRPr="00EB2E2F">
              <w:rPr>
                <w:noProof/>
                <w:webHidden/>
              </w:rPr>
              <w:fldChar w:fldCharType="end"/>
            </w:r>
          </w:hyperlink>
        </w:p>
        <w:p w14:paraId="4D24223B" w14:textId="5A08CAFB" w:rsidR="00EB2E2F" w:rsidRPr="00EB2E2F" w:rsidRDefault="00FC4984">
          <w:pPr>
            <w:pStyle w:val="TOC3"/>
            <w:tabs>
              <w:tab w:val="right" w:leader="dot" w:pos="9016"/>
            </w:tabs>
            <w:rPr>
              <w:rFonts w:eastAsiaTheme="minorEastAsia"/>
              <w:noProof/>
              <w:lang w:eastAsia="en-GB"/>
            </w:rPr>
          </w:pPr>
          <w:hyperlink w:anchor="_Toc43473614" w:history="1">
            <w:r w:rsidR="00EB2E2F" w:rsidRPr="00EB2E2F">
              <w:rPr>
                <w:rStyle w:val="Hyperlink"/>
                <w:rFonts w:ascii="Arial" w:hAnsi="Arial" w:cs="Arial"/>
                <w:noProof/>
              </w:rPr>
              <w:t>2.3 Equation three Testing</w:t>
            </w:r>
            <w:r w:rsidR="00EB2E2F" w:rsidRPr="00EB2E2F">
              <w:rPr>
                <w:noProof/>
                <w:webHidden/>
              </w:rPr>
              <w:tab/>
            </w:r>
            <w:r w:rsidR="00EB2E2F" w:rsidRPr="00EB2E2F">
              <w:rPr>
                <w:noProof/>
                <w:webHidden/>
              </w:rPr>
              <w:fldChar w:fldCharType="begin"/>
            </w:r>
            <w:r w:rsidR="00EB2E2F" w:rsidRPr="00EB2E2F">
              <w:rPr>
                <w:noProof/>
                <w:webHidden/>
              </w:rPr>
              <w:instrText xml:space="preserve"> PAGEREF _Toc43473614 \h </w:instrText>
            </w:r>
            <w:r w:rsidR="00EB2E2F" w:rsidRPr="00EB2E2F">
              <w:rPr>
                <w:noProof/>
                <w:webHidden/>
              </w:rPr>
            </w:r>
            <w:r w:rsidR="00EB2E2F" w:rsidRPr="00EB2E2F">
              <w:rPr>
                <w:noProof/>
                <w:webHidden/>
              </w:rPr>
              <w:fldChar w:fldCharType="separate"/>
            </w:r>
            <w:r w:rsidR="00EB2E2F">
              <w:rPr>
                <w:noProof/>
                <w:webHidden/>
              </w:rPr>
              <w:t>40</w:t>
            </w:r>
            <w:r w:rsidR="00EB2E2F" w:rsidRPr="00EB2E2F">
              <w:rPr>
                <w:noProof/>
                <w:webHidden/>
              </w:rPr>
              <w:fldChar w:fldCharType="end"/>
            </w:r>
          </w:hyperlink>
        </w:p>
        <w:p w14:paraId="7E421F6D" w14:textId="5E072D7F" w:rsidR="00EB2E2F" w:rsidRPr="00EB2E2F" w:rsidRDefault="00FC4984">
          <w:pPr>
            <w:pStyle w:val="TOC3"/>
            <w:tabs>
              <w:tab w:val="right" w:leader="dot" w:pos="9016"/>
            </w:tabs>
            <w:rPr>
              <w:rFonts w:eastAsiaTheme="minorEastAsia"/>
              <w:noProof/>
              <w:lang w:eastAsia="en-GB"/>
            </w:rPr>
          </w:pPr>
          <w:hyperlink w:anchor="_Toc43473615" w:history="1">
            <w:r w:rsidR="00EB2E2F" w:rsidRPr="00EB2E2F">
              <w:rPr>
                <w:rStyle w:val="Hyperlink"/>
                <w:rFonts w:ascii="Arial" w:hAnsi="Arial" w:cs="Arial"/>
                <w:noProof/>
              </w:rPr>
              <w:t>2.4 Equation Four Testing</w:t>
            </w:r>
            <w:r w:rsidR="00EB2E2F" w:rsidRPr="00EB2E2F">
              <w:rPr>
                <w:noProof/>
                <w:webHidden/>
              </w:rPr>
              <w:tab/>
            </w:r>
            <w:r w:rsidR="00EB2E2F" w:rsidRPr="00EB2E2F">
              <w:rPr>
                <w:noProof/>
                <w:webHidden/>
              </w:rPr>
              <w:fldChar w:fldCharType="begin"/>
            </w:r>
            <w:r w:rsidR="00EB2E2F" w:rsidRPr="00EB2E2F">
              <w:rPr>
                <w:noProof/>
                <w:webHidden/>
              </w:rPr>
              <w:instrText xml:space="preserve"> PAGEREF _Toc43473615 \h </w:instrText>
            </w:r>
            <w:r w:rsidR="00EB2E2F" w:rsidRPr="00EB2E2F">
              <w:rPr>
                <w:noProof/>
                <w:webHidden/>
              </w:rPr>
            </w:r>
            <w:r w:rsidR="00EB2E2F" w:rsidRPr="00EB2E2F">
              <w:rPr>
                <w:noProof/>
                <w:webHidden/>
              </w:rPr>
              <w:fldChar w:fldCharType="separate"/>
            </w:r>
            <w:r w:rsidR="00EB2E2F">
              <w:rPr>
                <w:noProof/>
                <w:webHidden/>
              </w:rPr>
              <w:t>42</w:t>
            </w:r>
            <w:r w:rsidR="00EB2E2F" w:rsidRPr="00EB2E2F">
              <w:rPr>
                <w:noProof/>
                <w:webHidden/>
              </w:rPr>
              <w:fldChar w:fldCharType="end"/>
            </w:r>
          </w:hyperlink>
        </w:p>
        <w:p w14:paraId="49BC96C7" w14:textId="1A44DEF4" w:rsidR="00EB2E2F" w:rsidRPr="00EB2E2F" w:rsidRDefault="00FC4984">
          <w:pPr>
            <w:pStyle w:val="TOC1"/>
            <w:tabs>
              <w:tab w:val="right" w:leader="dot" w:pos="9016"/>
            </w:tabs>
            <w:rPr>
              <w:rFonts w:eastAsiaTheme="minorEastAsia"/>
              <w:noProof/>
              <w:lang w:eastAsia="en-GB"/>
            </w:rPr>
          </w:pPr>
          <w:hyperlink w:anchor="_Toc43473616" w:history="1">
            <w:r w:rsidR="001B16BE">
              <w:rPr>
                <w:rStyle w:val="Hyperlink"/>
                <w:rFonts w:ascii="Arial" w:hAnsi="Arial" w:cs="Arial"/>
                <w:b/>
                <w:bCs/>
                <w:noProof/>
                <w:lang w:val="en"/>
              </w:rPr>
              <w:t>ANALYSIS AND DISCUSSION OF THE RESULTS</w:t>
            </w:r>
            <w:r w:rsidR="00EB2E2F" w:rsidRPr="00EB2E2F">
              <w:rPr>
                <w:noProof/>
                <w:webHidden/>
              </w:rPr>
              <w:tab/>
            </w:r>
            <w:r w:rsidR="00EB2E2F" w:rsidRPr="00EB2E2F">
              <w:rPr>
                <w:noProof/>
                <w:webHidden/>
              </w:rPr>
              <w:fldChar w:fldCharType="begin"/>
            </w:r>
            <w:r w:rsidR="00EB2E2F" w:rsidRPr="00EB2E2F">
              <w:rPr>
                <w:noProof/>
                <w:webHidden/>
              </w:rPr>
              <w:instrText xml:space="preserve"> PAGEREF _Toc43473616 \h </w:instrText>
            </w:r>
            <w:r w:rsidR="00EB2E2F" w:rsidRPr="00EB2E2F">
              <w:rPr>
                <w:noProof/>
                <w:webHidden/>
              </w:rPr>
            </w:r>
            <w:r w:rsidR="00EB2E2F" w:rsidRPr="00EB2E2F">
              <w:rPr>
                <w:noProof/>
                <w:webHidden/>
              </w:rPr>
              <w:fldChar w:fldCharType="separate"/>
            </w:r>
            <w:r w:rsidR="00EB2E2F">
              <w:rPr>
                <w:noProof/>
                <w:webHidden/>
              </w:rPr>
              <w:t>44</w:t>
            </w:r>
            <w:r w:rsidR="00EB2E2F" w:rsidRPr="00EB2E2F">
              <w:rPr>
                <w:noProof/>
                <w:webHidden/>
              </w:rPr>
              <w:fldChar w:fldCharType="end"/>
            </w:r>
          </w:hyperlink>
        </w:p>
        <w:p w14:paraId="62F125A2" w14:textId="7EE56043" w:rsidR="00EB2E2F" w:rsidRPr="00EB2E2F" w:rsidRDefault="00FC4984">
          <w:pPr>
            <w:pStyle w:val="TOC1"/>
            <w:tabs>
              <w:tab w:val="right" w:leader="dot" w:pos="9016"/>
            </w:tabs>
            <w:rPr>
              <w:rFonts w:eastAsiaTheme="minorEastAsia"/>
              <w:noProof/>
              <w:lang w:eastAsia="en-GB"/>
            </w:rPr>
          </w:pPr>
          <w:hyperlink w:anchor="_Toc43473617" w:history="1">
            <w:r w:rsidR="001B16BE">
              <w:rPr>
                <w:rStyle w:val="Hyperlink"/>
                <w:rFonts w:ascii="Arial" w:hAnsi="Arial" w:cs="Arial"/>
                <w:b/>
                <w:bCs/>
                <w:noProof/>
                <w:lang w:val="en"/>
              </w:rPr>
              <w:t>CONCLUSIONS</w:t>
            </w:r>
            <w:r w:rsidR="00EB2E2F" w:rsidRPr="00EB2E2F">
              <w:rPr>
                <w:noProof/>
                <w:webHidden/>
              </w:rPr>
              <w:tab/>
            </w:r>
            <w:r w:rsidR="00EB2E2F" w:rsidRPr="00EB2E2F">
              <w:rPr>
                <w:noProof/>
                <w:webHidden/>
              </w:rPr>
              <w:fldChar w:fldCharType="begin"/>
            </w:r>
            <w:r w:rsidR="00EB2E2F" w:rsidRPr="00EB2E2F">
              <w:rPr>
                <w:noProof/>
                <w:webHidden/>
              </w:rPr>
              <w:instrText xml:space="preserve"> PAGEREF _Toc43473617 \h </w:instrText>
            </w:r>
            <w:r w:rsidR="00EB2E2F" w:rsidRPr="00EB2E2F">
              <w:rPr>
                <w:noProof/>
                <w:webHidden/>
              </w:rPr>
            </w:r>
            <w:r w:rsidR="00EB2E2F" w:rsidRPr="00EB2E2F">
              <w:rPr>
                <w:noProof/>
                <w:webHidden/>
              </w:rPr>
              <w:fldChar w:fldCharType="separate"/>
            </w:r>
            <w:r w:rsidR="00EB2E2F">
              <w:rPr>
                <w:noProof/>
                <w:webHidden/>
              </w:rPr>
              <w:t>48</w:t>
            </w:r>
            <w:r w:rsidR="00EB2E2F" w:rsidRPr="00EB2E2F">
              <w:rPr>
                <w:noProof/>
                <w:webHidden/>
              </w:rPr>
              <w:fldChar w:fldCharType="end"/>
            </w:r>
          </w:hyperlink>
        </w:p>
        <w:p w14:paraId="583DB3C8" w14:textId="6D777448" w:rsidR="00EB2E2F" w:rsidRPr="00EB2E2F" w:rsidRDefault="00FC4984">
          <w:pPr>
            <w:pStyle w:val="TOC2"/>
            <w:tabs>
              <w:tab w:val="right" w:leader="dot" w:pos="9016"/>
            </w:tabs>
            <w:rPr>
              <w:rFonts w:eastAsiaTheme="minorEastAsia"/>
              <w:noProof/>
              <w:lang w:eastAsia="en-GB"/>
            </w:rPr>
          </w:pPr>
          <w:hyperlink w:anchor="_Toc43473618" w:history="1">
            <w:r w:rsidR="00EB2E2F" w:rsidRPr="00EB2E2F">
              <w:rPr>
                <w:rStyle w:val="Hyperlink"/>
                <w:rFonts w:ascii="Arial" w:hAnsi="Arial" w:cs="Arial"/>
                <w:noProof/>
              </w:rPr>
              <w:t>Conclusions of the research</w:t>
            </w:r>
            <w:r w:rsidR="00EB2E2F" w:rsidRPr="00EB2E2F">
              <w:rPr>
                <w:noProof/>
                <w:webHidden/>
              </w:rPr>
              <w:tab/>
            </w:r>
            <w:r w:rsidR="00EB2E2F" w:rsidRPr="00EB2E2F">
              <w:rPr>
                <w:noProof/>
                <w:webHidden/>
              </w:rPr>
              <w:fldChar w:fldCharType="begin"/>
            </w:r>
            <w:r w:rsidR="00EB2E2F" w:rsidRPr="00EB2E2F">
              <w:rPr>
                <w:noProof/>
                <w:webHidden/>
              </w:rPr>
              <w:instrText xml:space="preserve"> PAGEREF _Toc43473618 \h </w:instrText>
            </w:r>
            <w:r w:rsidR="00EB2E2F" w:rsidRPr="00EB2E2F">
              <w:rPr>
                <w:noProof/>
                <w:webHidden/>
              </w:rPr>
            </w:r>
            <w:r w:rsidR="00EB2E2F" w:rsidRPr="00EB2E2F">
              <w:rPr>
                <w:noProof/>
                <w:webHidden/>
              </w:rPr>
              <w:fldChar w:fldCharType="separate"/>
            </w:r>
            <w:r w:rsidR="00EB2E2F">
              <w:rPr>
                <w:noProof/>
                <w:webHidden/>
              </w:rPr>
              <w:t>48</w:t>
            </w:r>
            <w:r w:rsidR="00EB2E2F" w:rsidRPr="00EB2E2F">
              <w:rPr>
                <w:noProof/>
                <w:webHidden/>
              </w:rPr>
              <w:fldChar w:fldCharType="end"/>
            </w:r>
          </w:hyperlink>
        </w:p>
        <w:p w14:paraId="5226EA21" w14:textId="263DDE61" w:rsidR="00EB2E2F" w:rsidRPr="00EB2E2F" w:rsidRDefault="00FC4984">
          <w:pPr>
            <w:pStyle w:val="TOC2"/>
            <w:tabs>
              <w:tab w:val="right" w:leader="dot" w:pos="9016"/>
            </w:tabs>
            <w:rPr>
              <w:rFonts w:eastAsiaTheme="minorEastAsia"/>
              <w:noProof/>
              <w:lang w:eastAsia="en-GB"/>
            </w:rPr>
          </w:pPr>
          <w:hyperlink w:anchor="_Toc43473619" w:history="1">
            <w:r w:rsidR="00EB2E2F" w:rsidRPr="00EB2E2F">
              <w:rPr>
                <w:rStyle w:val="Hyperlink"/>
                <w:rFonts w:ascii="Arial" w:hAnsi="Arial" w:cs="Arial"/>
                <w:noProof/>
              </w:rPr>
              <w:t>Critique of used sources and limitations of the study</w:t>
            </w:r>
            <w:r w:rsidR="00EB2E2F" w:rsidRPr="00EB2E2F">
              <w:rPr>
                <w:noProof/>
                <w:webHidden/>
              </w:rPr>
              <w:tab/>
            </w:r>
            <w:r w:rsidR="00EB2E2F" w:rsidRPr="00EB2E2F">
              <w:rPr>
                <w:noProof/>
                <w:webHidden/>
              </w:rPr>
              <w:fldChar w:fldCharType="begin"/>
            </w:r>
            <w:r w:rsidR="00EB2E2F" w:rsidRPr="00EB2E2F">
              <w:rPr>
                <w:noProof/>
                <w:webHidden/>
              </w:rPr>
              <w:instrText xml:space="preserve"> PAGEREF _Toc43473619 \h </w:instrText>
            </w:r>
            <w:r w:rsidR="00EB2E2F" w:rsidRPr="00EB2E2F">
              <w:rPr>
                <w:noProof/>
                <w:webHidden/>
              </w:rPr>
            </w:r>
            <w:r w:rsidR="00EB2E2F" w:rsidRPr="00EB2E2F">
              <w:rPr>
                <w:noProof/>
                <w:webHidden/>
              </w:rPr>
              <w:fldChar w:fldCharType="separate"/>
            </w:r>
            <w:r w:rsidR="00EB2E2F">
              <w:rPr>
                <w:noProof/>
                <w:webHidden/>
              </w:rPr>
              <w:t>50</w:t>
            </w:r>
            <w:r w:rsidR="00EB2E2F" w:rsidRPr="00EB2E2F">
              <w:rPr>
                <w:noProof/>
                <w:webHidden/>
              </w:rPr>
              <w:fldChar w:fldCharType="end"/>
            </w:r>
          </w:hyperlink>
        </w:p>
        <w:p w14:paraId="39F0D219" w14:textId="59454069" w:rsidR="00EB2E2F" w:rsidRPr="00EB2E2F" w:rsidRDefault="00FC4984">
          <w:pPr>
            <w:pStyle w:val="TOC2"/>
            <w:tabs>
              <w:tab w:val="right" w:leader="dot" w:pos="9016"/>
            </w:tabs>
            <w:rPr>
              <w:rFonts w:eastAsiaTheme="minorEastAsia"/>
              <w:noProof/>
              <w:lang w:eastAsia="en-GB"/>
            </w:rPr>
          </w:pPr>
          <w:hyperlink w:anchor="_Toc43473620" w:history="1">
            <w:r w:rsidR="00EB2E2F" w:rsidRPr="00EB2E2F">
              <w:rPr>
                <w:rStyle w:val="Hyperlink"/>
                <w:rFonts w:ascii="Arial" w:hAnsi="Arial" w:cs="Arial"/>
                <w:noProof/>
              </w:rPr>
              <w:t>Suggestions for Future Research</w:t>
            </w:r>
            <w:r w:rsidR="00EB2E2F" w:rsidRPr="00EB2E2F">
              <w:rPr>
                <w:noProof/>
                <w:webHidden/>
              </w:rPr>
              <w:tab/>
            </w:r>
            <w:r w:rsidR="00EB2E2F" w:rsidRPr="00EB2E2F">
              <w:rPr>
                <w:noProof/>
                <w:webHidden/>
              </w:rPr>
              <w:fldChar w:fldCharType="begin"/>
            </w:r>
            <w:r w:rsidR="00EB2E2F" w:rsidRPr="00EB2E2F">
              <w:rPr>
                <w:noProof/>
                <w:webHidden/>
              </w:rPr>
              <w:instrText xml:space="preserve"> PAGEREF _Toc43473620 \h </w:instrText>
            </w:r>
            <w:r w:rsidR="00EB2E2F" w:rsidRPr="00EB2E2F">
              <w:rPr>
                <w:noProof/>
                <w:webHidden/>
              </w:rPr>
            </w:r>
            <w:r w:rsidR="00EB2E2F" w:rsidRPr="00EB2E2F">
              <w:rPr>
                <w:noProof/>
                <w:webHidden/>
              </w:rPr>
              <w:fldChar w:fldCharType="separate"/>
            </w:r>
            <w:r w:rsidR="00EB2E2F">
              <w:rPr>
                <w:noProof/>
                <w:webHidden/>
              </w:rPr>
              <w:t>50</w:t>
            </w:r>
            <w:r w:rsidR="00EB2E2F" w:rsidRPr="00EB2E2F">
              <w:rPr>
                <w:noProof/>
                <w:webHidden/>
              </w:rPr>
              <w:fldChar w:fldCharType="end"/>
            </w:r>
          </w:hyperlink>
        </w:p>
        <w:p w14:paraId="66B8E850" w14:textId="4F900162" w:rsidR="00EB2E2F" w:rsidRPr="00EB2E2F" w:rsidRDefault="00FC4984">
          <w:pPr>
            <w:pStyle w:val="TOC1"/>
            <w:tabs>
              <w:tab w:val="right" w:leader="dot" w:pos="9016"/>
            </w:tabs>
            <w:rPr>
              <w:rFonts w:eastAsiaTheme="minorEastAsia"/>
              <w:noProof/>
              <w:lang w:eastAsia="en-GB"/>
            </w:rPr>
          </w:pPr>
          <w:hyperlink w:anchor="_Toc43473621" w:history="1">
            <w:r w:rsidR="001B16BE">
              <w:rPr>
                <w:rStyle w:val="Hyperlink"/>
                <w:rFonts w:ascii="Arial" w:hAnsi="Arial" w:cs="Arial"/>
                <w:b/>
                <w:bCs/>
                <w:noProof/>
              </w:rPr>
              <w:t>REFERENCES</w:t>
            </w:r>
            <w:r w:rsidR="00EB2E2F" w:rsidRPr="00EB2E2F">
              <w:rPr>
                <w:noProof/>
                <w:webHidden/>
              </w:rPr>
              <w:tab/>
            </w:r>
            <w:r w:rsidR="00EB2E2F" w:rsidRPr="00EB2E2F">
              <w:rPr>
                <w:noProof/>
                <w:webHidden/>
              </w:rPr>
              <w:fldChar w:fldCharType="begin"/>
            </w:r>
            <w:r w:rsidR="00EB2E2F" w:rsidRPr="00EB2E2F">
              <w:rPr>
                <w:noProof/>
                <w:webHidden/>
              </w:rPr>
              <w:instrText xml:space="preserve"> PAGEREF _Toc43473621 \h </w:instrText>
            </w:r>
            <w:r w:rsidR="00EB2E2F" w:rsidRPr="00EB2E2F">
              <w:rPr>
                <w:noProof/>
                <w:webHidden/>
              </w:rPr>
            </w:r>
            <w:r w:rsidR="00EB2E2F" w:rsidRPr="00EB2E2F">
              <w:rPr>
                <w:noProof/>
                <w:webHidden/>
              </w:rPr>
              <w:fldChar w:fldCharType="separate"/>
            </w:r>
            <w:r w:rsidR="00EB2E2F">
              <w:rPr>
                <w:noProof/>
                <w:webHidden/>
              </w:rPr>
              <w:t>52</w:t>
            </w:r>
            <w:r w:rsidR="00EB2E2F" w:rsidRPr="00EB2E2F">
              <w:rPr>
                <w:noProof/>
                <w:webHidden/>
              </w:rPr>
              <w:fldChar w:fldCharType="end"/>
            </w:r>
          </w:hyperlink>
        </w:p>
        <w:p w14:paraId="5EB54018" w14:textId="4BFB683B" w:rsidR="00EB2E2F" w:rsidRPr="00EB2E2F" w:rsidRDefault="00FC4984">
          <w:pPr>
            <w:pStyle w:val="TOC1"/>
            <w:tabs>
              <w:tab w:val="right" w:leader="dot" w:pos="9016"/>
            </w:tabs>
            <w:rPr>
              <w:rFonts w:eastAsiaTheme="minorEastAsia"/>
              <w:noProof/>
              <w:lang w:eastAsia="en-GB"/>
            </w:rPr>
          </w:pPr>
          <w:hyperlink w:anchor="_Toc43473622" w:history="1">
            <w:r w:rsidR="001B16BE">
              <w:rPr>
                <w:rStyle w:val="Hyperlink"/>
                <w:rFonts w:ascii="Arial" w:hAnsi="Arial" w:cs="Arial"/>
                <w:b/>
                <w:bCs/>
                <w:noProof/>
              </w:rPr>
              <w:t>APPENDIX</w:t>
            </w:r>
            <w:r w:rsidR="00EB2E2F" w:rsidRPr="00EB2E2F">
              <w:rPr>
                <w:noProof/>
                <w:webHidden/>
              </w:rPr>
              <w:tab/>
            </w:r>
            <w:r w:rsidR="00EB2E2F" w:rsidRPr="00EB2E2F">
              <w:rPr>
                <w:noProof/>
                <w:webHidden/>
              </w:rPr>
              <w:fldChar w:fldCharType="begin"/>
            </w:r>
            <w:r w:rsidR="00EB2E2F" w:rsidRPr="00EB2E2F">
              <w:rPr>
                <w:noProof/>
                <w:webHidden/>
              </w:rPr>
              <w:instrText xml:space="preserve"> PAGEREF _Toc43473622 \h </w:instrText>
            </w:r>
            <w:r w:rsidR="00EB2E2F" w:rsidRPr="00EB2E2F">
              <w:rPr>
                <w:noProof/>
                <w:webHidden/>
              </w:rPr>
            </w:r>
            <w:r w:rsidR="00EB2E2F" w:rsidRPr="00EB2E2F">
              <w:rPr>
                <w:noProof/>
                <w:webHidden/>
              </w:rPr>
              <w:fldChar w:fldCharType="separate"/>
            </w:r>
            <w:r w:rsidR="00EB2E2F">
              <w:rPr>
                <w:noProof/>
                <w:webHidden/>
              </w:rPr>
              <w:t>55</w:t>
            </w:r>
            <w:r w:rsidR="00EB2E2F" w:rsidRPr="00EB2E2F">
              <w:rPr>
                <w:noProof/>
                <w:webHidden/>
              </w:rPr>
              <w:fldChar w:fldCharType="end"/>
            </w:r>
          </w:hyperlink>
        </w:p>
        <w:p w14:paraId="6A68BC4C" w14:textId="73056146" w:rsidR="00EB2E2F" w:rsidRDefault="00FC4984">
          <w:pPr>
            <w:pStyle w:val="TOC2"/>
            <w:tabs>
              <w:tab w:val="right" w:leader="dot" w:pos="9016"/>
            </w:tabs>
            <w:rPr>
              <w:rFonts w:eastAsiaTheme="minorEastAsia"/>
              <w:noProof/>
              <w:lang w:eastAsia="en-GB"/>
            </w:rPr>
          </w:pPr>
          <w:hyperlink w:anchor="_Toc43473623" w:history="1">
            <w:r w:rsidR="00EB2E2F" w:rsidRPr="00EB2E2F">
              <w:rPr>
                <w:rStyle w:val="Hyperlink"/>
                <w:rFonts w:ascii="Arial" w:hAnsi="Arial" w:cs="Arial"/>
                <w:noProof/>
              </w:rPr>
              <w:t>Appendix 1 – Companies’ ratios</w:t>
            </w:r>
            <w:r w:rsidR="00EB2E2F" w:rsidRPr="00EB2E2F">
              <w:rPr>
                <w:noProof/>
                <w:webHidden/>
              </w:rPr>
              <w:tab/>
            </w:r>
            <w:r w:rsidR="00EB2E2F" w:rsidRPr="00EB2E2F">
              <w:rPr>
                <w:noProof/>
                <w:webHidden/>
              </w:rPr>
              <w:fldChar w:fldCharType="begin"/>
            </w:r>
            <w:r w:rsidR="00EB2E2F" w:rsidRPr="00EB2E2F">
              <w:rPr>
                <w:noProof/>
                <w:webHidden/>
              </w:rPr>
              <w:instrText xml:space="preserve"> PAGEREF _Toc43473623 \h </w:instrText>
            </w:r>
            <w:r w:rsidR="00EB2E2F" w:rsidRPr="00EB2E2F">
              <w:rPr>
                <w:noProof/>
                <w:webHidden/>
              </w:rPr>
            </w:r>
            <w:r w:rsidR="00EB2E2F" w:rsidRPr="00EB2E2F">
              <w:rPr>
                <w:noProof/>
                <w:webHidden/>
              </w:rPr>
              <w:fldChar w:fldCharType="separate"/>
            </w:r>
            <w:r w:rsidR="00EB2E2F">
              <w:rPr>
                <w:noProof/>
                <w:webHidden/>
              </w:rPr>
              <w:t>55</w:t>
            </w:r>
            <w:r w:rsidR="00EB2E2F" w:rsidRPr="00EB2E2F">
              <w:rPr>
                <w:noProof/>
                <w:webHidden/>
              </w:rPr>
              <w:fldChar w:fldCharType="end"/>
            </w:r>
          </w:hyperlink>
        </w:p>
        <w:p w14:paraId="33AEDF88" w14:textId="77777777" w:rsidR="001B16BE" w:rsidRDefault="00EB2E2F">
          <w:pPr>
            <w:rPr>
              <w:rFonts w:ascii="Arial" w:hAnsi="Arial" w:cs="Arial"/>
              <w:b/>
              <w:bCs/>
              <w:noProof/>
            </w:rPr>
          </w:pPr>
          <w:r>
            <w:rPr>
              <w:b/>
              <w:bCs/>
              <w:noProof/>
            </w:rPr>
            <w:fldChar w:fldCharType="end"/>
          </w:r>
          <w:r w:rsidR="001B16BE">
            <w:rPr>
              <w:rFonts w:ascii="Arial" w:hAnsi="Arial" w:cs="Arial"/>
              <w:b/>
              <w:bCs/>
              <w:noProof/>
            </w:rPr>
            <w:t>LIST OF TABLES</w:t>
          </w:r>
        </w:p>
        <w:p w14:paraId="28AFF367" w14:textId="19178119" w:rsidR="001B16BE" w:rsidRDefault="00FC4984" w:rsidP="001B16BE">
          <w:pPr>
            <w:pStyle w:val="TOC2"/>
            <w:tabs>
              <w:tab w:val="right" w:leader="dot" w:pos="9016"/>
            </w:tabs>
            <w:rPr>
              <w:rFonts w:eastAsiaTheme="minorEastAsia"/>
              <w:noProof/>
              <w:lang w:eastAsia="en-GB"/>
            </w:rPr>
          </w:pPr>
          <w:hyperlink w:anchor="_Toc43473623" w:history="1">
            <w:r w:rsidR="001B16BE">
              <w:rPr>
                <w:rStyle w:val="Hyperlink"/>
                <w:rFonts w:ascii="Arial" w:hAnsi="Arial" w:cs="Arial"/>
                <w:noProof/>
                <w:color w:val="auto"/>
                <w:u w:val="none"/>
              </w:rPr>
              <w:t>Table</w:t>
            </w:r>
            <w:r w:rsidR="001B16BE" w:rsidRPr="001B16BE">
              <w:rPr>
                <w:rStyle w:val="Hyperlink"/>
                <w:rFonts w:ascii="Arial" w:hAnsi="Arial" w:cs="Arial"/>
                <w:noProof/>
                <w:color w:val="auto"/>
                <w:u w:val="none"/>
              </w:rPr>
              <w:t xml:space="preserve"> 1 – Co</w:t>
            </w:r>
            <w:r w:rsidR="001B16BE">
              <w:rPr>
                <w:rStyle w:val="Hyperlink"/>
                <w:rFonts w:ascii="Arial" w:hAnsi="Arial" w:cs="Arial"/>
                <w:noProof/>
                <w:color w:val="auto"/>
                <w:u w:val="none"/>
              </w:rPr>
              <w:t>rrelation matrix</w:t>
            </w:r>
            <w:r w:rsidR="001B16BE" w:rsidRPr="00EB2E2F">
              <w:rPr>
                <w:noProof/>
                <w:webHidden/>
              </w:rPr>
              <w:tab/>
            </w:r>
            <w:r w:rsidR="001B16BE">
              <w:rPr>
                <w:noProof/>
                <w:webHidden/>
              </w:rPr>
              <w:t>34</w:t>
            </w:r>
          </w:hyperlink>
        </w:p>
        <w:p w14:paraId="35C0552E" w14:textId="787584E1" w:rsidR="001B16BE" w:rsidRDefault="00FC4984" w:rsidP="001B16BE">
          <w:pPr>
            <w:pStyle w:val="TOC2"/>
            <w:tabs>
              <w:tab w:val="right" w:leader="dot" w:pos="9016"/>
            </w:tabs>
            <w:rPr>
              <w:rFonts w:eastAsiaTheme="minorEastAsia"/>
              <w:noProof/>
              <w:lang w:eastAsia="en-GB"/>
            </w:rPr>
          </w:pPr>
          <w:hyperlink w:anchor="_Toc43473623" w:history="1">
            <w:r w:rsidR="001B16BE" w:rsidRPr="000153D1">
              <w:rPr>
                <w:rStyle w:val="Hyperlink"/>
                <w:rFonts w:ascii="Arial" w:hAnsi="Arial" w:cs="Arial"/>
                <w:noProof/>
                <w:color w:val="auto"/>
                <w:u w:val="none"/>
              </w:rPr>
              <w:t xml:space="preserve">Table 2 – </w:t>
            </w:r>
            <w:r w:rsidR="000153D1" w:rsidRPr="000153D1">
              <w:rPr>
                <w:rFonts w:ascii="Arial" w:hAnsi="Arial" w:cs="Arial"/>
              </w:rPr>
              <w:t xml:space="preserve">Regression Statistic and ANOVA Test of the </w:t>
            </w:r>
            <w:r w:rsidR="000153D1" w:rsidRPr="000153D1">
              <w:rPr>
                <w:rFonts w:ascii="Arial" w:hAnsi="Arial" w:cs="Arial"/>
                <w:i/>
                <w:iCs/>
              </w:rPr>
              <w:t>First</w:t>
            </w:r>
            <w:r w:rsidR="000153D1" w:rsidRPr="000153D1">
              <w:rPr>
                <w:rFonts w:ascii="Arial" w:hAnsi="Arial" w:cs="Arial"/>
              </w:rPr>
              <w:t xml:space="preserve"> </w:t>
            </w:r>
            <w:r w:rsidR="000153D1" w:rsidRPr="000153D1">
              <w:rPr>
                <w:rFonts w:ascii="Arial" w:hAnsi="Arial" w:cs="Arial"/>
                <w:i/>
                <w:iCs/>
              </w:rPr>
              <w:t>Equation</w:t>
            </w:r>
            <w:r w:rsidR="001B16BE" w:rsidRPr="00EB2E2F">
              <w:rPr>
                <w:noProof/>
                <w:webHidden/>
              </w:rPr>
              <w:tab/>
            </w:r>
            <w:r w:rsidR="000153D1">
              <w:rPr>
                <w:noProof/>
                <w:webHidden/>
              </w:rPr>
              <w:t>37</w:t>
            </w:r>
          </w:hyperlink>
        </w:p>
        <w:p w14:paraId="2E9088EC" w14:textId="01A4C6D0" w:rsidR="001B16BE" w:rsidRDefault="00FC4984" w:rsidP="001B16BE">
          <w:pPr>
            <w:pStyle w:val="TOC2"/>
            <w:tabs>
              <w:tab w:val="right" w:leader="dot" w:pos="9016"/>
            </w:tabs>
            <w:rPr>
              <w:rFonts w:eastAsiaTheme="minorEastAsia"/>
              <w:noProof/>
              <w:lang w:eastAsia="en-GB"/>
            </w:rPr>
          </w:pPr>
          <w:hyperlink w:anchor="_Toc43473623" w:history="1">
            <w:r w:rsidR="001B16BE" w:rsidRPr="000153D1">
              <w:rPr>
                <w:rStyle w:val="Hyperlink"/>
                <w:rFonts w:ascii="Arial" w:hAnsi="Arial" w:cs="Arial"/>
                <w:noProof/>
                <w:color w:val="auto"/>
                <w:u w:val="none"/>
              </w:rPr>
              <w:t xml:space="preserve">Table 3 – </w:t>
            </w:r>
            <w:r w:rsidR="000153D1" w:rsidRPr="000153D1">
              <w:rPr>
                <w:rFonts w:ascii="Arial" w:hAnsi="Arial" w:cs="Arial"/>
              </w:rPr>
              <w:t xml:space="preserve">Individual variables’ analysis of the </w:t>
            </w:r>
            <w:r w:rsidR="000153D1" w:rsidRPr="000153D1">
              <w:rPr>
                <w:rFonts w:ascii="Arial" w:hAnsi="Arial" w:cs="Arial"/>
                <w:i/>
                <w:iCs/>
              </w:rPr>
              <w:t>First</w:t>
            </w:r>
            <w:r w:rsidR="000153D1" w:rsidRPr="000153D1">
              <w:rPr>
                <w:rFonts w:ascii="Arial" w:hAnsi="Arial" w:cs="Arial"/>
              </w:rPr>
              <w:t xml:space="preserve"> </w:t>
            </w:r>
            <w:r w:rsidR="000153D1" w:rsidRPr="000153D1">
              <w:rPr>
                <w:rFonts w:ascii="Arial" w:hAnsi="Arial" w:cs="Arial"/>
                <w:i/>
                <w:iCs/>
              </w:rPr>
              <w:t>Equation</w:t>
            </w:r>
            <w:r w:rsidR="001B16BE" w:rsidRPr="00EB2E2F">
              <w:rPr>
                <w:noProof/>
                <w:webHidden/>
              </w:rPr>
              <w:tab/>
            </w:r>
            <w:r w:rsidR="000153D1">
              <w:rPr>
                <w:noProof/>
                <w:webHidden/>
              </w:rPr>
              <w:t>37</w:t>
            </w:r>
          </w:hyperlink>
        </w:p>
        <w:p w14:paraId="79E19CF3" w14:textId="44A7FEBA" w:rsidR="001B16BE" w:rsidRDefault="00FC4984" w:rsidP="001B16BE">
          <w:pPr>
            <w:pStyle w:val="TOC2"/>
            <w:tabs>
              <w:tab w:val="right" w:leader="dot" w:pos="9016"/>
            </w:tabs>
            <w:rPr>
              <w:rFonts w:eastAsiaTheme="minorEastAsia"/>
              <w:noProof/>
              <w:lang w:eastAsia="en-GB"/>
            </w:rPr>
          </w:pPr>
          <w:hyperlink w:anchor="_Toc43473623" w:history="1">
            <w:r w:rsidR="000153D1" w:rsidRPr="000153D1">
              <w:rPr>
                <w:rStyle w:val="Hyperlink"/>
                <w:rFonts w:ascii="Arial" w:hAnsi="Arial" w:cs="Arial"/>
                <w:noProof/>
                <w:color w:val="auto"/>
                <w:u w:val="none"/>
              </w:rPr>
              <w:t>Table 4 – Regression Statistic and ANOVA Test of the Second Equation</w:t>
            </w:r>
            <w:r w:rsidR="001B16BE" w:rsidRPr="00EB2E2F">
              <w:rPr>
                <w:noProof/>
                <w:webHidden/>
              </w:rPr>
              <w:tab/>
            </w:r>
            <w:r w:rsidR="000153D1">
              <w:rPr>
                <w:noProof/>
                <w:webHidden/>
              </w:rPr>
              <w:t>39</w:t>
            </w:r>
          </w:hyperlink>
        </w:p>
        <w:p w14:paraId="5F4F0099" w14:textId="6BDBFD28" w:rsidR="001B16BE" w:rsidRDefault="00FC4984" w:rsidP="001B16BE">
          <w:pPr>
            <w:pStyle w:val="TOC2"/>
            <w:tabs>
              <w:tab w:val="right" w:leader="dot" w:pos="9016"/>
            </w:tabs>
            <w:rPr>
              <w:rFonts w:eastAsiaTheme="minorEastAsia"/>
              <w:noProof/>
              <w:lang w:eastAsia="en-GB"/>
            </w:rPr>
          </w:pPr>
          <w:hyperlink w:anchor="_Toc43473623" w:history="1">
            <w:r w:rsidR="000153D1" w:rsidRPr="000153D1">
              <w:rPr>
                <w:rStyle w:val="Hyperlink"/>
                <w:rFonts w:ascii="Arial" w:hAnsi="Arial" w:cs="Arial"/>
                <w:noProof/>
                <w:color w:val="auto"/>
                <w:u w:val="none"/>
              </w:rPr>
              <w:t>Table 5 – Individual variables’ analysis of the Second Equation</w:t>
            </w:r>
            <w:r w:rsidR="001B16BE" w:rsidRPr="00EB2E2F">
              <w:rPr>
                <w:noProof/>
                <w:webHidden/>
              </w:rPr>
              <w:tab/>
            </w:r>
            <w:r w:rsidR="000153D1">
              <w:rPr>
                <w:noProof/>
                <w:webHidden/>
              </w:rPr>
              <w:t>39</w:t>
            </w:r>
          </w:hyperlink>
        </w:p>
        <w:p w14:paraId="74D6E431" w14:textId="67BDC05E" w:rsidR="001B16BE" w:rsidRDefault="00FC4984" w:rsidP="001B16BE">
          <w:pPr>
            <w:pStyle w:val="TOC2"/>
            <w:tabs>
              <w:tab w:val="right" w:leader="dot" w:pos="9016"/>
            </w:tabs>
            <w:rPr>
              <w:rFonts w:eastAsiaTheme="minorEastAsia"/>
              <w:noProof/>
              <w:lang w:eastAsia="en-GB"/>
            </w:rPr>
          </w:pPr>
          <w:hyperlink w:anchor="_Toc43473623" w:history="1">
            <w:r w:rsidR="000153D1" w:rsidRPr="000153D1">
              <w:rPr>
                <w:rStyle w:val="Hyperlink"/>
                <w:rFonts w:ascii="Arial" w:hAnsi="Arial" w:cs="Arial"/>
                <w:noProof/>
                <w:color w:val="auto"/>
                <w:u w:val="none"/>
              </w:rPr>
              <w:t>Table 6 – Regression Statistic and ANOVA Test of the Third Equation</w:t>
            </w:r>
            <w:r w:rsidR="001B16BE" w:rsidRPr="00EB2E2F">
              <w:rPr>
                <w:noProof/>
                <w:webHidden/>
              </w:rPr>
              <w:tab/>
            </w:r>
            <w:r w:rsidR="000153D1">
              <w:rPr>
                <w:noProof/>
                <w:webHidden/>
              </w:rPr>
              <w:t>40</w:t>
            </w:r>
          </w:hyperlink>
        </w:p>
        <w:p w14:paraId="72FD1A3E" w14:textId="6CF40713" w:rsidR="001B16BE" w:rsidRDefault="00FC4984" w:rsidP="001B16BE">
          <w:pPr>
            <w:pStyle w:val="TOC2"/>
            <w:tabs>
              <w:tab w:val="right" w:leader="dot" w:pos="9016"/>
            </w:tabs>
            <w:rPr>
              <w:rFonts w:eastAsiaTheme="minorEastAsia"/>
              <w:noProof/>
              <w:lang w:eastAsia="en-GB"/>
            </w:rPr>
          </w:pPr>
          <w:hyperlink w:anchor="_Toc43473623" w:history="1">
            <w:r w:rsidR="000153D1" w:rsidRPr="000153D1">
              <w:rPr>
                <w:rStyle w:val="Hyperlink"/>
                <w:rFonts w:ascii="Arial" w:hAnsi="Arial" w:cs="Arial"/>
                <w:noProof/>
                <w:color w:val="auto"/>
                <w:u w:val="none"/>
              </w:rPr>
              <w:t>Table 7 – Individual variables’ analysis of the Third Equation</w:t>
            </w:r>
            <w:r w:rsidR="001B16BE" w:rsidRPr="00EB2E2F">
              <w:rPr>
                <w:noProof/>
                <w:webHidden/>
              </w:rPr>
              <w:tab/>
            </w:r>
            <w:r w:rsidR="000153D1">
              <w:rPr>
                <w:noProof/>
                <w:webHidden/>
              </w:rPr>
              <w:t>40</w:t>
            </w:r>
          </w:hyperlink>
        </w:p>
        <w:p w14:paraId="72E4B2D5" w14:textId="2A840148" w:rsidR="001B16BE" w:rsidRDefault="00FC4984" w:rsidP="001B16BE">
          <w:pPr>
            <w:pStyle w:val="TOC2"/>
            <w:tabs>
              <w:tab w:val="right" w:leader="dot" w:pos="9016"/>
            </w:tabs>
            <w:rPr>
              <w:rFonts w:eastAsiaTheme="minorEastAsia"/>
              <w:noProof/>
              <w:lang w:eastAsia="en-GB"/>
            </w:rPr>
          </w:pPr>
          <w:hyperlink w:anchor="_Toc43473623" w:history="1">
            <w:r w:rsidR="000153D1" w:rsidRPr="000153D1">
              <w:rPr>
                <w:rStyle w:val="Hyperlink"/>
                <w:rFonts w:ascii="Arial" w:hAnsi="Arial" w:cs="Arial"/>
                <w:noProof/>
                <w:color w:val="auto"/>
                <w:u w:val="none"/>
              </w:rPr>
              <w:t>Table 8 – Regression Statistic and ANOVA Test of the Fourth Equation</w:t>
            </w:r>
            <w:r w:rsidR="001B16BE" w:rsidRPr="00EB2E2F">
              <w:rPr>
                <w:noProof/>
                <w:webHidden/>
              </w:rPr>
              <w:tab/>
            </w:r>
            <w:r w:rsidR="000153D1">
              <w:rPr>
                <w:noProof/>
                <w:webHidden/>
              </w:rPr>
              <w:t>42</w:t>
            </w:r>
          </w:hyperlink>
        </w:p>
        <w:p w14:paraId="4AAD8E63" w14:textId="0382500C" w:rsidR="001B16BE" w:rsidRDefault="00FC4984" w:rsidP="001B16BE">
          <w:pPr>
            <w:pStyle w:val="TOC2"/>
            <w:tabs>
              <w:tab w:val="right" w:leader="dot" w:pos="9016"/>
            </w:tabs>
            <w:rPr>
              <w:rFonts w:eastAsiaTheme="minorEastAsia"/>
              <w:noProof/>
              <w:lang w:eastAsia="en-GB"/>
            </w:rPr>
          </w:pPr>
          <w:hyperlink w:anchor="_Toc43473623" w:history="1">
            <w:r w:rsidR="000153D1" w:rsidRPr="000153D1">
              <w:rPr>
                <w:rStyle w:val="Hyperlink"/>
                <w:rFonts w:ascii="Arial" w:hAnsi="Arial" w:cs="Arial"/>
                <w:noProof/>
                <w:color w:val="auto"/>
                <w:u w:val="none"/>
              </w:rPr>
              <w:t>Table 9 – Individual variables’ analysis of the Fourth Equation</w:t>
            </w:r>
            <w:r w:rsidR="001B16BE" w:rsidRPr="00EB2E2F">
              <w:rPr>
                <w:noProof/>
                <w:webHidden/>
              </w:rPr>
              <w:tab/>
            </w:r>
            <w:r w:rsidR="000153D1">
              <w:rPr>
                <w:noProof/>
                <w:webHidden/>
              </w:rPr>
              <w:t>42</w:t>
            </w:r>
          </w:hyperlink>
        </w:p>
        <w:p w14:paraId="6E806283" w14:textId="01197549" w:rsidR="00EB2E2F" w:rsidRDefault="00FC4984"/>
      </w:sdtContent>
    </w:sdt>
    <w:p w14:paraId="45950B85" w14:textId="77777777" w:rsidR="009A58A0" w:rsidRDefault="009A58A0">
      <w:pPr>
        <w:rPr>
          <w:b/>
          <w:bCs/>
          <w:sz w:val="32"/>
          <w:szCs w:val="32"/>
        </w:rPr>
      </w:pPr>
    </w:p>
    <w:p w14:paraId="326D6C69" w14:textId="2AE4B570" w:rsidR="000073B3" w:rsidRDefault="009A58A0">
      <w:pPr>
        <w:rPr>
          <w:b/>
          <w:bCs/>
          <w:sz w:val="32"/>
          <w:szCs w:val="32"/>
        </w:rPr>
      </w:pPr>
      <w:r>
        <w:rPr>
          <w:b/>
          <w:bCs/>
          <w:sz w:val="32"/>
          <w:szCs w:val="32"/>
        </w:rPr>
        <w:br w:type="page"/>
      </w:r>
    </w:p>
    <w:p w14:paraId="61654123" w14:textId="4553A4A7" w:rsidR="000B51C4" w:rsidRPr="000073B3" w:rsidRDefault="001260DF" w:rsidP="000073B3">
      <w:pPr>
        <w:pStyle w:val="Heading1"/>
        <w:rPr>
          <w:rFonts w:ascii="Arial" w:hAnsi="Arial" w:cs="Arial"/>
          <w:b/>
          <w:bCs/>
          <w:color w:val="auto"/>
        </w:rPr>
      </w:pPr>
      <w:bookmarkStart w:id="7" w:name="_Toc43473585"/>
      <w:r w:rsidRPr="000073B3">
        <w:rPr>
          <w:rFonts w:ascii="Arial" w:hAnsi="Arial" w:cs="Arial"/>
          <w:b/>
          <w:bCs/>
          <w:color w:val="auto"/>
        </w:rPr>
        <w:lastRenderedPageBreak/>
        <w:t>Abstract</w:t>
      </w:r>
      <w:bookmarkEnd w:id="7"/>
    </w:p>
    <w:p w14:paraId="5CCDC713" w14:textId="77777777" w:rsidR="000073B3" w:rsidRDefault="000073B3" w:rsidP="00632FDB">
      <w:pPr>
        <w:jc w:val="both"/>
      </w:pPr>
    </w:p>
    <w:p w14:paraId="25737D22" w14:textId="25897B4E" w:rsidR="00A23C10" w:rsidRDefault="00447D18" w:rsidP="006C535A">
      <w:pPr>
        <w:spacing w:line="360" w:lineRule="auto"/>
        <w:jc w:val="both"/>
      </w:pPr>
      <w:r>
        <w:t xml:space="preserve">Any company that aims to obtain a competitive advantage and to achieve long term stability and prosperity require profitability. </w:t>
      </w:r>
      <w:r w:rsidR="00F94484">
        <w:t xml:space="preserve">Profitability drivers are numerous and </w:t>
      </w:r>
      <w:r w:rsidR="006C535A">
        <w:t>can</w:t>
      </w:r>
      <w:r w:rsidR="00F94484">
        <w:t xml:space="preserve"> </w:t>
      </w:r>
      <w:r w:rsidR="006C535A">
        <w:t>be influenced</w:t>
      </w:r>
      <w:r w:rsidR="00F94484">
        <w:t xml:space="preserve"> </w:t>
      </w:r>
      <w:r w:rsidR="006C535A">
        <w:t>by</w:t>
      </w:r>
      <w:r w:rsidR="00F94484">
        <w:t xml:space="preserve"> different factors, which have been </w:t>
      </w:r>
      <w:r w:rsidR="00F94484" w:rsidRPr="00F94484">
        <w:t>thoroughly</w:t>
      </w:r>
      <w:r w:rsidR="00F94484">
        <w:t xml:space="preserve"> discussed during the years. Among them, liquidity and capital structure have been included in various researches, the outcome of which often differs significantly. </w:t>
      </w:r>
    </w:p>
    <w:p w14:paraId="277C4142" w14:textId="1E1A4C94" w:rsidR="00F94484" w:rsidRDefault="00F94484" w:rsidP="006C535A">
      <w:pPr>
        <w:spacing w:line="360" w:lineRule="auto"/>
        <w:jc w:val="both"/>
      </w:pPr>
      <w:r>
        <w:t>This thesis aims to quantitatively analyse the relationship between liquidity, leverage and profitability in the aviation sector, by examining five</w:t>
      </w:r>
      <w:r w:rsidR="00632FDB">
        <w:t xml:space="preserve"> of the</w:t>
      </w:r>
      <w:r>
        <w:t xml:space="preserve"> largest European airlines during the years 2014-2019. </w:t>
      </w:r>
      <w:r w:rsidR="00632FDB">
        <w:t>In this paper, t</w:t>
      </w:r>
      <w:r>
        <w:t xml:space="preserve">he </w:t>
      </w:r>
      <w:r w:rsidRPr="00632FDB">
        <w:rPr>
          <w:i/>
          <w:iCs/>
        </w:rPr>
        <w:t>profitability</w:t>
      </w:r>
      <w:r>
        <w:t xml:space="preserve"> </w:t>
      </w:r>
      <w:r w:rsidR="00B74CCA">
        <w:t>is</w:t>
      </w:r>
      <w:r>
        <w:t xml:space="preserve"> defined through Return on Assets and Return on Investments</w:t>
      </w:r>
      <w:r w:rsidR="000B4C07">
        <w:t>;</w:t>
      </w:r>
      <w:r w:rsidR="00632FDB">
        <w:t xml:space="preserve"> </w:t>
      </w:r>
      <w:r w:rsidR="00632FDB" w:rsidRPr="00632FDB">
        <w:rPr>
          <w:i/>
          <w:iCs/>
        </w:rPr>
        <w:t xml:space="preserve">liquidity </w:t>
      </w:r>
      <w:r w:rsidR="00B74CCA">
        <w:t>is</w:t>
      </w:r>
      <w:r w:rsidR="00632FDB">
        <w:t xml:space="preserve"> constituted by Current and Quick Ratio while the </w:t>
      </w:r>
      <w:r w:rsidR="00632FDB" w:rsidRPr="00632FDB">
        <w:rPr>
          <w:i/>
          <w:iCs/>
        </w:rPr>
        <w:t>leverage</w:t>
      </w:r>
      <w:r w:rsidR="00632FDB">
        <w:t xml:space="preserve"> by Debt-to-Equity and Debt-to-Capital Ratio. To take into account profitability’s features that may not be captured by liquidity </w:t>
      </w:r>
      <w:r w:rsidR="005E44AE">
        <w:t>and</w:t>
      </w:r>
      <w:r w:rsidR="00632FDB">
        <w:t xml:space="preserve"> leverage, the Size and the Growth Rate have been introduced as control variables. </w:t>
      </w:r>
    </w:p>
    <w:p w14:paraId="28BD09B9" w14:textId="45DEF821" w:rsidR="00632FDB" w:rsidRDefault="00632FDB" w:rsidP="006C535A">
      <w:pPr>
        <w:spacing w:line="360" w:lineRule="auto"/>
        <w:jc w:val="both"/>
      </w:pPr>
      <w:r>
        <w:t xml:space="preserve">The background of the research includes different theoretical frames of references as the </w:t>
      </w:r>
      <w:r w:rsidR="00760008">
        <w:t>L</w:t>
      </w:r>
      <w:r>
        <w:t xml:space="preserve">iquidity </w:t>
      </w:r>
      <w:r w:rsidR="00760008">
        <w:t>P</w:t>
      </w:r>
      <w:r>
        <w:t xml:space="preserve">reference theory, the Modigliani and Millers’ theories, the Trade-Off theory and the Pecking Order theory. </w:t>
      </w:r>
      <w:r w:rsidR="00760008">
        <w:t>The analysis utilises two statistical models, i.e. the Pearson Correlation analysis, and the Multiple Regression analysis. From generated outcomes, it is evident that both liquidity and leverage have a significant impact on companies’ financial performance. The statistical investigation demonstrates the significant positive relationship between liquidity and profitability, while for the leverage, the results showed its negative relationship with both profitability and liquidity, thus supporting the Pecking Order theory. Lastly, for Size and Growth Rate could no</w:t>
      </w:r>
      <w:r w:rsidR="000B4C07">
        <w:t>t</w:t>
      </w:r>
      <w:r w:rsidR="00760008">
        <w:t xml:space="preserve"> be found any statistical relevant conclusive relationship with the profitability. </w:t>
      </w:r>
    </w:p>
    <w:p w14:paraId="068BDCF3" w14:textId="15E1EE65" w:rsidR="00760008" w:rsidRDefault="00760008" w:rsidP="006C535A">
      <w:pPr>
        <w:spacing w:line="360" w:lineRule="auto"/>
        <w:jc w:val="both"/>
      </w:pPr>
      <w:r>
        <w:t>The present study</w:t>
      </w:r>
      <w:r w:rsidR="0081218C">
        <w:t xml:space="preserve">’s results are restricted to the period and companies analysed and </w:t>
      </w:r>
      <w:r w:rsidR="00CC7F29">
        <w:t>may not respect the whole aviation sector.</w:t>
      </w:r>
    </w:p>
    <w:p w14:paraId="41D2D944" w14:textId="31E08255" w:rsidR="00632FDB" w:rsidRDefault="00632FDB" w:rsidP="006C535A">
      <w:pPr>
        <w:spacing w:line="360" w:lineRule="auto"/>
      </w:pPr>
    </w:p>
    <w:p w14:paraId="0CF4B2D3" w14:textId="5D596035" w:rsidR="00ED2C3F" w:rsidRPr="00ED2C3F" w:rsidRDefault="00ED2C3F" w:rsidP="00670E04">
      <w:pPr>
        <w:spacing w:line="360" w:lineRule="auto"/>
        <w:jc w:val="both"/>
      </w:pPr>
      <w:r>
        <w:rPr>
          <w:b/>
          <w:bCs/>
        </w:rPr>
        <w:t xml:space="preserve">Keywords: </w:t>
      </w:r>
      <w:r>
        <w:t>Liquidity, Leverage, Profitability, Corporate Finance, Airline Industry.</w:t>
      </w:r>
    </w:p>
    <w:p w14:paraId="5A51F803" w14:textId="15A47125" w:rsidR="00447D18" w:rsidRDefault="00447D18"/>
    <w:p w14:paraId="60955B0D" w14:textId="5CD2EDEB" w:rsidR="00447D18" w:rsidRDefault="00447D18"/>
    <w:p w14:paraId="22FE354D" w14:textId="0D4F9827" w:rsidR="00447D18" w:rsidRDefault="00447D18"/>
    <w:p w14:paraId="418CC717" w14:textId="50BE9CAA" w:rsidR="00447D18" w:rsidRDefault="00447D18"/>
    <w:p w14:paraId="3B8D0165" w14:textId="2B7B5F27" w:rsidR="00447D18" w:rsidRDefault="00447D18"/>
    <w:p w14:paraId="35BF99D9" w14:textId="77777777" w:rsidR="000073B3" w:rsidRDefault="000073B3">
      <w:pPr>
        <w:rPr>
          <w:b/>
          <w:bCs/>
          <w:sz w:val="32"/>
          <w:szCs w:val="32"/>
        </w:rPr>
      </w:pPr>
    </w:p>
    <w:p w14:paraId="17F8181F" w14:textId="23C227E4" w:rsidR="000073B3" w:rsidRPr="000073B3" w:rsidRDefault="000B51C4" w:rsidP="009F40DA">
      <w:pPr>
        <w:pStyle w:val="Heading1"/>
        <w:spacing w:line="360" w:lineRule="auto"/>
        <w:rPr>
          <w:rFonts w:ascii="Arial" w:hAnsi="Arial" w:cs="Arial"/>
          <w:b/>
          <w:bCs/>
          <w:color w:val="auto"/>
        </w:rPr>
      </w:pPr>
      <w:bookmarkStart w:id="8" w:name="_Toc43473586"/>
      <w:r w:rsidRPr="000073B3">
        <w:rPr>
          <w:rFonts w:ascii="Arial" w:hAnsi="Arial" w:cs="Arial"/>
          <w:b/>
          <w:bCs/>
          <w:color w:val="auto"/>
        </w:rPr>
        <w:lastRenderedPageBreak/>
        <w:t>Introduction</w:t>
      </w:r>
      <w:bookmarkEnd w:id="8"/>
    </w:p>
    <w:p w14:paraId="472DD02B" w14:textId="2338D3D6" w:rsidR="00BE5976" w:rsidRPr="00BE5976" w:rsidRDefault="00BE5976" w:rsidP="009F40DA">
      <w:pPr>
        <w:pBdr>
          <w:top w:val="single" w:sz="4" w:space="1" w:color="auto"/>
          <w:bottom w:val="single" w:sz="4" w:space="1" w:color="auto"/>
        </w:pBdr>
        <w:spacing w:line="360" w:lineRule="auto"/>
        <w:jc w:val="both"/>
        <w:rPr>
          <w:i/>
          <w:iCs/>
        </w:rPr>
      </w:pPr>
      <w:r>
        <w:rPr>
          <w:i/>
          <w:iCs/>
        </w:rPr>
        <w:t>This chapter will introduce a short background of the study with its main implications. It will present the</w:t>
      </w:r>
      <w:r w:rsidR="00B05DAB">
        <w:rPr>
          <w:i/>
          <w:iCs/>
        </w:rPr>
        <w:t xml:space="preserve"> objective and</w:t>
      </w:r>
      <w:r>
        <w:rPr>
          <w:i/>
          <w:iCs/>
        </w:rPr>
        <w:t xml:space="preserve"> purpose of the analysis </w:t>
      </w:r>
      <w:r w:rsidR="00B05DAB">
        <w:rPr>
          <w:i/>
          <w:iCs/>
        </w:rPr>
        <w:t>that</w:t>
      </w:r>
      <w:r>
        <w:rPr>
          <w:i/>
          <w:iCs/>
        </w:rPr>
        <w:t xml:space="preserve"> will lead to the formulation of the research’s questions.</w:t>
      </w:r>
      <w:r w:rsidR="00B05DAB">
        <w:rPr>
          <w:i/>
          <w:iCs/>
        </w:rPr>
        <w:t xml:space="preserve"> Furthermore, the chapter will expose the major problem faced and the sources of the data adopted</w:t>
      </w:r>
      <w:r w:rsidR="0040072B">
        <w:rPr>
          <w:i/>
          <w:iCs/>
        </w:rPr>
        <w:t xml:space="preserve"> in the study.</w:t>
      </w:r>
    </w:p>
    <w:p w14:paraId="7F088BE1" w14:textId="77777777" w:rsidR="000073B3" w:rsidRDefault="000073B3" w:rsidP="000073B3">
      <w:pPr>
        <w:pStyle w:val="Heading2"/>
        <w:rPr>
          <w:rFonts w:ascii="Arial" w:hAnsi="Arial" w:cs="Arial"/>
          <w:b/>
          <w:bCs/>
          <w:color w:val="auto"/>
        </w:rPr>
      </w:pPr>
    </w:p>
    <w:p w14:paraId="04D361AE" w14:textId="2DED2DF3" w:rsidR="00B05DAB" w:rsidRPr="000073B3" w:rsidRDefault="006F2CA0" w:rsidP="000073B3">
      <w:pPr>
        <w:pStyle w:val="Heading2"/>
        <w:rPr>
          <w:rFonts w:ascii="Arial" w:hAnsi="Arial" w:cs="Arial"/>
          <w:b/>
          <w:bCs/>
          <w:color w:val="auto"/>
        </w:rPr>
      </w:pPr>
      <w:bookmarkStart w:id="9" w:name="_Toc43473587"/>
      <w:r w:rsidRPr="000073B3">
        <w:rPr>
          <w:rFonts w:ascii="Arial" w:hAnsi="Arial" w:cs="Arial"/>
          <w:b/>
          <w:bCs/>
          <w:color w:val="auto"/>
        </w:rPr>
        <w:t>B</w:t>
      </w:r>
      <w:r w:rsidR="00B05DAB" w:rsidRPr="000073B3">
        <w:rPr>
          <w:rFonts w:ascii="Arial" w:hAnsi="Arial" w:cs="Arial"/>
          <w:b/>
          <w:bCs/>
          <w:color w:val="auto"/>
        </w:rPr>
        <w:t>ackground of the study</w:t>
      </w:r>
      <w:bookmarkEnd w:id="9"/>
    </w:p>
    <w:p w14:paraId="2BB5EC94" w14:textId="77777777" w:rsidR="000073B3" w:rsidRDefault="000073B3" w:rsidP="00FB5736">
      <w:pPr>
        <w:jc w:val="both"/>
      </w:pPr>
    </w:p>
    <w:p w14:paraId="73BBC855" w14:textId="349103EE" w:rsidR="00B509B4" w:rsidRDefault="000B3D65" w:rsidP="00D16EED">
      <w:pPr>
        <w:spacing w:line="360" w:lineRule="auto"/>
        <w:jc w:val="both"/>
      </w:pPr>
      <w:r w:rsidRPr="000B3D65">
        <w:t xml:space="preserve">Two of the </w:t>
      </w:r>
      <w:r w:rsidR="00BC5644">
        <w:t>significant</w:t>
      </w:r>
      <w:r w:rsidRPr="00AE4929">
        <w:t xml:space="preserve"> </w:t>
      </w:r>
      <w:r w:rsidR="00AE4929" w:rsidRPr="00AE4929">
        <w:t>variables</w:t>
      </w:r>
      <w:r w:rsidRPr="00AE4929">
        <w:t xml:space="preserve"> </w:t>
      </w:r>
      <w:r w:rsidRPr="000B3D65">
        <w:t xml:space="preserve">that </w:t>
      </w:r>
      <w:r w:rsidR="00B509B4">
        <w:t xml:space="preserve">may </w:t>
      </w:r>
      <w:r w:rsidRPr="000B3D65">
        <w:t>impact on financial performance and, therefore,</w:t>
      </w:r>
      <w:r w:rsidR="00245E43">
        <w:t xml:space="preserve"> on</w:t>
      </w:r>
      <w:r w:rsidRPr="000B3D65">
        <w:t xml:space="preserve"> the profitability of co</w:t>
      </w:r>
      <w:r>
        <w:t>rporate entities</w:t>
      </w:r>
      <w:r w:rsidRPr="000B3D65">
        <w:t xml:space="preserve"> are</w:t>
      </w:r>
      <w:r>
        <w:t xml:space="preserve"> the </w:t>
      </w:r>
      <w:r w:rsidRPr="000B3D65">
        <w:rPr>
          <w:b/>
          <w:bCs/>
        </w:rPr>
        <w:t>liquidity</w:t>
      </w:r>
      <w:r>
        <w:t xml:space="preserve"> and the </w:t>
      </w:r>
      <w:r w:rsidRPr="000B3D65">
        <w:rPr>
          <w:b/>
          <w:bCs/>
        </w:rPr>
        <w:t>capital structure</w:t>
      </w:r>
      <w:r>
        <w:t xml:space="preserve"> of the business. </w:t>
      </w:r>
    </w:p>
    <w:p w14:paraId="004FE0FC" w14:textId="41C6EB6E" w:rsidR="000B3D65" w:rsidRDefault="007115C4" w:rsidP="00D16EED">
      <w:pPr>
        <w:spacing w:line="360" w:lineRule="auto"/>
        <w:jc w:val="both"/>
      </w:pPr>
      <w:r>
        <w:t>To ensure their continu</w:t>
      </w:r>
      <w:r w:rsidR="00644ABD">
        <w:t>ed</w:t>
      </w:r>
      <w:r>
        <w:t xml:space="preserve"> existence in this competitive environment of economic liberalisation and globalisation, companies</w:t>
      </w:r>
      <w:r w:rsidR="00DE11B2">
        <w:t xml:space="preserve"> must be active and honour </w:t>
      </w:r>
      <w:r w:rsidR="00644ABD">
        <w:t>their</w:t>
      </w:r>
      <w:r w:rsidR="00DE11B2">
        <w:t xml:space="preserve"> obligations with the different suppliers. </w:t>
      </w:r>
      <w:r w:rsidR="00D16EED">
        <w:t>The</w:t>
      </w:r>
      <w:r w:rsidR="00DE11B2" w:rsidRPr="00DE11B2">
        <w:t xml:space="preserve"> inability to do so can have consequences for the company's operations and reputation</w:t>
      </w:r>
      <w:r w:rsidR="00DE11B2">
        <w:t>, which may affect the profitability of the business.</w:t>
      </w:r>
    </w:p>
    <w:p w14:paraId="79305F7E" w14:textId="6C21FD10" w:rsidR="00075837" w:rsidRDefault="00075837" w:rsidP="00D16EED">
      <w:pPr>
        <w:spacing w:line="360" w:lineRule="auto"/>
        <w:jc w:val="both"/>
      </w:pPr>
      <w:r w:rsidRPr="00075837">
        <w:t>The financial future of a company is therefore affected by several factors</w:t>
      </w:r>
      <w:r>
        <w:t xml:space="preserve">, </w:t>
      </w:r>
      <w:r w:rsidRPr="00075837">
        <w:t xml:space="preserve">of which it is possible to get an idea through the </w:t>
      </w:r>
      <w:r>
        <w:t>financial statement analysis.</w:t>
      </w:r>
      <w:r w:rsidR="009A4C79">
        <w:t xml:space="preserve"> This statement is based on financial information, needed to evaluate the financial position and earning ability of a business, </w:t>
      </w:r>
      <w:r w:rsidR="009A4C79" w:rsidRPr="009A4C79">
        <w:t>also offering the possibility to compare and predict</w:t>
      </w:r>
      <w:r w:rsidR="009A4C79">
        <w:t xml:space="preserve"> data indispensable for business decision making</w:t>
      </w:r>
      <w:r w:rsidR="000171AC">
        <w:t xml:space="preserve"> (Pandey, 2005).</w:t>
      </w:r>
    </w:p>
    <w:p w14:paraId="062BF125" w14:textId="7B3DDF75" w:rsidR="000B3D65" w:rsidRDefault="006249DD" w:rsidP="00D16EED">
      <w:pPr>
        <w:spacing w:line="360" w:lineRule="auto"/>
        <w:jc w:val="both"/>
      </w:pPr>
      <w:r>
        <w:t>In the aftermath of</w:t>
      </w:r>
      <w:r w:rsidR="005C6935">
        <w:t xml:space="preserve"> the recent financial crisis, </w:t>
      </w:r>
      <w:r w:rsidR="005C6935" w:rsidRPr="0085497E">
        <w:rPr>
          <w:b/>
          <w:bCs/>
        </w:rPr>
        <w:t xml:space="preserve">liquidity </w:t>
      </w:r>
      <w:r w:rsidR="005C6935">
        <w:t xml:space="preserve">played a fundamental role, being an instrumental factor in the upliftment of a company. </w:t>
      </w:r>
      <w:r w:rsidR="007115C4">
        <w:t>It consists in the capacity of a business to meet its short-term maturing obligations</w:t>
      </w:r>
      <w:r w:rsidR="004B5D0B">
        <w:t xml:space="preserve">, which generally refers to one-year accounting obligations. </w:t>
      </w:r>
      <w:r w:rsidR="00BC5644">
        <w:t>Besides</w:t>
      </w:r>
      <w:r w:rsidR="002A5817">
        <w:t xml:space="preserve">, it </w:t>
      </w:r>
      <w:r w:rsidR="00ED54DC">
        <w:t>also reflects</w:t>
      </w:r>
      <w:r w:rsidR="002A5817">
        <w:t xml:space="preserve"> the business’ ability to convert its assets into cash in </w:t>
      </w:r>
      <w:r w:rsidR="00644ABD">
        <w:t>a</w:t>
      </w:r>
      <w:r w:rsidR="002A5817">
        <w:t xml:space="preserve"> short period. </w:t>
      </w:r>
      <w:r w:rsidR="00ED54DC">
        <w:t>The company’s liquidity position is of interest of all stakeholders</w:t>
      </w:r>
      <w:r w:rsidR="00071A56">
        <w:t>,</w:t>
      </w:r>
      <w:r w:rsidR="00573E43">
        <w:t xml:space="preserve"> of which</w:t>
      </w:r>
      <w:r w:rsidR="00071A56">
        <w:t xml:space="preserve"> </w:t>
      </w:r>
      <w:r w:rsidR="00573E43" w:rsidRPr="00573E43">
        <w:t>the right level is essential to maximize profit and prevent</w:t>
      </w:r>
      <w:r w:rsidR="00545BEB">
        <w:t xml:space="preserve"> the</w:t>
      </w:r>
      <w:r w:rsidR="00573E43" w:rsidRPr="00573E43">
        <w:t xml:space="preserve"> </w:t>
      </w:r>
      <w:r w:rsidR="00573E43" w:rsidRPr="00610EBB">
        <w:t>incentives</w:t>
      </w:r>
      <w:r w:rsidR="00644ABD">
        <w:t>’</w:t>
      </w:r>
      <w:r w:rsidR="00545BEB" w:rsidRPr="00610EBB">
        <w:t xml:space="preserve"> loss</w:t>
      </w:r>
      <w:r w:rsidR="00573E43" w:rsidRPr="00610EBB">
        <w:t xml:space="preserve"> </w:t>
      </w:r>
      <w:r w:rsidR="00573E43" w:rsidRPr="00573E43">
        <w:t>from bankers, creditors or suppliers</w:t>
      </w:r>
      <w:r w:rsidR="00071A56">
        <w:t xml:space="preserve">. </w:t>
      </w:r>
      <w:r w:rsidR="0085497E">
        <w:t xml:space="preserve">The inability to honour the business’ obligations to the different goods, services and credits’ providers and the on-time and continuous payments makes the company ‘sick’ and </w:t>
      </w:r>
      <w:r w:rsidR="009D52E2">
        <w:t>may</w:t>
      </w:r>
      <w:r w:rsidR="0085497E">
        <w:t xml:space="preserve"> end with the bankruptcy declaration. </w:t>
      </w:r>
      <w:r w:rsidR="003741D4">
        <w:t>A liquidity lack may affect the operations and the reputation of a firm, may leading to the loss of incentives provided by the suppliers, therefore turning into higher goods’ costs, affecting in this way the profitability.</w:t>
      </w:r>
      <w:r w:rsidR="00837F54" w:rsidRPr="00837F54">
        <w:t xml:space="preserve"> </w:t>
      </w:r>
      <w:r w:rsidR="00837F54">
        <w:t>T</w:t>
      </w:r>
      <w:r w:rsidR="00837F54" w:rsidRPr="00837F54">
        <w:t>here is no single correct liquidity formula</w:t>
      </w:r>
      <w:r w:rsidR="00837F54">
        <w:t xml:space="preserve">, as the size, nature, location and many others variable </w:t>
      </w:r>
      <w:r w:rsidR="00545BEB">
        <w:t xml:space="preserve">create different scenarios. </w:t>
      </w:r>
      <w:r w:rsidR="00316BA1">
        <w:t>S</w:t>
      </w:r>
      <w:r w:rsidR="00316BA1" w:rsidRPr="00316BA1">
        <w:t xml:space="preserve">uppliers are not the only </w:t>
      </w:r>
      <w:r w:rsidR="00FB5736">
        <w:t>actors</w:t>
      </w:r>
      <w:r w:rsidR="00316BA1" w:rsidRPr="00316BA1">
        <w:t xml:space="preserve"> interested in the liquidity of the business, but, as mentioned above, each stakeholder</w:t>
      </w:r>
      <w:r w:rsidR="00D16EED">
        <w:t xml:space="preserve"> is</w:t>
      </w:r>
      <w:r w:rsidR="00316BA1">
        <w:t>, as shareholders or employees</w:t>
      </w:r>
      <w:r w:rsidR="00D276D3">
        <w:t xml:space="preserve"> </w:t>
      </w:r>
      <w:r w:rsidR="00D276D3" w:rsidRPr="00D276D3">
        <w:t>(Reddy and Narayan, 2018)</w:t>
      </w:r>
      <w:r w:rsidR="00D276D3">
        <w:t>.</w:t>
      </w:r>
    </w:p>
    <w:p w14:paraId="5D81A749" w14:textId="636D6AA2" w:rsidR="00D276D3" w:rsidRDefault="009C366E" w:rsidP="00D16EED">
      <w:pPr>
        <w:spacing w:line="360" w:lineRule="auto"/>
        <w:jc w:val="both"/>
      </w:pPr>
      <w:r w:rsidRPr="002D4822">
        <w:lastRenderedPageBreak/>
        <w:t xml:space="preserve">The </w:t>
      </w:r>
      <w:r w:rsidR="00753A69" w:rsidRPr="002D4822">
        <w:rPr>
          <w:b/>
          <w:bCs/>
        </w:rPr>
        <w:t>leverage</w:t>
      </w:r>
      <w:r w:rsidR="00753A69" w:rsidRPr="002D4822">
        <w:t xml:space="preserve"> or capital structure</w:t>
      </w:r>
      <w:r w:rsidR="00E305CF" w:rsidRPr="002D4822">
        <w:t xml:space="preserve"> is</w:t>
      </w:r>
      <w:r w:rsidR="00E305CF" w:rsidRPr="00E305CF">
        <w:t xml:space="preserve"> a term used to define</w:t>
      </w:r>
      <w:r w:rsidR="00E305CF">
        <w:t xml:space="preserve"> the degree of an enterprise’s long-term financing, which is composed of long-term debentures, shareholders’ funds and preference share capital.</w:t>
      </w:r>
      <w:r w:rsidR="00FD14FB">
        <w:t xml:space="preserve"> The </w:t>
      </w:r>
      <w:r w:rsidR="00923529">
        <w:t>optimum</w:t>
      </w:r>
      <w:r w:rsidR="00FD14FB">
        <w:t xml:space="preserve"> balance between equity and debt capital is crucial in every business, as it reflects the company’s efficiency </w:t>
      </w:r>
      <w:r w:rsidR="00923529">
        <w:t>and risk’s levels. For some analysts</w:t>
      </w:r>
      <w:r w:rsidR="00644ABD">
        <w:t>,</w:t>
      </w:r>
      <w:r w:rsidR="00923529">
        <w:t xml:space="preserve"> a</w:t>
      </w:r>
      <w:r w:rsidR="00923529" w:rsidRPr="00923529">
        <w:t>n excess of debt over equity certainly carries higher risks</w:t>
      </w:r>
      <w:r w:rsidR="00923529">
        <w:t xml:space="preserve">, </w:t>
      </w:r>
      <w:r w:rsidR="00923529" w:rsidRPr="00923529">
        <w:t xml:space="preserve">while others argue that </w:t>
      </w:r>
      <w:r w:rsidR="00BC5644" w:rsidRPr="00923529">
        <w:t xml:space="preserve">the capital structure </w:t>
      </w:r>
      <w:r w:rsidR="00BC5644">
        <w:t xml:space="preserve">does not influence </w:t>
      </w:r>
      <w:r w:rsidR="00923529" w:rsidRPr="00923529">
        <w:t>the level of risk</w:t>
      </w:r>
      <w:r w:rsidR="00923529">
        <w:t>. I</w:t>
      </w:r>
      <w:r w:rsidR="00923529" w:rsidRPr="00923529">
        <w:t xml:space="preserve">t is </w:t>
      </w:r>
      <w:r w:rsidR="00BC5644">
        <w:t>undoubtedly</w:t>
      </w:r>
      <w:r w:rsidR="00923529" w:rsidRPr="00923529">
        <w:t xml:space="preserve"> a debated topic</w:t>
      </w:r>
      <w:r w:rsidR="00B657C4">
        <w:t xml:space="preserve">, </w:t>
      </w:r>
      <w:r w:rsidR="00B657C4" w:rsidRPr="00B657C4">
        <w:t>at the heart of the financial manager's decisions</w:t>
      </w:r>
      <w:r w:rsidR="002E57D0">
        <w:t xml:space="preserve"> which needs to be selective in </w:t>
      </w:r>
      <w:r w:rsidR="00D01E13" w:rsidRPr="00D01E13">
        <w:t>establishing</w:t>
      </w:r>
      <w:r w:rsidR="00D01E13">
        <w:t xml:space="preserve"> the optimum proportion of capital necessary to achieve the objectives of the firm</w:t>
      </w:r>
      <w:r w:rsidR="008E145C">
        <w:t xml:space="preserve"> </w:t>
      </w:r>
      <w:r w:rsidR="008E145C" w:rsidRPr="00D276D3">
        <w:t>(Reddy and Narayan, 2018)</w:t>
      </w:r>
      <w:r w:rsidR="008E145C">
        <w:t>.</w:t>
      </w:r>
    </w:p>
    <w:p w14:paraId="32A39B4B" w14:textId="2C7EA550" w:rsidR="00D52696" w:rsidRDefault="008E145C" w:rsidP="00D16EED">
      <w:pPr>
        <w:spacing w:line="360" w:lineRule="auto"/>
        <w:jc w:val="both"/>
      </w:pPr>
      <w:r>
        <w:t>T</w:t>
      </w:r>
      <w:r w:rsidRPr="008E145C">
        <w:t>he impact of these two variables on corporate profitability is still a hotly debated topic</w:t>
      </w:r>
      <w:r w:rsidR="00960FD2">
        <w:t xml:space="preserve"> and one of the managers’ major concerns. </w:t>
      </w:r>
      <w:r w:rsidR="0033702C">
        <w:t>T</w:t>
      </w:r>
      <w:r w:rsidR="0033702C" w:rsidRPr="0033702C">
        <w:t>he purpose of this research is to analy</w:t>
      </w:r>
      <w:r w:rsidR="001179A9">
        <w:t>s</w:t>
      </w:r>
      <w:r w:rsidR="0033702C" w:rsidRPr="0033702C">
        <w:t>e what impact and to what extent these two variables have on the financial performance of companies, taking into consideration a sample</w:t>
      </w:r>
      <w:r w:rsidR="001179A9">
        <w:t xml:space="preserve"> of </w:t>
      </w:r>
      <w:r w:rsidR="00AA667F">
        <w:t>five</w:t>
      </w:r>
      <w:r w:rsidR="001179A9" w:rsidRPr="00860B3C">
        <w:t xml:space="preserve"> </w:t>
      </w:r>
      <w:r w:rsidR="00860B3C" w:rsidRPr="00860B3C">
        <w:t xml:space="preserve">multinational non-financial </w:t>
      </w:r>
      <w:r w:rsidR="00860B3C">
        <w:t>institutions</w:t>
      </w:r>
      <w:r w:rsidR="00860B3C" w:rsidRPr="00860B3C">
        <w:t>.</w:t>
      </w:r>
    </w:p>
    <w:p w14:paraId="1198C655" w14:textId="77777777" w:rsidR="0040072B" w:rsidRDefault="0040072B" w:rsidP="00FB5736">
      <w:pPr>
        <w:jc w:val="both"/>
        <w:rPr>
          <w:b/>
          <w:bCs/>
          <w:highlight w:val="yellow"/>
        </w:rPr>
      </w:pPr>
    </w:p>
    <w:p w14:paraId="7C5791F9" w14:textId="3AE43214" w:rsidR="00D52696" w:rsidRPr="000073B3" w:rsidRDefault="00D52696" w:rsidP="000073B3">
      <w:pPr>
        <w:pStyle w:val="Heading2"/>
        <w:rPr>
          <w:rFonts w:ascii="Arial" w:hAnsi="Arial" w:cs="Arial"/>
          <w:b/>
          <w:bCs/>
          <w:color w:val="auto"/>
        </w:rPr>
      </w:pPr>
      <w:bookmarkStart w:id="10" w:name="_Toc43473588"/>
      <w:r w:rsidRPr="000073B3">
        <w:rPr>
          <w:rFonts w:ascii="Arial" w:hAnsi="Arial" w:cs="Arial"/>
          <w:b/>
          <w:bCs/>
          <w:color w:val="auto"/>
        </w:rPr>
        <w:t>Objective</w:t>
      </w:r>
      <w:bookmarkEnd w:id="10"/>
      <w:r w:rsidRPr="000073B3">
        <w:rPr>
          <w:rFonts w:ascii="Arial" w:hAnsi="Arial" w:cs="Arial"/>
          <w:b/>
          <w:bCs/>
          <w:color w:val="auto"/>
        </w:rPr>
        <w:t xml:space="preserve">  </w:t>
      </w:r>
    </w:p>
    <w:p w14:paraId="706381B5" w14:textId="77777777" w:rsidR="000073B3" w:rsidRDefault="000073B3" w:rsidP="005834C5">
      <w:pPr>
        <w:spacing w:line="360" w:lineRule="auto"/>
        <w:jc w:val="both"/>
      </w:pPr>
    </w:p>
    <w:p w14:paraId="468808F9" w14:textId="68AE99EC" w:rsidR="00D52696" w:rsidRPr="006D734E" w:rsidRDefault="00D52696" w:rsidP="005834C5">
      <w:pPr>
        <w:spacing w:line="360" w:lineRule="auto"/>
        <w:jc w:val="both"/>
      </w:pPr>
      <w:r w:rsidRPr="006D734E">
        <w:t>Th</w:t>
      </w:r>
      <w:r w:rsidR="005834C5">
        <w:t>is research aims</w:t>
      </w:r>
      <w:r w:rsidRPr="006D734E">
        <w:t xml:space="preserve"> to investigate the impact of the </w:t>
      </w:r>
      <w:r w:rsidRPr="00264266">
        <w:rPr>
          <w:i/>
          <w:iCs/>
        </w:rPr>
        <w:t>liquidity</w:t>
      </w:r>
      <w:r w:rsidRPr="006D734E">
        <w:t xml:space="preserve"> and</w:t>
      </w:r>
      <w:r w:rsidR="005834C5">
        <w:t xml:space="preserve"> the</w:t>
      </w:r>
      <w:r w:rsidRPr="006D734E">
        <w:t xml:space="preserve"> </w:t>
      </w:r>
      <w:r w:rsidR="005834C5">
        <w:rPr>
          <w:i/>
          <w:iCs/>
        </w:rPr>
        <w:t>leverage</w:t>
      </w:r>
      <w:r w:rsidRPr="006D734E">
        <w:t xml:space="preserve"> on the financial performance</w:t>
      </w:r>
      <w:r w:rsidR="00FC0E2E">
        <w:t>s</w:t>
      </w:r>
      <w:r w:rsidRPr="006D734E">
        <w:t xml:space="preserve"> o</w:t>
      </w:r>
      <w:r w:rsidRPr="00860B3C">
        <w:t xml:space="preserve">f </w:t>
      </w:r>
      <w:r w:rsidR="00284C8F">
        <w:t>five</w:t>
      </w:r>
      <w:r w:rsidRPr="00860B3C">
        <w:t xml:space="preserve"> </w:t>
      </w:r>
      <w:r w:rsidR="005144A5" w:rsidRPr="00860B3C">
        <w:t>multinational airline</w:t>
      </w:r>
      <w:r w:rsidRPr="00860B3C">
        <w:t xml:space="preserve"> companies.</w:t>
      </w:r>
      <w:r w:rsidRPr="006D734E">
        <w:t xml:space="preserve"> </w:t>
      </w:r>
      <w:r w:rsidR="00FC0E2E" w:rsidRPr="00FC0E2E">
        <w:t>Firstly, an analysis of the two variables aids in the study’s objective by implementing a general understanding of their components and thus secondly, creating a general understanding of their dynamic relationship within the profitability of five selected European airlines, which are  considered amongst the largest in their aviation sector.</w:t>
      </w:r>
    </w:p>
    <w:p w14:paraId="6BCD1AB0" w14:textId="61277803" w:rsidR="00D52696" w:rsidRPr="006D734E" w:rsidRDefault="00D52696" w:rsidP="00FC0E2E">
      <w:pPr>
        <w:spacing w:line="360" w:lineRule="auto"/>
        <w:jc w:val="both"/>
      </w:pPr>
      <w:r w:rsidRPr="006D734E">
        <w:br/>
        <w:t>The main objectives will</w:t>
      </w:r>
      <w:r w:rsidR="00644ABD">
        <w:t>,</w:t>
      </w:r>
      <w:r w:rsidRPr="006D734E">
        <w:t xml:space="preserve"> therefore</w:t>
      </w:r>
      <w:r w:rsidR="00644ABD">
        <w:t>,</w:t>
      </w:r>
      <w:r w:rsidRPr="006D734E">
        <w:t xml:space="preserve"> be the following:</w:t>
      </w:r>
    </w:p>
    <w:p w14:paraId="6B5971DC" w14:textId="77777777" w:rsidR="00FC0E2E" w:rsidRDefault="00FC0E2E" w:rsidP="00FC0E2E">
      <w:pPr>
        <w:pStyle w:val="ListParagraph"/>
        <w:numPr>
          <w:ilvl w:val="0"/>
          <w:numId w:val="2"/>
        </w:numPr>
        <w:spacing w:line="360" w:lineRule="auto"/>
      </w:pPr>
      <w:r>
        <w:t>To understand the key indicators of the companies’ financial performances.</w:t>
      </w:r>
    </w:p>
    <w:p w14:paraId="41DC5A73" w14:textId="5FAB048C" w:rsidR="00D52696" w:rsidRPr="00860B3C" w:rsidRDefault="00D52696" w:rsidP="00FC0E2E">
      <w:pPr>
        <w:pStyle w:val="ListParagraph"/>
        <w:numPr>
          <w:ilvl w:val="0"/>
          <w:numId w:val="2"/>
        </w:numPr>
        <w:spacing w:line="360" w:lineRule="auto"/>
        <w:jc w:val="both"/>
      </w:pPr>
      <w:r w:rsidRPr="00860B3C">
        <w:t xml:space="preserve">To analyse the </w:t>
      </w:r>
      <w:r w:rsidR="0091594C" w:rsidRPr="00860B3C">
        <w:t>relationship</w:t>
      </w:r>
      <w:r w:rsidRPr="00860B3C">
        <w:t xml:space="preserve"> between</w:t>
      </w:r>
      <w:r w:rsidR="00961030" w:rsidRPr="00860B3C">
        <w:t xml:space="preserve"> the</w:t>
      </w:r>
      <w:r w:rsidR="0091594C" w:rsidRPr="00860B3C">
        <w:t xml:space="preserve"> </w:t>
      </w:r>
      <w:r w:rsidRPr="00860B3C">
        <w:t>liquidity and profitability</w:t>
      </w:r>
      <w:r w:rsidR="00961030" w:rsidRPr="00860B3C">
        <w:t xml:space="preserve"> of</w:t>
      </w:r>
      <w:r w:rsidR="006A7B47" w:rsidRPr="00860B3C">
        <w:t xml:space="preserve"> </w:t>
      </w:r>
      <w:r w:rsidR="00AA667F">
        <w:t>five</w:t>
      </w:r>
      <w:r w:rsidR="00961030" w:rsidRPr="00860B3C">
        <w:t xml:space="preserve"> selected </w:t>
      </w:r>
      <w:r w:rsidR="00860B3C" w:rsidRPr="00860B3C">
        <w:t xml:space="preserve">airlines </w:t>
      </w:r>
      <w:r w:rsidR="00961030" w:rsidRPr="00860B3C">
        <w:t>companies</w:t>
      </w:r>
      <w:r w:rsidR="00644ABD">
        <w:t>.</w:t>
      </w:r>
    </w:p>
    <w:p w14:paraId="3D86CD89" w14:textId="3EDA66E5" w:rsidR="00D52696" w:rsidRDefault="00D52696" w:rsidP="005834C5">
      <w:pPr>
        <w:pStyle w:val="ListParagraph"/>
        <w:numPr>
          <w:ilvl w:val="0"/>
          <w:numId w:val="2"/>
        </w:numPr>
        <w:spacing w:line="360" w:lineRule="auto"/>
        <w:jc w:val="both"/>
      </w:pPr>
      <w:r w:rsidRPr="00860B3C">
        <w:t xml:space="preserve">To analyse the </w:t>
      </w:r>
      <w:r w:rsidR="0091594C" w:rsidRPr="00860B3C">
        <w:t>relationship</w:t>
      </w:r>
      <w:r w:rsidRPr="00860B3C">
        <w:t xml:space="preserve"> between the</w:t>
      </w:r>
      <w:r w:rsidR="0091594C" w:rsidRPr="00860B3C">
        <w:t xml:space="preserve"> </w:t>
      </w:r>
      <w:r w:rsidRPr="00860B3C">
        <w:t>leverage and profitability</w:t>
      </w:r>
      <w:r w:rsidR="00961030" w:rsidRPr="00860B3C">
        <w:t xml:space="preserve"> of</w:t>
      </w:r>
      <w:r w:rsidR="006A7B47" w:rsidRPr="00860B3C">
        <w:t xml:space="preserve"> </w:t>
      </w:r>
      <w:r w:rsidR="00AA667F">
        <w:t>five</w:t>
      </w:r>
      <w:r w:rsidR="00961030">
        <w:t xml:space="preserve"> selected</w:t>
      </w:r>
      <w:r w:rsidR="00860B3C">
        <w:t xml:space="preserve"> airlines</w:t>
      </w:r>
      <w:r w:rsidR="00961030">
        <w:t xml:space="preserve"> companies</w:t>
      </w:r>
      <w:r w:rsidR="00644ABD">
        <w:t>.</w:t>
      </w:r>
    </w:p>
    <w:p w14:paraId="074C1AE9" w14:textId="77777777" w:rsidR="0040072B" w:rsidRDefault="0040072B" w:rsidP="005834C5">
      <w:pPr>
        <w:spacing w:line="360" w:lineRule="auto"/>
        <w:jc w:val="both"/>
      </w:pPr>
    </w:p>
    <w:p w14:paraId="788C606F" w14:textId="3A1B0F58" w:rsidR="00B05DAB" w:rsidRPr="000073B3" w:rsidRDefault="00B05DAB" w:rsidP="005834C5">
      <w:pPr>
        <w:pStyle w:val="Heading2"/>
        <w:spacing w:line="360" w:lineRule="auto"/>
        <w:rPr>
          <w:rFonts w:ascii="Arial" w:hAnsi="Arial" w:cs="Arial"/>
          <w:b/>
          <w:bCs/>
          <w:color w:val="auto"/>
        </w:rPr>
      </w:pPr>
      <w:bookmarkStart w:id="11" w:name="_Toc43473589"/>
      <w:r w:rsidRPr="000073B3">
        <w:rPr>
          <w:rFonts w:ascii="Arial" w:hAnsi="Arial" w:cs="Arial"/>
          <w:b/>
          <w:bCs/>
          <w:color w:val="auto"/>
        </w:rPr>
        <w:t>Scope of the research</w:t>
      </w:r>
      <w:bookmarkEnd w:id="11"/>
    </w:p>
    <w:p w14:paraId="3C5C80F4" w14:textId="28898FA7" w:rsidR="00B05DAB" w:rsidRPr="002D4822" w:rsidRDefault="00B05DAB" w:rsidP="005834C5">
      <w:pPr>
        <w:spacing w:line="360" w:lineRule="auto"/>
        <w:jc w:val="both"/>
      </w:pPr>
      <w:r w:rsidRPr="00AA667F">
        <w:br/>
      </w:r>
      <w:r w:rsidR="00FC0E2E" w:rsidRPr="00FC0E2E">
        <w:t>This research will concentrate on how the levels of liquidity and leverage impact the financial performances of European airline companies.</w:t>
      </w:r>
    </w:p>
    <w:p w14:paraId="2A7BE78C" w14:textId="3C29E543" w:rsidR="00FC0E2E" w:rsidRDefault="00FC0E2E" w:rsidP="00FC0E2E">
      <w:pPr>
        <w:spacing w:line="360" w:lineRule="auto"/>
        <w:jc w:val="both"/>
      </w:pPr>
      <w:r w:rsidRPr="00AA667F">
        <w:lastRenderedPageBreak/>
        <w:t xml:space="preserve">The study focuses on a single type of industry, the airline sector. The companies that will be studied are five airlines operating worldwide, which are located throughout Europe and are considered </w:t>
      </w:r>
      <w:r>
        <w:t>among</w:t>
      </w:r>
      <w:r>
        <w:t>st</w:t>
      </w:r>
      <w:r>
        <w:t xml:space="preserve"> </w:t>
      </w:r>
      <w:r w:rsidRPr="00AA667F">
        <w:t xml:space="preserve">the largest European </w:t>
      </w:r>
      <w:r w:rsidRPr="00AA667F">
        <w:t>airline</w:t>
      </w:r>
      <w:r w:rsidRPr="00AA667F">
        <w:t xml:space="preserve"> companie</w:t>
      </w:r>
      <w:r>
        <w:t>s</w:t>
      </w:r>
      <w:r w:rsidRPr="00AA667F">
        <w:t>.</w:t>
      </w:r>
    </w:p>
    <w:p w14:paraId="39942222" w14:textId="67F7DA3B" w:rsidR="00FC0E2E" w:rsidRPr="00FC0E2E" w:rsidRDefault="00FC0E2E" w:rsidP="00FC0E2E">
      <w:pPr>
        <w:spacing w:line="360" w:lineRule="auto"/>
        <w:jc w:val="both"/>
      </w:pPr>
      <w:r w:rsidRPr="00FC0E2E">
        <w:t>To start, the analysis will focus on the position of the Liquidity and Capital Structure, explaining the two variables’ role within the companies and their contribution to the firms’ financial performance.</w:t>
      </w:r>
    </w:p>
    <w:p w14:paraId="294315C1" w14:textId="77777777" w:rsidR="00FC0E2E" w:rsidRPr="00FC0E2E" w:rsidRDefault="00FC0E2E" w:rsidP="00FC0E2E">
      <w:pPr>
        <w:spacing w:line="360" w:lineRule="auto"/>
        <w:jc w:val="both"/>
      </w:pPr>
      <w:r w:rsidRPr="00FC0E2E">
        <w:t>Therefore, the two mentioned variables will be examined, by the use of financial ratios. And in turn, a financial analysis will be carried out, through the utilisation of the correlation and multiple regression analysis.</w:t>
      </w:r>
    </w:p>
    <w:p w14:paraId="4A7C2D27" w14:textId="5906AC23" w:rsidR="00B05DAB" w:rsidRDefault="00FC0E2E" w:rsidP="005834C5">
      <w:pPr>
        <w:spacing w:line="360" w:lineRule="auto"/>
        <w:jc w:val="both"/>
      </w:pPr>
      <w:r w:rsidRPr="00FC0E2E">
        <w:t>To summarise, this study aims to understand if different levels and fluctuations of liquidity and leverage alters the airlines’ performances, solely through a quantitative analysis.</w:t>
      </w:r>
    </w:p>
    <w:p w14:paraId="1E041D37" w14:textId="77777777" w:rsidR="00F2582D" w:rsidRPr="006D734E" w:rsidRDefault="00F2582D" w:rsidP="005834C5">
      <w:pPr>
        <w:spacing w:line="360" w:lineRule="auto"/>
        <w:jc w:val="both"/>
      </w:pPr>
    </w:p>
    <w:p w14:paraId="18DD0637" w14:textId="05F5BDA8" w:rsidR="00B05DAB" w:rsidRPr="000073B3" w:rsidRDefault="00B05DAB" w:rsidP="005834C5">
      <w:pPr>
        <w:pStyle w:val="Heading2"/>
        <w:spacing w:line="360" w:lineRule="auto"/>
        <w:rPr>
          <w:rFonts w:ascii="Arial" w:hAnsi="Arial" w:cs="Arial"/>
          <w:b/>
          <w:bCs/>
          <w:color w:val="auto"/>
        </w:rPr>
      </w:pPr>
      <w:bookmarkStart w:id="12" w:name="_Toc43473590"/>
      <w:r w:rsidRPr="000073B3">
        <w:rPr>
          <w:rFonts w:ascii="Arial" w:hAnsi="Arial" w:cs="Arial"/>
          <w:b/>
          <w:bCs/>
          <w:color w:val="auto"/>
        </w:rPr>
        <w:t>Major Problems faced in the research</w:t>
      </w:r>
      <w:bookmarkEnd w:id="12"/>
      <w:r w:rsidRPr="000073B3">
        <w:rPr>
          <w:rFonts w:ascii="Arial" w:hAnsi="Arial" w:cs="Arial"/>
          <w:b/>
          <w:bCs/>
          <w:color w:val="auto"/>
        </w:rPr>
        <w:t xml:space="preserve"> </w:t>
      </w:r>
    </w:p>
    <w:p w14:paraId="724425AC" w14:textId="0C7778F9" w:rsidR="00B05DAB" w:rsidRPr="00F705B9" w:rsidRDefault="00B05DAB" w:rsidP="005834C5">
      <w:pPr>
        <w:spacing w:line="360" w:lineRule="auto"/>
        <w:jc w:val="both"/>
      </w:pPr>
      <w:r w:rsidRPr="00F705B9">
        <w:br/>
        <w:t xml:space="preserve">This study wants to answer some </w:t>
      </w:r>
      <w:r w:rsidR="006E3F08">
        <w:t>questions</w:t>
      </w:r>
      <w:r w:rsidRPr="00F705B9">
        <w:t xml:space="preserve"> that concern</w:t>
      </w:r>
      <w:r w:rsidR="00644ABD">
        <w:t>:</w:t>
      </w:r>
    </w:p>
    <w:p w14:paraId="706CB75F" w14:textId="77777777" w:rsidR="00FC0E2E" w:rsidRDefault="00FC0E2E" w:rsidP="00FC0E2E">
      <w:pPr>
        <w:pStyle w:val="ListParagraph"/>
        <w:numPr>
          <w:ilvl w:val="0"/>
          <w:numId w:val="23"/>
        </w:numPr>
        <w:spacing w:line="360" w:lineRule="auto"/>
      </w:pPr>
      <w:r w:rsidRPr="00FC0E2E">
        <w:rPr>
          <w:b/>
          <w:bCs/>
        </w:rPr>
        <w:t xml:space="preserve">If </w:t>
      </w:r>
      <w:r>
        <w:t>different Liquidity and Capital Structure levels impact the airlines’ performance</w:t>
      </w:r>
    </w:p>
    <w:p w14:paraId="5AA9F5BC" w14:textId="43ED0B0E" w:rsidR="00B05DAB" w:rsidRDefault="00B05DAB" w:rsidP="00FC0E2E">
      <w:pPr>
        <w:pStyle w:val="ListParagraph"/>
        <w:numPr>
          <w:ilvl w:val="0"/>
          <w:numId w:val="23"/>
        </w:numPr>
        <w:spacing w:line="360" w:lineRule="auto"/>
        <w:jc w:val="both"/>
      </w:pPr>
      <w:r w:rsidRPr="00F705B9">
        <w:rPr>
          <w:b/>
          <w:bCs/>
        </w:rPr>
        <w:t xml:space="preserve">How </w:t>
      </w:r>
      <w:r>
        <w:t>they</w:t>
      </w:r>
      <w:r w:rsidRPr="00F705B9">
        <w:t xml:space="preserve"> </w:t>
      </w:r>
      <w:r w:rsidR="00FC0E2E">
        <w:t>manipulate</w:t>
      </w:r>
      <w:r w:rsidRPr="00F705B9">
        <w:t xml:space="preserve"> the financial performance</w:t>
      </w:r>
      <w:r>
        <w:t>s</w:t>
      </w:r>
    </w:p>
    <w:p w14:paraId="45452196" w14:textId="77777777" w:rsidR="00B05DAB" w:rsidRPr="00F705B9" w:rsidRDefault="00B05DAB" w:rsidP="00FC0E2E">
      <w:pPr>
        <w:pStyle w:val="ListParagraph"/>
        <w:numPr>
          <w:ilvl w:val="0"/>
          <w:numId w:val="23"/>
        </w:numPr>
        <w:spacing w:line="360" w:lineRule="auto"/>
        <w:jc w:val="both"/>
      </w:pPr>
      <w:r>
        <w:rPr>
          <w:b/>
          <w:bCs/>
        </w:rPr>
        <w:t xml:space="preserve">If </w:t>
      </w:r>
      <w:r>
        <w:t>their impact is significant or not</w:t>
      </w:r>
    </w:p>
    <w:p w14:paraId="08264DBD" w14:textId="77777777" w:rsidR="00B05DAB" w:rsidRPr="006D734E" w:rsidRDefault="00B05DAB" w:rsidP="005834C5">
      <w:pPr>
        <w:spacing w:line="360" w:lineRule="auto"/>
        <w:jc w:val="both"/>
      </w:pPr>
    </w:p>
    <w:p w14:paraId="408101C2" w14:textId="048EB7EA" w:rsidR="00B05DAB" w:rsidRPr="000073B3" w:rsidRDefault="00B05DAB" w:rsidP="005834C5">
      <w:pPr>
        <w:pStyle w:val="Heading2"/>
        <w:spacing w:line="360" w:lineRule="auto"/>
        <w:rPr>
          <w:rFonts w:ascii="Arial" w:hAnsi="Arial" w:cs="Arial"/>
          <w:b/>
          <w:bCs/>
          <w:color w:val="auto"/>
        </w:rPr>
      </w:pPr>
      <w:bookmarkStart w:id="13" w:name="_Toc43473591"/>
      <w:r w:rsidRPr="000073B3">
        <w:rPr>
          <w:rFonts w:ascii="Arial" w:hAnsi="Arial" w:cs="Arial"/>
          <w:b/>
          <w:bCs/>
          <w:color w:val="auto"/>
        </w:rPr>
        <w:t>Data finding and analysis</w:t>
      </w:r>
      <w:bookmarkEnd w:id="13"/>
    </w:p>
    <w:p w14:paraId="2F2A53B3" w14:textId="09177694" w:rsidR="00FC0E2E" w:rsidRPr="00FC0E2E" w:rsidRDefault="00B05DAB" w:rsidP="00FC0E2E">
      <w:pPr>
        <w:spacing w:line="360" w:lineRule="auto"/>
        <w:jc w:val="both"/>
      </w:pPr>
      <w:r w:rsidRPr="006D734E">
        <w:br/>
      </w:r>
      <w:r w:rsidR="00FC0E2E" w:rsidRPr="00FC0E2E">
        <w:t>The data for research purposes will be acquired by the airlines’ Annual Reports and</w:t>
      </w:r>
      <w:r w:rsidR="00FC0E2E">
        <w:t xml:space="preserve"> by</w:t>
      </w:r>
      <w:r w:rsidR="00FC0E2E" w:rsidRPr="00FC0E2E">
        <w:t xml:space="preserve"> information that are accessible to the general public, both regarding Liquidity and Capital Structure data.</w:t>
      </w:r>
    </w:p>
    <w:p w14:paraId="05D9D90A" w14:textId="77777777" w:rsidR="00FC0E2E" w:rsidRPr="00FC0E2E" w:rsidRDefault="00FC0E2E" w:rsidP="00FC0E2E">
      <w:pPr>
        <w:spacing w:line="360" w:lineRule="auto"/>
        <w:jc w:val="both"/>
      </w:pPr>
      <w:r w:rsidRPr="00FC0E2E">
        <w:t>The analysed companies operate worldwide, and they are amongst the largest airlines in the world, thus simplifying the accessibility of data intended for research purposes.</w:t>
      </w:r>
    </w:p>
    <w:p w14:paraId="11681466" w14:textId="642CC216" w:rsidR="00FC0E2E" w:rsidRPr="00FC0E2E" w:rsidRDefault="00FC0E2E" w:rsidP="00FC0E2E">
      <w:pPr>
        <w:spacing w:line="360" w:lineRule="auto"/>
        <w:jc w:val="both"/>
      </w:pPr>
      <w:r w:rsidRPr="00FC0E2E">
        <w:t>Besides being a comparative analysis between the five companies, the research will also focus on historical data, taking into account several years</w:t>
      </w:r>
      <w:r>
        <w:t>,</w:t>
      </w:r>
      <w:r w:rsidRPr="00FC0E2E">
        <w:t xml:space="preserve"> which will provide a more solid outcome.</w:t>
      </w:r>
    </w:p>
    <w:p w14:paraId="48DEBD89" w14:textId="60E356A2" w:rsidR="00B05DAB" w:rsidRDefault="00B05DAB" w:rsidP="00FC0E2E">
      <w:pPr>
        <w:spacing w:line="360" w:lineRule="auto"/>
        <w:jc w:val="both"/>
      </w:pPr>
    </w:p>
    <w:p w14:paraId="7C098AA6" w14:textId="77777777" w:rsidR="001260DF" w:rsidRPr="008569C0" w:rsidRDefault="001260DF">
      <w:pPr>
        <w:rPr>
          <w:b/>
          <w:bCs/>
        </w:rPr>
      </w:pPr>
    </w:p>
    <w:p w14:paraId="55036800" w14:textId="009A92A4" w:rsidR="000B51C4" w:rsidRPr="000073B3" w:rsidRDefault="000B51C4" w:rsidP="000073B3">
      <w:pPr>
        <w:pStyle w:val="Heading1"/>
        <w:spacing w:line="360" w:lineRule="auto"/>
        <w:rPr>
          <w:rFonts w:ascii="Arial" w:hAnsi="Arial" w:cs="Arial"/>
          <w:b/>
          <w:bCs/>
          <w:color w:val="auto"/>
        </w:rPr>
      </w:pPr>
      <w:bookmarkStart w:id="14" w:name="_Toc43473592"/>
      <w:r w:rsidRPr="000073B3">
        <w:rPr>
          <w:rFonts w:ascii="Arial" w:hAnsi="Arial" w:cs="Arial"/>
          <w:b/>
          <w:bCs/>
          <w:color w:val="auto"/>
        </w:rPr>
        <w:lastRenderedPageBreak/>
        <w:t>Literature review</w:t>
      </w:r>
      <w:bookmarkEnd w:id="14"/>
    </w:p>
    <w:p w14:paraId="44F85C11" w14:textId="17358AAD" w:rsidR="00264266" w:rsidRPr="003D6596" w:rsidRDefault="00264266" w:rsidP="00A27447">
      <w:pPr>
        <w:pBdr>
          <w:top w:val="single" w:sz="4" w:space="1" w:color="auto"/>
          <w:bottom w:val="single" w:sz="4" w:space="1" w:color="auto"/>
        </w:pBdr>
        <w:spacing w:line="360" w:lineRule="auto"/>
        <w:jc w:val="both"/>
        <w:rPr>
          <w:i/>
          <w:iCs/>
        </w:rPr>
      </w:pPr>
      <w:r w:rsidRPr="003D6596">
        <w:rPr>
          <w:i/>
          <w:iCs/>
        </w:rPr>
        <w:t xml:space="preserve">This chapter aims to presents the theoretical background of the study, i.e. the point of departure of the research. It will explain the </w:t>
      </w:r>
      <w:r w:rsidR="003D6596" w:rsidRPr="003D6596">
        <w:rPr>
          <w:i/>
          <w:iCs/>
        </w:rPr>
        <w:t xml:space="preserve">scientific approaches and </w:t>
      </w:r>
      <w:r w:rsidRPr="003D6596">
        <w:rPr>
          <w:i/>
          <w:iCs/>
        </w:rPr>
        <w:t xml:space="preserve">theoretical considerations </w:t>
      </w:r>
      <w:r w:rsidR="003D6596" w:rsidRPr="003D6596">
        <w:rPr>
          <w:i/>
          <w:iCs/>
        </w:rPr>
        <w:t>that contributed to the formulation of the thesis</w:t>
      </w:r>
      <w:r w:rsidR="005B39D9">
        <w:rPr>
          <w:i/>
          <w:iCs/>
        </w:rPr>
        <w:t>, introducing empirical studies carried out on the topic.</w:t>
      </w:r>
    </w:p>
    <w:p w14:paraId="5AAE2ADB" w14:textId="77777777" w:rsidR="000073B3" w:rsidRDefault="000073B3" w:rsidP="001D4E01">
      <w:pPr>
        <w:rPr>
          <w:b/>
          <w:bCs/>
          <w:sz w:val="28"/>
          <w:szCs w:val="28"/>
        </w:rPr>
      </w:pPr>
    </w:p>
    <w:p w14:paraId="1C2E55D7" w14:textId="26FBAA95" w:rsidR="00E8734B" w:rsidRDefault="008817E9" w:rsidP="000073B3">
      <w:pPr>
        <w:pStyle w:val="Heading2"/>
        <w:numPr>
          <w:ilvl w:val="0"/>
          <w:numId w:val="15"/>
        </w:numPr>
        <w:rPr>
          <w:rFonts w:ascii="Arial" w:hAnsi="Arial" w:cs="Arial"/>
          <w:b/>
          <w:bCs/>
          <w:color w:val="auto"/>
        </w:rPr>
      </w:pPr>
      <w:bookmarkStart w:id="15" w:name="_Toc43473593"/>
      <w:r w:rsidRPr="000073B3">
        <w:rPr>
          <w:rFonts w:ascii="Arial" w:hAnsi="Arial" w:cs="Arial"/>
          <w:b/>
          <w:bCs/>
          <w:color w:val="auto"/>
        </w:rPr>
        <w:t>Liquidity</w:t>
      </w:r>
      <w:bookmarkEnd w:id="15"/>
    </w:p>
    <w:p w14:paraId="2832267F" w14:textId="77777777" w:rsidR="000073B3" w:rsidRPr="000073B3" w:rsidRDefault="000073B3" w:rsidP="000073B3"/>
    <w:p w14:paraId="4AF72833" w14:textId="32EAFA1A" w:rsidR="001D4E01" w:rsidRPr="000073B3" w:rsidRDefault="001D4E01" w:rsidP="000073B3">
      <w:pPr>
        <w:pStyle w:val="Heading3"/>
        <w:spacing w:line="480" w:lineRule="auto"/>
        <w:rPr>
          <w:rFonts w:ascii="Arial" w:hAnsi="Arial" w:cs="Arial"/>
          <w:b/>
          <w:bCs/>
          <w:color w:val="auto"/>
        </w:rPr>
      </w:pPr>
      <w:bookmarkStart w:id="16" w:name="_Toc43473594"/>
      <w:r w:rsidRPr="000073B3">
        <w:rPr>
          <w:rFonts w:ascii="Arial" w:hAnsi="Arial" w:cs="Arial"/>
          <w:b/>
          <w:bCs/>
          <w:color w:val="auto"/>
        </w:rPr>
        <w:t>1.1 Trade</w:t>
      </w:r>
      <w:r w:rsidR="00644ABD" w:rsidRPr="000073B3">
        <w:rPr>
          <w:rFonts w:ascii="Arial" w:hAnsi="Arial" w:cs="Arial"/>
          <w:b/>
          <w:bCs/>
          <w:color w:val="auto"/>
        </w:rPr>
        <w:t>-</w:t>
      </w:r>
      <w:r w:rsidRPr="000073B3">
        <w:rPr>
          <w:rFonts w:ascii="Arial" w:hAnsi="Arial" w:cs="Arial"/>
          <w:b/>
          <w:bCs/>
          <w:color w:val="auto"/>
        </w:rPr>
        <w:t>off Liquidity-Profitability</w:t>
      </w:r>
      <w:bookmarkEnd w:id="16"/>
    </w:p>
    <w:p w14:paraId="6BA61125" w14:textId="451DE317" w:rsidR="006D734E" w:rsidRDefault="006D734E" w:rsidP="00A27447">
      <w:pPr>
        <w:spacing w:line="360" w:lineRule="auto"/>
        <w:jc w:val="both"/>
      </w:pPr>
      <w:r w:rsidRPr="008E17D7">
        <w:t xml:space="preserve">Scholars and analysts have often used liquidity ratios to evaluate </w:t>
      </w:r>
      <w:r w:rsidR="002266ED" w:rsidRPr="008E17D7">
        <w:t>compan</w:t>
      </w:r>
      <w:r w:rsidR="002266ED">
        <w:t>ies’</w:t>
      </w:r>
      <w:r w:rsidRPr="008E17D7">
        <w:t xml:space="preserve"> performance</w:t>
      </w:r>
      <w:r w:rsidR="00527CD5">
        <w:t>s</w:t>
      </w:r>
      <w:r w:rsidRPr="008E17D7">
        <w:t>, despite the limits resulting from these ratios are manifold. The relationship between</w:t>
      </w:r>
      <w:r w:rsidR="002266ED">
        <w:t xml:space="preserve"> </w:t>
      </w:r>
      <w:r w:rsidRPr="008E17D7">
        <w:t xml:space="preserve">company liquidity and </w:t>
      </w:r>
      <w:r w:rsidR="002266ED">
        <w:t>its</w:t>
      </w:r>
      <w:r w:rsidRPr="008E17D7">
        <w:t xml:space="preserve"> financial results has been the subject of debates</w:t>
      </w:r>
      <w:r w:rsidR="002266ED">
        <w:t xml:space="preserve"> and studies</w:t>
      </w:r>
      <w:r w:rsidRPr="008E17D7">
        <w:t>, and these analyses</w:t>
      </w:r>
      <w:r w:rsidR="00B67F20">
        <w:t xml:space="preserve"> have</w:t>
      </w:r>
      <w:r w:rsidRPr="008E17D7">
        <w:t xml:space="preserve"> led to highlighting </w:t>
      </w:r>
      <w:r w:rsidR="00777019">
        <w:t>three</w:t>
      </w:r>
      <w:r w:rsidRPr="008E17D7">
        <w:t xml:space="preserve"> main reasons why companies maintain liquid assets. Miller and Orr </w:t>
      </w:r>
      <w:r w:rsidR="002266ED">
        <w:t xml:space="preserve">in </w:t>
      </w:r>
      <w:r w:rsidRPr="008E17D7">
        <w:t xml:space="preserve">1966 supported the </w:t>
      </w:r>
      <w:r w:rsidRPr="008E17D7">
        <w:rPr>
          <w:b/>
          <w:bCs/>
          <w:i/>
          <w:iCs/>
        </w:rPr>
        <w:t xml:space="preserve">transaction </w:t>
      </w:r>
      <w:r w:rsidR="00777019">
        <w:rPr>
          <w:b/>
          <w:bCs/>
          <w:i/>
          <w:iCs/>
        </w:rPr>
        <w:t>theory</w:t>
      </w:r>
      <w:r w:rsidR="00126704">
        <w:rPr>
          <w:b/>
          <w:bCs/>
          <w:i/>
          <w:iCs/>
        </w:rPr>
        <w:t xml:space="preserve"> </w:t>
      </w:r>
      <w:r w:rsidR="00126704" w:rsidRPr="002D4822">
        <w:t>developed by Keynes</w:t>
      </w:r>
      <w:r w:rsidRPr="002D4822">
        <w:t xml:space="preserve">, </w:t>
      </w:r>
      <w:r w:rsidR="004F5D1B" w:rsidRPr="002D4822">
        <w:t xml:space="preserve">which states the importance of liquidity </w:t>
      </w:r>
      <w:r w:rsidR="00B67F20">
        <w:t>for</w:t>
      </w:r>
      <w:r w:rsidR="004F5D1B" w:rsidRPr="002D4822">
        <w:t xml:space="preserve"> basic daily expenses. A</w:t>
      </w:r>
      <w:r w:rsidRPr="002D4822">
        <w:t xml:space="preserve">uthors like Pinkowitz, Opler, Williamson and Stulz underlined </w:t>
      </w:r>
      <w:r w:rsidR="00126704" w:rsidRPr="002D4822">
        <w:t xml:space="preserve">his second liquidity preference theory, </w:t>
      </w:r>
      <w:r w:rsidRPr="002D4822">
        <w:t xml:space="preserve">the </w:t>
      </w:r>
      <w:r w:rsidRPr="002D4822">
        <w:rPr>
          <w:b/>
          <w:bCs/>
          <w:i/>
          <w:iCs/>
        </w:rPr>
        <w:t xml:space="preserve">precautionary </w:t>
      </w:r>
      <w:r w:rsidR="00777019" w:rsidRPr="002D4822">
        <w:rPr>
          <w:b/>
          <w:bCs/>
          <w:i/>
          <w:iCs/>
        </w:rPr>
        <w:t>theory</w:t>
      </w:r>
      <w:r w:rsidRPr="002D4822">
        <w:t xml:space="preserve">, </w:t>
      </w:r>
      <w:r w:rsidR="004F5D1B" w:rsidRPr="002D4822">
        <w:t>where liquidity is required in the scenario of unexpected problems.</w:t>
      </w:r>
      <w:r w:rsidR="00777019" w:rsidRPr="002D4822">
        <w:t xml:space="preserve"> At last, John Maynard Keynes developed the </w:t>
      </w:r>
      <w:r w:rsidR="00777019" w:rsidRPr="002D4822">
        <w:rPr>
          <w:b/>
          <w:bCs/>
          <w:i/>
          <w:iCs/>
        </w:rPr>
        <w:t>speculative theory</w:t>
      </w:r>
      <w:r w:rsidR="00777019" w:rsidRPr="002D4822">
        <w:t xml:space="preserve">, which states that the request of liquidity detains speculative power. In addition to these three main theories, </w:t>
      </w:r>
      <w:r w:rsidRPr="002D4822">
        <w:t xml:space="preserve">Jensen in 1986 presented the </w:t>
      </w:r>
      <w:r w:rsidRPr="002D4822">
        <w:rPr>
          <w:b/>
          <w:bCs/>
          <w:i/>
          <w:iCs/>
        </w:rPr>
        <w:t>agency motive</w:t>
      </w:r>
      <w:r w:rsidR="00421BE8" w:rsidRPr="002D4822">
        <w:t>, or the possible conflicts between managers and shareholders, where the senior executive may pursuit of private gain through the cash. In conclusion,</w:t>
      </w:r>
      <w:r w:rsidRPr="002D4822">
        <w:t xml:space="preserve"> Twite in 2007, following the studies of Titman, Hartzell and Foley supported the </w:t>
      </w:r>
      <w:r w:rsidRPr="002D4822">
        <w:rPr>
          <w:b/>
          <w:bCs/>
          <w:i/>
          <w:iCs/>
        </w:rPr>
        <w:t>tax motive</w:t>
      </w:r>
      <w:r w:rsidR="00777019" w:rsidRPr="002D4822">
        <w:t>,</w:t>
      </w:r>
      <w:r w:rsidRPr="002D4822">
        <w:t xml:space="preserve"> </w:t>
      </w:r>
      <w:r w:rsidR="008E15FB" w:rsidRPr="002D4822">
        <w:t>which demonstrate</w:t>
      </w:r>
      <w:r w:rsidR="00644ABD" w:rsidRPr="002D4822">
        <w:t>s</w:t>
      </w:r>
      <w:r w:rsidR="008E15FB" w:rsidRPr="002D4822">
        <w:t xml:space="preserve"> that tax can alter the trade-off between yield and liquidity assets </w:t>
      </w:r>
      <w:r w:rsidRPr="002D4822">
        <w:t>(Saleem</w:t>
      </w:r>
      <w:r w:rsidRPr="008E17D7">
        <w:t xml:space="preserve"> and Ur Rehman, 2011).</w:t>
      </w:r>
    </w:p>
    <w:p w14:paraId="5CECB39F" w14:textId="6022E100" w:rsidR="006D734E" w:rsidRDefault="006D734E" w:rsidP="00A27447">
      <w:pPr>
        <w:spacing w:line="360" w:lineRule="auto"/>
        <w:jc w:val="both"/>
      </w:pPr>
      <w:r w:rsidRPr="00E81D9C">
        <w:t xml:space="preserve">Before embarking on the </w:t>
      </w:r>
      <w:r>
        <w:t>study</w:t>
      </w:r>
      <w:r w:rsidRPr="00E81D9C">
        <w:t>, a thorough analysis of the research</w:t>
      </w:r>
      <w:r w:rsidR="003C06CA">
        <w:t>es</w:t>
      </w:r>
      <w:r w:rsidRPr="00E81D9C">
        <w:t xml:space="preserve"> previously carried out on this topic is essential.</w:t>
      </w:r>
      <w:r>
        <w:t xml:space="preserve"> </w:t>
      </w:r>
      <w:r w:rsidRPr="008F57BE">
        <w:t>Many researchers have attempted to analy</w:t>
      </w:r>
      <w:r>
        <w:t>s</w:t>
      </w:r>
      <w:r w:rsidRPr="008F57BE">
        <w:t>e the relationship between liquidity</w:t>
      </w:r>
      <w:r w:rsidR="000B2179">
        <w:t>’s</w:t>
      </w:r>
      <w:r w:rsidRPr="008F57BE">
        <w:t xml:space="preserve"> fluctuations and their effects on the profitability variable</w:t>
      </w:r>
      <w:r w:rsidR="000B2179">
        <w:t>s</w:t>
      </w:r>
      <w:r>
        <w:t xml:space="preserve">, </w:t>
      </w:r>
      <w:r w:rsidRPr="008F57BE">
        <w:t xml:space="preserve">and the </w:t>
      </w:r>
      <w:r w:rsidR="00860B3C">
        <w:t>outcomes</w:t>
      </w:r>
      <w:r w:rsidRPr="008F57BE">
        <w:t xml:space="preserve"> obtained have shown sometimes conflicting results.</w:t>
      </w:r>
      <w:r>
        <w:t xml:space="preserve"> </w:t>
      </w:r>
      <w:r w:rsidRPr="008F57BE">
        <w:t xml:space="preserve">The reasons behind </w:t>
      </w:r>
      <w:r w:rsidR="00091E91">
        <w:t>them</w:t>
      </w:r>
      <w:r w:rsidRPr="008F57BE">
        <w:t xml:space="preserve"> can be manifold</w:t>
      </w:r>
      <w:r>
        <w:t>,</w:t>
      </w:r>
      <w:r w:rsidRPr="008F57BE">
        <w:t xml:space="preserve"> as the variables involved are infinite</w:t>
      </w:r>
      <w:r>
        <w:t>;</w:t>
      </w:r>
      <w:r w:rsidRPr="008F57BE">
        <w:t xml:space="preserve"> the position, the size, the years of operation of the company and, more generally, its internal and external environment are</w:t>
      </w:r>
      <w:r w:rsidRPr="008E17D7">
        <w:t xml:space="preserve"> </w:t>
      </w:r>
      <w:r w:rsidR="008E17D7" w:rsidRPr="008E17D7">
        <w:t>factors</w:t>
      </w:r>
      <w:r w:rsidRPr="008E17D7">
        <w:t xml:space="preserve"> </w:t>
      </w:r>
      <w:r w:rsidRPr="008F57BE">
        <w:t>that</w:t>
      </w:r>
      <w:r w:rsidR="00073D1E">
        <w:t xml:space="preserve"> may</w:t>
      </w:r>
      <w:r w:rsidRPr="008F57BE">
        <w:t xml:space="preserve"> affect the results obtained in every research.</w:t>
      </w:r>
    </w:p>
    <w:p w14:paraId="7FB3CC46" w14:textId="4DFCFA43" w:rsidR="006D734E" w:rsidRPr="002D4822" w:rsidRDefault="006D734E" w:rsidP="00A27447">
      <w:pPr>
        <w:spacing w:line="360" w:lineRule="auto"/>
        <w:jc w:val="both"/>
      </w:pPr>
      <w:r>
        <w:t xml:space="preserve">According </w:t>
      </w:r>
      <w:r w:rsidR="00116587">
        <w:t xml:space="preserve">to </w:t>
      </w:r>
      <w:proofErr w:type="spellStart"/>
      <w:r>
        <w:t>Gitman</w:t>
      </w:r>
      <w:proofErr w:type="spellEnd"/>
      <w:r>
        <w:t xml:space="preserve">, one of the most </w:t>
      </w:r>
      <w:r w:rsidR="00B67F20">
        <w:t>critical</w:t>
      </w:r>
      <w:r>
        <w:t xml:space="preserve"> aspect</w:t>
      </w:r>
      <w:r w:rsidR="00644ABD">
        <w:t>s</w:t>
      </w:r>
      <w:r>
        <w:t xml:space="preserve"> of Financial Administration is the management of working capital (</w:t>
      </w:r>
      <w:proofErr w:type="spellStart"/>
      <w:r>
        <w:t>Gitman</w:t>
      </w:r>
      <w:proofErr w:type="spellEnd"/>
      <w:r>
        <w:t>, 1992). T</w:t>
      </w:r>
      <w:r w:rsidRPr="00921FBF">
        <w:t>he amount by which current assets exceeds current liabilities</w:t>
      </w:r>
      <w:r>
        <w:t xml:space="preserve"> in a company is called net working capital, which is considered a margin of safety</w:t>
      </w:r>
      <w:r w:rsidR="001D7086">
        <w:t>. I</w:t>
      </w:r>
      <w:r>
        <w:t xml:space="preserve">f a business is not able to keep a satisfactory level of </w:t>
      </w:r>
      <w:r w:rsidR="001D7086">
        <w:t>this capital</w:t>
      </w:r>
      <w:r>
        <w:t xml:space="preserve">, </w:t>
      </w:r>
      <w:r w:rsidR="00644ABD">
        <w:t xml:space="preserve">it </w:t>
      </w:r>
      <w:r>
        <w:t xml:space="preserve">could become insolvent. Therefore, </w:t>
      </w:r>
      <w:r w:rsidRPr="002D4822">
        <w:t xml:space="preserve">according to the </w:t>
      </w:r>
      <w:r w:rsidRPr="002D4822">
        <w:lastRenderedPageBreak/>
        <w:t xml:space="preserve">author, the level of liquidity has an impact on the businesses’ financial performance, but the questions that many economists ask is: is this impact positive or negative? And </w:t>
      </w:r>
      <w:r w:rsidR="00644ABD" w:rsidRPr="002D4822">
        <w:t>at</w:t>
      </w:r>
      <w:r w:rsidRPr="002D4822">
        <w:t xml:space="preserve"> which level?</w:t>
      </w:r>
    </w:p>
    <w:p w14:paraId="6F443BA5" w14:textId="0BFE9977" w:rsidR="00543E66" w:rsidRPr="002D4822" w:rsidRDefault="00543E66" w:rsidP="00A27447">
      <w:pPr>
        <w:spacing w:line="360" w:lineRule="auto"/>
        <w:jc w:val="both"/>
      </w:pPr>
      <w:r w:rsidRPr="002D4822">
        <w:t xml:space="preserve">Some economist as Chandra sustained that elevated liquidity’s levels are a symbol of financial strength and stability </w:t>
      </w:r>
      <w:r w:rsidR="0066491C" w:rsidRPr="002D4822">
        <w:t xml:space="preserve">(Chandra, 2011) </w:t>
      </w:r>
      <w:r w:rsidRPr="002D4822">
        <w:t xml:space="preserve">but, in contrast, other scholars as Assaf </w:t>
      </w:r>
      <w:proofErr w:type="spellStart"/>
      <w:r w:rsidRPr="002D4822">
        <w:t>Neto</w:t>
      </w:r>
      <w:proofErr w:type="spellEnd"/>
      <w:r w:rsidRPr="002D4822">
        <w:t xml:space="preserve"> </w:t>
      </w:r>
      <w:r w:rsidR="0066491C" w:rsidRPr="002D4822">
        <w:t>underlined</w:t>
      </w:r>
      <w:r w:rsidRPr="002D4822">
        <w:t xml:space="preserve"> how </w:t>
      </w:r>
      <w:r w:rsidR="0066491C" w:rsidRPr="002D4822">
        <w:t>low levels, in some scenarios, are more desirable. This second statement finds support in the evidence that fixed assets are usually more profitable than the current assets, thus generating more return.</w:t>
      </w:r>
      <w:r w:rsidR="002D3C70" w:rsidRPr="002D4822">
        <w:t xml:space="preserve"> According to the author, greater </w:t>
      </w:r>
      <w:r w:rsidR="001D4E01" w:rsidRPr="002D4822">
        <w:t>are the investments in current assets,</w:t>
      </w:r>
      <w:r w:rsidR="00077898" w:rsidRPr="002D4822">
        <w:t xml:space="preserve"> in a scenario of financial slowdown,</w:t>
      </w:r>
      <w:r w:rsidR="001D4E01" w:rsidRPr="002D4822">
        <w:t xml:space="preserve"> lower are the</w:t>
      </w:r>
      <w:r w:rsidR="00077898" w:rsidRPr="002D4822">
        <w:t xml:space="preserve"> returns</w:t>
      </w:r>
      <w:r w:rsidR="001D4E01" w:rsidRPr="002D4822">
        <w:t xml:space="preserve"> </w:t>
      </w:r>
      <w:r w:rsidR="00077898" w:rsidRPr="002D4822">
        <w:t>if compared with a less liquid capital structure. However, in this situation, the working capital structure results</w:t>
      </w:r>
      <w:r w:rsidR="00B67F20">
        <w:t xml:space="preserve"> to be</w:t>
      </w:r>
      <w:r w:rsidR="00077898" w:rsidRPr="002D4822">
        <w:t xml:space="preserve"> less risky while, conversely, a lower net working capital raise</w:t>
      </w:r>
      <w:r w:rsidR="00245BF1" w:rsidRPr="002D4822">
        <w:t>s</w:t>
      </w:r>
      <w:r w:rsidR="00077898" w:rsidRPr="002D4822">
        <w:t xml:space="preserve"> the risk of insolvency but allow to achieve greater returns (Assaf </w:t>
      </w:r>
      <w:proofErr w:type="spellStart"/>
      <w:r w:rsidR="00077898" w:rsidRPr="002D4822">
        <w:t>Neto</w:t>
      </w:r>
      <w:proofErr w:type="spellEnd"/>
      <w:r w:rsidR="00077898" w:rsidRPr="002D4822">
        <w:t>, 2003).</w:t>
      </w:r>
    </w:p>
    <w:p w14:paraId="7EB9F25C" w14:textId="1EA4E680" w:rsidR="00565C2C" w:rsidRPr="002D4822" w:rsidRDefault="00565C2C" w:rsidP="00A27447">
      <w:pPr>
        <w:spacing w:line="360" w:lineRule="auto"/>
        <w:jc w:val="both"/>
      </w:pPr>
      <w:r w:rsidRPr="002D4822">
        <w:t>The investor and author Arnold, in his book, sustained</w:t>
      </w:r>
      <w:r w:rsidR="00245BF1" w:rsidRPr="002D4822">
        <w:t>,</w:t>
      </w:r>
      <w:r w:rsidRPr="002D4822">
        <w:t xml:space="preserve"> however</w:t>
      </w:r>
      <w:r w:rsidR="00245BF1" w:rsidRPr="002D4822">
        <w:t>,</w:t>
      </w:r>
      <w:r w:rsidRPr="002D4822">
        <w:t xml:space="preserve"> how hold</w:t>
      </w:r>
      <w:r w:rsidR="00C74C9D" w:rsidRPr="002D4822">
        <w:t>ing</w:t>
      </w:r>
      <w:r w:rsidRPr="002D4822">
        <w:t xml:space="preserve"> liquidity can provide advantages for a business and its profitability. First of all, the cash contribute</w:t>
      </w:r>
      <w:r w:rsidR="00245BF1" w:rsidRPr="002D4822">
        <w:t>s</w:t>
      </w:r>
      <w:r w:rsidRPr="002D4822">
        <w:t xml:space="preserve"> to a margin of safety for possible recession and provides funds for the short term a</w:t>
      </w:r>
      <w:r w:rsidR="00C25393" w:rsidRPr="002D4822">
        <w:t>s</w:t>
      </w:r>
      <w:r w:rsidRPr="002D4822">
        <w:t xml:space="preserve"> daily expenses</w:t>
      </w:r>
      <w:r w:rsidR="00C25393" w:rsidRPr="002D4822">
        <w:t xml:space="preserve"> or monthly tax, salaries and materials’ payments</w:t>
      </w:r>
      <w:r w:rsidRPr="002D4822">
        <w:t xml:space="preserve">. </w:t>
      </w:r>
      <w:r w:rsidR="00B67F20">
        <w:t>Besides</w:t>
      </w:r>
      <w:r w:rsidRPr="002D4822">
        <w:t xml:space="preserve">, it allows </w:t>
      </w:r>
      <w:r w:rsidR="00245BF1" w:rsidRPr="002D4822">
        <w:t>embarking</w:t>
      </w:r>
      <w:r w:rsidRPr="002D4822">
        <w:t xml:space="preserve"> on profitable investments that require immediate reimburse</w:t>
      </w:r>
      <w:r w:rsidR="00C77A40" w:rsidRPr="002D4822">
        <w:t xml:space="preserve"> (Arnold, 2008)</w:t>
      </w:r>
      <w:r w:rsidRPr="002D4822">
        <w:t>.</w:t>
      </w:r>
      <w:r w:rsidR="00C25393" w:rsidRPr="002D4822">
        <w:t xml:space="preserve"> The motivations provided by Arnold find their implications in the transaction, speculative and precautionary reasons </w:t>
      </w:r>
      <w:r w:rsidR="00245BF1" w:rsidRPr="002D4822">
        <w:t>for</w:t>
      </w:r>
      <w:r w:rsidR="00C25393" w:rsidRPr="002D4822">
        <w:t xml:space="preserve"> maintaining liquidity.</w:t>
      </w:r>
    </w:p>
    <w:p w14:paraId="62EA67E1" w14:textId="211F179F" w:rsidR="00C25393" w:rsidRPr="002D4822" w:rsidRDefault="00C25393" w:rsidP="00A27447">
      <w:pPr>
        <w:spacing w:line="360" w:lineRule="auto"/>
        <w:jc w:val="both"/>
      </w:pPr>
      <w:r w:rsidRPr="002D4822">
        <w:t>As previously mentioned, profitability and risk are directly, positively associated, or higher risk investments are usually more profitable. Besides, higher funds invested in current assets can reduce the insolvency risk but, at the same time, represent an opportunity cost resulting from the sacrifice of pr</w:t>
      </w:r>
      <w:r w:rsidR="00EB7947" w:rsidRPr="002D4822">
        <w:t xml:space="preserve">ofit. </w:t>
      </w:r>
    </w:p>
    <w:p w14:paraId="3811CB3E" w14:textId="259F2F32" w:rsidR="007339C0" w:rsidRPr="002D4822" w:rsidRDefault="00EB7947" w:rsidP="00A27447">
      <w:pPr>
        <w:spacing w:line="360" w:lineRule="auto"/>
        <w:jc w:val="both"/>
      </w:pPr>
      <w:r w:rsidRPr="002D4822">
        <w:t>Numerous are the author that sustained this negative trade-off between liquidity and profitability</w:t>
      </w:r>
      <w:r w:rsidR="00245BF1" w:rsidRPr="002D4822">
        <w:t>;</w:t>
      </w:r>
      <w:r w:rsidRPr="002D4822">
        <w:t xml:space="preserve"> however</w:t>
      </w:r>
      <w:r w:rsidR="00C74C9D" w:rsidRPr="002D4822">
        <w:t xml:space="preserve">, there is another line of thought that claims the opposite. According to them, a low liquidity level implies </w:t>
      </w:r>
      <w:r w:rsidR="000F652B" w:rsidRPr="002D4822">
        <w:t>a higher</w:t>
      </w:r>
      <w:r w:rsidR="00C74C9D" w:rsidRPr="002D4822">
        <w:t xml:space="preserve"> use of external financing</w:t>
      </w:r>
      <w:r w:rsidR="00245BF1" w:rsidRPr="002D4822">
        <w:t>,</w:t>
      </w:r>
      <w:r w:rsidR="000F652B" w:rsidRPr="002D4822">
        <w:t xml:space="preserve"> </w:t>
      </w:r>
      <w:r w:rsidR="00C74C9D" w:rsidRPr="002D4822">
        <w:t xml:space="preserve">which </w:t>
      </w:r>
      <w:r w:rsidR="000F652B" w:rsidRPr="002D4822">
        <w:t>is</w:t>
      </w:r>
      <w:r w:rsidR="00C74C9D" w:rsidRPr="002D4822">
        <w:t xml:space="preserve"> more expensive. This situation lead</w:t>
      </w:r>
      <w:r w:rsidR="000F652B" w:rsidRPr="002D4822">
        <w:t>s</w:t>
      </w:r>
      <w:r w:rsidR="00C74C9D" w:rsidRPr="002D4822">
        <w:t xml:space="preserve"> to</w:t>
      </w:r>
      <w:r w:rsidR="000F652B" w:rsidRPr="002D4822">
        <w:t xml:space="preserve"> an increase in the credit’s risk and, therefore, the cost of the interests. The mentioned high indebtedness and low liquidity may drive to a situation of delayed payments and suppliers’ fewer discount, may reduc</w:t>
      </w:r>
      <w:r w:rsidR="00245BF1" w:rsidRPr="002D4822">
        <w:t>e</w:t>
      </w:r>
      <w:r w:rsidR="000F652B" w:rsidRPr="002D4822">
        <w:t xml:space="preserve"> the profitability of the company, which lose the ability to support its growth and invest in new assets</w:t>
      </w:r>
      <w:r w:rsidR="007339C0" w:rsidRPr="002D4822">
        <w:t xml:space="preserve"> (</w:t>
      </w:r>
      <w:proofErr w:type="spellStart"/>
      <w:r w:rsidR="007339C0" w:rsidRPr="002D4822">
        <w:t>Hristova</w:t>
      </w:r>
      <w:proofErr w:type="spellEnd"/>
      <w:r w:rsidR="007339C0" w:rsidRPr="002D4822">
        <w:t xml:space="preserve">, </w:t>
      </w:r>
      <w:proofErr w:type="spellStart"/>
      <w:r w:rsidR="007339C0" w:rsidRPr="002D4822">
        <w:t>Srbinoska</w:t>
      </w:r>
      <w:proofErr w:type="spellEnd"/>
      <w:r w:rsidR="007339C0" w:rsidRPr="002D4822">
        <w:t xml:space="preserve">, </w:t>
      </w:r>
      <w:proofErr w:type="spellStart"/>
      <w:r w:rsidR="007339C0" w:rsidRPr="002D4822">
        <w:t>Mileva</w:t>
      </w:r>
      <w:proofErr w:type="spellEnd"/>
      <w:r w:rsidR="007339C0" w:rsidRPr="002D4822">
        <w:t xml:space="preserve"> and </w:t>
      </w:r>
      <w:proofErr w:type="spellStart"/>
      <w:r w:rsidR="007339C0" w:rsidRPr="002D4822">
        <w:t>Zafirova</w:t>
      </w:r>
      <w:proofErr w:type="spellEnd"/>
      <w:r w:rsidR="007339C0" w:rsidRPr="002D4822">
        <w:t>, 2014).</w:t>
      </w:r>
      <w:r w:rsidR="000F652B" w:rsidRPr="002D4822">
        <w:t xml:space="preserve"> </w:t>
      </w:r>
    </w:p>
    <w:p w14:paraId="60E683F4" w14:textId="2CA3669C" w:rsidR="00EB7947" w:rsidRPr="002D4822" w:rsidRDefault="000F652B" w:rsidP="00A27447">
      <w:pPr>
        <w:spacing w:line="360" w:lineRule="auto"/>
        <w:jc w:val="both"/>
      </w:pPr>
      <w:r w:rsidRPr="002D4822">
        <w:t xml:space="preserve">Liquidity and financial leverage </w:t>
      </w:r>
      <w:r w:rsidR="00385111" w:rsidRPr="002D4822">
        <w:t>seem</w:t>
      </w:r>
      <w:r w:rsidRPr="002D4822">
        <w:t xml:space="preserve"> to be </w:t>
      </w:r>
      <w:r w:rsidR="00385111" w:rsidRPr="002D4822">
        <w:t xml:space="preserve">two sides of a coin that is essential for the health of the company. </w:t>
      </w:r>
      <w:r w:rsidRPr="002D4822">
        <w:t>Thus, the optimal level of liquidity is a</w:t>
      </w:r>
      <w:r w:rsidR="00B67F20">
        <w:t xml:space="preserve"> crucial</w:t>
      </w:r>
      <w:r w:rsidRPr="002D4822">
        <w:t xml:space="preserve"> decision to be able to maximise the return and reduce the risks and costs.</w:t>
      </w:r>
    </w:p>
    <w:p w14:paraId="5A5655C5" w14:textId="77777777" w:rsidR="005B39D9" w:rsidRPr="002D4822" w:rsidRDefault="005B39D9" w:rsidP="006D734E"/>
    <w:p w14:paraId="5B976243" w14:textId="4D448E25" w:rsidR="005B39D9" w:rsidRPr="000073B3" w:rsidRDefault="001D4E01" w:rsidP="000073B3">
      <w:pPr>
        <w:pStyle w:val="Heading3"/>
        <w:spacing w:line="480" w:lineRule="auto"/>
        <w:rPr>
          <w:rFonts w:ascii="Arial" w:hAnsi="Arial" w:cs="Arial"/>
          <w:b/>
          <w:bCs/>
          <w:color w:val="auto"/>
        </w:rPr>
      </w:pPr>
      <w:bookmarkStart w:id="17" w:name="_Toc43473595"/>
      <w:r w:rsidRPr="000073B3">
        <w:rPr>
          <w:rFonts w:ascii="Arial" w:hAnsi="Arial" w:cs="Arial"/>
          <w:b/>
          <w:bCs/>
          <w:color w:val="auto"/>
        </w:rPr>
        <w:lastRenderedPageBreak/>
        <w:t xml:space="preserve">1.2 </w:t>
      </w:r>
      <w:r w:rsidR="005B39D9" w:rsidRPr="000073B3">
        <w:rPr>
          <w:rFonts w:ascii="Arial" w:hAnsi="Arial" w:cs="Arial"/>
          <w:b/>
          <w:bCs/>
          <w:color w:val="auto"/>
        </w:rPr>
        <w:t>Empirical studies</w:t>
      </w:r>
      <w:bookmarkEnd w:id="17"/>
    </w:p>
    <w:p w14:paraId="2FB0A0C0" w14:textId="63B9B592" w:rsidR="006D734E" w:rsidRDefault="00F803CF" w:rsidP="00560727">
      <w:pPr>
        <w:spacing w:line="360" w:lineRule="auto"/>
        <w:jc w:val="both"/>
      </w:pPr>
      <w:r w:rsidRPr="002D4822">
        <w:t xml:space="preserve">The dilemma between liquidity and profitability is largely debated in many theories and studies. </w:t>
      </w:r>
      <w:r w:rsidR="00ED309B" w:rsidRPr="002D4822">
        <w:t xml:space="preserve">This section looks further into empirical results deriving from previous researches, in order to connect the theoretical background with </w:t>
      </w:r>
      <w:r w:rsidR="00B67CEF" w:rsidRPr="002D4822">
        <w:t xml:space="preserve">actual findings. </w:t>
      </w:r>
      <w:r w:rsidR="006D734E" w:rsidRPr="002D4822">
        <w:t>Some</w:t>
      </w:r>
      <w:r w:rsidR="006D734E" w:rsidRPr="00C02D31">
        <w:t xml:space="preserve"> </w:t>
      </w:r>
      <w:r w:rsidR="00B67CEF">
        <w:t>analysis</w:t>
      </w:r>
      <w:r w:rsidR="006D734E" w:rsidRPr="00C02D31">
        <w:t xml:space="preserve"> on the topic will be</w:t>
      </w:r>
      <w:r w:rsidR="00B67CEF">
        <w:t xml:space="preserve"> now</w:t>
      </w:r>
      <w:r w:rsidR="006D734E" w:rsidRPr="00C02D31">
        <w:t xml:space="preserve"> presented, which will be used as a reflection </w:t>
      </w:r>
      <w:r w:rsidR="00DC30D9">
        <w:t xml:space="preserve">starting </w:t>
      </w:r>
      <w:r w:rsidR="006D734E" w:rsidRPr="00C02D31">
        <w:t xml:space="preserve">point </w:t>
      </w:r>
      <w:r w:rsidR="00B67CEF">
        <w:t xml:space="preserve">and as a comparison </w:t>
      </w:r>
      <w:r w:rsidR="006D734E" w:rsidRPr="00C02D31">
        <w:t>for the research.</w:t>
      </w:r>
    </w:p>
    <w:p w14:paraId="2613C164" w14:textId="5B9C82C9" w:rsidR="006D734E" w:rsidRDefault="006D734E" w:rsidP="00560727">
      <w:pPr>
        <w:spacing w:line="360" w:lineRule="auto"/>
        <w:jc w:val="both"/>
      </w:pPr>
      <w:r w:rsidRPr="00DD74DF">
        <w:t xml:space="preserve">Interesting results </w:t>
      </w:r>
      <w:r>
        <w:t xml:space="preserve">were presented </w:t>
      </w:r>
      <w:r w:rsidRPr="00DD74DF">
        <w:t>by</w:t>
      </w:r>
      <w:r>
        <w:t xml:space="preserve"> Saleem and Rehman, which carried out a study on a sample of 26 oil and gas companies located in Pakistan, listed on the Karachi </w:t>
      </w:r>
      <w:r w:rsidR="00220B06">
        <w:t>S</w:t>
      </w:r>
      <w:r>
        <w:t xml:space="preserve">tock </w:t>
      </w:r>
      <w:r w:rsidR="00220B06">
        <w:t>E</w:t>
      </w:r>
      <w:r>
        <w:t xml:space="preserve">xchange </w:t>
      </w:r>
      <w:r w:rsidR="00220B06">
        <w:t>M</w:t>
      </w:r>
      <w:r>
        <w:t>arket. T</w:t>
      </w:r>
      <w:r w:rsidRPr="00330936">
        <w:t xml:space="preserve">he analysis considered the secondary data </w:t>
      </w:r>
      <w:r>
        <w:t>resulting from</w:t>
      </w:r>
      <w:r w:rsidRPr="00330936">
        <w:t xml:space="preserve"> the</w:t>
      </w:r>
      <w:r>
        <w:t xml:space="preserve"> companies’</w:t>
      </w:r>
      <w:r w:rsidRPr="00330936">
        <w:t xml:space="preserve"> annual reports, referring to the period 2004-2009, with a total of 130 observations.</w:t>
      </w:r>
      <w:r>
        <w:t xml:space="preserve"> The research aimed to reveal the relationship between the liquidity and the profitability</w:t>
      </w:r>
      <w:r w:rsidR="002810D7">
        <w:t>,</w:t>
      </w:r>
      <w:r>
        <w:t xml:space="preserve"> in order to find an ideal level that firms should maintain while conducting its day to day operations, with the aim of sustaining</w:t>
      </w:r>
      <w:r w:rsidRPr="008A0AC8">
        <w:t xml:space="preserve"> constant profitability</w:t>
      </w:r>
      <w:r>
        <w:t xml:space="preserve">. </w:t>
      </w:r>
      <w:r w:rsidRPr="008A0AC8">
        <w:t>In analy</w:t>
      </w:r>
      <w:r>
        <w:t>s</w:t>
      </w:r>
      <w:r w:rsidRPr="008A0AC8">
        <w:t xml:space="preserve">ing this, the </w:t>
      </w:r>
      <w:r w:rsidR="00220B06">
        <w:rPr>
          <w:i/>
          <w:iCs/>
        </w:rPr>
        <w:t>C</w:t>
      </w:r>
      <w:r w:rsidRPr="008A0AC8">
        <w:rPr>
          <w:i/>
          <w:iCs/>
        </w:rPr>
        <w:t xml:space="preserve">urrent, </w:t>
      </w:r>
      <w:r w:rsidR="00220B06">
        <w:rPr>
          <w:i/>
          <w:iCs/>
        </w:rPr>
        <w:t>Q</w:t>
      </w:r>
      <w:r w:rsidRPr="008A0AC8">
        <w:rPr>
          <w:i/>
          <w:iCs/>
        </w:rPr>
        <w:t xml:space="preserve">uick and </w:t>
      </w:r>
      <w:r w:rsidR="00220B06">
        <w:rPr>
          <w:i/>
          <w:iCs/>
        </w:rPr>
        <w:t>L</w:t>
      </w:r>
      <w:r w:rsidRPr="008A0AC8">
        <w:rPr>
          <w:i/>
          <w:iCs/>
        </w:rPr>
        <w:t xml:space="preserve">iquid </w:t>
      </w:r>
      <w:r w:rsidR="00220B06">
        <w:rPr>
          <w:i/>
          <w:iCs/>
        </w:rPr>
        <w:t>R</w:t>
      </w:r>
      <w:r w:rsidRPr="008A0AC8">
        <w:rPr>
          <w:i/>
          <w:iCs/>
        </w:rPr>
        <w:t>atios</w:t>
      </w:r>
      <w:r w:rsidRPr="008A0AC8">
        <w:t xml:space="preserve"> were used as </w:t>
      </w:r>
      <w:r w:rsidRPr="00EC4DF3">
        <w:rPr>
          <w:b/>
          <w:bCs/>
        </w:rPr>
        <w:t>independent</w:t>
      </w:r>
      <w:r>
        <w:t xml:space="preserve"> </w:t>
      </w:r>
      <w:r w:rsidR="00245BF1">
        <w:t xml:space="preserve">liquidity </w:t>
      </w:r>
      <w:r>
        <w:t xml:space="preserve">measures, </w:t>
      </w:r>
      <w:r w:rsidRPr="008A0AC8">
        <w:t>while the</w:t>
      </w:r>
      <w:r>
        <w:t xml:space="preserve"> </w:t>
      </w:r>
      <w:r w:rsidRPr="00EC4DF3">
        <w:rPr>
          <w:i/>
          <w:iCs/>
        </w:rPr>
        <w:t>Return on Asset</w:t>
      </w:r>
      <w:r>
        <w:t xml:space="preserve"> (ROA), </w:t>
      </w:r>
      <w:r w:rsidRPr="00EC4DF3">
        <w:rPr>
          <w:i/>
          <w:iCs/>
        </w:rPr>
        <w:t>Return on Equity</w:t>
      </w:r>
      <w:r>
        <w:t xml:space="preserve"> (ROE) and </w:t>
      </w:r>
      <w:r w:rsidRPr="00EC4DF3">
        <w:rPr>
          <w:i/>
          <w:iCs/>
        </w:rPr>
        <w:t>Return on Investment</w:t>
      </w:r>
      <w:r>
        <w:t xml:space="preserve"> (ROI) as </w:t>
      </w:r>
      <w:r w:rsidRPr="00EC4DF3">
        <w:rPr>
          <w:b/>
          <w:bCs/>
        </w:rPr>
        <w:t>dependent</w:t>
      </w:r>
      <w:r w:rsidRPr="008A0AC8">
        <w:t xml:space="preserve"> profitability</w:t>
      </w:r>
      <w:r>
        <w:t>’s variables. The panel data research is performed through linear regression, applying the SPSS model. The outcome of the research showed mixed results</w:t>
      </w:r>
      <w:r w:rsidR="00245BF1">
        <w:t>;</w:t>
      </w:r>
      <w:r>
        <w:t xml:space="preserve"> ROA is significantly affected by only Liquidity Ratio, while QR and CR do</w:t>
      </w:r>
      <w:r w:rsidR="00EE7B81">
        <w:t xml:space="preserve"> not</w:t>
      </w:r>
      <w:r>
        <w:t xml:space="preserve"> have a remarkable impact. On the other hand,</w:t>
      </w:r>
      <w:r w:rsidR="002810D7">
        <w:t xml:space="preserve"> the</w:t>
      </w:r>
      <w:r>
        <w:t xml:space="preserve"> ROE is not particularly affected by any of them, and the ROI is greatly influenced by all three ratios but,</w:t>
      </w:r>
      <w:r w:rsidR="009F0F46">
        <w:t xml:space="preserve"> just</w:t>
      </w:r>
      <w:r>
        <w:t xml:space="preserve"> </w:t>
      </w:r>
      <w:r w:rsidR="009F0F46">
        <w:t>by</w:t>
      </w:r>
      <w:r w:rsidR="002810D7">
        <w:t xml:space="preserve"> </w:t>
      </w:r>
      <w:r>
        <w:t xml:space="preserve">CR in negative proportion.  In general, the paper marked a significant influence </w:t>
      </w:r>
      <w:r w:rsidRPr="008E5043">
        <w:t xml:space="preserve">of liquidity on profitability, even if the results obtained are </w:t>
      </w:r>
      <w:r w:rsidRPr="009B16EE">
        <w:rPr>
          <w:u w:val="single"/>
        </w:rPr>
        <w:t>mixed</w:t>
      </w:r>
      <w:r>
        <w:t>. T</w:t>
      </w:r>
      <w:r w:rsidRPr="008E5043">
        <w:t xml:space="preserve">his </w:t>
      </w:r>
      <w:r w:rsidR="00597764">
        <w:t xml:space="preserve">result </w:t>
      </w:r>
      <w:r w:rsidRPr="008E5043">
        <w:t>may derive from the fact that the research was carried out with a reduced form model</w:t>
      </w:r>
      <w:r w:rsidR="00245BF1">
        <w:t>,</w:t>
      </w:r>
      <w:r w:rsidRPr="008E5043">
        <w:t xml:space="preserve"> and the </w:t>
      </w:r>
      <w:r>
        <w:t xml:space="preserve">data considered </w:t>
      </w:r>
      <w:r w:rsidR="00245BF1">
        <w:t xml:space="preserve">a </w:t>
      </w:r>
      <w:r w:rsidRPr="008E5043">
        <w:t xml:space="preserve">range of only </w:t>
      </w:r>
      <w:r w:rsidR="00091E91">
        <w:t>six</w:t>
      </w:r>
      <w:r w:rsidRPr="008E5043">
        <w:t xml:space="preserve"> years</w:t>
      </w:r>
      <w:r>
        <w:t xml:space="preserve"> </w:t>
      </w:r>
      <w:r w:rsidRPr="00614F1B">
        <w:t xml:space="preserve">(Saleem and Ur Rehman, 2011). </w:t>
      </w:r>
    </w:p>
    <w:p w14:paraId="76E14A29" w14:textId="336AAC0C" w:rsidR="003A2661" w:rsidRDefault="0058346D" w:rsidP="00560727">
      <w:pPr>
        <w:spacing w:line="360" w:lineRule="auto"/>
        <w:jc w:val="both"/>
      </w:pPr>
      <w:r>
        <w:t>R</w:t>
      </w:r>
      <w:r w:rsidRPr="0058346D">
        <w:t xml:space="preserve">emaining focused on studies </w:t>
      </w:r>
      <w:r>
        <w:t>accomplished</w:t>
      </w:r>
      <w:r w:rsidRPr="0058346D">
        <w:t xml:space="preserve"> on the territory of </w:t>
      </w:r>
      <w:r w:rsidR="006E6F63">
        <w:t>S</w:t>
      </w:r>
      <w:r w:rsidRPr="0058346D">
        <w:t xml:space="preserve">outh </w:t>
      </w:r>
      <w:r>
        <w:t>A</w:t>
      </w:r>
      <w:r w:rsidRPr="0058346D">
        <w:t>sia</w:t>
      </w:r>
      <w:r w:rsidR="003A2661">
        <w:t xml:space="preserve">, in 2012, </w:t>
      </w:r>
      <w:proofErr w:type="spellStart"/>
      <w:r w:rsidR="003A2661">
        <w:t>Niresh</w:t>
      </w:r>
      <w:proofErr w:type="spellEnd"/>
      <w:r w:rsidR="003A2661">
        <w:t xml:space="preserve"> presented a seminal paper of an analysis conducted on 31 companies in Sri Lanka, </w:t>
      </w:r>
      <w:r w:rsidR="003A2661" w:rsidRPr="00B67892">
        <w:t>carried out after the 2007 crisis</w:t>
      </w:r>
      <w:r w:rsidR="003A2661">
        <w:t xml:space="preserve"> for a period of four years, focused on the financial position of the companies and the correlation between their liquidity and profitability. The firms analysed are listed on the Colombo </w:t>
      </w:r>
      <w:r w:rsidR="00965A41">
        <w:t>S</w:t>
      </w:r>
      <w:r w:rsidR="003A2661">
        <w:t xml:space="preserve">tock </w:t>
      </w:r>
      <w:r w:rsidR="00965A41">
        <w:t>E</w:t>
      </w:r>
      <w:r w:rsidR="003A2661">
        <w:t xml:space="preserve">xchange </w:t>
      </w:r>
      <w:r w:rsidR="00965A41">
        <w:t>M</w:t>
      </w:r>
      <w:r w:rsidR="003A2661">
        <w:t>arket</w:t>
      </w:r>
      <w:r w:rsidR="000E5F2B">
        <w:t>,</w:t>
      </w:r>
      <w:r w:rsidR="003A2661">
        <w:t xml:space="preserve"> and they represent 80% of the manufacturing sector which is composed in total by 39 listed companies. The study, carried out through the Pearson correlation methodology, utilising </w:t>
      </w:r>
      <w:r w:rsidR="003A2661" w:rsidRPr="00617673">
        <w:rPr>
          <w:i/>
          <w:iCs/>
        </w:rPr>
        <w:t xml:space="preserve">Current Ratio, Quick Ratio </w:t>
      </w:r>
      <w:r w:rsidR="003A2661" w:rsidRPr="00617673">
        <w:t xml:space="preserve">and </w:t>
      </w:r>
      <w:r w:rsidR="003A2661" w:rsidRPr="00617673">
        <w:rPr>
          <w:i/>
          <w:iCs/>
        </w:rPr>
        <w:t>Liquid Ratio</w:t>
      </w:r>
      <w:r w:rsidR="003A2661">
        <w:t xml:space="preserve"> as liquidity variables and </w:t>
      </w:r>
      <w:r w:rsidR="003A2661" w:rsidRPr="003A2661">
        <w:rPr>
          <w:i/>
          <w:iCs/>
        </w:rPr>
        <w:t>Net Profit (NP),</w:t>
      </w:r>
      <w:r w:rsidR="003A2661">
        <w:t xml:space="preserve"> </w:t>
      </w:r>
      <w:r w:rsidR="003A2661" w:rsidRPr="003A2661">
        <w:rPr>
          <w:i/>
          <w:iCs/>
        </w:rPr>
        <w:t xml:space="preserve">Return on Capital Employed (ROCE) </w:t>
      </w:r>
      <w:r w:rsidR="003A2661" w:rsidRPr="003A2661">
        <w:t>and</w:t>
      </w:r>
      <w:r w:rsidR="003A2661" w:rsidRPr="003A2661">
        <w:rPr>
          <w:i/>
          <w:iCs/>
        </w:rPr>
        <w:t xml:space="preserve"> Return on Equity (ROE)</w:t>
      </w:r>
      <w:r w:rsidR="003A2661">
        <w:t xml:space="preserve"> as </w:t>
      </w:r>
      <w:r w:rsidR="003A2661" w:rsidRPr="00617673">
        <w:rPr>
          <w:b/>
          <w:bCs/>
        </w:rPr>
        <w:t>dependent</w:t>
      </w:r>
      <w:r w:rsidR="003A2661">
        <w:t xml:space="preserve"> profitability variables, showed again </w:t>
      </w:r>
      <w:r w:rsidR="003A2661" w:rsidRPr="00091F44">
        <w:rPr>
          <w:u w:val="single"/>
        </w:rPr>
        <w:t>mixed</w:t>
      </w:r>
      <w:r w:rsidR="003A2661">
        <w:t xml:space="preserve"> results, </w:t>
      </w:r>
      <w:r w:rsidR="003A2661" w:rsidRPr="00617673">
        <w:t>of whom most of them statistically insignificant</w:t>
      </w:r>
      <w:r w:rsidR="003A2661">
        <w:t>. F</w:t>
      </w:r>
      <w:r w:rsidR="003A2661" w:rsidRPr="00617673">
        <w:t>urthermore</w:t>
      </w:r>
      <w:r w:rsidR="003A2661">
        <w:t>, it registered a high profitability’s volatility as its variation’s coefficient is way higher than the liquidity one. The LR resulted negatively correlated with all the profitability’s variables</w:t>
      </w:r>
      <w:r w:rsidR="000E5F2B">
        <w:t>;</w:t>
      </w:r>
      <w:r w:rsidR="003A2661">
        <w:t xml:space="preserve"> </w:t>
      </w:r>
      <w:r w:rsidR="003A2661" w:rsidRPr="00C4106E">
        <w:t>the same negative result was found for the association between ROCE and</w:t>
      </w:r>
      <w:r w:rsidR="003A2661">
        <w:t xml:space="preserve"> CR, QR and LR. </w:t>
      </w:r>
      <w:r w:rsidR="000E5F2B">
        <w:t>A p</w:t>
      </w:r>
      <w:r w:rsidR="003A2661">
        <w:t xml:space="preserve">ositive correlation, instead, has been registered </w:t>
      </w:r>
      <w:r w:rsidR="003A2661">
        <w:lastRenderedPageBreak/>
        <w:t>between QR and NP, CR and ROE, QR and ROE (</w:t>
      </w:r>
      <w:proofErr w:type="spellStart"/>
      <w:r w:rsidR="003A2661">
        <w:t>Niresh</w:t>
      </w:r>
      <w:proofErr w:type="spellEnd"/>
      <w:r w:rsidR="003A2661">
        <w:t xml:space="preserve">, 2012). Despite the accurate analysis, this research is </w:t>
      </w:r>
      <w:r w:rsidR="003A2661" w:rsidRPr="00091F44">
        <w:t xml:space="preserve">territorially confined to </w:t>
      </w:r>
      <w:r w:rsidR="003A2661">
        <w:t>the manufacturing S</w:t>
      </w:r>
      <w:r w:rsidR="003A2661" w:rsidRPr="00091F44">
        <w:t xml:space="preserve">ri </w:t>
      </w:r>
      <w:r w:rsidR="003A2661">
        <w:t>L</w:t>
      </w:r>
      <w:r w:rsidR="003A2661" w:rsidRPr="00091F44">
        <w:t>ank</w:t>
      </w:r>
      <w:r w:rsidR="003A2661">
        <w:t xml:space="preserve">a’s companies, the period considered is only five years and many factors as firms’ size, age, technological changes, </w:t>
      </w:r>
      <w:r w:rsidR="000E5F2B">
        <w:t xml:space="preserve">the </w:t>
      </w:r>
      <w:r w:rsidR="003A2661">
        <w:t>cycle of manufacturing and seasonal demand’s change are not taken into consideration. A</w:t>
      </w:r>
      <w:r w:rsidR="003A2661" w:rsidRPr="008815A3">
        <w:t>s previously stated, each of these factors, if considered, could lead to different results.</w:t>
      </w:r>
    </w:p>
    <w:p w14:paraId="43292F7D" w14:textId="142CBF5B" w:rsidR="003A2661" w:rsidRDefault="003A2661" w:rsidP="00560727">
      <w:pPr>
        <w:spacing w:line="360" w:lineRule="auto"/>
        <w:jc w:val="both"/>
      </w:pPr>
      <w:r>
        <w:t>F</w:t>
      </w:r>
      <w:r w:rsidRPr="004E42CA">
        <w:t xml:space="preserve">or this reason, the </w:t>
      </w:r>
      <w:r>
        <w:t xml:space="preserve">conclusions of Goel, Chadha and Sharma’s research </w:t>
      </w:r>
      <w:r w:rsidRPr="004E42CA">
        <w:t xml:space="preserve">are considered </w:t>
      </w:r>
      <w:r>
        <w:t>complete</w:t>
      </w:r>
      <w:r w:rsidRPr="004E42CA">
        <w:t xml:space="preserve"> as they are the result of a more in-depth study which took into consideration, in addition to the liquidity and profitability ratios,</w:t>
      </w:r>
      <w:r>
        <w:t xml:space="preserve"> control variables as the firm’s </w:t>
      </w:r>
      <w:r w:rsidRPr="00F40583">
        <w:rPr>
          <w:i/>
          <w:iCs/>
        </w:rPr>
        <w:t>age, size, sales, operating cash flow</w:t>
      </w:r>
      <w:r>
        <w:t xml:space="preserve"> and its </w:t>
      </w:r>
      <w:r w:rsidRPr="00F40583">
        <w:rPr>
          <w:i/>
          <w:iCs/>
        </w:rPr>
        <w:t>margin</w:t>
      </w:r>
      <w:r>
        <w:t xml:space="preserve"> (</w:t>
      </w:r>
      <w:r w:rsidRPr="00162B67">
        <w:rPr>
          <w:i/>
          <w:iCs/>
        </w:rPr>
        <w:t>OCFM</w:t>
      </w:r>
      <w:r>
        <w:t>). The analysis focused on 151 Indian machinery industry’s companies, in the period between 2004 and 2013 with a total of 1510 observations. T</w:t>
      </w:r>
      <w:r w:rsidRPr="006B5B89">
        <w:t>he elaborate analysis used as methodology</w:t>
      </w:r>
      <w:r w:rsidR="000E5F2B">
        <w:t>,</w:t>
      </w:r>
      <w:r>
        <w:t xml:space="preserve"> the panel data fixed effect regression model which, due</w:t>
      </w:r>
      <w:r w:rsidR="000E5F2B">
        <w:t xml:space="preserve"> to</w:t>
      </w:r>
      <w:r>
        <w:t xml:space="preserve"> </w:t>
      </w:r>
      <w:r w:rsidR="000E5F2B">
        <w:t>a</w:t>
      </w:r>
      <w:r>
        <w:t xml:space="preserve"> large amount of data,</w:t>
      </w:r>
      <w:r w:rsidRPr="006B5B89">
        <w:t xml:space="preserve"> is </w:t>
      </w:r>
      <w:r w:rsidR="00386CBB">
        <w:t>analysed</w:t>
      </w:r>
      <w:r w:rsidRPr="006B5B89">
        <w:t xml:space="preserve"> </w:t>
      </w:r>
      <w:r>
        <w:t>after considering</w:t>
      </w:r>
      <w:r w:rsidRPr="006B5B89">
        <w:t xml:space="preserve"> the results obtained by the</w:t>
      </w:r>
      <w:r>
        <w:t xml:space="preserve"> Hausman’s test.  The test used as </w:t>
      </w:r>
      <w:r w:rsidRPr="00A64865">
        <w:rPr>
          <w:b/>
          <w:bCs/>
        </w:rPr>
        <w:t>dependent</w:t>
      </w:r>
      <w:r>
        <w:t xml:space="preserve"> variable the </w:t>
      </w:r>
      <w:r w:rsidRPr="00A64865">
        <w:rPr>
          <w:i/>
          <w:iCs/>
        </w:rPr>
        <w:t>ROA</w:t>
      </w:r>
      <w:r>
        <w:t xml:space="preserve">, while as </w:t>
      </w:r>
      <w:r w:rsidRPr="00A64865">
        <w:rPr>
          <w:b/>
          <w:bCs/>
        </w:rPr>
        <w:t>independent</w:t>
      </w:r>
      <w:r>
        <w:t xml:space="preserve"> variables, </w:t>
      </w:r>
      <w:r w:rsidRPr="00A64865">
        <w:t>in addition to all th</w:t>
      </w:r>
      <w:r>
        <w:t>e control parameters</w:t>
      </w:r>
      <w:r w:rsidRPr="00A64865">
        <w:t xml:space="preserve"> previously mentioned,</w:t>
      </w:r>
      <w:r>
        <w:t xml:space="preserve"> the combined effect between them and the </w:t>
      </w:r>
      <w:r w:rsidR="00965A41">
        <w:rPr>
          <w:i/>
          <w:iCs/>
        </w:rPr>
        <w:t>F</w:t>
      </w:r>
      <w:r w:rsidRPr="00A64865">
        <w:rPr>
          <w:i/>
          <w:iCs/>
        </w:rPr>
        <w:t xml:space="preserve">inancial </w:t>
      </w:r>
      <w:r w:rsidR="00965A41">
        <w:rPr>
          <w:i/>
          <w:iCs/>
        </w:rPr>
        <w:t>L</w:t>
      </w:r>
      <w:r w:rsidRPr="00A64865">
        <w:rPr>
          <w:i/>
          <w:iCs/>
        </w:rPr>
        <w:t>everage</w:t>
      </w:r>
      <w:r w:rsidR="00E11892">
        <w:rPr>
          <w:i/>
          <w:iCs/>
        </w:rPr>
        <w:t xml:space="preserve"> (FL)</w:t>
      </w:r>
      <w:r>
        <w:t xml:space="preserve">, which has a statistically significant effect on the </w:t>
      </w:r>
      <w:r w:rsidRPr="00E11892">
        <w:rPr>
          <w:i/>
          <w:iCs/>
        </w:rPr>
        <w:t>OL (operating liquidity).</w:t>
      </w:r>
      <w:r>
        <w:t xml:space="preserve"> Results showed that more a business become levered, </w:t>
      </w:r>
      <w:r w:rsidRPr="00A64865">
        <w:t>the more it becomes liquid</w:t>
      </w:r>
      <w:r>
        <w:t xml:space="preserve"> as, to pay its current liabilities and finance its current assets, the firm use</w:t>
      </w:r>
      <w:r w:rsidR="000E5F2B">
        <w:t>s</w:t>
      </w:r>
      <w:r>
        <w:t xml:space="preserve"> the funds raised from the debts. Overall, FL and OL are both </w:t>
      </w:r>
      <w:r w:rsidR="00EE7B81">
        <w:t>critical</w:t>
      </w:r>
      <w:r>
        <w:t xml:space="preserve"> determinant</w:t>
      </w:r>
      <w:r w:rsidR="000E5F2B">
        <w:t>s</w:t>
      </w:r>
      <w:r>
        <w:t xml:space="preserve"> of the performance of a business. Operating liquidity resulted </w:t>
      </w:r>
      <w:r w:rsidR="00597764">
        <w:t>in being</w:t>
      </w:r>
      <w:r>
        <w:t xml:space="preserve"> </w:t>
      </w:r>
      <w:r w:rsidRPr="005401D8">
        <w:rPr>
          <w:u w:val="single"/>
        </w:rPr>
        <w:t>positively</w:t>
      </w:r>
      <w:r>
        <w:t xml:space="preserve"> correlated with the company’s profitability, while the financial leverage, instead, showed to be negatively associated with it. High liquidity and a low level of debts are, therefore, essential in improving the business’ financial performance</w:t>
      </w:r>
      <w:r w:rsidRPr="0021347E">
        <w:t>, increasing shareholders worth</w:t>
      </w:r>
      <w:r>
        <w:t xml:space="preserve">. Instrumental </w:t>
      </w:r>
      <w:r w:rsidRPr="00364178">
        <w:t>to make the study even more complete, an accurate analysis of the relationships between</w:t>
      </w:r>
      <w:r>
        <w:t xml:space="preserve"> financial management and operation management could lead to insight </w:t>
      </w:r>
      <w:r w:rsidRPr="00612F95">
        <w:t>on the matter</w:t>
      </w:r>
      <w:r w:rsidRPr="00C93DB5">
        <w:t xml:space="preserve"> </w:t>
      </w:r>
      <w:r w:rsidRPr="006843C4">
        <w:t>(Goel, Chadha and Sharma, 2015).</w:t>
      </w:r>
    </w:p>
    <w:p w14:paraId="001DB0F7" w14:textId="70D3F500" w:rsidR="003A2661" w:rsidRDefault="003A2661" w:rsidP="00560727">
      <w:pPr>
        <w:spacing w:line="360" w:lineRule="auto"/>
        <w:jc w:val="both"/>
      </w:pPr>
      <w:r>
        <w:t>A</w:t>
      </w:r>
      <w:r w:rsidRPr="00162CAB">
        <w:t xml:space="preserve">s previously noted, the mere study of the relationship between liquidity and profitability does not lead to complete results. </w:t>
      </w:r>
      <w:r w:rsidR="00CA7CC0">
        <w:t>The</w:t>
      </w:r>
      <w:r w:rsidRPr="00162CAB">
        <w:t xml:space="preserve"> combined use of liquidity and leverage provide meaningful conclusions. This </w:t>
      </w:r>
      <w:r w:rsidR="00EE7B81">
        <w:t xml:space="preserve">statement </w:t>
      </w:r>
      <w:r w:rsidRPr="00162CAB">
        <w:t>is</w:t>
      </w:r>
      <w:r w:rsidR="00EE7B81">
        <w:t xml:space="preserve"> explained</w:t>
      </w:r>
      <w:r w:rsidRPr="00162CAB">
        <w:t xml:space="preserve"> </w:t>
      </w:r>
      <w:r w:rsidR="00EE7B81">
        <w:t>by</w:t>
      </w:r>
      <w:r w:rsidRPr="00162CAB">
        <w:t xml:space="preserve"> the fact that liquidity and leverage influence each other, thus having a combined impact on profitability.</w:t>
      </w:r>
    </w:p>
    <w:p w14:paraId="756FF9BB" w14:textId="6C292F83" w:rsidR="003A2661" w:rsidRDefault="003A2661" w:rsidP="00560727">
      <w:pPr>
        <w:spacing w:line="360" w:lineRule="auto"/>
        <w:jc w:val="both"/>
      </w:pPr>
      <w:r>
        <w:t>A</w:t>
      </w:r>
      <w:r w:rsidRPr="005D4990">
        <w:t xml:space="preserve">n interesting example of the mutual influence </w:t>
      </w:r>
      <w:r>
        <w:t>between</w:t>
      </w:r>
      <w:r w:rsidRPr="005D4990">
        <w:t xml:space="preserve"> liquidity and leverage </w:t>
      </w:r>
      <w:r>
        <w:t>was</w:t>
      </w:r>
      <w:r w:rsidRPr="005D4990">
        <w:t xml:space="preserve"> given by</w:t>
      </w:r>
      <w:r>
        <w:t xml:space="preserve"> the </w:t>
      </w:r>
      <w:r w:rsidRPr="00361606">
        <w:t>economist Yeo,</w:t>
      </w:r>
      <w:r>
        <w:t xml:space="preserve"> </w:t>
      </w:r>
      <w:r w:rsidRPr="005D4990">
        <w:t xml:space="preserve">which, through 600 observations carried out on a target of 130 </w:t>
      </w:r>
      <w:r>
        <w:t xml:space="preserve">Asian </w:t>
      </w:r>
      <w:r w:rsidRPr="005D4990">
        <w:t>shipping companies in the years between 2009 and 2013</w:t>
      </w:r>
      <w:r>
        <w:t>, tried to determine which factors were affecting the solvency liquidity and the financial performance of these companies. T</w:t>
      </w:r>
      <w:r w:rsidRPr="005D4990">
        <w:t>he study took leverage</w:t>
      </w:r>
      <w:r>
        <w:t xml:space="preserve"> (</w:t>
      </w:r>
      <w:r w:rsidR="00965A41">
        <w:rPr>
          <w:i/>
          <w:iCs/>
        </w:rPr>
        <w:t>D</w:t>
      </w:r>
      <w:r w:rsidRPr="001B1B04">
        <w:rPr>
          <w:i/>
          <w:iCs/>
        </w:rPr>
        <w:t>ebt-to-</w:t>
      </w:r>
      <w:r w:rsidR="00965A41">
        <w:rPr>
          <w:i/>
          <w:iCs/>
        </w:rPr>
        <w:t>A</w:t>
      </w:r>
      <w:r w:rsidRPr="001B1B04">
        <w:rPr>
          <w:i/>
          <w:iCs/>
        </w:rPr>
        <w:t xml:space="preserve">sset, </w:t>
      </w:r>
      <w:r w:rsidR="00965A41">
        <w:rPr>
          <w:i/>
          <w:iCs/>
        </w:rPr>
        <w:t>D</w:t>
      </w:r>
      <w:r w:rsidRPr="001B1B04">
        <w:rPr>
          <w:i/>
          <w:iCs/>
        </w:rPr>
        <w:t>ebt-to-</w:t>
      </w:r>
      <w:r w:rsidR="00965A41">
        <w:rPr>
          <w:i/>
          <w:iCs/>
        </w:rPr>
        <w:t>E</w:t>
      </w:r>
      <w:r w:rsidRPr="001B1B04">
        <w:rPr>
          <w:i/>
          <w:iCs/>
        </w:rPr>
        <w:t xml:space="preserve">quity </w:t>
      </w:r>
      <w:r w:rsidRPr="001B1B04">
        <w:t>and</w:t>
      </w:r>
      <w:r w:rsidRPr="001B1B04">
        <w:rPr>
          <w:i/>
          <w:iCs/>
        </w:rPr>
        <w:t xml:space="preserve"> </w:t>
      </w:r>
      <w:r w:rsidR="00965A41">
        <w:rPr>
          <w:i/>
          <w:iCs/>
        </w:rPr>
        <w:t>C</w:t>
      </w:r>
      <w:r w:rsidRPr="001B1B04">
        <w:rPr>
          <w:i/>
          <w:iCs/>
        </w:rPr>
        <w:t xml:space="preserve">urrent </w:t>
      </w:r>
      <w:r w:rsidR="00965A41">
        <w:rPr>
          <w:i/>
          <w:iCs/>
        </w:rPr>
        <w:t>D</w:t>
      </w:r>
      <w:r w:rsidRPr="001B1B04">
        <w:rPr>
          <w:i/>
          <w:iCs/>
        </w:rPr>
        <w:t xml:space="preserve">ebt </w:t>
      </w:r>
      <w:r w:rsidR="00965A41">
        <w:rPr>
          <w:i/>
          <w:iCs/>
        </w:rPr>
        <w:t>R</w:t>
      </w:r>
      <w:r w:rsidRPr="001B1B04">
        <w:rPr>
          <w:i/>
          <w:iCs/>
        </w:rPr>
        <w:t>atio</w:t>
      </w:r>
      <w:r>
        <w:t>)</w:t>
      </w:r>
      <w:r w:rsidRPr="005D4990">
        <w:t xml:space="preserve"> as a </w:t>
      </w:r>
      <w:r w:rsidRPr="005D4990">
        <w:rPr>
          <w:b/>
          <w:bCs/>
        </w:rPr>
        <w:t>dependent</w:t>
      </w:r>
      <w:r w:rsidRPr="005D4990">
        <w:t xml:space="preserve"> </w:t>
      </w:r>
      <w:r>
        <w:t>variable</w:t>
      </w:r>
      <w:r w:rsidRPr="005D4990">
        <w:t>, using the measures of</w:t>
      </w:r>
      <w:r>
        <w:t xml:space="preserve"> firm’s </w:t>
      </w:r>
      <w:r w:rsidRPr="001B1B04">
        <w:rPr>
          <w:i/>
          <w:iCs/>
        </w:rPr>
        <w:t xml:space="preserve">liquidity, tangibility, earning volatility, profitability (ROA), size, age </w:t>
      </w:r>
      <w:r w:rsidRPr="001B1B04">
        <w:t>and</w:t>
      </w:r>
      <w:r w:rsidRPr="001B1B04">
        <w:rPr>
          <w:i/>
          <w:iCs/>
        </w:rPr>
        <w:t xml:space="preserve"> growth</w:t>
      </w:r>
      <w:r>
        <w:t xml:space="preserve"> as </w:t>
      </w:r>
      <w:r w:rsidRPr="005D4990">
        <w:rPr>
          <w:b/>
          <w:bCs/>
        </w:rPr>
        <w:t>independent</w:t>
      </w:r>
      <w:r>
        <w:t xml:space="preserve"> </w:t>
      </w:r>
      <w:r>
        <w:lastRenderedPageBreak/>
        <w:t>variables. T</w:t>
      </w:r>
      <w:r w:rsidRPr="006843C4">
        <w:t>wo models’</w:t>
      </w:r>
      <w:r>
        <w:t xml:space="preserve"> specifications</w:t>
      </w:r>
      <w:r w:rsidRPr="006843C4">
        <w:t xml:space="preserve"> were used in this </w:t>
      </w:r>
      <w:r>
        <w:t xml:space="preserve">paper, the linear model and the feasible generalised model, </w:t>
      </w:r>
      <w:r w:rsidRPr="006843C4">
        <w:t>the results of which, combined, offered interesting starting points for reflection.</w:t>
      </w:r>
      <w:r>
        <w:t xml:space="preserve"> Liquidity resulted </w:t>
      </w:r>
      <w:r w:rsidR="00597764">
        <w:t>in</w:t>
      </w:r>
      <w:r>
        <w:t xml:space="preserve"> be</w:t>
      </w:r>
      <w:r w:rsidR="00597764">
        <w:t>ing</w:t>
      </w:r>
      <w:r>
        <w:t xml:space="preserve"> strictly related to the leverage, </w:t>
      </w:r>
      <w:r w:rsidRPr="006843C4">
        <w:t>a high level of which leads to</w:t>
      </w:r>
      <w:r>
        <w:t xml:space="preserve"> a decrease in cash holding. An elevated earnings’ volatility lead</w:t>
      </w:r>
      <w:r w:rsidR="00CA7CC0">
        <w:t>s</w:t>
      </w:r>
      <w:r>
        <w:t xml:space="preserve"> to a high level of leverage</w:t>
      </w:r>
      <w:r w:rsidR="00CA7CC0">
        <w:t>;</w:t>
      </w:r>
      <w:r>
        <w:t xml:space="preserve"> for this reason</w:t>
      </w:r>
      <w:r w:rsidR="00CA7CC0">
        <w:t>,</w:t>
      </w:r>
      <w:r>
        <w:t xml:space="preserve"> investors tend to avoid volatile companies, which have to finance themselves with a higher cost of debts. </w:t>
      </w:r>
      <w:r w:rsidRPr="00361606">
        <w:t>A higher level of the liquidity of the assets increases the debt’s costs,</w:t>
      </w:r>
      <w:r>
        <w:t xml:space="preserve"> which pushes </w:t>
      </w:r>
      <w:r w:rsidRPr="004901F9">
        <w:t>companies to try to reduce their use</w:t>
      </w:r>
      <w:r>
        <w:t xml:space="preserve">; this </w:t>
      </w:r>
      <w:r w:rsidRPr="003E4FE0">
        <w:rPr>
          <w:u w:val="single"/>
        </w:rPr>
        <w:t>negative</w:t>
      </w:r>
      <w:r>
        <w:t xml:space="preserve"> association led to interest’s conflicts between investors and managers. T</w:t>
      </w:r>
      <w:r w:rsidRPr="00DA4248">
        <w:t>he level of these variables is decisive for the company's financial performance and for guaranteeing its survival, supported by other determining factors such as age, size, level and growth which also</w:t>
      </w:r>
      <w:r>
        <w:t xml:space="preserve"> may</w:t>
      </w:r>
      <w:r w:rsidRPr="00DA4248">
        <w:t xml:space="preserve"> affect the results</w:t>
      </w:r>
      <w:r>
        <w:t xml:space="preserve"> (Yeo, 2016). </w:t>
      </w:r>
    </w:p>
    <w:p w14:paraId="2173AD4F" w14:textId="2DEC830A" w:rsidR="00D76F94" w:rsidRDefault="00D76F94" w:rsidP="00560727">
      <w:pPr>
        <w:spacing w:line="360" w:lineRule="auto"/>
        <w:jc w:val="both"/>
      </w:pPr>
      <w:r>
        <w:t xml:space="preserve">Due </w:t>
      </w:r>
      <w:r w:rsidR="005466CB">
        <w:t xml:space="preserve">to </w:t>
      </w:r>
      <w:r>
        <w:t>the strong association between liquidity and leverage</w:t>
      </w:r>
      <w:r w:rsidRPr="003E4FE0">
        <w:t>, many studies have analy</w:t>
      </w:r>
      <w:r>
        <w:t>s</w:t>
      </w:r>
      <w:r w:rsidRPr="003E4FE0">
        <w:t>ed the</w:t>
      </w:r>
      <w:r>
        <w:t xml:space="preserve">ir partial and </w:t>
      </w:r>
      <w:r w:rsidRPr="003E4FE0">
        <w:t xml:space="preserve">simultaneous effect </w:t>
      </w:r>
      <w:r>
        <w:t xml:space="preserve">of the variables </w:t>
      </w:r>
      <w:r w:rsidRPr="003E4FE0">
        <w:t>on profitability.</w:t>
      </w:r>
      <w:r>
        <w:t xml:space="preserve"> A</w:t>
      </w:r>
      <w:r w:rsidRPr="003E4FE0">
        <w:t>n</w:t>
      </w:r>
      <w:r>
        <w:t>other</w:t>
      </w:r>
      <w:r w:rsidRPr="003E4FE0">
        <w:t xml:space="preserve"> example</w:t>
      </w:r>
      <w:r>
        <w:t xml:space="preserve"> carried out in South East Asia</w:t>
      </w:r>
      <w:r w:rsidRPr="003E4FE0">
        <w:t xml:space="preserve"> was provided by</w:t>
      </w:r>
      <w:r>
        <w:t xml:space="preserve"> a research developed on the Indonesian </w:t>
      </w:r>
      <w:r w:rsidR="00965A41">
        <w:t>S</w:t>
      </w:r>
      <w:r>
        <w:t xml:space="preserve">tock </w:t>
      </w:r>
      <w:r w:rsidR="00965A41">
        <w:t>E</w:t>
      </w:r>
      <w:r>
        <w:t xml:space="preserve">xchange </w:t>
      </w:r>
      <w:r w:rsidR="00965A41">
        <w:t>M</w:t>
      </w:r>
      <w:r>
        <w:t xml:space="preserve">arket, which considered 16 </w:t>
      </w:r>
      <w:r w:rsidRPr="003E4FE0">
        <w:t>public property and real estate companies</w:t>
      </w:r>
      <w:r>
        <w:t xml:space="preserve"> between 2005 and 2010. The </w:t>
      </w:r>
      <w:r w:rsidRPr="003137EC">
        <w:rPr>
          <w:b/>
          <w:bCs/>
        </w:rPr>
        <w:t>independent</w:t>
      </w:r>
      <w:r>
        <w:t xml:space="preserve"> variables considered were the </w:t>
      </w:r>
      <w:r w:rsidR="005466CB">
        <w:rPr>
          <w:i/>
          <w:iCs/>
        </w:rPr>
        <w:t>C</w:t>
      </w:r>
      <w:r>
        <w:rPr>
          <w:i/>
          <w:iCs/>
        </w:rPr>
        <w:t xml:space="preserve">urrent </w:t>
      </w:r>
      <w:r w:rsidR="005466CB">
        <w:rPr>
          <w:i/>
          <w:iCs/>
        </w:rPr>
        <w:t>R</w:t>
      </w:r>
      <w:r>
        <w:rPr>
          <w:i/>
          <w:iCs/>
        </w:rPr>
        <w:t xml:space="preserve">atio </w:t>
      </w:r>
      <w:r>
        <w:t>as liquidity</w:t>
      </w:r>
      <w:r w:rsidR="005466CB">
        <w:t>’s</w:t>
      </w:r>
      <w:r>
        <w:t xml:space="preserve"> measure and the </w:t>
      </w:r>
      <w:r w:rsidR="005466CB">
        <w:rPr>
          <w:i/>
          <w:iCs/>
        </w:rPr>
        <w:t>D</w:t>
      </w:r>
      <w:r w:rsidRPr="00692853">
        <w:rPr>
          <w:i/>
          <w:iCs/>
        </w:rPr>
        <w:t>ebt</w:t>
      </w:r>
      <w:r>
        <w:rPr>
          <w:i/>
          <w:iCs/>
        </w:rPr>
        <w:t>-</w:t>
      </w:r>
      <w:r w:rsidRPr="00692853">
        <w:rPr>
          <w:i/>
          <w:iCs/>
        </w:rPr>
        <w:t>to</w:t>
      </w:r>
      <w:r>
        <w:rPr>
          <w:i/>
          <w:iCs/>
        </w:rPr>
        <w:t>-</w:t>
      </w:r>
      <w:r w:rsidR="005466CB">
        <w:rPr>
          <w:i/>
          <w:iCs/>
        </w:rPr>
        <w:t>E</w:t>
      </w:r>
      <w:r w:rsidRPr="00692853">
        <w:rPr>
          <w:i/>
          <w:iCs/>
        </w:rPr>
        <w:t xml:space="preserve">quity </w:t>
      </w:r>
      <w:r w:rsidR="005466CB">
        <w:rPr>
          <w:i/>
          <w:iCs/>
        </w:rPr>
        <w:t>R</w:t>
      </w:r>
      <w:r w:rsidRPr="00692853">
        <w:rPr>
          <w:i/>
          <w:iCs/>
        </w:rPr>
        <w:t>atio</w:t>
      </w:r>
      <w:r>
        <w:t xml:space="preserve"> as leverage, on the other hand</w:t>
      </w:r>
      <w:r w:rsidR="005466CB">
        <w:t>,</w:t>
      </w:r>
      <w:r>
        <w:t xml:space="preserve"> the </w:t>
      </w:r>
      <w:r w:rsidRPr="003137EC">
        <w:rPr>
          <w:i/>
          <w:iCs/>
        </w:rPr>
        <w:t>ROI</w:t>
      </w:r>
      <w:r>
        <w:rPr>
          <w:i/>
          <w:iCs/>
        </w:rPr>
        <w:t xml:space="preserve"> </w:t>
      </w:r>
      <w:r>
        <w:t xml:space="preserve">represented the </w:t>
      </w:r>
      <w:r w:rsidRPr="003137EC">
        <w:rPr>
          <w:b/>
          <w:bCs/>
        </w:rPr>
        <w:t>dependent</w:t>
      </w:r>
      <w:r>
        <w:t xml:space="preserve"> constant. T</w:t>
      </w:r>
      <w:r w:rsidRPr="003137EC">
        <w:t xml:space="preserve">wo methodologies </w:t>
      </w:r>
      <w:r>
        <w:t>were</w:t>
      </w:r>
      <w:r w:rsidRPr="003137EC">
        <w:t xml:space="preserve"> adopted in this study,</w:t>
      </w:r>
      <w:r>
        <w:t xml:space="preserve"> </w:t>
      </w:r>
      <w:r w:rsidRPr="003137EC">
        <w:rPr>
          <w:i/>
          <w:iCs/>
        </w:rPr>
        <w:t xml:space="preserve">F or </w:t>
      </w:r>
      <w:proofErr w:type="spellStart"/>
      <w:r w:rsidRPr="003137EC">
        <w:rPr>
          <w:i/>
          <w:iCs/>
        </w:rPr>
        <w:t>Simultan</w:t>
      </w:r>
      <w:proofErr w:type="spellEnd"/>
      <w:r w:rsidRPr="003137EC">
        <w:rPr>
          <w:i/>
          <w:iCs/>
        </w:rPr>
        <w:t xml:space="preserve"> Test</w:t>
      </w:r>
      <w:r>
        <w:t xml:space="preserve"> </w:t>
      </w:r>
      <w:r w:rsidRPr="003137EC">
        <w:t>to test the simultaneou</w:t>
      </w:r>
      <w:r>
        <w:t xml:space="preserve">s </w:t>
      </w:r>
      <w:r w:rsidRPr="003137EC">
        <w:t xml:space="preserve">effect of independent variables </w:t>
      </w:r>
      <w:r>
        <w:t xml:space="preserve">on the dependent one and the </w:t>
      </w:r>
      <w:r w:rsidRPr="003137EC">
        <w:rPr>
          <w:i/>
          <w:iCs/>
        </w:rPr>
        <w:t>T or Partial Test</w:t>
      </w:r>
      <w:r>
        <w:rPr>
          <w:i/>
          <w:iCs/>
        </w:rPr>
        <w:t xml:space="preserve"> </w:t>
      </w:r>
      <w:r>
        <w:t xml:space="preserve">to test each variable </w:t>
      </w:r>
      <w:r w:rsidRPr="003137EC">
        <w:t>independently of the other</w:t>
      </w:r>
      <w:r>
        <w:t>. T</w:t>
      </w:r>
      <w:r w:rsidRPr="00692853">
        <w:t>he multiple linear regression test</w:t>
      </w:r>
      <w:r>
        <w:t xml:space="preserve"> showed that liquidity and leverage have</w:t>
      </w:r>
      <w:r w:rsidR="00361606">
        <w:t xml:space="preserve"> </w:t>
      </w:r>
      <w:r w:rsidR="005466CB">
        <w:t xml:space="preserve">an </w:t>
      </w:r>
      <w:r w:rsidR="00361606">
        <w:t>overall</w:t>
      </w:r>
      <w:r>
        <w:t xml:space="preserve"> </w:t>
      </w:r>
      <w:r w:rsidRPr="00361606">
        <w:t xml:space="preserve">significant </w:t>
      </w:r>
      <w:r>
        <w:t>effect on profitability. T</w:t>
      </w:r>
      <w:r w:rsidRPr="00692853">
        <w:t>he two variables separately</w:t>
      </w:r>
      <w:r>
        <w:t>,</w:t>
      </w:r>
      <w:r w:rsidRPr="00692853">
        <w:t xml:space="preserve"> instead</w:t>
      </w:r>
      <w:r>
        <w:t>,</w:t>
      </w:r>
      <w:r w:rsidRPr="00692853">
        <w:t xml:space="preserve"> show</w:t>
      </w:r>
      <w:r>
        <w:t>ed</w:t>
      </w:r>
      <w:r w:rsidRPr="00692853">
        <w:t xml:space="preserve"> how</w:t>
      </w:r>
      <w:r>
        <w:t xml:space="preserve"> the fluctuation in CR did</w:t>
      </w:r>
      <w:r w:rsidR="00EE7B81">
        <w:t xml:space="preserve"> not</w:t>
      </w:r>
      <w:r>
        <w:t xml:space="preserve"> have an apparent</w:t>
      </w:r>
      <w:r w:rsidR="00D07EAB">
        <w:t xml:space="preserve"> significant</w:t>
      </w:r>
      <w:r>
        <w:t xml:space="preserve"> reaction on the ROI, while the leverage had </w:t>
      </w:r>
      <w:r w:rsidR="005466CB">
        <w:t xml:space="preserve">a </w:t>
      </w:r>
      <w:r>
        <w:t>partial significant negative effect on it. T</w:t>
      </w:r>
      <w:r w:rsidRPr="007D4BF4">
        <w:t>hese conclusions are a clear example of how a combined study of the two variables</w:t>
      </w:r>
      <w:r w:rsidR="00D07EAB">
        <w:t xml:space="preserve"> may</w:t>
      </w:r>
      <w:r w:rsidRPr="007D4BF4">
        <w:t xml:space="preserve"> lead to different results from their single analysis</w:t>
      </w:r>
      <w:r>
        <w:t xml:space="preserve"> </w:t>
      </w:r>
      <w:r w:rsidRPr="00FE7395">
        <w:t xml:space="preserve">(Rudin, </w:t>
      </w:r>
      <w:proofErr w:type="spellStart"/>
      <w:r w:rsidRPr="00FE7395">
        <w:t>Nurdin</w:t>
      </w:r>
      <w:proofErr w:type="spellEnd"/>
      <w:r w:rsidRPr="00FE7395">
        <w:t xml:space="preserve"> and Fattah, 2016)</w:t>
      </w:r>
      <w:r>
        <w:t>.</w:t>
      </w:r>
    </w:p>
    <w:p w14:paraId="010981BE" w14:textId="7BC6F21D" w:rsidR="0058346D" w:rsidRDefault="00D76F94" w:rsidP="00560727">
      <w:pPr>
        <w:spacing w:line="360" w:lineRule="auto"/>
        <w:jc w:val="both"/>
      </w:pPr>
      <w:r>
        <w:t>A</w:t>
      </w:r>
      <w:r w:rsidRPr="003E240D">
        <w:t xml:space="preserve">lthough </w:t>
      </w:r>
      <w:r w:rsidR="00D07EAB">
        <w:t>many</w:t>
      </w:r>
      <w:r w:rsidRPr="003E240D">
        <w:t xml:space="preserve"> studies show a positive association between liquidity</w:t>
      </w:r>
      <w:r>
        <w:t>’s</w:t>
      </w:r>
      <w:r w:rsidRPr="003E240D">
        <w:t xml:space="preserve"> variables and corporate performance, some research</w:t>
      </w:r>
      <w:r w:rsidR="00E11892">
        <w:t>es</w:t>
      </w:r>
      <w:r w:rsidR="00EE7B81">
        <w:t xml:space="preserve"> are</w:t>
      </w:r>
      <w:r w:rsidRPr="003E240D">
        <w:t xml:space="preserve"> show</w:t>
      </w:r>
      <w:r w:rsidR="00EE7B81">
        <w:t>ing</w:t>
      </w:r>
      <w:r w:rsidRPr="003E240D">
        <w:t xml:space="preserve"> the opposite.</w:t>
      </w:r>
      <w:r>
        <w:t xml:space="preserve"> A</w:t>
      </w:r>
      <w:r w:rsidRPr="003E240D">
        <w:t>n example</w:t>
      </w:r>
      <w:r>
        <w:t>, staying with the Indonesian territory,</w:t>
      </w:r>
      <w:r w:rsidRPr="003E240D">
        <w:t xml:space="preserve"> is provided by a study carried out 38 Indonesian companies, 11 of which operate</w:t>
      </w:r>
      <w:r w:rsidR="00965A41">
        <w:t>d</w:t>
      </w:r>
      <w:r w:rsidRPr="003E240D">
        <w:t xml:space="preserve"> in agriculture and 27 in consumer goods</w:t>
      </w:r>
      <w:r>
        <w:t xml:space="preserve"> from 2005 – 2013. T</w:t>
      </w:r>
      <w:r w:rsidRPr="003F6D80">
        <w:t>he measures used were</w:t>
      </w:r>
      <w:r w:rsidR="005466CB">
        <w:t xml:space="preserve"> the</w:t>
      </w:r>
      <w:r>
        <w:t xml:space="preserve"> </w:t>
      </w:r>
      <w:r w:rsidR="005466CB">
        <w:rPr>
          <w:i/>
          <w:iCs/>
        </w:rPr>
        <w:t>C</w:t>
      </w:r>
      <w:r w:rsidRPr="003F6D80">
        <w:rPr>
          <w:i/>
          <w:iCs/>
        </w:rPr>
        <w:t xml:space="preserve">ash </w:t>
      </w:r>
      <w:r w:rsidR="005466CB">
        <w:rPr>
          <w:i/>
          <w:iCs/>
        </w:rPr>
        <w:t>C</w:t>
      </w:r>
      <w:r w:rsidRPr="003F6D80">
        <w:rPr>
          <w:i/>
          <w:iCs/>
        </w:rPr>
        <w:t xml:space="preserve">onversion </w:t>
      </w:r>
      <w:r w:rsidR="005466CB">
        <w:rPr>
          <w:i/>
          <w:iCs/>
        </w:rPr>
        <w:t>C</w:t>
      </w:r>
      <w:r w:rsidRPr="003F6D80">
        <w:rPr>
          <w:i/>
          <w:iCs/>
        </w:rPr>
        <w:t xml:space="preserve">ycle, </w:t>
      </w:r>
      <w:r w:rsidR="005466CB">
        <w:rPr>
          <w:i/>
          <w:iCs/>
        </w:rPr>
        <w:t>C</w:t>
      </w:r>
      <w:r w:rsidRPr="003F6D80">
        <w:rPr>
          <w:i/>
          <w:iCs/>
        </w:rPr>
        <w:t xml:space="preserve">urrent </w:t>
      </w:r>
      <w:r w:rsidR="005466CB">
        <w:rPr>
          <w:i/>
          <w:iCs/>
        </w:rPr>
        <w:t>R</w:t>
      </w:r>
      <w:r w:rsidRPr="003F6D80">
        <w:rPr>
          <w:i/>
          <w:iCs/>
        </w:rPr>
        <w:t xml:space="preserve">atio </w:t>
      </w:r>
      <w:r w:rsidRPr="003F6D80">
        <w:t>and</w:t>
      </w:r>
      <w:r w:rsidRPr="003F6D80">
        <w:rPr>
          <w:i/>
          <w:iCs/>
        </w:rPr>
        <w:t xml:space="preserve"> </w:t>
      </w:r>
      <w:r w:rsidR="005466CB">
        <w:rPr>
          <w:i/>
          <w:iCs/>
        </w:rPr>
        <w:t>Q</w:t>
      </w:r>
      <w:r w:rsidRPr="003F6D80">
        <w:rPr>
          <w:i/>
          <w:iCs/>
        </w:rPr>
        <w:t xml:space="preserve">uick </w:t>
      </w:r>
      <w:r w:rsidR="005466CB">
        <w:rPr>
          <w:i/>
          <w:iCs/>
        </w:rPr>
        <w:t>R</w:t>
      </w:r>
      <w:r w:rsidRPr="003F6D80">
        <w:rPr>
          <w:i/>
          <w:iCs/>
        </w:rPr>
        <w:t>atio</w:t>
      </w:r>
      <w:r>
        <w:t xml:space="preserve"> for the liquidity, while for the profitability </w:t>
      </w:r>
      <w:r w:rsidRPr="00641C71">
        <w:rPr>
          <w:i/>
          <w:iCs/>
        </w:rPr>
        <w:t xml:space="preserve">Return on Asset </w:t>
      </w:r>
      <w:r w:rsidRPr="00641C71">
        <w:t>and</w:t>
      </w:r>
      <w:r w:rsidRPr="00641C71">
        <w:rPr>
          <w:i/>
          <w:iCs/>
        </w:rPr>
        <w:t xml:space="preserve"> Return on Equity</w:t>
      </w:r>
      <w:r>
        <w:t xml:space="preserve">. The research, </w:t>
      </w:r>
      <w:r w:rsidRPr="00872217">
        <w:t xml:space="preserve">accomplished </w:t>
      </w:r>
      <w:r w:rsidRPr="008B02F6">
        <w:t>through</w:t>
      </w:r>
      <w:r>
        <w:t xml:space="preserve"> </w:t>
      </w:r>
      <w:r w:rsidRPr="008B02F6">
        <w:t xml:space="preserve">linear regression analysis and </w:t>
      </w:r>
      <w:r>
        <w:t>S</w:t>
      </w:r>
      <w:r w:rsidRPr="008B02F6">
        <w:t>pearman rank correlation analysis</w:t>
      </w:r>
      <w:r>
        <w:t>,</w:t>
      </w:r>
      <w:r w:rsidRPr="008B02F6">
        <w:t xml:space="preserve"> researched the effect of </w:t>
      </w:r>
      <w:r>
        <w:t xml:space="preserve">independent </w:t>
      </w:r>
      <w:r w:rsidRPr="008B02F6">
        <w:t>variables on ROA and ROE by studying the</w:t>
      </w:r>
      <w:r>
        <w:t>ir outcome</w:t>
      </w:r>
      <w:r w:rsidRPr="008B02F6">
        <w:t xml:space="preserve"> separately</w:t>
      </w:r>
      <w:r>
        <w:t>. The first methodology showed different results in the two sectors considered. In</w:t>
      </w:r>
      <w:r w:rsidR="005466CB">
        <w:t xml:space="preserve"> the</w:t>
      </w:r>
      <w:r>
        <w:t xml:space="preserve"> agriculture sector, ROE is negatively affected by CCC and CR, while ROA just by the CR, always in negative proportion. </w:t>
      </w:r>
      <w:r w:rsidRPr="004D3814">
        <w:t>In</w:t>
      </w:r>
      <w:r w:rsidR="005466CB">
        <w:t xml:space="preserve"> the</w:t>
      </w:r>
      <w:r w:rsidRPr="004D3814">
        <w:t xml:space="preserve"> consumer goods sector</w:t>
      </w:r>
      <w:r>
        <w:t>, ROE and ROA are both significantly negatively affected just by CCC. The S</w:t>
      </w:r>
      <w:r w:rsidRPr="008B02F6">
        <w:t>pearman rank correlation analysis</w:t>
      </w:r>
      <w:r>
        <w:t xml:space="preserve">, </w:t>
      </w:r>
      <w:r w:rsidRPr="004D3814">
        <w:t xml:space="preserve">however, showed that this negative </w:t>
      </w:r>
      <w:r w:rsidRPr="004D3814">
        <w:lastRenderedPageBreak/>
        <w:t>association between all variables is rather weak.</w:t>
      </w:r>
      <w:r>
        <w:t xml:space="preserve"> In conclusion, it can be said that exist a </w:t>
      </w:r>
      <w:r w:rsidRPr="000C0E2F">
        <w:rPr>
          <w:u w:val="single"/>
        </w:rPr>
        <w:t>negative</w:t>
      </w:r>
      <w:r>
        <w:t xml:space="preserve"> association between liquidity and profitability, even if the results are proved to be weak. The use of different variables is necessary to support or refu</w:t>
      </w:r>
      <w:r w:rsidR="005466CB">
        <w:t>t</w:t>
      </w:r>
      <w:r>
        <w:t xml:space="preserve">e the results </w:t>
      </w:r>
      <w:r w:rsidRPr="000C0E2F">
        <w:t xml:space="preserve">since the </w:t>
      </w:r>
      <w:r>
        <w:t xml:space="preserve">conclusions of the </w:t>
      </w:r>
      <w:r w:rsidR="00965A41">
        <w:t>re</w:t>
      </w:r>
      <w:r w:rsidRPr="000C0E2F">
        <w:t xml:space="preserve">search </w:t>
      </w:r>
      <w:r>
        <w:t xml:space="preserve">are not enough </w:t>
      </w:r>
      <w:r w:rsidRPr="000C0E2F">
        <w:t>reliable</w:t>
      </w:r>
      <w:r>
        <w:t xml:space="preserve"> (</w:t>
      </w:r>
      <w:proofErr w:type="spellStart"/>
      <w:r>
        <w:t>Irawan</w:t>
      </w:r>
      <w:proofErr w:type="spellEnd"/>
      <w:r>
        <w:t xml:space="preserve"> and </w:t>
      </w:r>
      <w:proofErr w:type="spellStart"/>
      <w:r>
        <w:t>Faturohman</w:t>
      </w:r>
      <w:proofErr w:type="spellEnd"/>
      <w:r>
        <w:t>, 2015).</w:t>
      </w:r>
    </w:p>
    <w:p w14:paraId="5EEED26C" w14:textId="64B26E5D" w:rsidR="006D734E" w:rsidRDefault="00AD1318" w:rsidP="00560727">
      <w:pPr>
        <w:spacing w:line="360" w:lineRule="auto"/>
        <w:jc w:val="both"/>
      </w:pPr>
      <w:r>
        <w:t xml:space="preserve">Moving on </w:t>
      </w:r>
      <w:r w:rsidR="005466CB">
        <w:t xml:space="preserve">the </w:t>
      </w:r>
      <w:r>
        <w:t>analysis carried out in Central Europe, t</w:t>
      </w:r>
      <w:r w:rsidR="006D734E" w:rsidRPr="002B73B2">
        <w:t xml:space="preserve">he results of a </w:t>
      </w:r>
      <w:r w:rsidR="006D734E" w:rsidRPr="00DB32CD">
        <w:t>positive</w:t>
      </w:r>
      <w:r w:rsidR="006D734E" w:rsidRPr="002B73B2">
        <w:t xml:space="preserve"> association between liquidity and profitability </w:t>
      </w:r>
      <w:r w:rsidR="006D734E">
        <w:t>come</w:t>
      </w:r>
      <w:r w:rsidR="006D734E" w:rsidRPr="002B73B2">
        <w:t xml:space="preserve"> from a</w:t>
      </w:r>
      <w:r w:rsidR="006D734E">
        <w:t>n empirical</w:t>
      </w:r>
      <w:r w:rsidR="006D734E" w:rsidRPr="002B73B2">
        <w:t xml:space="preserve"> study conducted on 10 Polish IT companies in the period between 2003 and 2011, </w:t>
      </w:r>
      <w:r w:rsidR="006D734E">
        <w:t xml:space="preserve">which are </w:t>
      </w:r>
      <w:r w:rsidR="006D734E" w:rsidRPr="002B73B2">
        <w:t xml:space="preserve">listed on the Warsaw </w:t>
      </w:r>
      <w:r w:rsidR="00965A41">
        <w:t>S</w:t>
      </w:r>
      <w:r w:rsidR="006D734E" w:rsidRPr="002B73B2">
        <w:t xml:space="preserve">tock </w:t>
      </w:r>
      <w:r w:rsidR="00965A41">
        <w:t>E</w:t>
      </w:r>
      <w:r w:rsidR="006D734E" w:rsidRPr="002B73B2">
        <w:t xml:space="preserve">xchange </w:t>
      </w:r>
      <w:r w:rsidR="00965A41">
        <w:t>M</w:t>
      </w:r>
      <w:r w:rsidR="006D734E" w:rsidRPr="002B73B2">
        <w:t>arket.</w:t>
      </w:r>
      <w:r w:rsidR="006D734E">
        <w:t xml:space="preserve"> The research method employed the Pearson correlation coefficient and used the linear regression model; the significance of the influences was based on the T-Student test with a level of freedom of n-(k+1). The profitability’s </w:t>
      </w:r>
      <w:r w:rsidR="006D734E" w:rsidRPr="00FB5A06">
        <w:rPr>
          <w:b/>
          <w:bCs/>
        </w:rPr>
        <w:t>dependent</w:t>
      </w:r>
      <w:r w:rsidR="006D734E">
        <w:t xml:space="preserve"> variables were determined through </w:t>
      </w:r>
      <w:r w:rsidR="006D734E" w:rsidRPr="00FB5A06">
        <w:rPr>
          <w:i/>
          <w:iCs/>
        </w:rPr>
        <w:t>ROA</w:t>
      </w:r>
      <w:r w:rsidR="006D734E">
        <w:t xml:space="preserve"> as </w:t>
      </w:r>
      <w:r w:rsidR="006D734E" w:rsidRPr="00FB5A06">
        <w:rPr>
          <w:i/>
          <w:iCs/>
        </w:rPr>
        <w:t>Y1</w:t>
      </w:r>
      <w:r w:rsidR="006D734E">
        <w:t xml:space="preserve">, </w:t>
      </w:r>
      <w:r w:rsidR="006D734E" w:rsidRPr="00FB5A06">
        <w:rPr>
          <w:i/>
          <w:iCs/>
        </w:rPr>
        <w:t>ROE</w:t>
      </w:r>
      <w:r w:rsidR="006D734E">
        <w:t xml:space="preserve"> as </w:t>
      </w:r>
      <w:r w:rsidR="006D734E" w:rsidRPr="00FB5A06">
        <w:rPr>
          <w:i/>
          <w:iCs/>
        </w:rPr>
        <w:t>Y2</w:t>
      </w:r>
      <w:r w:rsidR="006D734E">
        <w:t xml:space="preserve"> and </w:t>
      </w:r>
      <w:r w:rsidR="006D734E" w:rsidRPr="00FB5A06">
        <w:rPr>
          <w:i/>
          <w:iCs/>
        </w:rPr>
        <w:t>ROI</w:t>
      </w:r>
      <w:r w:rsidR="006D734E">
        <w:t xml:space="preserve"> as </w:t>
      </w:r>
      <w:r w:rsidR="006D734E" w:rsidRPr="005F7282">
        <w:rPr>
          <w:i/>
          <w:iCs/>
        </w:rPr>
        <w:t>Y3</w:t>
      </w:r>
      <w:r w:rsidR="006D734E">
        <w:t xml:space="preserve">; whereas the liquidity’s </w:t>
      </w:r>
      <w:r w:rsidR="006D734E">
        <w:rPr>
          <w:b/>
          <w:bCs/>
        </w:rPr>
        <w:t xml:space="preserve">independent </w:t>
      </w:r>
      <w:r w:rsidR="006D734E">
        <w:t xml:space="preserve">variables considered were manifold, defined as </w:t>
      </w:r>
      <w:r w:rsidR="00560727">
        <w:rPr>
          <w:i/>
          <w:iCs/>
        </w:rPr>
        <w:t>C</w:t>
      </w:r>
      <w:r w:rsidR="006D734E">
        <w:rPr>
          <w:i/>
          <w:iCs/>
        </w:rPr>
        <w:t xml:space="preserve">urrent </w:t>
      </w:r>
      <w:r w:rsidR="00560727">
        <w:rPr>
          <w:i/>
          <w:iCs/>
        </w:rPr>
        <w:t>R</w:t>
      </w:r>
      <w:r w:rsidR="006D734E">
        <w:rPr>
          <w:i/>
          <w:iCs/>
        </w:rPr>
        <w:t xml:space="preserve">atio (X1), </w:t>
      </w:r>
      <w:r w:rsidR="00560727">
        <w:rPr>
          <w:i/>
          <w:iCs/>
        </w:rPr>
        <w:t>Q</w:t>
      </w:r>
      <w:r w:rsidR="006D734E">
        <w:rPr>
          <w:i/>
          <w:iCs/>
        </w:rPr>
        <w:t xml:space="preserve">uick </w:t>
      </w:r>
      <w:r w:rsidR="00560727">
        <w:rPr>
          <w:i/>
          <w:iCs/>
        </w:rPr>
        <w:t>R</w:t>
      </w:r>
      <w:r w:rsidR="006D734E">
        <w:rPr>
          <w:i/>
          <w:iCs/>
        </w:rPr>
        <w:t xml:space="preserve">atio (X2) </w:t>
      </w:r>
      <w:r w:rsidR="006D734E" w:rsidRPr="009B16EE">
        <w:t>which, due to the strong dependence on X1, was not con</w:t>
      </w:r>
      <w:r w:rsidR="006D734E">
        <w:t>templated</w:t>
      </w:r>
      <w:r w:rsidR="006D734E" w:rsidRPr="009B16EE">
        <w:t xml:space="preserve"> significant in the calculation</w:t>
      </w:r>
      <w:r w:rsidR="006D734E">
        <w:t xml:space="preserve">, </w:t>
      </w:r>
      <w:r w:rsidR="006D734E">
        <w:rPr>
          <w:i/>
          <w:iCs/>
        </w:rPr>
        <w:t xml:space="preserve">receivable conversion period (X3), inventory conversion period (X4), account payable conversion period (X5) </w:t>
      </w:r>
      <w:r w:rsidR="006D734E" w:rsidRPr="009B16EE">
        <w:t>and</w:t>
      </w:r>
      <w:r w:rsidR="006D734E">
        <w:rPr>
          <w:i/>
          <w:iCs/>
        </w:rPr>
        <w:t xml:space="preserve"> cash conversion period (X6). </w:t>
      </w:r>
      <w:r w:rsidR="006D734E">
        <w:t>T</w:t>
      </w:r>
      <w:r w:rsidR="006D734E" w:rsidRPr="00060EFB">
        <w:t>he study noted that the impact of the influence on profitability was in many cases</w:t>
      </w:r>
      <w:r w:rsidR="006D734E">
        <w:t xml:space="preserve"> delayed, but overall, the association between all variables resulted </w:t>
      </w:r>
      <w:r w:rsidR="006D734E" w:rsidRPr="00DB32CD">
        <w:rPr>
          <w:u w:val="single"/>
        </w:rPr>
        <w:t>positive</w:t>
      </w:r>
      <w:r w:rsidR="006D734E">
        <w:t xml:space="preserve">, with different levels of significance and consistency. Despite the results, the study did not consider the cash-flow indicators, </w:t>
      </w:r>
      <w:r w:rsidR="006D734E" w:rsidRPr="00DF2CF5">
        <w:t xml:space="preserve">which can lead to different </w:t>
      </w:r>
      <w:r w:rsidR="006D734E">
        <w:t>answers and, in addition to this, can be useful employ panel data method to verify the</w:t>
      </w:r>
      <w:r w:rsidR="006D734E" w:rsidRPr="00AE744F">
        <w:t xml:space="preserve"> conclusions that have been reached</w:t>
      </w:r>
      <w:r w:rsidR="006D734E">
        <w:t xml:space="preserve"> (Justyna, 2013).</w:t>
      </w:r>
    </w:p>
    <w:p w14:paraId="0B0B62D0" w14:textId="1724D6BC" w:rsidR="006D734E" w:rsidRDefault="006D734E" w:rsidP="00560727">
      <w:pPr>
        <w:spacing w:line="360" w:lineRule="auto"/>
        <w:jc w:val="both"/>
      </w:pPr>
      <w:r w:rsidRPr="00ED1B04">
        <w:t xml:space="preserve">Indeed, Mills and Yamamura in 1998 highlighted the importance of cash flow, comparing the short-term obligations with the amount of cash generated in the same short-term period taken into consideration. This comparison allows </w:t>
      </w:r>
      <w:r w:rsidR="005466CB">
        <w:t>understanding</w:t>
      </w:r>
      <w:r w:rsidRPr="00ED1B04">
        <w:t xml:space="preserve"> if the company has liquidity problems and therefore issues in the current debts paying ability, underlining if the business is able to generate enough resources needed to cover the obligations expiring in the year (Mills and Yamamura, 1998).</w:t>
      </w:r>
    </w:p>
    <w:p w14:paraId="56231EB5" w14:textId="0EC094EF" w:rsidR="006D734E" w:rsidRDefault="006D734E" w:rsidP="00560727">
      <w:pPr>
        <w:spacing w:line="360" w:lineRule="auto"/>
        <w:jc w:val="both"/>
      </w:pPr>
      <w:r>
        <w:t>Analysing</w:t>
      </w:r>
      <w:r w:rsidRPr="00504B12">
        <w:t xml:space="preserve"> more recent studies</w:t>
      </w:r>
      <w:r w:rsidR="00AD1318">
        <w:t xml:space="preserve"> accomplished in West Africa</w:t>
      </w:r>
      <w:r>
        <w:t>, it is useful</w:t>
      </w:r>
      <w:r w:rsidRPr="00504B12">
        <w:t xml:space="preserve"> </w:t>
      </w:r>
      <w:r>
        <w:t>to</w:t>
      </w:r>
      <w:r w:rsidRPr="00504B12">
        <w:t xml:space="preserve"> dwell on the research of</w:t>
      </w:r>
      <w:r>
        <w:t xml:space="preserve"> </w:t>
      </w:r>
      <w:proofErr w:type="spellStart"/>
      <w:r w:rsidRPr="00504B12">
        <w:t>Hongli</w:t>
      </w:r>
      <w:proofErr w:type="spellEnd"/>
      <w:r>
        <w:t xml:space="preserve">, </w:t>
      </w:r>
      <w:proofErr w:type="spellStart"/>
      <w:r w:rsidRPr="00504B12">
        <w:t>Ajorsu</w:t>
      </w:r>
      <w:proofErr w:type="spellEnd"/>
      <w:r>
        <w:t xml:space="preserve"> and </w:t>
      </w:r>
      <w:proofErr w:type="spellStart"/>
      <w:r w:rsidRPr="00504B12">
        <w:t>Bakpa</w:t>
      </w:r>
      <w:proofErr w:type="spellEnd"/>
      <w:r>
        <w:t xml:space="preserve"> which in 2019 presented a paper on 22 companies quoted on the Ghana </w:t>
      </w:r>
      <w:r w:rsidR="00560727">
        <w:t>S</w:t>
      </w:r>
      <w:r>
        <w:t xml:space="preserve">tock </w:t>
      </w:r>
      <w:r w:rsidR="00560727">
        <w:t>E</w:t>
      </w:r>
      <w:r>
        <w:t xml:space="preserve">xchange </w:t>
      </w:r>
      <w:r w:rsidR="00560727">
        <w:t>M</w:t>
      </w:r>
      <w:r>
        <w:t xml:space="preserve">arket, covering the 2007 – 2015 period, with a total of 198 observations. It focused on the effect of liquidity and leverage on profitability from six different manufacturing sectors, combining both </w:t>
      </w:r>
      <w:r w:rsidRPr="00504B12">
        <w:t>time series and cross</w:t>
      </w:r>
      <w:r>
        <w:t>-</w:t>
      </w:r>
      <w:r w:rsidRPr="00504B12">
        <w:t>sectional data</w:t>
      </w:r>
      <w:r>
        <w:t xml:space="preserve">. The </w:t>
      </w:r>
      <w:r w:rsidRPr="00504B12">
        <w:rPr>
          <w:b/>
          <w:bCs/>
        </w:rPr>
        <w:t>dependent</w:t>
      </w:r>
      <w:r>
        <w:t xml:space="preserve"> variables considered were </w:t>
      </w:r>
      <w:r w:rsidRPr="00504B12">
        <w:rPr>
          <w:i/>
          <w:iCs/>
        </w:rPr>
        <w:t xml:space="preserve">ROA </w:t>
      </w:r>
      <w:r>
        <w:t>and</w:t>
      </w:r>
      <w:r w:rsidRPr="00504B12">
        <w:rPr>
          <w:i/>
          <w:iCs/>
        </w:rPr>
        <w:t xml:space="preserve"> ROE</w:t>
      </w:r>
      <w:r>
        <w:t xml:space="preserve">, whereas </w:t>
      </w:r>
      <w:r w:rsidR="00560727">
        <w:rPr>
          <w:i/>
          <w:iCs/>
        </w:rPr>
        <w:t>F</w:t>
      </w:r>
      <w:r w:rsidRPr="00504B12">
        <w:rPr>
          <w:i/>
          <w:iCs/>
        </w:rPr>
        <w:t xml:space="preserve">inancial </w:t>
      </w:r>
      <w:r w:rsidR="00560727">
        <w:rPr>
          <w:i/>
          <w:iCs/>
        </w:rPr>
        <w:t>L</w:t>
      </w:r>
      <w:r w:rsidRPr="00504B12">
        <w:rPr>
          <w:i/>
          <w:iCs/>
        </w:rPr>
        <w:t xml:space="preserve">everage (FLE) </w:t>
      </w:r>
      <w:r w:rsidRPr="00504B12">
        <w:t>and</w:t>
      </w:r>
      <w:r w:rsidRPr="00504B12">
        <w:rPr>
          <w:i/>
          <w:iCs/>
        </w:rPr>
        <w:t xml:space="preserve"> </w:t>
      </w:r>
      <w:r w:rsidR="00560727">
        <w:rPr>
          <w:i/>
          <w:iCs/>
        </w:rPr>
        <w:t>L</w:t>
      </w:r>
      <w:r w:rsidRPr="00504B12">
        <w:rPr>
          <w:i/>
          <w:iCs/>
        </w:rPr>
        <w:t>iquidity (LIQ)</w:t>
      </w:r>
      <w:r>
        <w:t xml:space="preserve"> are the </w:t>
      </w:r>
      <w:r w:rsidRPr="00504B12">
        <w:rPr>
          <w:b/>
          <w:bCs/>
        </w:rPr>
        <w:t>independent</w:t>
      </w:r>
      <w:r>
        <w:t xml:space="preserve"> variables, flanked by three control measure noted as </w:t>
      </w:r>
      <w:r w:rsidRPr="00504B12">
        <w:rPr>
          <w:i/>
          <w:iCs/>
        </w:rPr>
        <w:t xml:space="preserve">firm’s size, age </w:t>
      </w:r>
      <w:r w:rsidRPr="00504B12">
        <w:t>and</w:t>
      </w:r>
      <w:r w:rsidRPr="00504B12">
        <w:rPr>
          <w:i/>
          <w:iCs/>
        </w:rPr>
        <w:t xml:space="preserve"> sales growth.</w:t>
      </w:r>
      <w:r>
        <w:rPr>
          <w:i/>
          <w:iCs/>
        </w:rPr>
        <w:t xml:space="preserve"> </w:t>
      </w:r>
      <w:r>
        <w:t xml:space="preserve">The Hausman test </w:t>
      </w:r>
      <w:r w:rsidR="00507C3C">
        <w:t>established</w:t>
      </w:r>
      <w:r>
        <w:t xml:space="preserve"> that,</w:t>
      </w:r>
      <w:r w:rsidR="00AD1318">
        <w:t xml:space="preserve"> in this scenario,</w:t>
      </w:r>
      <w:r>
        <w:t xml:space="preserve"> to estimate the impact on the company’s financial performance, the best model is the fixed effect model. The method </w:t>
      </w:r>
      <w:r w:rsidR="00507C3C">
        <w:t>demonstrated</w:t>
      </w:r>
      <w:r>
        <w:t xml:space="preserve"> that LIQ had a </w:t>
      </w:r>
      <w:r w:rsidRPr="00E13A7A">
        <w:rPr>
          <w:u w:val="single"/>
        </w:rPr>
        <w:t>positive</w:t>
      </w:r>
      <w:r>
        <w:t xml:space="preserve"> impact on ROE with a </w:t>
      </w:r>
      <w:r>
        <w:lastRenderedPageBreak/>
        <w:t>significant level 0f 0.01 at 26%; while regarding the ROA, an increase by 1 unit of LIQ le</w:t>
      </w:r>
      <w:r w:rsidR="005466CB">
        <w:t>d</w:t>
      </w:r>
      <w:r>
        <w:t xml:space="preserve"> to a -2%, which </w:t>
      </w:r>
      <w:r w:rsidR="00DB32CD" w:rsidRPr="002D4822">
        <w:t>resulted instead insignificant</w:t>
      </w:r>
      <w:r w:rsidRPr="002D4822">
        <w:t>. The first result (ROE) is accepted on the profitability ‘F’ test, whose value is 0.000</w:t>
      </w:r>
      <w:r w:rsidR="00DB32CD" w:rsidRPr="002D4822">
        <w:t>1</w:t>
      </w:r>
      <w:r w:rsidRPr="002D4822">
        <w:t>. These</w:t>
      </w:r>
      <w:r>
        <w:t xml:space="preserve"> conclusions are at the basis of suggestions for the management, that must ensure an ideal level of current assets and liabilities, as they can influence the possibility to honour the short-term obligations </w:t>
      </w:r>
      <w:r w:rsidRPr="00EC2E4F">
        <w:t>(</w:t>
      </w:r>
      <w:proofErr w:type="spellStart"/>
      <w:r w:rsidRPr="00EC2E4F">
        <w:t>Hongly</w:t>
      </w:r>
      <w:proofErr w:type="spellEnd"/>
      <w:r w:rsidRPr="00EC2E4F">
        <w:t xml:space="preserve">, </w:t>
      </w:r>
      <w:proofErr w:type="spellStart"/>
      <w:r w:rsidRPr="00EC2E4F">
        <w:t>Ajorsu</w:t>
      </w:r>
      <w:proofErr w:type="spellEnd"/>
      <w:r w:rsidRPr="00EC2E4F">
        <w:t xml:space="preserve"> and </w:t>
      </w:r>
      <w:proofErr w:type="spellStart"/>
      <w:r w:rsidRPr="00EC2E4F">
        <w:t>Bakpa</w:t>
      </w:r>
      <w:proofErr w:type="spellEnd"/>
      <w:r w:rsidRPr="00EC2E4F">
        <w:t>, 2019)</w:t>
      </w:r>
      <w:r>
        <w:t xml:space="preserve">.  </w:t>
      </w:r>
    </w:p>
    <w:p w14:paraId="1F50E821" w14:textId="67A14F22" w:rsidR="006D734E" w:rsidRPr="002D4822" w:rsidRDefault="00A264D3" w:rsidP="00560727">
      <w:pPr>
        <w:spacing w:line="360" w:lineRule="auto"/>
        <w:jc w:val="both"/>
      </w:pPr>
      <w:r>
        <w:t>In conclusion, f</w:t>
      </w:r>
      <w:r w:rsidR="006D734E">
        <w:t xml:space="preserve">rom the </w:t>
      </w:r>
      <w:r w:rsidR="00DB32CD">
        <w:t>studies</w:t>
      </w:r>
      <w:r w:rsidR="006D734E">
        <w:t xml:space="preserve"> considered can be observed that </w:t>
      </w:r>
      <w:r w:rsidR="00BD5C8B">
        <w:t>most of</w:t>
      </w:r>
      <w:r w:rsidR="00DB32CD">
        <w:t xml:space="preserve"> the </w:t>
      </w:r>
      <w:r w:rsidR="006D734E">
        <w:t xml:space="preserve">papers </w:t>
      </w:r>
      <w:r w:rsidR="00BD5C8B">
        <w:t>acknowledge</w:t>
      </w:r>
      <w:r w:rsidR="006D734E">
        <w:t xml:space="preserve"> the existence of a</w:t>
      </w:r>
      <w:r w:rsidR="006D734E" w:rsidRPr="00E13A7A">
        <w:t xml:space="preserve"> </w:t>
      </w:r>
      <w:r w:rsidR="00DB32CD">
        <w:t xml:space="preserve">significant </w:t>
      </w:r>
      <w:r w:rsidR="006D734E" w:rsidRPr="00E13A7A">
        <w:t>relationship between liquidity and profitability</w:t>
      </w:r>
      <w:r>
        <w:t>.</w:t>
      </w:r>
      <w:r w:rsidR="006D734E">
        <w:t xml:space="preserve"> </w:t>
      </w:r>
      <w:r>
        <w:t>H</w:t>
      </w:r>
      <w:r w:rsidR="006D734E" w:rsidRPr="00E13A7A">
        <w:t>owever</w:t>
      </w:r>
      <w:r w:rsidR="006D734E">
        <w:t xml:space="preserve">, </w:t>
      </w:r>
      <w:r w:rsidR="00597764">
        <w:t>although</w:t>
      </w:r>
      <w:r w:rsidR="006D734E">
        <w:t xml:space="preserve"> </w:t>
      </w:r>
      <w:r w:rsidR="00C93DB5">
        <w:t xml:space="preserve">this </w:t>
      </w:r>
      <w:r w:rsidR="00BD5C8B">
        <w:t>association</w:t>
      </w:r>
      <w:r w:rsidR="006D734E">
        <w:t xml:space="preserve"> </w:t>
      </w:r>
      <w:r w:rsidR="006D734E" w:rsidRPr="002D4822">
        <w:t>was tested in several studies in different markets</w:t>
      </w:r>
      <w:r w:rsidR="00507C3C" w:rsidRPr="002D4822">
        <w:t xml:space="preserve"> and territories</w:t>
      </w:r>
      <w:r w:rsidR="00BD5C8B" w:rsidRPr="002D4822">
        <w:t xml:space="preserve"> with different methodologies,</w:t>
      </w:r>
      <w:r w:rsidR="006D734E" w:rsidRPr="002D4822">
        <w:t xml:space="preserve"> the results showed different conclusions. </w:t>
      </w:r>
      <w:r w:rsidR="00BD5C8B" w:rsidRPr="002D4822">
        <w:t>These researches have laid the foundation for the current study and will, at the end of the analysis, be compared with the current results of this research.</w:t>
      </w:r>
    </w:p>
    <w:p w14:paraId="2B723D0E" w14:textId="77777777" w:rsidR="00431AE5" w:rsidRPr="002D4822" w:rsidRDefault="00431AE5" w:rsidP="001C1262">
      <w:pPr>
        <w:jc w:val="both"/>
      </w:pPr>
    </w:p>
    <w:p w14:paraId="48570C84" w14:textId="5F3D8041" w:rsidR="001B2968" w:rsidRDefault="0093476B" w:rsidP="000073B3">
      <w:pPr>
        <w:pStyle w:val="Heading2"/>
        <w:numPr>
          <w:ilvl w:val="0"/>
          <w:numId w:val="15"/>
        </w:numPr>
        <w:rPr>
          <w:rFonts w:ascii="Arial" w:hAnsi="Arial" w:cs="Arial"/>
          <w:b/>
          <w:bCs/>
          <w:color w:val="auto"/>
        </w:rPr>
      </w:pPr>
      <w:bookmarkStart w:id="18" w:name="_Toc43473596"/>
      <w:r w:rsidRPr="000073B3">
        <w:rPr>
          <w:rFonts w:ascii="Arial" w:hAnsi="Arial" w:cs="Arial"/>
          <w:b/>
          <w:bCs/>
          <w:color w:val="auto"/>
        </w:rPr>
        <w:t>Capital Structur</w:t>
      </w:r>
      <w:r w:rsidR="00CE6430" w:rsidRPr="000073B3">
        <w:rPr>
          <w:rFonts w:ascii="Arial" w:hAnsi="Arial" w:cs="Arial"/>
          <w:b/>
          <w:bCs/>
          <w:color w:val="auto"/>
        </w:rPr>
        <w:t>e</w:t>
      </w:r>
      <w:bookmarkEnd w:id="18"/>
    </w:p>
    <w:p w14:paraId="3BB30E6F" w14:textId="77777777" w:rsidR="000073B3" w:rsidRPr="000073B3" w:rsidRDefault="000073B3" w:rsidP="000073B3">
      <w:pPr>
        <w:pStyle w:val="ListParagraph"/>
      </w:pPr>
    </w:p>
    <w:p w14:paraId="1626D762" w14:textId="398B17FC" w:rsidR="006F2CA0" w:rsidRPr="000073B3" w:rsidRDefault="006F2CA0" w:rsidP="000073B3">
      <w:pPr>
        <w:pStyle w:val="Heading3"/>
        <w:spacing w:line="480" w:lineRule="auto"/>
        <w:rPr>
          <w:rFonts w:ascii="Arial" w:hAnsi="Arial" w:cs="Arial"/>
          <w:b/>
          <w:bCs/>
          <w:color w:val="auto"/>
        </w:rPr>
      </w:pPr>
      <w:bookmarkStart w:id="19" w:name="_Toc43473597"/>
      <w:r w:rsidRPr="000073B3">
        <w:rPr>
          <w:rFonts w:ascii="Arial" w:hAnsi="Arial" w:cs="Arial"/>
          <w:b/>
          <w:bCs/>
          <w:color w:val="auto"/>
        </w:rPr>
        <w:t>2.1 Trade</w:t>
      </w:r>
      <w:r w:rsidR="005466CB" w:rsidRPr="000073B3">
        <w:rPr>
          <w:rFonts w:ascii="Arial" w:hAnsi="Arial" w:cs="Arial"/>
          <w:b/>
          <w:bCs/>
          <w:color w:val="auto"/>
        </w:rPr>
        <w:t>-</w:t>
      </w:r>
      <w:r w:rsidRPr="000073B3">
        <w:rPr>
          <w:rFonts w:ascii="Arial" w:hAnsi="Arial" w:cs="Arial"/>
          <w:b/>
          <w:bCs/>
          <w:color w:val="auto"/>
        </w:rPr>
        <w:t>off Leverage-Profitability</w:t>
      </w:r>
      <w:bookmarkEnd w:id="19"/>
    </w:p>
    <w:p w14:paraId="4E880882" w14:textId="77777777" w:rsidR="001B2968" w:rsidRPr="002D4822" w:rsidRDefault="001B2968" w:rsidP="002D0F79">
      <w:pPr>
        <w:spacing w:line="360" w:lineRule="auto"/>
        <w:jc w:val="both"/>
      </w:pPr>
      <w:r w:rsidRPr="002D4822">
        <w:t xml:space="preserve">In order to progress and grow, firms require capital. The required funds can be obtained by different forms and from separate sources, which can be divided into two main streams, named equity and debts. The combined financing mix between the two is named </w:t>
      </w:r>
      <w:r w:rsidRPr="002D4822">
        <w:rPr>
          <w:b/>
          <w:bCs/>
        </w:rPr>
        <w:t>capital structure</w:t>
      </w:r>
      <w:r w:rsidRPr="002D4822">
        <w:t xml:space="preserve">, whose balance is considered an important and debated element in achieving profitability maximization. Frequently, </w:t>
      </w:r>
      <w:r w:rsidRPr="002D4822">
        <w:rPr>
          <w:b/>
          <w:bCs/>
        </w:rPr>
        <w:t>leverage</w:t>
      </w:r>
      <w:r w:rsidRPr="002D4822">
        <w:t xml:space="preserve"> is used in the measurement of the capital structure, describing in which extent companies rely on third parties for their business’ financing, measuring the amount of debt in the firms. The total equity is, nevertheless, the amount of the remaining assets which are not part of debt capital, provided initially by the shareholders and subsequently through the retained income generated as a result of the profitability of the company (Andersson and </w:t>
      </w:r>
      <w:proofErr w:type="spellStart"/>
      <w:r w:rsidRPr="002D4822">
        <w:t>Minnema</w:t>
      </w:r>
      <w:proofErr w:type="spellEnd"/>
      <w:r w:rsidRPr="002D4822">
        <w:t>, 2018).</w:t>
      </w:r>
    </w:p>
    <w:p w14:paraId="53BB33EC" w14:textId="5DBE11B3" w:rsidR="001B2968" w:rsidRPr="002D4822" w:rsidRDefault="001B2968" w:rsidP="002D0F79">
      <w:pPr>
        <w:spacing w:line="360" w:lineRule="auto"/>
        <w:jc w:val="both"/>
      </w:pPr>
      <w:r w:rsidRPr="002D4822">
        <w:t xml:space="preserve">Nowadays, the existing theories on the optimization of the capital structure are numerous. The theoretical framework of the study is based on three main theories titled Modigliani and Miller, </w:t>
      </w:r>
      <w:r w:rsidR="00144C17" w:rsidRPr="002D4822">
        <w:t>T</w:t>
      </w:r>
      <w:r w:rsidRPr="002D4822">
        <w:t>rade-</w:t>
      </w:r>
      <w:r w:rsidR="00144C17" w:rsidRPr="002D4822">
        <w:t>O</w:t>
      </w:r>
      <w:r w:rsidRPr="002D4822">
        <w:t xml:space="preserve">ff and </w:t>
      </w:r>
      <w:r w:rsidR="00144C17" w:rsidRPr="002D4822">
        <w:t>P</w:t>
      </w:r>
      <w:r w:rsidRPr="002D4822">
        <w:t>ecking</w:t>
      </w:r>
      <w:r w:rsidR="00144C17" w:rsidRPr="002D4822">
        <w:t xml:space="preserve"> O</w:t>
      </w:r>
      <w:r w:rsidRPr="002D4822">
        <w:t xml:space="preserve">rder’s theory. </w:t>
      </w:r>
    </w:p>
    <w:p w14:paraId="4FC3D6A0" w14:textId="7009E531" w:rsidR="001B2968" w:rsidRPr="002D4822" w:rsidRDefault="001B2968" w:rsidP="002D0F79">
      <w:pPr>
        <w:spacing w:line="360" w:lineRule="auto"/>
        <w:jc w:val="both"/>
      </w:pPr>
      <w:r w:rsidRPr="002D4822">
        <w:t xml:space="preserve">In 1958, </w:t>
      </w:r>
      <w:r w:rsidRPr="002D4822">
        <w:rPr>
          <w:b/>
          <w:bCs/>
          <w:i/>
          <w:iCs/>
        </w:rPr>
        <w:t>Modigliani and Millers</w:t>
      </w:r>
      <w:r w:rsidRPr="002D4822">
        <w:t xml:space="preserve"> argued their first propositions about the </w:t>
      </w:r>
      <w:r w:rsidRPr="002D4822">
        <w:rPr>
          <w:i/>
          <w:iCs/>
        </w:rPr>
        <w:t>irrelevance of capital structure</w:t>
      </w:r>
      <w:r w:rsidRPr="002D4822">
        <w:t xml:space="preserve"> for the total value of any firm, with no specific connection between profitability and leverage. Based on the perfect market presumption, this statement assumed that companies operate in a market where the cost of capital is equal for all firms’ classes</w:t>
      </w:r>
      <w:r w:rsidR="00E71522" w:rsidRPr="002D4822">
        <w:t>,</w:t>
      </w:r>
      <w:r w:rsidRPr="002D4822">
        <w:t xml:space="preserve"> and the payment of taxes is not </w:t>
      </w:r>
      <w:r w:rsidRPr="002D4822">
        <w:lastRenderedPageBreak/>
        <w:t>required. Moreover, the bond’s return is considered constant per unit and, given homogeneity, the price of two commodities must be equal (Modigliani and Millers, 1958).</w:t>
      </w:r>
    </w:p>
    <w:p w14:paraId="270D9590" w14:textId="78857D82" w:rsidR="001B2968" w:rsidRPr="002D4822" w:rsidRDefault="001B2968" w:rsidP="002D0F79">
      <w:pPr>
        <w:spacing w:line="360" w:lineRule="auto"/>
        <w:jc w:val="both"/>
      </w:pPr>
      <w:r w:rsidRPr="002D4822">
        <w:t xml:space="preserve">The existence of market imperfections makes these assumptions not truly realistic, becoming the subject of criticism which, five years later, led to the revision of the theorem. The authors stated that the exclusion of taxes was an inaccuracy, as firms can obtain the benefit of tax saving by maximising their debt financing. However, the authors stated that it is not always beneficial to maximise the debt level in businesses as there are limitations placed by borrowers and other different costs. The conclusion of their theory led to a positive relationship between leverage and profitability, considering </w:t>
      </w:r>
      <w:r w:rsidR="00BB19DC" w:rsidRPr="002D4822">
        <w:t xml:space="preserve">mainly </w:t>
      </w:r>
      <w:r w:rsidRPr="002D4822">
        <w:t>beneficial an increase in the level of leverage (Modigliani and Millers, 1963).</w:t>
      </w:r>
    </w:p>
    <w:p w14:paraId="4F2F7C32" w14:textId="1B57BFBF" w:rsidR="001B2968" w:rsidRDefault="001B2968" w:rsidP="002D0F79">
      <w:pPr>
        <w:spacing w:line="360" w:lineRule="auto"/>
        <w:jc w:val="both"/>
      </w:pPr>
      <w:r w:rsidRPr="002D4822">
        <w:t xml:space="preserve">The second capital structure theorem refers to the </w:t>
      </w:r>
      <w:r w:rsidRPr="002D4822">
        <w:rPr>
          <w:b/>
          <w:bCs/>
          <w:i/>
          <w:iCs/>
        </w:rPr>
        <w:t>Trade-Off theory</w:t>
      </w:r>
      <w:r w:rsidRPr="002D4822">
        <w:t xml:space="preserve">, which states that </w:t>
      </w:r>
      <w:r w:rsidR="004560A7" w:rsidRPr="002D4822">
        <w:t xml:space="preserve">it </w:t>
      </w:r>
      <w:r w:rsidRPr="002D4822">
        <w:t>exist</w:t>
      </w:r>
      <w:r w:rsidR="00595EA0" w:rsidRPr="002D4822">
        <w:t>s</w:t>
      </w:r>
      <w:r w:rsidRPr="002D4822">
        <w:t xml:space="preserve"> a certain capital structure balance that maximise</w:t>
      </w:r>
      <w:r w:rsidR="004560A7" w:rsidRPr="002D4822">
        <w:t>s</w:t>
      </w:r>
      <w:r w:rsidRPr="002D4822">
        <w:t xml:space="preserve"> the firm values. This optimum balance is reached when the debt’s costs are compensated by the tax shield’s benefits. This </w:t>
      </w:r>
      <w:r w:rsidR="005F1BC2">
        <w:t xml:space="preserve">phenomenon </w:t>
      </w:r>
      <w:r w:rsidRPr="002D4822">
        <w:t>indicates that</w:t>
      </w:r>
      <w:r w:rsidR="00595EA0" w:rsidRPr="002D4822">
        <w:t>,</w:t>
      </w:r>
      <w:r w:rsidRPr="002D4822">
        <w:t xml:space="preserve"> initially</w:t>
      </w:r>
      <w:r w:rsidR="00595EA0" w:rsidRPr="002D4822">
        <w:t>,</w:t>
      </w:r>
      <w:r w:rsidRPr="002D4822">
        <w:t xml:space="preserve"> the relationship between leverage and profitability is positive with a lower cost of debt financing rather than equity, which however change direction, becoming negative, when the debt’s level exceeds a certain limit. It can</w:t>
      </w:r>
      <w:r w:rsidR="004560A7" w:rsidRPr="002D4822">
        <w:t>,</w:t>
      </w:r>
      <w:r w:rsidRPr="002D4822">
        <w:t xml:space="preserve"> therefore</w:t>
      </w:r>
      <w:r w:rsidR="004560A7" w:rsidRPr="002D4822">
        <w:t>,</w:t>
      </w:r>
      <w:r w:rsidRPr="002D4822">
        <w:t xml:space="preserve"> be said that the relationship between the two variables, according to this theory, is concave rather than linear (Kraus and </w:t>
      </w:r>
      <w:proofErr w:type="spellStart"/>
      <w:r w:rsidRPr="002D4822">
        <w:t>Litzenberger</w:t>
      </w:r>
      <w:proofErr w:type="spellEnd"/>
      <w:r w:rsidRPr="002D4822">
        <w:t>, 1973; Myers, 1984).</w:t>
      </w:r>
      <w:r w:rsidR="009D602C" w:rsidRPr="002D4822">
        <w:t xml:space="preserve"> This theory is supported by Um, who in 2001 suggested that greater profitability lead</w:t>
      </w:r>
      <w:r w:rsidR="004560A7" w:rsidRPr="002D4822">
        <w:t>s</w:t>
      </w:r>
      <w:r w:rsidR="009D602C" w:rsidRPr="002D4822">
        <w:t xml:space="preserve"> to superior debt capacity with concomitant tax shield, contributing to a positive association between leverage and profitability</w:t>
      </w:r>
      <w:r w:rsidR="00DF6FE9" w:rsidRPr="002D4822">
        <w:t>. However, even if with an optimal leverage’s level its relationship with the profitability</w:t>
      </w:r>
      <w:r w:rsidR="009D602C" w:rsidRPr="002D4822">
        <w:t xml:space="preserve"> </w:t>
      </w:r>
      <w:r w:rsidR="00DF6FE9" w:rsidRPr="002D4822">
        <w:t>is expected to be positive, the actual leverage ratio of companies may differ. Due to the transaction costs, businesses are not able to rebalance constantly their leverage level</w:t>
      </w:r>
      <w:r w:rsidR="00B222BF" w:rsidRPr="002D4822">
        <w:t>, but they can move within an interval which enclose its optimal level</w:t>
      </w:r>
      <w:r w:rsidR="00DF6FE9" w:rsidRPr="002D4822">
        <w:t xml:space="preserve"> </w:t>
      </w:r>
      <w:r w:rsidR="009D602C" w:rsidRPr="002D4822">
        <w:t>(Um, 2001).</w:t>
      </w:r>
      <w:r w:rsidR="00C227BD" w:rsidRPr="002D4822">
        <w:t xml:space="preserve"> Authors as Berger and </w:t>
      </w:r>
      <w:proofErr w:type="spellStart"/>
      <w:r w:rsidR="00C227BD" w:rsidRPr="002D4822">
        <w:t>Hungs</w:t>
      </w:r>
      <w:proofErr w:type="spellEnd"/>
      <w:r w:rsidR="00C227BD" w:rsidRPr="002D4822">
        <w:t>, in 2002, supported the agency cost hypothesis, which is considered to be responsible for a higher level of leverage and, therefore, a positive correlation between profitability and leverage that may be reversed if the level of indebtedness raise</w:t>
      </w:r>
      <w:r w:rsidR="004560A7" w:rsidRPr="002D4822">
        <w:t>s</w:t>
      </w:r>
      <w:r w:rsidR="00C227BD" w:rsidRPr="002D4822">
        <w:t xml:space="preserve"> beyond the limit (Berger, 2002).</w:t>
      </w:r>
    </w:p>
    <w:p w14:paraId="18AB3C11" w14:textId="4BAF3381" w:rsidR="001B2968" w:rsidRDefault="001B2968" w:rsidP="002D0F79">
      <w:pPr>
        <w:spacing w:line="360" w:lineRule="auto"/>
        <w:jc w:val="both"/>
      </w:pPr>
      <w:r>
        <w:t xml:space="preserve">The last theorem is the </w:t>
      </w:r>
      <w:r w:rsidRPr="00595EA0">
        <w:rPr>
          <w:b/>
          <w:bCs/>
          <w:i/>
          <w:iCs/>
        </w:rPr>
        <w:t>Pecking-Order theory</w:t>
      </w:r>
      <w:r>
        <w:t xml:space="preserve"> proposed by Myers and </w:t>
      </w:r>
      <w:proofErr w:type="spellStart"/>
      <w:r>
        <w:t>Majluf</w:t>
      </w:r>
      <w:proofErr w:type="spellEnd"/>
      <w:r>
        <w:t xml:space="preserve"> in 1984, which included the role of asymmetric information in the process of choosing the method of businesses’ financing. The authors argued the idea that managers are in possess of insider information that can affect their projects and financing operations’ decisions, information which </w:t>
      </w:r>
      <w:r w:rsidR="004560A7">
        <w:t>is</w:t>
      </w:r>
      <w:r>
        <w:t xml:space="preserve"> not available to other stakeholders. To shareholders</w:t>
      </w:r>
      <w:r w:rsidR="004560A7">
        <w:t>,</w:t>
      </w:r>
      <w:r>
        <w:t xml:space="preserve"> the issue of equity capital is considered a negative alert and, in order to avoid giving them inadequate signals, managers may </w:t>
      </w:r>
      <w:r w:rsidR="005F1BC2">
        <w:t>decide</w:t>
      </w:r>
      <w:r>
        <w:t xml:space="preserve"> to omit a positive NPV opportunity. Thus, this theory concludes that in the absence of low-risk debt opportunities and with not sufficient internal funds, may be acceptable not</w:t>
      </w:r>
      <w:r w:rsidR="005F1BC2">
        <w:t xml:space="preserve"> to</w:t>
      </w:r>
      <w:r>
        <w:t xml:space="preserve"> undertake risky securities and to sacrifice project with positive NPV (Myers </w:t>
      </w:r>
      <w:r>
        <w:lastRenderedPageBreak/>
        <w:t xml:space="preserve">and </w:t>
      </w:r>
      <w:proofErr w:type="spellStart"/>
      <w:r>
        <w:t>Majluf</w:t>
      </w:r>
      <w:proofErr w:type="spellEnd"/>
      <w:r>
        <w:t>, 1984).</w:t>
      </w:r>
      <w:r w:rsidR="00403906">
        <w:t xml:space="preserve"> </w:t>
      </w:r>
      <w:r>
        <w:t>Myers sustained that companies in need of financing, originally prefer to adopt the internal funds’ generation. Afterwards, if necessary, businesses will opt first for debt financing and only as a last resort for the use</w:t>
      </w:r>
      <w:r w:rsidR="002E5A78">
        <w:t xml:space="preserve"> of</w:t>
      </w:r>
      <w:r>
        <w:t xml:space="preserve"> equity (Myers, 1984). Overall, the theory’s implications underline the reason </w:t>
      </w:r>
      <w:r w:rsidR="004560A7">
        <w:t>for</w:t>
      </w:r>
      <w:r>
        <w:t xml:space="preserve"> companies’ heavy dependence on leverage and on the generation of internal funds. However, the author clarified that companies m</w:t>
      </w:r>
      <w:r w:rsidR="004560A7">
        <w:t>ight</w:t>
      </w:r>
      <w:r>
        <w:t xml:space="preserve"> decide not</w:t>
      </w:r>
      <w:r w:rsidR="005F1BC2">
        <w:t xml:space="preserve"> to</w:t>
      </w:r>
      <w:r>
        <w:t xml:space="preserve"> follow this pecking order and opt for the issue of stock instead of getting into debts, reason why the capital structure differs between companies.</w:t>
      </w:r>
      <w:r w:rsidR="006A207D">
        <w:t xml:space="preserve"> </w:t>
      </w:r>
      <w:r>
        <w:t>Ultimately, the theory highlights how profitable companies have low debt levels as they are able, through their internal capital, to finance themselves. According to the study, the relation between the two variable is expected to be negative.</w:t>
      </w:r>
      <w:r w:rsidR="00364B61">
        <w:t xml:space="preserve"> </w:t>
      </w:r>
    </w:p>
    <w:p w14:paraId="4F3CA9A3" w14:textId="7151723E" w:rsidR="006A207D" w:rsidRPr="002D4822" w:rsidRDefault="00E11DBA" w:rsidP="002D0F79">
      <w:pPr>
        <w:spacing w:line="360" w:lineRule="auto"/>
        <w:jc w:val="both"/>
      </w:pPr>
      <w:r w:rsidRPr="002D4822">
        <w:t xml:space="preserve">In early 2000, authors as Gleason and Mathur suggested that corporate performance </w:t>
      </w:r>
      <w:r w:rsidR="00DF6FE9" w:rsidRPr="002D4822">
        <w:t>are</w:t>
      </w:r>
      <w:r w:rsidRPr="002D4822">
        <w:t xml:space="preserve"> also influenced by different variables other than the capital structure</w:t>
      </w:r>
      <w:r w:rsidR="00DF6FE9" w:rsidRPr="002D4822">
        <w:t>,</w:t>
      </w:r>
      <w:r w:rsidR="005D77CE" w:rsidRPr="002D4822">
        <w:t xml:space="preserve"> and by its </w:t>
      </w:r>
      <w:r w:rsidR="009D602C" w:rsidRPr="002D4822">
        <w:t>surrounding</w:t>
      </w:r>
      <w:r w:rsidR="005D77CE" w:rsidRPr="002D4822">
        <w:t xml:space="preserve"> environment</w:t>
      </w:r>
      <w:r w:rsidRPr="002D4822">
        <w:t xml:space="preserve">. They advised that agency issues may lead to lower financial performance, increasing the leverage over the appropriate level (Gleason and Mathur, 2000). </w:t>
      </w:r>
      <w:r w:rsidR="005F1BC2">
        <w:t>Besides</w:t>
      </w:r>
      <w:r w:rsidR="00C32F40" w:rsidRPr="002D4822">
        <w:t xml:space="preserve">, </w:t>
      </w:r>
      <w:proofErr w:type="spellStart"/>
      <w:r w:rsidRPr="002D4822">
        <w:t>Rajan</w:t>
      </w:r>
      <w:proofErr w:type="spellEnd"/>
      <w:r w:rsidRPr="002D4822">
        <w:t xml:space="preserve"> and Zingales in 1995 and </w:t>
      </w:r>
      <w:r w:rsidR="00C32F40" w:rsidRPr="002D4822">
        <w:t>Booth</w:t>
      </w:r>
      <w:r w:rsidRPr="002D4822">
        <w:t xml:space="preserve"> in 2001 underlined how </w:t>
      </w:r>
      <w:r w:rsidR="00C32F40" w:rsidRPr="002D4822">
        <w:t>leverage ratios seem to be similarly correlated and affected by the same type of factors and variables in different countries. However, different macroenvironmental factors create systematic differences in how these measures are altered by country elements (Booth et</w:t>
      </w:r>
      <w:r w:rsidR="004560A7" w:rsidRPr="002D4822">
        <w:t xml:space="preserve"> </w:t>
      </w:r>
      <w:r w:rsidR="00C32F40" w:rsidRPr="002D4822">
        <w:t>al., 2001).</w:t>
      </w:r>
    </w:p>
    <w:p w14:paraId="2A11EF86" w14:textId="48B6256D" w:rsidR="00C72B7B" w:rsidRPr="002D4822" w:rsidRDefault="00C72B7B" w:rsidP="002D0F79">
      <w:pPr>
        <w:spacing w:line="360" w:lineRule="auto"/>
        <w:jc w:val="both"/>
      </w:pPr>
      <w:r w:rsidRPr="002D4822">
        <w:t xml:space="preserve">Numerous are </w:t>
      </w:r>
      <w:r w:rsidR="001873A5" w:rsidRPr="002D4822">
        <w:t xml:space="preserve">as well </w:t>
      </w:r>
      <w:r w:rsidRPr="002D4822">
        <w:t>the scholar</w:t>
      </w:r>
      <w:r w:rsidR="00DF6FE9" w:rsidRPr="002D4822">
        <w:t>s</w:t>
      </w:r>
      <w:r w:rsidRPr="002D4822">
        <w:t xml:space="preserve"> that supported</w:t>
      </w:r>
      <w:r w:rsidR="001873A5" w:rsidRPr="002D4822">
        <w:t xml:space="preserve"> the influence of the microenvironmental factors</w:t>
      </w:r>
      <w:r w:rsidR="00DF6FE9" w:rsidRPr="002D4822">
        <w:t xml:space="preserve"> such</w:t>
      </w:r>
      <w:r w:rsidR="001873A5" w:rsidRPr="002D4822">
        <w:t xml:space="preserve"> as size, growth rate, internal costs and characteristics of the product or sector and their effect</w:t>
      </w:r>
      <w:r w:rsidR="00DF6FE9" w:rsidRPr="002D4822">
        <w:t>s</w:t>
      </w:r>
      <w:r w:rsidR="001873A5" w:rsidRPr="002D4822">
        <w:t xml:space="preserve"> on the capital structure. For example, the size variable’s results in many studies are consistent with the </w:t>
      </w:r>
      <w:r w:rsidR="005F1BC2">
        <w:t>T</w:t>
      </w:r>
      <w:r w:rsidR="001873A5" w:rsidRPr="002D4822">
        <w:t>rade-</w:t>
      </w:r>
      <w:r w:rsidR="005F1BC2">
        <w:t>O</w:t>
      </w:r>
      <w:r w:rsidR="001873A5" w:rsidRPr="002D4822">
        <w:t xml:space="preserve">ff </w:t>
      </w:r>
      <w:r w:rsidR="005F1BC2">
        <w:t>t</w:t>
      </w:r>
      <w:r w:rsidR="001873A5" w:rsidRPr="002D4822">
        <w:t>heory’s findings. At the same time, the speed of reversion of the results in this theory seems</w:t>
      </w:r>
      <w:r w:rsidR="004560A7" w:rsidRPr="002D4822">
        <w:t xml:space="preserve"> to</w:t>
      </w:r>
      <w:r w:rsidR="001873A5" w:rsidRPr="002D4822">
        <w:t xml:space="preserve"> differ by micro and macro environment factors as the level of competitiveness</w:t>
      </w:r>
      <w:r w:rsidR="002F54CD" w:rsidRPr="002D4822">
        <w:t xml:space="preserve"> (</w:t>
      </w:r>
      <w:proofErr w:type="spellStart"/>
      <w:r w:rsidR="002F54CD" w:rsidRPr="002D4822">
        <w:t>Azhagaiah</w:t>
      </w:r>
      <w:proofErr w:type="spellEnd"/>
      <w:r w:rsidR="002F54CD" w:rsidRPr="002D4822">
        <w:t xml:space="preserve"> and </w:t>
      </w:r>
      <w:proofErr w:type="spellStart"/>
      <w:r w:rsidR="002F54CD" w:rsidRPr="002D4822">
        <w:t>Gavoury</w:t>
      </w:r>
      <w:proofErr w:type="spellEnd"/>
      <w:r w:rsidR="002F54CD" w:rsidRPr="002D4822">
        <w:t>, 2011).</w:t>
      </w:r>
    </w:p>
    <w:p w14:paraId="3AA5089A" w14:textId="530BA39B" w:rsidR="001076E0" w:rsidRDefault="002E5A78" w:rsidP="002D0F79">
      <w:pPr>
        <w:spacing w:line="360" w:lineRule="auto"/>
        <w:jc w:val="both"/>
      </w:pPr>
      <w:r w:rsidRPr="002D4822">
        <w:t xml:space="preserve">In conclusion, many </w:t>
      </w:r>
      <w:r w:rsidR="001C333C" w:rsidRPr="002D4822">
        <w:t>scholars</w:t>
      </w:r>
      <w:r w:rsidRPr="002D4822">
        <w:t xml:space="preserve"> have been undertaken in the study of the correlation between profitability and capital structure,</w:t>
      </w:r>
      <w:r w:rsidR="00F2582D" w:rsidRPr="002D4822">
        <w:t xml:space="preserve"> of</w:t>
      </w:r>
      <w:r w:rsidRPr="002D4822">
        <w:t xml:space="preserve"> which optimal level results essential for the maximisation of the profit and the reduction of the costs. In this paper, to analyse their relationship, the leverage variable is contemplated in the measurement of the capital structure.</w:t>
      </w:r>
      <w:r w:rsidR="00DF6918" w:rsidRPr="002D4822">
        <w:t xml:space="preserve"> Below are the results of some studies carried out on the topic, which will be followed up compared to the final results of this research.</w:t>
      </w:r>
    </w:p>
    <w:p w14:paraId="436EBD87" w14:textId="77777777" w:rsidR="00595EA0" w:rsidRDefault="00595EA0" w:rsidP="001B2968"/>
    <w:p w14:paraId="16F0E9E7" w14:textId="6267C156" w:rsidR="00595EA0" w:rsidRPr="000073B3" w:rsidRDefault="00595EA0" w:rsidP="000073B3">
      <w:pPr>
        <w:pStyle w:val="Heading3"/>
        <w:spacing w:line="480" w:lineRule="auto"/>
        <w:rPr>
          <w:rFonts w:ascii="Arial" w:hAnsi="Arial" w:cs="Arial"/>
          <w:b/>
          <w:bCs/>
          <w:color w:val="auto"/>
        </w:rPr>
      </w:pPr>
      <w:bookmarkStart w:id="20" w:name="_Toc43473598"/>
      <w:r w:rsidRPr="000073B3">
        <w:rPr>
          <w:rFonts w:ascii="Arial" w:hAnsi="Arial" w:cs="Arial"/>
          <w:b/>
          <w:bCs/>
          <w:color w:val="auto"/>
        </w:rPr>
        <w:t>2.2 Empirical studies</w:t>
      </w:r>
      <w:bookmarkEnd w:id="20"/>
    </w:p>
    <w:p w14:paraId="7C2C062E" w14:textId="60AF0DD8" w:rsidR="001B2968" w:rsidRDefault="00F2582D" w:rsidP="00334269">
      <w:pPr>
        <w:spacing w:line="360" w:lineRule="auto"/>
        <w:jc w:val="both"/>
      </w:pPr>
      <w:r w:rsidRPr="002D4822">
        <w:t>The above theoretical background suggested different opinions on the correlation between leverage and profitability.</w:t>
      </w:r>
      <w:r>
        <w:t xml:space="preserve"> Due to this reason, a</w:t>
      </w:r>
      <w:r w:rsidR="001B2968">
        <w:t xml:space="preserve">fter the presentation of the three main theories </w:t>
      </w:r>
      <w:r>
        <w:t xml:space="preserve">considered </w:t>
      </w:r>
      <w:r w:rsidR="001B2968">
        <w:t xml:space="preserve">in </w:t>
      </w:r>
      <w:r w:rsidR="001B2968">
        <w:lastRenderedPageBreak/>
        <w:t xml:space="preserve">this study, some research previously carried out on </w:t>
      </w:r>
      <w:r>
        <w:t xml:space="preserve">this topic </w:t>
      </w:r>
      <w:r w:rsidR="001B2968">
        <w:t>will now be analysed</w:t>
      </w:r>
      <w:r w:rsidRPr="002D4822">
        <w:t>, in order to provide empirical results acquired by actual observation and experimentation.</w:t>
      </w:r>
    </w:p>
    <w:p w14:paraId="3FF600C8" w14:textId="7BE13609" w:rsidR="001B2968" w:rsidRDefault="001B2968" w:rsidP="00334269">
      <w:pPr>
        <w:spacing w:line="360" w:lineRule="auto"/>
        <w:jc w:val="both"/>
      </w:pPr>
      <w:r>
        <w:t xml:space="preserve">Interesting studies </w:t>
      </w:r>
      <w:r w:rsidR="00F2582D" w:rsidRPr="002D4822">
        <w:t>wer</w:t>
      </w:r>
      <w:r w:rsidR="008331E1" w:rsidRPr="002D4822">
        <w:t>e</w:t>
      </w:r>
      <w:r>
        <w:t xml:space="preserve"> carried out in India</w:t>
      </w:r>
      <w:r w:rsidR="001C333C">
        <w:t>;</w:t>
      </w:r>
      <w:r>
        <w:t xml:space="preserve"> among them</w:t>
      </w:r>
      <w:r w:rsidR="00936C6E">
        <w:t>,</w:t>
      </w:r>
      <w:r>
        <w:t xml:space="preserve"> the research accomplished by Reddy and Narayan can be mentioned. The authors attempted to investigate the impact of financial leverage on the financial performance of 10 selected pharmaceutical companies. The data covered the period between 2006 and 2016 and have been analysed through several tests, including regression analysis, Haussmann test, t</w:t>
      </w:r>
      <w:r w:rsidR="001C333C">
        <w:t>-</w:t>
      </w:r>
      <w:r>
        <w:t xml:space="preserve">test, multiple regression and correlation analysis. The </w:t>
      </w:r>
      <w:r>
        <w:rPr>
          <w:b/>
          <w:bCs/>
        </w:rPr>
        <w:t>independent</w:t>
      </w:r>
      <w:r>
        <w:t xml:space="preserve"> variables used in the study included </w:t>
      </w:r>
      <w:r>
        <w:rPr>
          <w:i/>
          <w:iCs/>
        </w:rPr>
        <w:t xml:space="preserve">Debt to Equity (D/E) Ratio, Interest Coverage Ratio (ICR) </w:t>
      </w:r>
      <w:r>
        <w:t>and</w:t>
      </w:r>
      <w:r>
        <w:rPr>
          <w:i/>
          <w:iCs/>
        </w:rPr>
        <w:t xml:space="preserve"> Debt to Assets (D/A)</w:t>
      </w:r>
      <w:r>
        <w:t xml:space="preserve"> Ratio and</w:t>
      </w:r>
      <w:r w:rsidR="00936C6E">
        <w:t>,</w:t>
      </w:r>
      <w:r>
        <w:t xml:space="preserve"> for the profitability, the </w:t>
      </w:r>
      <w:r>
        <w:rPr>
          <w:b/>
          <w:bCs/>
        </w:rPr>
        <w:t>dependent</w:t>
      </w:r>
      <w:r>
        <w:t xml:space="preserve"> variable considered were </w:t>
      </w:r>
      <w:r>
        <w:rPr>
          <w:i/>
          <w:iCs/>
        </w:rPr>
        <w:t xml:space="preserve">Return on Assets (ROA) </w:t>
      </w:r>
      <w:r>
        <w:t>and</w:t>
      </w:r>
      <w:r>
        <w:rPr>
          <w:i/>
          <w:iCs/>
        </w:rPr>
        <w:t xml:space="preserve"> Return on Investment (ROI). </w:t>
      </w:r>
      <w:r>
        <w:t>Results revealed the negative correlation between D/E, D/A and the companies’ profit. On the other side, ICR showed a positive association with profitability and liquidity. However, ICR does</w:t>
      </w:r>
      <w:r w:rsidR="00BC5066">
        <w:t xml:space="preserve"> </w:t>
      </w:r>
      <w:r>
        <w:t>n</w:t>
      </w:r>
      <w:r w:rsidR="00BC5066">
        <w:t>o</w:t>
      </w:r>
      <w:r>
        <w:t>t have a significant effect on the company’s growth,</w:t>
      </w:r>
      <w:r w:rsidR="001C333C">
        <w:t xml:space="preserve"> the</w:t>
      </w:r>
      <w:r>
        <w:t xml:space="preserve"> reason why the relationship between leverage and profitability is considered </w:t>
      </w:r>
      <w:r w:rsidR="00936C6E" w:rsidRPr="002D4822">
        <w:t>overall</w:t>
      </w:r>
      <w:r w:rsidR="00936C6E">
        <w:t xml:space="preserve"> </w:t>
      </w:r>
      <w:r>
        <w:rPr>
          <w:u w:val="single"/>
        </w:rPr>
        <w:t>negative</w:t>
      </w:r>
      <w:r>
        <w:t>, meaning that an increase in debt may lead to a reduction in the business’s financial performance (Reddy and Narayan, 2018). The results of this research are</w:t>
      </w:r>
      <w:r w:rsidR="001C333C">
        <w:t>,</w:t>
      </w:r>
      <w:r>
        <w:t xml:space="preserve"> however</w:t>
      </w:r>
      <w:r w:rsidR="001C333C">
        <w:t>,</w:t>
      </w:r>
      <w:r>
        <w:t xml:space="preserve"> limited to the pharmaceutical sector only and to the use of a limited number of variables. Therefore, it is necessary to analyse the conclusion originated from other sectors’ study and with the use of different parameters.</w:t>
      </w:r>
    </w:p>
    <w:p w14:paraId="5B88CC0D" w14:textId="307C4541" w:rsidR="001B2968" w:rsidRDefault="00BC5066" w:rsidP="00334269">
      <w:pPr>
        <w:spacing w:line="360" w:lineRule="auto"/>
        <w:jc w:val="both"/>
      </w:pPr>
      <w:r>
        <w:t>R</w:t>
      </w:r>
      <w:r w:rsidR="001B2968">
        <w:t xml:space="preserve">emaining on Indian soil in order to follow the geographical criteria of comparison, an interesting study was conducted on the Indian cement industry, which is the </w:t>
      </w:r>
      <w:r w:rsidR="008D1DFB">
        <w:t>second largest</w:t>
      </w:r>
      <w:r w:rsidR="001B2968">
        <w:t xml:space="preserve"> in the world. A sample of 10 companies was used for a period of 10 years, between 2007 and 2017. The financial leverage was measured through the D/E ratio, while the </w:t>
      </w:r>
      <w:r w:rsidR="001B2968">
        <w:rPr>
          <w:b/>
          <w:bCs/>
        </w:rPr>
        <w:t>dependent</w:t>
      </w:r>
      <w:r w:rsidR="001B2968">
        <w:t xml:space="preserve"> financial performance’s variables </w:t>
      </w:r>
      <w:r w:rsidR="00936C6E">
        <w:t>adopted are</w:t>
      </w:r>
      <w:r w:rsidR="001B2968">
        <w:t xml:space="preserve"> several, or </w:t>
      </w:r>
      <w:r w:rsidR="001B2968">
        <w:rPr>
          <w:i/>
          <w:iCs/>
        </w:rPr>
        <w:t xml:space="preserve">Net profit margin, ROA, ROE, sales growth </w:t>
      </w:r>
      <w:r w:rsidR="001B2968">
        <w:t>and</w:t>
      </w:r>
      <w:r w:rsidR="001B2968">
        <w:rPr>
          <w:i/>
          <w:iCs/>
        </w:rPr>
        <w:t xml:space="preserve"> EPS</w:t>
      </w:r>
      <w:r w:rsidR="001B2968">
        <w:t xml:space="preserve">. The results of the research carried out through statistical tools such as correlation analysis, identified mixed reactions of variables. ROA and ROE appeared to have a </w:t>
      </w:r>
      <w:r w:rsidR="001B2968">
        <w:rPr>
          <w:u w:val="single"/>
        </w:rPr>
        <w:t>positive</w:t>
      </w:r>
      <w:r w:rsidR="001B2968">
        <w:t xml:space="preserve"> association with the D/E ratio, while NPM, earning per share and sales growth showed a </w:t>
      </w:r>
      <w:r w:rsidR="001B2968">
        <w:rPr>
          <w:u w:val="single"/>
        </w:rPr>
        <w:t>negative</w:t>
      </w:r>
      <w:r w:rsidR="001B2968">
        <w:t xml:space="preserve"> relationship. This </w:t>
      </w:r>
      <w:r>
        <w:t>outcome underlines</w:t>
      </w:r>
      <w:r w:rsidR="001B2968">
        <w:t xml:space="preserve"> that a high level of debt is favourable to the results deriving from the ROA and ROE ratios but, at the same time, it creates an increase in interest payments, decreasing the earnings per share. At the same time, an increase in the leverage level involves the use of the revenues to pay off the debts, decreasing the company’s Net Profit </w:t>
      </w:r>
      <w:r w:rsidR="001B2968" w:rsidRPr="008049B2">
        <w:t>(Rekha and Mala, 2018)</w:t>
      </w:r>
      <w:r w:rsidR="001B2968">
        <w:t>.</w:t>
      </w:r>
    </w:p>
    <w:p w14:paraId="2A08EEEF" w14:textId="177E50EA" w:rsidR="001B2968" w:rsidRDefault="001B2968" w:rsidP="00334269">
      <w:pPr>
        <w:spacing w:line="360" w:lineRule="auto"/>
        <w:jc w:val="both"/>
      </w:pPr>
      <w:r>
        <w:t>T</w:t>
      </w:r>
      <w:r w:rsidRPr="00714EA9">
        <w:t>hese conflicting conclusions may derive from the limitations suffered by statistical tools and from the fact that the data used are secondary</w:t>
      </w:r>
      <w:r w:rsidR="001C333C">
        <w:t>,</w:t>
      </w:r>
      <w:r w:rsidRPr="00714EA9">
        <w:t xml:space="preserve"> and the covered period is only </w:t>
      </w:r>
      <w:r w:rsidR="001C333C">
        <w:t>ten</w:t>
      </w:r>
      <w:r w:rsidRPr="00714EA9">
        <w:t xml:space="preserve"> years.</w:t>
      </w:r>
      <w:r>
        <w:t xml:space="preserve"> U</w:t>
      </w:r>
      <w:r w:rsidRPr="00714EA9">
        <w:t>sing data from different sectors could lead to more homogeneous conclusions</w:t>
      </w:r>
      <w:r w:rsidR="001C333C">
        <w:t>;</w:t>
      </w:r>
      <w:r>
        <w:t xml:space="preserve"> </w:t>
      </w:r>
      <w:r w:rsidRPr="007F2D45">
        <w:t>for this reason</w:t>
      </w:r>
      <w:r w:rsidR="001C333C">
        <w:t>,</w:t>
      </w:r>
      <w:r w:rsidRPr="007F2D45">
        <w:t xml:space="preserve"> it is necessary to analy</w:t>
      </w:r>
      <w:r>
        <w:t>s</w:t>
      </w:r>
      <w:r w:rsidRPr="007F2D45">
        <w:t>e several examples.</w:t>
      </w:r>
    </w:p>
    <w:p w14:paraId="33C302FE" w14:textId="2898FD1F" w:rsidR="001B2968" w:rsidRDefault="001B2968" w:rsidP="00334269">
      <w:pPr>
        <w:spacing w:line="360" w:lineRule="auto"/>
        <w:jc w:val="both"/>
      </w:pPr>
      <w:r>
        <w:lastRenderedPageBreak/>
        <w:t>A</w:t>
      </w:r>
      <w:r w:rsidRPr="00EE0F48">
        <w:t xml:space="preserve">lways maintaining the same geographical position, a third study was </w:t>
      </w:r>
      <w:r>
        <w:t>accomplished</w:t>
      </w:r>
      <w:r w:rsidRPr="00EE0F48">
        <w:t xml:space="preserve"> by</w:t>
      </w:r>
      <w:r>
        <w:t xml:space="preserve"> </w:t>
      </w:r>
      <w:proofErr w:type="spellStart"/>
      <w:r>
        <w:t>Sahni</w:t>
      </w:r>
      <w:proofErr w:type="spellEnd"/>
      <w:r>
        <w:t xml:space="preserve"> and </w:t>
      </w:r>
      <w:r w:rsidRPr="00EE0F48">
        <w:t>Kulkarni</w:t>
      </w:r>
      <w:r>
        <w:t xml:space="preserve"> on f</w:t>
      </w:r>
      <w:r w:rsidRPr="00EE0F48">
        <w:t>ive construction &amp; contracting- real estate companies</w:t>
      </w:r>
      <w:r>
        <w:t xml:space="preserve"> in India, considered the second</w:t>
      </w:r>
      <w:r w:rsidR="001C333C">
        <w:t>-</w:t>
      </w:r>
      <w:r>
        <w:t>largest employer sector in the country, after agriculture. The research focused in the period between 2013 and 2017, utilising a straight-line equation which include</w:t>
      </w:r>
      <w:r w:rsidR="00936C6E">
        <w:t>s</w:t>
      </w:r>
      <w:r>
        <w:t xml:space="preserve"> profitability (</w:t>
      </w:r>
      <w:r w:rsidRPr="002F6715">
        <w:rPr>
          <w:i/>
          <w:iCs/>
        </w:rPr>
        <w:t xml:space="preserve">Operating Profit Margin, Net Profit Margin, Return </w:t>
      </w:r>
      <w:r>
        <w:rPr>
          <w:i/>
          <w:iCs/>
        </w:rPr>
        <w:t>o</w:t>
      </w:r>
      <w:r w:rsidRPr="002F6715">
        <w:rPr>
          <w:i/>
          <w:iCs/>
        </w:rPr>
        <w:t>n Capital Employed</w:t>
      </w:r>
      <w:r>
        <w:t xml:space="preserve">) as </w:t>
      </w:r>
      <w:r w:rsidR="001C333C">
        <w:t xml:space="preserve">a </w:t>
      </w:r>
      <w:r w:rsidRPr="00EE0F48">
        <w:rPr>
          <w:b/>
          <w:bCs/>
        </w:rPr>
        <w:t>dependent</w:t>
      </w:r>
      <w:r>
        <w:t>, and both liquidity (</w:t>
      </w:r>
      <w:r w:rsidRPr="002F6715">
        <w:rPr>
          <w:i/>
          <w:iCs/>
        </w:rPr>
        <w:t>Quick Ratio, Current Ratio, Working Capital Turnover Ratio</w:t>
      </w:r>
      <w:r>
        <w:t>) and leverage (</w:t>
      </w:r>
      <w:r w:rsidRPr="002F6715">
        <w:rPr>
          <w:i/>
          <w:iCs/>
        </w:rPr>
        <w:t>Financial Leverage, Debt/Equity Ratio and Degree of Operating Leverage</w:t>
      </w:r>
      <w:r>
        <w:t xml:space="preserve">) as </w:t>
      </w:r>
      <w:r w:rsidRPr="00EE0F48">
        <w:rPr>
          <w:b/>
          <w:bCs/>
        </w:rPr>
        <w:t>independent</w:t>
      </w:r>
      <w:r>
        <w:t xml:space="preserve"> variables. Their findings revealed how the uncertainty of the business environment affect the firms, through the financial and business’s risks. The source of funds and the capital structure’s decisions affect the variability of the operating income. A </w:t>
      </w:r>
      <w:r w:rsidR="00936C6E" w:rsidRPr="002D4822">
        <w:t>positive</w:t>
      </w:r>
      <w:r w:rsidR="00936C6E">
        <w:t xml:space="preserve"> </w:t>
      </w:r>
      <w:r>
        <w:t>fluctuation in the cost of debts revealed to reduce the earning per share, which can be used as</w:t>
      </w:r>
      <w:r w:rsidR="001C333C">
        <w:t xml:space="preserve"> a</w:t>
      </w:r>
      <w:r>
        <w:t xml:space="preserve"> source for future investments, due to its pressure on the business’ generated income </w:t>
      </w:r>
      <w:r w:rsidRPr="00241C19">
        <w:t>(</w:t>
      </w:r>
      <w:proofErr w:type="spellStart"/>
      <w:r w:rsidRPr="00241C19">
        <w:t>Sahni</w:t>
      </w:r>
      <w:proofErr w:type="spellEnd"/>
      <w:r w:rsidRPr="00241C19">
        <w:t xml:space="preserve"> and Kulkarni, 2018)</w:t>
      </w:r>
      <w:r>
        <w:t>.</w:t>
      </w:r>
    </w:p>
    <w:p w14:paraId="5B569EA4" w14:textId="5381390A" w:rsidR="001B2968" w:rsidRDefault="001B2968" w:rsidP="00334269">
      <w:pPr>
        <w:spacing w:line="360" w:lineRule="auto"/>
        <w:jc w:val="both"/>
      </w:pPr>
      <w:r>
        <w:t>T</w:t>
      </w:r>
      <w:r w:rsidRPr="00B94B33">
        <w:t xml:space="preserve">he major limitation of all the studies presented so far is that the factors that </w:t>
      </w:r>
      <w:r w:rsidR="00936C6E">
        <w:t xml:space="preserve">may </w:t>
      </w:r>
      <w:r w:rsidRPr="00B94B33">
        <w:t>influence the profitability of the companies are manifold</w:t>
      </w:r>
      <w:r w:rsidR="00936C6E">
        <w:t>,</w:t>
      </w:r>
      <w:r w:rsidRPr="00B94B33">
        <w:t xml:space="preserve"> and none of them ha</w:t>
      </w:r>
      <w:r w:rsidR="001C333C">
        <w:t>s</w:t>
      </w:r>
      <w:r w:rsidRPr="00B94B33">
        <w:t xml:space="preserve"> been taken into consideration in addition to leverage.</w:t>
      </w:r>
      <w:r>
        <w:t xml:space="preserve"> Elements as firm size, macroeconomic aspects, operational decision and industry factor</w:t>
      </w:r>
      <w:r w:rsidRPr="00B94B33">
        <w:t xml:space="preserve"> provide additional information if </w:t>
      </w:r>
      <w:r>
        <w:t>studied</w:t>
      </w:r>
      <w:r w:rsidRPr="00B94B33">
        <w:t xml:space="preserve"> alongside the leverage variable.</w:t>
      </w:r>
      <w:r>
        <w:t xml:space="preserve"> </w:t>
      </w:r>
    </w:p>
    <w:p w14:paraId="14939EA1" w14:textId="252469F6" w:rsidR="001B2968" w:rsidRDefault="001B2968" w:rsidP="00334269">
      <w:pPr>
        <w:spacing w:line="360" w:lineRule="auto"/>
        <w:jc w:val="both"/>
      </w:pPr>
      <w:proofErr w:type="spellStart"/>
      <w:r w:rsidRPr="00E17594">
        <w:t>Singapurwoko</w:t>
      </w:r>
      <w:proofErr w:type="spellEnd"/>
      <w:r>
        <w:t xml:space="preserve"> and </w:t>
      </w:r>
      <w:r w:rsidRPr="00E17594">
        <w:t>El-Wahid</w:t>
      </w:r>
      <w:r>
        <w:t xml:space="preserve"> in 2011 presented a research </w:t>
      </w:r>
      <w:r w:rsidRPr="00E17594">
        <w:t>carried out on the Indonesian market</w:t>
      </w:r>
      <w:r>
        <w:t xml:space="preserve">, </w:t>
      </w:r>
      <w:r w:rsidRPr="00E17594">
        <w:t>concerning the relationship between a company's debt level and its profitability.</w:t>
      </w:r>
      <w:r>
        <w:t xml:space="preserve"> T</w:t>
      </w:r>
      <w:r w:rsidRPr="00E17594">
        <w:t>he peculiarity of their study was the use</w:t>
      </w:r>
      <w:r>
        <w:t>, in association with the leverage level,</w:t>
      </w:r>
      <w:r w:rsidRPr="00E17594">
        <w:t xml:space="preserve"> of</w:t>
      </w:r>
      <w:r>
        <w:t xml:space="preserve"> companies’</w:t>
      </w:r>
      <w:r w:rsidRPr="00E17594">
        <w:t xml:space="preserve"> internal and external factors as possible variables that could have a certain influence on</w:t>
      </w:r>
      <w:r>
        <w:t xml:space="preserve"> financial performance. The test was done on 48 chosen listed companies from 2003 to 2009, </w:t>
      </w:r>
      <w:r w:rsidRPr="00B57241">
        <w:t>belonging to 8 different sectors</w:t>
      </w:r>
      <w:r>
        <w:t>, excluding the finance industry. A</w:t>
      </w:r>
      <w:r w:rsidRPr="00B57241">
        <w:t>lthough the results showed that different sectors produce different relationships, overall,</w:t>
      </w:r>
      <w:r>
        <w:t xml:space="preserve"> the correlation between leverage and profitability is significant. Moreover, the size of the company is found to have</w:t>
      </w:r>
      <w:r w:rsidR="001C333C">
        <w:t xml:space="preserve"> a</w:t>
      </w:r>
      <w:r>
        <w:t xml:space="preserve"> positive impact on profitability, </w:t>
      </w:r>
      <w:r w:rsidRPr="003B3841">
        <w:t>facilitating the production of high returns</w:t>
      </w:r>
      <w:r>
        <w:t xml:space="preserve">. </w:t>
      </w:r>
      <w:r w:rsidR="001C333C">
        <w:t>A p</w:t>
      </w:r>
      <w:r w:rsidRPr="003B3841">
        <w:t xml:space="preserve">ositive influence was also found by the </w:t>
      </w:r>
      <w:r w:rsidRPr="00DE0F2F">
        <w:rPr>
          <w:i/>
          <w:iCs/>
        </w:rPr>
        <w:t>TAT</w:t>
      </w:r>
      <w:r w:rsidR="00BB03C0">
        <w:rPr>
          <w:i/>
          <w:iCs/>
        </w:rPr>
        <w:t xml:space="preserve"> (Total Asset Turnover)</w:t>
      </w:r>
      <w:r w:rsidRPr="003B3841">
        <w:t xml:space="preserve">, which appears to have a positive impact on </w:t>
      </w:r>
      <w:r w:rsidRPr="00DE0F2F">
        <w:rPr>
          <w:i/>
          <w:iCs/>
        </w:rPr>
        <w:t>ROE</w:t>
      </w:r>
      <w:r w:rsidRPr="003B3841">
        <w:t>.</w:t>
      </w:r>
      <w:r>
        <w:t xml:space="preserve"> </w:t>
      </w:r>
      <w:r w:rsidRPr="003B3841">
        <w:t>Surprisingly</w:t>
      </w:r>
      <w:r>
        <w:t>, on the other hand, the macroeconomic factors did</w:t>
      </w:r>
      <w:r w:rsidR="00BC5066">
        <w:t xml:space="preserve"> not</w:t>
      </w:r>
      <w:r>
        <w:t xml:space="preserve"> significantly affect the companies’ profitability, </w:t>
      </w:r>
      <w:r w:rsidRPr="003B3841">
        <w:t>wh</w:t>
      </w:r>
      <w:r w:rsidR="006D1B1D">
        <w:t>ose</w:t>
      </w:r>
      <w:r w:rsidRPr="003B3841">
        <w:t xml:space="preserve"> seem</w:t>
      </w:r>
      <w:r w:rsidR="001C333C">
        <w:t>s</w:t>
      </w:r>
      <w:r w:rsidRPr="003B3841">
        <w:t xml:space="preserve"> to have an impact only if placed alongside</w:t>
      </w:r>
      <w:r w:rsidR="00BB03C0">
        <w:t xml:space="preserve"> </w:t>
      </w:r>
      <w:r w:rsidRPr="003B3841">
        <w:t>other variables</w:t>
      </w:r>
      <w:r>
        <w:t xml:space="preserve"> </w:t>
      </w:r>
      <w:r w:rsidRPr="00B32D34">
        <w:t>(</w:t>
      </w:r>
      <w:proofErr w:type="spellStart"/>
      <w:r w:rsidRPr="00B32D34">
        <w:t>Singapurwoko</w:t>
      </w:r>
      <w:proofErr w:type="spellEnd"/>
      <w:r w:rsidRPr="00B32D34">
        <w:t xml:space="preserve"> and El-Wahid, 2011)</w:t>
      </w:r>
      <w:r>
        <w:t>.</w:t>
      </w:r>
      <w:r w:rsidR="00BB03C0">
        <w:t xml:space="preserve"> </w:t>
      </w:r>
      <w:r>
        <w:t>T</w:t>
      </w:r>
      <w:r w:rsidRPr="00155AD9">
        <w:t>his research, however, does not provide a unanimous conclusion as the different industrie</w:t>
      </w:r>
      <w:r w:rsidR="00BB03C0">
        <w:t>s</w:t>
      </w:r>
      <w:r w:rsidRPr="00155AD9">
        <w:t xml:space="preserve"> pro</w:t>
      </w:r>
      <w:r>
        <w:t>duced</w:t>
      </w:r>
      <w:r w:rsidRPr="00155AD9">
        <w:t xml:space="preserve"> different results, not giving a clear answer to the initial hypothesis, or if the leverage effect affects the financial results positive</w:t>
      </w:r>
      <w:r w:rsidR="00BC5066">
        <w:t>ly</w:t>
      </w:r>
      <w:r w:rsidRPr="00155AD9">
        <w:t xml:space="preserve"> or negative</w:t>
      </w:r>
      <w:r w:rsidR="00BC5066">
        <w:t>ly</w:t>
      </w:r>
      <w:r w:rsidRPr="00155AD9">
        <w:t>.</w:t>
      </w:r>
    </w:p>
    <w:p w14:paraId="7E39395C" w14:textId="1CA7DD5D" w:rsidR="001B2968" w:rsidRDefault="001B2968" w:rsidP="00334269">
      <w:pPr>
        <w:spacing w:line="360" w:lineRule="auto"/>
        <w:jc w:val="both"/>
      </w:pPr>
      <w:r>
        <w:t>I</w:t>
      </w:r>
      <w:r w:rsidRPr="003E39FD">
        <w:t xml:space="preserve">n a previously mentioned study by </w:t>
      </w:r>
      <w:proofErr w:type="spellStart"/>
      <w:r w:rsidRPr="003E39FD">
        <w:t>Nurdin</w:t>
      </w:r>
      <w:proofErr w:type="spellEnd"/>
      <w:r w:rsidRPr="003E39FD">
        <w:t xml:space="preserve"> and Fattah conducted in 2016 on the Indonesian market, the authors, in addition to analy</w:t>
      </w:r>
      <w:r>
        <w:t>s</w:t>
      </w:r>
      <w:r w:rsidRPr="003E39FD">
        <w:t xml:space="preserve">ing the relationship between liquidity and profitability, also provided </w:t>
      </w:r>
      <w:r w:rsidRPr="003E39FD">
        <w:lastRenderedPageBreak/>
        <w:t>data on the effect that leverage has on it.</w:t>
      </w:r>
      <w:r>
        <w:t xml:space="preserve"> The two</w:t>
      </w:r>
      <w:r w:rsidRPr="00241A03">
        <w:rPr>
          <w:b/>
          <w:bCs/>
        </w:rPr>
        <w:t xml:space="preserve"> independent</w:t>
      </w:r>
      <w:r>
        <w:t xml:space="preserve"> variables </w:t>
      </w:r>
      <w:r w:rsidRPr="00241A03">
        <w:t>simultaneously</w:t>
      </w:r>
      <w:r>
        <w:t xml:space="preserve"> showed a </w:t>
      </w:r>
      <w:r w:rsidRPr="00BB03C0">
        <w:t>significant</w:t>
      </w:r>
      <w:r>
        <w:t xml:space="preserve"> effect on </w:t>
      </w:r>
      <w:r w:rsidRPr="00241A03">
        <w:t>property and Real Estate Compan</w:t>
      </w:r>
      <w:r>
        <w:t xml:space="preserve">ies’ profit, </w:t>
      </w:r>
      <w:r w:rsidR="00B22EC4">
        <w:t xml:space="preserve">the </w:t>
      </w:r>
      <w:r>
        <w:t xml:space="preserve">reason why investors should take them into consideration in making </w:t>
      </w:r>
      <w:r w:rsidR="00B22EC4">
        <w:t xml:space="preserve">a </w:t>
      </w:r>
      <w:r>
        <w:t xml:space="preserve">decision of investment. The leverage variable </w:t>
      </w:r>
      <w:r w:rsidRPr="00DE0F2F">
        <w:rPr>
          <w:i/>
          <w:iCs/>
        </w:rPr>
        <w:t>(D/E)</w:t>
      </w:r>
      <w:r>
        <w:t xml:space="preserve">, on its side, affected mainly </w:t>
      </w:r>
      <w:r w:rsidRPr="00A143C2">
        <w:rPr>
          <w:u w:val="single"/>
        </w:rPr>
        <w:t>negatively</w:t>
      </w:r>
      <w:r>
        <w:t xml:space="preserve"> the </w:t>
      </w:r>
      <w:r w:rsidRPr="00DE0F2F">
        <w:rPr>
          <w:i/>
          <w:iCs/>
        </w:rPr>
        <w:t xml:space="preserve">ROI </w:t>
      </w:r>
      <w:r>
        <w:t>(</w:t>
      </w:r>
      <w:proofErr w:type="spellStart"/>
      <w:r w:rsidRPr="003E39FD">
        <w:t>Nurdin</w:t>
      </w:r>
      <w:proofErr w:type="spellEnd"/>
      <w:r w:rsidRPr="003E39FD">
        <w:t xml:space="preserve"> and Fattah</w:t>
      </w:r>
      <w:r>
        <w:t>, 2016).</w:t>
      </w:r>
    </w:p>
    <w:p w14:paraId="745A8B6F" w14:textId="5F9A045F" w:rsidR="001B2968" w:rsidRPr="00AA667F" w:rsidRDefault="001B2968" w:rsidP="00334269">
      <w:pPr>
        <w:spacing w:line="360" w:lineRule="auto"/>
        <w:jc w:val="both"/>
      </w:pPr>
      <w:r>
        <w:t>G</w:t>
      </w:r>
      <w:r w:rsidRPr="00A143C2">
        <w:t>eographically moving towards studies carried out on European companies,</w:t>
      </w:r>
      <w:r>
        <w:t xml:space="preserve"> </w:t>
      </w:r>
      <w:r w:rsidRPr="00A143C2">
        <w:t>data were produced from research conducted by</w:t>
      </w:r>
      <w:r>
        <w:t xml:space="preserve"> </w:t>
      </w:r>
      <w:r w:rsidRPr="00A143C2">
        <w:t>Andersson</w:t>
      </w:r>
      <w:r>
        <w:t xml:space="preserve"> and </w:t>
      </w:r>
      <w:proofErr w:type="spellStart"/>
      <w:r>
        <w:t>Minnema</w:t>
      </w:r>
      <w:proofErr w:type="spellEnd"/>
      <w:r>
        <w:t xml:space="preserve"> in 2018</w:t>
      </w:r>
      <w:r w:rsidR="00A74326">
        <w:t xml:space="preserve"> </w:t>
      </w:r>
      <w:r w:rsidR="00A74326" w:rsidRPr="00036E1E">
        <w:t>in Sweden</w:t>
      </w:r>
      <w:r w:rsidRPr="00036E1E">
        <w:t>.</w:t>
      </w:r>
      <w:r>
        <w:t xml:space="preserve"> S</w:t>
      </w:r>
      <w:r w:rsidRPr="00A143C2">
        <w:t>cholars have investigated how the structure of</w:t>
      </w:r>
      <w:r w:rsidR="00BB03C0">
        <w:t xml:space="preserve"> the</w:t>
      </w:r>
      <w:r w:rsidRPr="00A143C2">
        <w:t xml:space="preserve"> capital influences the profitability of businesses, using as a sample 130 mana</w:t>
      </w:r>
      <w:r w:rsidRPr="00AA667F">
        <w:t xml:space="preserve">gement consulting firms. The leverage analysis was carried out not only </w:t>
      </w:r>
      <w:r w:rsidRPr="002D4822">
        <w:t xml:space="preserve">through the </w:t>
      </w:r>
      <w:r w:rsidR="00BB03C0" w:rsidRPr="002D4822">
        <w:t xml:space="preserve">use of </w:t>
      </w:r>
      <w:r w:rsidR="00B22EC4" w:rsidRPr="002D4822">
        <w:t>T</w:t>
      </w:r>
      <w:r w:rsidRPr="002D4822">
        <w:t>otal</w:t>
      </w:r>
      <w:r w:rsidRPr="00AA667F">
        <w:t xml:space="preserve"> </w:t>
      </w:r>
      <w:r w:rsidR="00B22EC4">
        <w:rPr>
          <w:i/>
          <w:iCs/>
        </w:rPr>
        <w:t>D</w:t>
      </w:r>
      <w:r w:rsidRPr="00AA667F">
        <w:rPr>
          <w:i/>
          <w:iCs/>
        </w:rPr>
        <w:t>ebt</w:t>
      </w:r>
      <w:r w:rsidR="00B22EC4">
        <w:rPr>
          <w:i/>
          <w:iCs/>
        </w:rPr>
        <w:t>-</w:t>
      </w:r>
      <w:r w:rsidRPr="00AA667F">
        <w:rPr>
          <w:i/>
          <w:iCs/>
        </w:rPr>
        <w:t>to</w:t>
      </w:r>
      <w:r w:rsidR="00B22EC4">
        <w:rPr>
          <w:i/>
          <w:iCs/>
        </w:rPr>
        <w:t>-A</w:t>
      </w:r>
      <w:r w:rsidRPr="00AA667F">
        <w:rPr>
          <w:i/>
          <w:iCs/>
        </w:rPr>
        <w:t>ssets</w:t>
      </w:r>
      <w:r w:rsidR="00BB03C0">
        <w:rPr>
          <w:i/>
          <w:iCs/>
        </w:rPr>
        <w:t xml:space="preserve"> </w:t>
      </w:r>
      <w:r w:rsidR="00BB03C0" w:rsidRPr="002D4822">
        <w:rPr>
          <w:i/>
          <w:iCs/>
        </w:rPr>
        <w:t>Ratio</w:t>
      </w:r>
      <w:r w:rsidRPr="002D4822">
        <w:rPr>
          <w:i/>
          <w:iCs/>
        </w:rPr>
        <w:t>,</w:t>
      </w:r>
      <w:r w:rsidRPr="002D4822">
        <w:t xml:space="preserve"> but</w:t>
      </w:r>
      <w:r w:rsidRPr="00AA667F">
        <w:t xml:space="preserve"> also by distinguishing between short- and long-term assets. </w:t>
      </w:r>
      <w:r w:rsidRPr="00AA667F">
        <w:rPr>
          <w:i/>
          <w:iCs/>
        </w:rPr>
        <w:t xml:space="preserve">Age, size </w:t>
      </w:r>
      <w:r w:rsidRPr="00AA667F">
        <w:t>and</w:t>
      </w:r>
      <w:r w:rsidRPr="00AA667F">
        <w:rPr>
          <w:i/>
          <w:iCs/>
        </w:rPr>
        <w:t xml:space="preserve"> liquidity</w:t>
      </w:r>
      <w:r w:rsidRPr="00AA667F">
        <w:t xml:space="preserve"> were use</w:t>
      </w:r>
      <w:r w:rsidR="00B22EC4">
        <w:t>d</w:t>
      </w:r>
      <w:r w:rsidRPr="00AA667F">
        <w:t xml:space="preserve"> as control variables</w:t>
      </w:r>
      <w:r w:rsidR="00B22EC4">
        <w:t>,</w:t>
      </w:r>
      <w:r w:rsidRPr="00AA667F">
        <w:t xml:space="preserve"> and the profitability of firms </w:t>
      </w:r>
      <w:r w:rsidR="00BB03C0">
        <w:t>was</w:t>
      </w:r>
      <w:r w:rsidRPr="00AA667F">
        <w:t xml:space="preserve"> measured with the </w:t>
      </w:r>
      <w:r w:rsidRPr="00AA667F">
        <w:rPr>
          <w:i/>
          <w:iCs/>
        </w:rPr>
        <w:t>ROA</w:t>
      </w:r>
      <w:r w:rsidRPr="00AA667F">
        <w:t xml:space="preserve">. The statistical analysis was based on the three theoretical frames of reference previously cited, or MM, </w:t>
      </w:r>
      <w:r w:rsidR="006D1B1D">
        <w:t>T</w:t>
      </w:r>
      <w:r w:rsidRPr="00AA667F">
        <w:t>rade-</w:t>
      </w:r>
      <w:r w:rsidR="006D1B1D">
        <w:t>O</w:t>
      </w:r>
      <w:r w:rsidRPr="00AA667F">
        <w:t xml:space="preserve">ff and </w:t>
      </w:r>
      <w:r w:rsidR="006D1B1D">
        <w:t>P</w:t>
      </w:r>
      <w:r w:rsidRPr="00AA667F">
        <w:t>ecking-</w:t>
      </w:r>
      <w:r w:rsidR="006D1B1D">
        <w:t>O</w:t>
      </w:r>
      <w:r w:rsidRPr="00AA667F">
        <w:t xml:space="preserve">rder theories. The resulted showed the correct application of the </w:t>
      </w:r>
      <w:r w:rsidR="006D1B1D">
        <w:t>P</w:t>
      </w:r>
      <w:r w:rsidRPr="00AA667F">
        <w:t>ecking-</w:t>
      </w:r>
      <w:r w:rsidR="006D1B1D">
        <w:t>O</w:t>
      </w:r>
      <w:r w:rsidRPr="00AA667F">
        <w:t>rder theory</w:t>
      </w:r>
      <w:r w:rsidR="00B22EC4">
        <w:t>,</w:t>
      </w:r>
      <w:r w:rsidRPr="00AA667F">
        <w:t xml:space="preserve"> as the relationship between leverage and profitability demonstrated to be linearly and significantly </w:t>
      </w:r>
      <w:r w:rsidRPr="00AA667F">
        <w:rPr>
          <w:u w:val="single"/>
        </w:rPr>
        <w:t>negative</w:t>
      </w:r>
      <w:r w:rsidRPr="00AA667F">
        <w:t xml:space="preserve">, meaning that companies, to achieve higher profitability, try to limit external financing as much as possible, preferring internal financing. The size of the companies seems to positively affect their profits, while age and liquidity have not given significant results in the long term (Andersson and </w:t>
      </w:r>
      <w:proofErr w:type="spellStart"/>
      <w:r w:rsidRPr="00AA667F">
        <w:t>Minnema</w:t>
      </w:r>
      <w:proofErr w:type="spellEnd"/>
      <w:r w:rsidRPr="00AA667F">
        <w:t xml:space="preserve">, 2018). </w:t>
      </w:r>
    </w:p>
    <w:p w14:paraId="50A41BD5" w14:textId="77843B6D" w:rsidR="001B2968" w:rsidRPr="00AA667F" w:rsidRDefault="001B2968" w:rsidP="00334269">
      <w:pPr>
        <w:spacing w:line="360" w:lineRule="auto"/>
        <w:jc w:val="both"/>
      </w:pPr>
      <w:r w:rsidRPr="00AA667F">
        <w:t>Having presented some research on Asian and European companies, an interesting market to test, given its numerous political, economic and financial changes, are the regions of the GCC and MENA. A study realised with data from 71 companies selected on stratified sampling in the period between 2011 and 2014, ran several statistical tests aimed to explain the factors that impact on companies’ operating results and to identify the impact’s significance. The total number of observations was 284, and the analysis focused mainly on the effect of</w:t>
      </w:r>
      <w:r w:rsidRPr="00AA667F">
        <w:rPr>
          <w:i/>
          <w:iCs/>
        </w:rPr>
        <w:t xml:space="preserve"> Leverage-Debt Ratio</w:t>
      </w:r>
      <w:r w:rsidRPr="00AA667F">
        <w:t xml:space="preserve"> </w:t>
      </w:r>
      <w:r w:rsidR="00B22EC4">
        <w:t>on</w:t>
      </w:r>
      <w:r w:rsidRPr="00AA667F">
        <w:t xml:space="preserve"> </w:t>
      </w:r>
      <w:r w:rsidRPr="00AA667F">
        <w:rPr>
          <w:i/>
          <w:iCs/>
        </w:rPr>
        <w:t>ROA and ROE</w:t>
      </w:r>
      <w:r w:rsidRPr="00AA667F">
        <w:t xml:space="preserve">. Despite the particular macroeconomic impacts that have occurred in these regions in the past, the trend of the variables appears to have the same results as those previously shown. The leverage showed a significant </w:t>
      </w:r>
      <w:r w:rsidRPr="00AA667F">
        <w:rPr>
          <w:u w:val="single"/>
        </w:rPr>
        <w:t>negative</w:t>
      </w:r>
      <w:r w:rsidRPr="00AA667F">
        <w:t xml:space="preserve"> impact on the profitability proving to be a variable to be carefully monitored in order to achieve an excellent level of capital structure and therefore increase efficiency and reduce waste (</w:t>
      </w:r>
      <w:proofErr w:type="spellStart"/>
      <w:r w:rsidRPr="00AA667F">
        <w:t>Gharios</w:t>
      </w:r>
      <w:proofErr w:type="spellEnd"/>
      <w:r w:rsidRPr="00AA667F">
        <w:t xml:space="preserve">, </w:t>
      </w:r>
      <w:proofErr w:type="spellStart"/>
      <w:r w:rsidRPr="00AA667F">
        <w:t>Hamdar</w:t>
      </w:r>
      <w:proofErr w:type="spellEnd"/>
      <w:r w:rsidRPr="00AA667F">
        <w:t xml:space="preserve"> and </w:t>
      </w:r>
      <w:proofErr w:type="spellStart"/>
      <w:r w:rsidRPr="00AA667F">
        <w:t>Seissian</w:t>
      </w:r>
      <w:proofErr w:type="spellEnd"/>
      <w:r w:rsidRPr="00AA667F">
        <w:t>, 2016). However, the research presents inconsistencies, as the data come from different sectors, which have committed researchers to calculate the indices differently, depending on the sector.</w:t>
      </w:r>
    </w:p>
    <w:p w14:paraId="42CC939E" w14:textId="0D36E3F8" w:rsidR="001B2968" w:rsidRPr="00AA667F" w:rsidRDefault="001B2968" w:rsidP="00334269">
      <w:pPr>
        <w:spacing w:line="360" w:lineRule="auto"/>
        <w:jc w:val="both"/>
      </w:pPr>
      <w:r w:rsidRPr="00AA667F">
        <w:t xml:space="preserve">In the same region, more precisely in Iran, a study was conducted on the presence of smoothing effects on the profitability and leverage of 60 companies listed on the Tehran </w:t>
      </w:r>
      <w:r w:rsidR="006D1B1D">
        <w:t>S</w:t>
      </w:r>
      <w:r w:rsidRPr="00AA667F">
        <w:t xml:space="preserve">tock </w:t>
      </w:r>
      <w:r w:rsidR="006D1B1D">
        <w:t>E</w:t>
      </w:r>
      <w:r w:rsidRPr="00AA667F">
        <w:t xml:space="preserve">xchange, during </w:t>
      </w:r>
      <w:r w:rsidR="00B22EC4">
        <w:t xml:space="preserve">the </w:t>
      </w:r>
      <w:r w:rsidRPr="00AA667F">
        <w:t xml:space="preserve">2006-2010 period. The research was addressed by separating the findings between income </w:t>
      </w:r>
      <w:r w:rsidRPr="00AA667F">
        <w:lastRenderedPageBreak/>
        <w:t xml:space="preserve">smoothing and not smoothing businesses, showing significant differences between the two groups. The data were tested using different statistical techniques </w:t>
      </w:r>
      <w:r w:rsidR="00B22EC4">
        <w:t>like</w:t>
      </w:r>
      <w:r w:rsidRPr="00AA667F">
        <w:t xml:space="preserve"> correlation, regression and Z analysis. Results showed, in profit smoothing companies, in the short period</w:t>
      </w:r>
      <w:r w:rsidR="00B22EC4">
        <w:t>,</w:t>
      </w:r>
      <w:r w:rsidRPr="00AA667F">
        <w:t xml:space="preserve"> a no</w:t>
      </w:r>
      <w:r w:rsidR="006D1B1D">
        <w:t>t</w:t>
      </w:r>
      <w:r w:rsidRPr="00AA667F">
        <w:t xml:space="preserve"> significant correlation between </w:t>
      </w:r>
      <w:r w:rsidRPr="00AA667F">
        <w:rPr>
          <w:i/>
          <w:iCs/>
        </w:rPr>
        <w:t>TD/TA</w:t>
      </w:r>
      <w:r w:rsidRPr="00AA667F">
        <w:t xml:space="preserve"> and </w:t>
      </w:r>
      <w:r w:rsidRPr="00AA667F">
        <w:rPr>
          <w:i/>
          <w:iCs/>
        </w:rPr>
        <w:t>ROE</w:t>
      </w:r>
      <w:r w:rsidRPr="00AA667F">
        <w:t xml:space="preserve"> while in the long term</w:t>
      </w:r>
      <w:r w:rsidR="00B22EC4">
        <w:t>,</w:t>
      </w:r>
      <w:r w:rsidRPr="00AA667F">
        <w:t xml:space="preserve"> the relationship resulted </w:t>
      </w:r>
      <w:r w:rsidR="00BC5066">
        <w:t>in being</w:t>
      </w:r>
      <w:r w:rsidRPr="00AA667F">
        <w:t xml:space="preserve"> significant. On the other side, in not smoothing firms, the results deriving from the two variables were opposite, with a significant relationship in the short term and a no</w:t>
      </w:r>
      <w:r w:rsidR="006D1B1D">
        <w:t>t</w:t>
      </w:r>
      <w:r w:rsidRPr="00AA667F">
        <w:t xml:space="preserve"> significant in the long period. In terms of </w:t>
      </w:r>
      <w:r w:rsidR="00B22EC4">
        <w:t xml:space="preserve">the </w:t>
      </w:r>
      <w:r w:rsidRPr="00AA667F">
        <w:t xml:space="preserve">correlation between financial leverage and profitability, there are no particular differences between the two types of </w:t>
      </w:r>
      <w:r w:rsidR="00CB400A" w:rsidRPr="00AA667F">
        <w:t>busine</w:t>
      </w:r>
      <w:r w:rsidR="00CB400A">
        <w:t>s</w:t>
      </w:r>
      <w:r w:rsidR="00CB400A" w:rsidRPr="00AA667F">
        <w:t>s</w:t>
      </w:r>
      <w:r w:rsidR="00CB400A">
        <w:t xml:space="preserve">es, </w:t>
      </w:r>
      <w:r w:rsidR="00CB400A" w:rsidRPr="002D4822">
        <w:t xml:space="preserve">resulting overall </w:t>
      </w:r>
      <w:r w:rsidR="00CB400A" w:rsidRPr="002D4822">
        <w:rPr>
          <w:u w:val="single"/>
        </w:rPr>
        <w:t>negative</w:t>
      </w:r>
      <w:r w:rsidRPr="00AA667F">
        <w:t xml:space="preserve"> (</w:t>
      </w:r>
      <w:proofErr w:type="spellStart"/>
      <w:r w:rsidRPr="00AA667F">
        <w:t>Fengju</w:t>
      </w:r>
      <w:proofErr w:type="spellEnd"/>
      <w:r w:rsidRPr="00AA667F">
        <w:t xml:space="preserve">, </w:t>
      </w:r>
      <w:proofErr w:type="spellStart"/>
      <w:r w:rsidRPr="00AA667F">
        <w:t>Fard</w:t>
      </w:r>
      <w:proofErr w:type="spellEnd"/>
      <w:r w:rsidRPr="00AA667F">
        <w:t xml:space="preserve">, Maher and </w:t>
      </w:r>
      <w:proofErr w:type="spellStart"/>
      <w:r w:rsidRPr="00AA667F">
        <w:t>Akhteghan</w:t>
      </w:r>
      <w:proofErr w:type="spellEnd"/>
      <w:r w:rsidRPr="00AA667F">
        <w:t>, 2013). However, this research showed several limitations, which mean that this study cannot be generalized to the entire Iranian market</w:t>
      </w:r>
      <w:r w:rsidR="00CB400A">
        <w:t>,</w:t>
      </w:r>
      <w:r w:rsidR="006D1B1D">
        <w:t xml:space="preserve"> as</w:t>
      </w:r>
      <w:r w:rsidRPr="00AA667F">
        <w:t xml:space="preserve"> the findings</w:t>
      </w:r>
      <w:r w:rsidR="006D1B1D">
        <w:t xml:space="preserve"> may be affected</w:t>
      </w:r>
      <w:r w:rsidRPr="00AA667F">
        <w:t xml:space="preserve">. The limitations mainly concern the sampling, collection, measurement of data and the development of theoretical structure in various stages. </w:t>
      </w:r>
    </w:p>
    <w:p w14:paraId="3D47FB0D" w14:textId="77777777" w:rsidR="001B2968" w:rsidRPr="00AA667F" w:rsidRDefault="001B2968" w:rsidP="00334269">
      <w:pPr>
        <w:spacing w:line="360" w:lineRule="auto"/>
        <w:jc w:val="both"/>
      </w:pPr>
      <w:r w:rsidRPr="00AA667F">
        <w:t xml:space="preserve">To conclude the analysis of empirical findings in different regions of the world, some studies carried out on the territory of West Africa can be mentioned. </w:t>
      </w:r>
    </w:p>
    <w:p w14:paraId="0D76F5B8" w14:textId="75C6CBCE" w:rsidR="001B2968" w:rsidRPr="00AA667F" w:rsidRDefault="001B2968" w:rsidP="00334269">
      <w:pPr>
        <w:spacing w:line="360" w:lineRule="auto"/>
        <w:jc w:val="both"/>
      </w:pPr>
      <w:r w:rsidRPr="00AA667F">
        <w:t xml:space="preserve">The first study is that of </w:t>
      </w:r>
      <w:proofErr w:type="spellStart"/>
      <w:r w:rsidRPr="00AA667F">
        <w:t>Hongli</w:t>
      </w:r>
      <w:proofErr w:type="spellEnd"/>
      <w:r w:rsidRPr="00AA667F">
        <w:t xml:space="preserve"> et</w:t>
      </w:r>
      <w:r w:rsidR="00D91CF2">
        <w:t xml:space="preserve"> </w:t>
      </w:r>
      <w:r w:rsidRPr="00AA667F">
        <w:t>al</w:t>
      </w:r>
      <w:r w:rsidR="00D91CF2">
        <w:t>.</w:t>
      </w:r>
      <w:r w:rsidRPr="00AA667F">
        <w:t xml:space="preserve">, which analysed 22 manufacturing companies in Ghana in the period between 2007 and 2015. The second research is one of </w:t>
      </w:r>
      <w:proofErr w:type="spellStart"/>
      <w:r w:rsidRPr="00AA667F">
        <w:t>Akinlo</w:t>
      </w:r>
      <w:proofErr w:type="spellEnd"/>
      <w:r w:rsidRPr="00AA667F">
        <w:t xml:space="preserve"> et</w:t>
      </w:r>
      <w:r w:rsidR="00D91CF2">
        <w:t xml:space="preserve"> </w:t>
      </w:r>
      <w:r w:rsidRPr="00AA667F">
        <w:t>al</w:t>
      </w:r>
      <w:r w:rsidR="00D91CF2">
        <w:t>.</w:t>
      </w:r>
      <w:r w:rsidRPr="00AA667F">
        <w:t xml:space="preserve"> carried out a study on 15 different sectors in Nigeria during 1999-2007. Although both research</w:t>
      </w:r>
      <w:r w:rsidR="00D91CF2">
        <w:t>es</w:t>
      </w:r>
      <w:r w:rsidRPr="00AA667F">
        <w:t xml:space="preserve"> wanted to analyse the relationship between leverage and profitability, the findings of the two studies are</w:t>
      </w:r>
      <w:r w:rsidR="006D1B1D">
        <w:t xml:space="preserve"> the</w:t>
      </w:r>
      <w:r w:rsidRPr="00AA667F">
        <w:t xml:space="preserve"> opposite. While the first analysis showed a strong </w:t>
      </w:r>
      <w:r w:rsidRPr="00CB400A">
        <w:rPr>
          <w:u w:val="single"/>
        </w:rPr>
        <w:t>positive</w:t>
      </w:r>
      <w:r w:rsidRPr="00AA667F">
        <w:t xml:space="preserve"> significant influence of financial leverage on firm performances (</w:t>
      </w:r>
      <w:r w:rsidRPr="00AA667F">
        <w:rPr>
          <w:i/>
          <w:iCs/>
        </w:rPr>
        <w:t xml:space="preserve">ROE </w:t>
      </w:r>
      <w:r w:rsidRPr="00AA667F">
        <w:t xml:space="preserve">and </w:t>
      </w:r>
      <w:r w:rsidRPr="00AA667F">
        <w:rPr>
          <w:i/>
          <w:iCs/>
        </w:rPr>
        <w:t>ROA</w:t>
      </w:r>
      <w:r w:rsidRPr="00AA667F">
        <w:t>) (</w:t>
      </w:r>
      <w:proofErr w:type="spellStart"/>
      <w:r w:rsidRPr="00AA667F">
        <w:t>Hongly</w:t>
      </w:r>
      <w:proofErr w:type="spellEnd"/>
      <w:r w:rsidRPr="00AA667F">
        <w:t xml:space="preserve">, </w:t>
      </w:r>
      <w:proofErr w:type="spellStart"/>
      <w:r w:rsidRPr="00AA667F">
        <w:t>Ajorsu</w:t>
      </w:r>
      <w:proofErr w:type="spellEnd"/>
      <w:r w:rsidRPr="00AA667F">
        <w:t xml:space="preserve"> and </w:t>
      </w:r>
      <w:proofErr w:type="spellStart"/>
      <w:r w:rsidRPr="00AA667F">
        <w:t>Bakpa</w:t>
      </w:r>
      <w:proofErr w:type="spellEnd"/>
      <w:r w:rsidRPr="00AA667F">
        <w:t xml:space="preserve">, 2019), the second one underlined that leverage and profitability were </w:t>
      </w:r>
      <w:r w:rsidRPr="00CB400A">
        <w:rPr>
          <w:u w:val="single"/>
        </w:rPr>
        <w:t>negatively</w:t>
      </w:r>
      <w:r w:rsidRPr="00AA667F">
        <w:t xml:space="preserve"> related (</w:t>
      </w:r>
      <w:proofErr w:type="spellStart"/>
      <w:r w:rsidRPr="00AA667F">
        <w:t>Akinlo</w:t>
      </w:r>
      <w:proofErr w:type="spellEnd"/>
      <w:r w:rsidRPr="00AA667F">
        <w:t xml:space="preserve"> and </w:t>
      </w:r>
      <w:proofErr w:type="spellStart"/>
      <w:r w:rsidRPr="00AA667F">
        <w:t>Asaolu</w:t>
      </w:r>
      <w:proofErr w:type="spellEnd"/>
      <w:r w:rsidRPr="00AA667F">
        <w:t>, 2012).</w:t>
      </w:r>
    </w:p>
    <w:p w14:paraId="27BD5F13" w14:textId="79AE8CB2" w:rsidR="001B2968" w:rsidRPr="00AA667F" w:rsidRDefault="001B2968" w:rsidP="00334269">
      <w:pPr>
        <w:spacing w:line="360" w:lineRule="auto"/>
        <w:jc w:val="both"/>
      </w:pPr>
      <w:r w:rsidRPr="00AA667F">
        <w:t>These conflicting results highlight how the use of different statistical methods in research, of different variables and different study periods</w:t>
      </w:r>
      <w:r w:rsidR="006D1B1D">
        <w:t>,</w:t>
      </w:r>
      <w:r w:rsidRPr="00AA667F">
        <w:t xml:space="preserve"> can lead to not only different but</w:t>
      </w:r>
      <w:r w:rsidRPr="002D4822">
        <w:t xml:space="preserve"> </w:t>
      </w:r>
      <w:r w:rsidR="00334269">
        <w:t xml:space="preserve">to </w:t>
      </w:r>
      <w:r w:rsidRPr="002D4822">
        <w:t>opposite results. The factors that can influence the results are manifold</w:t>
      </w:r>
      <w:r w:rsidR="00D91CF2" w:rsidRPr="002D4822">
        <w:t>;</w:t>
      </w:r>
      <w:r w:rsidRPr="002D4822">
        <w:t xml:space="preserve"> for this reason</w:t>
      </w:r>
      <w:r w:rsidR="00D91CF2" w:rsidRPr="002D4822">
        <w:t>,</w:t>
      </w:r>
      <w:r w:rsidRPr="002D4822">
        <w:t xml:space="preserve"> the</w:t>
      </w:r>
      <w:r w:rsidR="00CB400A" w:rsidRPr="002D4822">
        <w:t xml:space="preserve"> conclusions</w:t>
      </w:r>
      <w:r w:rsidRPr="002D4822">
        <w:t xml:space="preserve"> are</w:t>
      </w:r>
      <w:r w:rsidRPr="00AA667F">
        <w:t xml:space="preserve"> often discordant.</w:t>
      </w:r>
    </w:p>
    <w:p w14:paraId="26F51D77" w14:textId="444CA48F" w:rsidR="001B2968" w:rsidRPr="00AA667F" w:rsidRDefault="001B2968" w:rsidP="00334269">
      <w:pPr>
        <w:spacing w:line="360" w:lineRule="auto"/>
        <w:jc w:val="both"/>
      </w:pPr>
      <w:r w:rsidRPr="00AA667F">
        <w:t>The above empirical analysis clearly show</w:t>
      </w:r>
      <w:r w:rsidR="00CB400A">
        <w:t>s</w:t>
      </w:r>
      <w:r w:rsidRPr="00AA667F">
        <w:t xml:space="preserve"> that there is a more or less strong relationship between leverage and the financial performance of companies. Despite this, scholars’ outcome has often been </w:t>
      </w:r>
      <w:r w:rsidRPr="002D4822">
        <w:t>discordant, but overall, the majority of conclusion appear</w:t>
      </w:r>
      <w:r w:rsidR="00865514" w:rsidRPr="002D4822">
        <w:t>s</w:t>
      </w:r>
      <w:r w:rsidRPr="002D4822">
        <w:t xml:space="preserve"> to </w:t>
      </w:r>
      <w:r w:rsidR="00CB400A" w:rsidRPr="002D4822">
        <w:t>agree</w:t>
      </w:r>
      <w:r w:rsidR="00865514" w:rsidRPr="002D4822">
        <w:t xml:space="preserve"> with</w:t>
      </w:r>
      <w:r w:rsidR="00CB400A" w:rsidRPr="002D4822">
        <w:t xml:space="preserve"> a</w:t>
      </w:r>
      <w:r w:rsidRPr="002D4822">
        <w:t xml:space="preserve"> negative relationship between the two variables. Furthermore, in this study</w:t>
      </w:r>
      <w:r w:rsidR="00865514" w:rsidRPr="002D4822">
        <w:t>,</w:t>
      </w:r>
      <w:r w:rsidRPr="002D4822">
        <w:t xml:space="preserve"> the author predict</w:t>
      </w:r>
      <w:r w:rsidR="00865514" w:rsidRPr="002D4822">
        <w:t>s</w:t>
      </w:r>
      <w:r w:rsidRPr="002D4822">
        <w:t xml:space="preserve"> that financial leverage will </w:t>
      </w:r>
      <w:r w:rsidR="00CB400A" w:rsidRPr="002D4822">
        <w:t xml:space="preserve">probably </w:t>
      </w:r>
      <w:r w:rsidRPr="002D4822">
        <w:t>have a</w:t>
      </w:r>
      <w:r w:rsidRPr="00AA667F">
        <w:t xml:space="preserve"> negative correlation on financial performance.</w:t>
      </w:r>
    </w:p>
    <w:p w14:paraId="4ADA010A" w14:textId="0ACE58C7" w:rsidR="0093476B" w:rsidRPr="00AA667F" w:rsidRDefault="0093476B" w:rsidP="0093476B">
      <w:pPr>
        <w:spacing w:line="254" w:lineRule="auto"/>
        <w:jc w:val="both"/>
      </w:pPr>
    </w:p>
    <w:p w14:paraId="5A8E8568" w14:textId="5E13D31F" w:rsidR="00DB790E" w:rsidRDefault="00DB790E" w:rsidP="00DB790E">
      <w:pPr>
        <w:spacing w:line="254" w:lineRule="auto"/>
        <w:jc w:val="both"/>
      </w:pPr>
    </w:p>
    <w:p w14:paraId="65699743" w14:textId="77777777" w:rsidR="000073B3" w:rsidRDefault="000073B3" w:rsidP="00DB790E">
      <w:pPr>
        <w:spacing w:line="254" w:lineRule="auto"/>
        <w:jc w:val="both"/>
      </w:pPr>
    </w:p>
    <w:p w14:paraId="768326F2" w14:textId="7785ECBD" w:rsidR="00214935" w:rsidRPr="000073B3" w:rsidRDefault="00214935" w:rsidP="000073B3">
      <w:pPr>
        <w:pStyle w:val="Heading1"/>
        <w:spacing w:line="360" w:lineRule="auto"/>
        <w:rPr>
          <w:rFonts w:ascii="Arial" w:hAnsi="Arial" w:cs="Arial"/>
          <w:b/>
          <w:bCs/>
          <w:color w:val="auto"/>
        </w:rPr>
      </w:pPr>
      <w:bookmarkStart w:id="21" w:name="_Toc43473599"/>
      <w:r w:rsidRPr="000073B3">
        <w:rPr>
          <w:rFonts w:ascii="Arial" w:hAnsi="Arial" w:cs="Arial"/>
          <w:b/>
          <w:bCs/>
          <w:color w:val="auto"/>
        </w:rPr>
        <w:lastRenderedPageBreak/>
        <w:t>Methodology</w:t>
      </w:r>
      <w:bookmarkEnd w:id="21"/>
    </w:p>
    <w:p w14:paraId="67D80126" w14:textId="623E8E29" w:rsidR="00516EE3" w:rsidRDefault="009B1AD9" w:rsidP="003C38F6">
      <w:pPr>
        <w:pBdr>
          <w:top w:val="single" w:sz="4" w:space="1" w:color="auto"/>
          <w:bottom w:val="single" w:sz="4" w:space="1" w:color="auto"/>
        </w:pBdr>
        <w:spacing w:line="360" w:lineRule="auto"/>
        <w:jc w:val="both"/>
        <w:rPr>
          <w:i/>
          <w:iCs/>
        </w:rPr>
      </w:pPr>
      <w:r w:rsidRPr="00951118">
        <w:rPr>
          <w:i/>
          <w:iCs/>
        </w:rPr>
        <w:t xml:space="preserve">This chapter will describe the practical method </w:t>
      </w:r>
      <w:r w:rsidR="00744622" w:rsidRPr="00951118">
        <w:rPr>
          <w:i/>
          <w:iCs/>
        </w:rPr>
        <w:t xml:space="preserve">used in the study, providing an outline of the selection and collection of the data. Furthermore, this chapter will discuss the selection of the variables and the choice of data analysis’ technique. </w:t>
      </w:r>
    </w:p>
    <w:p w14:paraId="48F42215" w14:textId="77777777" w:rsidR="000073B3" w:rsidRDefault="000073B3" w:rsidP="000073B3">
      <w:pPr>
        <w:pStyle w:val="ListParagraph"/>
        <w:spacing w:line="254" w:lineRule="auto"/>
        <w:jc w:val="both"/>
        <w:rPr>
          <w:b/>
          <w:bCs/>
          <w:sz w:val="28"/>
          <w:szCs w:val="28"/>
        </w:rPr>
      </w:pPr>
    </w:p>
    <w:p w14:paraId="1FCC552C" w14:textId="70D57B9D" w:rsidR="00951118" w:rsidRPr="000073B3" w:rsidRDefault="00951118" w:rsidP="000073B3">
      <w:pPr>
        <w:pStyle w:val="Heading2"/>
        <w:spacing w:line="480" w:lineRule="auto"/>
        <w:rPr>
          <w:rFonts w:ascii="Arial" w:hAnsi="Arial" w:cs="Arial"/>
          <w:b/>
          <w:bCs/>
          <w:color w:val="auto"/>
        </w:rPr>
      </w:pPr>
      <w:bookmarkStart w:id="22" w:name="_Toc43473600"/>
      <w:r w:rsidRPr="000073B3">
        <w:rPr>
          <w:rFonts w:ascii="Arial" w:hAnsi="Arial" w:cs="Arial"/>
          <w:b/>
          <w:bCs/>
          <w:color w:val="auto"/>
        </w:rPr>
        <w:t>Data source</w:t>
      </w:r>
      <w:bookmarkEnd w:id="22"/>
    </w:p>
    <w:p w14:paraId="21E35E78" w14:textId="1B7887F1" w:rsidR="00951118" w:rsidRDefault="00750A7A" w:rsidP="003C38F6">
      <w:pPr>
        <w:spacing w:line="360" w:lineRule="auto"/>
        <w:jc w:val="both"/>
      </w:pPr>
      <w:r>
        <w:t>A definition of the process of data collection</w:t>
      </w:r>
      <w:r w:rsidR="00D6537F">
        <w:t xml:space="preserve"> in research</w:t>
      </w:r>
      <w:r>
        <w:t xml:space="preserve">, with all its implications, was given in 2011 by </w:t>
      </w:r>
      <w:proofErr w:type="spellStart"/>
      <w:r w:rsidRPr="00750A7A">
        <w:t>Dahmström</w:t>
      </w:r>
      <w:proofErr w:type="spellEnd"/>
      <w:r>
        <w:t xml:space="preserve">. In their study, Andersson and </w:t>
      </w:r>
      <w:proofErr w:type="spellStart"/>
      <w:r>
        <w:t>Minemma</w:t>
      </w:r>
      <w:proofErr w:type="spellEnd"/>
      <w:r>
        <w:t xml:space="preserve"> referred to this definition, presenting the three main issue </w:t>
      </w:r>
      <w:r w:rsidRPr="00750A7A">
        <w:t>that researchers</w:t>
      </w:r>
      <w:r>
        <w:t xml:space="preserve"> have to</w:t>
      </w:r>
      <w:r w:rsidRPr="00750A7A">
        <w:t xml:space="preserve"> face in </w:t>
      </w:r>
      <w:r>
        <w:t>their analysis. The first issue concerns the subject of the study</w:t>
      </w:r>
      <w:r w:rsidRPr="00750A7A">
        <w:rPr>
          <w:i/>
          <w:iCs/>
        </w:rPr>
        <w:t>, who</w:t>
      </w:r>
      <w:r>
        <w:rPr>
          <w:i/>
          <w:iCs/>
        </w:rPr>
        <w:t xml:space="preserve"> </w:t>
      </w:r>
      <w:r>
        <w:t xml:space="preserve">or </w:t>
      </w:r>
      <w:r>
        <w:rPr>
          <w:i/>
          <w:iCs/>
        </w:rPr>
        <w:t>what</w:t>
      </w:r>
      <w:r>
        <w:t xml:space="preserve"> will be examined. The second issue regards</w:t>
      </w:r>
      <w:r w:rsidRPr="00750A7A">
        <w:rPr>
          <w:i/>
          <w:iCs/>
        </w:rPr>
        <w:t xml:space="preserve"> what</w:t>
      </w:r>
      <w:r>
        <w:rPr>
          <w:i/>
          <w:iCs/>
        </w:rPr>
        <w:t xml:space="preserve"> </w:t>
      </w:r>
      <w:r>
        <w:t>will be analysed, providing specific variables</w:t>
      </w:r>
      <w:r w:rsidR="0057263B">
        <w:t xml:space="preserve">. The last issue is </w:t>
      </w:r>
      <w:r w:rsidR="0057263B" w:rsidRPr="0057263B">
        <w:rPr>
          <w:i/>
          <w:iCs/>
        </w:rPr>
        <w:t xml:space="preserve">how </w:t>
      </w:r>
      <w:r w:rsidR="0057263B">
        <w:t xml:space="preserve">the researchers will conduct the </w:t>
      </w:r>
      <w:r w:rsidR="00EE663F">
        <w:t>analysis</w:t>
      </w:r>
      <w:r w:rsidR="0057263B">
        <w:t>, specifying the sampling design</w:t>
      </w:r>
      <w:r w:rsidR="00EE663F">
        <w:t xml:space="preserve"> (</w:t>
      </w:r>
      <w:proofErr w:type="spellStart"/>
      <w:r w:rsidR="00EE663F" w:rsidRPr="00EE663F">
        <w:t>Dahmström</w:t>
      </w:r>
      <w:proofErr w:type="spellEnd"/>
      <w:r w:rsidR="00EE663F">
        <w:t>, 2011).</w:t>
      </w:r>
    </w:p>
    <w:p w14:paraId="14228045" w14:textId="133A9A17" w:rsidR="00932BD1" w:rsidRDefault="00932BD1" w:rsidP="003C38F6">
      <w:pPr>
        <w:spacing w:line="360" w:lineRule="auto"/>
        <w:jc w:val="both"/>
      </w:pPr>
      <w:r>
        <w:t>In the same year, the author Bryman, in his book, presented two different type</w:t>
      </w:r>
      <w:r w:rsidR="00865514">
        <w:t>s</w:t>
      </w:r>
      <w:r>
        <w:t xml:space="preserve"> of data that can be used in research: primary and secondary. The first group concerns the data </w:t>
      </w:r>
      <w:r w:rsidR="00D573CE">
        <w:t>produced by the individual finding of the researcher, collected directly from himself. The second group are the data provided by other researchers</w:t>
      </w:r>
      <w:r w:rsidR="00D57112">
        <w:t xml:space="preserve"> and used by the analyst in his study (Bryman, 2012).</w:t>
      </w:r>
    </w:p>
    <w:p w14:paraId="152E7973" w14:textId="72A21B51" w:rsidR="00A50195" w:rsidRDefault="00A50195" w:rsidP="003C38F6">
      <w:pPr>
        <w:spacing w:line="360" w:lineRule="auto"/>
        <w:jc w:val="both"/>
      </w:pPr>
      <w:r>
        <w:t xml:space="preserve">This study, to </w:t>
      </w:r>
      <w:r w:rsidR="00426DBB">
        <w:t>analyse</w:t>
      </w:r>
      <w:r>
        <w:t xml:space="preserve"> the impact of liquidity and leverage on profitability, used secondary quantitative data collected from </w:t>
      </w:r>
      <w:r w:rsidR="001A5D67" w:rsidRPr="001A5D67">
        <w:t xml:space="preserve">the audited financial statements </w:t>
      </w:r>
      <w:r w:rsidR="001A5D67">
        <w:t xml:space="preserve">in the </w:t>
      </w:r>
      <w:r>
        <w:t xml:space="preserve">annual reports of </w:t>
      </w:r>
      <w:r w:rsidR="00A66F77">
        <w:t>five</w:t>
      </w:r>
      <w:r>
        <w:t xml:space="preserve"> </w:t>
      </w:r>
      <w:r w:rsidR="00A66F77">
        <w:t>airlines companies operating worldwide and located in Europe.</w:t>
      </w:r>
    </w:p>
    <w:p w14:paraId="611F6649" w14:textId="345E4225" w:rsidR="005E0BF6" w:rsidRDefault="008677E8" w:rsidP="003C38F6">
      <w:pPr>
        <w:spacing w:line="360" w:lineRule="auto"/>
        <w:jc w:val="both"/>
      </w:pPr>
      <w:r>
        <w:t xml:space="preserve">The time horizon of the study covered a </w:t>
      </w:r>
      <w:r w:rsidR="00A66F77">
        <w:t>six</w:t>
      </w:r>
      <w:r>
        <w:t xml:space="preserve"> years period between the years </w:t>
      </w:r>
      <w:r w:rsidRPr="00A66F77">
        <w:t>201</w:t>
      </w:r>
      <w:r w:rsidR="008112B1" w:rsidRPr="00A66F77">
        <w:t>4</w:t>
      </w:r>
      <w:r w:rsidRPr="00A66F77">
        <w:t>/201</w:t>
      </w:r>
      <w:r w:rsidR="008112B1" w:rsidRPr="00A66F77">
        <w:t>9</w:t>
      </w:r>
      <w:r>
        <w:t xml:space="preserve">. </w:t>
      </w:r>
      <w:r w:rsidR="00017309">
        <w:t xml:space="preserve">The reason for covering a </w:t>
      </w:r>
      <w:r w:rsidR="00A66F77">
        <w:t xml:space="preserve">six </w:t>
      </w:r>
      <w:r w:rsidR="005E0BF6">
        <w:t>year</w:t>
      </w:r>
      <w:r w:rsidR="00A66F77">
        <w:t>s</w:t>
      </w:r>
      <w:r w:rsidR="00017309">
        <w:t xml:space="preserve"> period is to give a sample of 30 observations, </w:t>
      </w:r>
      <w:r w:rsidR="00017309" w:rsidRPr="00017309">
        <w:t xml:space="preserve">in order to avoid </w:t>
      </w:r>
      <w:r w:rsidR="00017309">
        <w:t>data</w:t>
      </w:r>
      <w:r w:rsidR="00017309" w:rsidRPr="00017309">
        <w:t xml:space="preserve"> altered by transi</w:t>
      </w:r>
      <w:r w:rsidR="00017309">
        <w:t>tory</w:t>
      </w:r>
      <w:r w:rsidR="00017309" w:rsidRPr="00017309">
        <w:t xml:space="preserve"> effects in some years</w:t>
      </w:r>
      <w:r w:rsidR="00017309">
        <w:t xml:space="preserve"> and to increase reliability.</w:t>
      </w:r>
    </w:p>
    <w:p w14:paraId="1F1C4CED" w14:textId="77777777" w:rsidR="000073B3" w:rsidRDefault="000073B3" w:rsidP="00626DA2">
      <w:pPr>
        <w:spacing w:line="254" w:lineRule="auto"/>
        <w:jc w:val="both"/>
      </w:pPr>
    </w:p>
    <w:p w14:paraId="0C08AF99" w14:textId="39DF8F48" w:rsidR="00E17D15" w:rsidRPr="000073B3" w:rsidRDefault="00E17D15" w:rsidP="000073B3">
      <w:pPr>
        <w:pStyle w:val="Heading2"/>
        <w:spacing w:line="480" w:lineRule="auto"/>
        <w:rPr>
          <w:rFonts w:ascii="Arial" w:hAnsi="Arial" w:cs="Arial"/>
          <w:b/>
          <w:bCs/>
          <w:color w:val="auto"/>
        </w:rPr>
      </w:pPr>
      <w:bookmarkStart w:id="23" w:name="_Toc43473601"/>
      <w:r w:rsidRPr="000073B3">
        <w:rPr>
          <w:rFonts w:ascii="Arial" w:hAnsi="Arial" w:cs="Arial"/>
          <w:b/>
          <w:bCs/>
          <w:color w:val="auto"/>
        </w:rPr>
        <w:t>Sampling Design</w:t>
      </w:r>
      <w:bookmarkEnd w:id="23"/>
    </w:p>
    <w:p w14:paraId="13975F3C" w14:textId="16A7E14B" w:rsidR="00681F41" w:rsidRDefault="00681F41" w:rsidP="003C38F6">
      <w:pPr>
        <w:spacing w:line="360" w:lineRule="auto"/>
        <w:jc w:val="both"/>
      </w:pPr>
      <w:r>
        <w:t xml:space="preserve">Referring again to the study of </w:t>
      </w:r>
      <w:proofErr w:type="spellStart"/>
      <w:r w:rsidRPr="00EE663F">
        <w:t>Dahmström</w:t>
      </w:r>
      <w:proofErr w:type="spellEnd"/>
      <w:r>
        <w:t>, in research the sample used must represent the group that the researcher wants to analyse, transferring the characteristics into a framework able to represent the population target as precisely as possible</w:t>
      </w:r>
      <w:r w:rsidR="0047025A">
        <w:t xml:space="preserve"> (</w:t>
      </w:r>
      <w:proofErr w:type="spellStart"/>
      <w:r w:rsidR="0047025A" w:rsidRPr="00EE663F">
        <w:t>Dahmström</w:t>
      </w:r>
      <w:proofErr w:type="spellEnd"/>
      <w:r w:rsidR="0047025A">
        <w:t>, 2011).</w:t>
      </w:r>
    </w:p>
    <w:p w14:paraId="145948AF" w14:textId="3FB62312" w:rsidR="000073B3" w:rsidRPr="00204DBD" w:rsidRDefault="00681F41" w:rsidP="003C38F6">
      <w:pPr>
        <w:spacing w:line="360" w:lineRule="auto"/>
        <w:jc w:val="both"/>
        <w:rPr>
          <w:i/>
          <w:iCs/>
        </w:rPr>
      </w:pPr>
      <w:r>
        <w:t xml:space="preserve">In this study, the population is limited to </w:t>
      </w:r>
      <w:r w:rsidR="00A66F77">
        <w:t>five</w:t>
      </w:r>
      <w:r>
        <w:t xml:space="preserve"> companies performing in </w:t>
      </w:r>
      <w:r w:rsidR="00A66F77">
        <w:t xml:space="preserve">the airline </w:t>
      </w:r>
      <w:r w:rsidRPr="00A66F77">
        <w:t>sector</w:t>
      </w:r>
      <w:r w:rsidR="00A66F77">
        <w:t xml:space="preserve"> and located in Europe</w:t>
      </w:r>
      <w:r w:rsidR="00117E26">
        <w:t xml:space="preserve">. The sample taken into consideration included the </w:t>
      </w:r>
      <w:r w:rsidR="00A66F77">
        <w:t>English airline</w:t>
      </w:r>
      <w:r w:rsidR="00117E26">
        <w:t xml:space="preserve"> </w:t>
      </w:r>
      <w:r w:rsidR="00117E26" w:rsidRPr="00117E26">
        <w:rPr>
          <w:i/>
          <w:iCs/>
        </w:rPr>
        <w:t>EasyJet Plc</w:t>
      </w:r>
      <w:r w:rsidR="00A66F77">
        <w:t>,</w:t>
      </w:r>
      <w:r w:rsidR="00117E26">
        <w:t xml:space="preserve"> </w:t>
      </w:r>
      <w:r w:rsidR="00A66F77">
        <w:t xml:space="preserve">the Irish </w:t>
      </w:r>
      <w:r w:rsidR="00A66F77">
        <w:rPr>
          <w:i/>
          <w:iCs/>
        </w:rPr>
        <w:t>Ryanair</w:t>
      </w:r>
      <w:r w:rsidR="00117E26">
        <w:t xml:space="preserve">, the </w:t>
      </w:r>
      <w:r w:rsidR="00A66F77">
        <w:t>French</w:t>
      </w:r>
      <w:r w:rsidR="00117E26">
        <w:t xml:space="preserve"> </w:t>
      </w:r>
      <w:r w:rsidR="00A66F77">
        <w:rPr>
          <w:i/>
          <w:iCs/>
        </w:rPr>
        <w:t>Air France</w:t>
      </w:r>
      <w:r w:rsidR="00117E26">
        <w:t xml:space="preserve">, the </w:t>
      </w:r>
      <w:r w:rsidR="00DA5047">
        <w:t>Anglo Spanish</w:t>
      </w:r>
      <w:r w:rsidR="00A66F77">
        <w:t xml:space="preserve"> </w:t>
      </w:r>
      <w:r w:rsidR="00A66F77" w:rsidRPr="00A66F77">
        <w:rPr>
          <w:i/>
          <w:iCs/>
        </w:rPr>
        <w:t>IAG Group</w:t>
      </w:r>
      <w:r w:rsidR="00204DBD">
        <w:rPr>
          <w:i/>
          <w:iCs/>
        </w:rPr>
        <w:t xml:space="preserve"> </w:t>
      </w:r>
      <w:r w:rsidR="00204DBD">
        <w:t xml:space="preserve">and the German </w:t>
      </w:r>
      <w:r w:rsidR="00204DBD">
        <w:rPr>
          <w:i/>
          <w:iCs/>
        </w:rPr>
        <w:t>Lufthansa.</w:t>
      </w:r>
    </w:p>
    <w:p w14:paraId="4FB0CB77" w14:textId="2545DDAC" w:rsidR="001A27D6" w:rsidRPr="000073B3" w:rsidRDefault="001A27D6" w:rsidP="000073B3">
      <w:pPr>
        <w:pStyle w:val="Heading2"/>
        <w:spacing w:line="480" w:lineRule="auto"/>
        <w:rPr>
          <w:rFonts w:ascii="Arial" w:hAnsi="Arial" w:cs="Arial"/>
          <w:b/>
          <w:bCs/>
          <w:color w:val="auto"/>
        </w:rPr>
      </w:pPr>
      <w:bookmarkStart w:id="24" w:name="_Toc43473602"/>
      <w:r w:rsidRPr="000073B3">
        <w:rPr>
          <w:rFonts w:ascii="Arial" w:hAnsi="Arial" w:cs="Arial"/>
          <w:b/>
          <w:bCs/>
          <w:color w:val="auto"/>
        </w:rPr>
        <w:lastRenderedPageBreak/>
        <w:t>T</w:t>
      </w:r>
      <w:r w:rsidR="00865514" w:rsidRPr="000073B3">
        <w:rPr>
          <w:rFonts w:ascii="Arial" w:hAnsi="Arial" w:cs="Arial"/>
          <w:b/>
          <w:bCs/>
          <w:color w:val="auto"/>
        </w:rPr>
        <w:t>he t</w:t>
      </w:r>
      <w:r w:rsidRPr="000073B3">
        <w:rPr>
          <w:rFonts w:ascii="Arial" w:hAnsi="Arial" w:cs="Arial"/>
          <w:b/>
          <w:bCs/>
          <w:color w:val="auto"/>
        </w:rPr>
        <w:t>echnique of data analysis</w:t>
      </w:r>
      <w:bookmarkEnd w:id="24"/>
      <w:r w:rsidRPr="000073B3">
        <w:rPr>
          <w:rFonts w:ascii="Arial" w:hAnsi="Arial" w:cs="Arial"/>
          <w:b/>
          <w:bCs/>
          <w:color w:val="auto"/>
        </w:rPr>
        <w:t xml:space="preserve"> </w:t>
      </w:r>
    </w:p>
    <w:p w14:paraId="1FED2E46" w14:textId="52ED64A8" w:rsidR="001A27D6" w:rsidRDefault="001531F8" w:rsidP="006E217B">
      <w:pPr>
        <w:spacing w:line="360" w:lineRule="auto"/>
        <w:jc w:val="both"/>
      </w:pPr>
      <w:r>
        <w:t>T</w:t>
      </w:r>
      <w:r w:rsidR="00865514">
        <w:t>he t</w:t>
      </w:r>
      <w:r>
        <w:t xml:space="preserve">echnique of data analysis concerns the statistical tools and techniques </w:t>
      </w:r>
      <w:r w:rsidRPr="001531F8">
        <w:t>used to process and analy</w:t>
      </w:r>
      <w:r>
        <w:t>s</w:t>
      </w:r>
      <w:r w:rsidRPr="001531F8">
        <w:t xml:space="preserve">e data in order to reach a </w:t>
      </w:r>
      <w:r>
        <w:t xml:space="preserve">valid </w:t>
      </w:r>
      <w:r w:rsidRPr="001531F8">
        <w:t>conclusion.</w:t>
      </w:r>
      <w:r>
        <w:t xml:space="preserve"> As previously mentioned, this study aims to examine if </w:t>
      </w:r>
      <w:r w:rsidR="005A6C6F">
        <w:t>exists</w:t>
      </w:r>
      <w:r>
        <w:t xml:space="preserve"> a correlation</w:t>
      </w:r>
      <w:r w:rsidR="005430C5">
        <w:t xml:space="preserve"> and the degree of association</w:t>
      </w:r>
      <w:r>
        <w:t xml:space="preserve"> between two independent variables named liquidity and leverage and a dependent variable, the profitability. </w:t>
      </w:r>
      <w:r w:rsidRPr="001531F8">
        <w:t>The statistical models were buil</w:t>
      </w:r>
      <w:r>
        <w:t>t</w:t>
      </w:r>
      <w:r w:rsidRPr="001531F8">
        <w:t xml:space="preserve"> using </w:t>
      </w:r>
      <w:r w:rsidR="005A6C6F" w:rsidRPr="00DA5047">
        <w:t>two</w:t>
      </w:r>
      <w:r w:rsidRPr="001531F8">
        <w:t xml:space="preserve"> different measure</w:t>
      </w:r>
      <w:r w:rsidR="005A6C6F">
        <w:t>s</w:t>
      </w:r>
      <w:r w:rsidRPr="001531F8">
        <w:t xml:space="preserve"> for each variable mentioned.</w:t>
      </w:r>
    </w:p>
    <w:p w14:paraId="28BAB6CE" w14:textId="548C4C7F" w:rsidR="005A6C6F" w:rsidRPr="009A32FA" w:rsidRDefault="005A6C6F" w:rsidP="006E217B">
      <w:pPr>
        <w:spacing w:line="360" w:lineRule="auto"/>
        <w:jc w:val="both"/>
      </w:pPr>
      <w:r>
        <w:t>In this study</w:t>
      </w:r>
      <w:r w:rsidRPr="00D5334A">
        <w:t xml:space="preserve">, two statistical models were </w:t>
      </w:r>
      <w:r w:rsidR="00070FF1" w:rsidRPr="00D5334A">
        <w:t>employed</w:t>
      </w:r>
      <w:r w:rsidR="005430C5" w:rsidRPr="00D5334A">
        <w:t>, and they are</w:t>
      </w:r>
      <w:r w:rsidRPr="00D5334A">
        <w:t xml:space="preserve"> titled ‘</w:t>
      </w:r>
      <w:r w:rsidR="00070FF1" w:rsidRPr="00D5334A">
        <w:rPr>
          <w:i/>
          <w:iCs/>
        </w:rPr>
        <w:t>Pearson</w:t>
      </w:r>
      <w:r w:rsidRPr="00D5334A">
        <w:rPr>
          <w:i/>
          <w:iCs/>
        </w:rPr>
        <w:t xml:space="preserve"> correlation analysis’</w:t>
      </w:r>
      <w:r>
        <w:t xml:space="preserve"> and ‘</w:t>
      </w:r>
      <w:r w:rsidR="00DA5047">
        <w:rPr>
          <w:i/>
          <w:iCs/>
        </w:rPr>
        <w:t>multiple</w:t>
      </w:r>
      <w:r w:rsidRPr="005430C5">
        <w:rPr>
          <w:i/>
          <w:iCs/>
        </w:rPr>
        <w:t xml:space="preserve"> regression analysis’</w:t>
      </w:r>
      <w:r>
        <w:t>.</w:t>
      </w:r>
      <w:r w:rsidR="005430C5">
        <w:t xml:space="preserve"> </w:t>
      </w:r>
    </w:p>
    <w:p w14:paraId="7E9C2EA0" w14:textId="0BA787B2" w:rsidR="001A27D6" w:rsidRDefault="00070FF1" w:rsidP="006E217B">
      <w:pPr>
        <w:spacing w:line="360" w:lineRule="auto"/>
        <w:jc w:val="both"/>
      </w:pPr>
      <w:r w:rsidRPr="00D5334A">
        <w:t xml:space="preserve">The Pearson correlation analysis was adopted to </w:t>
      </w:r>
      <w:r w:rsidR="00246608" w:rsidRPr="00D5334A">
        <w:t>summarize</w:t>
      </w:r>
      <w:r w:rsidRPr="00D5334A">
        <w:t xml:space="preserve"> the strength</w:t>
      </w:r>
      <w:r w:rsidR="00246608" w:rsidRPr="00D5334A">
        <w:t xml:space="preserve"> and direction</w:t>
      </w:r>
      <w:r w:rsidRPr="00D5334A">
        <w:t xml:space="preserve"> of a </w:t>
      </w:r>
      <w:r w:rsidRPr="00D5334A">
        <w:rPr>
          <w:i/>
          <w:iCs/>
        </w:rPr>
        <w:t>linear</w:t>
      </w:r>
      <w:r w:rsidRPr="00D5334A">
        <w:t xml:space="preserve"> regression between the variables</w:t>
      </w:r>
      <w:r w:rsidR="00246608" w:rsidRPr="00D5334A">
        <w:t xml:space="preserve"> through a number named </w:t>
      </w:r>
      <w:r w:rsidR="00246608" w:rsidRPr="00D5334A">
        <w:rPr>
          <w:u w:val="single"/>
        </w:rPr>
        <w:t>correlation coefficient</w:t>
      </w:r>
      <w:r w:rsidR="00246608" w:rsidRPr="00D5334A">
        <w:t>. This coefficient, denoted by a</w:t>
      </w:r>
      <w:r w:rsidR="00865514">
        <w:t>n</w:t>
      </w:r>
      <w:r w:rsidR="00246608" w:rsidRPr="00D5334A">
        <w:rPr>
          <w:i/>
          <w:iCs/>
        </w:rPr>
        <w:t xml:space="preserve"> r, </w:t>
      </w:r>
      <w:r w:rsidR="00246608" w:rsidRPr="00D5334A">
        <w:t xml:space="preserve">ranges from -1 and +1 and the close is the value to these numbers, the strongest is the correlation. A positive correlation </w:t>
      </w:r>
      <w:r w:rsidR="00C71350" w:rsidRPr="00D5334A">
        <w:t xml:space="preserve">coefficient’s </w:t>
      </w:r>
      <w:r w:rsidR="00246608" w:rsidRPr="00D5334A">
        <w:t>value denotes a positive association between the two measures</w:t>
      </w:r>
      <w:r w:rsidR="00865514">
        <w:t>;</w:t>
      </w:r>
      <w:r w:rsidR="00246608" w:rsidRPr="00D5334A">
        <w:t xml:space="preserve"> this means that as one of them grows, the second one will also increase. On the opposite side, a negative value means a negative correlation or the increase in on</w:t>
      </w:r>
      <w:r w:rsidR="00865514">
        <w:t>e</w:t>
      </w:r>
      <w:r w:rsidR="00246608" w:rsidRPr="00D5334A">
        <w:t xml:space="preserve"> of them</w:t>
      </w:r>
      <w:r w:rsidR="00865514">
        <w:t xml:space="preserve"> </w:t>
      </w:r>
      <w:r w:rsidR="00246608" w:rsidRPr="00D5334A">
        <w:t xml:space="preserve">involves a decrease in the other </w:t>
      </w:r>
      <w:r w:rsidR="004A157A" w:rsidRPr="00D5334A">
        <w:t>value.</w:t>
      </w:r>
      <w:r w:rsidR="00B72C1D" w:rsidRPr="00D5334A">
        <w:t xml:space="preserve"> A value of 0 implies a no linear correlation</w:t>
      </w:r>
      <w:r w:rsidR="001D0BBB" w:rsidRPr="00D5334A">
        <w:t xml:space="preserve"> (Schober, Boer and </w:t>
      </w:r>
      <w:proofErr w:type="spellStart"/>
      <w:r w:rsidR="001D0BBB" w:rsidRPr="00D5334A">
        <w:t>Schwarte</w:t>
      </w:r>
      <w:proofErr w:type="spellEnd"/>
      <w:r w:rsidR="001D0BBB" w:rsidRPr="00D5334A">
        <w:t>, 2018).</w:t>
      </w:r>
    </w:p>
    <w:p w14:paraId="3631358B" w14:textId="24709F57" w:rsidR="00214935" w:rsidRDefault="00206ACB" w:rsidP="006E217B">
      <w:pPr>
        <w:spacing w:line="360" w:lineRule="auto"/>
        <w:jc w:val="both"/>
      </w:pPr>
      <w:r>
        <w:t>The se</w:t>
      </w:r>
      <w:r w:rsidR="001B6050">
        <w:t>cond</w:t>
      </w:r>
      <w:r w:rsidR="003B09FB" w:rsidRPr="003B09FB">
        <w:t xml:space="preserve"> statistical method </w:t>
      </w:r>
      <w:r w:rsidR="001B6050">
        <w:t xml:space="preserve">used </w:t>
      </w:r>
      <w:r w:rsidR="003B09FB" w:rsidRPr="003B09FB">
        <w:t>to analy</w:t>
      </w:r>
      <w:r w:rsidR="003B09FB">
        <w:t>s</w:t>
      </w:r>
      <w:r w:rsidR="003B09FB" w:rsidRPr="003B09FB">
        <w:t>e the relationship between 2 or more variables is the regression m</w:t>
      </w:r>
      <w:r w:rsidR="003B09FB">
        <w:t>odel</w:t>
      </w:r>
      <w:r w:rsidR="003B09FB" w:rsidRPr="003B09FB">
        <w:t>.</w:t>
      </w:r>
      <w:r w:rsidR="003B09FB">
        <w:t xml:space="preserve"> W</w:t>
      </w:r>
      <w:r w:rsidR="003B09FB" w:rsidRPr="003B09FB">
        <w:t xml:space="preserve">hen studying the relationship between a dependent variable and </w:t>
      </w:r>
      <w:r w:rsidR="00DD7BFD">
        <w:t>one</w:t>
      </w:r>
      <w:r w:rsidR="003B09FB" w:rsidRPr="003B09FB">
        <w:t xml:space="preserve"> independent variable, this model is called </w:t>
      </w:r>
      <w:r w:rsidR="003B09FB" w:rsidRPr="003B09FB">
        <w:rPr>
          <w:i/>
          <w:iCs/>
        </w:rPr>
        <w:t>simple linear regression</w:t>
      </w:r>
      <w:r w:rsidR="003B09FB" w:rsidRPr="003B09FB">
        <w:t>.</w:t>
      </w:r>
      <w:r w:rsidR="003B09FB">
        <w:t xml:space="preserve"> W</w:t>
      </w:r>
      <w:r w:rsidR="003B09FB" w:rsidRPr="003B09FB">
        <w:t xml:space="preserve">hen there </w:t>
      </w:r>
      <w:r w:rsidR="00865514">
        <w:t>is</w:t>
      </w:r>
      <w:r w:rsidR="003B09FB" w:rsidRPr="003B09FB">
        <w:t xml:space="preserve"> more than </w:t>
      </w:r>
      <w:r w:rsidR="00865514">
        <w:t>one</w:t>
      </w:r>
      <w:r w:rsidR="003B09FB" w:rsidRPr="003B09FB">
        <w:t xml:space="preserve"> independent variable,</w:t>
      </w:r>
      <w:r w:rsidR="00494A4E">
        <w:t xml:space="preserve"> named as predictor variables,</w:t>
      </w:r>
      <w:r w:rsidR="003B09FB" w:rsidRPr="003B09FB">
        <w:t xml:space="preserve"> the model is </w:t>
      </w:r>
      <w:r w:rsidR="003B09FB">
        <w:t xml:space="preserve">defined as </w:t>
      </w:r>
      <w:r w:rsidR="003B09FB" w:rsidRPr="003B09FB">
        <w:rPr>
          <w:i/>
          <w:iCs/>
        </w:rPr>
        <w:t>multiple regression</w:t>
      </w:r>
      <w:r w:rsidR="00B92D97">
        <w:rPr>
          <w:i/>
          <w:iCs/>
        </w:rPr>
        <w:t xml:space="preserve"> </w:t>
      </w:r>
      <w:r w:rsidR="00B92D97" w:rsidRPr="00D92342">
        <w:t>(</w:t>
      </w:r>
      <w:proofErr w:type="spellStart"/>
      <w:r w:rsidR="00B92D97" w:rsidRPr="00D92342">
        <w:t>Marill</w:t>
      </w:r>
      <w:proofErr w:type="spellEnd"/>
      <w:r w:rsidR="00B92D97" w:rsidRPr="00D92342">
        <w:t>, 2004)</w:t>
      </w:r>
      <w:r w:rsidR="00B92D97">
        <w:t>.</w:t>
      </w:r>
      <w:r w:rsidR="003B09FB">
        <w:rPr>
          <w:i/>
          <w:iCs/>
        </w:rPr>
        <w:t xml:space="preserve"> </w:t>
      </w:r>
      <w:r w:rsidR="003B09FB" w:rsidRPr="003B09FB">
        <w:t>In this study</w:t>
      </w:r>
      <w:r w:rsidR="00865514">
        <w:t>,</w:t>
      </w:r>
      <w:r w:rsidR="003B09FB" w:rsidRPr="003B09FB">
        <w:t xml:space="preserve"> the two liquidity and leverage variables are analy</w:t>
      </w:r>
      <w:r w:rsidR="003B09FB">
        <w:t>s</w:t>
      </w:r>
      <w:r w:rsidR="003B09FB" w:rsidRPr="003B09FB">
        <w:t xml:space="preserve">ed </w:t>
      </w:r>
      <w:r w:rsidR="00494A4E">
        <w:t>together</w:t>
      </w:r>
      <w:r w:rsidR="003B09FB" w:rsidRPr="003B09FB">
        <w:t xml:space="preserve">, </w:t>
      </w:r>
      <w:r w:rsidR="003B09FB">
        <w:t>trough the</w:t>
      </w:r>
      <w:r w:rsidR="003B09FB" w:rsidRPr="003B09FB">
        <w:t xml:space="preserve"> </w:t>
      </w:r>
      <w:r w:rsidR="00494A4E">
        <w:t>multiple</w:t>
      </w:r>
      <w:r w:rsidR="003B09FB" w:rsidRPr="003B09FB">
        <w:t xml:space="preserve"> regression</w:t>
      </w:r>
      <w:r w:rsidR="003B09FB">
        <w:t xml:space="preserve"> method</w:t>
      </w:r>
      <w:r w:rsidR="00B92D97">
        <w:t>.</w:t>
      </w:r>
    </w:p>
    <w:p w14:paraId="2DD4BD95" w14:textId="17A67F2D" w:rsidR="001B6050" w:rsidRDefault="002B4D70" w:rsidP="006E217B">
      <w:pPr>
        <w:spacing w:line="360" w:lineRule="auto"/>
        <w:jc w:val="both"/>
      </w:pPr>
      <w:r>
        <w:t>The regression analysis is used to predict the value of one of the variables (</w:t>
      </w:r>
      <w:r w:rsidRPr="006608FB">
        <w:rPr>
          <w:i/>
          <w:iCs/>
        </w:rPr>
        <w:t>Y</w:t>
      </w:r>
      <w:r>
        <w:t xml:space="preserve"> = dependent or study variable) when the other variable (</w:t>
      </w:r>
      <w:r w:rsidRPr="006608FB">
        <w:rPr>
          <w:i/>
          <w:iCs/>
        </w:rPr>
        <w:t>X</w:t>
      </w:r>
      <w:r>
        <w:t xml:space="preserve"> = independent or </w:t>
      </w:r>
      <w:r w:rsidR="00494A4E">
        <w:t>predictor</w:t>
      </w:r>
      <w:r>
        <w:t xml:space="preserve"> variable) </w:t>
      </w:r>
      <w:r w:rsidRPr="002B4D70">
        <w:t>undergoes a change in value</w:t>
      </w:r>
      <w:r>
        <w:t xml:space="preserve">. </w:t>
      </w:r>
      <w:r w:rsidR="00A7520D">
        <w:t>As previously stated, the multiple regression analysis requires at least two predictor variables</w:t>
      </w:r>
      <w:r w:rsidR="00865514">
        <w:t>,</w:t>
      </w:r>
      <w:r w:rsidR="00A7520D">
        <w:t xml:space="preserve"> and its </w:t>
      </w:r>
      <w:r w:rsidR="006E217B">
        <w:t>e</w:t>
      </w:r>
      <w:r w:rsidR="00A7520D">
        <w:t>quation is explained as follow:</w:t>
      </w:r>
    </w:p>
    <w:p w14:paraId="0C70D143" w14:textId="295D0CAF" w:rsidR="00A7520D" w:rsidRPr="00326B49" w:rsidRDefault="00A7520D" w:rsidP="006E217B">
      <w:pPr>
        <w:spacing w:line="360" w:lineRule="auto"/>
        <w:jc w:val="center"/>
        <w:rPr>
          <w:b/>
          <w:bCs/>
        </w:rPr>
      </w:pPr>
      <w:r w:rsidRPr="00A7520D">
        <w:rPr>
          <w:rFonts w:ascii="Helvetica" w:hAnsi="Helvetica" w:cs="Helvetica"/>
          <w:b/>
          <w:bCs/>
          <w:color w:val="333333"/>
          <w:sz w:val="23"/>
          <w:szCs w:val="23"/>
          <w:shd w:val="clear" w:color="auto" w:fill="FFFFFF"/>
        </w:rPr>
        <w:t xml:space="preserve">y = </w:t>
      </w:r>
      <w:r>
        <w:rPr>
          <w:rFonts w:ascii="Arial" w:hAnsi="Arial" w:cs="Arial"/>
          <w:b/>
          <w:bCs/>
          <w:i/>
          <w:iCs/>
          <w:color w:val="383939"/>
          <w:sz w:val="23"/>
          <w:szCs w:val="23"/>
          <w:shd w:val="clear" w:color="auto" w:fill="FFFFFF"/>
        </w:rPr>
        <w:t>b</w:t>
      </w:r>
      <w:r>
        <w:rPr>
          <w:rFonts w:ascii="Arial" w:hAnsi="Arial" w:cs="Arial"/>
          <w:b/>
          <w:bCs/>
          <w:i/>
          <w:iCs/>
          <w:color w:val="383939"/>
          <w:sz w:val="17"/>
          <w:szCs w:val="17"/>
          <w:bdr w:val="none" w:sz="0" w:space="0" w:color="auto" w:frame="1"/>
          <w:vertAlign w:val="subscript"/>
        </w:rPr>
        <w:t>0</w:t>
      </w:r>
      <w:r w:rsidRPr="00A7520D">
        <w:rPr>
          <w:rFonts w:ascii="Helvetica" w:hAnsi="Helvetica" w:cs="Helvetica"/>
          <w:b/>
          <w:bCs/>
          <w:color w:val="333333"/>
          <w:sz w:val="23"/>
          <w:szCs w:val="23"/>
          <w:shd w:val="clear" w:color="auto" w:fill="FFFFFF"/>
        </w:rPr>
        <w:t xml:space="preserve"> </w:t>
      </w:r>
      <w:r>
        <w:rPr>
          <w:rFonts w:ascii="Helvetica" w:hAnsi="Helvetica" w:cs="Helvetica"/>
          <w:b/>
          <w:bCs/>
          <w:color w:val="333333"/>
          <w:sz w:val="23"/>
          <w:szCs w:val="23"/>
          <w:shd w:val="clear" w:color="auto" w:fill="FFFFFF"/>
        </w:rPr>
        <w:t xml:space="preserve">+ </w:t>
      </w:r>
      <w:r w:rsidRPr="00A7520D">
        <w:rPr>
          <w:rFonts w:ascii="Helvetica" w:hAnsi="Helvetica" w:cs="Helvetica"/>
          <w:b/>
          <w:bCs/>
          <w:color w:val="333333"/>
          <w:sz w:val="23"/>
          <w:szCs w:val="23"/>
          <w:shd w:val="clear" w:color="auto" w:fill="FFFFFF"/>
        </w:rPr>
        <w:t>b</w:t>
      </w:r>
      <w:r w:rsidRPr="00A7520D">
        <w:rPr>
          <w:rFonts w:ascii="Helvetica" w:hAnsi="Helvetica" w:cs="Helvetica"/>
          <w:b/>
          <w:bCs/>
          <w:color w:val="333333"/>
          <w:sz w:val="17"/>
          <w:szCs w:val="17"/>
          <w:bdr w:val="none" w:sz="0" w:space="0" w:color="auto" w:frame="1"/>
          <w:shd w:val="clear" w:color="auto" w:fill="FFFFFF"/>
          <w:vertAlign w:val="subscript"/>
        </w:rPr>
        <w:t>1</w:t>
      </w:r>
      <w:r w:rsidRPr="00A7520D">
        <w:rPr>
          <w:rFonts w:ascii="Helvetica" w:hAnsi="Helvetica" w:cs="Helvetica"/>
          <w:b/>
          <w:bCs/>
          <w:color w:val="333333"/>
          <w:sz w:val="23"/>
          <w:szCs w:val="23"/>
          <w:shd w:val="clear" w:color="auto" w:fill="FFFFFF"/>
        </w:rPr>
        <w:t>x</w:t>
      </w:r>
      <w:r w:rsidRPr="00A7520D">
        <w:rPr>
          <w:rFonts w:ascii="Helvetica" w:hAnsi="Helvetica" w:cs="Helvetica"/>
          <w:b/>
          <w:bCs/>
          <w:color w:val="333333"/>
          <w:sz w:val="17"/>
          <w:szCs w:val="17"/>
          <w:bdr w:val="none" w:sz="0" w:space="0" w:color="auto" w:frame="1"/>
          <w:shd w:val="clear" w:color="auto" w:fill="FFFFFF"/>
          <w:vertAlign w:val="subscript"/>
        </w:rPr>
        <w:t>1</w:t>
      </w:r>
      <w:r w:rsidRPr="00A7520D">
        <w:rPr>
          <w:rFonts w:ascii="Helvetica" w:hAnsi="Helvetica" w:cs="Helvetica"/>
          <w:b/>
          <w:bCs/>
          <w:color w:val="333333"/>
          <w:sz w:val="23"/>
          <w:szCs w:val="23"/>
          <w:shd w:val="clear" w:color="auto" w:fill="FFFFFF"/>
        </w:rPr>
        <w:t> + b</w:t>
      </w:r>
      <w:r w:rsidRPr="00A7520D">
        <w:rPr>
          <w:rFonts w:ascii="Helvetica" w:hAnsi="Helvetica" w:cs="Helvetica"/>
          <w:b/>
          <w:bCs/>
          <w:color w:val="333333"/>
          <w:sz w:val="17"/>
          <w:szCs w:val="17"/>
          <w:bdr w:val="none" w:sz="0" w:space="0" w:color="auto" w:frame="1"/>
          <w:shd w:val="clear" w:color="auto" w:fill="FFFFFF"/>
          <w:vertAlign w:val="subscript"/>
        </w:rPr>
        <w:t>2</w:t>
      </w:r>
      <w:r w:rsidRPr="00A7520D">
        <w:rPr>
          <w:rFonts w:ascii="Helvetica" w:hAnsi="Helvetica" w:cs="Helvetica"/>
          <w:b/>
          <w:bCs/>
          <w:color w:val="333333"/>
          <w:sz w:val="23"/>
          <w:szCs w:val="23"/>
          <w:shd w:val="clear" w:color="auto" w:fill="FFFFFF"/>
        </w:rPr>
        <w:t>x</w:t>
      </w:r>
      <w:r w:rsidRPr="00A7520D">
        <w:rPr>
          <w:rFonts w:ascii="Helvetica" w:hAnsi="Helvetica" w:cs="Helvetica"/>
          <w:b/>
          <w:bCs/>
          <w:color w:val="333333"/>
          <w:sz w:val="17"/>
          <w:szCs w:val="17"/>
          <w:bdr w:val="none" w:sz="0" w:space="0" w:color="auto" w:frame="1"/>
          <w:shd w:val="clear" w:color="auto" w:fill="FFFFFF"/>
          <w:vertAlign w:val="subscript"/>
        </w:rPr>
        <w:t>2</w:t>
      </w:r>
      <w:r w:rsidRPr="00A7520D">
        <w:rPr>
          <w:rFonts w:ascii="Helvetica" w:hAnsi="Helvetica" w:cs="Helvetica"/>
          <w:b/>
          <w:bCs/>
          <w:color w:val="333333"/>
          <w:sz w:val="23"/>
          <w:szCs w:val="23"/>
          <w:shd w:val="clear" w:color="auto" w:fill="FFFFFF"/>
        </w:rPr>
        <w:t xml:space="preserve"> + … + </w:t>
      </w:r>
      <w:proofErr w:type="spellStart"/>
      <w:r w:rsidRPr="00A7520D">
        <w:rPr>
          <w:rFonts w:ascii="Helvetica" w:hAnsi="Helvetica" w:cs="Helvetica"/>
          <w:b/>
          <w:bCs/>
          <w:color w:val="333333"/>
          <w:sz w:val="23"/>
          <w:szCs w:val="23"/>
          <w:shd w:val="clear" w:color="auto" w:fill="FFFFFF"/>
        </w:rPr>
        <w:t>b</w:t>
      </w:r>
      <w:r w:rsidRPr="00A7520D">
        <w:rPr>
          <w:rFonts w:ascii="Helvetica" w:hAnsi="Helvetica" w:cs="Helvetica"/>
          <w:b/>
          <w:bCs/>
          <w:color w:val="333333"/>
          <w:sz w:val="17"/>
          <w:szCs w:val="17"/>
          <w:bdr w:val="none" w:sz="0" w:space="0" w:color="auto" w:frame="1"/>
          <w:shd w:val="clear" w:color="auto" w:fill="FFFFFF"/>
          <w:vertAlign w:val="subscript"/>
        </w:rPr>
        <w:t>n</w:t>
      </w:r>
      <w:r w:rsidRPr="00A7520D">
        <w:rPr>
          <w:rFonts w:ascii="Helvetica" w:hAnsi="Helvetica" w:cs="Helvetica"/>
          <w:b/>
          <w:bCs/>
          <w:color w:val="333333"/>
          <w:sz w:val="23"/>
          <w:szCs w:val="23"/>
          <w:shd w:val="clear" w:color="auto" w:fill="FFFFFF"/>
        </w:rPr>
        <w:t>x</w:t>
      </w:r>
      <w:r w:rsidRPr="00A7520D">
        <w:rPr>
          <w:rFonts w:ascii="Helvetica" w:hAnsi="Helvetica" w:cs="Helvetica"/>
          <w:b/>
          <w:bCs/>
          <w:color w:val="333333"/>
          <w:sz w:val="17"/>
          <w:szCs w:val="17"/>
          <w:bdr w:val="none" w:sz="0" w:space="0" w:color="auto" w:frame="1"/>
          <w:shd w:val="clear" w:color="auto" w:fill="FFFFFF"/>
          <w:vertAlign w:val="subscript"/>
        </w:rPr>
        <w:t>n</w:t>
      </w:r>
      <w:proofErr w:type="spellEnd"/>
      <w:r w:rsidR="00326B49">
        <w:rPr>
          <w:rFonts w:ascii="Helvetica" w:hAnsi="Helvetica" w:cs="Helvetica"/>
          <w:b/>
          <w:bCs/>
          <w:color w:val="333333"/>
          <w:sz w:val="17"/>
          <w:szCs w:val="17"/>
          <w:bdr w:val="none" w:sz="0" w:space="0" w:color="auto" w:frame="1"/>
          <w:shd w:val="clear" w:color="auto" w:fill="FFFFFF"/>
          <w:vertAlign w:val="subscript"/>
        </w:rPr>
        <w:t xml:space="preserve"> </w:t>
      </w:r>
      <w:r w:rsidR="00326B49" w:rsidRPr="00F831BD">
        <w:rPr>
          <w:rFonts w:cstheme="minorHAnsi"/>
          <w:color w:val="333333"/>
          <w:shd w:val="clear" w:color="auto" w:fill="FFFFFF"/>
        </w:rPr>
        <w:t>(</w:t>
      </w:r>
      <w:proofErr w:type="spellStart"/>
      <w:r w:rsidR="00326B49" w:rsidRPr="00F831BD">
        <w:rPr>
          <w:rFonts w:cstheme="minorHAnsi"/>
          <w:color w:val="333333"/>
          <w:shd w:val="clear" w:color="auto" w:fill="FFFFFF"/>
        </w:rPr>
        <w:t>Uyanık</w:t>
      </w:r>
      <w:proofErr w:type="spellEnd"/>
      <w:r w:rsidR="00326B49" w:rsidRPr="00F831BD">
        <w:rPr>
          <w:rFonts w:cstheme="minorHAnsi"/>
          <w:color w:val="333333"/>
          <w:shd w:val="clear" w:color="auto" w:fill="FFFFFF"/>
        </w:rPr>
        <w:t xml:space="preserve"> and </w:t>
      </w:r>
      <w:proofErr w:type="spellStart"/>
      <w:r w:rsidR="00326B49" w:rsidRPr="00F831BD">
        <w:rPr>
          <w:rFonts w:cstheme="minorHAnsi"/>
          <w:color w:val="333333"/>
          <w:shd w:val="clear" w:color="auto" w:fill="FFFFFF"/>
        </w:rPr>
        <w:t>Güler</w:t>
      </w:r>
      <w:proofErr w:type="spellEnd"/>
      <w:r w:rsidR="00326B49" w:rsidRPr="00F831BD">
        <w:rPr>
          <w:rFonts w:cstheme="minorHAnsi"/>
          <w:color w:val="333333"/>
          <w:shd w:val="clear" w:color="auto" w:fill="FFFFFF"/>
        </w:rPr>
        <w:t>, 2013)</w:t>
      </w:r>
      <w:r w:rsidR="00326B49">
        <w:rPr>
          <w:rFonts w:cstheme="minorHAnsi"/>
          <w:color w:val="333333"/>
          <w:shd w:val="clear" w:color="auto" w:fill="FFFFFF"/>
        </w:rPr>
        <w:t>.</w:t>
      </w:r>
    </w:p>
    <w:p w14:paraId="6F7172AF" w14:textId="5E48718C" w:rsidR="00A7520D" w:rsidRPr="00A7520D" w:rsidRDefault="00A7520D" w:rsidP="006E217B">
      <w:pPr>
        <w:spacing w:line="360" w:lineRule="auto"/>
        <w:jc w:val="both"/>
        <w:rPr>
          <w:rFonts w:ascii="Calibri" w:hAnsi="Calibri" w:cs="Calibri"/>
          <w:color w:val="222222"/>
          <w:shd w:val="clear" w:color="auto" w:fill="FFFFFF"/>
        </w:rPr>
      </w:pPr>
      <w:r>
        <w:rPr>
          <w:rFonts w:ascii="Calibri" w:hAnsi="Calibri" w:cs="Calibri"/>
          <w:color w:val="222222"/>
          <w:shd w:val="clear" w:color="auto" w:fill="FFFFFF"/>
        </w:rPr>
        <w:t>Where:</w:t>
      </w:r>
    </w:p>
    <w:p w14:paraId="069FB7C3" w14:textId="77EA1AED" w:rsidR="00932B8B" w:rsidRDefault="00A7520D" w:rsidP="006E217B">
      <w:pPr>
        <w:spacing w:line="360" w:lineRule="auto"/>
        <w:jc w:val="both"/>
        <w:rPr>
          <w:rFonts w:cstheme="minorHAnsi"/>
          <w:color w:val="333333"/>
          <w:shd w:val="clear" w:color="auto" w:fill="FFFFFF"/>
        </w:rPr>
      </w:pPr>
      <w:r>
        <w:rPr>
          <w:rFonts w:ascii="Arial" w:hAnsi="Arial" w:cs="Arial"/>
          <w:b/>
          <w:bCs/>
          <w:i/>
          <w:iCs/>
          <w:color w:val="383939"/>
          <w:sz w:val="23"/>
          <w:szCs w:val="23"/>
          <w:shd w:val="clear" w:color="auto" w:fill="FFFFFF"/>
        </w:rPr>
        <w:t>b</w:t>
      </w:r>
      <w:r>
        <w:rPr>
          <w:rFonts w:ascii="Arial" w:hAnsi="Arial" w:cs="Arial"/>
          <w:b/>
          <w:bCs/>
          <w:i/>
          <w:iCs/>
          <w:color w:val="383939"/>
          <w:sz w:val="17"/>
          <w:szCs w:val="17"/>
          <w:bdr w:val="none" w:sz="0" w:space="0" w:color="auto" w:frame="1"/>
          <w:vertAlign w:val="subscript"/>
        </w:rPr>
        <w:t>0</w:t>
      </w:r>
      <w:r w:rsidRPr="00A7520D">
        <w:rPr>
          <w:rFonts w:ascii="Helvetica" w:hAnsi="Helvetica" w:cs="Helvetica"/>
          <w:b/>
          <w:bCs/>
          <w:color w:val="333333"/>
          <w:sz w:val="23"/>
          <w:szCs w:val="23"/>
          <w:shd w:val="clear" w:color="auto" w:fill="FFFFFF"/>
        </w:rPr>
        <w:t xml:space="preserve"> </w:t>
      </w:r>
      <w:r w:rsidRPr="00A7520D">
        <w:rPr>
          <w:rFonts w:cstheme="minorHAnsi"/>
          <w:color w:val="333333"/>
          <w:shd w:val="clear" w:color="auto" w:fill="FFFFFF"/>
        </w:rPr>
        <w:t>is the</w:t>
      </w:r>
      <w:r>
        <w:rPr>
          <w:rFonts w:cstheme="minorHAnsi"/>
          <w:color w:val="333333"/>
          <w:shd w:val="clear" w:color="auto" w:fill="FFFFFF"/>
        </w:rPr>
        <w:t xml:space="preserve"> intercept</w:t>
      </w:r>
    </w:p>
    <w:p w14:paraId="6B17EAC2" w14:textId="762676B3" w:rsidR="00A7520D" w:rsidRDefault="00A7520D" w:rsidP="006E217B">
      <w:pPr>
        <w:spacing w:line="360" w:lineRule="auto"/>
        <w:jc w:val="both"/>
        <w:rPr>
          <w:rFonts w:cstheme="minorHAnsi"/>
          <w:color w:val="333333"/>
          <w:shd w:val="clear" w:color="auto" w:fill="FFFFFF"/>
        </w:rPr>
      </w:pPr>
      <w:r w:rsidRPr="00A7520D">
        <w:rPr>
          <w:rFonts w:ascii="Arial" w:hAnsi="Arial" w:cs="Arial"/>
          <w:b/>
          <w:bCs/>
          <w:color w:val="383939"/>
          <w:shd w:val="clear" w:color="auto" w:fill="FFFFFF"/>
        </w:rPr>
        <w:t>b</w:t>
      </w:r>
      <w:r w:rsidRPr="00A7520D">
        <w:rPr>
          <w:rFonts w:ascii="Arial" w:hAnsi="Arial" w:cs="Arial"/>
          <w:b/>
          <w:bCs/>
          <w:color w:val="383939"/>
          <w:bdr w:val="none" w:sz="0" w:space="0" w:color="auto" w:frame="1"/>
          <w:vertAlign w:val="subscript"/>
        </w:rPr>
        <w:t>1</w:t>
      </w:r>
      <w:r w:rsidRPr="00A7520D">
        <w:rPr>
          <w:rFonts w:ascii="Arial" w:hAnsi="Arial" w:cs="Arial"/>
          <w:b/>
          <w:bCs/>
          <w:color w:val="383939"/>
          <w:shd w:val="clear" w:color="auto" w:fill="FFFFFF"/>
        </w:rPr>
        <w:t>, b</w:t>
      </w:r>
      <w:r w:rsidRPr="00A7520D">
        <w:rPr>
          <w:rFonts w:ascii="Arial" w:hAnsi="Arial" w:cs="Arial"/>
          <w:b/>
          <w:bCs/>
          <w:color w:val="383939"/>
          <w:bdr w:val="none" w:sz="0" w:space="0" w:color="auto" w:frame="1"/>
          <w:vertAlign w:val="subscript"/>
        </w:rPr>
        <w:t>2</w:t>
      </w:r>
      <w:r w:rsidRPr="00A7520D">
        <w:rPr>
          <w:rFonts w:ascii="Arial" w:hAnsi="Arial" w:cs="Arial"/>
          <w:b/>
          <w:bCs/>
          <w:color w:val="383939"/>
          <w:shd w:val="clear" w:color="auto" w:fill="FFFFFF"/>
        </w:rPr>
        <w:t>, b</w:t>
      </w:r>
      <w:r w:rsidRPr="00A7520D">
        <w:rPr>
          <w:rFonts w:ascii="Arial" w:hAnsi="Arial" w:cs="Arial"/>
          <w:b/>
          <w:bCs/>
          <w:color w:val="383939"/>
          <w:bdr w:val="none" w:sz="0" w:space="0" w:color="auto" w:frame="1"/>
          <w:vertAlign w:val="subscript"/>
        </w:rPr>
        <w:t>3</w:t>
      </w:r>
      <w:r w:rsidRPr="00A7520D">
        <w:rPr>
          <w:rFonts w:ascii="Arial" w:hAnsi="Arial" w:cs="Arial"/>
          <w:b/>
          <w:bCs/>
          <w:color w:val="383939"/>
          <w:shd w:val="clear" w:color="auto" w:fill="FFFFFF"/>
        </w:rPr>
        <w:t>, …, b</w:t>
      </w:r>
      <w:r>
        <w:rPr>
          <w:rFonts w:ascii="Arial" w:hAnsi="Arial" w:cs="Arial"/>
          <w:b/>
          <w:bCs/>
          <w:color w:val="383939"/>
          <w:bdr w:val="none" w:sz="0" w:space="0" w:color="auto" w:frame="1"/>
          <w:vertAlign w:val="subscript"/>
        </w:rPr>
        <w:t xml:space="preserve">n </w:t>
      </w:r>
      <w:r>
        <w:rPr>
          <w:rFonts w:cstheme="minorHAnsi"/>
          <w:color w:val="333333"/>
          <w:shd w:val="clear" w:color="auto" w:fill="FFFFFF"/>
        </w:rPr>
        <w:t>are the regression coefficient</w:t>
      </w:r>
      <w:r w:rsidR="00865514">
        <w:rPr>
          <w:rFonts w:cstheme="minorHAnsi"/>
          <w:color w:val="333333"/>
          <w:shd w:val="clear" w:color="auto" w:fill="FFFFFF"/>
        </w:rPr>
        <w:t>,</w:t>
      </w:r>
      <w:r>
        <w:rPr>
          <w:rFonts w:cstheme="minorHAnsi"/>
          <w:color w:val="333333"/>
          <w:shd w:val="clear" w:color="auto" w:fill="FFFFFF"/>
        </w:rPr>
        <w:t xml:space="preserve"> and they represent in what proportion the criterion variable change (Y) if the predict</w:t>
      </w:r>
      <w:r w:rsidR="002267D3">
        <w:rPr>
          <w:rFonts w:cstheme="minorHAnsi"/>
          <w:color w:val="333333"/>
          <w:shd w:val="clear" w:color="auto" w:fill="FFFFFF"/>
        </w:rPr>
        <w:t>or variable (X) increase or decrease by 1 unit</w:t>
      </w:r>
      <w:r w:rsidR="00F831BD">
        <w:rPr>
          <w:rFonts w:cstheme="minorHAnsi"/>
          <w:color w:val="333333"/>
          <w:shd w:val="clear" w:color="auto" w:fill="FFFFFF"/>
        </w:rPr>
        <w:t xml:space="preserve"> </w:t>
      </w:r>
      <w:bookmarkStart w:id="25" w:name="_Hlk43558841"/>
      <w:r w:rsidR="00F831BD" w:rsidRPr="00F831BD">
        <w:rPr>
          <w:rFonts w:cstheme="minorHAnsi"/>
          <w:color w:val="333333"/>
          <w:shd w:val="clear" w:color="auto" w:fill="FFFFFF"/>
        </w:rPr>
        <w:t>(</w:t>
      </w:r>
      <w:proofErr w:type="spellStart"/>
      <w:r w:rsidR="00F831BD" w:rsidRPr="00F831BD">
        <w:rPr>
          <w:rFonts w:cstheme="minorHAnsi"/>
          <w:color w:val="333333"/>
          <w:shd w:val="clear" w:color="auto" w:fill="FFFFFF"/>
        </w:rPr>
        <w:t>Uyanık</w:t>
      </w:r>
      <w:proofErr w:type="spellEnd"/>
      <w:r w:rsidR="00F831BD" w:rsidRPr="00F831BD">
        <w:rPr>
          <w:rFonts w:cstheme="minorHAnsi"/>
          <w:color w:val="333333"/>
          <w:shd w:val="clear" w:color="auto" w:fill="FFFFFF"/>
        </w:rPr>
        <w:t xml:space="preserve"> and </w:t>
      </w:r>
      <w:proofErr w:type="spellStart"/>
      <w:r w:rsidR="00F831BD" w:rsidRPr="00F831BD">
        <w:rPr>
          <w:rFonts w:cstheme="minorHAnsi"/>
          <w:color w:val="333333"/>
          <w:shd w:val="clear" w:color="auto" w:fill="FFFFFF"/>
        </w:rPr>
        <w:t>Güler</w:t>
      </w:r>
      <w:proofErr w:type="spellEnd"/>
      <w:r w:rsidR="00F831BD" w:rsidRPr="00F831BD">
        <w:rPr>
          <w:rFonts w:cstheme="minorHAnsi"/>
          <w:color w:val="333333"/>
          <w:shd w:val="clear" w:color="auto" w:fill="FFFFFF"/>
        </w:rPr>
        <w:t>, 2013)</w:t>
      </w:r>
      <w:r w:rsidR="00F831BD">
        <w:rPr>
          <w:rFonts w:cstheme="minorHAnsi"/>
          <w:color w:val="333333"/>
          <w:shd w:val="clear" w:color="auto" w:fill="FFFFFF"/>
        </w:rPr>
        <w:t>.</w:t>
      </w:r>
      <w:bookmarkEnd w:id="25"/>
    </w:p>
    <w:p w14:paraId="44889FBE" w14:textId="659CC548" w:rsidR="002267D3" w:rsidRDefault="002267D3" w:rsidP="006E217B">
      <w:pPr>
        <w:spacing w:line="360" w:lineRule="auto"/>
        <w:jc w:val="both"/>
        <w:rPr>
          <w:rFonts w:cstheme="minorHAnsi"/>
          <w:color w:val="333333"/>
          <w:shd w:val="clear" w:color="auto" w:fill="FFFFFF"/>
        </w:rPr>
      </w:pPr>
      <w:r>
        <w:rPr>
          <w:rFonts w:cstheme="minorHAnsi"/>
          <w:color w:val="333333"/>
          <w:shd w:val="clear" w:color="auto" w:fill="FFFFFF"/>
        </w:rPr>
        <w:lastRenderedPageBreak/>
        <w:t>There should be some assumptions which should be stated in the multiple regression model</w:t>
      </w:r>
      <w:r w:rsidR="007F128D">
        <w:rPr>
          <w:rFonts w:cstheme="minorHAnsi"/>
          <w:color w:val="333333"/>
          <w:shd w:val="clear" w:color="auto" w:fill="FFFFFF"/>
        </w:rPr>
        <w:t>:</w:t>
      </w:r>
    </w:p>
    <w:p w14:paraId="5758485A" w14:textId="3CA4A518" w:rsidR="002267D3" w:rsidRPr="007F128D" w:rsidRDefault="007F128D" w:rsidP="006E217B">
      <w:pPr>
        <w:pStyle w:val="ListParagraph"/>
        <w:numPr>
          <w:ilvl w:val="0"/>
          <w:numId w:val="6"/>
        </w:numPr>
        <w:spacing w:line="360" w:lineRule="auto"/>
        <w:jc w:val="both"/>
        <w:rPr>
          <w:rFonts w:cstheme="minorHAnsi"/>
          <w:color w:val="222222"/>
          <w:shd w:val="clear" w:color="auto" w:fill="FFFFFF"/>
        </w:rPr>
      </w:pPr>
      <w:r w:rsidRPr="007F128D">
        <w:rPr>
          <w:rFonts w:cstheme="minorHAnsi"/>
          <w:color w:val="333333"/>
          <w:shd w:val="clear" w:color="auto" w:fill="FFFFFF"/>
        </w:rPr>
        <w:t xml:space="preserve">The analysis does not test whether data are linear as </w:t>
      </w:r>
      <w:r w:rsidRPr="007F128D">
        <w:rPr>
          <w:rFonts w:cstheme="minorHAnsi"/>
          <w:color w:val="333333"/>
          <w:u w:val="single"/>
          <w:shd w:val="clear" w:color="auto" w:fill="FFFFFF"/>
        </w:rPr>
        <w:t>linearity</w:t>
      </w:r>
      <w:r w:rsidRPr="007F128D">
        <w:rPr>
          <w:rFonts w:cstheme="minorHAnsi"/>
          <w:color w:val="333333"/>
          <w:shd w:val="clear" w:color="auto" w:fill="FFFFFF"/>
        </w:rPr>
        <w:t xml:space="preserve"> must be assumed</w:t>
      </w:r>
      <w:r w:rsidR="00865514">
        <w:rPr>
          <w:rFonts w:cstheme="minorHAnsi"/>
          <w:color w:val="333333"/>
          <w:shd w:val="clear" w:color="auto" w:fill="FFFFFF"/>
        </w:rPr>
        <w:t>.</w:t>
      </w:r>
    </w:p>
    <w:p w14:paraId="4F8786A2" w14:textId="047BC34C" w:rsidR="007F128D" w:rsidRDefault="007F128D" w:rsidP="006E217B">
      <w:pPr>
        <w:pStyle w:val="ListParagraph"/>
        <w:numPr>
          <w:ilvl w:val="0"/>
          <w:numId w:val="6"/>
        </w:numPr>
        <w:spacing w:line="360" w:lineRule="auto"/>
        <w:jc w:val="both"/>
        <w:rPr>
          <w:rFonts w:cstheme="minorHAnsi"/>
          <w:color w:val="222222"/>
          <w:shd w:val="clear" w:color="auto" w:fill="FFFFFF"/>
        </w:rPr>
      </w:pPr>
      <w:r>
        <w:rPr>
          <w:rFonts w:cstheme="minorHAnsi"/>
          <w:color w:val="222222"/>
          <w:shd w:val="clear" w:color="auto" w:fill="FFFFFF"/>
        </w:rPr>
        <w:t>A normal distribution of the variables (</w:t>
      </w:r>
      <w:r w:rsidRPr="007F128D">
        <w:rPr>
          <w:rFonts w:cstheme="minorHAnsi"/>
          <w:color w:val="222222"/>
          <w:u w:val="single"/>
          <w:shd w:val="clear" w:color="auto" w:fill="FFFFFF"/>
        </w:rPr>
        <w:t>normality</w:t>
      </w:r>
      <w:r>
        <w:rPr>
          <w:rFonts w:cstheme="minorHAnsi"/>
          <w:color w:val="222222"/>
          <w:shd w:val="clear" w:color="auto" w:fill="FFFFFF"/>
        </w:rPr>
        <w:t>)</w:t>
      </w:r>
      <w:r w:rsidR="00865514">
        <w:rPr>
          <w:rFonts w:cstheme="minorHAnsi"/>
          <w:color w:val="222222"/>
          <w:shd w:val="clear" w:color="auto" w:fill="FFFFFF"/>
        </w:rPr>
        <w:t>.</w:t>
      </w:r>
    </w:p>
    <w:p w14:paraId="6B26A8BA" w14:textId="1AFFDD27" w:rsidR="007F128D" w:rsidRDefault="007F128D" w:rsidP="006E217B">
      <w:pPr>
        <w:pStyle w:val="ListParagraph"/>
        <w:numPr>
          <w:ilvl w:val="0"/>
          <w:numId w:val="6"/>
        </w:numPr>
        <w:spacing w:line="360" w:lineRule="auto"/>
        <w:jc w:val="both"/>
        <w:rPr>
          <w:rFonts w:cstheme="minorHAnsi"/>
          <w:color w:val="222222"/>
          <w:shd w:val="clear" w:color="auto" w:fill="FFFFFF"/>
        </w:rPr>
      </w:pPr>
      <w:r>
        <w:rPr>
          <w:rFonts w:cstheme="minorHAnsi"/>
          <w:color w:val="222222"/>
          <w:shd w:val="clear" w:color="auto" w:fill="FFFFFF"/>
        </w:rPr>
        <w:t xml:space="preserve">The </w:t>
      </w:r>
      <w:r w:rsidRPr="007F128D">
        <w:rPr>
          <w:rFonts w:cstheme="minorHAnsi"/>
          <w:color w:val="222222"/>
          <w:u w:val="single"/>
          <w:shd w:val="clear" w:color="auto" w:fill="FFFFFF"/>
        </w:rPr>
        <w:t>non-existence of multicollinearity</w:t>
      </w:r>
      <w:r>
        <w:rPr>
          <w:rFonts w:cstheme="minorHAnsi"/>
          <w:color w:val="222222"/>
          <w:shd w:val="clear" w:color="auto" w:fill="FFFFFF"/>
        </w:rPr>
        <w:t>, or the non-relation between independent variables</w:t>
      </w:r>
      <w:r w:rsidR="00865514">
        <w:rPr>
          <w:rFonts w:cstheme="minorHAnsi"/>
          <w:color w:val="222222"/>
          <w:shd w:val="clear" w:color="auto" w:fill="FFFFFF"/>
        </w:rPr>
        <w:t>.</w:t>
      </w:r>
    </w:p>
    <w:p w14:paraId="1B2BE8FA" w14:textId="64D3F0E4" w:rsidR="007F128D" w:rsidRPr="007F128D" w:rsidRDefault="007F128D" w:rsidP="006E217B">
      <w:pPr>
        <w:pStyle w:val="ListParagraph"/>
        <w:numPr>
          <w:ilvl w:val="0"/>
          <w:numId w:val="6"/>
        </w:numPr>
        <w:spacing w:line="360" w:lineRule="auto"/>
        <w:jc w:val="both"/>
        <w:rPr>
          <w:rFonts w:cstheme="minorHAnsi"/>
          <w:color w:val="222222"/>
          <w:shd w:val="clear" w:color="auto" w:fill="FFFFFF"/>
        </w:rPr>
      </w:pPr>
      <w:r w:rsidRPr="007F128D">
        <w:rPr>
          <w:rFonts w:cstheme="minorHAnsi"/>
          <w:color w:val="222222"/>
          <w:u w:val="single"/>
          <w:shd w:val="clear" w:color="auto" w:fill="FFFFFF"/>
        </w:rPr>
        <w:t>Homoscedasticity</w:t>
      </w:r>
      <w:r>
        <w:rPr>
          <w:rFonts w:cstheme="minorHAnsi"/>
          <w:color w:val="222222"/>
          <w:shd w:val="clear" w:color="auto" w:fill="FFFFFF"/>
        </w:rPr>
        <w:t>, or a constant variance across the predictable variables’ levels</w:t>
      </w:r>
      <w:r w:rsidR="00865514">
        <w:rPr>
          <w:rFonts w:cstheme="minorHAnsi"/>
          <w:color w:val="222222"/>
          <w:shd w:val="clear" w:color="auto" w:fill="FFFFFF"/>
        </w:rPr>
        <w:t>.</w:t>
      </w:r>
    </w:p>
    <w:p w14:paraId="23C7F7B4" w14:textId="31CD3EDC" w:rsidR="007F128D" w:rsidRDefault="00FA22A6" w:rsidP="006E217B">
      <w:pPr>
        <w:spacing w:line="360" w:lineRule="auto"/>
        <w:jc w:val="both"/>
        <w:rPr>
          <w:rFonts w:cstheme="minorHAnsi"/>
          <w:color w:val="222222"/>
          <w:shd w:val="clear" w:color="auto" w:fill="FFFFFF"/>
        </w:rPr>
      </w:pPr>
      <w:r>
        <w:rPr>
          <w:rFonts w:cstheme="minorHAnsi"/>
          <w:color w:val="222222"/>
          <w:shd w:val="clear" w:color="auto" w:fill="FFFFFF"/>
        </w:rPr>
        <w:t>To check how effective the constructed equation is, it is necessary to check the measure of association between the variables. In this scenario</w:t>
      </w:r>
      <w:r w:rsidR="00865514">
        <w:rPr>
          <w:rFonts w:cstheme="minorHAnsi"/>
          <w:color w:val="222222"/>
          <w:shd w:val="clear" w:color="auto" w:fill="FFFFFF"/>
        </w:rPr>
        <w:t>,</w:t>
      </w:r>
      <w:r>
        <w:rPr>
          <w:rFonts w:cstheme="minorHAnsi"/>
          <w:color w:val="222222"/>
          <w:shd w:val="clear" w:color="auto" w:fill="FFFFFF"/>
        </w:rPr>
        <w:t xml:space="preserve"> t</w:t>
      </w:r>
      <w:r w:rsidR="007F128D">
        <w:rPr>
          <w:rFonts w:cstheme="minorHAnsi"/>
          <w:color w:val="222222"/>
          <w:shd w:val="clear" w:color="auto" w:fill="FFFFFF"/>
        </w:rPr>
        <w:t xml:space="preserve">he R </w:t>
      </w:r>
      <w:r w:rsidR="00574C43">
        <w:rPr>
          <w:rFonts w:cstheme="minorHAnsi"/>
          <w:color w:val="222222"/>
          <w:shd w:val="clear" w:color="auto" w:fill="FFFFFF"/>
        </w:rPr>
        <w:t xml:space="preserve">Square (or </w:t>
      </w:r>
      <w:r w:rsidR="00574C43" w:rsidRPr="00574C43">
        <w:rPr>
          <w:rFonts w:cstheme="minorHAnsi"/>
          <w:color w:val="222222"/>
          <w:shd w:val="clear" w:color="auto" w:fill="FFFFFF"/>
        </w:rPr>
        <w:t>R</w:t>
      </w:r>
      <w:r w:rsidR="00574C43" w:rsidRPr="00574C43">
        <w:rPr>
          <w:rFonts w:cstheme="minorHAnsi"/>
          <w:color w:val="222222"/>
          <w:shd w:val="clear" w:color="auto" w:fill="FFFFFF"/>
          <w:vertAlign w:val="superscript"/>
        </w:rPr>
        <w:t>2</w:t>
      </w:r>
      <w:r w:rsidR="00574C43">
        <w:rPr>
          <w:rFonts w:cstheme="minorHAnsi"/>
          <w:color w:val="222222"/>
          <w:shd w:val="clear" w:color="auto" w:fill="FFFFFF"/>
        </w:rPr>
        <w:t>)</w:t>
      </w:r>
      <w:r>
        <w:rPr>
          <w:rFonts w:cstheme="minorHAnsi"/>
          <w:color w:val="222222"/>
          <w:shd w:val="clear" w:color="auto" w:fill="FFFFFF"/>
        </w:rPr>
        <w:t xml:space="preserve"> must be examined, which </w:t>
      </w:r>
      <w:r w:rsidR="00574C43">
        <w:rPr>
          <w:rFonts w:cstheme="minorHAnsi"/>
          <w:color w:val="222222"/>
          <w:shd w:val="clear" w:color="auto" w:fill="FFFFFF"/>
        </w:rPr>
        <w:t>is the coefficient of determination which lies between 0 and 1.</w:t>
      </w:r>
      <w:r>
        <w:rPr>
          <w:rFonts w:cstheme="minorHAnsi"/>
          <w:color w:val="222222"/>
          <w:shd w:val="clear" w:color="auto" w:fill="FFFFFF"/>
        </w:rPr>
        <w:t xml:space="preserve"> It indicated in which extent the variation in y is explained by the variation of the x (1, 2, …, n) jointly. The closer is the value to 1, the better the prediction and the model applied are. </w:t>
      </w:r>
    </w:p>
    <w:p w14:paraId="5F894375" w14:textId="30715A5E" w:rsidR="00214935" w:rsidRDefault="002267D3" w:rsidP="006E217B">
      <w:pPr>
        <w:spacing w:line="360" w:lineRule="auto"/>
        <w:jc w:val="both"/>
      </w:pPr>
      <w:r w:rsidRPr="002267D3">
        <w:rPr>
          <w:rFonts w:cstheme="minorHAnsi"/>
          <w:color w:val="222222"/>
          <w:shd w:val="clear" w:color="auto" w:fill="FFFFFF"/>
        </w:rPr>
        <w:t>The multiple regression model</w:t>
      </w:r>
      <w:r w:rsidR="00D92342">
        <w:t xml:space="preserve"> </w:t>
      </w:r>
      <w:r>
        <w:t>is</w:t>
      </w:r>
      <w:r w:rsidR="00FA22A6">
        <w:t xml:space="preserve"> also</w:t>
      </w:r>
      <w:r>
        <w:t xml:space="preserve"> tested through the ANOVA table by the F test, </w:t>
      </w:r>
      <w:r w:rsidRPr="002267D3">
        <w:t>which offers information on the appropriateness of the</w:t>
      </w:r>
      <w:r>
        <w:t xml:space="preserve"> analysis </w:t>
      </w:r>
      <w:r w:rsidR="00FD4DDB" w:rsidRPr="00FD4DDB">
        <w:t>(</w:t>
      </w:r>
      <w:proofErr w:type="spellStart"/>
      <w:r w:rsidR="00FD4DDB" w:rsidRPr="00FD4DDB">
        <w:t>Alexopoulos</w:t>
      </w:r>
      <w:proofErr w:type="spellEnd"/>
      <w:r w:rsidR="00FD4DDB" w:rsidRPr="00FD4DDB">
        <w:t>, 2010)</w:t>
      </w:r>
      <w:r w:rsidR="0008621E">
        <w:t>.</w:t>
      </w:r>
    </w:p>
    <w:p w14:paraId="75A464F7" w14:textId="77777777" w:rsidR="000073B3" w:rsidRDefault="000073B3" w:rsidP="00DB790E">
      <w:pPr>
        <w:spacing w:line="254" w:lineRule="auto"/>
        <w:jc w:val="both"/>
      </w:pPr>
    </w:p>
    <w:p w14:paraId="4E079B4F" w14:textId="203CF302" w:rsidR="00F30071" w:rsidRPr="000073B3" w:rsidRDefault="00775838" w:rsidP="000073B3">
      <w:pPr>
        <w:pStyle w:val="Heading2"/>
        <w:spacing w:line="480" w:lineRule="auto"/>
        <w:rPr>
          <w:rFonts w:ascii="Arial" w:hAnsi="Arial" w:cs="Arial"/>
          <w:b/>
          <w:bCs/>
          <w:color w:val="auto"/>
          <w:lang w:val="en"/>
        </w:rPr>
      </w:pPr>
      <w:bookmarkStart w:id="26" w:name="_Toc43473603"/>
      <w:r w:rsidRPr="000073B3">
        <w:rPr>
          <w:rFonts w:ascii="Arial" w:hAnsi="Arial" w:cs="Arial"/>
          <w:b/>
          <w:bCs/>
          <w:color w:val="auto"/>
          <w:lang w:val="en"/>
        </w:rPr>
        <w:t>Selection of variables</w:t>
      </w:r>
      <w:bookmarkEnd w:id="26"/>
    </w:p>
    <w:p w14:paraId="3C9EDB28" w14:textId="77777777" w:rsidR="008F4B43" w:rsidRDefault="0002439A" w:rsidP="00675CBF">
      <w:pPr>
        <w:spacing w:line="360" w:lineRule="auto"/>
        <w:jc w:val="both"/>
        <w:rPr>
          <w:lang w:val="en"/>
        </w:rPr>
      </w:pPr>
      <w:r>
        <w:rPr>
          <w:lang w:val="en"/>
        </w:rPr>
        <w:t xml:space="preserve">In this section are presented the variables chosen </w:t>
      </w:r>
      <w:r w:rsidRPr="0002439A">
        <w:rPr>
          <w:lang w:val="en"/>
        </w:rPr>
        <w:t>to achieve the proposed analysis purposes</w:t>
      </w:r>
      <w:r>
        <w:rPr>
          <w:lang w:val="en"/>
        </w:rPr>
        <w:t xml:space="preserve">. As previously briefly </w:t>
      </w:r>
      <w:r w:rsidRPr="00D5334A">
        <w:rPr>
          <w:lang w:val="en"/>
        </w:rPr>
        <w:t>mentioned, both analysis models include</w:t>
      </w:r>
      <w:r>
        <w:rPr>
          <w:lang w:val="en"/>
        </w:rPr>
        <w:t xml:space="preserve"> one or more dependent variables and several independent ones. A</w:t>
      </w:r>
      <w:r w:rsidRPr="0002439A">
        <w:rPr>
          <w:lang w:val="en"/>
        </w:rPr>
        <w:t>t the basis of statistical tests, profitability is considered as a dependent variable,</w:t>
      </w:r>
      <w:r>
        <w:rPr>
          <w:lang w:val="en"/>
        </w:rPr>
        <w:t xml:space="preserve"> while liquidity and leverage constitute the independent variables for the study. </w:t>
      </w:r>
    </w:p>
    <w:p w14:paraId="02277C4B" w14:textId="5BDA21F9" w:rsidR="008F4B43" w:rsidRDefault="008F4B43" w:rsidP="00675CBF">
      <w:pPr>
        <w:spacing w:line="360" w:lineRule="auto"/>
        <w:jc w:val="both"/>
      </w:pPr>
      <w:r>
        <w:rPr>
          <w:lang w:val="en"/>
        </w:rPr>
        <w:t xml:space="preserve">In this paper is used one of the classic and practical financial analysis tools, the financial ratios. Often used by financial analysts and accountants, the financial ratios </w:t>
      </w:r>
      <w:r w:rsidR="00865514">
        <w:rPr>
          <w:lang w:val="en"/>
        </w:rPr>
        <w:t>have</w:t>
      </w:r>
      <w:r>
        <w:rPr>
          <w:lang w:val="en"/>
        </w:rPr>
        <w:t xml:space="preserve"> always been used for making performance evaluations, economic and investing decisions since the mid of the nineteenth century</w:t>
      </w:r>
      <w:r w:rsidR="00D47556">
        <w:rPr>
          <w:lang w:val="en"/>
        </w:rPr>
        <w:t xml:space="preserve">, </w:t>
      </w:r>
      <w:r>
        <w:rPr>
          <w:lang w:val="en"/>
        </w:rPr>
        <w:t xml:space="preserve">and developing during the past decades </w:t>
      </w:r>
      <w:r w:rsidRPr="008F4B43">
        <w:t>(</w:t>
      </w:r>
      <w:proofErr w:type="spellStart"/>
      <w:r w:rsidRPr="008F4B43">
        <w:t>Kabajeh</w:t>
      </w:r>
      <w:proofErr w:type="spellEnd"/>
      <w:r w:rsidRPr="008F4B43">
        <w:t xml:space="preserve">, </w:t>
      </w:r>
      <w:proofErr w:type="spellStart"/>
      <w:r w:rsidRPr="008F4B43">
        <w:t>Nu’aimat</w:t>
      </w:r>
      <w:proofErr w:type="spellEnd"/>
      <w:r w:rsidRPr="008F4B43">
        <w:t xml:space="preserve"> and </w:t>
      </w:r>
      <w:proofErr w:type="spellStart"/>
      <w:r w:rsidRPr="008F4B43">
        <w:t>Dahmash</w:t>
      </w:r>
      <w:proofErr w:type="spellEnd"/>
      <w:r w:rsidRPr="008F4B43">
        <w:t>, 2012)</w:t>
      </w:r>
      <w:r>
        <w:t>.</w:t>
      </w:r>
    </w:p>
    <w:p w14:paraId="75B9BE2C" w14:textId="689B7ECE" w:rsidR="00410DB6" w:rsidRPr="00410DB6" w:rsidRDefault="00410DB6" w:rsidP="00675CBF">
      <w:pPr>
        <w:spacing w:line="360" w:lineRule="auto"/>
        <w:jc w:val="both"/>
      </w:pPr>
      <w:r>
        <w:t>The financial analysis provides</w:t>
      </w:r>
      <w:r w:rsidR="00865514">
        <w:t>,</w:t>
      </w:r>
      <w:r>
        <w:t xml:space="preserve"> therefore</w:t>
      </w:r>
      <w:r w:rsidR="00865514">
        <w:t>,</w:t>
      </w:r>
      <w:r>
        <w:t xml:space="preserve"> information about the company’s current, past and future financial health, analysing in financial terms any goal that the business aim</w:t>
      </w:r>
      <w:r w:rsidR="00865514">
        <w:t>s</w:t>
      </w:r>
      <w:r>
        <w:t xml:space="preserve"> to achieve </w:t>
      </w:r>
      <w:r w:rsidRPr="00410DB6">
        <w:t xml:space="preserve">(Alvarez and </w:t>
      </w:r>
      <w:proofErr w:type="spellStart"/>
      <w:r w:rsidRPr="00410DB6">
        <w:t>Fridson</w:t>
      </w:r>
      <w:proofErr w:type="spellEnd"/>
      <w:r w:rsidRPr="00410DB6">
        <w:t>, 2013)</w:t>
      </w:r>
      <w:r>
        <w:t xml:space="preserve">. </w:t>
      </w:r>
    </w:p>
    <w:p w14:paraId="5D4356C9" w14:textId="55FD7602" w:rsidR="0002439A" w:rsidRDefault="0002439A" w:rsidP="00675CBF">
      <w:pPr>
        <w:spacing w:line="360" w:lineRule="auto"/>
        <w:jc w:val="both"/>
        <w:rPr>
          <w:lang w:val="en"/>
        </w:rPr>
      </w:pPr>
      <w:r w:rsidRPr="0002439A">
        <w:rPr>
          <w:lang w:val="en"/>
        </w:rPr>
        <w:t>For each of the measures</w:t>
      </w:r>
      <w:r w:rsidR="00374337">
        <w:rPr>
          <w:lang w:val="en"/>
        </w:rPr>
        <w:t xml:space="preserve"> mentioned</w:t>
      </w:r>
      <w:r w:rsidRPr="0002439A">
        <w:rPr>
          <w:lang w:val="en"/>
        </w:rPr>
        <w:t xml:space="preserve">, two different </w:t>
      </w:r>
      <w:r w:rsidR="00374337">
        <w:rPr>
          <w:lang w:val="en"/>
        </w:rPr>
        <w:t>financial ratios</w:t>
      </w:r>
      <w:r w:rsidRPr="0002439A">
        <w:rPr>
          <w:lang w:val="en"/>
        </w:rPr>
        <w:t xml:space="preserve"> </w:t>
      </w:r>
      <w:r w:rsidR="0048415E">
        <w:rPr>
          <w:lang w:val="en"/>
        </w:rPr>
        <w:t>are</w:t>
      </w:r>
      <w:r w:rsidRPr="0002439A">
        <w:rPr>
          <w:lang w:val="en"/>
        </w:rPr>
        <w:t xml:space="preserve"> considered</w:t>
      </w:r>
      <w:r>
        <w:rPr>
          <w:lang w:val="en"/>
        </w:rPr>
        <w:t>,</w:t>
      </w:r>
      <w:r w:rsidRPr="0002439A">
        <w:rPr>
          <w:lang w:val="en"/>
        </w:rPr>
        <w:t xml:space="preserve"> which will be presented later.</w:t>
      </w:r>
      <w:r w:rsidR="0048415E">
        <w:rPr>
          <w:lang w:val="en"/>
        </w:rPr>
        <w:t xml:space="preserve"> In addition, in the regression analysis, </w:t>
      </w:r>
      <w:r w:rsidR="0048415E" w:rsidRPr="0048415E">
        <w:rPr>
          <w:lang w:val="en"/>
        </w:rPr>
        <w:t>two control variables</w:t>
      </w:r>
      <w:r w:rsidR="0048415E">
        <w:rPr>
          <w:lang w:val="en"/>
        </w:rPr>
        <w:t xml:space="preserve"> are</w:t>
      </w:r>
      <w:r w:rsidR="0048415E" w:rsidRPr="0048415E">
        <w:rPr>
          <w:lang w:val="en"/>
        </w:rPr>
        <w:t xml:space="preserve"> used</w:t>
      </w:r>
      <w:r w:rsidR="00865514">
        <w:rPr>
          <w:lang w:val="en"/>
        </w:rPr>
        <w:t>,</w:t>
      </w:r>
      <w:r w:rsidR="0048415E" w:rsidRPr="0048415E">
        <w:rPr>
          <w:lang w:val="en"/>
        </w:rPr>
        <w:t xml:space="preserve"> which consist of </w:t>
      </w:r>
      <w:r w:rsidR="00675CBF">
        <w:rPr>
          <w:lang w:val="en"/>
        </w:rPr>
        <w:t>S</w:t>
      </w:r>
      <w:r w:rsidR="0048415E" w:rsidRPr="0048415E">
        <w:rPr>
          <w:lang w:val="en"/>
        </w:rPr>
        <w:t xml:space="preserve">ize and </w:t>
      </w:r>
      <w:r w:rsidR="00675CBF">
        <w:rPr>
          <w:lang w:val="en"/>
        </w:rPr>
        <w:t>G</w:t>
      </w:r>
      <w:r w:rsidR="0048415E" w:rsidRPr="0048415E">
        <w:rPr>
          <w:lang w:val="en"/>
        </w:rPr>
        <w:t>row</w:t>
      </w:r>
      <w:r w:rsidR="00865514">
        <w:rPr>
          <w:lang w:val="en"/>
        </w:rPr>
        <w:t>th</w:t>
      </w:r>
      <w:r w:rsidR="0048415E" w:rsidRPr="0048415E">
        <w:rPr>
          <w:lang w:val="en"/>
        </w:rPr>
        <w:t xml:space="preserve"> </w:t>
      </w:r>
      <w:r w:rsidR="00675CBF">
        <w:rPr>
          <w:lang w:val="en"/>
        </w:rPr>
        <w:t>R</w:t>
      </w:r>
      <w:r w:rsidR="0048415E" w:rsidRPr="0048415E">
        <w:rPr>
          <w:lang w:val="en"/>
        </w:rPr>
        <w:t>ate</w:t>
      </w:r>
      <w:r w:rsidR="0048415E">
        <w:rPr>
          <w:lang w:val="en"/>
        </w:rPr>
        <w:t>.</w:t>
      </w:r>
    </w:p>
    <w:p w14:paraId="0A911DB0" w14:textId="77777777" w:rsidR="000073B3" w:rsidRPr="0002439A" w:rsidRDefault="000073B3" w:rsidP="0002439A">
      <w:pPr>
        <w:spacing w:line="254" w:lineRule="auto"/>
        <w:jc w:val="both"/>
        <w:rPr>
          <w:lang w:val="en"/>
        </w:rPr>
      </w:pPr>
    </w:p>
    <w:p w14:paraId="78D63E87" w14:textId="0E54F3EF" w:rsidR="000073B3" w:rsidRPr="00290D5A" w:rsidRDefault="00416F9C" w:rsidP="00290D5A">
      <w:pPr>
        <w:pStyle w:val="Heading3"/>
        <w:numPr>
          <w:ilvl w:val="0"/>
          <w:numId w:val="21"/>
        </w:numPr>
        <w:spacing w:line="480" w:lineRule="auto"/>
        <w:rPr>
          <w:rFonts w:ascii="Arial" w:hAnsi="Arial" w:cs="Arial"/>
          <w:b/>
          <w:bCs/>
          <w:color w:val="auto"/>
          <w:lang w:val="en"/>
        </w:rPr>
      </w:pPr>
      <w:bookmarkStart w:id="27" w:name="_Toc43473604"/>
      <w:r w:rsidRPr="00290D5A">
        <w:rPr>
          <w:rFonts w:ascii="Arial" w:hAnsi="Arial" w:cs="Arial"/>
          <w:b/>
          <w:bCs/>
          <w:color w:val="auto"/>
          <w:lang w:val="en"/>
        </w:rPr>
        <w:lastRenderedPageBreak/>
        <w:t>Profitability</w:t>
      </w:r>
      <w:bookmarkEnd w:id="27"/>
    </w:p>
    <w:p w14:paraId="6B5224A8" w14:textId="6080E224" w:rsidR="007E6E9E" w:rsidRDefault="0024541D" w:rsidP="00675CBF">
      <w:pPr>
        <w:spacing w:line="360" w:lineRule="auto"/>
        <w:jc w:val="both"/>
        <w:rPr>
          <w:lang w:val="en"/>
        </w:rPr>
      </w:pPr>
      <w:r w:rsidRPr="0024541D">
        <w:rPr>
          <w:lang w:val="en"/>
        </w:rPr>
        <w:t>As previously stated</w:t>
      </w:r>
      <w:r>
        <w:rPr>
          <w:lang w:val="en"/>
        </w:rPr>
        <w:t xml:space="preserve">, different researches used different methods to measure profitability, which in this study act as </w:t>
      </w:r>
      <w:r w:rsidR="00D751FD">
        <w:rPr>
          <w:lang w:val="en"/>
        </w:rPr>
        <w:t xml:space="preserve">the </w:t>
      </w:r>
      <w:r w:rsidRPr="00EC0B4E">
        <w:rPr>
          <w:u w:val="single"/>
          <w:lang w:val="en"/>
        </w:rPr>
        <w:t>dependent</w:t>
      </w:r>
      <w:r>
        <w:rPr>
          <w:lang w:val="en"/>
        </w:rPr>
        <w:t xml:space="preserve"> variable. Profitability indicated the company’s overall efficiency and its ratios are considered as indicators for its growth and success. </w:t>
      </w:r>
    </w:p>
    <w:p w14:paraId="685F1BA7" w14:textId="236CA013" w:rsidR="0059715F" w:rsidRPr="0024541D" w:rsidRDefault="0024541D" w:rsidP="00675CBF">
      <w:pPr>
        <w:spacing w:line="360" w:lineRule="auto"/>
        <w:jc w:val="both"/>
        <w:rPr>
          <w:lang w:val="en"/>
        </w:rPr>
      </w:pPr>
      <w:r>
        <w:rPr>
          <w:lang w:val="en"/>
        </w:rPr>
        <w:t xml:space="preserve">The most common measurement </w:t>
      </w:r>
      <w:r w:rsidR="007E6E9E">
        <w:rPr>
          <w:lang w:val="en"/>
        </w:rPr>
        <w:t>and keys ratios appear to be ROA, ROE and ROI</w:t>
      </w:r>
      <w:r w:rsidR="00FC3260">
        <w:rPr>
          <w:lang w:val="en"/>
        </w:rPr>
        <w:t>;</w:t>
      </w:r>
      <w:r w:rsidR="007E6E9E">
        <w:rPr>
          <w:lang w:val="en"/>
        </w:rPr>
        <w:t xml:space="preserve"> </w:t>
      </w:r>
      <w:r w:rsidR="00FC3260">
        <w:rPr>
          <w:lang w:val="en"/>
        </w:rPr>
        <w:t>i</w:t>
      </w:r>
      <w:r w:rsidR="007E6E9E">
        <w:rPr>
          <w:lang w:val="en"/>
        </w:rPr>
        <w:t xml:space="preserve">n this study, the focus is on the effect and power of ROA and </w:t>
      </w:r>
      <w:r w:rsidR="007E6E9E" w:rsidRPr="0059506C">
        <w:rPr>
          <w:lang w:val="en"/>
        </w:rPr>
        <w:t>ROI</w:t>
      </w:r>
      <w:r w:rsidR="00FC3260">
        <w:rPr>
          <w:lang w:val="en"/>
        </w:rPr>
        <w:t>. T</w:t>
      </w:r>
      <w:r w:rsidR="00410DB6">
        <w:rPr>
          <w:lang w:val="en"/>
        </w:rPr>
        <w:t>he research wants to highlight the interest of the managers</w:t>
      </w:r>
      <w:r w:rsidR="00FC3260">
        <w:rPr>
          <w:lang w:val="en"/>
        </w:rPr>
        <w:t xml:space="preserve"> under different perspectives</w:t>
      </w:r>
      <w:r w:rsidR="00410DB6">
        <w:rPr>
          <w:lang w:val="en"/>
        </w:rPr>
        <w:t>,</w:t>
      </w:r>
      <w:r w:rsidR="00FC3260">
        <w:rPr>
          <w:lang w:val="en"/>
        </w:rPr>
        <w:t xml:space="preserve"> not only</w:t>
      </w:r>
      <w:r w:rsidR="00410DB6">
        <w:rPr>
          <w:lang w:val="en"/>
        </w:rPr>
        <w:t xml:space="preserve"> through the </w:t>
      </w:r>
      <w:r w:rsidR="00FC3260">
        <w:rPr>
          <w:lang w:val="en"/>
        </w:rPr>
        <w:t xml:space="preserve">analysis of the </w:t>
      </w:r>
      <w:r w:rsidR="003A0CE8">
        <w:rPr>
          <w:lang w:val="en"/>
        </w:rPr>
        <w:t>R</w:t>
      </w:r>
      <w:r w:rsidR="00410DB6">
        <w:rPr>
          <w:lang w:val="en"/>
        </w:rPr>
        <w:t xml:space="preserve">eturn on the </w:t>
      </w:r>
      <w:r w:rsidR="003A0CE8">
        <w:rPr>
          <w:lang w:val="en"/>
        </w:rPr>
        <w:t>A</w:t>
      </w:r>
      <w:r w:rsidR="00FC3260">
        <w:rPr>
          <w:lang w:val="en"/>
        </w:rPr>
        <w:t>ssets</w:t>
      </w:r>
      <w:r w:rsidR="00410DB6">
        <w:rPr>
          <w:lang w:val="en"/>
        </w:rPr>
        <w:t xml:space="preserve"> but also </w:t>
      </w:r>
      <w:r w:rsidR="00FC3260">
        <w:rPr>
          <w:lang w:val="en"/>
        </w:rPr>
        <w:t xml:space="preserve">through the </w:t>
      </w:r>
      <w:r w:rsidR="003A0CE8">
        <w:rPr>
          <w:lang w:val="en"/>
        </w:rPr>
        <w:t>R</w:t>
      </w:r>
      <w:r w:rsidR="00FC3260">
        <w:rPr>
          <w:lang w:val="en"/>
        </w:rPr>
        <w:t xml:space="preserve">eturn on </w:t>
      </w:r>
      <w:r w:rsidR="003A0CE8">
        <w:rPr>
          <w:lang w:val="en"/>
        </w:rPr>
        <w:t xml:space="preserve">the </w:t>
      </w:r>
      <w:r w:rsidR="00FC3260">
        <w:rPr>
          <w:lang w:val="en"/>
        </w:rPr>
        <w:t xml:space="preserve">company’s </w:t>
      </w:r>
      <w:r w:rsidR="003A0CE8">
        <w:rPr>
          <w:lang w:val="en"/>
        </w:rPr>
        <w:t>I</w:t>
      </w:r>
      <w:r w:rsidR="00FC3260">
        <w:rPr>
          <w:lang w:val="en"/>
        </w:rPr>
        <w:t>nvestments.</w:t>
      </w:r>
    </w:p>
    <w:p w14:paraId="30407A13" w14:textId="1945AC4E" w:rsidR="00764987" w:rsidRPr="00172760" w:rsidRDefault="00775838" w:rsidP="00675CBF">
      <w:pPr>
        <w:spacing w:line="360" w:lineRule="auto"/>
        <w:jc w:val="both"/>
      </w:pPr>
      <w:r w:rsidRPr="002D5A72">
        <w:rPr>
          <w:b/>
          <w:bCs/>
          <w:lang w:val="en"/>
        </w:rPr>
        <w:t>ROA</w:t>
      </w:r>
      <w:r w:rsidR="002A4AC3">
        <w:rPr>
          <w:b/>
          <w:bCs/>
          <w:lang w:val="en"/>
        </w:rPr>
        <w:t xml:space="preserve"> </w:t>
      </w:r>
      <w:r w:rsidR="002A4AC3">
        <w:rPr>
          <w:lang w:val="en"/>
        </w:rPr>
        <w:t xml:space="preserve">is assessed to reflect the company’s ability to generate earnings using its assets. It </w:t>
      </w:r>
      <w:r w:rsidR="002A4AC3" w:rsidRPr="002A4AC3">
        <w:rPr>
          <w:lang w:val="en"/>
        </w:rPr>
        <w:t>lends itself well to comparison with other ROAs of companies operating in the same sector</w:t>
      </w:r>
      <w:r w:rsidR="003A0CE8">
        <w:rPr>
          <w:lang w:val="en"/>
        </w:rPr>
        <w:t>,</w:t>
      </w:r>
      <w:r w:rsidR="002A4AC3" w:rsidRPr="002A4AC3">
        <w:rPr>
          <w:lang w:val="en"/>
        </w:rPr>
        <w:t xml:space="preserve"> and</w:t>
      </w:r>
      <w:r w:rsidR="00D754C2">
        <w:rPr>
          <w:lang w:val="en"/>
        </w:rPr>
        <w:t xml:space="preserve"> it</w:t>
      </w:r>
      <w:r w:rsidR="002A4AC3" w:rsidRPr="002A4AC3">
        <w:rPr>
          <w:lang w:val="en"/>
        </w:rPr>
        <w:t xml:space="preserve"> is also useful in historical analysis, comparing </w:t>
      </w:r>
      <w:r w:rsidR="00D754C2">
        <w:rPr>
          <w:lang w:val="en"/>
        </w:rPr>
        <w:t>the company to its previous performance. Overall, it gives an idea of how effectively a business is able to convert into net income the money it invests. The higher the value is, the more is the company efficient</w:t>
      </w:r>
      <w:r w:rsidR="00172760">
        <w:rPr>
          <w:lang w:val="en"/>
        </w:rPr>
        <w:t xml:space="preserve"> </w:t>
      </w:r>
      <w:r w:rsidR="00172760" w:rsidRPr="00410DB6">
        <w:t xml:space="preserve">(Alvarez and </w:t>
      </w:r>
      <w:proofErr w:type="spellStart"/>
      <w:r w:rsidR="00172760" w:rsidRPr="00410DB6">
        <w:t>Fridson</w:t>
      </w:r>
      <w:proofErr w:type="spellEnd"/>
      <w:r w:rsidR="00172760" w:rsidRPr="00410DB6">
        <w:t>, 2013)</w:t>
      </w:r>
      <w:r w:rsidR="00172760">
        <w:t xml:space="preserve">. </w:t>
      </w:r>
    </w:p>
    <w:p w14:paraId="7DC5B691" w14:textId="77777777" w:rsidR="00D754C2" w:rsidRDefault="00D754C2" w:rsidP="00675CBF">
      <w:pPr>
        <w:spacing w:line="360" w:lineRule="auto"/>
        <w:jc w:val="both"/>
        <w:rPr>
          <w:lang w:val="en"/>
        </w:rPr>
      </w:pPr>
    </w:p>
    <w:p w14:paraId="225DFCA0" w14:textId="0EABD9A7" w:rsidR="00D754C2" w:rsidRDefault="00D754C2" w:rsidP="00675CBF">
      <w:pPr>
        <w:spacing w:line="360" w:lineRule="auto"/>
        <w:jc w:val="both"/>
      </w:pPr>
      <w:r>
        <w:rPr>
          <w:lang w:val="en"/>
        </w:rPr>
        <w:t xml:space="preserve">Its formula is expressed as: </w:t>
      </w:r>
      <w:r w:rsidRPr="00D754C2">
        <w:rPr>
          <w:rStyle w:val="mord"/>
          <w:rFonts w:ascii="KaTeX_Math" w:hAnsi="KaTeX_Math"/>
          <w:i/>
          <w:iCs/>
          <w:bdr w:val="single" w:sz="4" w:space="0" w:color="auto"/>
        </w:rPr>
        <w:t>Return</w:t>
      </w:r>
      <w:r w:rsidRPr="00D754C2">
        <w:rPr>
          <w:rStyle w:val="mspace"/>
          <w:bdr w:val="single" w:sz="4" w:space="0" w:color="auto"/>
        </w:rPr>
        <w:t> </w:t>
      </w:r>
      <w:r w:rsidRPr="00D754C2">
        <w:rPr>
          <w:rStyle w:val="mord"/>
          <w:rFonts w:ascii="KaTeX_Math" w:hAnsi="KaTeX_Math"/>
          <w:i/>
          <w:iCs/>
          <w:bdr w:val="single" w:sz="4" w:space="0" w:color="auto"/>
        </w:rPr>
        <w:t>on</w:t>
      </w:r>
      <w:r w:rsidRPr="00D754C2">
        <w:rPr>
          <w:rStyle w:val="mspace"/>
          <w:bdr w:val="single" w:sz="4" w:space="0" w:color="auto"/>
        </w:rPr>
        <w:t> </w:t>
      </w:r>
      <w:r w:rsidRPr="00D754C2">
        <w:rPr>
          <w:rStyle w:val="mord"/>
          <w:rFonts w:ascii="KaTeX_Math" w:hAnsi="KaTeX_Math"/>
          <w:i/>
          <w:iCs/>
          <w:bdr w:val="single" w:sz="4" w:space="0" w:color="auto"/>
        </w:rPr>
        <w:t xml:space="preserve">Assets </w:t>
      </w:r>
      <w:r w:rsidRPr="00D754C2">
        <w:rPr>
          <w:rStyle w:val="mrel"/>
          <w:bdr w:val="single" w:sz="4" w:space="0" w:color="auto"/>
        </w:rPr>
        <w:t xml:space="preserve">= </w:t>
      </w:r>
      <w:bookmarkStart w:id="28" w:name="_Hlk41501716"/>
      <w:r>
        <w:rPr>
          <w:rStyle w:val="mord"/>
          <w:rFonts w:ascii="KaTeX_Math" w:hAnsi="KaTeX_Math"/>
          <w:i/>
          <w:iCs/>
          <w:color w:val="111111"/>
          <w:bdr w:val="single" w:sz="4" w:space="0" w:color="auto"/>
          <w:shd w:val="clear" w:color="auto" w:fill="FFFFFF"/>
        </w:rPr>
        <w:t>Net Income</w:t>
      </w:r>
      <w:r w:rsidRPr="00D754C2">
        <w:rPr>
          <w:rStyle w:val="mord"/>
          <w:rFonts w:ascii="KaTeX_Math" w:hAnsi="KaTeX_Math"/>
          <w:i/>
          <w:iCs/>
          <w:color w:val="111111"/>
          <w:bdr w:val="single" w:sz="4" w:space="0" w:color="auto"/>
          <w:shd w:val="clear" w:color="auto" w:fill="FFFFFF"/>
        </w:rPr>
        <w:t>/</w:t>
      </w:r>
      <w:r>
        <w:rPr>
          <w:rStyle w:val="mord"/>
          <w:rFonts w:ascii="KaTeX_Math" w:hAnsi="KaTeX_Math"/>
          <w:i/>
          <w:iCs/>
          <w:color w:val="111111"/>
          <w:bdr w:val="single" w:sz="4" w:space="0" w:color="auto"/>
          <w:shd w:val="clear" w:color="auto" w:fill="FFFFFF"/>
        </w:rPr>
        <w:t xml:space="preserve">Total Assets </w:t>
      </w:r>
      <w:bookmarkEnd w:id="28"/>
      <w:r w:rsidRPr="00D754C2">
        <w:rPr>
          <w:rStyle w:val="vlist-s"/>
          <w:color w:val="111111"/>
          <w:sz w:val="2"/>
          <w:szCs w:val="2"/>
          <w:bdr w:val="single" w:sz="4" w:space="0" w:color="auto"/>
          <w:shd w:val="clear" w:color="auto" w:fill="FFFFFF"/>
        </w:rPr>
        <w:t>​</w:t>
      </w:r>
      <w:r w:rsidR="00D26485">
        <w:rPr>
          <w:rStyle w:val="vlist-s"/>
          <w:color w:val="111111"/>
          <w:sz w:val="2"/>
          <w:szCs w:val="2"/>
          <w:bdr w:val="single" w:sz="4" w:space="0" w:color="auto"/>
          <w:shd w:val="clear" w:color="auto" w:fill="FFFFFF"/>
        </w:rPr>
        <w:t xml:space="preserve"> </w:t>
      </w:r>
      <w:r w:rsidR="00D26485" w:rsidRPr="00410DB6">
        <w:t xml:space="preserve">(Alvarez and </w:t>
      </w:r>
      <w:proofErr w:type="spellStart"/>
      <w:r w:rsidR="00D26485" w:rsidRPr="00410DB6">
        <w:t>Fridson</w:t>
      </w:r>
      <w:proofErr w:type="spellEnd"/>
      <w:r w:rsidR="00D26485" w:rsidRPr="00410DB6">
        <w:t>, 2013)</w:t>
      </w:r>
      <w:r w:rsidR="00D26485">
        <w:t>.</w:t>
      </w:r>
      <w:r>
        <w:rPr>
          <w:color w:val="111111"/>
          <w:sz w:val="32"/>
          <w:szCs w:val="32"/>
          <w:shd w:val="clear" w:color="auto" w:fill="FFFFFF"/>
        </w:rPr>
        <w:br/>
      </w:r>
    </w:p>
    <w:p w14:paraId="798262A7" w14:textId="3FFF5434" w:rsidR="00172760" w:rsidRPr="00410DB6" w:rsidRDefault="00D754C2" w:rsidP="00675CBF">
      <w:pPr>
        <w:spacing w:line="360" w:lineRule="auto"/>
        <w:jc w:val="both"/>
      </w:pPr>
      <w:r>
        <w:t xml:space="preserve">The main limitation of the ROA </w:t>
      </w:r>
      <w:r w:rsidR="00F20BDF" w:rsidRPr="00F20BDF">
        <w:t>is that it is not suitable for use across industries</w:t>
      </w:r>
      <w:r w:rsidR="00F20BDF">
        <w:t xml:space="preserve">, </w:t>
      </w:r>
      <w:r w:rsidR="003A0CE8">
        <w:t xml:space="preserve">a </w:t>
      </w:r>
      <w:r w:rsidR="00F20BDF" w:rsidRPr="00F20BDF">
        <w:t>limitation that is not present in this study as the only sector analysed is the air</w:t>
      </w:r>
      <w:r w:rsidR="00675CBF">
        <w:t>line</w:t>
      </w:r>
      <w:r w:rsidR="00F20BDF" w:rsidRPr="00F20BDF">
        <w:t xml:space="preserve"> sector</w:t>
      </w:r>
      <w:r w:rsidR="00172760">
        <w:t xml:space="preserve">. </w:t>
      </w:r>
    </w:p>
    <w:p w14:paraId="121CA91F" w14:textId="1A0FA226" w:rsidR="00D754C2" w:rsidRPr="00D754C2" w:rsidRDefault="00D754C2" w:rsidP="00675CBF">
      <w:pPr>
        <w:spacing w:line="360" w:lineRule="auto"/>
        <w:jc w:val="both"/>
      </w:pPr>
    </w:p>
    <w:p w14:paraId="1660FDBF" w14:textId="6FFB83E5" w:rsidR="00555387" w:rsidRDefault="00775838" w:rsidP="00675CBF">
      <w:pPr>
        <w:spacing w:line="360" w:lineRule="auto"/>
        <w:jc w:val="both"/>
        <w:rPr>
          <w:lang w:val="en"/>
        </w:rPr>
      </w:pPr>
      <w:r w:rsidRPr="002D5A72">
        <w:rPr>
          <w:b/>
          <w:bCs/>
          <w:lang w:val="en"/>
        </w:rPr>
        <w:t>ROI</w:t>
      </w:r>
      <w:r w:rsidR="000714DE">
        <w:rPr>
          <w:b/>
          <w:bCs/>
          <w:lang w:val="en"/>
        </w:rPr>
        <w:t xml:space="preserve"> </w:t>
      </w:r>
      <w:r w:rsidR="0095127D">
        <w:rPr>
          <w:lang w:val="en"/>
        </w:rPr>
        <w:t>offers a different perspective on the profitability of the business, as while ROA indicates the income generated by the company’s assets, the ROI expresses the profitability in terms of investment. It evaluates the effects that investments had on the company in a defined period, usually a year. It is a flexible and versatile ratio that can be manipulate</w:t>
      </w:r>
      <w:r w:rsidR="003A0CE8">
        <w:rPr>
          <w:lang w:val="en"/>
        </w:rPr>
        <w:t>d</w:t>
      </w:r>
      <w:r w:rsidR="0095127D">
        <w:rPr>
          <w:lang w:val="en"/>
        </w:rPr>
        <w:t xml:space="preserve"> for different uses</w:t>
      </w:r>
      <w:r w:rsidR="003A0CE8">
        <w:rPr>
          <w:lang w:val="en"/>
        </w:rPr>
        <w:t>;</w:t>
      </w:r>
      <w:r w:rsidR="0095127D">
        <w:rPr>
          <w:lang w:val="en"/>
        </w:rPr>
        <w:t xml:space="preserve"> it is typically applied to compare different investments’ efficiency and to make financial decisions of future investments.</w:t>
      </w:r>
      <w:r w:rsidR="00555387">
        <w:rPr>
          <w:lang w:val="en"/>
        </w:rPr>
        <w:t xml:space="preserve"> A positive ROI usually means that the investment is worthwhile.</w:t>
      </w:r>
    </w:p>
    <w:p w14:paraId="691AE05C" w14:textId="0405DBE4" w:rsidR="00775838" w:rsidRDefault="0095127D" w:rsidP="00675CBF">
      <w:pPr>
        <w:spacing w:line="360" w:lineRule="auto"/>
        <w:jc w:val="both"/>
        <w:rPr>
          <w:lang w:val="en"/>
        </w:rPr>
      </w:pPr>
      <w:r>
        <w:rPr>
          <w:lang w:val="en"/>
        </w:rPr>
        <w:t xml:space="preserve"> </w:t>
      </w:r>
      <w:r w:rsidR="00B76707">
        <w:rPr>
          <w:lang w:val="en"/>
        </w:rPr>
        <w:t xml:space="preserve">One of the downsides of this </w:t>
      </w:r>
      <w:r w:rsidR="00290D5A">
        <w:rPr>
          <w:lang w:val="en"/>
        </w:rPr>
        <w:t>R</w:t>
      </w:r>
      <w:r w:rsidR="00B76707">
        <w:rPr>
          <w:lang w:val="en"/>
        </w:rPr>
        <w:t>atio</w:t>
      </w:r>
      <w:r w:rsidR="00B76707" w:rsidRPr="00B76707">
        <w:rPr>
          <w:lang w:val="en"/>
        </w:rPr>
        <w:t xml:space="preserve"> is the ease with which it is manipulated, therefore often leading to different results depending on the users</w:t>
      </w:r>
      <w:r w:rsidR="00A271B3">
        <w:rPr>
          <w:lang w:val="en"/>
        </w:rPr>
        <w:t xml:space="preserve"> </w:t>
      </w:r>
      <w:r w:rsidR="00A271B3" w:rsidRPr="00410DB6">
        <w:t xml:space="preserve">(Alvarez and </w:t>
      </w:r>
      <w:proofErr w:type="spellStart"/>
      <w:r w:rsidR="00A271B3" w:rsidRPr="00410DB6">
        <w:t>Fridson</w:t>
      </w:r>
      <w:proofErr w:type="spellEnd"/>
      <w:r w:rsidR="00A271B3" w:rsidRPr="00410DB6">
        <w:t>, 2013)</w:t>
      </w:r>
      <w:r w:rsidR="00A271B3">
        <w:t>.</w:t>
      </w:r>
    </w:p>
    <w:p w14:paraId="3CC2FC7D" w14:textId="1F5D20E0" w:rsidR="00555387" w:rsidRDefault="00555387" w:rsidP="00675CBF">
      <w:pPr>
        <w:spacing w:line="360" w:lineRule="auto"/>
        <w:jc w:val="both"/>
        <w:rPr>
          <w:lang w:val="en"/>
        </w:rPr>
      </w:pPr>
    </w:p>
    <w:p w14:paraId="0E3D94D0" w14:textId="5A34B193" w:rsidR="00151271" w:rsidRPr="00380BB5" w:rsidRDefault="00555387" w:rsidP="00380BB5">
      <w:pPr>
        <w:spacing w:line="360" w:lineRule="auto"/>
        <w:jc w:val="both"/>
        <w:rPr>
          <w:rFonts w:ascii="KaTeX_Math" w:hAnsi="KaTeX_Math"/>
          <w:i/>
          <w:iCs/>
          <w:color w:val="111111"/>
          <w:bdr w:val="single" w:sz="4" w:space="0" w:color="auto"/>
          <w:shd w:val="clear" w:color="auto" w:fill="FFFFFF"/>
        </w:rPr>
      </w:pPr>
      <w:r>
        <w:rPr>
          <w:lang w:val="en"/>
        </w:rPr>
        <w:t xml:space="preserve">Its formula is expressed as: </w:t>
      </w:r>
      <w:r w:rsidR="000C660B" w:rsidRPr="000C660B">
        <w:rPr>
          <w:rStyle w:val="mord"/>
          <w:rFonts w:ascii="KaTeX_Math" w:hAnsi="KaTeX_Math"/>
          <w:i/>
          <w:iCs/>
          <w:color w:val="111111"/>
          <w:bdr w:val="single" w:sz="4" w:space="0" w:color="auto"/>
          <w:shd w:val="clear" w:color="auto" w:fill="FFFFFF"/>
        </w:rPr>
        <w:t xml:space="preserve"> </w:t>
      </w:r>
      <w:r w:rsidR="000C660B">
        <w:rPr>
          <w:rStyle w:val="mord"/>
          <w:rFonts w:ascii="KaTeX_Math" w:hAnsi="KaTeX_Math"/>
          <w:i/>
          <w:iCs/>
          <w:color w:val="111111"/>
          <w:bdr w:val="single" w:sz="4" w:space="0" w:color="auto"/>
          <w:shd w:val="clear" w:color="auto" w:fill="FFFFFF"/>
        </w:rPr>
        <w:t xml:space="preserve">Return on Investment = </w:t>
      </w:r>
      <w:bookmarkStart w:id="29" w:name="_Hlk41501689"/>
      <w:r w:rsidR="000C660B">
        <w:rPr>
          <w:rStyle w:val="mord"/>
          <w:rFonts w:ascii="KaTeX_Math" w:hAnsi="KaTeX_Math"/>
          <w:i/>
          <w:iCs/>
          <w:color w:val="111111"/>
          <w:bdr w:val="single" w:sz="4" w:space="0" w:color="auto"/>
          <w:shd w:val="clear" w:color="auto" w:fill="FFFFFF"/>
        </w:rPr>
        <w:t>Net Return on Investment</w:t>
      </w:r>
      <w:r w:rsidR="000C660B" w:rsidRPr="00D754C2">
        <w:rPr>
          <w:rStyle w:val="mord"/>
          <w:rFonts w:ascii="KaTeX_Math" w:hAnsi="KaTeX_Math"/>
          <w:i/>
          <w:iCs/>
          <w:color w:val="111111"/>
          <w:bdr w:val="single" w:sz="4" w:space="0" w:color="auto"/>
          <w:shd w:val="clear" w:color="auto" w:fill="FFFFFF"/>
        </w:rPr>
        <w:t>/</w:t>
      </w:r>
      <w:r w:rsidR="000C660B">
        <w:rPr>
          <w:rStyle w:val="mord"/>
          <w:rFonts w:ascii="KaTeX_Math" w:hAnsi="KaTeX_Math"/>
          <w:i/>
          <w:iCs/>
          <w:color w:val="111111"/>
          <w:bdr w:val="single" w:sz="4" w:space="0" w:color="auto"/>
          <w:shd w:val="clear" w:color="auto" w:fill="FFFFFF"/>
        </w:rPr>
        <w:t xml:space="preserve">Cost of Investment   </w:t>
      </w:r>
      <w:bookmarkEnd w:id="29"/>
      <w:r w:rsidR="00A271B3" w:rsidRPr="00410DB6">
        <w:t xml:space="preserve">(Alvarez and </w:t>
      </w:r>
      <w:proofErr w:type="spellStart"/>
      <w:r w:rsidR="00A271B3" w:rsidRPr="00410DB6">
        <w:t>Fridson</w:t>
      </w:r>
      <w:proofErr w:type="spellEnd"/>
      <w:r w:rsidR="00A271B3" w:rsidRPr="00410DB6">
        <w:t>, 2013)</w:t>
      </w:r>
      <w:r w:rsidR="00A271B3">
        <w:t xml:space="preserve">. </w:t>
      </w:r>
      <w:r w:rsidR="000C660B">
        <w:rPr>
          <w:rStyle w:val="mord"/>
          <w:rFonts w:ascii="KaTeX_Math" w:hAnsi="KaTeX_Math"/>
          <w:i/>
          <w:iCs/>
          <w:color w:val="111111"/>
          <w:bdr w:val="single" w:sz="4" w:space="0" w:color="auto"/>
          <w:shd w:val="clear" w:color="auto" w:fill="FFFFFF"/>
        </w:rPr>
        <w:t xml:space="preserve">  </w:t>
      </w:r>
      <w:bookmarkStart w:id="30" w:name="_GoBack"/>
      <w:bookmarkEnd w:id="30"/>
    </w:p>
    <w:p w14:paraId="604A9D1E" w14:textId="3676CCA7" w:rsidR="00620336" w:rsidRPr="000073B3" w:rsidRDefault="00620336" w:rsidP="00290D5A">
      <w:pPr>
        <w:pStyle w:val="Heading3"/>
        <w:numPr>
          <w:ilvl w:val="0"/>
          <w:numId w:val="21"/>
        </w:numPr>
        <w:spacing w:line="480" w:lineRule="auto"/>
        <w:rPr>
          <w:rFonts w:ascii="Arial" w:hAnsi="Arial" w:cs="Arial"/>
          <w:b/>
          <w:bCs/>
          <w:color w:val="auto"/>
          <w:lang w:val="en"/>
        </w:rPr>
      </w:pPr>
      <w:bookmarkStart w:id="31" w:name="_Toc43473605"/>
      <w:r w:rsidRPr="000073B3">
        <w:rPr>
          <w:rFonts w:ascii="Arial" w:hAnsi="Arial" w:cs="Arial"/>
          <w:b/>
          <w:bCs/>
          <w:color w:val="auto"/>
          <w:lang w:val="en"/>
        </w:rPr>
        <w:lastRenderedPageBreak/>
        <w:t>Liquidity</w:t>
      </w:r>
      <w:bookmarkEnd w:id="31"/>
      <w:r w:rsidR="00290D5A">
        <w:rPr>
          <w:rFonts w:ascii="Arial" w:hAnsi="Arial" w:cs="Arial"/>
          <w:b/>
          <w:bCs/>
          <w:color w:val="auto"/>
          <w:lang w:val="en"/>
        </w:rPr>
        <w:t xml:space="preserve"> </w:t>
      </w:r>
    </w:p>
    <w:p w14:paraId="09D304F4" w14:textId="601F08E9" w:rsidR="00620336" w:rsidRDefault="00EC0B4E" w:rsidP="00675CBF">
      <w:pPr>
        <w:spacing w:line="360" w:lineRule="auto"/>
        <w:jc w:val="both"/>
        <w:rPr>
          <w:rFonts w:cstheme="minorHAnsi"/>
        </w:rPr>
      </w:pPr>
      <w:r>
        <w:rPr>
          <w:lang w:val="en"/>
        </w:rPr>
        <w:t xml:space="preserve">The liquidity levels of the companies’ sample, in this paper, are </w:t>
      </w:r>
      <w:r w:rsidRPr="00EC0B4E">
        <w:t>analysed</w:t>
      </w:r>
      <w:r>
        <w:rPr>
          <w:lang w:val="en"/>
        </w:rPr>
        <w:t xml:space="preserve"> with the Current Ratio and the Quick Ratio</w:t>
      </w:r>
      <w:r w:rsidR="00A06DC9">
        <w:rPr>
          <w:lang w:val="en"/>
        </w:rPr>
        <w:t xml:space="preserve"> and are considered as </w:t>
      </w:r>
      <w:r w:rsidR="00A06DC9" w:rsidRPr="00A06DC9">
        <w:rPr>
          <w:u w:val="single"/>
          <w:lang w:val="en"/>
        </w:rPr>
        <w:t>independent</w:t>
      </w:r>
      <w:r w:rsidR="00A06DC9">
        <w:rPr>
          <w:lang w:val="en"/>
        </w:rPr>
        <w:t xml:space="preserve"> variables</w:t>
      </w:r>
      <w:r>
        <w:rPr>
          <w:lang w:val="en"/>
        </w:rPr>
        <w:t xml:space="preserve">. The liquidity level is used to measure the ability of the company in extinguishing its current liabilities through the use of its current assets. Levels greater than 1 underline the capacity of the company in meeting its </w:t>
      </w:r>
      <w:r w:rsidR="00A06DC9">
        <w:rPr>
          <w:lang w:val="en"/>
        </w:rPr>
        <w:t>debt in the short period (</w:t>
      </w:r>
      <w:r w:rsidR="00A06DC9" w:rsidRPr="003A6ADF">
        <w:rPr>
          <w:rFonts w:cstheme="minorHAnsi"/>
        </w:rPr>
        <w:t>Abraham et al. 2008).</w:t>
      </w:r>
    </w:p>
    <w:p w14:paraId="21A5BE05" w14:textId="663BB89D" w:rsidR="00A06DC9" w:rsidRDefault="00A06DC9" w:rsidP="00675CBF">
      <w:pPr>
        <w:spacing w:line="360" w:lineRule="auto"/>
        <w:jc w:val="both"/>
        <w:rPr>
          <w:rFonts w:cstheme="minorHAnsi"/>
        </w:rPr>
      </w:pPr>
      <w:r>
        <w:rPr>
          <w:rFonts w:cstheme="minorHAnsi"/>
        </w:rPr>
        <w:t xml:space="preserve">The </w:t>
      </w:r>
      <w:r w:rsidRPr="00A06DC9">
        <w:rPr>
          <w:rFonts w:cstheme="minorHAnsi"/>
          <w:b/>
          <w:bCs/>
        </w:rPr>
        <w:t>Current Ratio</w:t>
      </w:r>
      <w:r>
        <w:rPr>
          <w:rFonts w:cstheme="minorHAnsi"/>
          <w:b/>
          <w:bCs/>
        </w:rPr>
        <w:t xml:space="preserve"> </w:t>
      </w:r>
      <w:r>
        <w:rPr>
          <w:rFonts w:cstheme="minorHAnsi"/>
        </w:rPr>
        <w:t>shows the ability of a business to reimburse its short-term debts within one year.</w:t>
      </w:r>
      <w:r w:rsidR="00710800">
        <w:rPr>
          <w:rFonts w:cstheme="minorHAnsi"/>
        </w:rPr>
        <w:t xml:space="preserve"> It, therefore, compares the current assets within the current liabilities of the company. The main limitation of the ratio is</w:t>
      </w:r>
      <w:r w:rsidR="00710800" w:rsidRPr="00710800">
        <w:rPr>
          <w:rFonts w:cstheme="minorHAnsi"/>
        </w:rPr>
        <w:t xml:space="preserve"> not suitability in the comparison</w:t>
      </w:r>
      <w:r w:rsidR="00710800">
        <w:rPr>
          <w:rFonts w:cstheme="minorHAnsi"/>
        </w:rPr>
        <w:t xml:space="preserve"> across industry groups.</w:t>
      </w:r>
    </w:p>
    <w:p w14:paraId="62EF63F5" w14:textId="680EAABA" w:rsidR="00710800" w:rsidRDefault="00710800" w:rsidP="00675CBF">
      <w:pPr>
        <w:spacing w:line="360" w:lineRule="auto"/>
        <w:jc w:val="both"/>
        <w:rPr>
          <w:rStyle w:val="mord"/>
          <w:rFonts w:ascii="KaTeX_Math" w:hAnsi="KaTeX_Math"/>
          <w:i/>
          <w:iCs/>
          <w:color w:val="111111"/>
          <w:bdr w:val="single" w:sz="4" w:space="0" w:color="auto"/>
          <w:shd w:val="clear" w:color="auto" w:fill="FFFFFF"/>
        </w:rPr>
      </w:pPr>
      <w:r>
        <w:rPr>
          <w:rFonts w:cstheme="minorHAnsi"/>
        </w:rPr>
        <w:t xml:space="preserve">Its formula is expressed as: </w:t>
      </w:r>
      <w:r>
        <w:rPr>
          <w:rStyle w:val="mord"/>
          <w:rFonts w:ascii="KaTeX_Math" w:hAnsi="KaTeX_Math"/>
          <w:i/>
          <w:iCs/>
          <w:bdr w:val="single" w:sz="4" w:space="0" w:color="auto"/>
        </w:rPr>
        <w:t>Current Ratio</w:t>
      </w:r>
      <w:r w:rsidRPr="00D754C2">
        <w:rPr>
          <w:rStyle w:val="mord"/>
          <w:rFonts w:ascii="KaTeX_Math" w:hAnsi="KaTeX_Math"/>
          <w:i/>
          <w:iCs/>
          <w:bdr w:val="single" w:sz="4" w:space="0" w:color="auto"/>
        </w:rPr>
        <w:t xml:space="preserve"> </w:t>
      </w:r>
      <w:r w:rsidRPr="00D754C2">
        <w:rPr>
          <w:rStyle w:val="mrel"/>
          <w:bdr w:val="single" w:sz="4" w:space="0" w:color="auto"/>
        </w:rPr>
        <w:t xml:space="preserve">= </w:t>
      </w:r>
      <w:r>
        <w:rPr>
          <w:rStyle w:val="mord"/>
          <w:rFonts w:ascii="KaTeX_Math" w:hAnsi="KaTeX_Math"/>
          <w:i/>
          <w:iCs/>
          <w:color w:val="111111"/>
          <w:bdr w:val="single" w:sz="4" w:space="0" w:color="auto"/>
          <w:shd w:val="clear" w:color="auto" w:fill="FFFFFF"/>
        </w:rPr>
        <w:t>Current Assets</w:t>
      </w:r>
      <w:r w:rsidRPr="00D754C2">
        <w:rPr>
          <w:rStyle w:val="mord"/>
          <w:rFonts w:ascii="KaTeX_Math" w:hAnsi="KaTeX_Math"/>
          <w:i/>
          <w:iCs/>
          <w:color w:val="111111"/>
          <w:bdr w:val="single" w:sz="4" w:space="0" w:color="auto"/>
          <w:shd w:val="clear" w:color="auto" w:fill="FFFFFF"/>
        </w:rPr>
        <w:t>/</w:t>
      </w:r>
      <w:r>
        <w:rPr>
          <w:rStyle w:val="mord"/>
          <w:rFonts w:ascii="KaTeX_Math" w:hAnsi="KaTeX_Math"/>
          <w:i/>
          <w:iCs/>
          <w:color w:val="111111"/>
          <w:bdr w:val="single" w:sz="4" w:space="0" w:color="auto"/>
          <w:shd w:val="clear" w:color="auto" w:fill="FFFFFF"/>
        </w:rPr>
        <w:t>Current Liabilities</w:t>
      </w:r>
      <w:r w:rsidR="00171135">
        <w:rPr>
          <w:rStyle w:val="mord"/>
          <w:rFonts w:ascii="KaTeX_Math" w:hAnsi="KaTeX_Math"/>
          <w:i/>
          <w:iCs/>
          <w:color w:val="111111"/>
          <w:bdr w:val="single" w:sz="4" w:space="0" w:color="auto"/>
          <w:shd w:val="clear" w:color="auto" w:fill="FFFFFF"/>
        </w:rPr>
        <w:t xml:space="preserve"> </w:t>
      </w:r>
      <w:r w:rsidR="00171135">
        <w:rPr>
          <w:lang w:val="en"/>
        </w:rPr>
        <w:t>(</w:t>
      </w:r>
      <w:r w:rsidR="00171135" w:rsidRPr="003A6ADF">
        <w:rPr>
          <w:rFonts w:cstheme="minorHAnsi"/>
        </w:rPr>
        <w:t>Abraham et al. 2008).</w:t>
      </w:r>
    </w:p>
    <w:p w14:paraId="1B869D67" w14:textId="77777777" w:rsidR="00710800" w:rsidRDefault="00710800" w:rsidP="00675CBF">
      <w:pPr>
        <w:spacing w:line="360" w:lineRule="auto"/>
        <w:jc w:val="both"/>
        <w:rPr>
          <w:rStyle w:val="mord"/>
          <w:rFonts w:ascii="KaTeX_Math" w:hAnsi="KaTeX_Math"/>
          <w:i/>
          <w:iCs/>
          <w:color w:val="111111"/>
          <w:bdr w:val="single" w:sz="4" w:space="0" w:color="auto"/>
          <w:shd w:val="clear" w:color="auto" w:fill="FFFFFF"/>
        </w:rPr>
      </w:pPr>
    </w:p>
    <w:p w14:paraId="6DA8D78E" w14:textId="16BA770B" w:rsidR="00710800" w:rsidRDefault="00710800" w:rsidP="00675CBF">
      <w:pPr>
        <w:spacing w:line="360" w:lineRule="auto"/>
        <w:jc w:val="both"/>
        <w:rPr>
          <w:rFonts w:cstheme="minorHAnsi"/>
        </w:rPr>
      </w:pPr>
      <w:r>
        <w:rPr>
          <w:rFonts w:cstheme="minorHAnsi"/>
        </w:rPr>
        <w:t xml:space="preserve">The </w:t>
      </w:r>
      <w:r>
        <w:rPr>
          <w:rFonts w:cstheme="minorHAnsi"/>
          <w:b/>
          <w:bCs/>
        </w:rPr>
        <w:t>Quick</w:t>
      </w:r>
      <w:r w:rsidRPr="00A06DC9">
        <w:rPr>
          <w:rFonts w:cstheme="minorHAnsi"/>
          <w:b/>
          <w:bCs/>
        </w:rPr>
        <w:t xml:space="preserve"> Ratio</w:t>
      </w:r>
      <w:r>
        <w:rPr>
          <w:rFonts w:cstheme="minorHAnsi"/>
          <w:b/>
          <w:bCs/>
        </w:rPr>
        <w:t xml:space="preserve"> </w:t>
      </w:r>
      <w:r w:rsidRPr="00710800">
        <w:rPr>
          <w:rFonts w:cstheme="minorHAnsi"/>
        </w:rPr>
        <w:t>results</w:t>
      </w:r>
      <w:r>
        <w:rPr>
          <w:rFonts w:cstheme="minorHAnsi"/>
        </w:rPr>
        <w:t xml:space="preserve"> to be similar to the Current Ratio but, unlike it, it does</w:t>
      </w:r>
      <w:r w:rsidR="00675CBF">
        <w:rPr>
          <w:rFonts w:cstheme="minorHAnsi"/>
        </w:rPr>
        <w:t xml:space="preserve"> not</w:t>
      </w:r>
      <w:r>
        <w:rPr>
          <w:rFonts w:cstheme="minorHAnsi"/>
        </w:rPr>
        <w:t xml:space="preserve"> consider the inventory in the calculation as, in some companies, it cannot be easily and quickly converted into liquidity (cash). It is considered more conservative than the previous ratio due to its exclusion of the inventory</w:t>
      </w:r>
      <w:r w:rsidR="00171135">
        <w:rPr>
          <w:rFonts w:cstheme="minorHAnsi"/>
        </w:rPr>
        <w:t xml:space="preserve"> </w:t>
      </w:r>
      <w:r w:rsidR="00171135">
        <w:rPr>
          <w:lang w:val="en"/>
        </w:rPr>
        <w:t>(</w:t>
      </w:r>
      <w:r w:rsidR="00171135" w:rsidRPr="003A6ADF">
        <w:rPr>
          <w:rFonts w:cstheme="minorHAnsi"/>
        </w:rPr>
        <w:t>Abraham et al. 2008).</w:t>
      </w:r>
    </w:p>
    <w:p w14:paraId="3C8FFD7C" w14:textId="5C414E47" w:rsidR="003E2AB0" w:rsidRDefault="00710800" w:rsidP="00675CBF">
      <w:pPr>
        <w:spacing w:line="360" w:lineRule="auto"/>
        <w:jc w:val="both"/>
        <w:rPr>
          <w:rFonts w:cstheme="minorHAnsi"/>
        </w:rPr>
      </w:pPr>
      <w:r>
        <w:rPr>
          <w:rFonts w:cstheme="minorHAnsi"/>
        </w:rPr>
        <w:t xml:space="preserve">Its formula is expressed as: </w:t>
      </w:r>
      <w:bookmarkStart w:id="32" w:name="_Hlk41501787"/>
      <w:r w:rsidR="00171135">
        <w:rPr>
          <w:rStyle w:val="mord"/>
          <w:rFonts w:ascii="KaTeX_Math" w:hAnsi="KaTeX_Math"/>
          <w:i/>
          <w:iCs/>
          <w:bdr w:val="single" w:sz="4" w:space="0" w:color="auto"/>
        </w:rPr>
        <w:t>Quick Ratio</w:t>
      </w:r>
      <w:r w:rsidR="00171135" w:rsidRPr="00D754C2">
        <w:rPr>
          <w:rStyle w:val="mord"/>
          <w:rFonts w:ascii="KaTeX_Math" w:hAnsi="KaTeX_Math"/>
          <w:i/>
          <w:iCs/>
          <w:bdr w:val="single" w:sz="4" w:space="0" w:color="auto"/>
        </w:rPr>
        <w:t xml:space="preserve"> </w:t>
      </w:r>
      <w:r w:rsidR="00171135" w:rsidRPr="00D754C2">
        <w:rPr>
          <w:rStyle w:val="mrel"/>
          <w:bdr w:val="single" w:sz="4" w:space="0" w:color="auto"/>
        </w:rPr>
        <w:t xml:space="preserve">= </w:t>
      </w:r>
      <w:r w:rsidR="003E2AB0">
        <w:rPr>
          <w:rStyle w:val="mrel"/>
          <w:bdr w:val="single" w:sz="4" w:space="0" w:color="auto"/>
        </w:rPr>
        <w:t>(</w:t>
      </w:r>
      <w:r w:rsidR="00171135">
        <w:rPr>
          <w:rStyle w:val="mord"/>
          <w:rFonts w:ascii="KaTeX_Math" w:hAnsi="KaTeX_Math"/>
          <w:i/>
          <w:iCs/>
          <w:color w:val="111111"/>
          <w:bdr w:val="single" w:sz="4" w:space="0" w:color="auto"/>
          <w:shd w:val="clear" w:color="auto" w:fill="FFFFFF"/>
        </w:rPr>
        <w:t xml:space="preserve">Current Assets </w:t>
      </w:r>
      <w:r w:rsidR="003E2AB0">
        <w:rPr>
          <w:rStyle w:val="mord"/>
          <w:rFonts w:ascii="KaTeX_Math" w:hAnsi="KaTeX_Math"/>
          <w:i/>
          <w:iCs/>
          <w:color w:val="111111"/>
          <w:bdr w:val="single" w:sz="4" w:space="0" w:color="auto"/>
          <w:shd w:val="clear" w:color="auto" w:fill="FFFFFF"/>
        </w:rPr>
        <w:t>–</w:t>
      </w:r>
      <w:r w:rsidR="00171135">
        <w:rPr>
          <w:rStyle w:val="mord"/>
          <w:rFonts w:ascii="KaTeX_Math" w:hAnsi="KaTeX_Math"/>
          <w:i/>
          <w:iCs/>
          <w:color w:val="111111"/>
          <w:bdr w:val="single" w:sz="4" w:space="0" w:color="auto"/>
          <w:shd w:val="clear" w:color="auto" w:fill="FFFFFF"/>
        </w:rPr>
        <w:t xml:space="preserve"> Inventory</w:t>
      </w:r>
      <w:r w:rsidR="003E2AB0">
        <w:rPr>
          <w:rStyle w:val="mord"/>
          <w:rFonts w:ascii="KaTeX_Math" w:hAnsi="KaTeX_Math"/>
          <w:i/>
          <w:iCs/>
          <w:color w:val="111111"/>
          <w:bdr w:val="single" w:sz="4" w:space="0" w:color="auto"/>
          <w:shd w:val="clear" w:color="auto" w:fill="FFFFFF"/>
        </w:rPr>
        <w:t>)</w:t>
      </w:r>
      <w:r w:rsidR="00171135" w:rsidRPr="00D754C2">
        <w:rPr>
          <w:rStyle w:val="mord"/>
          <w:rFonts w:ascii="KaTeX_Math" w:hAnsi="KaTeX_Math"/>
          <w:i/>
          <w:iCs/>
          <w:color w:val="111111"/>
          <w:bdr w:val="single" w:sz="4" w:space="0" w:color="auto"/>
          <w:shd w:val="clear" w:color="auto" w:fill="FFFFFF"/>
        </w:rPr>
        <w:t>/</w:t>
      </w:r>
      <w:r w:rsidR="00171135">
        <w:rPr>
          <w:rStyle w:val="mord"/>
          <w:rFonts w:ascii="KaTeX_Math" w:hAnsi="KaTeX_Math"/>
          <w:i/>
          <w:iCs/>
          <w:color w:val="111111"/>
          <w:bdr w:val="single" w:sz="4" w:space="0" w:color="auto"/>
          <w:shd w:val="clear" w:color="auto" w:fill="FFFFFF"/>
        </w:rPr>
        <w:t xml:space="preserve">Current Liabilities </w:t>
      </w:r>
      <w:bookmarkEnd w:id="32"/>
      <w:r w:rsidR="00171135">
        <w:rPr>
          <w:lang w:val="en"/>
        </w:rPr>
        <w:t>(</w:t>
      </w:r>
      <w:r w:rsidR="00171135" w:rsidRPr="003A6ADF">
        <w:rPr>
          <w:rFonts w:cstheme="minorHAnsi"/>
        </w:rPr>
        <w:t>Abraham et al. 2008).</w:t>
      </w:r>
    </w:p>
    <w:p w14:paraId="5064F041" w14:textId="77777777" w:rsidR="003E2AB0" w:rsidRDefault="003E2AB0" w:rsidP="00620336">
      <w:pPr>
        <w:spacing w:line="254" w:lineRule="auto"/>
        <w:jc w:val="both"/>
        <w:rPr>
          <w:rFonts w:cstheme="minorHAnsi"/>
        </w:rPr>
      </w:pPr>
    </w:p>
    <w:p w14:paraId="75CAD510" w14:textId="1F3D4BB1" w:rsidR="003E2AB0" w:rsidRPr="000073B3" w:rsidRDefault="003E2AB0" w:rsidP="00290D5A">
      <w:pPr>
        <w:pStyle w:val="Heading3"/>
        <w:numPr>
          <w:ilvl w:val="0"/>
          <w:numId w:val="21"/>
        </w:numPr>
        <w:spacing w:line="480" w:lineRule="auto"/>
        <w:rPr>
          <w:rFonts w:ascii="Arial" w:hAnsi="Arial" w:cs="Arial"/>
          <w:b/>
          <w:bCs/>
        </w:rPr>
      </w:pPr>
      <w:bookmarkStart w:id="33" w:name="_Toc43473606"/>
      <w:r w:rsidRPr="000073B3">
        <w:rPr>
          <w:rFonts w:ascii="Arial" w:hAnsi="Arial" w:cs="Arial"/>
          <w:b/>
          <w:bCs/>
          <w:color w:val="auto"/>
        </w:rPr>
        <w:t>Leverage</w:t>
      </w:r>
      <w:bookmarkEnd w:id="33"/>
      <w:r w:rsidRPr="000073B3">
        <w:rPr>
          <w:rFonts w:ascii="Arial" w:hAnsi="Arial" w:cs="Arial"/>
          <w:b/>
          <w:bCs/>
          <w:color w:val="auto"/>
        </w:rPr>
        <w:t xml:space="preserve"> </w:t>
      </w:r>
    </w:p>
    <w:p w14:paraId="44622B36" w14:textId="703813FE" w:rsidR="00A06DC9" w:rsidRDefault="00FE319C" w:rsidP="00675CBF">
      <w:pPr>
        <w:spacing w:line="360" w:lineRule="auto"/>
        <w:jc w:val="both"/>
        <w:rPr>
          <w:lang w:val="en"/>
        </w:rPr>
      </w:pPr>
      <w:r>
        <w:rPr>
          <w:lang w:val="en"/>
        </w:rPr>
        <w:t xml:space="preserve">The second </w:t>
      </w:r>
      <w:r w:rsidRPr="00FE319C">
        <w:rPr>
          <w:u w:val="single"/>
          <w:lang w:val="en"/>
        </w:rPr>
        <w:t>independent</w:t>
      </w:r>
      <w:r>
        <w:rPr>
          <w:lang w:val="en"/>
        </w:rPr>
        <w:t xml:space="preserve"> determinant of profitability that this research incorporates is the capital structure. Berk and </w:t>
      </w:r>
      <w:proofErr w:type="spellStart"/>
      <w:r>
        <w:rPr>
          <w:lang w:val="en"/>
        </w:rPr>
        <w:t>DeMarzo</w:t>
      </w:r>
      <w:proofErr w:type="spellEnd"/>
      <w:r>
        <w:rPr>
          <w:lang w:val="en"/>
        </w:rPr>
        <w:t>, in 2013, defined the capital structure referring to the company’s leverage, as it measures in which extent the firm relies on debts in its financing structure</w:t>
      </w:r>
      <w:r w:rsidR="009219EF">
        <w:rPr>
          <w:lang w:val="en"/>
        </w:rPr>
        <w:t xml:space="preserve">. The higher is the leverage’s level, </w:t>
      </w:r>
      <w:r w:rsidR="003A0CE8">
        <w:rPr>
          <w:lang w:val="en"/>
        </w:rPr>
        <w:t xml:space="preserve">and </w:t>
      </w:r>
      <w:r w:rsidR="009219EF">
        <w:rPr>
          <w:lang w:val="en"/>
        </w:rPr>
        <w:t>the greater is the risk profile of the business</w:t>
      </w:r>
      <w:r>
        <w:rPr>
          <w:lang w:val="en"/>
        </w:rPr>
        <w:t xml:space="preserve"> </w:t>
      </w:r>
      <w:r w:rsidRPr="00FE319C">
        <w:rPr>
          <w:lang w:val="en"/>
        </w:rPr>
        <w:t xml:space="preserve">(Berk </w:t>
      </w:r>
      <w:r>
        <w:rPr>
          <w:lang w:val="en"/>
        </w:rPr>
        <w:t xml:space="preserve">and </w:t>
      </w:r>
      <w:proofErr w:type="spellStart"/>
      <w:r w:rsidRPr="00FE319C">
        <w:rPr>
          <w:lang w:val="en"/>
        </w:rPr>
        <w:t>DeMarzo</w:t>
      </w:r>
      <w:proofErr w:type="spellEnd"/>
      <w:r w:rsidRPr="00FE319C">
        <w:rPr>
          <w:lang w:val="en"/>
        </w:rPr>
        <w:t>, 2013, p. 39).</w:t>
      </w:r>
    </w:p>
    <w:p w14:paraId="158A7822" w14:textId="77ADD4C4" w:rsidR="00FE319C" w:rsidRDefault="00FE319C" w:rsidP="00675CBF">
      <w:pPr>
        <w:spacing w:line="360" w:lineRule="auto"/>
        <w:jc w:val="both"/>
        <w:rPr>
          <w:lang w:val="en"/>
        </w:rPr>
      </w:pPr>
      <w:r>
        <w:rPr>
          <w:lang w:val="en"/>
        </w:rPr>
        <w:t xml:space="preserve">The studies previously presented showed how the relationship between profitability and leverage </w:t>
      </w:r>
      <w:r w:rsidRPr="00FE319C">
        <w:rPr>
          <w:lang w:val="en"/>
        </w:rPr>
        <w:t>m</w:t>
      </w:r>
      <w:r w:rsidR="003A0CE8">
        <w:rPr>
          <w:lang w:val="en"/>
        </w:rPr>
        <w:t>ight</w:t>
      </w:r>
      <w:r w:rsidRPr="00FE319C">
        <w:rPr>
          <w:lang w:val="en"/>
        </w:rPr>
        <w:t xml:space="preserve"> differ according to the </w:t>
      </w:r>
      <w:r w:rsidR="009219EF">
        <w:rPr>
          <w:lang w:val="en"/>
        </w:rPr>
        <w:t xml:space="preserve">debt </w:t>
      </w:r>
      <w:r w:rsidRPr="00FE319C">
        <w:rPr>
          <w:lang w:val="en"/>
        </w:rPr>
        <w:t xml:space="preserve">ratios that are used </w:t>
      </w:r>
      <w:r w:rsidR="009219EF">
        <w:rPr>
          <w:lang w:val="en"/>
        </w:rPr>
        <w:t>in</w:t>
      </w:r>
      <w:r w:rsidR="003A0CE8">
        <w:rPr>
          <w:lang w:val="en"/>
        </w:rPr>
        <w:t xml:space="preserve"> the</w:t>
      </w:r>
      <w:r w:rsidR="009219EF">
        <w:rPr>
          <w:lang w:val="en"/>
        </w:rPr>
        <w:t xml:space="preserve"> measurement. For this reason, it is </w:t>
      </w:r>
      <w:r w:rsidR="00675CBF">
        <w:rPr>
          <w:lang w:val="en"/>
        </w:rPr>
        <w:t>crucial</w:t>
      </w:r>
      <w:r w:rsidR="009219EF">
        <w:rPr>
          <w:lang w:val="en"/>
        </w:rPr>
        <w:t xml:space="preserve"> to determine which ratios this research takes into account. </w:t>
      </w:r>
    </w:p>
    <w:p w14:paraId="7D28E7C3" w14:textId="791D4806" w:rsidR="009219EF" w:rsidRDefault="009219EF" w:rsidP="00675CBF">
      <w:pPr>
        <w:spacing w:line="360" w:lineRule="auto"/>
        <w:jc w:val="both"/>
      </w:pPr>
      <w:r>
        <w:rPr>
          <w:lang w:val="en"/>
        </w:rPr>
        <w:t>The first leverage ratio considered is</w:t>
      </w:r>
      <w:r w:rsidR="00C51E8C">
        <w:rPr>
          <w:lang w:val="en"/>
        </w:rPr>
        <w:t xml:space="preserve"> the</w:t>
      </w:r>
      <w:r>
        <w:rPr>
          <w:lang w:val="en"/>
        </w:rPr>
        <w:t xml:space="preserve"> </w:t>
      </w:r>
      <w:r w:rsidR="00C51E8C" w:rsidRPr="00AD5356">
        <w:rPr>
          <w:b/>
          <w:bCs/>
        </w:rPr>
        <w:t>Debt-to-Equity ratio</w:t>
      </w:r>
      <w:r w:rsidR="00AD5356">
        <w:rPr>
          <w:b/>
          <w:bCs/>
        </w:rPr>
        <w:t xml:space="preserve"> </w:t>
      </w:r>
      <w:r w:rsidR="00AD5356" w:rsidRPr="00AD5356">
        <w:t>which shows the proportion in which a company relies on funds from third parties</w:t>
      </w:r>
      <w:r w:rsidR="00AD5356">
        <w:t>. L</w:t>
      </w:r>
      <w:r w:rsidR="00AD5356" w:rsidRPr="00AD5356">
        <w:t>ow values indicate financial independence since the company finances itself mainly with its own resources</w:t>
      </w:r>
      <w:r w:rsidR="00AD5356">
        <w:t xml:space="preserve"> (</w:t>
      </w:r>
      <w:proofErr w:type="spellStart"/>
      <w:r w:rsidR="00AD5356">
        <w:t>Mahboobinejad</w:t>
      </w:r>
      <w:proofErr w:type="spellEnd"/>
      <w:r w:rsidR="00AD5356">
        <w:t>, 2015).</w:t>
      </w:r>
    </w:p>
    <w:p w14:paraId="75CE629D" w14:textId="771634D9" w:rsidR="00AD5356" w:rsidRPr="00AD5356" w:rsidRDefault="00AD5356" w:rsidP="00675CBF">
      <w:pPr>
        <w:spacing w:line="360" w:lineRule="auto"/>
        <w:jc w:val="both"/>
        <w:rPr>
          <w:lang w:val="en"/>
        </w:rPr>
      </w:pPr>
      <w:r>
        <w:lastRenderedPageBreak/>
        <w:t xml:space="preserve">Its formula is expressed as: </w:t>
      </w:r>
      <w:r>
        <w:rPr>
          <w:rStyle w:val="mord"/>
          <w:rFonts w:ascii="KaTeX_Math" w:hAnsi="KaTeX_Math"/>
          <w:i/>
          <w:iCs/>
          <w:bdr w:val="single" w:sz="4" w:space="0" w:color="auto"/>
        </w:rPr>
        <w:t>Debt-to-Equity Ratio</w:t>
      </w:r>
      <w:r w:rsidRPr="00D754C2">
        <w:rPr>
          <w:rStyle w:val="mord"/>
          <w:rFonts w:ascii="KaTeX_Math" w:hAnsi="KaTeX_Math"/>
          <w:i/>
          <w:iCs/>
          <w:bdr w:val="single" w:sz="4" w:space="0" w:color="auto"/>
        </w:rPr>
        <w:t xml:space="preserve"> </w:t>
      </w:r>
      <w:r w:rsidRPr="00D754C2">
        <w:rPr>
          <w:rStyle w:val="mrel"/>
          <w:bdr w:val="single" w:sz="4" w:space="0" w:color="auto"/>
        </w:rPr>
        <w:t xml:space="preserve">= </w:t>
      </w:r>
      <w:r>
        <w:rPr>
          <w:rStyle w:val="mord"/>
          <w:rFonts w:ascii="KaTeX_Math" w:hAnsi="KaTeX_Math"/>
          <w:i/>
          <w:iCs/>
          <w:color w:val="111111"/>
          <w:bdr w:val="single" w:sz="4" w:space="0" w:color="auto"/>
          <w:shd w:val="clear" w:color="auto" w:fill="FFFFFF"/>
        </w:rPr>
        <w:t>Total Liabilities</w:t>
      </w:r>
      <w:r w:rsidRPr="00D754C2">
        <w:rPr>
          <w:rStyle w:val="mord"/>
          <w:rFonts w:ascii="KaTeX_Math" w:hAnsi="KaTeX_Math"/>
          <w:i/>
          <w:iCs/>
          <w:color w:val="111111"/>
          <w:bdr w:val="single" w:sz="4" w:space="0" w:color="auto"/>
          <w:shd w:val="clear" w:color="auto" w:fill="FFFFFF"/>
        </w:rPr>
        <w:t>/</w:t>
      </w:r>
      <w:r>
        <w:rPr>
          <w:rStyle w:val="mord"/>
          <w:rFonts w:ascii="KaTeX_Math" w:hAnsi="KaTeX_Math"/>
          <w:i/>
          <w:iCs/>
          <w:color w:val="111111"/>
          <w:bdr w:val="single" w:sz="4" w:space="0" w:color="auto"/>
          <w:shd w:val="clear" w:color="auto" w:fill="FFFFFF"/>
        </w:rPr>
        <w:t>Total Shareholders’ Equity</w:t>
      </w:r>
      <w:r w:rsidR="00CF48F1">
        <w:rPr>
          <w:rStyle w:val="mord"/>
          <w:rFonts w:ascii="KaTeX_Math" w:hAnsi="KaTeX_Math"/>
          <w:i/>
          <w:iCs/>
          <w:color w:val="111111"/>
          <w:bdr w:val="single" w:sz="4" w:space="0" w:color="auto"/>
          <w:shd w:val="clear" w:color="auto" w:fill="FFFFFF"/>
        </w:rPr>
        <w:t xml:space="preserve"> </w:t>
      </w:r>
      <w:r w:rsidR="00CF48F1">
        <w:t>(</w:t>
      </w:r>
      <w:proofErr w:type="spellStart"/>
      <w:r w:rsidR="00CF48F1">
        <w:t>Mahboobinejad</w:t>
      </w:r>
      <w:proofErr w:type="spellEnd"/>
      <w:r w:rsidR="00CF48F1">
        <w:t>, 2015).</w:t>
      </w:r>
    </w:p>
    <w:p w14:paraId="7427452D" w14:textId="48B2D96E" w:rsidR="00A06DC9" w:rsidRDefault="00A06DC9" w:rsidP="00675CBF">
      <w:pPr>
        <w:spacing w:line="360" w:lineRule="auto"/>
        <w:jc w:val="both"/>
        <w:rPr>
          <w:lang w:val="en"/>
        </w:rPr>
      </w:pPr>
    </w:p>
    <w:p w14:paraId="104C34B2" w14:textId="53622212" w:rsidR="004E2E52" w:rsidRDefault="004E2E52" w:rsidP="00675CBF">
      <w:pPr>
        <w:spacing w:line="360" w:lineRule="auto"/>
        <w:jc w:val="both"/>
        <w:rPr>
          <w:rFonts w:cstheme="minorHAnsi"/>
        </w:rPr>
      </w:pPr>
      <w:r>
        <w:rPr>
          <w:lang w:val="en"/>
        </w:rPr>
        <w:t xml:space="preserve">The second leverage ratio considered is the </w:t>
      </w:r>
      <w:r w:rsidRPr="00AD5356">
        <w:rPr>
          <w:b/>
          <w:bCs/>
        </w:rPr>
        <w:t>Debt-to-</w:t>
      </w:r>
      <w:r w:rsidR="00CF48F1">
        <w:rPr>
          <w:b/>
          <w:bCs/>
        </w:rPr>
        <w:t>Capital</w:t>
      </w:r>
      <w:r w:rsidRPr="00AD5356">
        <w:rPr>
          <w:b/>
          <w:bCs/>
        </w:rPr>
        <w:t xml:space="preserve"> ratio</w:t>
      </w:r>
      <w:r w:rsidR="00CF48F1">
        <w:rPr>
          <w:b/>
          <w:bCs/>
        </w:rPr>
        <w:t xml:space="preserve"> </w:t>
      </w:r>
      <w:r w:rsidR="00514A68">
        <w:t xml:space="preserve">which, like </w:t>
      </w:r>
      <w:r w:rsidR="00514A68" w:rsidRPr="00514A68">
        <w:t xml:space="preserve">the previous index, provides an idea of a company's financial structure, </w:t>
      </w:r>
      <w:r w:rsidR="00514A68">
        <w:t>expressing</w:t>
      </w:r>
      <w:r w:rsidR="00514A68" w:rsidRPr="00514A68">
        <w:t xml:space="preserve"> </w:t>
      </w:r>
      <w:r w:rsidR="00514A68">
        <w:t xml:space="preserve">the business’ </w:t>
      </w:r>
      <w:r w:rsidR="00514A68" w:rsidRPr="00CF11B9">
        <w:rPr>
          <w:rFonts w:cstheme="minorHAnsi"/>
        </w:rPr>
        <w:t>creditworthiness</w:t>
      </w:r>
      <w:r w:rsidR="00514A68">
        <w:rPr>
          <w:rFonts w:cstheme="minorHAnsi"/>
        </w:rPr>
        <w:t xml:space="preserve">. </w:t>
      </w:r>
      <w:r w:rsidR="005F3212">
        <w:rPr>
          <w:rFonts w:cstheme="minorHAnsi"/>
        </w:rPr>
        <w:t xml:space="preserve">It is calculated by dividing the company’s debts by the total capital, expressed as Equity + Debts </w:t>
      </w:r>
      <w:r w:rsidR="005F3212">
        <w:t>(</w:t>
      </w:r>
      <w:proofErr w:type="spellStart"/>
      <w:r w:rsidR="005F3212">
        <w:t>Mahboobinejad</w:t>
      </w:r>
      <w:proofErr w:type="spellEnd"/>
      <w:r w:rsidR="005F3212">
        <w:t>, 2015).</w:t>
      </w:r>
    </w:p>
    <w:p w14:paraId="0CF2D187" w14:textId="76C1E4BA" w:rsidR="005F3212" w:rsidRDefault="005F3212" w:rsidP="00675CBF">
      <w:pPr>
        <w:spacing w:line="360" w:lineRule="auto"/>
        <w:jc w:val="both"/>
      </w:pPr>
      <w:r>
        <w:t xml:space="preserve">Its formula is expressed as: </w:t>
      </w:r>
      <w:r>
        <w:rPr>
          <w:rStyle w:val="mord"/>
          <w:rFonts w:ascii="KaTeX_Math" w:hAnsi="KaTeX_Math"/>
          <w:i/>
          <w:iCs/>
          <w:bdr w:val="single" w:sz="4" w:space="0" w:color="auto"/>
        </w:rPr>
        <w:t>Debt-to-Capital Ratio</w:t>
      </w:r>
      <w:r w:rsidRPr="00D754C2">
        <w:rPr>
          <w:rStyle w:val="mord"/>
          <w:rFonts w:ascii="KaTeX_Math" w:hAnsi="KaTeX_Math"/>
          <w:i/>
          <w:iCs/>
          <w:bdr w:val="single" w:sz="4" w:space="0" w:color="auto"/>
        </w:rPr>
        <w:t xml:space="preserve"> </w:t>
      </w:r>
      <w:r w:rsidRPr="00D754C2">
        <w:rPr>
          <w:rStyle w:val="mrel"/>
          <w:bdr w:val="single" w:sz="4" w:space="0" w:color="auto"/>
        </w:rPr>
        <w:t xml:space="preserve">= </w:t>
      </w:r>
      <w:r>
        <w:rPr>
          <w:rStyle w:val="mord"/>
          <w:rFonts w:ascii="KaTeX_Math" w:hAnsi="KaTeX_Math"/>
          <w:i/>
          <w:iCs/>
          <w:color w:val="111111"/>
          <w:bdr w:val="single" w:sz="4" w:space="0" w:color="auto"/>
          <w:shd w:val="clear" w:color="auto" w:fill="FFFFFF"/>
        </w:rPr>
        <w:t>Total Liabilities</w:t>
      </w:r>
      <w:r w:rsidRPr="00D754C2">
        <w:rPr>
          <w:rStyle w:val="mord"/>
          <w:rFonts w:ascii="KaTeX_Math" w:hAnsi="KaTeX_Math"/>
          <w:i/>
          <w:iCs/>
          <w:color w:val="111111"/>
          <w:bdr w:val="single" w:sz="4" w:space="0" w:color="auto"/>
          <w:shd w:val="clear" w:color="auto" w:fill="FFFFFF"/>
        </w:rPr>
        <w:t>/</w:t>
      </w:r>
      <w:r>
        <w:rPr>
          <w:rStyle w:val="mord"/>
          <w:rFonts w:ascii="KaTeX_Math" w:hAnsi="KaTeX_Math"/>
          <w:i/>
          <w:iCs/>
          <w:color w:val="111111"/>
          <w:bdr w:val="single" w:sz="4" w:space="0" w:color="auto"/>
          <w:shd w:val="clear" w:color="auto" w:fill="FFFFFF"/>
        </w:rPr>
        <w:t xml:space="preserve">Total Shareholders’ Equity + Liabilities </w:t>
      </w:r>
      <w:r>
        <w:t>(</w:t>
      </w:r>
      <w:proofErr w:type="spellStart"/>
      <w:r>
        <w:t>Mahboobinejad</w:t>
      </w:r>
      <w:proofErr w:type="spellEnd"/>
      <w:r>
        <w:t>, 2015).</w:t>
      </w:r>
    </w:p>
    <w:p w14:paraId="5BF70200" w14:textId="77777777" w:rsidR="00BC0910" w:rsidRDefault="00BC0910" w:rsidP="00675CBF">
      <w:pPr>
        <w:spacing w:line="360" w:lineRule="auto"/>
        <w:jc w:val="both"/>
      </w:pPr>
    </w:p>
    <w:p w14:paraId="49569F09" w14:textId="45C6B053" w:rsidR="005F3212" w:rsidRPr="00AD5356" w:rsidRDefault="005F3212" w:rsidP="00675CBF">
      <w:pPr>
        <w:spacing w:line="360" w:lineRule="auto"/>
        <w:jc w:val="both"/>
        <w:rPr>
          <w:lang w:val="en"/>
        </w:rPr>
      </w:pPr>
      <w:r>
        <w:t>In</w:t>
      </w:r>
      <w:r w:rsidR="00BC0910">
        <w:t xml:space="preserve"> this paper, in</w:t>
      </w:r>
      <w:r>
        <w:t xml:space="preserve"> both leverage ratios</w:t>
      </w:r>
      <w:r w:rsidR="00BC0910">
        <w:t>’ calculations</w:t>
      </w:r>
      <w:r>
        <w:t xml:space="preserve">, the liabilities considered are the long-term borrowings. </w:t>
      </w:r>
    </w:p>
    <w:p w14:paraId="02D8BA85" w14:textId="77777777" w:rsidR="004E2E52" w:rsidRPr="00AD0D77" w:rsidRDefault="004E2E52" w:rsidP="00AD0D77">
      <w:pPr>
        <w:spacing w:line="254" w:lineRule="auto"/>
        <w:jc w:val="both"/>
        <w:rPr>
          <w:b/>
          <w:bCs/>
          <w:lang w:val="en"/>
        </w:rPr>
      </w:pPr>
    </w:p>
    <w:p w14:paraId="181DE195" w14:textId="662C7D0E" w:rsidR="00620336" w:rsidRPr="00852E71" w:rsidRDefault="006A3E95" w:rsidP="00290D5A">
      <w:pPr>
        <w:pStyle w:val="Heading3"/>
        <w:numPr>
          <w:ilvl w:val="0"/>
          <w:numId w:val="21"/>
        </w:numPr>
        <w:spacing w:line="480" w:lineRule="auto"/>
        <w:rPr>
          <w:rFonts w:ascii="Arial" w:hAnsi="Arial" w:cs="Arial"/>
          <w:b/>
          <w:bCs/>
          <w:color w:val="auto"/>
          <w:lang w:val="en"/>
        </w:rPr>
      </w:pPr>
      <w:bookmarkStart w:id="34" w:name="_Toc43473607"/>
      <w:r w:rsidRPr="00852E71">
        <w:rPr>
          <w:rFonts w:ascii="Arial" w:hAnsi="Arial" w:cs="Arial"/>
          <w:b/>
          <w:bCs/>
          <w:color w:val="auto"/>
          <w:lang w:val="en"/>
        </w:rPr>
        <w:t>Control Variables</w:t>
      </w:r>
      <w:bookmarkEnd w:id="34"/>
    </w:p>
    <w:p w14:paraId="4FA90FD7" w14:textId="0869C1D5" w:rsidR="006A3E95" w:rsidRDefault="0089410B" w:rsidP="00675CBF">
      <w:pPr>
        <w:spacing w:line="360" w:lineRule="auto"/>
        <w:jc w:val="both"/>
      </w:pPr>
      <w:r w:rsidRPr="0089410B">
        <w:rPr>
          <w:lang w:val="en"/>
        </w:rPr>
        <w:t>In the study, two control</w:t>
      </w:r>
      <w:r>
        <w:rPr>
          <w:lang w:val="en"/>
        </w:rPr>
        <w:t xml:space="preserve"> variables are included, whose purpose is to estimate the causal effect of the variables of interest on the results. These variables do</w:t>
      </w:r>
      <w:r w:rsidR="00675CBF">
        <w:rPr>
          <w:lang w:val="en"/>
        </w:rPr>
        <w:t xml:space="preserve"> not</w:t>
      </w:r>
      <w:r>
        <w:rPr>
          <w:lang w:val="en"/>
        </w:rPr>
        <w:t xml:space="preserve"> have a structural interpretation themselves, but their role is essential for causal inference, as they allow to obtain </w:t>
      </w:r>
      <w:r>
        <w:t xml:space="preserve">unbiased causal effect estimates </w:t>
      </w:r>
      <w:r w:rsidRPr="0089410B">
        <w:t>(</w:t>
      </w:r>
      <w:proofErr w:type="spellStart"/>
      <w:r w:rsidRPr="0089410B">
        <w:t>Hünermund</w:t>
      </w:r>
      <w:proofErr w:type="spellEnd"/>
      <w:r w:rsidRPr="0089410B">
        <w:t xml:space="preserve"> and </w:t>
      </w:r>
      <w:proofErr w:type="spellStart"/>
      <w:r w:rsidRPr="0089410B">
        <w:t>Louw</w:t>
      </w:r>
      <w:proofErr w:type="spellEnd"/>
      <w:r w:rsidRPr="0089410B">
        <w:t>, 2020)</w:t>
      </w:r>
      <w:r w:rsidR="00535E1E">
        <w:t>.</w:t>
      </w:r>
    </w:p>
    <w:p w14:paraId="10CB7608" w14:textId="124EADD5" w:rsidR="00A11D26" w:rsidRDefault="00535E1E" w:rsidP="00675CBF">
      <w:pPr>
        <w:spacing w:line="360" w:lineRule="auto"/>
        <w:jc w:val="both"/>
      </w:pPr>
      <w:r w:rsidRPr="00535E1E">
        <w:rPr>
          <w:b/>
          <w:bCs/>
        </w:rPr>
        <w:t>Size</w:t>
      </w:r>
      <w:r>
        <w:t xml:space="preserve"> is included as</w:t>
      </w:r>
      <w:r w:rsidR="003A0CE8">
        <w:t xml:space="preserve"> the</w:t>
      </w:r>
      <w:r>
        <w:t xml:space="preserve"> first control variable</w:t>
      </w:r>
      <w:r w:rsidR="00A11D26">
        <w:t xml:space="preserve">. Large companies result to be more diversified and to have a stable cash flow. From </w:t>
      </w:r>
      <w:r w:rsidR="003A0CE8">
        <w:t xml:space="preserve">the </w:t>
      </w:r>
      <w:r w:rsidR="00A11D26">
        <w:t>trade-off theory perspective, the size impact on the risk of bankruptcy</w:t>
      </w:r>
      <w:r w:rsidR="003A0CE8">
        <w:t>,</w:t>
      </w:r>
      <w:r w:rsidR="00A11D26">
        <w:t xml:space="preserve"> as larger companies are more diversified</w:t>
      </w:r>
      <w:r w:rsidR="00165B45">
        <w:t xml:space="preserve">, reducing their probability of default (Kraus and </w:t>
      </w:r>
      <w:proofErr w:type="spellStart"/>
      <w:r w:rsidR="00165B45">
        <w:t>Litzenberger</w:t>
      </w:r>
      <w:proofErr w:type="spellEnd"/>
      <w:r w:rsidR="00165B45">
        <w:t>, 1973).</w:t>
      </w:r>
    </w:p>
    <w:p w14:paraId="7F6A2C42" w14:textId="6F6F851D" w:rsidR="00620336" w:rsidRDefault="00A11D26" w:rsidP="00675CBF">
      <w:pPr>
        <w:spacing w:line="360" w:lineRule="auto"/>
        <w:jc w:val="both"/>
        <w:rPr>
          <w:lang w:val="en"/>
        </w:rPr>
      </w:pPr>
      <w:r>
        <w:t>D</w:t>
      </w:r>
      <w:r w:rsidR="00535E1E">
        <w:t xml:space="preserve">ue to the nature of the sector analysed and its dependence on assets, </w:t>
      </w:r>
      <w:r w:rsidR="00165B45">
        <w:t>in this paper</w:t>
      </w:r>
      <w:r w:rsidR="003A0CE8">
        <w:t>,</w:t>
      </w:r>
      <w:r w:rsidR="00165B45">
        <w:t xml:space="preserve"> </w:t>
      </w:r>
      <w:r w:rsidR="00535E1E">
        <w:t xml:space="preserve">the size is calculated </w:t>
      </w:r>
      <w:r w:rsidR="008200B1">
        <w:t>based on</w:t>
      </w:r>
      <w:r w:rsidR="00535E1E">
        <w:t xml:space="preserve"> the aircrafts’ number.</w:t>
      </w:r>
    </w:p>
    <w:p w14:paraId="4DC90861" w14:textId="44E4B435" w:rsidR="00535E1E" w:rsidRDefault="00535E1E" w:rsidP="00675CBF">
      <w:pPr>
        <w:spacing w:line="360" w:lineRule="auto"/>
        <w:jc w:val="both"/>
        <w:rPr>
          <w:lang w:val="en"/>
        </w:rPr>
      </w:pPr>
      <w:r>
        <w:rPr>
          <w:lang w:val="en"/>
        </w:rPr>
        <w:t>The second control variable considered is the</w:t>
      </w:r>
      <w:r w:rsidRPr="00ED7A50">
        <w:rPr>
          <w:b/>
          <w:bCs/>
          <w:lang w:val="en"/>
        </w:rPr>
        <w:t xml:space="preserve"> </w:t>
      </w:r>
      <w:r w:rsidR="00290D5A">
        <w:rPr>
          <w:b/>
          <w:bCs/>
          <w:lang w:val="en"/>
        </w:rPr>
        <w:t>G</w:t>
      </w:r>
      <w:r w:rsidRPr="00ED7A50">
        <w:rPr>
          <w:b/>
          <w:bCs/>
          <w:lang w:val="en"/>
        </w:rPr>
        <w:t>rowth</w:t>
      </w:r>
      <w:r w:rsidR="00ED7A50">
        <w:rPr>
          <w:b/>
          <w:bCs/>
          <w:lang w:val="en"/>
        </w:rPr>
        <w:t xml:space="preserve"> </w:t>
      </w:r>
      <w:r w:rsidR="00290D5A">
        <w:rPr>
          <w:b/>
          <w:bCs/>
          <w:lang w:val="en"/>
        </w:rPr>
        <w:t>R</w:t>
      </w:r>
      <w:r w:rsidR="00ED7A50">
        <w:rPr>
          <w:b/>
          <w:bCs/>
          <w:lang w:val="en"/>
        </w:rPr>
        <w:t>ate</w:t>
      </w:r>
      <w:r w:rsidR="00ED7A50">
        <w:rPr>
          <w:lang w:val="en"/>
        </w:rPr>
        <w:t>. This ra</w:t>
      </w:r>
      <w:r w:rsidR="00282F11">
        <w:rPr>
          <w:lang w:val="en"/>
        </w:rPr>
        <w:t>tio is calculated on the firm’s earnings</w:t>
      </w:r>
      <w:r w:rsidR="003A0CE8">
        <w:rPr>
          <w:lang w:val="en"/>
        </w:rPr>
        <w:t>,</w:t>
      </w:r>
      <w:r w:rsidR="00F73F46">
        <w:rPr>
          <w:lang w:val="en"/>
        </w:rPr>
        <w:t xml:space="preserve"> and it is one of the easiest methods used to estimate future growth and to make prediction</w:t>
      </w:r>
      <w:r w:rsidR="003A0CE8">
        <w:rPr>
          <w:lang w:val="en"/>
        </w:rPr>
        <w:t>s</w:t>
      </w:r>
      <w:r w:rsidR="00F73F46">
        <w:rPr>
          <w:lang w:val="en"/>
        </w:rPr>
        <w:t xml:space="preserve"> about future performance. </w:t>
      </w:r>
      <w:r w:rsidR="00A11D26">
        <w:rPr>
          <w:lang w:val="en"/>
        </w:rPr>
        <w:t xml:space="preserve">The capital structure of a company is influenced by its growth; growing business have a higher cash flow and usually prefer to use the internal funding finance and reduce debt financing. The agency theory underlines how these companies, in times of financing distress, face </w:t>
      </w:r>
      <w:r w:rsidR="003A0CE8">
        <w:rPr>
          <w:lang w:val="en"/>
        </w:rPr>
        <w:t xml:space="preserve">a </w:t>
      </w:r>
      <w:r w:rsidR="00A11D26">
        <w:rPr>
          <w:lang w:val="en"/>
        </w:rPr>
        <w:t xml:space="preserve">greater risk of bankruptcy (Myers, 1977). </w:t>
      </w:r>
    </w:p>
    <w:p w14:paraId="77787408" w14:textId="6C2A51E1" w:rsidR="00F73F46" w:rsidRDefault="008200B1" w:rsidP="00675CBF">
      <w:pPr>
        <w:spacing w:line="360" w:lineRule="auto"/>
        <w:jc w:val="both"/>
        <w:rPr>
          <w:lang w:val="en"/>
        </w:rPr>
      </w:pPr>
      <w:r>
        <w:rPr>
          <w:lang w:val="en"/>
        </w:rPr>
        <w:lastRenderedPageBreak/>
        <w:t xml:space="preserve">Despite the practical application of the control variables, this manuscript </w:t>
      </w:r>
      <w:r w:rsidR="005C5257">
        <w:rPr>
          <w:lang w:val="en"/>
        </w:rPr>
        <w:t>focuses</w:t>
      </w:r>
      <w:r>
        <w:rPr>
          <w:lang w:val="en"/>
        </w:rPr>
        <w:t xml:space="preserve"> mainly on the marginal effect’s interpretation of the main variables of interest, which are liquidity and leverage.</w:t>
      </w:r>
      <w:r w:rsidR="005C5257">
        <w:rPr>
          <w:lang w:val="en"/>
        </w:rPr>
        <w:t xml:space="preserve"> The inclusion of the control variables as a constant, however, may affect the results of the models used, increasing its explanatory power </w:t>
      </w:r>
      <w:r w:rsidR="005C5257" w:rsidRPr="0089410B">
        <w:t>(</w:t>
      </w:r>
      <w:proofErr w:type="spellStart"/>
      <w:r w:rsidR="005C5257" w:rsidRPr="0089410B">
        <w:t>Hünermund</w:t>
      </w:r>
      <w:proofErr w:type="spellEnd"/>
      <w:r w:rsidR="005C5257" w:rsidRPr="0089410B">
        <w:t xml:space="preserve"> and </w:t>
      </w:r>
      <w:proofErr w:type="spellStart"/>
      <w:r w:rsidR="005C5257" w:rsidRPr="0089410B">
        <w:t>Louw</w:t>
      </w:r>
      <w:proofErr w:type="spellEnd"/>
      <w:r w:rsidR="005C5257" w:rsidRPr="0089410B">
        <w:t>, 2020)</w:t>
      </w:r>
      <w:r w:rsidR="005C5257">
        <w:t>.</w:t>
      </w:r>
    </w:p>
    <w:p w14:paraId="08A6BFE4" w14:textId="0A09254C" w:rsidR="005C5257" w:rsidRDefault="005C5257" w:rsidP="00535E1E">
      <w:pPr>
        <w:spacing w:line="254" w:lineRule="auto"/>
        <w:rPr>
          <w:lang w:val="en"/>
        </w:rPr>
      </w:pPr>
    </w:p>
    <w:p w14:paraId="1BE87A60" w14:textId="4B57D0D2" w:rsidR="005C5257" w:rsidRPr="00852E71" w:rsidRDefault="005C5257" w:rsidP="00852E71">
      <w:pPr>
        <w:pStyle w:val="Heading2"/>
        <w:spacing w:line="480" w:lineRule="auto"/>
        <w:rPr>
          <w:rFonts w:ascii="Arial" w:hAnsi="Arial" w:cs="Arial"/>
          <w:b/>
          <w:bCs/>
          <w:color w:val="auto"/>
          <w:lang w:val="en"/>
        </w:rPr>
      </w:pPr>
      <w:bookmarkStart w:id="35" w:name="_Toc43473608"/>
      <w:r w:rsidRPr="00852E71">
        <w:rPr>
          <w:rFonts w:ascii="Arial" w:hAnsi="Arial" w:cs="Arial"/>
          <w:b/>
          <w:bCs/>
          <w:color w:val="auto"/>
          <w:lang w:val="en"/>
        </w:rPr>
        <w:t>Panel Data</w:t>
      </w:r>
      <w:bookmarkEnd w:id="35"/>
    </w:p>
    <w:p w14:paraId="001E7A71" w14:textId="7D483C01" w:rsidR="00480803" w:rsidRDefault="00AE249B" w:rsidP="00387F6E">
      <w:pPr>
        <w:spacing w:line="360" w:lineRule="auto"/>
        <w:jc w:val="both"/>
        <w:rPr>
          <w:lang w:val="en"/>
        </w:rPr>
      </w:pPr>
      <w:r>
        <w:rPr>
          <w:lang w:val="en"/>
        </w:rPr>
        <w:t>P</w:t>
      </w:r>
      <w:r w:rsidRPr="00AE249B">
        <w:rPr>
          <w:lang w:val="en"/>
        </w:rPr>
        <w:t xml:space="preserve">reviously it was claimed that the analysis focused not only on the study of </w:t>
      </w:r>
      <w:r w:rsidR="00675CBF">
        <w:rPr>
          <w:lang w:val="en"/>
        </w:rPr>
        <w:t>five</w:t>
      </w:r>
      <w:r w:rsidRPr="00AE249B">
        <w:rPr>
          <w:lang w:val="en"/>
        </w:rPr>
        <w:t xml:space="preserve"> different companies, but the events that occurred over time were also examined, to be precise in </w:t>
      </w:r>
      <w:r w:rsidR="00B34CA4">
        <w:rPr>
          <w:lang w:val="en"/>
        </w:rPr>
        <w:t>six</w:t>
      </w:r>
      <w:r w:rsidRPr="00AE249B">
        <w:rPr>
          <w:lang w:val="en"/>
        </w:rPr>
        <w:t xml:space="preserve"> years.</w:t>
      </w:r>
    </w:p>
    <w:p w14:paraId="037D0D1A" w14:textId="278A7590" w:rsidR="00AE249B" w:rsidRDefault="00AE249B" w:rsidP="00387F6E">
      <w:pPr>
        <w:spacing w:line="360" w:lineRule="auto"/>
        <w:jc w:val="both"/>
      </w:pPr>
      <w:r>
        <w:rPr>
          <w:lang w:val="en"/>
        </w:rPr>
        <w:t>H</w:t>
      </w:r>
      <w:r w:rsidRPr="00AE249B">
        <w:rPr>
          <w:lang w:val="en"/>
        </w:rPr>
        <w:t xml:space="preserve">istorical analysis of events requires the use of </w:t>
      </w:r>
      <w:r w:rsidRPr="00AE249B">
        <w:rPr>
          <w:u w:val="single"/>
          <w:lang w:val="en"/>
        </w:rPr>
        <w:t>time series</w:t>
      </w:r>
      <w:r w:rsidRPr="00AE249B">
        <w:rPr>
          <w:lang w:val="en"/>
        </w:rPr>
        <w:t>, i.e. an individual is studied on several occasions over the years</w:t>
      </w:r>
      <w:r>
        <w:rPr>
          <w:lang w:val="en"/>
        </w:rPr>
        <w:t xml:space="preserve">. </w:t>
      </w:r>
      <w:r w:rsidR="00345A86">
        <w:rPr>
          <w:lang w:val="en"/>
        </w:rPr>
        <w:t>O</w:t>
      </w:r>
      <w:r w:rsidR="00345A86" w:rsidRPr="00345A86">
        <w:rPr>
          <w:lang w:val="en"/>
        </w:rPr>
        <w:t>n the contrary, the study of different subjects neglecting the temporal aspect</w:t>
      </w:r>
      <w:r w:rsidR="00ED49CC">
        <w:rPr>
          <w:lang w:val="en"/>
        </w:rPr>
        <w:t xml:space="preserve"> is named </w:t>
      </w:r>
      <w:r w:rsidR="00ED49CC" w:rsidRPr="00ED49CC">
        <w:rPr>
          <w:u w:val="single"/>
          <w:lang w:val="en"/>
        </w:rPr>
        <w:t>cross-sectional</w:t>
      </w:r>
      <w:r w:rsidR="00ED49CC">
        <w:rPr>
          <w:lang w:val="en"/>
        </w:rPr>
        <w:t xml:space="preserve"> study. W</w:t>
      </w:r>
      <w:r w:rsidR="00ED49CC" w:rsidRPr="00ED49CC">
        <w:rPr>
          <w:lang w:val="en"/>
        </w:rPr>
        <w:t xml:space="preserve">hen an analysis </w:t>
      </w:r>
      <w:r w:rsidR="007366C6" w:rsidRPr="00ED49CC">
        <w:rPr>
          <w:lang w:val="en"/>
        </w:rPr>
        <w:t>considers</w:t>
      </w:r>
      <w:r w:rsidR="00ED49CC" w:rsidRPr="00ED49CC">
        <w:rPr>
          <w:lang w:val="en"/>
        </w:rPr>
        <w:t xml:space="preserve"> both cross-sectional and time-series studies, it is called panel data</w:t>
      </w:r>
      <w:r w:rsidR="00DE2377">
        <w:rPr>
          <w:lang w:val="en"/>
        </w:rPr>
        <w:t xml:space="preserve"> (</w:t>
      </w:r>
      <w:proofErr w:type="spellStart"/>
      <w:r w:rsidR="00DE2377" w:rsidRPr="00DE2377">
        <w:t>Dahmström</w:t>
      </w:r>
      <w:proofErr w:type="spellEnd"/>
      <w:r w:rsidR="00DE2377" w:rsidRPr="00DE2377">
        <w:t>, 2011).</w:t>
      </w:r>
    </w:p>
    <w:p w14:paraId="05CCE471" w14:textId="632EFD17" w:rsidR="007366C6" w:rsidRDefault="007366C6" w:rsidP="00387F6E">
      <w:pPr>
        <w:spacing w:line="360" w:lineRule="auto"/>
        <w:jc w:val="both"/>
      </w:pPr>
      <w:r>
        <w:t xml:space="preserve">The characteristic of the </w:t>
      </w:r>
      <w:r w:rsidR="004A771D">
        <w:t>p</w:t>
      </w:r>
      <w:r>
        <w:t xml:space="preserve">anel </w:t>
      </w:r>
      <w:r w:rsidR="004A771D">
        <w:t>d</w:t>
      </w:r>
      <w:r>
        <w:t xml:space="preserve">ata </w:t>
      </w:r>
      <w:r w:rsidR="0012156B">
        <w:t>is similar to the time series</w:t>
      </w:r>
      <w:r w:rsidR="00675CBF">
        <w:t>. However,</w:t>
      </w:r>
      <w:r w:rsidR="0012156B">
        <w:t xml:space="preserve"> not only it makes observations over a time period, but it studies the individuals based on multiple variables, achieving a better estimation of changes than just using the time series or cross-sectional analysis</w:t>
      </w:r>
      <w:r w:rsidR="004A771D">
        <w:t xml:space="preserve"> </w:t>
      </w:r>
      <w:r w:rsidR="004A771D">
        <w:rPr>
          <w:lang w:val="en"/>
        </w:rPr>
        <w:t>(</w:t>
      </w:r>
      <w:proofErr w:type="spellStart"/>
      <w:r w:rsidR="004A771D" w:rsidRPr="00DE2377">
        <w:t>Dahmström</w:t>
      </w:r>
      <w:proofErr w:type="spellEnd"/>
      <w:r w:rsidR="004A771D" w:rsidRPr="00DE2377">
        <w:t>, 2011).</w:t>
      </w:r>
    </w:p>
    <w:p w14:paraId="2C827AB2" w14:textId="00896F09" w:rsidR="00480803" w:rsidRDefault="004A771D" w:rsidP="00387F6E">
      <w:pPr>
        <w:spacing w:line="360" w:lineRule="auto"/>
        <w:jc w:val="both"/>
      </w:pPr>
      <w:r>
        <w:t>In this paper, the panel data is suitable for examining the relationship between profitability and liquidity + leverage in the multiple regression analysis.  This because multiple variables are taken into consideration as liquidity, leverage, size and growth rate</w:t>
      </w:r>
      <w:r w:rsidR="005E55DC">
        <w:t>,</w:t>
      </w:r>
      <w:r>
        <w:t xml:space="preserve"> and they are tested</w:t>
      </w:r>
      <w:r w:rsidR="00705401">
        <w:t xml:space="preserve"> in </w:t>
      </w:r>
      <w:r w:rsidR="00387F6E">
        <w:t>five</w:t>
      </w:r>
      <w:r w:rsidR="00705401">
        <w:t xml:space="preserve"> different companies</w:t>
      </w:r>
      <w:r>
        <w:t xml:space="preserve"> over a period of </w:t>
      </w:r>
      <w:r w:rsidR="00387F6E">
        <w:t>six</w:t>
      </w:r>
      <w:r>
        <w:t xml:space="preserve"> years.</w:t>
      </w:r>
    </w:p>
    <w:p w14:paraId="0E92E943" w14:textId="2D31FE71" w:rsidR="00AE249B" w:rsidRDefault="00AE249B" w:rsidP="00CE7662">
      <w:pPr>
        <w:spacing w:line="254" w:lineRule="auto"/>
        <w:rPr>
          <w:b/>
          <w:bCs/>
          <w:lang w:val="en"/>
        </w:rPr>
      </w:pPr>
    </w:p>
    <w:p w14:paraId="71FAFB55" w14:textId="4488D441" w:rsidR="00852E71" w:rsidRDefault="00852E71" w:rsidP="00CE7662">
      <w:pPr>
        <w:spacing w:line="254" w:lineRule="auto"/>
        <w:rPr>
          <w:b/>
          <w:bCs/>
          <w:lang w:val="en"/>
        </w:rPr>
      </w:pPr>
    </w:p>
    <w:p w14:paraId="50439C80" w14:textId="4CD7C100" w:rsidR="00852E71" w:rsidRDefault="00852E71" w:rsidP="00CE7662">
      <w:pPr>
        <w:spacing w:line="254" w:lineRule="auto"/>
        <w:rPr>
          <w:b/>
          <w:bCs/>
          <w:lang w:val="en"/>
        </w:rPr>
      </w:pPr>
    </w:p>
    <w:p w14:paraId="0C14096D" w14:textId="77BA47B4" w:rsidR="00852E71" w:rsidRDefault="00852E71" w:rsidP="00CE7662">
      <w:pPr>
        <w:spacing w:line="254" w:lineRule="auto"/>
        <w:rPr>
          <w:b/>
          <w:bCs/>
          <w:lang w:val="en"/>
        </w:rPr>
      </w:pPr>
    </w:p>
    <w:p w14:paraId="405DAB91" w14:textId="648BB829" w:rsidR="00852E71" w:rsidRDefault="00852E71" w:rsidP="00CE7662">
      <w:pPr>
        <w:spacing w:line="254" w:lineRule="auto"/>
        <w:rPr>
          <w:b/>
          <w:bCs/>
          <w:lang w:val="en"/>
        </w:rPr>
      </w:pPr>
    </w:p>
    <w:p w14:paraId="5F24D89B" w14:textId="239698BD" w:rsidR="00852E71" w:rsidRDefault="00852E71" w:rsidP="00CE7662">
      <w:pPr>
        <w:spacing w:line="254" w:lineRule="auto"/>
        <w:rPr>
          <w:b/>
          <w:bCs/>
          <w:lang w:val="en"/>
        </w:rPr>
      </w:pPr>
    </w:p>
    <w:p w14:paraId="636E49BF" w14:textId="19102258" w:rsidR="00852E71" w:rsidRDefault="00852E71" w:rsidP="00CE7662">
      <w:pPr>
        <w:spacing w:line="254" w:lineRule="auto"/>
        <w:rPr>
          <w:b/>
          <w:bCs/>
          <w:lang w:val="en"/>
        </w:rPr>
      </w:pPr>
    </w:p>
    <w:p w14:paraId="1A8E9814" w14:textId="77777777" w:rsidR="00852E71" w:rsidRPr="00CE7662" w:rsidRDefault="00852E71" w:rsidP="00CE7662">
      <w:pPr>
        <w:spacing w:line="254" w:lineRule="auto"/>
        <w:rPr>
          <w:b/>
          <w:bCs/>
          <w:lang w:val="en"/>
        </w:rPr>
      </w:pPr>
    </w:p>
    <w:p w14:paraId="4B7E06F4" w14:textId="589D0E70" w:rsidR="002D5A72" w:rsidRPr="00852E71" w:rsidRDefault="007117E9" w:rsidP="00852E71">
      <w:pPr>
        <w:pStyle w:val="Heading1"/>
        <w:spacing w:line="360" w:lineRule="auto"/>
        <w:rPr>
          <w:rFonts w:ascii="Arial" w:hAnsi="Arial" w:cs="Arial"/>
          <w:b/>
          <w:bCs/>
          <w:color w:val="auto"/>
          <w:lang w:val="en"/>
        </w:rPr>
      </w:pPr>
      <w:bookmarkStart w:id="36" w:name="_Toc43473609"/>
      <w:r w:rsidRPr="00852E71">
        <w:rPr>
          <w:rFonts w:ascii="Arial" w:hAnsi="Arial" w:cs="Arial"/>
          <w:b/>
          <w:bCs/>
          <w:color w:val="auto"/>
          <w:lang w:val="en"/>
        </w:rPr>
        <w:lastRenderedPageBreak/>
        <w:t>Empirical results</w:t>
      </w:r>
      <w:bookmarkEnd w:id="36"/>
    </w:p>
    <w:p w14:paraId="1C3FBC0D" w14:textId="6D046BAF" w:rsidR="00431AE5" w:rsidRPr="00431AE5" w:rsidRDefault="00431AE5" w:rsidP="004E6314">
      <w:pPr>
        <w:pBdr>
          <w:top w:val="single" w:sz="4" w:space="1" w:color="auto"/>
          <w:bottom w:val="single" w:sz="4" w:space="1" w:color="auto"/>
        </w:pBdr>
        <w:spacing w:line="360" w:lineRule="auto"/>
        <w:jc w:val="both"/>
        <w:rPr>
          <w:i/>
          <w:iCs/>
          <w:lang w:val="en"/>
        </w:rPr>
      </w:pPr>
      <w:r w:rsidRPr="00431AE5">
        <w:rPr>
          <w:i/>
          <w:iCs/>
          <w:lang w:val="en"/>
        </w:rPr>
        <w:t>This chapter will present</w:t>
      </w:r>
      <w:r>
        <w:rPr>
          <w:i/>
          <w:iCs/>
          <w:lang w:val="en"/>
        </w:rPr>
        <w:t xml:space="preserve"> and describe</w:t>
      </w:r>
      <w:r w:rsidRPr="00431AE5">
        <w:rPr>
          <w:i/>
          <w:iCs/>
          <w:lang w:val="en"/>
        </w:rPr>
        <w:t xml:space="preserve"> the statistical results deri</w:t>
      </w:r>
      <w:r>
        <w:rPr>
          <w:i/>
          <w:iCs/>
          <w:lang w:val="en"/>
        </w:rPr>
        <w:t>ving from the two techniques of data analysis previously presented, i.e. the correlation and the line</w:t>
      </w:r>
      <w:r w:rsidR="005E55DC">
        <w:rPr>
          <w:i/>
          <w:iCs/>
          <w:lang w:val="en"/>
        </w:rPr>
        <w:t>a</w:t>
      </w:r>
      <w:r>
        <w:rPr>
          <w:i/>
          <w:iCs/>
          <w:lang w:val="en"/>
        </w:rPr>
        <w:t xml:space="preserve">r multiple regression analysis. Furthermore, this chapter will be followed by the explanation </w:t>
      </w:r>
      <w:r w:rsidR="00BA7AFD">
        <w:rPr>
          <w:i/>
          <w:iCs/>
          <w:lang w:val="en"/>
        </w:rPr>
        <w:t xml:space="preserve">and </w:t>
      </w:r>
      <w:r>
        <w:rPr>
          <w:i/>
          <w:iCs/>
          <w:lang w:val="en"/>
        </w:rPr>
        <w:t>comparison of the</w:t>
      </w:r>
      <w:r w:rsidR="00BA7AFD">
        <w:rPr>
          <w:i/>
          <w:iCs/>
          <w:lang w:val="en"/>
        </w:rPr>
        <w:t>se</w:t>
      </w:r>
      <w:r>
        <w:rPr>
          <w:i/>
          <w:iCs/>
          <w:lang w:val="en"/>
        </w:rPr>
        <w:t xml:space="preserve"> results</w:t>
      </w:r>
      <w:r w:rsidR="00BA7AFD">
        <w:rPr>
          <w:i/>
          <w:iCs/>
          <w:lang w:val="en"/>
        </w:rPr>
        <w:t>, in the next section.</w:t>
      </w:r>
    </w:p>
    <w:p w14:paraId="4D9A7269" w14:textId="77777777" w:rsidR="00852E71" w:rsidRDefault="00852E71" w:rsidP="00852E71">
      <w:pPr>
        <w:spacing w:line="254" w:lineRule="auto"/>
        <w:jc w:val="both"/>
        <w:rPr>
          <w:b/>
          <w:bCs/>
          <w:lang w:val="en"/>
        </w:rPr>
      </w:pPr>
    </w:p>
    <w:p w14:paraId="406D3815" w14:textId="1D84C141" w:rsidR="00852E71" w:rsidRDefault="007117E9" w:rsidP="00852E71">
      <w:pPr>
        <w:pStyle w:val="Heading2"/>
        <w:numPr>
          <w:ilvl w:val="0"/>
          <w:numId w:val="19"/>
        </w:numPr>
        <w:spacing w:line="480" w:lineRule="auto"/>
        <w:rPr>
          <w:rFonts w:ascii="Arial" w:hAnsi="Arial" w:cs="Arial"/>
          <w:b/>
          <w:bCs/>
          <w:color w:val="auto"/>
          <w:lang w:val="en"/>
        </w:rPr>
      </w:pPr>
      <w:bookmarkStart w:id="37" w:name="_Toc43473610"/>
      <w:r w:rsidRPr="00852E71">
        <w:rPr>
          <w:rFonts w:ascii="Arial" w:hAnsi="Arial" w:cs="Arial"/>
          <w:b/>
          <w:bCs/>
          <w:color w:val="auto"/>
          <w:lang w:val="en"/>
        </w:rPr>
        <w:t>Correlation analysis</w:t>
      </w:r>
      <w:bookmarkEnd w:id="37"/>
      <w:r w:rsidR="00FB5E96" w:rsidRPr="00852E71">
        <w:rPr>
          <w:rFonts w:ascii="Arial" w:hAnsi="Arial" w:cs="Arial"/>
          <w:b/>
          <w:bCs/>
          <w:color w:val="auto"/>
          <w:lang w:val="en"/>
        </w:rPr>
        <w:t xml:space="preserve"> </w:t>
      </w:r>
    </w:p>
    <w:p w14:paraId="08F6A7CB" w14:textId="77777777" w:rsidR="00593EB5" w:rsidRPr="00593EB5" w:rsidRDefault="00593EB5" w:rsidP="00593EB5">
      <w:pPr>
        <w:rPr>
          <w:lang w:val="en"/>
        </w:rPr>
      </w:pPr>
    </w:p>
    <w:tbl>
      <w:tblPr>
        <w:tblW w:w="9184" w:type="dxa"/>
        <w:tblLook w:val="04A0" w:firstRow="1" w:lastRow="0" w:firstColumn="1" w:lastColumn="0" w:noHBand="0" w:noVBand="1"/>
      </w:tblPr>
      <w:tblGrid>
        <w:gridCol w:w="1243"/>
        <w:gridCol w:w="1053"/>
        <w:gridCol w:w="1053"/>
        <w:gridCol w:w="1053"/>
        <w:gridCol w:w="1053"/>
        <w:gridCol w:w="1053"/>
        <w:gridCol w:w="941"/>
        <w:gridCol w:w="941"/>
        <w:gridCol w:w="1209"/>
      </w:tblGrid>
      <w:tr w:rsidR="00C77638" w:rsidRPr="00972773" w14:paraId="2C2C82A5" w14:textId="77777777" w:rsidTr="00C77638">
        <w:trPr>
          <w:trHeight w:val="207"/>
        </w:trPr>
        <w:tc>
          <w:tcPr>
            <w:tcW w:w="1243"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1F7DAC7E" w14:textId="77777777" w:rsidR="00972773" w:rsidRPr="00972773" w:rsidRDefault="00972773" w:rsidP="00972773">
            <w:pPr>
              <w:spacing w:after="0" w:line="240" w:lineRule="auto"/>
              <w:jc w:val="center"/>
              <w:rPr>
                <w:rFonts w:ascii="Calibri" w:eastAsia="Times New Roman" w:hAnsi="Calibri" w:cs="Calibri"/>
                <w:i/>
                <w:iCs/>
                <w:color w:val="000000"/>
                <w:lang w:eastAsia="en-GB"/>
              </w:rPr>
            </w:pPr>
            <w:r w:rsidRPr="00972773">
              <w:rPr>
                <w:rFonts w:ascii="Calibri" w:eastAsia="Times New Roman" w:hAnsi="Calibri" w:cs="Calibri"/>
                <w:i/>
                <w:iCs/>
                <w:color w:val="000000"/>
                <w:lang w:eastAsia="en-GB"/>
              </w:rPr>
              <w:t> </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334F124D" w14:textId="77777777" w:rsidR="00972773" w:rsidRPr="00972773" w:rsidRDefault="00972773" w:rsidP="00972773">
            <w:pPr>
              <w:spacing w:after="0" w:line="240" w:lineRule="auto"/>
              <w:jc w:val="center"/>
              <w:rPr>
                <w:rFonts w:ascii="Calibri" w:eastAsia="Times New Roman" w:hAnsi="Calibri" w:cs="Calibri"/>
                <w:b/>
                <w:bCs/>
                <w:i/>
                <w:iCs/>
                <w:color w:val="000000"/>
                <w:lang w:eastAsia="en-GB"/>
              </w:rPr>
            </w:pPr>
            <w:r w:rsidRPr="00972773">
              <w:rPr>
                <w:rFonts w:ascii="Calibri" w:eastAsia="Times New Roman" w:hAnsi="Calibri" w:cs="Calibri"/>
                <w:b/>
                <w:bCs/>
                <w:i/>
                <w:iCs/>
                <w:color w:val="000000"/>
                <w:lang w:eastAsia="en-GB"/>
              </w:rPr>
              <w:t>ROI</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7B7DDF9C" w14:textId="77777777" w:rsidR="00972773" w:rsidRPr="00972773" w:rsidRDefault="00972773" w:rsidP="00972773">
            <w:pPr>
              <w:spacing w:after="0" w:line="240" w:lineRule="auto"/>
              <w:jc w:val="center"/>
              <w:rPr>
                <w:rFonts w:ascii="Calibri" w:eastAsia="Times New Roman" w:hAnsi="Calibri" w:cs="Calibri"/>
                <w:b/>
                <w:bCs/>
                <w:i/>
                <w:iCs/>
                <w:color w:val="000000"/>
                <w:lang w:eastAsia="en-GB"/>
              </w:rPr>
            </w:pPr>
            <w:r w:rsidRPr="00972773">
              <w:rPr>
                <w:rFonts w:ascii="Calibri" w:eastAsia="Times New Roman" w:hAnsi="Calibri" w:cs="Calibri"/>
                <w:b/>
                <w:bCs/>
                <w:i/>
                <w:iCs/>
                <w:color w:val="000000"/>
                <w:lang w:eastAsia="en-GB"/>
              </w:rPr>
              <w:t>ROA</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26F85EBE" w14:textId="77777777" w:rsidR="00972773" w:rsidRPr="00972773" w:rsidRDefault="00972773" w:rsidP="00972773">
            <w:pPr>
              <w:spacing w:after="0" w:line="240" w:lineRule="auto"/>
              <w:jc w:val="center"/>
              <w:rPr>
                <w:rFonts w:ascii="Calibri" w:eastAsia="Times New Roman" w:hAnsi="Calibri" w:cs="Calibri"/>
                <w:b/>
                <w:bCs/>
                <w:i/>
                <w:iCs/>
                <w:color w:val="000000"/>
                <w:lang w:eastAsia="en-GB"/>
              </w:rPr>
            </w:pPr>
            <w:r w:rsidRPr="00972773">
              <w:rPr>
                <w:rFonts w:ascii="Calibri" w:eastAsia="Times New Roman" w:hAnsi="Calibri" w:cs="Calibri"/>
                <w:b/>
                <w:bCs/>
                <w:i/>
                <w:iCs/>
                <w:color w:val="000000"/>
                <w:lang w:eastAsia="en-GB"/>
              </w:rPr>
              <w:t>C/R</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21577305" w14:textId="77777777" w:rsidR="00972773" w:rsidRPr="00972773" w:rsidRDefault="00972773" w:rsidP="00972773">
            <w:pPr>
              <w:spacing w:after="0" w:line="240" w:lineRule="auto"/>
              <w:jc w:val="center"/>
              <w:rPr>
                <w:rFonts w:ascii="Calibri" w:eastAsia="Times New Roman" w:hAnsi="Calibri" w:cs="Calibri"/>
                <w:b/>
                <w:bCs/>
                <w:i/>
                <w:iCs/>
                <w:color w:val="000000"/>
                <w:lang w:eastAsia="en-GB"/>
              </w:rPr>
            </w:pPr>
            <w:r w:rsidRPr="00972773">
              <w:rPr>
                <w:rFonts w:ascii="Calibri" w:eastAsia="Times New Roman" w:hAnsi="Calibri" w:cs="Calibri"/>
                <w:b/>
                <w:bCs/>
                <w:i/>
                <w:iCs/>
                <w:color w:val="000000"/>
                <w:lang w:eastAsia="en-GB"/>
              </w:rPr>
              <w:t>Q/R</w:t>
            </w:r>
          </w:p>
        </w:tc>
        <w:tc>
          <w:tcPr>
            <w:tcW w:w="992" w:type="dxa"/>
            <w:tcBorders>
              <w:top w:val="single" w:sz="4" w:space="0" w:color="auto"/>
              <w:left w:val="nil"/>
              <w:bottom w:val="single" w:sz="4" w:space="0" w:color="auto"/>
              <w:right w:val="single" w:sz="4" w:space="0" w:color="auto"/>
            </w:tcBorders>
            <w:shd w:val="clear" w:color="auto" w:fill="auto"/>
            <w:noWrap/>
            <w:vAlign w:val="bottom"/>
            <w:hideMark/>
          </w:tcPr>
          <w:p w14:paraId="32E4520C" w14:textId="77777777" w:rsidR="00972773" w:rsidRPr="00972773" w:rsidRDefault="00972773" w:rsidP="00972773">
            <w:pPr>
              <w:spacing w:after="0" w:line="240" w:lineRule="auto"/>
              <w:jc w:val="center"/>
              <w:rPr>
                <w:rFonts w:ascii="Calibri" w:eastAsia="Times New Roman" w:hAnsi="Calibri" w:cs="Calibri"/>
                <w:b/>
                <w:bCs/>
                <w:i/>
                <w:iCs/>
                <w:color w:val="000000"/>
                <w:lang w:eastAsia="en-GB"/>
              </w:rPr>
            </w:pPr>
            <w:r w:rsidRPr="00972773">
              <w:rPr>
                <w:rFonts w:ascii="Calibri" w:eastAsia="Times New Roman" w:hAnsi="Calibri" w:cs="Calibri"/>
                <w:b/>
                <w:bCs/>
                <w:i/>
                <w:iCs/>
                <w:color w:val="000000"/>
                <w:lang w:eastAsia="en-GB"/>
              </w:rPr>
              <w:t>D/E</w:t>
            </w:r>
          </w:p>
        </w:tc>
        <w:tc>
          <w:tcPr>
            <w:tcW w:w="886" w:type="dxa"/>
            <w:tcBorders>
              <w:top w:val="single" w:sz="4" w:space="0" w:color="auto"/>
              <w:left w:val="nil"/>
              <w:bottom w:val="single" w:sz="4" w:space="0" w:color="auto"/>
              <w:right w:val="single" w:sz="4" w:space="0" w:color="auto"/>
            </w:tcBorders>
            <w:shd w:val="clear" w:color="auto" w:fill="auto"/>
            <w:noWrap/>
            <w:vAlign w:val="bottom"/>
            <w:hideMark/>
          </w:tcPr>
          <w:p w14:paraId="7C2C57EB" w14:textId="77777777" w:rsidR="00972773" w:rsidRPr="00972773" w:rsidRDefault="00972773" w:rsidP="00972773">
            <w:pPr>
              <w:spacing w:after="0" w:line="240" w:lineRule="auto"/>
              <w:jc w:val="center"/>
              <w:rPr>
                <w:rFonts w:ascii="Calibri" w:eastAsia="Times New Roman" w:hAnsi="Calibri" w:cs="Calibri"/>
                <w:b/>
                <w:bCs/>
                <w:i/>
                <w:iCs/>
                <w:color w:val="000000"/>
                <w:lang w:eastAsia="en-GB"/>
              </w:rPr>
            </w:pPr>
            <w:r w:rsidRPr="00972773">
              <w:rPr>
                <w:rFonts w:ascii="Calibri" w:eastAsia="Times New Roman" w:hAnsi="Calibri" w:cs="Calibri"/>
                <w:b/>
                <w:bCs/>
                <w:i/>
                <w:iCs/>
                <w:color w:val="000000"/>
                <w:lang w:eastAsia="en-GB"/>
              </w:rPr>
              <w:t>D/C</w:t>
            </w:r>
          </w:p>
        </w:tc>
        <w:tc>
          <w:tcPr>
            <w:tcW w:w="886" w:type="dxa"/>
            <w:tcBorders>
              <w:top w:val="single" w:sz="4" w:space="0" w:color="auto"/>
              <w:left w:val="nil"/>
              <w:bottom w:val="single" w:sz="4" w:space="0" w:color="auto"/>
              <w:right w:val="single" w:sz="4" w:space="0" w:color="auto"/>
            </w:tcBorders>
            <w:shd w:val="clear" w:color="auto" w:fill="auto"/>
            <w:noWrap/>
            <w:vAlign w:val="bottom"/>
            <w:hideMark/>
          </w:tcPr>
          <w:p w14:paraId="4C35D01A" w14:textId="77777777" w:rsidR="00972773" w:rsidRPr="00972773" w:rsidRDefault="00972773" w:rsidP="00972773">
            <w:pPr>
              <w:spacing w:after="0" w:line="240" w:lineRule="auto"/>
              <w:jc w:val="center"/>
              <w:rPr>
                <w:rFonts w:ascii="Calibri" w:eastAsia="Times New Roman" w:hAnsi="Calibri" w:cs="Calibri"/>
                <w:b/>
                <w:bCs/>
                <w:i/>
                <w:iCs/>
                <w:color w:val="000000"/>
                <w:lang w:eastAsia="en-GB"/>
              </w:rPr>
            </w:pPr>
            <w:r w:rsidRPr="00972773">
              <w:rPr>
                <w:rFonts w:ascii="Calibri" w:eastAsia="Times New Roman" w:hAnsi="Calibri" w:cs="Calibri"/>
                <w:b/>
                <w:bCs/>
                <w:i/>
                <w:iCs/>
                <w:color w:val="000000"/>
                <w:lang w:eastAsia="en-GB"/>
              </w:rPr>
              <w:t>SIZE</w:t>
            </w:r>
          </w:p>
        </w:tc>
        <w:tc>
          <w:tcPr>
            <w:tcW w:w="1209" w:type="dxa"/>
            <w:tcBorders>
              <w:top w:val="single" w:sz="4" w:space="0" w:color="auto"/>
              <w:left w:val="nil"/>
              <w:bottom w:val="single" w:sz="4" w:space="0" w:color="auto"/>
              <w:right w:val="single" w:sz="4" w:space="0" w:color="auto"/>
            </w:tcBorders>
            <w:shd w:val="clear" w:color="auto" w:fill="auto"/>
            <w:noWrap/>
            <w:vAlign w:val="bottom"/>
            <w:hideMark/>
          </w:tcPr>
          <w:p w14:paraId="477D477E" w14:textId="77777777" w:rsidR="00972773" w:rsidRPr="00972773" w:rsidRDefault="00972773" w:rsidP="00972773">
            <w:pPr>
              <w:spacing w:after="0" w:line="240" w:lineRule="auto"/>
              <w:jc w:val="center"/>
              <w:rPr>
                <w:rFonts w:ascii="Calibri" w:eastAsia="Times New Roman" w:hAnsi="Calibri" w:cs="Calibri"/>
                <w:b/>
                <w:bCs/>
                <w:i/>
                <w:iCs/>
                <w:color w:val="000000"/>
                <w:lang w:eastAsia="en-GB"/>
              </w:rPr>
            </w:pPr>
            <w:r w:rsidRPr="00972773">
              <w:rPr>
                <w:rFonts w:ascii="Calibri" w:eastAsia="Times New Roman" w:hAnsi="Calibri" w:cs="Calibri"/>
                <w:b/>
                <w:bCs/>
                <w:i/>
                <w:iCs/>
                <w:color w:val="000000"/>
                <w:lang w:eastAsia="en-GB"/>
              </w:rPr>
              <w:t>GROWTH RATE</w:t>
            </w:r>
          </w:p>
        </w:tc>
      </w:tr>
      <w:tr w:rsidR="00C77638" w:rsidRPr="00972773" w14:paraId="49441AE8" w14:textId="77777777" w:rsidTr="00C77638">
        <w:trPr>
          <w:trHeight w:val="207"/>
        </w:trPr>
        <w:tc>
          <w:tcPr>
            <w:tcW w:w="1243" w:type="dxa"/>
            <w:tcBorders>
              <w:top w:val="nil"/>
              <w:left w:val="single" w:sz="4" w:space="0" w:color="auto"/>
              <w:bottom w:val="single" w:sz="4" w:space="0" w:color="auto"/>
              <w:right w:val="single" w:sz="4" w:space="0" w:color="auto"/>
            </w:tcBorders>
            <w:shd w:val="clear" w:color="auto" w:fill="auto"/>
            <w:noWrap/>
            <w:vAlign w:val="bottom"/>
            <w:hideMark/>
          </w:tcPr>
          <w:p w14:paraId="429CAD90" w14:textId="77777777" w:rsidR="00972773" w:rsidRPr="00972773" w:rsidRDefault="00972773" w:rsidP="00972773">
            <w:pPr>
              <w:spacing w:after="0" w:line="240" w:lineRule="auto"/>
              <w:rPr>
                <w:rFonts w:ascii="Calibri" w:eastAsia="Times New Roman" w:hAnsi="Calibri" w:cs="Calibri"/>
                <w:b/>
                <w:bCs/>
                <w:color w:val="000000"/>
                <w:lang w:eastAsia="en-GB"/>
              </w:rPr>
            </w:pPr>
            <w:r w:rsidRPr="00972773">
              <w:rPr>
                <w:rFonts w:ascii="Calibri" w:eastAsia="Times New Roman" w:hAnsi="Calibri" w:cs="Calibri"/>
                <w:b/>
                <w:bCs/>
                <w:color w:val="000000"/>
                <w:lang w:eastAsia="en-GB"/>
              </w:rPr>
              <w:t>ROI</w:t>
            </w:r>
          </w:p>
        </w:tc>
        <w:tc>
          <w:tcPr>
            <w:tcW w:w="992" w:type="dxa"/>
            <w:tcBorders>
              <w:top w:val="nil"/>
              <w:left w:val="nil"/>
              <w:bottom w:val="single" w:sz="4" w:space="0" w:color="auto"/>
              <w:right w:val="single" w:sz="4" w:space="0" w:color="auto"/>
            </w:tcBorders>
            <w:shd w:val="clear" w:color="auto" w:fill="auto"/>
            <w:noWrap/>
            <w:vAlign w:val="bottom"/>
            <w:hideMark/>
          </w:tcPr>
          <w:p w14:paraId="0FBB3AF1" w14:textId="77777777" w:rsidR="00972773" w:rsidRPr="00972773" w:rsidRDefault="00972773" w:rsidP="00972773">
            <w:pPr>
              <w:spacing w:after="0" w:line="240" w:lineRule="auto"/>
              <w:jc w:val="right"/>
              <w:rPr>
                <w:rFonts w:ascii="Calibri" w:eastAsia="Times New Roman" w:hAnsi="Calibri" w:cs="Calibri"/>
                <w:color w:val="000000"/>
                <w:lang w:eastAsia="en-GB"/>
              </w:rPr>
            </w:pPr>
            <w:r w:rsidRPr="00972773">
              <w:rPr>
                <w:rFonts w:ascii="Calibri" w:eastAsia="Times New Roman" w:hAnsi="Calibri" w:cs="Calibri"/>
                <w:color w:val="000000"/>
                <w:lang w:eastAsia="en-GB"/>
              </w:rPr>
              <w:t>1</w:t>
            </w:r>
          </w:p>
        </w:tc>
        <w:tc>
          <w:tcPr>
            <w:tcW w:w="992" w:type="dxa"/>
            <w:tcBorders>
              <w:top w:val="nil"/>
              <w:left w:val="nil"/>
              <w:bottom w:val="single" w:sz="4" w:space="0" w:color="auto"/>
              <w:right w:val="single" w:sz="4" w:space="0" w:color="auto"/>
            </w:tcBorders>
            <w:shd w:val="clear" w:color="auto" w:fill="auto"/>
            <w:noWrap/>
            <w:vAlign w:val="bottom"/>
            <w:hideMark/>
          </w:tcPr>
          <w:p w14:paraId="1CD0E9EC" w14:textId="77777777" w:rsidR="00972773" w:rsidRPr="00972773" w:rsidRDefault="00972773" w:rsidP="00972773">
            <w:pPr>
              <w:spacing w:after="0" w:line="240" w:lineRule="auto"/>
              <w:rPr>
                <w:rFonts w:ascii="Calibri" w:eastAsia="Times New Roman" w:hAnsi="Calibri" w:cs="Calibri"/>
                <w:color w:val="000000"/>
                <w:lang w:eastAsia="en-GB"/>
              </w:rPr>
            </w:pPr>
            <w:r w:rsidRPr="00972773">
              <w:rPr>
                <w:rFonts w:ascii="Calibri" w:eastAsia="Times New Roman" w:hAnsi="Calibri" w:cs="Calibri"/>
                <w:color w:val="000000"/>
                <w:lang w:eastAsia="en-GB"/>
              </w:rPr>
              <w:t> </w:t>
            </w:r>
          </w:p>
        </w:tc>
        <w:tc>
          <w:tcPr>
            <w:tcW w:w="992" w:type="dxa"/>
            <w:tcBorders>
              <w:top w:val="nil"/>
              <w:left w:val="nil"/>
              <w:bottom w:val="single" w:sz="4" w:space="0" w:color="auto"/>
              <w:right w:val="single" w:sz="4" w:space="0" w:color="auto"/>
            </w:tcBorders>
            <w:shd w:val="clear" w:color="auto" w:fill="auto"/>
            <w:noWrap/>
            <w:vAlign w:val="bottom"/>
            <w:hideMark/>
          </w:tcPr>
          <w:p w14:paraId="15AAC952" w14:textId="77777777" w:rsidR="00972773" w:rsidRPr="00972773" w:rsidRDefault="00972773" w:rsidP="00972773">
            <w:pPr>
              <w:spacing w:after="0" w:line="240" w:lineRule="auto"/>
              <w:rPr>
                <w:rFonts w:ascii="Calibri" w:eastAsia="Times New Roman" w:hAnsi="Calibri" w:cs="Calibri"/>
                <w:color w:val="000000"/>
                <w:lang w:eastAsia="en-GB"/>
              </w:rPr>
            </w:pPr>
            <w:r w:rsidRPr="00972773">
              <w:rPr>
                <w:rFonts w:ascii="Calibri" w:eastAsia="Times New Roman" w:hAnsi="Calibri" w:cs="Calibri"/>
                <w:color w:val="000000"/>
                <w:lang w:eastAsia="en-GB"/>
              </w:rPr>
              <w:t> </w:t>
            </w:r>
          </w:p>
        </w:tc>
        <w:tc>
          <w:tcPr>
            <w:tcW w:w="992" w:type="dxa"/>
            <w:tcBorders>
              <w:top w:val="nil"/>
              <w:left w:val="nil"/>
              <w:bottom w:val="single" w:sz="4" w:space="0" w:color="auto"/>
              <w:right w:val="single" w:sz="4" w:space="0" w:color="auto"/>
            </w:tcBorders>
            <w:shd w:val="clear" w:color="auto" w:fill="auto"/>
            <w:noWrap/>
            <w:vAlign w:val="bottom"/>
            <w:hideMark/>
          </w:tcPr>
          <w:p w14:paraId="53FA064F" w14:textId="77777777" w:rsidR="00972773" w:rsidRPr="00972773" w:rsidRDefault="00972773" w:rsidP="00972773">
            <w:pPr>
              <w:spacing w:after="0" w:line="240" w:lineRule="auto"/>
              <w:rPr>
                <w:rFonts w:ascii="Calibri" w:eastAsia="Times New Roman" w:hAnsi="Calibri" w:cs="Calibri"/>
                <w:color w:val="000000"/>
                <w:lang w:eastAsia="en-GB"/>
              </w:rPr>
            </w:pPr>
            <w:r w:rsidRPr="00972773">
              <w:rPr>
                <w:rFonts w:ascii="Calibri" w:eastAsia="Times New Roman" w:hAnsi="Calibri" w:cs="Calibri"/>
                <w:color w:val="000000"/>
                <w:lang w:eastAsia="en-GB"/>
              </w:rPr>
              <w:t> </w:t>
            </w:r>
          </w:p>
        </w:tc>
        <w:tc>
          <w:tcPr>
            <w:tcW w:w="992" w:type="dxa"/>
            <w:tcBorders>
              <w:top w:val="nil"/>
              <w:left w:val="nil"/>
              <w:bottom w:val="single" w:sz="4" w:space="0" w:color="auto"/>
              <w:right w:val="single" w:sz="4" w:space="0" w:color="auto"/>
            </w:tcBorders>
            <w:shd w:val="clear" w:color="auto" w:fill="auto"/>
            <w:noWrap/>
            <w:vAlign w:val="bottom"/>
            <w:hideMark/>
          </w:tcPr>
          <w:p w14:paraId="39D0F564" w14:textId="77777777" w:rsidR="00972773" w:rsidRPr="00972773" w:rsidRDefault="00972773" w:rsidP="00972773">
            <w:pPr>
              <w:spacing w:after="0" w:line="240" w:lineRule="auto"/>
              <w:rPr>
                <w:rFonts w:ascii="Calibri" w:eastAsia="Times New Roman" w:hAnsi="Calibri" w:cs="Calibri"/>
                <w:color w:val="000000"/>
                <w:lang w:eastAsia="en-GB"/>
              </w:rPr>
            </w:pPr>
            <w:r w:rsidRPr="00972773">
              <w:rPr>
                <w:rFonts w:ascii="Calibri" w:eastAsia="Times New Roman" w:hAnsi="Calibri" w:cs="Calibri"/>
                <w:color w:val="000000"/>
                <w:lang w:eastAsia="en-GB"/>
              </w:rPr>
              <w:t> </w:t>
            </w:r>
          </w:p>
        </w:tc>
        <w:tc>
          <w:tcPr>
            <w:tcW w:w="886" w:type="dxa"/>
            <w:tcBorders>
              <w:top w:val="nil"/>
              <w:left w:val="nil"/>
              <w:bottom w:val="single" w:sz="4" w:space="0" w:color="auto"/>
              <w:right w:val="single" w:sz="4" w:space="0" w:color="auto"/>
            </w:tcBorders>
            <w:shd w:val="clear" w:color="auto" w:fill="auto"/>
            <w:noWrap/>
            <w:vAlign w:val="bottom"/>
            <w:hideMark/>
          </w:tcPr>
          <w:p w14:paraId="2062DE5D" w14:textId="77777777" w:rsidR="00972773" w:rsidRPr="00972773" w:rsidRDefault="00972773" w:rsidP="00972773">
            <w:pPr>
              <w:spacing w:after="0" w:line="240" w:lineRule="auto"/>
              <w:rPr>
                <w:rFonts w:ascii="Calibri" w:eastAsia="Times New Roman" w:hAnsi="Calibri" w:cs="Calibri"/>
                <w:color w:val="000000"/>
                <w:lang w:eastAsia="en-GB"/>
              </w:rPr>
            </w:pPr>
            <w:r w:rsidRPr="00972773">
              <w:rPr>
                <w:rFonts w:ascii="Calibri" w:eastAsia="Times New Roman" w:hAnsi="Calibri" w:cs="Calibri"/>
                <w:color w:val="000000"/>
                <w:lang w:eastAsia="en-GB"/>
              </w:rPr>
              <w:t> </w:t>
            </w:r>
          </w:p>
        </w:tc>
        <w:tc>
          <w:tcPr>
            <w:tcW w:w="886" w:type="dxa"/>
            <w:tcBorders>
              <w:top w:val="nil"/>
              <w:left w:val="nil"/>
              <w:bottom w:val="single" w:sz="4" w:space="0" w:color="auto"/>
              <w:right w:val="single" w:sz="4" w:space="0" w:color="auto"/>
            </w:tcBorders>
            <w:shd w:val="clear" w:color="auto" w:fill="auto"/>
            <w:noWrap/>
            <w:vAlign w:val="bottom"/>
            <w:hideMark/>
          </w:tcPr>
          <w:p w14:paraId="0BF951E2" w14:textId="77777777" w:rsidR="00972773" w:rsidRPr="00972773" w:rsidRDefault="00972773" w:rsidP="00972773">
            <w:pPr>
              <w:spacing w:after="0" w:line="240" w:lineRule="auto"/>
              <w:rPr>
                <w:rFonts w:ascii="Calibri" w:eastAsia="Times New Roman" w:hAnsi="Calibri" w:cs="Calibri"/>
                <w:color w:val="000000"/>
                <w:lang w:eastAsia="en-GB"/>
              </w:rPr>
            </w:pPr>
            <w:r w:rsidRPr="00972773">
              <w:rPr>
                <w:rFonts w:ascii="Calibri" w:eastAsia="Times New Roman" w:hAnsi="Calibri" w:cs="Calibri"/>
                <w:color w:val="000000"/>
                <w:lang w:eastAsia="en-GB"/>
              </w:rPr>
              <w:t> </w:t>
            </w:r>
          </w:p>
        </w:tc>
        <w:tc>
          <w:tcPr>
            <w:tcW w:w="1209" w:type="dxa"/>
            <w:tcBorders>
              <w:top w:val="nil"/>
              <w:left w:val="nil"/>
              <w:bottom w:val="single" w:sz="4" w:space="0" w:color="auto"/>
              <w:right w:val="single" w:sz="4" w:space="0" w:color="auto"/>
            </w:tcBorders>
            <w:shd w:val="clear" w:color="auto" w:fill="auto"/>
            <w:noWrap/>
            <w:vAlign w:val="bottom"/>
            <w:hideMark/>
          </w:tcPr>
          <w:p w14:paraId="76C6F223" w14:textId="77777777" w:rsidR="00972773" w:rsidRPr="00972773" w:rsidRDefault="00972773" w:rsidP="00972773">
            <w:pPr>
              <w:spacing w:after="0" w:line="240" w:lineRule="auto"/>
              <w:rPr>
                <w:rFonts w:ascii="Calibri" w:eastAsia="Times New Roman" w:hAnsi="Calibri" w:cs="Calibri"/>
                <w:color w:val="000000"/>
                <w:lang w:eastAsia="en-GB"/>
              </w:rPr>
            </w:pPr>
            <w:r w:rsidRPr="00972773">
              <w:rPr>
                <w:rFonts w:ascii="Calibri" w:eastAsia="Times New Roman" w:hAnsi="Calibri" w:cs="Calibri"/>
                <w:color w:val="000000"/>
                <w:lang w:eastAsia="en-GB"/>
              </w:rPr>
              <w:t> </w:t>
            </w:r>
          </w:p>
        </w:tc>
      </w:tr>
      <w:tr w:rsidR="00C77638" w:rsidRPr="00972773" w14:paraId="42752013" w14:textId="77777777" w:rsidTr="00C77638">
        <w:trPr>
          <w:trHeight w:val="207"/>
        </w:trPr>
        <w:tc>
          <w:tcPr>
            <w:tcW w:w="1243" w:type="dxa"/>
            <w:tcBorders>
              <w:top w:val="nil"/>
              <w:left w:val="single" w:sz="4" w:space="0" w:color="auto"/>
              <w:bottom w:val="single" w:sz="4" w:space="0" w:color="auto"/>
              <w:right w:val="single" w:sz="4" w:space="0" w:color="auto"/>
            </w:tcBorders>
            <w:shd w:val="clear" w:color="auto" w:fill="auto"/>
            <w:noWrap/>
            <w:vAlign w:val="bottom"/>
            <w:hideMark/>
          </w:tcPr>
          <w:p w14:paraId="54C9093A" w14:textId="77777777" w:rsidR="00972773" w:rsidRPr="00972773" w:rsidRDefault="00972773" w:rsidP="00972773">
            <w:pPr>
              <w:spacing w:after="0" w:line="240" w:lineRule="auto"/>
              <w:rPr>
                <w:rFonts w:ascii="Calibri" w:eastAsia="Times New Roman" w:hAnsi="Calibri" w:cs="Calibri"/>
                <w:b/>
                <w:bCs/>
                <w:color w:val="000000"/>
                <w:lang w:eastAsia="en-GB"/>
              </w:rPr>
            </w:pPr>
            <w:r w:rsidRPr="00972773">
              <w:rPr>
                <w:rFonts w:ascii="Calibri" w:eastAsia="Times New Roman" w:hAnsi="Calibri" w:cs="Calibri"/>
                <w:b/>
                <w:bCs/>
                <w:color w:val="000000"/>
                <w:lang w:eastAsia="en-GB"/>
              </w:rPr>
              <w:t>ROA</w:t>
            </w:r>
          </w:p>
        </w:tc>
        <w:tc>
          <w:tcPr>
            <w:tcW w:w="992" w:type="dxa"/>
            <w:tcBorders>
              <w:top w:val="nil"/>
              <w:left w:val="nil"/>
              <w:bottom w:val="single" w:sz="4" w:space="0" w:color="auto"/>
              <w:right w:val="single" w:sz="4" w:space="0" w:color="auto"/>
            </w:tcBorders>
            <w:shd w:val="clear" w:color="auto" w:fill="auto"/>
            <w:noWrap/>
            <w:vAlign w:val="bottom"/>
            <w:hideMark/>
          </w:tcPr>
          <w:p w14:paraId="3F73D2D5" w14:textId="77777777" w:rsidR="00972773" w:rsidRPr="00972773" w:rsidRDefault="00972773" w:rsidP="00972773">
            <w:pPr>
              <w:spacing w:after="0" w:line="240" w:lineRule="auto"/>
              <w:jc w:val="right"/>
              <w:rPr>
                <w:rFonts w:ascii="Calibri" w:eastAsia="Times New Roman" w:hAnsi="Calibri" w:cs="Calibri"/>
                <w:color w:val="000000"/>
                <w:lang w:eastAsia="en-GB"/>
              </w:rPr>
            </w:pPr>
            <w:r w:rsidRPr="00972773">
              <w:rPr>
                <w:rFonts w:ascii="Calibri" w:eastAsia="Times New Roman" w:hAnsi="Calibri" w:cs="Calibri"/>
                <w:color w:val="000000"/>
                <w:lang w:eastAsia="en-GB"/>
              </w:rPr>
              <w:t>0.717769</w:t>
            </w:r>
          </w:p>
        </w:tc>
        <w:tc>
          <w:tcPr>
            <w:tcW w:w="992" w:type="dxa"/>
            <w:tcBorders>
              <w:top w:val="nil"/>
              <w:left w:val="nil"/>
              <w:bottom w:val="single" w:sz="4" w:space="0" w:color="auto"/>
              <w:right w:val="single" w:sz="4" w:space="0" w:color="auto"/>
            </w:tcBorders>
            <w:shd w:val="clear" w:color="auto" w:fill="auto"/>
            <w:noWrap/>
            <w:vAlign w:val="bottom"/>
            <w:hideMark/>
          </w:tcPr>
          <w:p w14:paraId="596C0A45" w14:textId="77777777" w:rsidR="00972773" w:rsidRPr="00972773" w:rsidRDefault="00972773" w:rsidP="00972773">
            <w:pPr>
              <w:spacing w:after="0" w:line="240" w:lineRule="auto"/>
              <w:jc w:val="right"/>
              <w:rPr>
                <w:rFonts w:ascii="Calibri" w:eastAsia="Times New Roman" w:hAnsi="Calibri" w:cs="Calibri"/>
                <w:color w:val="000000"/>
                <w:lang w:eastAsia="en-GB"/>
              </w:rPr>
            </w:pPr>
            <w:r w:rsidRPr="00972773">
              <w:rPr>
                <w:rFonts w:ascii="Calibri" w:eastAsia="Times New Roman" w:hAnsi="Calibri" w:cs="Calibri"/>
                <w:color w:val="000000"/>
                <w:lang w:eastAsia="en-GB"/>
              </w:rPr>
              <w:t>1</w:t>
            </w:r>
          </w:p>
        </w:tc>
        <w:tc>
          <w:tcPr>
            <w:tcW w:w="992" w:type="dxa"/>
            <w:tcBorders>
              <w:top w:val="nil"/>
              <w:left w:val="nil"/>
              <w:bottom w:val="single" w:sz="4" w:space="0" w:color="auto"/>
              <w:right w:val="single" w:sz="4" w:space="0" w:color="auto"/>
            </w:tcBorders>
            <w:shd w:val="clear" w:color="auto" w:fill="auto"/>
            <w:noWrap/>
            <w:vAlign w:val="bottom"/>
            <w:hideMark/>
          </w:tcPr>
          <w:p w14:paraId="20D2F18E" w14:textId="77777777" w:rsidR="00972773" w:rsidRPr="00972773" w:rsidRDefault="00972773" w:rsidP="00972773">
            <w:pPr>
              <w:spacing w:after="0" w:line="240" w:lineRule="auto"/>
              <w:rPr>
                <w:rFonts w:ascii="Calibri" w:eastAsia="Times New Roman" w:hAnsi="Calibri" w:cs="Calibri"/>
                <w:color w:val="000000"/>
                <w:lang w:eastAsia="en-GB"/>
              </w:rPr>
            </w:pPr>
            <w:r w:rsidRPr="00972773">
              <w:rPr>
                <w:rFonts w:ascii="Calibri" w:eastAsia="Times New Roman" w:hAnsi="Calibri" w:cs="Calibri"/>
                <w:color w:val="000000"/>
                <w:lang w:eastAsia="en-GB"/>
              </w:rPr>
              <w:t> </w:t>
            </w:r>
          </w:p>
        </w:tc>
        <w:tc>
          <w:tcPr>
            <w:tcW w:w="992" w:type="dxa"/>
            <w:tcBorders>
              <w:top w:val="nil"/>
              <w:left w:val="nil"/>
              <w:bottom w:val="single" w:sz="4" w:space="0" w:color="auto"/>
              <w:right w:val="single" w:sz="4" w:space="0" w:color="auto"/>
            </w:tcBorders>
            <w:shd w:val="clear" w:color="auto" w:fill="auto"/>
            <w:noWrap/>
            <w:vAlign w:val="bottom"/>
            <w:hideMark/>
          </w:tcPr>
          <w:p w14:paraId="57898B0F" w14:textId="77777777" w:rsidR="00972773" w:rsidRPr="00972773" w:rsidRDefault="00972773" w:rsidP="00972773">
            <w:pPr>
              <w:spacing w:after="0" w:line="240" w:lineRule="auto"/>
              <w:rPr>
                <w:rFonts w:ascii="Calibri" w:eastAsia="Times New Roman" w:hAnsi="Calibri" w:cs="Calibri"/>
                <w:color w:val="000000"/>
                <w:lang w:eastAsia="en-GB"/>
              </w:rPr>
            </w:pPr>
            <w:r w:rsidRPr="00972773">
              <w:rPr>
                <w:rFonts w:ascii="Calibri" w:eastAsia="Times New Roman" w:hAnsi="Calibri" w:cs="Calibri"/>
                <w:color w:val="000000"/>
                <w:lang w:eastAsia="en-GB"/>
              </w:rPr>
              <w:t> </w:t>
            </w:r>
          </w:p>
        </w:tc>
        <w:tc>
          <w:tcPr>
            <w:tcW w:w="992" w:type="dxa"/>
            <w:tcBorders>
              <w:top w:val="nil"/>
              <w:left w:val="nil"/>
              <w:bottom w:val="single" w:sz="4" w:space="0" w:color="auto"/>
              <w:right w:val="single" w:sz="4" w:space="0" w:color="auto"/>
            </w:tcBorders>
            <w:shd w:val="clear" w:color="auto" w:fill="auto"/>
            <w:noWrap/>
            <w:vAlign w:val="bottom"/>
            <w:hideMark/>
          </w:tcPr>
          <w:p w14:paraId="52A89A4F" w14:textId="77777777" w:rsidR="00972773" w:rsidRPr="00972773" w:rsidRDefault="00972773" w:rsidP="00972773">
            <w:pPr>
              <w:spacing w:after="0" w:line="240" w:lineRule="auto"/>
              <w:rPr>
                <w:rFonts w:ascii="Calibri" w:eastAsia="Times New Roman" w:hAnsi="Calibri" w:cs="Calibri"/>
                <w:color w:val="000000"/>
                <w:lang w:eastAsia="en-GB"/>
              </w:rPr>
            </w:pPr>
            <w:r w:rsidRPr="00972773">
              <w:rPr>
                <w:rFonts w:ascii="Calibri" w:eastAsia="Times New Roman" w:hAnsi="Calibri" w:cs="Calibri"/>
                <w:color w:val="000000"/>
                <w:lang w:eastAsia="en-GB"/>
              </w:rPr>
              <w:t> </w:t>
            </w:r>
          </w:p>
        </w:tc>
        <w:tc>
          <w:tcPr>
            <w:tcW w:w="886" w:type="dxa"/>
            <w:tcBorders>
              <w:top w:val="nil"/>
              <w:left w:val="nil"/>
              <w:bottom w:val="single" w:sz="4" w:space="0" w:color="auto"/>
              <w:right w:val="single" w:sz="4" w:space="0" w:color="auto"/>
            </w:tcBorders>
            <w:shd w:val="clear" w:color="auto" w:fill="auto"/>
            <w:noWrap/>
            <w:vAlign w:val="bottom"/>
            <w:hideMark/>
          </w:tcPr>
          <w:p w14:paraId="2934BD11" w14:textId="77777777" w:rsidR="00972773" w:rsidRPr="00972773" w:rsidRDefault="00972773" w:rsidP="00972773">
            <w:pPr>
              <w:spacing w:after="0" w:line="240" w:lineRule="auto"/>
              <w:rPr>
                <w:rFonts w:ascii="Calibri" w:eastAsia="Times New Roman" w:hAnsi="Calibri" w:cs="Calibri"/>
                <w:color w:val="000000"/>
                <w:lang w:eastAsia="en-GB"/>
              </w:rPr>
            </w:pPr>
            <w:r w:rsidRPr="00972773">
              <w:rPr>
                <w:rFonts w:ascii="Calibri" w:eastAsia="Times New Roman" w:hAnsi="Calibri" w:cs="Calibri"/>
                <w:color w:val="000000"/>
                <w:lang w:eastAsia="en-GB"/>
              </w:rPr>
              <w:t> </w:t>
            </w:r>
          </w:p>
        </w:tc>
        <w:tc>
          <w:tcPr>
            <w:tcW w:w="886" w:type="dxa"/>
            <w:tcBorders>
              <w:top w:val="nil"/>
              <w:left w:val="nil"/>
              <w:bottom w:val="single" w:sz="4" w:space="0" w:color="auto"/>
              <w:right w:val="single" w:sz="4" w:space="0" w:color="auto"/>
            </w:tcBorders>
            <w:shd w:val="clear" w:color="auto" w:fill="auto"/>
            <w:noWrap/>
            <w:vAlign w:val="bottom"/>
            <w:hideMark/>
          </w:tcPr>
          <w:p w14:paraId="6745EC05" w14:textId="77777777" w:rsidR="00972773" w:rsidRPr="00972773" w:rsidRDefault="00972773" w:rsidP="00972773">
            <w:pPr>
              <w:spacing w:after="0" w:line="240" w:lineRule="auto"/>
              <w:rPr>
                <w:rFonts w:ascii="Calibri" w:eastAsia="Times New Roman" w:hAnsi="Calibri" w:cs="Calibri"/>
                <w:color w:val="000000"/>
                <w:lang w:eastAsia="en-GB"/>
              </w:rPr>
            </w:pPr>
            <w:r w:rsidRPr="00972773">
              <w:rPr>
                <w:rFonts w:ascii="Calibri" w:eastAsia="Times New Roman" w:hAnsi="Calibri" w:cs="Calibri"/>
                <w:color w:val="000000"/>
                <w:lang w:eastAsia="en-GB"/>
              </w:rPr>
              <w:t> </w:t>
            </w:r>
          </w:p>
        </w:tc>
        <w:tc>
          <w:tcPr>
            <w:tcW w:w="1209" w:type="dxa"/>
            <w:tcBorders>
              <w:top w:val="nil"/>
              <w:left w:val="nil"/>
              <w:bottom w:val="single" w:sz="4" w:space="0" w:color="auto"/>
              <w:right w:val="single" w:sz="4" w:space="0" w:color="auto"/>
            </w:tcBorders>
            <w:shd w:val="clear" w:color="auto" w:fill="auto"/>
            <w:noWrap/>
            <w:vAlign w:val="bottom"/>
            <w:hideMark/>
          </w:tcPr>
          <w:p w14:paraId="007C7A86" w14:textId="77777777" w:rsidR="00972773" w:rsidRPr="00972773" w:rsidRDefault="00972773" w:rsidP="00972773">
            <w:pPr>
              <w:spacing w:after="0" w:line="240" w:lineRule="auto"/>
              <w:rPr>
                <w:rFonts w:ascii="Calibri" w:eastAsia="Times New Roman" w:hAnsi="Calibri" w:cs="Calibri"/>
                <w:color w:val="000000"/>
                <w:lang w:eastAsia="en-GB"/>
              </w:rPr>
            </w:pPr>
            <w:r w:rsidRPr="00972773">
              <w:rPr>
                <w:rFonts w:ascii="Calibri" w:eastAsia="Times New Roman" w:hAnsi="Calibri" w:cs="Calibri"/>
                <w:color w:val="000000"/>
                <w:lang w:eastAsia="en-GB"/>
              </w:rPr>
              <w:t> </w:t>
            </w:r>
          </w:p>
        </w:tc>
      </w:tr>
      <w:tr w:rsidR="00C77638" w:rsidRPr="00972773" w14:paraId="0E9CCBCD" w14:textId="77777777" w:rsidTr="00C77638">
        <w:trPr>
          <w:trHeight w:val="207"/>
        </w:trPr>
        <w:tc>
          <w:tcPr>
            <w:tcW w:w="1243" w:type="dxa"/>
            <w:tcBorders>
              <w:top w:val="nil"/>
              <w:left w:val="single" w:sz="4" w:space="0" w:color="auto"/>
              <w:bottom w:val="single" w:sz="4" w:space="0" w:color="auto"/>
              <w:right w:val="single" w:sz="4" w:space="0" w:color="auto"/>
            </w:tcBorders>
            <w:shd w:val="clear" w:color="auto" w:fill="auto"/>
            <w:noWrap/>
            <w:vAlign w:val="bottom"/>
            <w:hideMark/>
          </w:tcPr>
          <w:p w14:paraId="225C57FD" w14:textId="77777777" w:rsidR="00972773" w:rsidRPr="00972773" w:rsidRDefault="00972773" w:rsidP="00972773">
            <w:pPr>
              <w:spacing w:after="0" w:line="240" w:lineRule="auto"/>
              <w:rPr>
                <w:rFonts w:ascii="Calibri" w:eastAsia="Times New Roman" w:hAnsi="Calibri" w:cs="Calibri"/>
                <w:b/>
                <w:bCs/>
                <w:color w:val="000000"/>
                <w:lang w:eastAsia="en-GB"/>
              </w:rPr>
            </w:pPr>
            <w:r w:rsidRPr="00972773">
              <w:rPr>
                <w:rFonts w:ascii="Calibri" w:eastAsia="Times New Roman" w:hAnsi="Calibri" w:cs="Calibri"/>
                <w:b/>
                <w:bCs/>
                <w:color w:val="000000"/>
                <w:lang w:eastAsia="en-GB"/>
              </w:rPr>
              <w:t>C/R</w:t>
            </w:r>
          </w:p>
        </w:tc>
        <w:tc>
          <w:tcPr>
            <w:tcW w:w="992" w:type="dxa"/>
            <w:tcBorders>
              <w:top w:val="nil"/>
              <w:left w:val="nil"/>
              <w:bottom w:val="single" w:sz="4" w:space="0" w:color="auto"/>
              <w:right w:val="single" w:sz="4" w:space="0" w:color="auto"/>
            </w:tcBorders>
            <w:shd w:val="clear" w:color="auto" w:fill="auto"/>
            <w:noWrap/>
            <w:vAlign w:val="bottom"/>
            <w:hideMark/>
          </w:tcPr>
          <w:p w14:paraId="4BA8571B" w14:textId="77777777" w:rsidR="00972773" w:rsidRPr="00972773" w:rsidRDefault="00972773" w:rsidP="00972773">
            <w:pPr>
              <w:spacing w:after="0" w:line="240" w:lineRule="auto"/>
              <w:jc w:val="right"/>
              <w:rPr>
                <w:rFonts w:ascii="Calibri" w:eastAsia="Times New Roman" w:hAnsi="Calibri" w:cs="Calibri"/>
                <w:color w:val="000000"/>
                <w:lang w:eastAsia="en-GB"/>
              </w:rPr>
            </w:pPr>
            <w:r w:rsidRPr="00972773">
              <w:rPr>
                <w:rFonts w:ascii="Calibri" w:eastAsia="Times New Roman" w:hAnsi="Calibri" w:cs="Calibri"/>
                <w:color w:val="000000"/>
                <w:lang w:eastAsia="en-GB"/>
              </w:rPr>
              <w:t>0.349006</w:t>
            </w:r>
          </w:p>
        </w:tc>
        <w:tc>
          <w:tcPr>
            <w:tcW w:w="992" w:type="dxa"/>
            <w:tcBorders>
              <w:top w:val="nil"/>
              <w:left w:val="nil"/>
              <w:bottom w:val="single" w:sz="4" w:space="0" w:color="auto"/>
              <w:right w:val="single" w:sz="4" w:space="0" w:color="auto"/>
            </w:tcBorders>
            <w:shd w:val="clear" w:color="auto" w:fill="auto"/>
            <w:noWrap/>
            <w:vAlign w:val="bottom"/>
            <w:hideMark/>
          </w:tcPr>
          <w:p w14:paraId="14228A9E" w14:textId="77777777" w:rsidR="00972773" w:rsidRPr="00972773" w:rsidRDefault="00972773" w:rsidP="00972773">
            <w:pPr>
              <w:spacing w:after="0" w:line="240" w:lineRule="auto"/>
              <w:jc w:val="right"/>
              <w:rPr>
                <w:rFonts w:ascii="Calibri" w:eastAsia="Times New Roman" w:hAnsi="Calibri" w:cs="Calibri"/>
                <w:color w:val="000000"/>
                <w:lang w:eastAsia="en-GB"/>
              </w:rPr>
            </w:pPr>
            <w:r w:rsidRPr="00972773">
              <w:rPr>
                <w:rFonts w:ascii="Calibri" w:eastAsia="Times New Roman" w:hAnsi="Calibri" w:cs="Calibri"/>
                <w:color w:val="000000"/>
                <w:lang w:eastAsia="en-GB"/>
              </w:rPr>
              <w:t>0.541189</w:t>
            </w:r>
          </w:p>
        </w:tc>
        <w:tc>
          <w:tcPr>
            <w:tcW w:w="992" w:type="dxa"/>
            <w:tcBorders>
              <w:top w:val="nil"/>
              <w:left w:val="nil"/>
              <w:bottom w:val="single" w:sz="4" w:space="0" w:color="auto"/>
              <w:right w:val="single" w:sz="4" w:space="0" w:color="auto"/>
            </w:tcBorders>
            <w:shd w:val="clear" w:color="auto" w:fill="auto"/>
            <w:noWrap/>
            <w:vAlign w:val="bottom"/>
            <w:hideMark/>
          </w:tcPr>
          <w:p w14:paraId="0C2C80C8" w14:textId="77777777" w:rsidR="00972773" w:rsidRPr="00972773" w:rsidRDefault="00972773" w:rsidP="00972773">
            <w:pPr>
              <w:spacing w:after="0" w:line="240" w:lineRule="auto"/>
              <w:jc w:val="right"/>
              <w:rPr>
                <w:rFonts w:ascii="Calibri" w:eastAsia="Times New Roman" w:hAnsi="Calibri" w:cs="Calibri"/>
                <w:color w:val="000000"/>
                <w:lang w:eastAsia="en-GB"/>
              </w:rPr>
            </w:pPr>
            <w:r w:rsidRPr="00972773">
              <w:rPr>
                <w:rFonts w:ascii="Calibri" w:eastAsia="Times New Roman" w:hAnsi="Calibri" w:cs="Calibri"/>
                <w:color w:val="000000"/>
                <w:lang w:eastAsia="en-GB"/>
              </w:rPr>
              <w:t>1</w:t>
            </w:r>
          </w:p>
        </w:tc>
        <w:tc>
          <w:tcPr>
            <w:tcW w:w="992" w:type="dxa"/>
            <w:tcBorders>
              <w:top w:val="nil"/>
              <w:left w:val="nil"/>
              <w:bottom w:val="single" w:sz="4" w:space="0" w:color="auto"/>
              <w:right w:val="single" w:sz="4" w:space="0" w:color="auto"/>
            </w:tcBorders>
            <w:shd w:val="clear" w:color="auto" w:fill="auto"/>
            <w:noWrap/>
            <w:vAlign w:val="bottom"/>
            <w:hideMark/>
          </w:tcPr>
          <w:p w14:paraId="225520AC" w14:textId="77777777" w:rsidR="00972773" w:rsidRPr="00972773" w:rsidRDefault="00972773" w:rsidP="00972773">
            <w:pPr>
              <w:spacing w:after="0" w:line="240" w:lineRule="auto"/>
              <w:rPr>
                <w:rFonts w:ascii="Calibri" w:eastAsia="Times New Roman" w:hAnsi="Calibri" w:cs="Calibri"/>
                <w:color w:val="000000"/>
                <w:lang w:eastAsia="en-GB"/>
              </w:rPr>
            </w:pPr>
            <w:r w:rsidRPr="00972773">
              <w:rPr>
                <w:rFonts w:ascii="Calibri" w:eastAsia="Times New Roman" w:hAnsi="Calibri" w:cs="Calibri"/>
                <w:color w:val="000000"/>
                <w:lang w:eastAsia="en-GB"/>
              </w:rPr>
              <w:t> </w:t>
            </w:r>
          </w:p>
        </w:tc>
        <w:tc>
          <w:tcPr>
            <w:tcW w:w="992" w:type="dxa"/>
            <w:tcBorders>
              <w:top w:val="nil"/>
              <w:left w:val="nil"/>
              <w:bottom w:val="single" w:sz="4" w:space="0" w:color="auto"/>
              <w:right w:val="single" w:sz="4" w:space="0" w:color="auto"/>
            </w:tcBorders>
            <w:shd w:val="clear" w:color="auto" w:fill="auto"/>
            <w:noWrap/>
            <w:vAlign w:val="bottom"/>
            <w:hideMark/>
          </w:tcPr>
          <w:p w14:paraId="36D319D0" w14:textId="77777777" w:rsidR="00972773" w:rsidRPr="00972773" w:rsidRDefault="00972773" w:rsidP="00972773">
            <w:pPr>
              <w:spacing w:after="0" w:line="240" w:lineRule="auto"/>
              <w:rPr>
                <w:rFonts w:ascii="Calibri" w:eastAsia="Times New Roman" w:hAnsi="Calibri" w:cs="Calibri"/>
                <w:color w:val="000000"/>
                <w:lang w:eastAsia="en-GB"/>
              </w:rPr>
            </w:pPr>
            <w:r w:rsidRPr="00972773">
              <w:rPr>
                <w:rFonts w:ascii="Calibri" w:eastAsia="Times New Roman" w:hAnsi="Calibri" w:cs="Calibri"/>
                <w:color w:val="000000"/>
                <w:lang w:eastAsia="en-GB"/>
              </w:rPr>
              <w:t> </w:t>
            </w:r>
          </w:p>
        </w:tc>
        <w:tc>
          <w:tcPr>
            <w:tcW w:w="886" w:type="dxa"/>
            <w:tcBorders>
              <w:top w:val="nil"/>
              <w:left w:val="nil"/>
              <w:bottom w:val="single" w:sz="4" w:space="0" w:color="auto"/>
              <w:right w:val="single" w:sz="4" w:space="0" w:color="auto"/>
            </w:tcBorders>
            <w:shd w:val="clear" w:color="auto" w:fill="auto"/>
            <w:noWrap/>
            <w:vAlign w:val="bottom"/>
            <w:hideMark/>
          </w:tcPr>
          <w:p w14:paraId="5B92044C" w14:textId="77777777" w:rsidR="00972773" w:rsidRPr="00972773" w:rsidRDefault="00972773" w:rsidP="00972773">
            <w:pPr>
              <w:spacing w:after="0" w:line="240" w:lineRule="auto"/>
              <w:rPr>
                <w:rFonts w:ascii="Calibri" w:eastAsia="Times New Roman" w:hAnsi="Calibri" w:cs="Calibri"/>
                <w:color w:val="000000"/>
                <w:lang w:eastAsia="en-GB"/>
              </w:rPr>
            </w:pPr>
            <w:r w:rsidRPr="00972773">
              <w:rPr>
                <w:rFonts w:ascii="Calibri" w:eastAsia="Times New Roman" w:hAnsi="Calibri" w:cs="Calibri"/>
                <w:color w:val="000000"/>
                <w:lang w:eastAsia="en-GB"/>
              </w:rPr>
              <w:t> </w:t>
            </w:r>
          </w:p>
        </w:tc>
        <w:tc>
          <w:tcPr>
            <w:tcW w:w="886" w:type="dxa"/>
            <w:tcBorders>
              <w:top w:val="nil"/>
              <w:left w:val="nil"/>
              <w:bottom w:val="single" w:sz="4" w:space="0" w:color="auto"/>
              <w:right w:val="single" w:sz="4" w:space="0" w:color="auto"/>
            </w:tcBorders>
            <w:shd w:val="clear" w:color="auto" w:fill="auto"/>
            <w:noWrap/>
            <w:vAlign w:val="bottom"/>
            <w:hideMark/>
          </w:tcPr>
          <w:p w14:paraId="0BBBB93F" w14:textId="77777777" w:rsidR="00972773" w:rsidRPr="00972773" w:rsidRDefault="00972773" w:rsidP="00972773">
            <w:pPr>
              <w:spacing w:after="0" w:line="240" w:lineRule="auto"/>
              <w:rPr>
                <w:rFonts w:ascii="Calibri" w:eastAsia="Times New Roman" w:hAnsi="Calibri" w:cs="Calibri"/>
                <w:color w:val="000000"/>
                <w:lang w:eastAsia="en-GB"/>
              </w:rPr>
            </w:pPr>
            <w:r w:rsidRPr="00972773">
              <w:rPr>
                <w:rFonts w:ascii="Calibri" w:eastAsia="Times New Roman" w:hAnsi="Calibri" w:cs="Calibri"/>
                <w:color w:val="000000"/>
                <w:lang w:eastAsia="en-GB"/>
              </w:rPr>
              <w:t> </w:t>
            </w:r>
          </w:p>
        </w:tc>
        <w:tc>
          <w:tcPr>
            <w:tcW w:w="1209" w:type="dxa"/>
            <w:tcBorders>
              <w:top w:val="nil"/>
              <w:left w:val="nil"/>
              <w:bottom w:val="single" w:sz="4" w:space="0" w:color="auto"/>
              <w:right w:val="single" w:sz="4" w:space="0" w:color="auto"/>
            </w:tcBorders>
            <w:shd w:val="clear" w:color="auto" w:fill="auto"/>
            <w:noWrap/>
            <w:vAlign w:val="bottom"/>
            <w:hideMark/>
          </w:tcPr>
          <w:p w14:paraId="3BBE4D00" w14:textId="77777777" w:rsidR="00972773" w:rsidRPr="00972773" w:rsidRDefault="00972773" w:rsidP="00972773">
            <w:pPr>
              <w:spacing w:after="0" w:line="240" w:lineRule="auto"/>
              <w:rPr>
                <w:rFonts w:ascii="Calibri" w:eastAsia="Times New Roman" w:hAnsi="Calibri" w:cs="Calibri"/>
                <w:color w:val="000000"/>
                <w:lang w:eastAsia="en-GB"/>
              </w:rPr>
            </w:pPr>
            <w:r w:rsidRPr="00972773">
              <w:rPr>
                <w:rFonts w:ascii="Calibri" w:eastAsia="Times New Roman" w:hAnsi="Calibri" w:cs="Calibri"/>
                <w:color w:val="000000"/>
                <w:lang w:eastAsia="en-GB"/>
              </w:rPr>
              <w:t> </w:t>
            </w:r>
          </w:p>
        </w:tc>
      </w:tr>
      <w:tr w:rsidR="00C77638" w:rsidRPr="00972773" w14:paraId="32E52B72" w14:textId="77777777" w:rsidTr="00C77638">
        <w:trPr>
          <w:trHeight w:val="207"/>
        </w:trPr>
        <w:tc>
          <w:tcPr>
            <w:tcW w:w="1243" w:type="dxa"/>
            <w:tcBorders>
              <w:top w:val="nil"/>
              <w:left w:val="single" w:sz="4" w:space="0" w:color="auto"/>
              <w:bottom w:val="single" w:sz="4" w:space="0" w:color="auto"/>
              <w:right w:val="single" w:sz="4" w:space="0" w:color="auto"/>
            </w:tcBorders>
            <w:shd w:val="clear" w:color="auto" w:fill="auto"/>
            <w:noWrap/>
            <w:vAlign w:val="bottom"/>
            <w:hideMark/>
          </w:tcPr>
          <w:p w14:paraId="30431FEF" w14:textId="77777777" w:rsidR="00972773" w:rsidRPr="00972773" w:rsidRDefault="00972773" w:rsidP="00972773">
            <w:pPr>
              <w:spacing w:after="0" w:line="240" w:lineRule="auto"/>
              <w:rPr>
                <w:rFonts w:ascii="Calibri" w:eastAsia="Times New Roman" w:hAnsi="Calibri" w:cs="Calibri"/>
                <w:b/>
                <w:bCs/>
                <w:color w:val="000000"/>
                <w:lang w:eastAsia="en-GB"/>
              </w:rPr>
            </w:pPr>
            <w:r w:rsidRPr="00972773">
              <w:rPr>
                <w:rFonts w:ascii="Calibri" w:eastAsia="Times New Roman" w:hAnsi="Calibri" w:cs="Calibri"/>
                <w:b/>
                <w:bCs/>
                <w:color w:val="000000"/>
                <w:lang w:eastAsia="en-GB"/>
              </w:rPr>
              <w:t>Q/R</w:t>
            </w:r>
          </w:p>
        </w:tc>
        <w:tc>
          <w:tcPr>
            <w:tcW w:w="992" w:type="dxa"/>
            <w:tcBorders>
              <w:top w:val="nil"/>
              <w:left w:val="nil"/>
              <w:bottom w:val="single" w:sz="4" w:space="0" w:color="auto"/>
              <w:right w:val="single" w:sz="4" w:space="0" w:color="auto"/>
            </w:tcBorders>
            <w:shd w:val="clear" w:color="auto" w:fill="auto"/>
            <w:noWrap/>
            <w:vAlign w:val="bottom"/>
            <w:hideMark/>
          </w:tcPr>
          <w:p w14:paraId="1A2CF0F6" w14:textId="77777777" w:rsidR="00972773" w:rsidRPr="00972773" w:rsidRDefault="00972773" w:rsidP="00972773">
            <w:pPr>
              <w:spacing w:after="0" w:line="240" w:lineRule="auto"/>
              <w:jc w:val="right"/>
              <w:rPr>
                <w:rFonts w:ascii="Calibri" w:eastAsia="Times New Roman" w:hAnsi="Calibri" w:cs="Calibri"/>
                <w:color w:val="000000"/>
                <w:lang w:eastAsia="en-GB"/>
              </w:rPr>
            </w:pPr>
            <w:r w:rsidRPr="00972773">
              <w:rPr>
                <w:rFonts w:ascii="Calibri" w:eastAsia="Times New Roman" w:hAnsi="Calibri" w:cs="Calibri"/>
                <w:color w:val="000000"/>
                <w:lang w:eastAsia="en-GB"/>
              </w:rPr>
              <w:t>0.353654</w:t>
            </w:r>
          </w:p>
        </w:tc>
        <w:tc>
          <w:tcPr>
            <w:tcW w:w="992" w:type="dxa"/>
            <w:tcBorders>
              <w:top w:val="nil"/>
              <w:left w:val="nil"/>
              <w:bottom w:val="single" w:sz="4" w:space="0" w:color="auto"/>
              <w:right w:val="single" w:sz="4" w:space="0" w:color="auto"/>
            </w:tcBorders>
            <w:shd w:val="clear" w:color="auto" w:fill="auto"/>
            <w:noWrap/>
            <w:vAlign w:val="bottom"/>
            <w:hideMark/>
          </w:tcPr>
          <w:p w14:paraId="4924DEBD" w14:textId="77777777" w:rsidR="00972773" w:rsidRPr="00972773" w:rsidRDefault="00972773" w:rsidP="00972773">
            <w:pPr>
              <w:spacing w:after="0" w:line="240" w:lineRule="auto"/>
              <w:jc w:val="right"/>
              <w:rPr>
                <w:rFonts w:ascii="Calibri" w:eastAsia="Times New Roman" w:hAnsi="Calibri" w:cs="Calibri"/>
                <w:color w:val="000000"/>
                <w:lang w:eastAsia="en-GB"/>
              </w:rPr>
            </w:pPr>
            <w:r w:rsidRPr="00972773">
              <w:rPr>
                <w:rFonts w:ascii="Calibri" w:eastAsia="Times New Roman" w:hAnsi="Calibri" w:cs="Calibri"/>
                <w:color w:val="000000"/>
                <w:lang w:eastAsia="en-GB"/>
              </w:rPr>
              <w:t>0.569223</w:t>
            </w:r>
          </w:p>
        </w:tc>
        <w:tc>
          <w:tcPr>
            <w:tcW w:w="992" w:type="dxa"/>
            <w:tcBorders>
              <w:top w:val="nil"/>
              <w:left w:val="nil"/>
              <w:bottom w:val="single" w:sz="4" w:space="0" w:color="auto"/>
              <w:right w:val="single" w:sz="4" w:space="0" w:color="auto"/>
            </w:tcBorders>
            <w:shd w:val="clear" w:color="auto" w:fill="auto"/>
            <w:noWrap/>
            <w:vAlign w:val="bottom"/>
            <w:hideMark/>
          </w:tcPr>
          <w:p w14:paraId="2681DC8B" w14:textId="77777777" w:rsidR="00972773" w:rsidRPr="00972773" w:rsidRDefault="00972773" w:rsidP="00972773">
            <w:pPr>
              <w:spacing w:after="0" w:line="240" w:lineRule="auto"/>
              <w:jc w:val="right"/>
              <w:rPr>
                <w:rFonts w:ascii="Calibri" w:eastAsia="Times New Roman" w:hAnsi="Calibri" w:cs="Calibri"/>
                <w:color w:val="000000"/>
                <w:lang w:eastAsia="en-GB"/>
              </w:rPr>
            </w:pPr>
            <w:r w:rsidRPr="00972773">
              <w:rPr>
                <w:rFonts w:ascii="Calibri" w:eastAsia="Times New Roman" w:hAnsi="Calibri" w:cs="Calibri"/>
                <w:color w:val="000000"/>
                <w:lang w:eastAsia="en-GB"/>
              </w:rPr>
              <w:t>0.996654</w:t>
            </w:r>
          </w:p>
        </w:tc>
        <w:tc>
          <w:tcPr>
            <w:tcW w:w="992" w:type="dxa"/>
            <w:tcBorders>
              <w:top w:val="nil"/>
              <w:left w:val="nil"/>
              <w:bottom w:val="single" w:sz="4" w:space="0" w:color="auto"/>
              <w:right w:val="single" w:sz="4" w:space="0" w:color="auto"/>
            </w:tcBorders>
            <w:shd w:val="clear" w:color="auto" w:fill="auto"/>
            <w:noWrap/>
            <w:vAlign w:val="bottom"/>
            <w:hideMark/>
          </w:tcPr>
          <w:p w14:paraId="5EF678D7" w14:textId="77777777" w:rsidR="00972773" w:rsidRPr="00972773" w:rsidRDefault="00972773" w:rsidP="00972773">
            <w:pPr>
              <w:spacing w:after="0" w:line="240" w:lineRule="auto"/>
              <w:jc w:val="right"/>
              <w:rPr>
                <w:rFonts w:ascii="Calibri" w:eastAsia="Times New Roman" w:hAnsi="Calibri" w:cs="Calibri"/>
                <w:color w:val="000000"/>
                <w:lang w:eastAsia="en-GB"/>
              </w:rPr>
            </w:pPr>
            <w:r w:rsidRPr="00972773">
              <w:rPr>
                <w:rFonts w:ascii="Calibri" w:eastAsia="Times New Roman" w:hAnsi="Calibri" w:cs="Calibri"/>
                <w:color w:val="000000"/>
                <w:lang w:eastAsia="en-GB"/>
              </w:rPr>
              <w:t>1</w:t>
            </w:r>
          </w:p>
        </w:tc>
        <w:tc>
          <w:tcPr>
            <w:tcW w:w="992" w:type="dxa"/>
            <w:tcBorders>
              <w:top w:val="nil"/>
              <w:left w:val="nil"/>
              <w:bottom w:val="single" w:sz="4" w:space="0" w:color="auto"/>
              <w:right w:val="single" w:sz="4" w:space="0" w:color="auto"/>
            </w:tcBorders>
            <w:shd w:val="clear" w:color="auto" w:fill="auto"/>
            <w:noWrap/>
            <w:vAlign w:val="bottom"/>
            <w:hideMark/>
          </w:tcPr>
          <w:p w14:paraId="3086C0B9" w14:textId="77777777" w:rsidR="00972773" w:rsidRPr="00972773" w:rsidRDefault="00972773" w:rsidP="00972773">
            <w:pPr>
              <w:spacing w:after="0" w:line="240" w:lineRule="auto"/>
              <w:rPr>
                <w:rFonts w:ascii="Calibri" w:eastAsia="Times New Roman" w:hAnsi="Calibri" w:cs="Calibri"/>
                <w:color w:val="000000"/>
                <w:lang w:eastAsia="en-GB"/>
              </w:rPr>
            </w:pPr>
            <w:r w:rsidRPr="00972773">
              <w:rPr>
                <w:rFonts w:ascii="Calibri" w:eastAsia="Times New Roman" w:hAnsi="Calibri" w:cs="Calibri"/>
                <w:color w:val="000000"/>
                <w:lang w:eastAsia="en-GB"/>
              </w:rPr>
              <w:t> </w:t>
            </w:r>
          </w:p>
        </w:tc>
        <w:tc>
          <w:tcPr>
            <w:tcW w:w="886" w:type="dxa"/>
            <w:tcBorders>
              <w:top w:val="nil"/>
              <w:left w:val="nil"/>
              <w:bottom w:val="single" w:sz="4" w:space="0" w:color="auto"/>
              <w:right w:val="single" w:sz="4" w:space="0" w:color="auto"/>
            </w:tcBorders>
            <w:shd w:val="clear" w:color="auto" w:fill="auto"/>
            <w:noWrap/>
            <w:vAlign w:val="bottom"/>
            <w:hideMark/>
          </w:tcPr>
          <w:p w14:paraId="3C9C5345" w14:textId="77777777" w:rsidR="00972773" w:rsidRPr="00972773" w:rsidRDefault="00972773" w:rsidP="00972773">
            <w:pPr>
              <w:spacing w:after="0" w:line="240" w:lineRule="auto"/>
              <w:rPr>
                <w:rFonts w:ascii="Calibri" w:eastAsia="Times New Roman" w:hAnsi="Calibri" w:cs="Calibri"/>
                <w:color w:val="000000"/>
                <w:lang w:eastAsia="en-GB"/>
              </w:rPr>
            </w:pPr>
            <w:r w:rsidRPr="00972773">
              <w:rPr>
                <w:rFonts w:ascii="Calibri" w:eastAsia="Times New Roman" w:hAnsi="Calibri" w:cs="Calibri"/>
                <w:color w:val="000000"/>
                <w:lang w:eastAsia="en-GB"/>
              </w:rPr>
              <w:t> </w:t>
            </w:r>
          </w:p>
        </w:tc>
        <w:tc>
          <w:tcPr>
            <w:tcW w:w="886" w:type="dxa"/>
            <w:tcBorders>
              <w:top w:val="nil"/>
              <w:left w:val="nil"/>
              <w:bottom w:val="single" w:sz="4" w:space="0" w:color="auto"/>
              <w:right w:val="single" w:sz="4" w:space="0" w:color="auto"/>
            </w:tcBorders>
            <w:shd w:val="clear" w:color="auto" w:fill="auto"/>
            <w:noWrap/>
            <w:vAlign w:val="bottom"/>
            <w:hideMark/>
          </w:tcPr>
          <w:p w14:paraId="543364A4" w14:textId="77777777" w:rsidR="00972773" w:rsidRPr="00972773" w:rsidRDefault="00972773" w:rsidP="00972773">
            <w:pPr>
              <w:spacing w:after="0" w:line="240" w:lineRule="auto"/>
              <w:rPr>
                <w:rFonts w:ascii="Calibri" w:eastAsia="Times New Roman" w:hAnsi="Calibri" w:cs="Calibri"/>
                <w:color w:val="000000"/>
                <w:lang w:eastAsia="en-GB"/>
              </w:rPr>
            </w:pPr>
            <w:r w:rsidRPr="00972773">
              <w:rPr>
                <w:rFonts w:ascii="Calibri" w:eastAsia="Times New Roman" w:hAnsi="Calibri" w:cs="Calibri"/>
                <w:color w:val="000000"/>
                <w:lang w:eastAsia="en-GB"/>
              </w:rPr>
              <w:t> </w:t>
            </w:r>
          </w:p>
        </w:tc>
        <w:tc>
          <w:tcPr>
            <w:tcW w:w="1209" w:type="dxa"/>
            <w:tcBorders>
              <w:top w:val="nil"/>
              <w:left w:val="nil"/>
              <w:bottom w:val="single" w:sz="4" w:space="0" w:color="auto"/>
              <w:right w:val="single" w:sz="4" w:space="0" w:color="auto"/>
            </w:tcBorders>
            <w:shd w:val="clear" w:color="auto" w:fill="auto"/>
            <w:noWrap/>
            <w:vAlign w:val="bottom"/>
            <w:hideMark/>
          </w:tcPr>
          <w:p w14:paraId="52A8DAF8" w14:textId="77777777" w:rsidR="00972773" w:rsidRPr="00972773" w:rsidRDefault="00972773" w:rsidP="00972773">
            <w:pPr>
              <w:spacing w:after="0" w:line="240" w:lineRule="auto"/>
              <w:rPr>
                <w:rFonts w:ascii="Calibri" w:eastAsia="Times New Roman" w:hAnsi="Calibri" w:cs="Calibri"/>
                <w:color w:val="000000"/>
                <w:lang w:eastAsia="en-GB"/>
              </w:rPr>
            </w:pPr>
            <w:r w:rsidRPr="00972773">
              <w:rPr>
                <w:rFonts w:ascii="Calibri" w:eastAsia="Times New Roman" w:hAnsi="Calibri" w:cs="Calibri"/>
                <w:color w:val="000000"/>
                <w:lang w:eastAsia="en-GB"/>
              </w:rPr>
              <w:t> </w:t>
            </w:r>
          </w:p>
        </w:tc>
      </w:tr>
      <w:tr w:rsidR="00C77638" w:rsidRPr="00972773" w14:paraId="3DAE79E0" w14:textId="77777777" w:rsidTr="00C77638">
        <w:trPr>
          <w:trHeight w:val="207"/>
        </w:trPr>
        <w:tc>
          <w:tcPr>
            <w:tcW w:w="1243" w:type="dxa"/>
            <w:tcBorders>
              <w:top w:val="nil"/>
              <w:left w:val="single" w:sz="4" w:space="0" w:color="auto"/>
              <w:bottom w:val="single" w:sz="4" w:space="0" w:color="auto"/>
              <w:right w:val="single" w:sz="4" w:space="0" w:color="auto"/>
            </w:tcBorders>
            <w:shd w:val="clear" w:color="auto" w:fill="auto"/>
            <w:noWrap/>
            <w:vAlign w:val="bottom"/>
            <w:hideMark/>
          </w:tcPr>
          <w:p w14:paraId="1CC0759B" w14:textId="77777777" w:rsidR="00972773" w:rsidRPr="00972773" w:rsidRDefault="00972773" w:rsidP="00972773">
            <w:pPr>
              <w:spacing w:after="0" w:line="240" w:lineRule="auto"/>
              <w:rPr>
                <w:rFonts w:ascii="Calibri" w:eastAsia="Times New Roman" w:hAnsi="Calibri" w:cs="Calibri"/>
                <w:b/>
                <w:bCs/>
                <w:color w:val="000000"/>
                <w:lang w:eastAsia="en-GB"/>
              </w:rPr>
            </w:pPr>
            <w:r w:rsidRPr="00972773">
              <w:rPr>
                <w:rFonts w:ascii="Calibri" w:eastAsia="Times New Roman" w:hAnsi="Calibri" w:cs="Calibri"/>
                <w:b/>
                <w:bCs/>
                <w:color w:val="000000"/>
                <w:lang w:eastAsia="en-GB"/>
              </w:rPr>
              <w:t>D/E</w:t>
            </w:r>
          </w:p>
        </w:tc>
        <w:tc>
          <w:tcPr>
            <w:tcW w:w="992" w:type="dxa"/>
            <w:tcBorders>
              <w:top w:val="nil"/>
              <w:left w:val="nil"/>
              <w:bottom w:val="single" w:sz="4" w:space="0" w:color="auto"/>
              <w:right w:val="single" w:sz="4" w:space="0" w:color="auto"/>
            </w:tcBorders>
            <w:shd w:val="clear" w:color="auto" w:fill="auto"/>
            <w:noWrap/>
            <w:vAlign w:val="bottom"/>
            <w:hideMark/>
          </w:tcPr>
          <w:p w14:paraId="1E6C6FD6" w14:textId="77777777" w:rsidR="00972773" w:rsidRPr="00972773" w:rsidRDefault="00972773" w:rsidP="00972773">
            <w:pPr>
              <w:spacing w:after="0" w:line="240" w:lineRule="auto"/>
              <w:jc w:val="right"/>
              <w:rPr>
                <w:rFonts w:ascii="Calibri" w:eastAsia="Times New Roman" w:hAnsi="Calibri" w:cs="Calibri"/>
                <w:color w:val="000000"/>
                <w:lang w:eastAsia="en-GB"/>
              </w:rPr>
            </w:pPr>
            <w:r w:rsidRPr="00972773">
              <w:rPr>
                <w:rFonts w:ascii="Calibri" w:eastAsia="Times New Roman" w:hAnsi="Calibri" w:cs="Calibri"/>
                <w:color w:val="000000"/>
                <w:lang w:eastAsia="en-GB"/>
              </w:rPr>
              <w:t>-0.11235</w:t>
            </w:r>
          </w:p>
        </w:tc>
        <w:tc>
          <w:tcPr>
            <w:tcW w:w="992" w:type="dxa"/>
            <w:tcBorders>
              <w:top w:val="nil"/>
              <w:left w:val="nil"/>
              <w:bottom w:val="single" w:sz="4" w:space="0" w:color="auto"/>
              <w:right w:val="single" w:sz="4" w:space="0" w:color="auto"/>
            </w:tcBorders>
            <w:shd w:val="clear" w:color="auto" w:fill="auto"/>
            <w:noWrap/>
            <w:vAlign w:val="bottom"/>
            <w:hideMark/>
          </w:tcPr>
          <w:p w14:paraId="410B24E2" w14:textId="77777777" w:rsidR="00972773" w:rsidRPr="00972773" w:rsidRDefault="00972773" w:rsidP="00972773">
            <w:pPr>
              <w:spacing w:after="0" w:line="240" w:lineRule="auto"/>
              <w:jc w:val="right"/>
              <w:rPr>
                <w:rFonts w:ascii="Calibri" w:eastAsia="Times New Roman" w:hAnsi="Calibri" w:cs="Calibri"/>
                <w:color w:val="000000"/>
                <w:lang w:eastAsia="en-GB"/>
              </w:rPr>
            </w:pPr>
            <w:r w:rsidRPr="00972773">
              <w:rPr>
                <w:rFonts w:ascii="Calibri" w:eastAsia="Times New Roman" w:hAnsi="Calibri" w:cs="Calibri"/>
                <w:color w:val="000000"/>
                <w:lang w:eastAsia="en-GB"/>
              </w:rPr>
              <w:t>-0.12846</w:t>
            </w:r>
          </w:p>
        </w:tc>
        <w:tc>
          <w:tcPr>
            <w:tcW w:w="992" w:type="dxa"/>
            <w:tcBorders>
              <w:top w:val="nil"/>
              <w:left w:val="nil"/>
              <w:bottom w:val="single" w:sz="4" w:space="0" w:color="auto"/>
              <w:right w:val="single" w:sz="4" w:space="0" w:color="auto"/>
            </w:tcBorders>
            <w:shd w:val="clear" w:color="auto" w:fill="auto"/>
            <w:noWrap/>
            <w:vAlign w:val="bottom"/>
            <w:hideMark/>
          </w:tcPr>
          <w:p w14:paraId="6392B828" w14:textId="77777777" w:rsidR="00972773" w:rsidRPr="00972773" w:rsidRDefault="00972773" w:rsidP="00972773">
            <w:pPr>
              <w:spacing w:after="0" w:line="240" w:lineRule="auto"/>
              <w:jc w:val="right"/>
              <w:rPr>
                <w:rFonts w:ascii="Calibri" w:eastAsia="Times New Roman" w:hAnsi="Calibri" w:cs="Calibri"/>
                <w:color w:val="000000"/>
                <w:lang w:eastAsia="en-GB"/>
              </w:rPr>
            </w:pPr>
            <w:r w:rsidRPr="00972773">
              <w:rPr>
                <w:rFonts w:ascii="Calibri" w:eastAsia="Times New Roman" w:hAnsi="Calibri" w:cs="Calibri"/>
                <w:color w:val="000000"/>
                <w:lang w:eastAsia="en-GB"/>
              </w:rPr>
              <w:t>-0.12573</w:t>
            </w:r>
          </w:p>
        </w:tc>
        <w:tc>
          <w:tcPr>
            <w:tcW w:w="992" w:type="dxa"/>
            <w:tcBorders>
              <w:top w:val="nil"/>
              <w:left w:val="nil"/>
              <w:bottom w:val="single" w:sz="4" w:space="0" w:color="auto"/>
              <w:right w:val="single" w:sz="4" w:space="0" w:color="auto"/>
            </w:tcBorders>
            <w:shd w:val="clear" w:color="auto" w:fill="auto"/>
            <w:noWrap/>
            <w:vAlign w:val="bottom"/>
            <w:hideMark/>
          </w:tcPr>
          <w:p w14:paraId="0EAFD05E" w14:textId="77777777" w:rsidR="00972773" w:rsidRPr="00972773" w:rsidRDefault="00972773" w:rsidP="00972773">
            <w:pPr>
              <w:spacing w:after="0" w:line="240" w:lineRule="auto"/>
              <w:jc w:val="right"/>
              <w:rPr>
                <w:rFonts w:ascii="Calibri" w:eastAsia="Times New Roman" w:hAnsi="Calibri" w:cs="Calibri"/>
                <w:color w:val="000000"/>
                <w:lang w:eastAsia="en-GB"/>
              </w:rPr>
            </w:pPr>
            <w:r w:rsidRPr="00972773">
              <w:rPr>
                <w:rFonts w:ascii="Calibri" w:eastAsia="Times New Roman" w:hAnsi="Calibri" w:cs="Calibri"/>
                <w:color w:val="000000"/>
                <w:lang w:eastAsia="en-GB"/>
              </w:rPr>
              <w:t>-0.13199</w:t>
            </w:r>
          </w:p>
        </w:tc>
        <w:tc>
          <w:tcPr>
            <w:tcW w:w="992" w:type="dxa"/>
            <w:tcBorders>
              <w:top w:val="nil"/>
              <w:left w:val="nil"/>
              <w:bottom w:val="single" w:sz="4" w:space="0" w:color="auto"/>
              <w:right w:val="single" w:sz="4" w:space="0" w:color="auto"/>
            </w:tcBorders>
            <w:shd w:val="clear" w:color="auto" w:fill="auto"/>
            <w:noWrap/>
            <w:vAlign w:val="bottom"/>
            <w:hideMark/>
          </w:tcPr>
          <w:p w14:paraId="09D966F7" w14:textId="77777777" w:rsidR="00972773" w:rsidRPr="00972773" w:rsidRDefault="00972773" w:rsidP="00972773">
            <w:pPr>
              <w:spacing w:after="0" w:line="240" w:lineRule="auto"/>
              <w:jc w:val="right"/>
              <w:rPr>
                <w:rFonts w:ascii="Calibri" w:eastAsia="Times New Roman" w:hAnsi="Calibri" w:cs="Calibri"/>
                <w:color w:val="000000"/>
                <w:lang w:eastAsia="en-GB"/>
              </w:rPr>
            </w:pPr>
            <w:r w:rsidRPr="00972773">
              <w:rPr>
                <w:rFonts w:ascii="Calibri" w:eastAsia="Times New Roman" w:hAnsi="Calibri" w:cs="Calibri"/>
                <w:color w:val="000000"/>
                <w:lang w:eastAsia="en-GB"/>
              </w:rPr>
              <w:t>1</w:t>
            </w:r>
          </w:p>
        </w:tc>
        <w:tc>
          <w:tcPr>
            <w:tcW w:w="886" w:type="dxa"/>
            <w:tcBorders>
              <w:top w:val="nil"/>
              <w:left w:val="nil"/>
              <w:bottom w:val="single" w:sz="4" w:space="0" w:color="auto"/>
              <w:right w:val="single" w:sz="4" w:space="0" w:color="auto"/>
            </w:tcBorders>
            <w:shd w:val="clear" w:color="auto" w:fill="auto"/>
            <w:noWrap/>
            <w:vAlign w:val="bottom"/>
            <w:hideMark/>
          </w:tcPr>
          <w:p w14:paraId="744FC9C6" w14:textId="77777777" w:rsidR="00972773" w:rsidRPr="00972773" w:rsidRDefault="00972773" w:rsidP="00972773">
            <w:pPr>
              <w:spacing w:after="0" w:line="240" w:lineRule="auto"/>
              <w:rPr>
                <w:rFonts w:ascii="Calibri" w:eastAsia="Times New Roman" w:hAnsi="Calibri" w:cs="Calibri"/>
                <w:color w:val="000000"/>
                <w:lang w:eastAsia="en-GB"/>
              </w:rPr>
            </w:pPr>
            <w:r w:rsidRPr="00972773">
              <w:rPr>
                <w:rFonts w:ascii="Calibri" w:eastAsia="Times New Roman" w:hAnsi="Calibri" w:cs="Calibri"/>
                <w:color w:val="000000"/>
                <w:lang w:eastAsia="en-GB"/>
              </w:rPr>
              <w:t> </w:t>
            </w:r>
          </w:p>
        </w:tc>
        <w:tc>
          <w:tcPr>
            <w:tcW w:w="886" w:type="dxa"/>
            <w:tcBorders>
              <w:top w:val="nil"/>
              <w:left w:val="nil"/>
              <w:bottom w:val="single" w:sz="4" w:space="0" w:color="auto"/>
              <w:right w:val="single" w:sz="4" w:space="0" w:color="auto"/>
            </w:tcBorders>
            <w:shd w:val="clear" w:color="auto" w:fill="auto"/>
            <w:noWrap/>
            <w:vAlign w:val="bottom"/>
            <w:hideMark/>
          </w:tcPr>
          <w:p w14:paraId="33FCAC0A" w14:textId="77777777" w:rsidR="00972773" w:rsidRPr="00972773" w:rsidRDefault="00972773" w:rsidP="00972773">
            <w:pPr>
              <w:spacing w:after="0" w:line="240" w:lineRule="auto"/>
              <w:rPr>
                <w:rFonts w:ascii="Calibri" w:eastAsia="Times New Roman" w:hAnsi="Calibri" w:cs="Calibri"/>
                <w:color w:val="000000"/>
                <w:lang w:eastAsia="en-GB"/>
              </w:rPr>
            </w:pPr>
            <w:r w:rsidRPr="00972773">
              <w:rPr>
                <w:rFonts w:ascii="Calibri" w:eastAsia="Times New Roman" w:hAnsi="Calibri" w:cs="Calibri"/>
                <w:color w:val="000000"/>
                <w:lang w:eastAsia="en-GB"/>
              </w:rPr>
              <w:t> </w:t>
            </w:r>
          </w:p>
        </w:tc>
        <w:tc>
          <w:tcPr>
            <w:tcW w:w="1209" w:type="dxa"/>
            <w:tcBorders>
              <w:top w:val="nil"/>
              <w:left w:val="nil"/>
              <w:bottom w:val="single" w:sz="4" w:space="0" w:color="auto"/>
              <w:right w:val="single" w:sz="4" w:space="0" w:color="auto"/>
            </w:tcBorders>
            <w:shd w:val="clear" w:color="auto" w:fill="auto"/>
            <w:noWrap/>
            <w:vAlign w:val="bottom"/>
            <w:hideMark/>
          </w:tcPr>
          <w:p w14:paraId="7F60BFE4" w14:textId="77777777" w:rsidR="00972773" w:rsidRPr="00972773" w:rsidRDefault="00972773" w:rsidP="00972773">
            <w:pPr>
              <w:spacing w:after="0" w:line="240" w:lineRule="auto"/>
              <w:rPr>
                <w:rFonts w:ascii="Calibri" w:eastAsia="Times New Roman" w:hAnsi="Calibri" w:cs="Calibri"/>
                <w:color w:val="000000"/>
                <w:lang w:eastAsia="en-GB"/>
              </w:rPr>
            </w:pPr>
            <w:r w:rsidRPr="00972773">
              <w:rPr>
                <w:rFonts w:ascii="Calibri" w:eastAsia="Times New Roman" w:hAnsi="Calibri" w:cs="Calibri"/>
                <w:color w:val="000000"/>
                <w:lang w:eastAsia="en-GB"/>
              </w:rPr>
              <w:t> </w:t>
            </w:r>
          </w:p>
        </w:tc>
      </w:tr>
      <w:tr w:rsidR="00C77638" w:rsidRPr="00972773" w14:paraId="6BD6A04E" w14:textId="77777777" w:rsidTr="00C77638">
        <w:trPr>
          <w:trHeight w:val="207"/>
        </w:trPr>
        <w:tc>
          <w:tcPr>
            <w:tcW w:w="1243" w:type="dxa"/>
            <w:tcBorders>
              <w:top w:val="nil"/>
              <w:left w:val="single" w:sz="4" w:space="0" w:color="auto"/>
              <w:bottom w:val="single" w:sz="4" w:space="0" w:color="auto"/>
              <w:right w:val="single" w:sz="4" w:space="0" w:color="auto"/>
            </w:tcBorders>
            <w:shd w:val="clear" w:color="auto" w:fill="auto"/>
            <w:noWrap/>
            <w:vAlign w:val="bottom"/>
            <w:hideMark/>
          </w:tcPr>
          <w:p w14:paraId="69865D84" w14:textId="77777777" w:rsidR="00972773" w:rsidRPr="00972773" w:rsidRDefault="00972773" w:rsidP="00972773">
            <w:pPr>
              <w:spacing w:after="0" w:line="240" w:lineRule="auto"/>
              <w:rPr>
                <w:rFonts w:ascii="Calibri" w:eastAsia="Times New Roman" w:hAnsi="Calibri" w:cs="Calibri"/>
                <w:b/>
                <w:bCs/>
                <w:color w:val="000000"/>
                <w:lang w:eastAsia="en-GB"/>
              </w:rPr>
            </w:pPr>
            <w:r w:rsidRPr="00972773">
              <w:rPr>
                <w:rFonts w:ascii="Calibri" w:eastAsia="Times New Roman" w:hAnsi="Calibri" w:cs="Calibri"/>
                <w:b/>
                <w:bCs/>
                <w:color w:val="000000"/>
                <w:lang w:eastAsia="en-GB"/>
              </w:rPr>
              <w:t>D/C</w:t>
            </w:r>
          </w:p>
        </w:tc>
        <w:tc>
          <w:tcPr>
            <w:tcW w:w="992" w:type="dxa"/>
            <w:tcBorders>
              <w:top w:val="nil"/>
              <w:left w:val="nil"/>
              <w:bottom w:val="single" w:sz="4" w:space="0" w:color="auto"/>
              <w:right w:val="single" w:sz="4" w:space="0" w:color="auto"/>
            </w:tcBorders>
            <w:shd w:val="clear" w:color="auto" w:fill="auto"/>
            <w:noWrap/>
            <w:vAlign w:val="bottom"/>
            <w:hideMark/>
          </w:tcPr>
          <w:p w14:paraId="62BE744E" w14:textId="77777777" w:rsidR="00972773" w:rsidRPr="00972773" w:rsidRDefault="00972773" w:rsidP="00972773">
            <w:pPr>
              <w:spacing w:after="0" w:line="240" w:lineRule="auto"/>
              <w:jc w:val="right"/>
              <w:rPr>
                <w:rFonts w:ascii="Calibri" w:eastAsia="Times New Roman" w:hAnsi="Calibri" w:cs="Calibri"/>
                <w:color w:val="000000"/>
                <w:lang w:eastAsia="en-GB"/>
              </w:rPr>
            </w:pPr>
            <w:r w:rsidRPr="00972773">
              <w:rPr>
                <w:rFonts w:ascii="Calibri" w:eastAsia="Times New Roman" w:hAnsi="Calibri" w:cs="Calibri"/>
                <w:color w:val="000000"/>
                <w:lang w:eastAsia="en-GB"/>
              </w:rPr>
              <w:t>-0.60599</w:t>
            </w:r>
          </w:p>
        </w:tc>
        <w:tc>
          <w:tcPr>
            <w:tcW w:w="992" w:type="dxa"/>
            <w:tcBorders>
              <w:top w:val="nil"/>
              <w:left w:val="nil"/>
              <w:bottom w:val="single" w:sz="4" w:space="0" w:color="auto"/>
              <w:right w:val="single" w:sz="4" w:space="0" w:color="auto"/>
            </w:tcBorders>
            <w:shd w:val="clear" w:color="auto" w:fill="auto"/>
            <w:noWrap/>
            <w:vAlign w:val="bottom"/>
            <w:hideMark/>
          </w:tcPr>
          <w:p w14:paraId="3F80CEFE" w14:textId="77777777" w:rsidR="00972773" w:rsidRPr="00972773" w:rsidRDefault="00972773" w:rsidP="00972773">
            <w:pPr>
              <w:spacing w:after="0" w:line="240" w:lineRule="auto"/>
              <w:jc w:val="right"/>
              <w:rPr>
                <w:rFonts w:ascii="Calibri" w:eastAsia="Times New Roman" w:hAnsi="Calibri" w:cs="Calibri"/>
                <w:color w:val="000000"/>
                <w:lang w:eastAsia="en-GB"/>
              </w:rPr>
            </w:pPr>
            <w:r w:rsidRPr="00972773">
              <w:rPr>
                <w:rFonts w:ascii="Calibri" w:eastAsia="Times New Roman" w:hAnsi="Calibri" w:cs="Calibri"/>
                <w:color w:val="000000"/>
                <w:lang w:eastAsia="en-GB"/>
              </w:rPr>
              <w:t>-0.59224</w:t>
            </w:r>
          </w:p>
        </w:tc>
        <w:tc>
          <w:tcPr>
            <w:tcW w:w="992" w:type="dxa"/>
            <w:tcBorders>
              <w:top w:val="nil"/>
              <w:left w:val="nil"/>
              <w:bottom w:val="single" w:sz="4" w:space="0" w:color="auto"/>
              <w:right w:val="single" w:sz="4" w:space="0" w:color="auto"/>
            </w:tcBorders>
            <w:shd w:val="clear" w:color="auto" w:fill="auto"/>
            <w:noWrap/>
            <w:vAlign w:val="bottom"/>
            <w:hideMark/>
          </w:tcPr>
          <w:p w14:paraId="4B91CD60" w14:textId="77777777" w:rsidR="00972773" w:rsidRPr="00972773" w:rsidRDefault="00972773" w:rsidP="00972773">
            <w:pPr>
              <w:spacing w:after="0" w:line="240" w:lineRule="auto"/>
              <w:jc w:val="right"/>
              <w:rPr>
                <w:rFonts w:ascii="Calibri" w:eastAsia="Times New Roman" w:hAnsi="Calibri" w:cs="Calibri"/>
                <w:color w:val="000000"/>
                <w:lang w:eastAsia="en-GB"/>
              </w:rPr>
            </w:pPr>
            <w:r w:rsidRPr="00972773">
              <w:rPr>
                <w:rFonts w:ascii="Calibri" w:eastAsia="Times New Roman" w:hAnsi="Calibri" w:cs="Calibri"/>
                <w:color w:val="000000"/>
                <w:lang w:eastAsia="en-GB"/>
              </w:rPr>
              <w:t>-0.31358</w:t>
            </w:r>
          </w:p>
        </w:tc>
        <w:tc>
          <w:tcPr>
            <w:tcW w:w="992" w:type="dxa"/>
            <w:tcBorders>
              <w:top w:val="nil"/>
              <w:left w:val="nil"/>
              <w:bottom w:val="single" w:sz="4" w:space="0" w:color="auto"/>
              <w:right w:val="single" w:sz="4" w:space="0" w:color="auto"/>
            </w:tcBorders>
            <w:shd w:val="clear" w:color="auto" w:fill="auto"/>
            <w:noWrap/>
            <w:vAlign w:val="bottom"/>
            <w:hideMark/>
          </w:tcPr>
          <w:p w14:paraId="3380B351" w14:textId="77777777" w:rsidR="00972773" w:rsidRPr="00972773" w:rsidRDefault="00972773" w:rsidP="00972773">
            <w:pPr>
              <w:spacing w:after="0" w:line="240" w:lineRule="auto"/>
              <w:jc w:val="right"/>
              <w:rPr>
                <w:rFonts w:ascii="Calibri" w:eastAsia="Times New Roman" w:hAnsi="Calibri" w:cs="Calibri"/>
                <w:color w:val="000000"/>
                <w:lang w:eastAsia="en-GB"/>
              </w:rPr>
            </w:pPr>
            <w:r w:rsidRPr="00972773">
              <w:rPr>
                <w:rFonts w:ascii="Calibri" w:eastAsia="Times New Roman" w:hAnsi="Calibri" w:cs="Calibri"/>
                <w:color w:val="000000"/>
                <w:lang w:eastAsia="en-GB"/>
              </w:rPr>
              <w:t>-0.3513</w:t>
            </w:r>
          </w:p>
        </w:tc>
        <w:tc>
          <w:tcPr>
            <w:tcW w:w="992" w:type="dxa"/>
            <w:tcBorders>
              <w:top w:val="nil"/>
              <w:left w:val="nil"/>
              <w:bottom w:val="single" w:sz="4" w:space="0" w:color="auto"/>
              <w:right w:val="single" w:sz="4" w:space="0" w:color="auto"/>
            </w:tcBorders>
            <w:shd w:val="clear" w:color="auto" w:fill="auto"/>
            <w:noWrap/>
            <w:vAlign w:val="bottom"/>
            <w:hideMark/>
          </w:tcPr>
          <w:p w14:paraId="6B6C034A" w14:textId="77777777" w:rsidR="00972773" w:rsidRPr="00972773" w:rsidRDefault="00972773" w:rsidP="00972773">
            <w:pPr>
              <w:spacing w:after="0" w:line="240" w:lineRule="auto"/>
              <w:jc w:val="right"/>
              <w:rPr>
                <w:rFonts w:ascii="Calibri" w:eastAsia="Times New Roman" w:hAnsi="Calibri" w:cs="Calibri"/>
                <w:color w:val="000000"/>
                <w:lang w:eastAsia="en-GB"/>
              </w:rPr>
            </w:pPr>
            <w:r w:rsidRPr="00972773">
              <w:rPr>
                <w:rFonts w:ascii="Calibri" w:eastAsia="Times New Roman" w:hAnsi="Calibri" w:cs="Calibri"/>
                <w:color w:val="000000"/>
                <w:lang w:eastAsia="en-GB"/>
              </w:rPr>
              <w:t>0.235812</w:t>
            </w:r>
          </w:p>
        </w:tc>
        <w:tc>
          <w:tcPr>
            <w:tcW w:w="886" w:type="dxa"/>
            <w:tcBorders>
              <w:top w:val="nil"/>
              <w:left w:val="nil"/>
              <w:bottom w:val="single" w:sz="4" w:space="0" w:color="auto"/>
              <w:right w:val="single" w:sz="4" w:space="0" w:color="auto"/>
            </w:tcBorders>
            <w:shd w:val="clear" w:color="auto" w:fill="auto"/>
            <w:noWrap/>
            <w:vAlign w:val="bottom"/>
            <w:hideMark/>
          </w:tcPr>
          <w:p w14:paraId="29C7180F" w14:textId="77777777" w:rsidR="00972773" w:rsidRPr="00972773" w:rsidRDefault="00972773" w:rsidP="00972773">
            <w:pPr>
              <w:spacing w:after="0" w:line="240" w:lineRule="auto"/>
              <w:jc w:val="right"/>
              <w:rPr>
                <w:rFonts w:ascii="Calibri" w:eastAsia="Times New Roman" w:hAnsi="Calibri" w:cs="Calibri"/>
                <w:color w:val="000000"/>
                <w:lang w:eastAsia="en-GB"/>
              </w:rPr>
            </w:pPr>
            <w:r w:rsidRPr="00972773">
              <w:rPr>
                <w:rFonts w:ascii="Calibri" w:eastAsia="Times New Roman" w:hAnsi="Calibri" w:cs="Calibri"/>
                <w:color w:val="000000"/>
                <w:lang w:eastAsia="en-GB"/>
              </w:rPr>
              <w:t>1</w:t>
            </w:r>
          </w:p>
        </w:tc>
        <w:tc>
          <w:tcPr>
            <w:tcW w:w="886" w:type="dxa"/>
            <w:tcBorders>
              <w:top w:val="nil"/>
              <w:left w:val="nil"/>
              <w:bottom w:val="single" w:sz="4" w:space="0" w:color="auto"/>
              <w:right w:val="single" w:sz="4" w:space="0" w:color="auto"/>
            </w:tcBorders>
            <w:shd w:val="clear" w:color="auto" w:fill="auto"/>
            <w:noWrap/>
            <w:vAlign w:val="bottom"/>
            <w:hideMark/>
          </w:tcPr>
          <w:p w14:paraId="55F2B9C2" w14:textId="77777777" w:rsidR="00972773" w:rsidRPr="00972773" w:rsidRDefault="00972773" w:rsidP="00972773">
            <w:pPr>
              <w:spacing w:after="0" w:line="240" w:lineRule="auto"/>
              <w:rPr>
                <w:rFonts w:ascii="Calibri" w:eastAsia="Times New Roman" w:hAnsi="Calibri" w:cs="Calibri"/>
                <w:color w:val="000000"/>
                <w:lang w:eastAsia="en-GB"/>
              </w:rPr>
            </w:pPr>
            <w:r w:rsidRPr="00972773">
              <w:rPr>
                <w:rFonts w:ascii="Calibri" w:eastAsia="Times New Roman" w:hAnsi="Calibri" w:cs="Calibri"/>
                <w:color w:val="000000"/>
                <w:lang w:eastAsia="en-GB"/>
              </w:rPr>
              <w:t> </w:t>
            </w:r>
          </w:p>
        </w:tc>
        <w:tc>
          <w:tcPr>
            <w:tcW w:w="1209" w:type="dxa"/>
            <w:tcBorders>
              <w:top w:val="nil"/>
              <w:left w:val="nil"/>
              <w:bottom w:val="single" w:sz="4" w:space="0" w:color="auto"/>
              <w:right w:val="single" w:sz="4" w:space="0" w:color="auto"/>
            </w:tcBorders>
            <w:shd w:val="clear" w:color="auto" w:fill="auto"/>
            <w:noWrap/>
            <w:vAlign w:val="bottom"/>
            <w:hideMark/>
          </w:tcPr>
          <w:p w14:paraId="5BCD3E29" w14:textId="77777777" w:rsidR="00972773" w:rsidRPr="00972773" w:rsidRDefault="00972773" w:rsidP="00972773">
            <w:pPr>
              <w:spacing w:after="0" w:line="240" w:lineRule="auto"/>
              <w:rPr>
                <w:rFonts w:ascii="Calibri" w:eastAsia="Times New Roman" w:hAnsi="Calibri" w:cs="Calibri"/>
                <w:color w:val="000000"/>
                <w:lang w:eastAsia="en-GB"/>
              </w:rPr>
            </w:pPr>
            <w:r w:rsidRPr="00972773">
              <w:rPr>
                <w:rFonts w:ascii="Calibri" w:eastAsia="Times New Roman" w:hAnsi="Calibri" w:cs="Calibri"/>
                <w:color w:val="000000"/>
                <w:lang w:eastAsia="en-GB"/>
              </w:rPr>
              <w:t> </w:t>
            </w:r>
          </w:p>
        </w:tc>
      </w:tr>
      <w:tr w:rsidR="00C77638" w:rsidRPr="00972773" w14:paraId="44CF0814" w14:textId="77777777" w:rsidTr="00C77638">
        <w:trPr>
          <w:trHeight w:val="207"/>
        </w:trPr>
        <w:tc>
          <w:tcPr>
            <w:tcW w:w="1243" w:type="dxa"/>
            <w:tcBorders>
              <w:top w:val="nil"/>
              <w:left w:val="single" w:sz="4" w:space="0" w:color="auto"/>
              <w:bottom w:val="single" w:sz="4" w:space="0" w:color="auto"/>
              <w:right w:val="single" w:sz="4" w:space="0" w:color="auto"/>
            </w:tcBorders>
            <w:shd w:val="clear" w:color="auto" w:fill="auto"/>
            <w:noWrap/>
            <w:vAlign w:val="bottom"/>
            <w:hideMark/>
          </w:tcPr>
          <w:p w14:paraId="23D0C261" w14:textId="77777777" w:rsidR="00972773" w:rsidRPr="00972773" w:rsidRDefault="00972773" w:rsidP="00972773">
            <w:pPr>
              <w:spacing w:after="0" w:line="240" w:lineRule="auto"/>
              <w:rPr>
                <w:rFonts w:ascii="Calibri" w:eastAsia="Times New Roman" w:hAnsi="Calibri" w:cs="Calibri"/>
                <w:b/>
                <w:bCs/>
                <w:color w:val="000000"/>
                <w:lang w:eastAsia="en-GB"/>
              </w:rPr>
            </w:pPr>
            <w:r w:rsidRPr="00972773">
              <w:rPr>
                <w:rFonts w:ascii="Calibri" w:eastAsia="Times New Roman" w:hAnsi="Calibri" w:cs="Calibri"/>
                <w:b/>
                <w:bCs/>
                <w:color w:val="000000"/>
                <w:lang w:eastAsia="en-GB"/>
              </w:rPr>
              <w:t>SIZE</w:t>
            </w:r>
          </w:p>
        </w:tc>
        <w:tc>
          <w:tcPr>
            <w:tcW w:w="992" w:type="dxa"/>
            <w:tcBorders>
              <w:top w:val="nil"/>
              <w:left w:val="nil"/>
              <w:bottom w:val="single" w:sz="4" w:space="0" w:color="auto"/>
              <w:right w:val="single" w:sz="4" w:space="0" w:color="auto"/>
            </w:tcBorders>
            <w:shd w:val="clear" w:color="auto" w:fill="auto"/>
            <w:noWrap/>
            <w:vAlign w:val="bottom"/>
            <w:hideMark/>
          </w:tcPr>
          <w:p w14:paraId="1ABDC866" w14:textId="77777777" w:rsidR="00972773" w:rsidRPr="00972773" w:rsidRDefault="00972773" w:rsidP="00972773">
            <w:pPr>
              <w:spacing w:after="0" w:line="240" w:lineRule="auto"/>
              <w:jc w:val="right"/>
              <w:rPr>
                <w:rFonts w:ascii="Calibri" w:eastAsia="Times New Roman" w:hAnsi="Calibri" w:cs="Calibri"/>
                <w:color w:val="000000"/>
                <w:lang w:eastAsia="en-GB"/>
              </w:rPr>
            </w:pPr>
            <w:r w:rsidRPr="00972773">
              <w:rPr>
                <w:rFonts w:ascii="Calibri" w:eastAsia="Times New Roman" w:hAnsi="Calibri" w:cs="Calibri"/>
                <w:color w:val="000000"/>
                <w:lang w:eastAsia="en-GB"/>
              </w:rPr>
              <w:t>-0.09982</w:t>
            </w:r>
          </w:p>
        </w:tc>
        <w:tc>
          <w:tcPr>
            <w:tcW w:w="992" w:type="dxa"/>
            <w:tcBorders>
              <w:top w:val="nil"/>
              <w:left w:val="nil"/>
              <w:bottom w:val="single" w:sz="4" w:space="0" w:color="auto"/>
              <w:right w:val="single" w:sz="4" w:space="0" w:color="auto"/>
            </w:tcBorders>
            <w:shd w:val="clear" w:color="auto" w:fill="auto"/>
            <w:noWrap/>
            <w:vAlign w:val="bottom"/>
            <w:hideMark/>
          </w:tcPr>
          <w:p w14:paraId="7DBDBDA1" w14:textId="77777777" w:rsidR="00972773" w:rsidRPr="00972773" w:rsidRDefault="00972773" w:rsidP="00972773">
            <w:pPr>
              <w:spacing w:after="0" w:line="240" w:lineRule="auto"/>
              <w:jc w:val="right"/>
              <w:rPr>
                <w:rFonts w:ascii="Calibri" w:eastAsia="Times New Roman" w:hAnsi="Calibri" w:cs="Calibri"/>
                <w:color w:val="000000"/>
                <w:lang w:eastAsia="en-GB"/>
              </w:rPr>
            </w:pPr>
            <w:r w:rsidRPr="00972773">
              <w:rPr>
                <w:rFonts w:ascii="Calibri" w:eastAsia="Times New Roman" w:hAnsi="Calibri" w:cs="Calibri"/>
                <w:color w:val="000000"/>
                <w:lang w:eastAsia="en-GB"/>
              </w:rPr>
              <w:t>-0.45133</w:t>
            </w:r>
          </w:p>
        </w:tc>
        <w:tc>
          <w:tcPr>
            <w:tcW w:w="992" w:type="dxa"/>
            <w:tcBorders>
              <w:top w:val="nil"/>
              <w:left w:val="nil"/>
              <w:bottom w:val="single" w:sz="4" w:space="0" w:color="auto"/>
              <w:right w:val="single" w:sz="4" w:space="0" w:color="auto"/>
            </w:tcBorders>
            <w:shd w:val="clear" w:color="auto" w:fill="auto"/>
            <w:noWrap/>
            <w:vAlign w:val="bottom"/>
            <w:hideMark/>
          </w:tcPr>
          <w:p w14:paraId="7320BBC0" w14:textId="77777777" w:rsidR="00972773" w:rsidRPr="00972773" w:rsidRDefault="00972773" w:rsidP="00972773">
            <w:pPr>
              <w:spacing w:after="0" w:line="240" w:lineRule="auto"/>
              <w:jc w:val="right"/>
              <w:rPr>
                <w:rFonts w:ascii="Calibri" w:eastAsia="Times New Roman" w:hAnsi="Calibri" w:cs="Calibri"/>
                <w:color w:val="000000"/>
                <w:lang w:eastAsia="en-GB"/>
              </w:rPr>
            </w:pPr>
            <w:r w:rsidRPr="00972773">
              <w:rPr>
                <w:rFonts w:ascii="Calibri" w:eastAsia="Times New Roman" w:hAnsi="Calibri" w:cs="Calibri"/>
                <w:color w:val="000000"/>
                <w:lang w:eastAsia="en-GB"/>
              </w:rPr>
              <w:t>-0.48399</w:t>
            </w:r>
          </w:p>
        </w:tc>
        <w:tc>
          <w:tcPr>
            <w:tcW w:w="992" w:type="dxa"/>
            <w:tcBorders>
              <w:top w:val="nil"/>
              <w:left w:val="nil"/>
              <w:bottom w:val="single" w:sz="4" w:space="0" w:color="auto"/>
              <w:right w:val="single" w:sz="4" w:space="0" w:color="auto"/>
            </w:tcBorders>
            <w:shd w:val="clear" w:color="auto" w:fill="auto"/>
            <w:noWrap/>
            <w:vAlign w:val="bottom"/>
            <w:hideMark/>
          </w:tcPr>
          <w:p w14:paraId="49CFB51A" w14:textId="77777777" w:rsidR="00972773" w:rsidRPr="00972773" w:rsidRDefault="00972773" w:rsidP="00972773">
            <w:pPr>
              <w:spacing w:after="0" w:line="240" w:lineRule="auto"/>
              <w:jc w:val="right"/>
              <w:rPr>
                <w:rFonts w:ascii="Calibri" w:eastAsia="Times New Roman" w:hAnsi="Calibri" w:cs="Calibri"/>
                <w:color w:val="000000"/>
                <w:lang w:eastAsia="en-GB"/>
              </w:rPr>
            </w:pPr>
            <w:r w:rsidRPr="00972773">
              <w:rPr>
                <w:rFonts w:ascii="Calibri" w:eastAsia="Times New Roman" w:hAnsi="Calibri" w:cs="Calibri"/>
                <w:color w:val="000000"/>
                <w:lang w:eastAsia="en-GB"/>
              </w:rPr>
              <w:t>-0.54295</w:t>
            </w:r>
          </w:p>
        </w:tc>
        <w:tc>
          <w:tcPr>
            <w:tcW w:w="992" w:type="dxa"/>
            <w:tcBorders>
              <w:top w:val="nil"/>
              <w:left w:val="nil"/>
              <w:bottom w:val="single" w:sz="4" w:space="0" w:color="auto"/>
              <w:right w:val="single" w:sz="4" w:space="0" w:color="auto"/>
            </w:tcBorders>
            <w:shd w:val="clear" w:color="auto" w:fill="auto"/>
            <w:noWrap/>
            <w:vAlign w:val="bottom"/>
            <w:hideMark/>
          </w:tcPr>
          <w:p w14:paraId="40638621" w14:textId="77777777" w:rsidR="00972773" w:rsidRPr="00972773" w:rsidRDefault="00972773" w:rsidP="00972773">
            <w:pPr>
              <w:spacing w:after="0" w:line="240" w:lineRule="auto"/>
              <w:jc w:val="right"/>
              <w:rPr>
                <w:rFonts w:ascii="Calibri" w:eastAsia="Times New Roman" w:hAnsi="Calibri" w:cs="Calibri"/>
                <w:color w:val="000000"/>
                <w:lang w:eastAsia="en-GB"/>
              </w:rPr>
            </w:pPr>
            <w:r w:rsidRPr="00972773">
              <w:rPr>
                <w:rFonts w:ascii="Calibri" w:eastAsia="Times New Roman" w:hAnsi="Calibri" w:cs="Calibri"/>
                <w:color w:val="000000"/>
                <w:lang w:eastAsia="en-GB"/>
              </w:rPr>
              <w:t>0.079509</w:t>
            </w:r>
          </w:p>
        </w:tc>
        <w:tc>
          <w:tcPr>
            <w:tcW w:w="886" w:type="dxa"/>
            <w:tcBorders>
              <w:top w:val="nil"/>
              <w:left w:val="nil"/>
              <w:bottom w:val="single" w:sz="4" w:space="0" w:color="auto"/>
              <w:right w:val="single" w:sz="4" w:space="0" w:color="auto"/>
            </w:tcBorders>
            <w:shd w:val="clear" w:color="auto" w:fill="auto"/>
            <w:noWrap/>
            <w:vAlign w:val="bottom"/>
            <w:hideMark/>
          </w:tcPr>
          <w:p w14:paraId="451D781B" w14:textId="77777777" w:rsidR="00972773" w:rsidRPr="00972773" w:rsidRDefault="00972773" w:rsidP="00972773">
            <w:pPr>
              <w:spacing w:after="0" w:line="240" w:lineRule="auto"/>
              <w:jc w:val="right"/>
              <w:rPr>
                <w:rFonts w:ascii="Calibri" w:eastAsia="Times New Roman" w:hAnsi="Calibri" w:cs="Calibri"/>
                <w:color w:val="000000"/>
                <w:lang w:eastAsia="en-GB"/>
              </w:rPr>
            </w:pPr>
            <w:r w:rsidRPr="00972773">
              <w:rPr>
                <w:rFonts w:ascii="Calibri" w:eastAsia="Times New Roman" w:hAnsi="Calibri" w:cs="Calibri"/>
                <w:color w:val="000000"/>
                <w:lang w:eastAsia="en-GB"/>
              </w:rPr>
              <w:t>0.44907</w:t>
            </w:r>
          </w:p>
        </w:tc>
        <w:tc>
          <w:tcPr>
            <w:tcW w:w="886" w:type="dxa"/>
            <w:tcBorders>
              <w:top w:val="nil"/>
              <w:left w:val="nil"/>
              <w:bottom w:val="single" w:sz="4" w:space="0" w:color="auto"/>
              <w:right w:val="single" w:sz="4" w:space="0" w:color="auto"/>
            </w:tcBorders>
            <w:shd w:val="clear" w:color="auto" w:fill="auto"/>
            <w:noWrap/>
            <w:vAlign w:val="bottom"/>
            <w:hideMark/>
          </w:tcPr>
          <w:p w14:paraId="16956EAA" w14:textId="77777777" w:rsidR="00972773" w:rsidRPr="00972773" w:rsidRDefault="00972773" w:rsidP="00972773">
            <w:pPr>
              <w:spacing w:after="0" w:line="240" w:lineRule="auto"/>
              <w:jc w:val="right"/>
              <w:rPr>
                <w:rFonts w:ascii="Calibri" w:eastAsia="Times New Roman" w:hAnsi="Calibri" w:cs="Calibri"/>
                <w:color w:val="000000"/>
                <w:lang w:eastAsia="en-GB"/>
              </w:rPr>
            </w:pPr>
            <w:r w:rsidRPr="00972773">
              <w:rPr>
                <w:rFonts w:ascii="Calibri" w:eastAsia="Times New Roman" w:hAnsi="Calibri" w:cs="Calibri"/>
                <w:color w:val="000000"/>
                <w:lang w:eastAsia="en-GB"/>
              </w:rPr>
              <w:t>1</w:t>
            </w:r>
          </w:p>
        </w:tc>
        <w:tc>
          <w:tcPr>
            <w:tcW w:w="1209" w:type="dxa"/>
            <w:tcBorders>
              <w:top w:val="nil"/>
              <w:left w:val="nil"/>
              <w:bottom w:val="single" w:sz="4" w:space="0" w:color="auto"/>
              <w:right w:val="single" w:sz="4" w:space="0" w:color="auto"/>
            </w:tcBorders>
            <w:shd w:val="clear" w:color="auto" w:fill="auto"/>
            <w:noWrap/>
            <w:vAlign w:val="bottom"/>
            <w:hideMark/>
          </w:tcPr>
          <w:p w14:paraId="7DC334D7" w14:textId="77777777" w:rsidR="00972773" w:rsidRPr="00972773" w:rsidRDefault="00972773" w:rsidP="00972773">
            <w:pPr>
              <w:spacing w:after="0" w:line="240" w:lineRule="auto"/>
              <w:rPr>
                <w:rFonts w:ascii="Calibri" w:eastAsia="Times New Roman" w:hAnsi="Calibri" w:cs="Calibri"/>
                <w:color w:val="000000"/>
                <w:lang w:eastAsia="en-GB"/>
              </w:rPr>
            </w:pPr>
            <w:r w:rsidRPr="00972773">
              <w:rPr>
                <w:rFonts w:ascii="Calibri" w:eastAsia="Times New Roman" w:hAnsi="Calibri" w:cs="Calibri"/>
                <w:color w:val="000000"/>
                <w:lang w:eastAsia="en-GB"/>
              </w:rPr>
              <w:t> </w:t>
            </w:r>
          </w:p>
        </w:tc>
      </w:tr>
      <w:tr w:rsidR="00C77638" w:rsidRPr="00972773" w14:paraId="51DD56F1" w14:textId="77777777" w:rsidTr="00C77638">
        <w:trPr>
          <w:trHeight w:val="207"/>
        </w:trPr>
        <w:tc>
          <w:tcPr>
            <w:tcW w:w="1243" w:type="dxa"/>
            <w:tcBorders>
              <w:top w:val="nil"/>
              <w:left w:val="single" w:sz="4" w:space="0" w:color="auto"/>
              <w:bottom w:val="single" w:sz="4" w:space="0" w:color="auto"/>
              <w:right w:val="single" w:sz="4" w:space="0" w:color="auto"/>
            </w:tcBorders>
            <w:shd w:val="clear" w:color="auto" w:fill="auto"/>
            <w:noWrap/>
            <w:vAlign w:val="bottom"/>
            <w:hideMark/>
          </w:tcPr>
          <w:p w14:paraId="5575B75D" w14:textId="77777777" w:rsidR="00972773" w:rsidRPr="00972773" w:rsidRDefault="00972773" w:rsidP="00972773">
            <w:pPr>
              <w:spacing w:after="0" w:line="240" w:lineRule="auto"/>
              <w:rPr>
                <w:rFonts w:ascii="Calibri" w:eastAsia="Times New Roman" w:hAnsi="Calibri" w:cs="Calibri"/>
                <w:b/>
                <w:bCs/>
                <w:color w:val="000000"/>
                <w:lang w:eastAsia="en-GB"/>
              </w:rPr>
            </w:pPr>
            <w:r w:rsidRPr="00972773">
              <w:rPr>
                <w:rFonts w:ascii="Calibri" w:eastAsia="Times New Roman" w:hAnsi="Calibri" w:cs="Calibri"/>
                <w:b/>
                <w:bCs/>
                <w:color w:val="000000"/>
                <w:lang w:eastAsia="en-GB"/>
              </w:rPr>
              <w:t>GROWTH RATE</w:t>
            </w:r>
          </w:p>
        </w:tc>
        <w:tc>
          <w:tcPr>
            <w:tcW w:w="992" w:type="dxa"/>
            <w:tcBorders>
              <w:top w:val="nil"/>
              <w:left w:val="nil"/>
              <w:bottom w:val="single" w:sz="4" w:space="0" w:color="auto"/>
              <w:right w:val="single" w:sz="4" w:space="0" w:color="auto"/>
            </w:tcBorders>
            <w:shd w:val="clear" w:color="auto" w:fill="auto"/>
            <w:noWrap/>
            <w:vAlign w:val="bottom"/>
            <w:hideMark/>
          </w:tcPr>
          <w:p w14:paraId="20084B4C" w14:textId="77777777" w:rsidR="00972773" w:rsidRPr="00972773" w:rsidRDefault="00972773" w:rsidP="00972773">
            <w:pPr>
              <w:spacing w:after="0" w:line="240" w:lineRule="auto"/>
              <w:jc w:val="right"/>
              <w:rPr>
                <w:rFonts w:ascii="Calibri" w:eastAsia="Times New Roman" w:hAnsi="Calibri" w:cs="Calibri"/>
                <w:color w:val="000000"/>
                <w:lang w:eastAsia="en-GB"/>
              </w:rPr>
            </w:pPr>
            <w:r w:rsidRPr="00972773">
              <w:rPr>
                <w:rFonts w:ascii="Calibri" w:eastAsia="Times New Roman" w:hAnsi="Calibri" w:cs="Calibri"/>
                <w:color w:val="000000"/>
                <w:lang w:eastAsia="en-GB"/>
              </w:rPr>
              <w:t>0.003483</w:t>
            </w:r>
          </w:p>
        </w:tc>
        <w:tc>
          <w:tcPr>
            <w:tcW w:w="992" w:type="dxa"/>
            <w:tcBorders>
              <w:top w:val="nil"/>
              <w:left w:val="nil"/>
              <w:bottom w:val="single" w:sz="4" w:space="0" w:color="auto"/>
              <w:right w:val="single" w:sz="4" w:space="0" w:color="auto"/>
            </w:tcBorders>
            <w:shd w:val="clear" w:color="auto" w:fill="auto"/>
            <w:noWrap/>
            <w:vAlign w:val="bottom"/>
            <w:hideMark/>
          </w:tcPr>
          <w:p w14:paraId="793D5449" w14:textId="77777777" w:rsidR="00972773" w:rsidRPr="00972773" w:rsidRDefault="00972773" w:rsidP="00972773">
            <w:pPr>
              <w:spacing w:after="0" w:line="240" w:lineRule="auto"/>
              <w:jc w:val="right"/>
              <w:rPr>
                <w:rFonts w:ascii="Calibri" w:eastAsia="Times New Roman" w:hAnsi="Calibri" w:cs="Calibri"/>
                <w:color w:val="000000"/>
                <w:lang w:eastAsia="en-GB"/>
              </w:rPr>
            </w:pPr>
            <w:r w:rsidRPr="00972773">
              <w:rPr>
                <w:rFonts w:ascii="Calibri" w:eastAsia="Times New Roman" w:hAnsi="Calibri" w:cs="Calibri"/>
                <w:color w:val="000000"/>
                <w:lang w:eastAsia="en-GB"/>
              </w:rPr>
              <w:t>0.138243</w:t>
            </w:r>
          </w:p>
        </w:tc>
        <w:tc>
          <w:tcPr>
            <w:tcW w:w="992" w:type="dxa"/>
            <w:tcBorders>
              <w:top w:val="nil"/>
              <w:left w:val="nil"/>
              <w:bottom w:val="single" w:sz="4" w:space="0" w:color="auto"/>
              <w:right w:val="single" w:sz="4" w:space="0" w:color="auto"/>
            </w:tcBorders>
            <w:shd w:val="clear" w:color="auto" w:fill="auto"/>
            <w:noWrap/>
            <w:vAlign w:val="bottom"/>
            <w:hideMark/>
          </w:tcPr>
          <w:p w14:paraId="40D75EC5" w14:textId="77777777" w:rsidR="00972773" w:rsidRPr="00972773" w:rsidRDefault="00972773" w:rsidP="00972773">
            <w:pPr>
              <w:spacing w:after="0" w:line="240" w:lineRule="auto"/>
              <w:jc w:val="right"/>
              <w:rPr>
                <w:rFonts w:ascii="Calibri" w:eastAsia="Times New Roman" w:hAnsi="Calibri" w:cs="Calibri"/>
                <w:color w:val="000000"/>
                <w:lang w:eastAsia="en-GB"/>
              </w:rPr>
            </w:pPr>
            <w:r w:rsidRPr="00972773">
              <w:rPr>
                <w:rFonts w:ascii="Calibri" w:eastAsia="Times New Roman" w:hAnsi="Calibri" w:cs="Calibri"/>
                <w:color w:val="000000"/>
                <w:lang w:eastAsia="en-GB"/>
              </w:rPr>
              <w:t>0.019735</w:t>
            </w:r>
          </w:p>
        </w:tc>
        <w:tc>
          <w:tcPr>
            <w:tcW w:w="992" w:type="dxa"/>
            <w:tcBorders>
              <w:top w:val="nil"/>
              <w:left w:val="nil"/>
              <w:bottom w:val="single" w:sz="4" w:space="0" w:color="auto"/>
              <w:right w:val="single" w:sz="4" w:space="0" w:color="auto"/>
            </w:tcBorders>
            <w:shd w:val="clear" w:color="auto" w:fill="auto"/>
            <w:noWrap/>
            <w:vAlign w:val="bottom"/>
            <w:hideMark/>
          </w:tcPr>
          <w:p w14:paraId="215B74EC" w14:textId="77777777" w:rsidR="00972773" w:rsidRPr="00972773" w:rsidRDefault="00972773" w:rsidP="00972773">
            <w:pPr>
              <w:spacing w:after="0" w:line="240" w:lineRule="auto"/>
              <w:jc w:val="right"/>
              <w:rPr>
                <w:rFonts w:ascii="Calibri" w:eastAsia="Times New Roman" w:hAnsi="Calibri" w:cs="Calibri"/>
                <w:color w:val="000000"/>
                <w:lang w:eastAsia="en-GB"/>
              </w:rPr>
            </w:pPr>
            <w:r w:rsidRPr="00972773">
              <w:rPr>
                <w:rFonts w:ascii="Calibri" w:eastAsia="Times New Roman" w:hAnsi="Calibri" w:cs="Calibri"/>
                <w:color w:val="000000"/>
                <w:lang w:eastAsia="en-GB"/>
              </w:rPr>
              <w:t>0.053767</w:t>
            </w:r>
          </w:p>
        </w:tc>
        <w:tc>
          <w:tcPr>
            <w:tcW w:w="992" w:type="dxa"/>
            <w:tcBorders>
              <w:top w:val="nil"/>
              <w:left w:val="nil"/>
              <w:bottom w:val="single" w:sz="4" w:space="0" w:color="auto"/>
              <w:right w:val="single" w:sz="4" w:space="0" w:color="auto"/>
            </w:tcBorders>
            <w:shd w:val="clear" w:color="auto" w:fill="auto"/>
            <w:noWrap/>
            <w:vAlign w:val="bottom"/>
            <w:hideMark/>
          </w:tcPr>
          <w:p w14:paraId="4CA154E8" w14:textId="77777777" w:rsidR="00972773" w:rsidRPr="00972773" w:rsidRDefault="00972773" w:rsidP="00972773">
            <w:pPr>
              <w:spacing w:after="0" w:line="240" w:lineRule="auto"/>
              <w:jc w:val="right"/>
              <w:rPr>
                <w:rFonts w:ascii="Calibri" w:eastAsia="Times New Roman" w:hAnsi="Calibri" w:cs="Calibri"/>
                <w:color w:val="000000"/>
                <w:lang w:eastAsia="en-GB"/>
              </w:rPr>
            </w:pPr>
            <w:r w:rsidRPr="00972773">
              <w:rPr>
                <w:rFonts w:ascii="Calibri" w:eastAsia="Times New Roman" w:hAnsi="Calibri" w:cs="Calibri"/>
                <w:color w:val="000000"/>
                <w:lang w:eastAsia="en-GB"/>
              </w:rPr>
              <w:t>0.050912</w:t>
            </w:r>
          </w:p>
        </w:tc>
        <w:tc>
          <w:tcPr>
            <w:tcW w:w="886" w:type="dxa"/>
            <w:tcBorders>
              <w:top w:val="nil"/>
              <w:left w:val="nil"/>
              <w:bottom w:val="single" w:sz="4" w:space="0" w:color="auto"/>
              <w:right w:val="single" w:sz="4" w:space="0" w:color="auto"/>
            </w:tcBorders>
            <w:shd w:val="clear" w:color="auto" w:fill="auto"/>
            <w:noWrap/>
            <w:vAlign w:val="bottom"/>
            <w:hideMark/>
          </w:tcPr>
          <w:p w14:paraId="64431395" w14:textId="77777777" w:rsidR="00972773" w:rsidRPr="00972773" w:rsidRDefault="00972773" w:rsidP="00972773">
            <w:pPr>
              <w:spacing w:after="0" w:line="240" w:lineRule="auto"/>
              <w:jc w:val="right"/>
              <w:rPr>
                <w:rFonts w:ascii="Calibri" w:eastAsia="Times New Roman" w:hAnsi="Calibri" w:cs="Calibri"/>
                <w:color w:val="000000"/>
                <w:lang w:eastAsia="en-GB"/>
              </w:rPr>
            </w:pPr>
            <w:r w:rsidRPr="00972773">
              <w:rPr>
                <w:rFonts w:ascii="Calibri" w:eastAsia="Times New Roman" w:hAnsi="Calibri" w:cs="Calibri"/>
                <w:color w:val="000000"/>
                <w:lang w:eastAsia="en-GB"/>
              </w:rPr>
              <w:t>-0.30436</w:t>
            </w:r>
          </w:p>
        </w:tc>
        <w:tc>
          <w:tcPr>
            <w:tcW w:w="886" w:type="dxa"/>
            <w:tcBorders>
              <w:top w:val="nil"/>
              <w:left w:val="nil"/>
              <w:bottom w:val="single" w:sz="4" w:space="0" w:color="auto"/>
              <w:right w:val="single" w:sz="4" w:space="0" w:color="auto"/>
            </w:tcBorders>
            <w:shd w:val="clear" w:color="auto" w:fill="auto"/>
            <w:noWrap/>
            <w:vAlign w:val="bottom"/>
            <w:hideMark/>
          </w:tcPr>
          <w:p w14:paraId="7C532A05" w14:textId="77777777" w:rsidR="00972773" w:rsidRPr="00972773" w:rsidRDefault="00972773" w:rsidP="00972773">
            <w:pPr>
              <w:spacing w:after="0" w:line="240" w:lineRule="auto"/>
              <w:jc w:val="right"/>
              <w:rPr>
                <w:rFonts w:ascii="Calibri" w:eastAsia="Times New Roman" w:hAnsi="Calibri" w:cs="Calibri"/>
                <w:color w:val="000000"/>
                <w:lang w:eastAsia="en-GB"/>
              </w:rPr>
            </w:pPr>
            <w:r w:rsidRPr="00972773">
              <w:rPr>
                <w:rFonts w:ascii="Calibri" w:eastAsia="Times New Roman" w:hAnsi="Calibri" w:cs="Calibri"/>
                <w:color w:val="000000"/>
                <w:lang w:eastAsia="en-GB"/>
              </w:rPr>
              <w:t>-0.26565</w:t>
            </w:r>
          </w:p>
        </w:tc>
        <w:tc>
          <w:tcPr>
            <w:tcW w:w="1209" w:type="dxa"/>
            <w:tcBorders>
              <w:top w:val="nil"/>
              <w:left w:val="nil"/>
              <w:bottom w:val="single" w:sz="4" w:space="0" w:color="auto"/>
              <w:right w:val="single" w:sz="4" w:space="0" w:color="auto"/>
            </w:tcBorders>
            <w:shd w:val="clear" w:color="auto" w:fill="auto"/>
            <w:noWrap/>
            <w:vAlign w:val="bottom"/>
            <w:hideMark/>
          </w:tcPr>
          <w:p w14:paraId="1D7FFB6D" w14:textId="77777777" w:rsidR="00972773" w:rsidRPr="00972773" w:rsidRDefault="00972773" w:rsidP="00972773">
            <w:pPr>
              <w:spacing w:after="0" w:line="240" w:lineRule="auto"/>
              <w:jc w:val="right"/>
              <w:rPr>
                <w:rFonts w:ascii="Calibri" w:eastAsia="Times New Roman" w:hAnsi="Calibri" w:cs="Calibri"/>
                <w:color w:val="000000"/>
                <w:lang w:eastAsia="en-GB"/>
              </w:rPr>
            </w:pPr>
            <w:r w:rsidRPr="00972773">
              <w:rPr>
                <w:rFonts w:ascii="Calibri" w:eastAsia="Times New Roman" w:hAnsi="Calibri" w:cs="Calibri"/>
                <w:color w:val="000000"/>
                <w:lang w:eastAsia="en-GB"/>
              </w:rPr>
              <w:t>1</w:t>
            </w:r>
          </w:p>
        </w:tc>
      </w:tr>
    </w:tbl>
    <w:p w14:paraId="2217E1C9" w14:textId="3F6E4A7D" w:rsidR="00972773" w:rsidRPr="00C13572" w:rsidRDefault="00C13572" w:rsidP="00C13572">
      <w:pPr>
        <w:spacing w:line="254" w:lineRule="auto"/>
        <w:jc w:val="center"/>
        <w:rPr>
          <w:lang w:val="en"/>
        </w:rPr>
      </w:pPr>
      <w:r>
        <w:rPr>
          <w:lang w:val="en"/>
        </w:rPr>
        <w:t>Table one: Correlation Matrix</w:t>
      </w:r>
    </w:p>
    <w:p w14:paraId="1280AB1C" w14:textId="77777777" w:rsidR="00C13572" w:rsidRDefault="00C13572" w:rsidP="00972773">
      <w:pPr>
        <w:spacing w:line="254" w:lineRule="auto"/>
        <w:jc w:val="both"/>
        <w:rPr>
          <w:lang w:val="en"/>
        </w:rPr>
      </w:pPr>
    </w:p>
    <w:p w14:paraId="074109D6" w14:textId="052C608D" w:rsidR="00972773" w:rsidRDefault="006D5470" w:rsidP="004E6314">
      <w:pPr>
        <w:spacing w:line="360" w:lineRule="auto"/>
        <w:jc w:val="both"/>
        <w:rPr>
          <w:lang w:val="en"/>
        </w:rPr>
      </w:pPr>
      <w:r>
        <w:rPr>
          <w:lang w:val="en"/>
        </w:rPr>
        <w:t>As mentioned earlier, the Pearson’s correlation provides quantitative information on the</w:t>
      </w:r>
      <w:r w:rsidR="002553DE">
        <w:rPr>
          <w:lang w:val="en"/>
        </w:rPr>
        <w:t xml:space="preserve"> degree of</w:t>
      </w:r>
      <w:r>
        <w:rPr>
          <w:lang w:val="en"/>
        </w:rPr>
        <w:t xml:space="preserve"> </w:t>
      </w:r>
      <w:r w:rsidR="00B7615C">
        <w:rPr>
          <w:lang w:val="en"/>
        </w:rPr>
        <w:t xml:space="preserve">linear </w:t>
      </w:r>
      <w:r w:rsidR="007A49F4">
        <w:rPr>
          <w:lang w:val="en"/>
        </w:rPr>
        <w:t xml:space="preserve">association between two variables, i.e. to demonstrate if they are </w:t>
      </w:r>
      <w:r w:rsidR="007A49F4" w:rsidRPr="007A49F4">
        <w:rPr>
          <w:i/>
          <w:iCs/>
          <w:lang w:val="en"/>
        </w:rPr>
        <w:t>correlated</w:t>
      </w:r>
      <w:r w:rsidR="007A49F4">
        <w:rPr>
          <w:lang w:val="en"/>
        </w:rPr>
        <w:t xml:space="preserve">. </w:t>
      </w:r>
      <w:r w:rsidR="002553DE">
        <w:rPr>
          <w:lang w:val="en"/>
        </w:rPr>
        <w:t>The measure that provide</w:t>
      </w:r>
      <w:r w:rsidR="005E55DC">
        <w:rPr>
          <w:lang w:val="en"/>
        </w:rPr>
        <w:t>s</w:t>
      </w:r>
      <w:r w:rsidR="002553DE">
        <w:rPr>
          <w:lang w:val="en"/>
        </w:rPr>
        <w:t xml:space="preserve"> information on the extent of the association is the linear correlation coefficient r (or R)</w:t>
      </w:r>
      <w:r w:rsidR="00C01AC5">
        <w:rPr>
          <w:lang w:val="en"/>
        </w:rPr>
        <w:t xml:space="preserve"> and can be </w:t>
      </w:r>
      <w:r w:rsidR="00C01AC5" w:rsidRPr="00C01AC5">
        <w:t>categorised</w:t>
      </w:r>
      <w:r w:rsidR="00C01AC5">
        <w:rPr>
          <w:lang w:val="en"/>
        </w:rPr>
        <w:t xml:space="preserve"> as positive (+), negative (-) or neutral (zero). Fundamentally, it gives an idea about the direction of the variables as one of the two changes in value, however not</w:t>
      </w:r>
      <w:r w:rsidR="005878EB">
        <w:rPr>
          <w:lang w:val="en"/>
        </w:rPr>
        <w:t xml:space="preserve"> implying causation</w:t>
      </w:r>
      <w:r w:rsidR="00C01AC5">
        <w:rPr>
          <w:lang w:val="en"/>
        </w:rPr>
        <w:t xml:space="preserve">. </w:t>
      </w:r>
      <w:r w:rsidR="00E207BC">
        <w:rPr>
          <w:lang w:val="en"/>
        </w:rPr>
        <w:t>T</w:t>
      </w:r>
      <w:r w:rsidR="00E207BC" w:rsidRPr="00E207BC">
        <w:rPr>
          <w:lang w:val="en"/>
        </w:rPr>
        <w:t>wo hypotheses are considered in this study</w:t>
      </w:r>
      <w:r w:rsidR="00E207BC">
        <w:rPr>
          <w:lang w:val="en"/>
        </w:rPr>
        <w:t>:</w:t>
      </w:r>
    </w:p>
    <w:p w14:paraId="7CE6A18C" w14:textId="77777777" w:rsidR="00E207BC" w:rsidRPr="00E207BC" w:rsidRDefault="00E207BC" w:rsidP="00E207BC">
      <w:pPr>
        <w:spacing w:line="254" w:lineRule="auto"/>
        <w:jc w:val="center"/>
        <w:rPr>
          <w:rFonts w:ascii="Cambria Math" w:hAnsi="Cambria Math"/>
          <w:i/>
          <w:iCs/>
        </w:rPr>
      </w:pPr>
      <w:r w:rsidRPr="00E207BC">
        <w:rPr>
          <w:rFonts w:ascii="Cambria Math" w:hAnsi="Cambria Math"/>
          <w:i/>
          <w:iCs/>
        </w:rPr>
        <w:t xml:space="preserve">H0 : </w:t>
      </w:r>
      <w:r w:rsidRPr="00E207BC">
        <w:rPr>
          <w:rFonts w:ascii="Cambria Math" w:hAnsi="Cambria Math"/>
          <w:i/>
          <w:iCs/>
        </w:rPr>
        <w:sym w:font="Symbol" w:char="F072"/>
      </w:r>
      <w:r w:rsidRPr="00E207BC">
        <w:rPr>
          <w:rFonts w:ascii="Cambria Math" w:hAnsi="Cambria Math"/>
          <w:i/>
          <w:iCs/>
        </w:rPr>
        <w:t xml:space="preserve"> </w:t>
      </w:r>
      <w:r w:rsidRPr="00E207BC">
        <w:rPr>
          <w:rFonts w:ascii="Cambria Math" w:hAnsi="Cambria Math"/>
          <w:i/>
          <w:iCs/>
        </w:rPr>
        <w:sym w:font="Symbol" w:char="F03D"/>
      </w:r>
      <w:r w:rsidRPr="00E207BC">
        <w:rPr>
          <w:rFonts w:ascii="Cambria Math" w:hAnsi="Cambria Math"/>
          <w:i/>
          <w:iCs/>
        </w:rPr>
        <w:t xml:space="preserve"> 0 </w:t>
      </w:r>
    </w:p>
    <w:p w14:paraId="375B8A7B" w14:textId="272CEF02" w:rsidR="00E207BC" w:rsidRPr="00E207BC" w:rsidRDefault="00E207BC" w:rsidP="00E207BC">
      <w:pPr>
        <w:spacing w:line="254" w:lineRule="auto"/>
        <w:jc w:val="center"/>
        <w:rPr>
          <w:rFonts w:ascii="Cambria Math" w:hAnsi="Cambria Math"/>
          <w:i/>
          <w:iCs/>
          <w:lang w:val="en"/>
        </w:rPr>
      </w:pPr>
      <w:r w:rsidRPr="00E207BC">
        <w:rPr>
          <w:rFonts w:ascii="Cambria Math" w:hAnsi="Cambria Math"/>
          <w:i/>
          <w:iCs/>
        </w:rPr>
        <w:t>H1</w:t>
      </w:r>
      <w:r w:rsidR="005E55DC">
        <w:rPr>
          <w:rFonts w:ascii="Cambria Math" w:hAnsi="Cambria Math"/>
          <w:i/>
          <w:iCs/>
        </w:rPr>
        <w:t xml:space="preserve"> </w:t>
      </w:r>
      <w:r w:rsidRPr="00E207BC">
        <w:rPr>
          <w:rFonts w:ascii="Cambria Math" w:hAnsi="Cambria Math"/>
          <w:i/>
          <w:iCs/>
        </w:rPr>
        <w:t xml:space="preserve">: </w:t>
      </w:r>
      <w:r w:rsidRPr="00E207BC">
        <w:rPr>
          <w:rFonts w:ascii="Cambria Math" w:hAnsi="Cambria Math"/>
          <w:i/>
          <w:iCs/>
        </w:rPr>
        <w:sym w:font="Symbol" w:char="F072"/>
      </w:r>
      <w:r w:rsidRPr="00E207BC">
        <w:rPr>
          <w:rFonts w:ascii="Cambria Math" w:hAnsi="Cambria Math"/>
          <w:i/>
          <w:iCs/>
        </w:rPr>
        <w:t xml:space="preserve"> </w:t>
      </w:r>
      <w:r w:rsidRPr="00E207BC">
        <w:rPr>
          <w:rFonts w:ascii="Cambria Math" w:hAnsi="Cambria Math"/>
          <w:i/>
          <w:iCs/>
        </w:rPr>
        <w:sym w:font="Symbol" w:char="F0B9"/>
      </w:r>
      <w:r w:rsidRPr="00E207BC">
        <w:rPr>
          <w:rFonts w:ascii="Cambria Math" w:hAnsi="Cambria Math"/>
          <w:i/>
          <w:iCs/>
        </w:rPr>
        <w:t xml:space="preserve"> 0</w:t>
      </w:r>
    </w:p>
    <w:p w14:paraId="0E29028D" w14:textId="23E9BB2D" w:rsidR="00972773" w:rsidRDefault="00E207BC" w:rsidP="004E6314">
      <w:pPr>
        <w:spacing w:line="360" w:lineRule="auto"/>
        <w:jc w:val="both"/>
      </w:pPr>
      <w:r>
        <w:rPr>
          <w:lang w:val="en"/>
        </w:rPr>
        <w:t>The null hypothesis states that there is no correlation between the variables, while hypothesis 1 express a linear correlation, either positive or negative</w:t>
      </w:r>
      <w:r w:rsidR="004F12B6">
        <w:rPr>
          <w:lang w:val="en"/>
        </w:rPr>
        <w:t xml:space="preserve"> </w:t>
      </w:r>
      <w:r w:rsidR="004F12B6" w:rsidRPr="004F12B6">
        <w:t>(</w:t>
      </w:r>
      <w:proofErr w:type="spellStart"/>
      <w:r w:rsidR="004F12B6" w:rsidRPr="004F12B6">
        <w:t>Senthilnathan</w:t>
      </w:r>
      <w:proofErr w:type="spellEnd"/>
      <w:r w:rsidR="004F12B6" w:rsidRPr="004F12B6">
        <w:t>, 2019)</w:t>
      </w:r>
      <w:r w:rsidR="004F12B6">
        <w:t>.</w:t>
      </w:r>
    </w:p>
    <w:p w14:paraId="53B77E60" w14:textId="174C6244" w:rsidR="004F12B6" w:rsidRDefault="004F12B6" w:rsidP="004E6314">
      <w:pPr>
        <w:spacing w:line="360" w:lineRule="auto"/>
        <w:jc w:val="both"/>
      </w:pPr>
      <w:r>
        <w:t xml:space="preserve">The above table presents the </w:t>
      </w:r>
      <w:r w:rsidR="00A16337">
        <w:t>measurement</w:t>
      </w:r>
      <w:r>
        <w:t xml:space="preserve"> of the relationship between the variables used in the </w:t>
      </w:r>
      <w:r w:rsidR="00A16337">
        <w:t>study;</w:t>
      </w:r>
      <w:r w:rsidR="006E0FEF">
        <w:t xml:space="preserve"> </w:t>
      </w:r>
      <w:r w:rsidR="006E0FEF" w:rsidRPr="006E0FEF">
        <w:t>wh</w:t>
      </w:r>
      <w:r w:rsidR="00A16337">
        <w:t>ose</w:t>
      </w:r>
      <w:r w:rsidR="006E0FEF" w:rsidRPr="006E0FEF">
        <w:t xml:space="preserve"> results will now be interpreted</w:t>
      </w:r>
      <w:r>
        <w:t>. As it can be observed, the</w:t>
      </w:r>
      <w:r w:rsidR="00A16337">
        <w:t xml:space="preserve"> direction of the</w:t>
      </w:r>
      <w:r>
        <w:t xml:space="preserve"> values seem</w:t>
      </w:r>
      <w:r w:rsidR="00A16337">
        <w:t>s</w:t>
      </w:r>
      <w:r>
        <w:t xml:space="preserve"> consistent between the profitability measures ROI and ROA. </w:t>
      </w:r>
      <w:r w:rsidR="006E0FEF">
        <w:t>The R</w:t>
      </w:r>
      <w:r w:rsidR="005E55DC">
        <w:t>-</w:t>
      </w:r>
      <w:r w:rsidR="006E0FEF">
        <w:t xml:space="preserve">value is positive between ROI and Current Ratio, presenting a fair or moderate positive correlation with a value of 0.349. Furthermore, </w:t>
      </w:r>
      <w:r w:rsidR="006E0FEF">
        <w:lastRenderedPageBreak/>
        <w:t xml:space="preserve">the same outcome results from the association between ROI and Quick Ratio, </w:t>
      </w:r>
      <w:r w:rsidR="006E0FEF" w:rsidRPr="006E0FEF">
        <w:t>which shows a correlation</w:t>
      </w:r>
      <w:r w:rsidR="00AF70E4">
        <w:t>’s</w:t>
      </w:r>
      <w:r w:rsidR="006E0FEF" w:rsidRPr="006E0FEF">
        <w:t xml:space="preserve"> value of</w:t>
      </w:r>
      <w:r w:rsidR="006E0FEF">
        <w:t xml:space="preserve"> 0.353. This phenomenon occurs because C/R and Q/R’s </w:t>
      </w:r>
      <w:r w:rsidR="00A16337">
        <w:t>ratios</w:t>
      </w:r>
      <w:r w:rsidR="006E0FEF">
        <w:t xml:space="preserve"> are very similar in the companies’ sample considered. B</w:t>
      </w:r>
      <w:r w:rsidR="006E0FEF" w:rsidRPr="006E0FEF">
        <w:t xml:space="preserve">eing the </w:t>
      </w:r>
      <w:r w:rsidR="001610BB">
        <w:t xml:space="preserve">sample </w:t>
      </w:r>
      <w:r w:rsidR="00AF70E4">
        <w:t>composed</w:t>
      </w:r>
      <w:r w:rsidR="001610BB">
        <w:t xml:space="preserve"> by</w:t>
      </w:r>
      <w:r w:rsidR="006E0FEF" w:rsidRPr="006E0FEF">
        <w:t xml:space="preserve"> airlines, i.e.</w:t>
      </w:r>
      <w:r w:rsidR="001610BB">
        <w:t xml:space="preserve"> companies</w:t>
      </w:r>
      <w:r w:rsidR="006E0FEF" w:rsidRPr="006E0FEF">
        <w:t xml:space="preserve"> </w:t>
      </w:r>
      <w:r w:rsidR="001610BB">
        <w:t>operating</w:t>
      </w:r>
      <w:r w:rsidR="006E0FEF" w:rsidRPr="006E0FEF">
        <w:t xml:space="preserve"> mainly on services, their inventory is almost zero, leading to almost </w:t>
      </w:r>
      <w:r w:rsidR="001610BB">
        <w:t>no</w:t>
      </w:r>
      <w:r w:rsidR="006E0FEF" w:rsidRPr="006E0FEF">
        <w:t xml:space="preserve"> differences between the two ind</w:t>
      </w:r>
      <w:r w:rsidR="001610BB">
        <w:t xml:space="preserve">exes. </w:t>
      </w:r>
      <w:r w:rsidR="00AF70E4">
        <w:t xml:space="preserve">Similar results originate from the correlation coefficient between ROA and the liquidity ratios C/R and Q/R. </w:t>
      </w:r>
      <w:r w:rsidR="00246579">
        <w:t>Their R</w:t>
      </w:r>
      <w:r w:rsidR="00A16337">
        <w:t xml:space="preserve"> coefficients</w:t>
      </w:r>
      <w:r w:rsidR="00246579">
        <w:t xml:space="preserve"> show a positive</w:t>
      </w:r>
      <w:r w:rsidR="005E55DC">
        <w:t>,</w:t>
      </w:r>
      <w:r w:rsidR="00246579">
        <w:t xml:space="preserve"> strongly considerable high correlation of respectively 0.54 and 0.57. It can be observed that the two liquidity ratios have a positive correlation with the profitability of the businesses</w:t>
      </w:r>
      <w:r w:rsidR="005E55DC">
        <w:t>;</w:t>
      </w:r>
      <w:r w:rsidR="00246579">
        <w:t xml:space="preserve"> this</w:t>
      </w:r>
      <w:r w:rsidR="00A16337">
        <w:t xml:space="preserve"> outcome</w:t>
      </w:r>
      <w:r w:rsidR="00246579">
        <w:t xml:space="preserve"> implies that if the liquidity increase, even the profitability will increment. </w:t>
      </w:r>
    </w:p>
    <w:p w14:paraId="6C148EE1" w14:textId="2E27985D" w:rsidR="00B7615C" w:rsidRPr="00E207BC" w:rsidRDefault="00B7615C" w:rsidP="004E6314">
      <w:pPr>
        <w:spacing w:line="360" w:lineRule="auto"/>
        <w:jc w:val="both"/>
        <w:rPr>
          <w:lang w:val="en"/>
        </w:rPr>
      </w:pPr>
      <w:r>
        <w:rPr>
          <w:lang w:val="en"/>
        </w:rPr>
        <w:t xml:space="preserve">Contrary to the </w:t>
      </w:r>
      <w:r w:rsidR="005878EB">
        <w:rPr>
          <w:lang w:val="en"/>
        </w:rPr>
        <w:t>above-mentioned</w:t>
      </w:r>
      <w:r>
        <w:rPr>
          <w:lang w:val="en"/>
        </w:rPr>
        <w:t xml:space="preserve"> </w:t>
      </w:r>
      <w:r w:rsidR="005878EB">
        <w:rPr>
          <w:lang w:val="en"/>
        </w:rPr>
        <w:t xml:space="preserve">association, </w:t>
      </w:r>
      <w:r w:rsidR="005E55DC">
        <w:rPr>
          <w:lang w:val="en"/>
        </w:rPr>
        <w:t xml:space="preserve">a </w:t>
      </w:r>
      <w:r w:rsidR="005878EB">
        <w:rPr>
          <w:lang w:val="en"/>
        </w:rPr>
        <w:t>negative correlation is</w:t>
      </w:r>
      <w:r w:rsidR="00980537">
        <w:rPr>
          <w:lang w:val="en"/>
        </w:rPr>
        <w:t xml:space="preserve"> observed</w:t>
      </w:r>
      <w:r w:rsidR="005878EB">
        <w:rPr>
          <w:lang w:val="en"/>
        </w:rPr>
        <w:t xml:space="preserve"> between profitability and leverage. ROI and ROA reported similar outcomes</w:t>
      </w:r>
      <w:r w:rsidR="005E55DC">
        <w:rPr>
          <w:lang w:val="en"/>
        </w:rPr>
        <w:t xml:space="preserve"> again</w:t>
      </w:r>
      <w:r w:rsidR="005878EB">
        <w:rPr>
          <w:lang w:val="en"/>
        </w:rPr>
        <w:t xml:space="preserve">, </w:t>
      </w:r>
      <w:r w:rsidR="00980537">
        <w:rPr>
          <w:lang w:val="en"/>
        </w:rPr>
        <w:t>with a</w:t>
      </w:r>
      <w:r w:rsidR="005E55DC">
        <w:rPr>
          <w:lang w:val="en"/>
        </w:rPr>
        <w:t xml:space="preserve"> weak</w:t>
      </w:r>
      <w:r w:rsidR="00980537">
        <w:rPr>
          <w:lang w:val="en"/>
        </w:rPr>
        <w:t xml:space="preserve"> negative</w:t>
      </w:r>
      <w:r w:rsidR="00796B96">
        <w:rPr>
          <w:lang w:val="en"/>
        </w:rPr>
        <w:t xml:space="preserve"> </w:t>
      </w:r>
      <w:r w:rsidR="00980537">
        <w:rPr>
          <w:lang w:val="en"/>
        </w:rPr>
        <w:t xml:space="preserve">relationship with the Debt-to-Equity Ratio of </w:t>
      </w:r>
      <w:r w:rsidR="00796B96">
        <w:rPr>
          <w:lang w:val="en"/>
        </w:rPr>
        <w:t>-0.11 and -0.13. Furthermore, their relationship with the Debt-to-Capital Ratio shows a degree of association of -0.61 and -0.60, reporting</w:t>
      </w:r>
      <w:r w:rsidR="00256241">
        <w:rPr>
          <w:lang w:val="en"/>
        </w:rPr>
        <w:t>,</w:t>
      </w:r>
      <w:r w:rsidR="00796B96">
        <w:rPr>
          <w:lang w:val="en"/>
        </w:rPr>
        <w:t xml:space="preserve"> instead</w:t>
      </w:r>
      <w:r w:rsidR="00256241">
        <w:rPr>
          <w:lang w:val="en"/>
        </w:rPr>
        <w:t>,</w:t>
      </w:r>
      <w:r w:rsidR="00796B96">
        <w:rPr>
          <w:lang w:val="en"/>
        </w:rPr>
        <w:t xml:space="preserve"> a strongly weak negative correlation. </w:t>
      </w:r>
      <w:r w:rsidR="00B15E24">
        <w:rPr>
          <w:lang w:val="en"/>
        </w:rPr>
        <w:t>According to the findings, whenever the leverage incre</w:t>
      </w:r>
      <w:r w:rsidR="009D24E4">
        <w:rPr>
          <w:lang w:val="en"/>
        </w:rPr>
        <w:t>ase</w:t>
      </w:r>
      <w:r w:rsidR="0041330E">
        <w:rPr>
          <w:lang w:val="en"/>
        </w:rPr>
        <w:t>s</w:t>
      </w:r>
      <w:r w:rsidR="009D24E4">
        <w:rPr>
          <w:lang w:val="en"/>
        </w:rPr>
        <w:t xml:space="preserve"> the profitability decrease, indicating that the companies, to </w:t>
      </w:r>
      <w:r w:rsidR="009D24E4" w:rsidRPr="009D24E4">
        <w:t>maximise</w:t>
      </w:r>
      <w:r w:rsidR="009D24E4">
        <w:rPr>
          <w:lang w:val="en"/>
        </w:rPr>
        <w:t xml:space="preserve"> their profit, should reduce the debt financing in their capital structure.</w:t>
      </w:r>
    </w:p>
    <w:p w14:paraId="5F7C305A" w14:textId="5B521410" w:rsidR="00972773" w:rsidRPr="003E5B06" w:rsidRDefault="003E5B06" w:rsidP="004E6314">
      <w:pPr>
        <w:spacing w:line="360" w:lineRule="auto"/>
        <w:jc w:val="both"/>
        <w:rPr>
          <w:lang w:val="en"/>
        </w:rPr>
      </w:pPr>
      <w:r>
        <w:rPr>
          <w:lang w:val="en"/>
        </w:rPr>
        <w:t>The size, calculated on the number of the aircraft in operation in each company, presents insignificant negative results with the ROI and a fair negative correlation with the ROA. On the other hand, the Growth Rate’s variable shows</w:t>
      </w:r>
      <w:r w:rsidR="00256241">
        <w:rPr>
          <w:lang w:val="en"/>
        </w:rPr>
        <w:t xml:space="preserve"> an</w:t>
      </w:r>
      <w:r>
        <w:rPr>
          <w:lang w:val="en"/>
        </w:rPr>
        <w:t xml:space="preserve"> irrelevant negative association with the ROI and a weak negative association with the ROA.</w:t>
      </w:r>
    </w:p>
    <w:p w14:paraId="352CCA3F" w14:textId="0F2F9C0B" w:rsidR="00972773" w:rsidRDefault="00F573A2" w:rsidP="004E6314">
      <w:pPr>
        <w:spacing w:line="360" w:lineRule="auto"/>
        <w:jc w:val="both"/>
        <w:rPr>
          <w:b/>
          <w:bCs/>
          <w:lang w:val="en"/>
        </w:rPr>
      </w:pPr>
      <w:r>
        <w:rPr>
          <w:lang w:val="en"/>
        </w:rPr>
        <w:t xml:space="preserve">As previously stated, the correlation </w:t>
      </w:r>
      <w:r w:rsidR="00A76A41">
        <w:rPr>
          <w:lang w:val="en"/>
        </w:rPr>
        <w:t>analysis</w:t>
      </w:r>
      <w:r>
        <w:rPr>
          <w:lang w:val="en"/>
        </w:rPr>
        <w:t xml:space="preserve"> provides </w:t>
      </w:r>
      <w:r w:rsidR="00A76A41">
        <w:rPr>
          <w:lang w:val="en"/>
        </w:rPr>
        <w:t xml:space="preserve">information on the direction and strength of the association between two </w:t>
      </w:r>
      <w:r w:rsidR="00D11983">
        <w:rPr>
          <w:lang w:val="en"/>
        </w:rPr>
        <w:t>measures, expressing in which extent the two values move together. Its main limitation is that it does not determine the differences between the dependent and independent variable. For this reason, the regression analysis is a valid alternative that describe</w:t>
      </w:r>
      <w:r w:rsidR="00810810">
        <w:rPr>
          <w:lang w:val="en"/>
        </w:rPr>
        <w:t>s</w:t>
      </w:r>
      <w:r w:rsidR="00D11983">
        <w:rPr>
          <w:lang w:val="en"/>
        </w:rPr>
        <w:t xml:space="preserve"> how an independent variable is related to a dependent </w:t>
      </w:r>
      <w:r w:rsidR="004E6314">
        <w:rPr>
          <w:lang w:val="en"/>
        </w:rPr>
        <w:t>variable</w:t>
      </w:r>
      <w:r w:rsidR="00D11983">
        <w:rPr>
          <w:lang w:val="en"/>
        </w:rPr>
        <w:t>, estimating how the dependent measure fluctuates with an increase of value in the independent one.</w:t>
      </w:r>
      <w:r w:rsidR="0020160A">
        <w:rPr>
          <w:lang w:val="en"/>
        </w:rPr>
        <w:t xml:space="preserve"> The regression analysis allows expand</w:t>
      </w:r>
      <w:r w:rsidR="00810810">
        <w:rPr>
          <w:lang w:val="en"/>
        </w:rPr>
        <w:t>ing</w:t>
      </w:r>
      <w:r w:rsidR="0020160A">
        <w:rPr>
          <w:lang w:val="en"/>
        </w:rPr>
        <w:t xml:space="preserve"> the research, including different variables in the model to potentially improve the predictions.</w:t>
      </w:r>
    </w:p>
    <w:p w14:paraId="115E7A80" w14:textId="20A9701B" w:rsidR="00972773" w:rsidRDefault="00972773" w:rsidP="00972773">
      <w:pPr>
        <w:spacing w:line="254" w:lineRule="auto"/>
        <w:jc w:val="both"/>
        <w:rPr>
          <w:b/>
          <w:bCs/>
          <w:lang w:val="en"/>
        </w:rPr>
      </w:pPr>
    </w:p>
    <w:p w14:paraId="1F3E8910" w14:textId="3D1CE8B4" w:rsidR="00516C83" w:rsidRDefault="00516C83" w:rsidP="00972773">
      <w:pPr>
        <w:spacing w:line="254" w:lineRule="auto"/>
        <w:jc w:val="both"/>
        <w:rPr>
          <w:b/>
          <w:bCs/>
          <w:lang w:val="en"/>
        </w:rPr>
      </w:pPr>
    </w:p>
    <w:p w14:paraId="19181C95" w14:textId="4D0D35C7" w:rsidR="00516C83" w:rsidRDefault="00516C83" w:rsidP="00972773">
      <w:pPr>
        <w:spacing w:line="254" w:lineRule="auto"/>
        <w:jc w:val="both"/>
        <w:rPr>
          <w:b/>
          <w:bCs/>
          <w:lang w:val="en"/>
        </w:rPr>
      </w:pPr>
    </w:p>
    <w:p w14:paraId="0ED4EF3C" w14:textId="77777777" w:rsidR="00516C83" w:rsidRPr="00972773" w:rsidRDefault="00516C83" w:rsidP="00972773">
      <w:pPr>
        <w:spacing w:line="254" w:lineRule="auto"/>
        <w:jc w:val="both"/>
        <w:rPr>
          <w:b/>
          <w:bCs/>
          <w:lang w:val="en"/>
        </w:rPr>
      </w:pPr>
    </w:p>
    <w:p w14:paraId="75CB3E67" w14:textId="5A1A6FED" w:rsidR="00972773" w:rsidRPr="00852E71" w:rsidRDefault="007117E9" w:rsidP="002E402E">
      <w:pPr>
        <w:pStyle w:val="Heading2"/>
        <w:numPr>
          <w:ilvl w:val="0"/>
          <w:numId w:val="19"/>
        </w:numPr>
        <w:spacing w:line="480" w:lineRule="auto"/>
        <w:rPr>
          <w:rFonts w:ascii="Arial" w:hAnsi="Arial" w:cs="Arial"/>
          <w:b/>
          <w:bCs/>
          <w:color w:val="auto"/>
          <w:lang w:val="en"/>
        </w:rPr>
      </w:pPr>
      <w:bookmarkStart w:id="38" w:name="_Toc43473611"/>
      <w:r w:rsidRPr="00852E71">
        <w:rPr>
          <w:rFonts w:ascii="Arial" w:hAnsi="Arial" w:cs="Arial"/>
          <w:b/>
          <w:bCs/>
          <w:color w:val="auto"/>
          <w:lang w:val="en"/>
        </w:rPr>
        <w:lastRenderedPageBreak/>
        <w:t>Multiple regression analysis</w:t>
      </w:r>
      <w:bookmarkEnd w:id="38"/>
    </w:p>
    <w:p w14:paraId="14C1C84F" w14:textId="6CBA4CAF" w:rsidR="00923F18" w:rsidRDefault="00B0463D" w:rsidP="00516C83">
      <w:pPr>
        <w:spacing w:line="360" w:lineRule="auto"/>
        <w:jc w:val="both"/>
        <w:rPr>
          <w:lang w:val="en"/>
        </w:rPr>
      </w:pPr>
      <w:r>
        <w:rPr>
          <w:lang w:val="en"/>
        </w:rPr>
        <w:t xml:space="preserve">As previously stated, the multiple regression analysis involves one dependent variable (Y) and two or more independent variables (X1, X2, X3, …, </w:t>
      </w:r>
      <w:proofErr w:type="spellStart"/>
      <w:r>
        <w:rPr>
          <w:lang w:val="en"/>
        </w:rPr>
        <w:t>Xn</w:t>
      </w:r>
      <w:proofErr w:type="spellEnd"/>
      <w:r>
        <w:rPr>
          <w:lang w:val="en"/>
        </w:rPr>
        <w:t>). T</w:t>
      </w:r>
      <w:r w:rsidRPr="00B0463D">
        <w:rPr>
          <w:lang w:val="en"/>
        </w:rPr>
        <w:t xml:space="preserve">he </w:t>
      </w:r>
      <w:r>
        <w:rPr>
          <w:lang w:val="en"/>
        </w:rPr>
        <w:t>adoption</w:t>
      </w:r>
      <w:r w:rsidRPr="00B0463D">
        <w:rPr>
          <w:lang w:val="en"/>
        </w:rPr>
        <w:t xml:space="preserve"> of multiple X variables allows for a more </w:t>
      </w:r>
      <w:r>
        <w:rPr>
          <w:lang w:val="en"/>
        </w:rPr>
        <w:t>appropriate</w:t>
      </w:r>
      <w:r w:rsidRPr="00B0463D">
        <w:rPr>
          <w:lang w:val="en"/>
        </w:rPr>
        <w:t xml:space="preserve"> estimate of the value variations of the Y variable.</w:t>
      </w:r>
      <w:r>
        <w:rPr>
          <w:lang w:val="en"/>
        </w:rPr>
        <w:t xml:space="preserve"> The statistician Paul Newbold stated three main </w:t>
      </w:r>
      <w:r w:rsidR="00862638">
        <w:rPr>
          <w:lang w:val="en"/>
        </w:rPr>
        <w:t>objects</w:t>
      </w:r>
      <w:r>
        <w:rPr>
          <w:lang w:val="en"/>
        </w:rPr>
        <w:t xml:space="preserve"> of the multiple regression analysis, which are the prediction of the outcome of the dependent variable, the accurate description of the marginal change and the explanation of the dependent variable’s fluctuations</w:t>
      </w:r>
      <w:r w:rsidR="002E6FDE">
        <w:rPr>
          <w:lang w:val="en"/>
        </w:rPr>
        <w:t xml:space="preserve"> (Newbold, 2013).</w:t>
      </w:r>
    </w:p>
    <w:p w14:paraId="421CBACD" w14:textId="51EC085F" w:rsidR="00862638" w:rsidRDefault="00862638" w:rsidP="00516C83">
      <w:pPr>
        <w:spacing w:line="360" w:lineRule="auto"/>
        <w:jc w:val="both"/>
        <w:rPr>
          <w:lang w:val="en"/>
        </w:rPr>
      </w:pPr>
      <w:r>
        <w:rPr>
          <w:lang w:val="en"/>
        </w:rPr>
        <w:t xml:space="preserve">The economist </w:t>
      </w:r>
      <w:proofErr w:type="spellStart"/>
      <w:r>
        <w:rPr>
          <w:lang w:val="en"/>
        </w:rPr>
        <w:t>Studenmund</w:t>
      </w:r>
      <w:proofErr w:type="spellEnd"/>
      <w:r>
        <w:rPr>
          <w:lang w:val="en"/>
        </w:rPr>
        <w:t xml:space="preserve"> mentioned that in the regression analysis exist some variation</w:t>
      </w:r>
      <w:r w:rsidR="00BC71C3">
        <w:rPr>
          <w:lang w:val="en"/>
        </w:rPr>
        <w:t>s</w:t>
      </w:r>
      <w:r>
        <w:rPr>
          <w:lang w:val="en"/>
        </w:rPr>
        <w:t xml:space="preserve"> of the dependent variable that cannot be fully explained. He advised the introduction of the error term in the equation, </w:t>
      </w:r>
      <w:r w:rsidR="00CF4DC8">
        <w:rPr>
          <w:lang w:val="en"/>
        </w:rPr>
        <w:t xml:space="preserve">error </w:t>
      </w:r>
      <w:r w:rsidR="00BC71C3">
        <w:rPr>
          <w:lang w:val="en"/>
        </w:rPr>
        <w:t xml:space="preserve">that can arise from incorrect measurement, functional form or random effects </w:t>
      </w:r>
      <w:r w:rsidR="00BC71C3" w:rsidRPr="00BC71C3">
        <w:rPr>
          <w:lang w:val="en"/>
        </w:rPr>
        <w:t>(</w:t>
      </w:r>
      <w:proofErr w:type="spellStart"/>
      <w:r w:rsidR="00BC71C3" w:rsidRPr="00BC71C3">
        <w:rPr>
          <w:lang w:val="en"/>
        </w:rPr>
        <w:t>Studenmund</w:t>
      </w:r>
      <w:proofErr w:type="spellEnd"/>
      <w:r w:rsidR="00BC71C3" w:rsidRPr="00BC71C3">
        <w:rPr>
          <w:lang w:val="en"/>
        </w:rPr>
        <w:t>, 2014</w:t>
      </w:r>
      <w:r w:rsidR="00BC71C3">
        <w:rPr>
          <w:lang w:val="en"/>
        </w:rPr>
        <w:t>).</w:t>
      </w:r>
      <w:r w:rsidR="00320B2F">
        <w:rPr>
          <w:lang w:val="en"/>
        </w:rPr>
        <w:t xml:space="preserve"> I</w:t>
      </w:r>
      <w:r w:rsidR="00320B2F" w:rsidRPr="00320B2F">
        <w:rPr>
          <w:lang w:val="en"/>
        </w:rPr>
        <w:t xml:space="preserve">n </w:t>
      </w:r>
      <w:r w:rsidR="00320B2F">
        <w:rPr>
          <w:lang w:val="en"/>
        </w:rPr>
        <w:t>this</w:t>
      </w:r>
      <w:r w:rsidR="00320B2F" w:rsidRPr="00320B2F">
        <w:rPr>
          <w:lang w:val="en"/>
        </w:rPr>
        <w:t xml:space="preserve"> study, the error coefficient will not be </w:t>
      </w:r>
      <w:proofErr w:type="spellStart"/>
      <w:r w:rsidR="00516C83">
        <w:rPr>
          <w:lang w:val="en"/>
        </w:rPr>
        <w:t>analysed</w:t>
      </w:r>
      <w:proofErr w:type="spellEnd"/>
      <w:r w:rsidR="00320B2F" w:rsidRPr="00320B2F">
        <w:rPr>
          <w:lang w:val="en"/>
        </w:rPr>
        <w:t xml:space="preserve"> but will be the object of future studies</w:t>
      </w:r>
      <w:r w:rsidR="00320B2F">
        <w:rPr>
          <w:lang w:val="en"/>
        </w:rPr>
        <w:t>.</w:t>
      </w:r>
    </w:p>
    <w:p w14:paraId="442B71F6" w14:textId="137EE455" w:rsidR="00A80E29" w:rsidRDefault="00A80E29" w:rsidP="00516C83">
      <w:pPr>
        <w:spacing w:line="360" w:lineRule="auto"/>
        <w:jc w:val="both"/>
      </w:pPr>
      <w:r>
        <w:rPr>
          <w:lang w:val="en"/>
        </w:rPr>
        <w:t xml:space="preserve">In this study, the theoretical regression models </w:t>
      </w:r>
      <w:r w:rsidRPr="00A80E29">
        <w:t>analysed</w:t>
      </w:r>
      <w:r>
        <w:rPr>
          <w:lang w:val="en"/>
        </w:rPr>
        <w:t xml:space="preserve"> are four, </w:t>
      </w:r>
      <w:r w:rsidR="00977826">
        <w:t>which are in line with the equation divulged by Newbold.</w:t>
      </w:r>
    </w:p>
    <w:p w14:paraId="060A5644" w14:textId="77777777" w:rsidR="006406CF" w:rsidRDefault="006406CF" w:rsidP="007117E9">
      <w:pPr>
        <w:spacing w:line="254" w:lineRule="auto"/>
        <w:jc w:val="both"/>
      </w:pPr>
    </w:p>
    <w:p w14:paraId="02728DAD" w14:textId="3288057C" w:rsidR="00977826" w:rsidRPr="00B20EE3" w:rsidRDefault="00977826" w:rsidP="00516C83">
      <w:pPr>
        <w:pStyle w:val="ListParagraph"/>
        <w:numPr>
          <w:ilvl w:val="0"/>
          <w:numId w:val="9"/>
        </w:numPr>
        <w:spacing w:line="360" w:lineRule="auto"/>
        <w:jc w:val="both"/>
        <w:rPr>
          <w:rFonts w:ascii="Cambria Math" w:hAnsi="Cambria Math"/>
        </w:rPr>
      </w:pPr>
      <w:r w:rsidRPr="00B20EE3">
        <w:rPr>
          <w:rFonts w:ascii="Cambria Math" w:hAnsi="Cambria Math"/>
          <w:i/>
          <w:iCs/>
        </w:rPr>
        <w:t>RO</w:t>
      </w:r>
      <w:r w:rsidR="00C143E9" w:rsidRPr="00B20EE3">
        <w:rPr>
          <w:rFonts w:ascii="Cambria Math" w:hAnsi="Cambria Math"/>
          <w:i/>
          <w:iCs/>
        </w:rPr>
        <w:t>I</w:t>
      </w:r>
      <w:r w:rsidRPr="00B20EE3">
        <w:rPr>
          <w:rFonts w:ascii="Cambria Math" w:hAnsi="Cambria Math"/>
          <w:i/>
          <w:iCs/>
        </w:rPr>
        <w:t xml:space="preserve"> = </w:t>
      </w:r>
      <w:r w:rsidRPr="00B20EE3">
        <w:rPr>
          <w:rFonts w:ascii="Cambria Math" w:hAnsi="Cambria Math" w:cs="Cambria Math"/>
          <w:i/>
          <w:iCs/>
        </w:rPr>
        <w:t>𝛽</w:t>
      </w:r>
      <w:r w:rsidRPr="00B20EE3">
        <w:rPr>
          <w:rFonts w:ascii="Cambria Math" w:hAnsi="Cambria Math"/>
          <w:i/>
          <w:iCs/>
        </w:rPr>
        <w:t xml:space="preserve">0 + </w:t>
      </w:r>
      <w:r w:rsidRPr="00B20EE3">
        <w:rPr>
          <w:rFonts w:ascii="Cambria Math" w:hAnsi="Cambria Math" w:cs="Cambria Math"/>
          <w:i/>
          <w:iCs/>
        </w:rPr>
        <w:t>𝛽</w:t>
      </w:r>
      <w:r w:rsidRPr="00B20EE3">
        <w:rPr>
          <w:rFonts w:ascii="Cambria Math" w:hAnsi="Cambria Math"/>
          <w:i/>
          <w:iCs/>
        </w:rPr>
        <w:t>1</w:t>
      </w:r>
      <w:r w:rsidR="00C143E9" w:rsidRPr="00B20EE3">
        <w:rPr>
          <w:rFonts w:ascii="Cambria Math" w:hAnsi="Cambria Math" w:cs="Cambria Math"/>
          <w:i/>
          <w:iCs/>
        </w:rPr>
        <w:t>Current Ratio</w:t>
      </w:r>
      <w:r w:rsidRPr="00B20EE3">
        <w:rPr>
          <w:rFonts w:ascii="Cambria Math" w:hAnsi="Cambria Math"/>
          <w:i/>
          <w:iCs/>
        </w:rPr>
        <w:t xml:space="preserve">+ </w:t>
      </w:r>
      <w:r w:rsidRPr="00B20EE3">
        <w:rPr>
          <w:rFonts w:ascii="Cambria Math" w:hAnsi="Cambria Math" w:cs="Cambria Math"/>
          <w:i/>
          <w:iCs/>
        </w:rPr>
        <w:t>𝛽</w:t>
      </w:r>
      <w:r w:rsidRPr="00B20EE3">
        <w:rPr>
          <w:rFonts w:ascii="Cambria Math" w:hAnsi="Cambria Math"/>
          <w:i/>
          <w:iCs/>
        </w:rPr>
        <w:t>2</w:t>
      </w:r>
      <w:r w:rsidR="00C143E9" w:rsidRPr="00B20EE3">
        <w:rPr>
          <w:rFonts w:ascii="Cambria Math" w:hAnsi="Cambria Math" w:cs="Cambria Math"/>
          <w:i/>
          <w:iCs/>
        </w:rPr>
        <w:t>Debt-to-Equity Ratio</w:t>
      </w:r>
      <w:r w:rsidRPr="00B20EE3">
        <w:rPr>
          <w:rFonts w:ascii="Cambria Math" w:hAnsi="Cambria Math"/>
          <w:i/>
          <w:iCs/>
        </w:rPr>
        <w:t xml:space="preserve"> + </w:t>
      </w:r>
      <w:r w:rsidRPr="00B20EE3">
        <w:rPr>
          <w:rFonts w:ascii="Cambria Math" w:hAnsi="Cambria Math" w:cs="Cambria Math"/>
          <w:i/>
          <w:iCs/>
        </w:rPr>
        <w:t>𝛽</w:t>
      </w:r>
      <w:r w:rsidRPr="00B20EE3">
        <w:rPr>
          <w:rFonts w:ascii="Cambria Math" w:hAnsi="Cambria Math"/>
          <w:i/>
          <w:iCs/>
        </w:rPr>
        <w:t>3</w:t>
      </w:r>
      <w:r w:rsidR="00C143E9" w:rsidRPr="00B20EE3">
        <w:rPr>
          <w:rFonts w:ascii="Cambria Math" w:hAnsi="Cambria Math" w:cs="Cambria Math"/>
          <w:i/>
          <w:iCs/>
        </w:rPr>
        <w:t>Size</w:t>
      </w:r>
      <w:r w:rsidRPr="00B20EE3">
        <w:rPr>
          <w:rFonts w:ascii="Cambria Math" w:hAnsi="Cambria Math"/>
          <w:i/>
          <w:iCs/>
        </w:rPr>
        <w:t xml:space="preserve"> + </w:t>
      </w:r>
      <w:r w:rsidRPr="00B20EE3">
        <w:rPr>
          <w:rFonts w:ascii="Cambria Math" w:hAnsi="Cambria Math" w:cs="Cambria Math"/>
          <w:i/>
          <w:iCs/>
        </w:rPr>
        <w:t>𝛽</w:t>
      </w:r>
      <w:r w:rsidRPr="00B20EE3">
        <w:rPr>
          <w:rFonts w:ascii="Cambria Math" w:hAnsi="Cambria Math"/>
          <w:i/>
          <w:iCs/>
        </w:rPr>
        <w:t>4</w:t>
      </w:r>
      <w:r w:rsidR="00C143E9" w:rsidRPr="00B20EE3">
        <w:rPr>
          <w:rFonts w:ascii="Cambria Math" w:hAnsi="Cambria Math" w:cs="Cambria Math"/>
          <w:i/>
          <w:iCs/>
        </w:rPr>
        <w:t>Growth rate</w:t>
      </w:r>
      <w:r w:rsidR="00083F95">
        <w:rPr>
          <w:rFonts w:ascii="Cambria Math" w:hAnsi="Cambria Math" w:cs="Cambria Math"/>
          <w:i/>
          <w:iCs/>
        </w:rPr>
        <w:t xml:space="preserve"> +</w:t>
      </w:r>
      <w:r w:rsidR="00083F95" w:rsidRPr="00083F95">
        <w:rPr>
          <w:rFonts w:ascii="Cambria Math" w:hAnsi="Cambria Math" w:cs="Cambria Math"/>
          <w:i/>
          <w:iCs/>
        </w:rPr>
        <w:t>𝜀</w:t>
      </w:r>
    </w:p>
    <w:p w14:paraId="59381808" w14:textId="2A461A75" w:rsidR="00C143E9" w:rsidRPr="00B20EE3" w:rsidRDefault="00C143E9" w:rsidP="00516C83">
      <w:pPr>
        <w:pStyle w:val="ListParagraph"/>
        <w:numPr>
          <w:ilvl w:val="0"/>
          <w:numId w:val="9"/>
        </w:numPr>
        <w:spacing w:line="360" w:lineRule="auto"/>
        <w:jc w:val="both"/>
        <w:rPr>
          <w:rFonts w:ascii="Cambria Math" w:hAnsi="Cambria Math"/>
        </w:rPr>
      </w:pPr>
      <w:r w:rsidRPr="00B20EE3">
        <w:rPr>
          <w:rFonts w:ascii="Cambria Math" w:hAnsi="Cambria Math"/>
          <w:i/>
          <w:iCs/>
        </w:rPr>
        <w:t xml:space="preserve">ROI = </w:t>
      </w:r>
      <w:r w:rsidRPr="00B20EE3">
        <w:rPr>
          <w:rFonts w:ascii="Cambria Math" w:hAnsi="Cambria Math" w:cs="Cambria Math"/>
          <w:i/>
          <w:iCs/>
        </w:rPr>
        <w:t>𝛽</w:t>
      </w:r>
      <w:r w:rsidRPr="00B20EE3">
        <w:rPr>
          <w:rFonts w:ascii="Cambria Math" w:hAnsi="Cambria Math"/>
          <w:i/>
          <w:iCs/>
        </w:rPr>
        <w:t xml:space="preserve">0 + </w:t>
      </w:r>
      <w:r w:rsidRPr="00B20EE3">
        <w:rPr>
          <w:rFonts w:ascii="Cambria Math" w:hAnsi="Cambria Math" w:cs="Cambria Math"/>
          <w:i/>
          <w:iCs/>
        </w:rPr>
        <w:t>𝛽</w:t>
      </w:r>
      <w:r w:rsidRPr="00B20EE3">
        <w:rPr>
          <w:rFonts w:ascii="Cambria Math" w:hAnsi="Cambria Math"/>
          <w:i/>
          <w:iCs/>
        </w:rPr>
        <w:t>1</w:t>
      </w:r>
      <w:r w:rsidRPr="00B20EE3">
        <w:rPr>
          <w:rFonts w:ascii="Cambria Math" w:hAnsi="Cambria Math" w:cs="Cambria Math"/>
          <w:i/>
          <w:iCs/>
        </w:rPr>
        <w:t>Quick Ratio</w:t>
      </w:r>
      <w:r w:rsidRPr="00B20EE3">
        <w:rPr>
          <w:rFonts w:ascii="Cambria Math" w:hAnsi="Cambria Math"/>
          <w:i/>
          <w:iCs/>
        </w:rPr>
        <w:t xml:space="preserve">+ </w:t>
      </w:r>
      <w:r w:rsidRPr="00B20EE3">
        <w:rPr>
          <w:rFonts w:ascii="Cambria Math" w:hAnsi="Cambria Math" w:cs="Cambria Math"/>
          <w:i/>
          <w:iCs/>
        </w:rPr>
        <w:t>𝛽</w:t>
      </w:r>
      <w:r w:rsidRPr="00B20EE3">
        <w:rPr>
          <w:rFonts w:ascii="Cambria Math" w:hAnsi="Cambria Math"/>
          <w:i/>
          <w:iCs/>
        </w:rPr>
        <w:t>2</w:t>
      </w:r>
      <w:r w:rsidRPr="00B20EE3">
        <w:rPr>
          <w:rFonts w:ascii="Cambria Math" w:hAnsi="Cambria Math" w:cs="Cambria Math"/>
          <w:i/>
          <w:iCs/>
        </w:rPr>
        <w:t>Debt-to-Capital Ratio</w:t>
      </w:r>
      <w:r w:rsidRPr="00B20EE3">
        <w:rPr>
          <w:rFonts w:ascii="Cambria Math" w:hAnsi="Cambria Math"/>
          <w:i/>
          <w:iCs/>
        </w:rPr>
        <w:t xml:space="preserve"> + </w:t>
      </w:r>
      <w:r w:rsidRPr="00B20EE3">
        <w:rPr>
          <w:rFonts w:ascii="Cambria Math" w:hAnsi="Cambria Math" w:cs="Cambria Math"/>
          <w:i/>
          <w:iCs/>
        </w:rPr>
        <w:t>𝛽</w:t>
      </w:r>
      <w:r w:rsidRPr="00B20EE3">
        <w:rPr>
          <w:rFonts w:ascii="Cambria Math" w:hAnsi="Cambria Math"/>
          <w:i/>
          <w:iCs/>
        </w:rPr>
        <w:t>3</w:t>
      </w:r>
      <w:r w:rsidRPr="00B20EE3">
        <w:rPr>
          <w:rFonts w:ascii="Cambria Math" w:hAnsi="Cambria Math" w:cs="Cambria Math"/>
          <w:i/>
          <w:iCs/>
        </w:rPr>
        <w:t>Size</w:t>
      </w:r>
      <w:r w:rsidRPr="00B20EE3">
        <w:rPr>
          <w:rFonts w:ascii="Cambria Math" w:hAnsi="Cambria Math"/>
          <w:i/>
          <w:iCs/>
        </w:rPr>
        <w:t xml:space="preserve"> + </w:t>
      </w:r>
      <w:r w:rsidRPr="00B20EE3">
        <w:rPr>
          <w:rFonts w:ascii="Cambria Math" w:hAnsi="Cambria Math" w:cs="Cambria Math"/>
          <w:i/>
          <w:iCs/>
        </w:rPr>
        <w:t>𝛽</w:t>
      </w:r>
      <w:r w:rsidRPr="00B20EE3">
        <w:rPr>
          <w:rFonts w:ascii="Cambria Math" w:hAnsi="Cambria Math"/>
          <w:i/>
          <w:iCs/>
        </w:rPr>
        <w:t>4</w:t>
      </w:r>
      <w:r w:rsidRPr="00B20EE3">
        <w:rPr>
          <w:rFonts w:ascii="Cambria Math" w:hAnsi="Cambria Math" w:cs="Cambria Math"/>
          <w:i/>
          <w:iCs/>
        </w:rPr>
        <w:t>Growth rate</w:t>
      </w:r>
      <w:r w:rsidR="00083F95">
        <w:rPr>
          <w:rFonts w:ascii="Cambria Math" w:hAnsi="Cambria Math" w:cs="Cambria Math"/>
          <w:i/>
          <w:iCs/>
        </w:rPr>
        <w:t xml:space="preserve"> + </w:t>
      </w:r>
      <w:r w:rsidR="00083F95" w:rsidRPr="00083F95">
        <w:rPr>
          <w:rFonts w:ascii="Cambria Math" w:hAnsi="Cambria Math" w:cs="Cambria Math"/>
          <w:i/>
          <w:iCs/>
        </w:rPr>
        <w:t>𝜀</w:t>
      </w:r>
    </w:p>
    <w:p w14:paraId="71014A71" w14:textId="489C08E8" w:rsidR="00C143E9" w:rsidRPr="00B20EE3" w:rsidRDefault="00C143E9" w:rsidP="00516C83">
      <w:pPr>
        <w:pStyle w:val="ListParagraph"/>
        <w:numPr>
          <w:ilvl w:val="0"/>
          <w:numId w:val="9"/>
        </w:numPr>
        <w:spacing w:line="360" w:lineRule="auto"/>
        <w:jc w:val="both"/>
        <w:rPr>
          <w:rFonts w:ascii="Cambria Math" w:hAnsi="Cambria Math"/>
        </w:rPr>
      </w:pPr>
      <w:r w:rsidRPr="00B20EE3">
        <w:rPr>
          <w:rFonts w:ascii="Cambria Math" w:hAnsi="Cambria Math"/>
          <w:i/>
          <w:iCs/>
        </w:rPr>
        <w:t xml:space="preserve">ROA = </w:t>
      </w:r>
      <w:r w:rsidRPr="00B20EE3">
        <w:rPr>
          <w:rFonts w:ascii="Cambria Math" w:hAnsi="Cambria Math" w:cs="Cambria Math"/>
          <w:i/>
          <w:iCs/>
        </w:rPr>
        <w:t>𝛽</w:t>
      </w:r>
      <w:r w:rsidRPr="00B20EE3">
        <w:rPr>
          <w:rFonts w:ascii="Cambria Math" w:hAnsi="Cambria Math"/>
          <w:i/>
          <w:iCs/>
        </w:rPr>
        <w:t xml:space="preserve">0 + </w:t>
      </w:r>
      <w:r w:rsidRPr="00B20EE3">
        <w:rPr>
          <w:rFonts w:ascii="Cambria Math" w:hAnsi="Cambria Math" w:cs="Cambria Math"/>
          <w:i/>
          <w:iCs/>
        </w:rPr>
        <w:t>𝛽</w:t>
      </w:r>
      <w:r w:rsidRPr="00B20EE3">
        <w:rPr>
          <w:rFonts w:ascii="Cambria Math" w:hAnsi="Cambria Math"/>
          <w:i/>
          <w:iCs/>
        </w:rPr>
        <w:t>1</w:t>
      </w:r>
      <w:r w:rsidRPr="00B20EE3">
        <w:rPr>
          <w:rFonts w:ascii="Cambria Math" w:hAnsi="Cambria Math" w:cs="Cambria Math"/>
          <w:i/>
          <w:iCs/>
        </w:rPr>
        <w:t>Current Ratio</w:t>
      </w:r>
      <w:r w:rsidRPr="00B20EE3">
        <w:rPr>
          <w:rFonts w:ascii="Cambria Math" w:hAnsi="Cambria Math"/>
          <w:i/>
          <w:iCs/>
        </w:rPr>
        <w:t xml:space="preserve">+ </w:t>
      </w:r>
      <w:r w:rsidRPr="00B20EE3">
        <w:rPr>
          <w:rFonts w:ascii="Cambria Math" w:hAnsi="Cambria Math" w:cs="Cambria Math"/>
          <w:i/>
          <w:iCs/>
        </w:rPr>
        <w:t>𝛽</w:t>
      </w:r>
      <w:r w:rsidRPr="00B20EE3">
        <w:rPr>
          <w:rFonts w:ascii="Cambria Math" w:hAnsi="Cambria Math"/>
          <w:i/>
          <w:iCs/>
        </w:rPr>
        <w:t>2</w:t>
      </w:r>
      <w:r w:rsidRPr="00B20EE3">
        <w:rPr>
          <w:rFonts w:ascii="Cambria Math" w:hAnsi="Cambria Math" w:cs="Cambria Math"/>
          <w:i/>
          <w:iCs/>
        </w:rPr>
        <w:t>Debt-to-Equity Ratio</w:t>
      </w:r>
      <w:r w:rsidRPr="00B20EE3">
        <w:rPr>
          <w:rFonts w:ascii="Cambria Math" w:hAnsi="Cambria Math"/>
          <w:i/>
          <w:iCs/>
        </w:rPr>
        <w:t xml:space="preserve"> + </w:t>
      </w:r>
      <w:r w:rsidRPr="00B20EE3">
        <w:rPr>
          <w:rFonts w:ascii="Cambria Math" w:hAnsi="Cambria Math" w:cs="Cambria Math"/>
          <w:i/>
          <w:iCs/>
        </w:rPr>
        <w:t>𝛽</w:t>
      </w:r>
      <w:r w:rsidRPr="00B20EE3">
        <w:rPr>
          <w:rFonts w:ascii="Cambria Math" w:hAnsi="Cambria Math"/>
          <w:i/>
          <w:iCs/>
        </w:rPr>
        <w:t>3</w:t>
      </w:r>
      <w:r w:rsidRPr="00B20EE3">
        <w:rPr>
          <w:rFonts w:ascii="Cambria Math" w:hAnsi="Cambria Math" w:cs="Cambria Math"/>
          <w:i/>
          <w:iCs/>
        </w:rPr>
        <w:t>Size</w:t>
      </w:r>
      <w:r w:rsidRPr="00B20EE3">
        <w:rPr>
          <w:rFonts w:ascii="Cambria Math" w:hAnsi="Cambria Math"/>
          <w:i/>
          <w:iCs/>
        </w:rPr>
        <w:t xml:space="preserve"> + </w:t>
      </w:r>
      <w:r w:rsidRPr="00B20EE3">
        <w:rPr>
          <w:rFonts w:ascii="Cambria Math" w:hAnsi="Cambria Math" w:cs="Cambria Math"/>
          <w:i/>
          <w:iCs/>
        </w:rPr>
        <w:t>𝛽</w:t>
      </w:r>
      <w:r w:rsidRPr="00B20EE3">
        <w:rPr>
          <w:rFonts w:ascii="Cambria Math" w:hAnsi="Cambria Math"/>
          <w:i/>
          <w:iCs/>
        </w:rPr>
        <w:t>4</w:t>
      </w:r>
      <w:r w:rsidRPr="00B20EE3">
        <w:rPr>
          <w:rFonts w:ascii="Cambria Math" w:hAnsi="Cambria Math" w:cs="Cambria Math"/>
          <w:i/>
          <w:iCs/>
        </w:rPr>
        <w:t>Growth rate</w:t>
      </w:r>
      <w:r w:rsidR="00083F95">
        <w:rPr>
          <w:rFonts w:ascii="Cambria Math" w:hAnsi="Cambria Math" w:cs="Cambria Math"/>
          <w:i/>
          <w:iCs/>
        </w:rPr>
        <w:t xml:space="preserve"> + </w:t>
      </w:r>
      <w:r w:rsidR="00083F95" w:rsidRPr="00083F95">
        <w:rPr>
          <w:rFonts w:ascii="Cambria Math" w:hAnsi="Cambria Math" w:cs="Cambria Math"/>
          <w:i/>
          <w:iCs/>
        </w:rPr>
        <w:t>𝜀</w:t>
      </w:r>
    </w:p>
    <w:p w14:paraId="0DB28B17" w14:textId="7410D381" w:rsidR="00C143E9" w:rsidRPr="00B20EE3" w:rsidRDefault="00C143E9" w:rsidP="00516C83">
      <w:pPr>
        <w:pStyle w:val="ListParagraph"/>
        <w:numPr>
          <w:ilvl w:val="0"/>
          <w:numId w:val="9"/>
        </w:numPr>
        <w:spacing w:line="360" w:lineRule="auto"/>
        <w:jc w:val="both"/>
        <w:rPr>
          <w:rFonts w:ascii="Cambria Math" w:hAnsi="Cambria Math"/>
        </w:rPr>
      </w:pPr>
      <w:r w:rsidRPr="00B20EE3">
        <w:rPr>
          <w:rFonts w:ascii="Cambria Math" w:hAnsi="Cambria Math"/>
          <w:i/>
          <w:iCs/>
        </w:rPr>
        <w:t xml:space="preserve">ROA = </w:t>
      </w:r>
      <w:r w:rsidRPr="00B20EE3">
        <w:rPr>
          <w:rFonts w:ascii="Cambria Math" w:hAnsi="Cambria Math" w:cs="Cambria Math"/>
          <w:i/>
          <w:iCs/>
        </w:rPr>
        <w:t>𝛽</w:t>
      </w:r>
      <w:r w:rsidRPr="00B20EE3">
        <w:rPr>
          <w:rFonts w:ascii="Cambria Math" w:hAnsi="Cambria Math"/>
          <w:i/>
          <w:iCs/>
        </w:rPr>
        <w:t xml:space="preserve">0 + </w:t>
      </w:r>
      <w:r w:rsidRPr="00B20EE3">
        <w:rPr>
          <w:rFonts w:ascii="Cambria Math" w:hAnsi="Cambria Math" w:cs="Cambria Math"/>
          <w:i/>
          <w:iCs/>
        </w:rPr>
        <w:t>𝛽</w:t>
      </w:r>
      <w:r w:rsidRPr="00B20EE3">
        <w:rPr>
          <w:rFonts w:ascii="Cambria Math" w:hAnsi="Cambria Math"/>
          <w:i/>
          <w:iCs/>
        </w:rPr>
        <w:t>1</w:t>
      </w:r>
      <w:r w:rsidRPr="00B20EE3">
        <w:rPr>
          <w:rFonts w:ascii="Cambria Math" w:hAnsi="Cambria Math" w:cs="Cambria Math"/>
          <w:i/>
          <w:iCs/>
        </w:rPr>
        <w:t>Quick Ratio</w:t>
      </w:r>
      <w:r w:rsidRPr="00B20EE3">
        <w:rPr>
          <w:rFonts w:ascii="Cambria Math" w:hAnsi="Cambria Math"/>
          <w:i/>
          <w:iCs/>
        </w:rPr>
        <w:t xml:space="preserve">+ </w:t>
      </w:r>
      <w:r w:rsidRPr="00B20EE3">
        <w:rPr>
          <w:rFonts w:ascii="Cambria Math" w:hAnsi="Cambria Math" w:cs="Cambria Math"/>
          <w:i/>
          <w:iCs/>
        </w:rPr>
        <w:t>𝛽</w:t>
      </w:r>
      <w:r w:rsidRPr="00B20EE3">
        <w:rPr>
          <w:rFonts w:ascii="Cambria Math" w:hAnsi="Cambria Math"/>
          <w:i/>
          <w:iCs/>
        </w:rPr>
        <w:t>2</w:t>
      </w:r>
      <w:r w:rsidRPr="00B20EE3">
        <w:rPr>
          <w:rFonts w:ascii="Cambria Math" w:hAnsi="Cambria Math" w:cs="Cambria Math"/>
          <w:i/>
          <w:iCs/>
        </w:rPr>
        <w:t>Debt-to-Capital Ratio</w:t>
      </w:r>
      <w:r w:rsidRPr="00B20EE3">
        <w:rPr>
          <w:rFonts w:ascii="Cambria Math" w:hAnsi="Cambria Math"/>
          <w:i/>
          <w:iCs/>
        </w:rPr>
        <w:t xml:space="preserve"> + </w:t>
      </w:r>
      <w:r w:rsidRPr="00B20EE3">
        <w:rPr>
          <w:rFonts w:ascii="Cambria Math" w:hAnsi="Cambria Math" w:cs="Cambria Math"/>
          <w:i/>
          <w:iCs/>
        </w:rPr>
        <w:t>𝛽</w:t>
      </w:r>
      <w:r w:rsidRPr="00B20EE3">
        <w:rPr>
          <w:rFonts w:ascii="Cambria Math" w:hAnsi="Cambria Math"/>
          <w:i/>
          <w:iCs/>
        </w:rPr>
        <w:t>3</w:t>
      </w:r>
      <w:r w:rsidRPr="00B20EE3">
        <w:rPr>
          <w:rFonts w:ascii="Cambria Math" w:hAnsi="Cambria Math" w:cs="Cambria Math"/>
          <w:i/>
          <w:iCs/>
        </w:rPr>
        <w:t>Size</w:t>
      </w:r>
      <w:r w:rsidRPr="00B20EE3">
        <w:rPr>
          <w:rFonts w:ascii="Cambria Math" w:hAnsi="Cambria Math"/>
          <w:i/>
          <w:iCs/>
        </w:rPr>
        <w:t xml:space="preserve"> + </w:t>
      </w:r>
      <w:r w:rsidRPr="00B20EE3">
        <w:rPr>
          <w:rFonts w:ascii="Cambria Math" w:hAnsi="Cambria Math" w:cs="Cambria Math"/>
          <w:i/>
          <w:iCs/>
        </w:rPr>
        <w:t>𝛽</w:t>
      </w:r>
      <w:r w:rsidRPr="00B20EE3">
        <w:rPr>
          <w:rFonts w:ascii="Cambria Math" w:hAnsi="Cambria Math"/>
          <w:i/>
          <w:iCs/>
        </w:rPr>
        <w:t>4</w:t>
      </w:r>
      <w:r w:rsidRPr="00B20EE3">
        <w:rPr>
          <w:rFonts w:ascii="Cambria Math" w:hAnsi="Cambria Math" w:cs="Cambria Math"/>
          <w:i/>
          <w:iCs/>
        </w:rPr>
        <w:t>Growth rate</w:t>
      </w:r>
      <w:r w:rsidR="00083F95">
        <w:rPr>
          <w:rFonts w:ascii="Cambria Math" w:hAnsi="Cambria Math" w:cs="Cambria Math"/>
          <w:i/>
          <w:iCs/>
        </w:rPr>
        <w:t xml:space="preserve"> + </w:t>
      </w:r>
      <w:r w:rsidR="00083F95" w:rsidRPr="00083F95">
        <w:rPr>
          <w:rFonts w:ascii="Cambria Math" w:hAnsi="Cambria Math" w:cs="Cambria Math"/>
          <w:i/>
          <w:iCs/>
        </w:rPr>
        <w:t>𝜀</w:t>
      </w:r>
    </w:p>
    <w:p w14:paraId="62FD4331" w14:textId="77777777" w:rsidR="006406CF" w:rsidRDefault="006406CF" w:rsidP="00C143E9">
      <w:pPr>
        <w:spacing w:line="254" w:lineRule="auto"/>
        <w:jc w:val="both"/>
      </w:pPr>
    </w:p>
    <w:p w14:paraId="213FCB2F" w14:textId="77777777" w:rsidR="006406CF" w:rsidRDefault="006406CF" w:rsidP="00C143E9">
      <w:pPr>
        <w:spacing w:line="254" w:lineRule="auto"/>
        <w:jc w:val="both"/>
      </w:pPr>
    </w:p>
    <w:p w14:paraId="22A27CFF" w14:textId="290789D7" w:rsidR="00C143E9" w:rsidRDefault="00B144A7" w:rsidP="00C143E9">
      <w:pPr>
        <w:spacing w:line="254" w:lineRule="auto"/>
        <w:jc w:val="both"/>
      </w:pPr>
      <w:r>
        <w:t>Where:</w:t>
      </w:r>
    </w:p>
    <w:p w14:paraId="46044C74" w14:textId="19101CDF" w:rsidR="00B144A7" w:rsidRPr="00B144A7" w:rsidRDefault="00B144A7" w:rsidP="00B144A7">
      <w:pPr>
        <w:spacing w:line="240" w:lineRule="auto"/>
        <w:jc w:val="both"/>
        <w:rPr>
          <w:rFonts w:ascii="Cambria Math" w:hAnsi="Cambria Math"/>
          <w:i/>
          <w:iCs/>
        </w:rPr>
      </w:pPr>
      <w:r w:rsidRPr="00B144A7">
        <w:rPr>
          <w:rFonts w:ascii="Cambria Math" w:hAnsi="Cambria Math"/>
        </w:rPr>
        <w:t xml:space="preserve">ROI = </w:t>
      </w:r>
      <w:r w:rsidRPr="00B144A7">
        <w:rPr>
          <w:rFonts w:ascii="Cambria Math" w:hAnsi="Cambria Math"/>
          <w:i/>
          <w:iCs/>
        </w:rPr>
        <w:t xml:space="preserve">Net Return on Investment/Cost of Investment   </w:t>
      </w:r>
    </w:p>
    <w:p w14:paraId="1A305DE6" w14:textId="7EE084E8" w:rsidR="00B144A7" w:rsidRPr="00B144A7" w:rsidRDefault="00B144A7" w:rsidP="00B144A7">
      <w:pPr>
        <w:spacing w:line="240" w:lineRule="auto"/>
        <w:jc w:val="both"/>
        <w:rPr>
          <w:rFonts w:ascii="Cambria Math" w:hAnsi="Cambria Math"/>
          <w:i/>
          <w:iCs/>
        </w:rPr>
      </w:pPr>
      <w:r w:rsidRPr="00B144A7">
        <w:rPr>
          <w:rFonts w:ascii="Cambria Math" w:hAnsi="Cambria Math"/>
          <w:i/>
          <w:iCs/>
        </w:rPr>
        <w:t>ROA = Net Income/Total Assets</w:t>
      </w:r>
    </w:p>
    <w:p w14:paraId="0657ABD3" w14:textId="0E911C92" w:rsidR="00B144A7" w:rsidRPr="00B144A7" w:rsidRDefault="00B144A7" w:rsidP="00B144A7">
      <w:pPr>
        <w:spacing w:line="240" w:lineRule="auto"/>
        <w:jc w:val="both"/>
        <w:rPr>
          <w:rFonts w:ascii="Cambria Math" w:hAnsi="Cambria Math" w:cs="Cambria Math"/>
          <w:i/>
          <w:iCs/>
        </w:rPr>
      </w:pPr>
      <w:r w:rsidRPr="00B144A7">
        <w:rPr>
          <w:rFonts w:ascii="Cambria Math" w:hAnsi="Cambria Math" w:cs="Cambria Math"/>
          <w:i/>
          <w:iCs/>
        </w:rPr>
        <w:t>𝛽 = Constant</w:t>
      </w:r>
    </w:p>
    <w:p w14:paraId="7001BCEA" w14:textId="78948825" w:rsidR="00B144A7" w:rsidRPr="00B144A7" w:rsidRDefault="00B144A7" w:rsidP="00B144A7">
      <w:pPr>
        <w:spacing w:line="240" w:lineRule="auto"/>
        <w:jc w:val="both"/>
        <w:rPr>
          <w:rFonts w:ascii="Cambria Math" w:hAnsi="Cambria Math"/>
          <w:i/>
          <w:iCs/>
        </w:rPr>
      </w:pPr>
      <w:r w:rsidRPr="00B144A7">
        <w:rPr>
          <w:rFonts w:ascii="Cambria Math" w:hAnsi="Cambria Math"/>
          <w:i/>
          <w:iCs/>
        </w:rPr>
        <w:t xml:space="preserve">Current Ratio </w:t>
      </w:r>
      <w:r w:rsidRPr="00B144A7">
        <w:rPr>
          <w:rFonts w:ascii="Cambria Math" w:hAnsi="Cambria Math"/>
        </w:rPr>
        <w:t xml:space="preserve">= </w:t>
      </w:r>
      <w:r w:rsidRPr="00B144A7">
        <w:rPr>
          <w:rFonts w:ascii="Cambria Math" w:hAnsi="Cambria Math"/>
          <w:i/>
          <w:iCs/>
        </w:rPr>
        <w:t>Current Assets/Current Liabilities</w:t>
      </w:r>
    </w:p>
    <w:p w14:paraId="7537F60A" w14:textId="67D0A638" w:rsidR="00B144A7" w:rsidRPr="00B144A7" w:rsidRDefault="00B144A7" w:rsidP="00B144A7">
      <w:pPr>
        <w:spacing w:line="240" w:lineRule="auto"/>
        <w:jc w:val="both"/>
        <w:rPr>
          <w:rFonts w:ascii="Cambria Math" w:hAnsi="Cambria Math"/>
          <w:i/>
          <w:iCs/>
        </w:rPr>
      </w:pPr>
      <w:r w:rsidRPr="00B144A7">
        <w:rPr>
          <w:rFonts w:ascii="Cambria Math" w:hAnsi="Cambria Math"/>
          <w:i/>
          <w:iCs/>
        </w:rPr>
        <w:t xml:space="preserve">Quick Ratio </w:t>
      </w:r>
      <w:r w:rsidRPr="00B144A7">
        <w:rPr>
          <w:rFonts w:ascii="Cambria Math" w:hAnsi="Cambria Math"/>
        </w:rPr>
        <w:t>= (</w:t>
      </w:r>
      <w:r w:rsidRPr="00B144A7">
        <w:rPr>
          <w:rFonts w:ascii="Cambria Math" w:hAnsi="Cambria Math"/>
          <w:i/>
          <w:iCs/>
        </w:rPr>
        <w:t>Current Assets – Inventory)/Current Liabilities</w:t>
      </w:r>
    </w:p>
    <w:p w14:paraId="4A8590D4" w14:textId="64CE2376" w:rsidR="00B144A7" w:rsidRPr="00B144A7" w:rsidRDefault="00B144A7" w:rsidP="00B144A7">
      <w:pPr>
        <w:spacing w:line="240" w:lineRule="auto"/>
        <w:jc w:val="both"/>
        <w:rPr>
          <w:rFonts w:ascii="Cambria Math" w:hAnsi="Cambria Math"/>
          <w:i/>
          <w:iCs/>
        </w:rPr>
      </w:pPr>
      <w:r w:rsidRPr="00B144A7">
        <w:rPr>
          <w:rFonts w:ascii="Cambria Math" w:hAnsi="Cambria Math"/>
          <w:i/>
          <w:iCs/>
        </w:rPr>
        <w:t>Size = Number of Aircraft</w:t>
      </w:r>
    </w:p>
    <w:p w14:paraId="394E0935" w14:textId="7A236BC4" w:rsidR="00B144A7" w:rsidRPr="00083F95" w:rsidRDefault="00B144A7" w:rsidP="00B144A7">
      <w:pPr>
        <w:spacing w:line="240" w:lineRule="auto"/>
        <w:jc w:val="both"/>
        <w:rPr>
          <w:rFonts w:ascii="Cambria Math" w:hAnsi="Cambria Math"/>
          <w:i/>
          <w:iCs/>
        </w:rPr>
      </w:pPr>
      <w:r w:rsidRPr="00083F95">
        <w:rPr>
          <w:rFonts w:ascii="Cambria Math" w:hAnsi="Cambria Math"/>
          <w:i/>
          <w:iCs/>
        </w:rPr>
        <w:t xml:space="preserve">Growth Rate = Annual Revenue Growth % </w:t>
      </w:r>
    </w:p>
    <w:p w14:paraId="22312C9C" w14:textId="0E266D1E" w:rsidR="00B144A7" w:rsidRPr="00083F95" w:rsidRDefault="00083F95" w:rsidP="00B144A7">
      <w:pPr>
        <w:spacing w:line="254" w:lineRule="auto"/>
        <w:jc w:val="both"/>
        <w:rPr>
          <w:rFonts w:ascii="Cambria Math" w:hAnsi="Cambria Math"/>
        </w:rPr>
      </w:pPr>
      <w:r w:rsidRPr="00083F95">
        <w:rPr>
          <w:rFonts w:ascii="Cambria Math" w:hAnsi="Cambria Math"/>
        </w:rPr>
        <w:t>ε = Error term</w:t>
      </w:r>
    </w:p>
    <w:p w14:paraId="6BB01A71" w14:textId="77777777" w:rsidR="00C0603B" w:rsidRDefault="00C0603B" w:rsidP="00B144A7">
      <w:pPr>
        <w:spacing w:line="254" w:lineRule="auto"/>
        <w:jc w:val="both"/>
        <w:rPr>
          <w:b/>
          <w:bCs/>
        </w:rPr>
      </w:pPr>
    </w:p>
    <w:p w14:paraId="63DC826F" w14:textId="77777777" w:rsidR="00593EB5" w:rsidRDefault="00593EB5" w:rsidP="00516C83">
      <w:pPr>
        <w:spacing w:line="360" w:lineRule="auto"/>
        <w:jc w:val="both"/>
      </w:pPr>
    </w:p>
    <w:p w14:paraId="5C7DC56B" w14:textId="6FA68F83" w:rsidR="00D106F6" w:rsidRDefault="00D106F6" w:rsidP="00516C83">
      <w:pPr>
        <w:spacing w:line="360" w:lineRule="auto"/>
        <w:jc w:val="both"/>
      </w:pPr>
      <w:r>
        <w:lastRenderedPageBreak/>
        <w:t>The purpose of this analysis has mainly two objectives:</w:t>
      </w:r>
    </w:p>
    <w:p w14:paraId="6FD9D68E" w14:textId="44966404" w:rsidR="00D106F6" w:rsidRDefault="00D106F6" w:rsidP="00516C83">
      <w:pPr>
        <w:pStyle w:val="ListParagraph"/>
        <w:numPr>
          <w:ilvl w:val="0"/>
          <w:numId w:val="10"/>
        </w:numPr>
        <w:spacing w:line="360" w:lineRule="auto"/>
        <w:jc w:val="both"/>
      </w:pPr>
      <w:r>
        <w:t>Assess the overall fit of the model with all its values and variables</w:t>
      </w:r>
    </w:p>
    <w:p w14:paraId="5887C412" w14:textId="09B26258" w:rsidR="00D106F6" w:rsidRPr="00D106F6" w:rsidRDefault="00D106F6" w:rsidP="00516C83">
      <w:pPr>
        <w:pStyle w:val="ListParagraph"/>
        <w:numPr>
          <w:ilvl w:val="0"/>
          <w:numId w:val="10"/>
        </w:numPr>
        <w:spacing w:line="360" w:lineRule="auto"/>
        <w:jc w:val="both"/>
      </w:pPr>
      <w:r>
        <w:t xml:space="preserve">Identify </w:t>
      </w:r>
      <w:r w:rsidR="00C0603B">
        <w:t>how the independent variables do individually in predicting the dependent variable, more specifically</w:t>
      </w:r>
      <w:r w:rsidR="00810810">
        <w:t>,</w:t>
      </w:r>
      <w:r w:rsidR="00C0603B">
        <w:t xml:space="preserve"> if they are individually significant or not.</w:t>
      </w:r>
    </w:p>
    <w:p w14:paraId="19F1DA42" w14:textId="77777777" w:rsidR="00C0603B" w:rsidRDefault="00C0603B" w:rsidP="00C0603B">
      <w:pPr>
        <w:spacing w:line="254" w:lineRule="auto"/>
        <w:jc w:val="both"/>
        <w:rPr>
          <w:b/>
          <w:bCs/>
        </w:rPr>
      </w:pPr>
    </w:p>
    <w:p w14:paraId="6187E73B" w14:textId="7822F873" w:rsidR="00852E71" w:rsidRPr="00852E71" w:rsidRDefault="002E402E" w:rsidP="00852E71">
      <w:pPr>
        <w:pStyle w:val="Heading3"/>
        <w:spacing w:line="480" w:lineRule="auto"/>
        <w:rPr>
          <w:rFonts w:ascii="Arial" w:hAnsi="Arial" w:cs="Arial"/>
          <w:b/>
          <w:bCs/>
          <w:color w:val="auto"/>
        </w:rPr>
      </w:pPr>
      <w:bookmarkStart w:id="39" w:name="_Toc43473612"/>
      <w:r>
        <w:rPr>
          <w:rFonts w:ascii="Arial" w:hAnsi="Arial" w:cs="Arial"/>
          <w:b/>
          <w:bCs/>
          <w:color w:val="auto"/>
        </w:rPr>
        <w:t xml:space="preserve">2.1 </w:t>
      </w:r>
      <w:r w:rsidR="00C0603B" w:rsidRPr="00852E71">
        <w:rPr>
          <w:rFonts w:ascii="Arial" w:hAnsi="Arial" w:cs="Arial"/>
          <w:b/>
          <w:bCs/>
          <w:color w:val="auto"/>
        </w:rPr>
        <w:t>Equation one Testing</w:t>
      </w:r>
      <w:bookmarkEnd w:id="39"/>
    </w:p>
    <w:p w14:paraId="23D5140C" w14:textId="77777777" w:rsidR="00852E71" w:rsidRDefault="00852E71" w:rsidP="00852E71">
      <w:pPr>
        <w:spacing w:line="254" w:lineRule="auto"/>
        <w:jc w:val="center"/>
        <w:rPr>
          <w:rFonts w:ascii="Cambria Math" w:hAnsi="Cambria Math"/>
          <w:b/>
          <w:bCs/>
          <w:i/>
          <w:iCs/>
        </w:rPr>
      </w:pPr>
    </w:p>
    <w:p w14:paraId="57D0A705" w14:textId="506A94A3" w:rsidR="00C0603B" w:rsidRPr="00852E71" w:rsidRDefault="00852E71" w:rsidP="00852E71">
      <w:pPr>
        <w:spacing w:line="254" w:lineRule="auto"/>
        <w:jc w:val="center"/>
        <w:rPr>
          <w:b/>
          <w:bCs/>
        </w:rPr>
      </w:pPr>
      <w:r w:rsidRPr="00852E71">
        <w:rPr>
          <w:rFonts w:ascii="Cambria Math" w:hAnsi="Cambria Math"/>
          <w:b/>
          <w:bCs/>
          <w:i/>
          <w:iCs/>
        </w:rPr>
        <w:t xml:space="preserve">ROI = </w:t>
      </w:r>
      <w:r w:rsidRPr="00852E71">
        <w:rPr>
          <w:rFonts w:ascii="Cambria Math" w:hAnsi="Cambria Math" w:cs="Cambria Math"/>
          <w:b/>
          <w:bCs/>
          <w:i/>
          <w:iCs/>
        </w:rPr>
        <w:t>𝛽</w:t>
      </w:r>
      <w:r w:rsidRPr="00852E71">
        <w:rPr>
          <w:rFonts w:ascii="Cambria Math" w:hAnsi="Cambria Math"/>
          <w:b/>
          <w:bCs/>
          <w:i/>
          <w:iCs/>
        </w:rPr>
        <w:t xml:space="preserve">0 + </w:t>
      </w:r>
      <w:r w:rsidRPr="00852E71">
        <w:rPr>
          <w:rFonts w:ascii="Cambria Math" w:hAnsi="Cambria Math" w:cs="Cambria Math"/>
          <w:b/>
          <w:bCs/>
          <w:i/>
          <w:iCs/>
        </w:rPr>
        <w:t>𝛽</w:t>
      </w:r>
      <w:r w:rsidRPr="00852E71">
        <w:rPr>
          <w:rFonts w:ascii="Cambria Math" w:hAnsi="Cambria Math"/>
          <w:b/>
          <w:bCs/>
          <w:i/>
          <w:iCs/>
        </w:rPr>
        <w:t>1</w:t>
      </w:r>
      <w:r w:rsidRPr="00852E71">
        <w:rPr>
          <w:rFonts w:ascii="Cambria Math" w:hAnsi="Cambria Math" w:cs="Cambria Math"/>
          <w:b/>
          <w:bCs/>
          <w:i/>
          <w:iCs/>
        </w:rPr>
        <w:t>Current Ratio</w:t>
      </w:r>
      <w:r w:rsidRPr="00852E71">
        <w:rPr>
          <w:rFonts w:ascii="Cambria Math" w:hAnsi="Cambria Math"/>
          <w:b/>
          <w:bCs/>
          <w:i/>
          <w:iCs/>
        </w:rPr>
        <w:t xml:space="preserve">+ </w:t>
      </w:r>
      <w:r w:rsidRPr="00852E71">
        <w:rPr>
          <w:rFonts w:ascii="Cambria Math" w:hAnsi="Cambria Math" w:cs="Cambria Math"/>
          <w:b/>
          <w:bCs/>
          <w:i/>
          <w:iCs/>
        </w:rPr>
        <w:t>𝛽</w:t>
      </w:r>
      <w:r w:rsidRPr="00852E71">
        <w:rPr>
          <w:rFonts w:ascii="Cambria Math" w:hAnsi="Cambria Math"/>
          <w:b/>
          <w:bCs/>
          <w:i/>
          <w:iCs/>
        </w:rPr>
        <w:t>2</w:t>
      </w:r>
      <w:r w:rsidRPr="00852E71">
        <w:rPr>
          <w:rFonts w:ascii="Cambria Math" w:hAnsi="Cambria Math" w:cs="Cambria Math"/>
          <w:b/>
          <w:bCs/>
          <w:i/>
          <w:iCs/>
        </w:rPr>
        <w:t>Debt-to-Equity Ratio</w:t>
      </w:r>
      <w:r w:rsidRPr="00852E71">
        <w:rPr>
          <w:rFonts w:ascii="Cambria Math" w:hAnsi="Cambria Math"/>
          <w:b/>
          <w:bCs/>
          <w:i/>
          <w:iCs/>
        </w:rPr>
        <w:t xml:space="preserve"> + </w:t>
      </w:r>
      <w:r w:rsidRPr="00852E71">
        <w:rPr>
          <w:rFonts w:ascii="Cambria Math" w:hAnsi="Cambria Math" w:cs="Cambria Math"/>
          <w:b/>
          <w:bCs/>
          <w:i/>
          <w:iCs/>
        </w:rPr>
        <w:t>𝛽</w:t>
      </w:r>
      <w:r w:rsidRPr="00852E71">
        <w:rPr>
          <w:rFonts w:ascii="Cambria Math" w:hAnsi="Cambria Math"/>
          <w:b/>
          <w:bCs/>
          <w:i/>
          <w:iCs/>
        </w:rPr>
        <w:t>3</w:t>
      </w:r>
      <w:r w:rsidRPr="00852E71">
        <w:rPr>
          <w:rFonts w:ascii="Cambria Math" w:hAnsi="Cambria Math" w:cs="Cambria Math"/>
          <w:b/>
          <w:bCs/>
          <w:i/>
          <w:iCs/>
        </w:rPr>
        <w:t>Size</w:t>
      </w:r>
      <w:r w:rsidRPr="00852E71">
        <w:rPr>
          <w:rFonts w:ascii="Cambria Math" w:hAnsi="Cambria Math"/>
          <w:b/>
          <w:bCs/>
          <w:i/>
          <w:iCs/>
        </w:rPr>
        <w:t xml:space="preserve"> + </w:t>
      </w:r>
      <w:r w:rsidRPr="00852E71">
        <w:rPr>
          <w:rFonts w:ascii="Cambria Math" w:hAnsi="Cambria Math" w:cs="Cambria Math"/>
          <w:b/>
          <w:bCs/>
          <w:i/>
          <w:iCs/>
        </w:rPr>
        <w:t>𝛽</w:t>
      </w:r>
      <w:r w:rsidRPr="00852E71">
        <w:rPr>
          <w:rFonts w:ascii="Cambria Math" w:hAnsi="Cambria Math"/>
          <w:b/>
          <w:bCs/>
          <w:i/>
          <w:iCs/>
        </w:rPr>
        <w:t>4</w:t>
      </w:r>
      <w:r w:rsidRPr="00852E71">
        <w:rPr>
          <w:rFonts w:ascii="Cambria Math" w:hAnsi="Cambria Math" w:cs="Cambria Math"/>
          <w:b/>
          <w:bCs/>
          <w:i/>
          <w:iCs/>
        </w:rPr>
        <w:t>Growth rate +𝜀</w:t>
      </w:r>
    </w:p>
    <w:p w14:paraId="5D039112" w14:textId="7E86ED7A" w:rsidR="00C0603B" w:rsidRDefault="00C0603B" w:rsidP="00B144A7">
      <w:pPr>
        <w:spacing w:line="254" w:lineRule="auto"/>
        <w:jc w:val="both"/>
      </w:pPr>
    </w:p>
    <w:tbl>
      <w:tblPr>
        <w:tblW w:w="9204" w:type="dxa"/>
        <w:tblLook w:val="04A0" w:firstRow="1" w:lastRow="0" w:firstColumn="1" w:lastColumn="0" w:noHBand="0" w:noVBand="1"/>
      </w:tblPr>
      <w:tblGrid>
        <w:gridCol w:w="1648"/>
        <w:gridCol w:w="1408"/>
        <w:gridCol w:w="1900"/>
        <w:gridCol w:w="1436"/>
        <w:gridCol w:w="1397"/>
        <w:gridCol w:w="1496"/>
      </w:tblGrid>
      <w:tr w:rsidR="001B0C27" w:rsidRPr="001B0C27" w14:paraId="30E57401" w14:textId="77777777" w:rsidTr="00C13572">
        <w:trPr>
          <w:trHeight w:val="288"/>
        </w:trPr>
        <w:tc>
          <w:tcPr>
            <w:tcW w:w="1648" w:type="dxa"/>
            <w:tcBorders>
              <w:top w:val="single" w:sz="4" w:space="0" w:color="auto"/>
              <w:left w:val="single" w:sz="4" w:space="0" w:color="auto"/>
              <w:bottom w:val="nil"/>
              <w:right w:val="nil"/>
            </w:tcBorders>
            <w:shd w:val="clear" w:color="auto" w:fill="auto"/>
            <w:noWrap/>
            <w:vAlign w:val="bottom"/>
            <w:hideMark/>
          </w:tcPr>
          <w:p w14:paraId="2B8D69AB" w14:textId="77777777" w:rsidR="001B0C27" w:rsidRPr="001B0C27" w:rsidRDefault="001B0C27" w:rsidP="001B0C27">
            <w:pPr>
              <w:spacing w:after="0" w:line="240" w:lineRule="auto"/>
              <w:rPr>
                <w:rFonts w:ascii="Times New Roman" w:eastAsia="Times New Roman" w:hAnsi="Times New Roman" w:cs="Times New Roman"/>
                <w:sz w:val="24"/>
                <w:szCs w:val="24"/>
                <w:lang w:eastAsia="en-GB"/>
              </w:rPr>
            </w:pPr>
          </w:p>
        </w:tc>
        <w:tc>
          <w:tcPr>
            <w:tcW w:w="1408" w:type="dxa"/>
            <w:tcBorders>
              <w:top w:val="single" w:sz="4" w:space="0" w:color="auto"/>
              <w:left w:val="nil"/>
              <w:bottom w:val="nil"/>
              <w:right w:val="nil"/>
            </w:tcBorders>
            <w:shd w:val="clear" w:color="auto" w:fill="auto"/>
            <w:noWrap/>
            <w:vAlign w:val="bottom"/>
            <w:hideMark/>
          </w:tcPr>
          <w:p w14:paraId="6B1B8987" w14:textId="77777777" w:rsidR="001B0C27" w:rsidRPr="001B0C27" w:rsidRDefault="001B0C27" w:rsidP="001B0C27">
            <w:pPr>
              <w:spacing w:after="0" w:line="240" w:lineRule="auto"/>
              <w:rPr>
                <w:rFonts w:ascii="Times New Roman" w:eastAsia="Times New Roman" w:hAnsi="Times New Roman" w:cs="Times New Roman"/>
                <w:sz w:val="20"/>
                <w:szCs w:val="20"/>
                <w:lang w:eastAsia="en-GB"/>
              </w:rPr>
            </w:pPr>
          </w:p>
        </w:tc>
        <w:tc>
          <w:tcPr>
            <w:tcW w:w="3336" w:type="dxa"/>
            <w:gridSpan w:val="2"/>
            <w:tcBorders>
              <w:top w:val="single" w:sz="4" w:space="0" w:color="auto"/>
              <w:left w:val="nil"/>
              <w:bottom w:val="nil"/>
              <w:right w:val="nil"/>
            </w:tcBorders>
            <w:shd w:val="clear" w:color="auto" w:fill="auto"/>
            <w:noWrap/>
            <w:vAlign w:val="bottom"/>
            <w:hideMark/>
          </w:tcPr>
          <w:p w14:paraId="1A77FA07" w14:textId="793DC84B" w:rsidR="001B0C27" w:rsidRPr="001B0C27" w:rsidRDefault="001B0C27" w:rsidP="001B0C27">
            <w:pPr>
              <w:spacing w:after="0" w:line="240" w:lineRule="auto"/>
              <w:rPr>
                <w:rFonts w:ascii="Calibri" w:eastAsia="Times New Roman" w:hAnsi="Calibri" w:cs="Calibri"/>
                <w:b/>
                <w:bCs/>
                <w:color w:val="000000"/>
                <w:lang w:eastAsia="en-GB"/>
              </w:rPr>
            </w:pPr>
            <w:r>
              <w:rPr>
                <w:rFonts w:ascii="Calibri" w:eastAsia="Times New Roman" w:hAnsi="Calibri" w:cs="Calibri"/>
                <w:b/>
                <w:bCs/>
                <w:color w:val="000000"/>
                <w:lang w:eastAsia="en-GB"/>
              </w:rPr>
              <w:t xml:space="preserve">     </w:t>
            </w:r>
            <w:r w:rsidRPr="001B0C27">
              <w:rPr>
                <w:rFonts w:ascii="Calibri" w:eastAsia="Times New Roman" w:hAnsi="Calibri" w:cs="Calibri"/>
                <w:b/>
                <w:bCs/>
                <w:color w:val="000000"/>
                <w:lang w:eastAsia="en-GB"/>
              </w:rPr>
              <w:t>REGRESSION STATISTIC</w:t>
            </w:r>
          </w:p>
        </w:tc>
        <w:tc>
          <w:tcPr>
            <w:tcW w:w="1316" w:type="dxa"/>
            <w:tcBorders>
              <w:top w:val="single" w:sz="4" w:space="0" w:color="auto"/>
              <w:left w:val="nil"/>
              <w:bottom w:val="nil"/>
              <w:right w:val="nil"/>
            </w:tcBorders>
            <w:shd w:val="clear" w:color="auto" w:fill="auto"/>
            <w:noWrap/>
            <w:vAlign w:val="bottom"/>
            <w:hideMark/>
          </w:tcPr>
          <w:p w14:paraId="07BFAD4C" w14:textId="77777777" w:rsidR="001B0C27" w:rsidRPr="001B0C27" w:rsidRDefault="001B0C27" w:rsidP="001B0C27">
            <w:pPr>
              <w:spacing w:after="0" w:line="240" w:lineRule="auto"/>
              <w:rPr>
                <w:rFonts w:ascii="Calibri" w:eastAsia="Times New Roman" w:hAnsi="Calibri" w:cs="Calibri"/>
                <w:b/>
                <w:bCs/>
                <w:color w:val="000000"/>
                <w:lang w:eastAsia="en-GB"/>
              </w:rPr>
            </w:pPr>
          </w:p>
        </w:tc>
        <w:tc>
          <w:tcPr>
            <w:tcW w:w="1496" w:type="dxa"/>
            <w:tcBorders>
              <w:top w:val="single" w:sz="4" w:space="0" w:color="auto"/>
              <w:left w:val="nil"/>
              <w:bottom w:val="nil"/>
              <w:right w:val="single" w:sz="4" w:space="0" w:color="auto"/>
            </w:tcBorders>
            <w:shd w:val="clear" w:color="auto" w:fill="auto"/>
            <w:noWrap/>
            <w:vAlign w:val="bottom"/>
            <w:hideMark/>
          </w:tcPr>
          <w:p w14:paraId="5F67EC69" w14:textId="77777777" w:rsidR="001B0C27" w:rsidRPr="001B0C27" w:rsidRDefault="001B0C27" w:rsidP="001B0C27">
            <w:pPr>
              <w:spacing w:after="0" w:line="240" w:lineRule="auto"/>
              <w:rPr>
                <w:rFonts w:ascii="Times New Roman" w:eastAsia="Times New Roman" w:hAnsi="Times New Roman" w:cs="Times New Roman"/>
                <w:sz w:val="20"/>
                <w:szCs w:val="20"/>
                <w:lang w:eastAsia="en-GB"/>
              </w:rPr>
            </w:pPr>
          </w:p>
        </w:tc>
      </w:tr>
      <w:tr w:rsidR="001B0C27" w:rsidRPr="001B0C27" w14:paraId="1F7D0D69" w14:textId="77777777" w:rsidTr="00C13572">
        <w:trPr>
          <w:trHeight w:val="294"/>
        </w:trPr>
        <w:tc>
          <w:tcPr>
            <w:tcW w:w="1648" w:type="dxa"/>
            <w:tcBorders>
              <w:top w:val="single" w:sz="4" w:space="0" w:color="auto"/>
              <w:left w:val="single" w:sz="4" w:space="0" w:color="auto"/>
              <w:bottom w:val="single" w:sz="8" w:space="0" w:color="auto"/>
              <w:right w:val="nil"/>
            </w:tcBorders>
            <w:shd w:val="clear" w:color="auto" w:fill="auto"/>
            <w:noWrap/>
            <w:vAlign w:val="bottom"/>
            <w:hideMark/>
          </w:tcPr>
          <w:p w14:paraId="6DA00781"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Multiple R</w:t>
            </w:r>
          </w:p>
        </w:tc>
        <w:tc>
          <w:tcPr>
            <w:tcW w:w="1408" w:type="dxa"/>
            <w:tcBorders>
              <w:top w:val="single" w:sz="4" w:space="0" w:color="auto"/>
              <w:left w:val="nil"/>
              <w:bottom w:val="single" w:sz="8" w:space="0" w:color="auto"/>
              <w:right w:val="nil"/>
            </w:tcBorders>
            <w:shd w:val="clear" w:color="auto" w:fill="auto"/>
            <w:noWrap/>
            <w:vAlign w:val="bottom"/>
            <w:hideMark/>
          </w:tcPr>
          <w:p w14:paraId="2F4CC218"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R squared</w:t>
            </w:r>
          </w:p>
        </w:tc>
        <w:tc>
          <w:tcPr>
            <w:tcW w:w="1900" w:type="dxa"/>
            <w:tcBorders>
              <w:top w:val="single" w:sz="4" w:space="0" w:color="auto"/>
              <w:left w:val="nil"/>
              <w:bottom w:val="single" w:sz="8" w:space="0" w:color="auto"/>
              <w:right w:val="nil"/>
            </w:tcBorders>
            <w:shd w:val="clear" w:color="auto" w:fill="auto"/>
            <w:noWrap/>
            <w:vAlign w:val="bottom"/>
            <w:hideMark/>
          </w:tcPr>
          <w:p w14:paraId="2EBEF1A7"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Adjusted R squared</w:t>
            </w:r>
          </w:p>
        </w:tc>
        <w:tc>
          <w:tcPr>
            <w:tcW w:w="1436" w:type="dxa"/>
            <w:tcBorders>
              <w:top w:val="single" w:sz="4" w:space="0" w:color="auto"/>
              <w:left w:val="nil"/>
              <w:bottom w:val="single" w:sz="8" w:space="0" w:color="auto"/>
              <w:right w:val="nil"/>
            </w:tcBorders>
            <w:shd w:val="clear" w:color="auto" w:fill="auto"/>
            <w:noWrap/>
            <w:vAlign w:val="bottom"/>
            <w:hideMark/>
          </w:tcPr>
          <w:p w14:paraId="6E4972D3"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Standard error</w:t>
            </w:r>
          </w:p>
        </w:tc>
        <w:tc>
          <w:tcPr>
            <w:tcW w:w="1316" w:type="dxa"/>
            <w:tcBorders>
              <w:top w:val="single" w:sz="4" w:space="0" w:color="auto"/>
              <w:left w:val="nil"/>
              <w:bottom w:val="single" w:sz="8" w:space="0" w:color="auto"/>
              <w:right w:val="nil"/>
            </w:tcBorders>
            <w:shd w:val="clear" w:color="auto" w:fill="auto"/>
            <w:noWrap/>
            <w:vAlign w:val="bottom"/>
            <w:hideMark/>
          </w:tcPr>
          <w:p w14:paraId="12C6FCB8"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Observations</w:t>
            </w:r>
          </w:p>
        </w:tc>
        <w:tc>
          <w:tcPr>
            <w:tcW w:w="1496" w:type="dxa"/>
            <w:tcBorders>
              <w:top w:val="single" w:sz="4" w:space="0" w:color="auto"/>
              <w:left w:val="nil"/>
              <w:bottom w:val="single" w:sz="8" w:space="0" w:color="auto"/>
              <w:right w:val="single" w:sz="4" w:space="0" w:color="auto"/>
            </w:tcBorders>
            <w:shd w:val="clear" w:color="auto" w:fill="auto"/>
            <w:noWrap/>
            <w:vAlign w:val="bottom"/>
            <w:hideMark/>
          </w:tcPr>
          <w:p w14:paraId="76D9E041" w14:textId="28A03CD6" w:rsidR="001B0C27" w:rsidRPr="001B0C27" w:rsidRDefault="001B0C27" w:rsidP="001B0C27">
            <w:pPr>
              <w:spacing w:after="0" w:line="240" w:lineRule="auto"/>
              <w:jc w:val="center"/>
              <w:rPr>
                <w:rFonts w:ascii="Calibri" w:eastAsia="Times New Roman" w:hAnsi="Calibri" w:cs="Calibri"/>
                <w:color w:val="000000"/>
                <w:lang w:eastAsia="en-GB"/>
              </w:rPr>
            </w:pPr>
          </w:p>
        </w:tc>
      </w:tr>
      <w:tr w:rsidR="001B0C27" w:rsidRPr="001B0C27" w14:paraId="39CA8098" w14:textId="77777777" w:rsidTr="00C13572">
        <w:trPr>
          <w:trHeight w:val="288"/>
        </w:trPr>
        <w:tc>
          <w:tcPr>
            <w:tcW w:w="1648" w:type="dxa"/>
            <w:tcBorders>
              <w:top w:val="nil"/>
              <w:left w:val="single" w:sz="4" w:space="0" w:color="auto"/>
              <w:bottom w:val="nil"/>
              <w:right w:val="nil"/>
            </w:tcBorders>
            <w:shd w:val="clear" w:color="auto" w:fill="auto"/>
            <w:noWrap/>
            <w:vAlign w:val="bottom"/>
            <w:hideMark/>
          </w:tcPr>
          <w:p w14:paraId="1B7828EC"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0.366676681</w:t>
            </w:r>
          </w:p>
        </w:tc>
        <w:tc>
          <w:tcPr>
            <w:tcW w:w="1408" w:type="dxa"/>
            <w:tcBorders>
              <w:top w:val="nil"/>
              <w:left w:val="nil"/>
              <w:bottom w:val="nil"/>
              <w:right w:val="nil"/>
            </w:tcBorders>
            <w:shd w:val="clear" w:color="auto" w:fill="auto"/>
            <w:noWrap/>
            <w:vAlign w:val="bottom"/>
            <w:hideMark/>
          </w:tcPr>
          <w:p w14:paraId="6BC6ACEA"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0.134451789</w:t>
            </w:r>
          </w:p>
        </w:tc>
        <w:tc>
          <w:tcPr>
            <w:tcW w:w="1900" w:type="dxa"/>
            <w:tcBorders>
              <w:top w:val="nil"/>
              <w:left w:val="nil"/>
              <w:bottom w:val="nil"/>
              <w:right w:val="nil"/>
            </w:tcBorders>
            <w:shd w:val="clear" w:color="auto" w:fill="auto"/>
            <w:noWrap/>
            <w:vAlign w:val="bottom"/>
            <w:hideMark/>
          </w:tcPr>
          <w:p w14:paraId="3FE47C47"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-0.004035925</w:t>
            </w:r>
          </w:p>
        </w:tc>
        <w:tc>
          <w:tcPr>
            <w:tcW w:w="1436" w:type="dxa"/>
            <w:tcBorders>
              <w:top w:val="nil"/>
              <w:left w:val="nil"/>
              <w:bottom w:val="nil"/>
              <w:right w:val="nil"/>
            </w:tcBorders>
            <w:shd w:val="clear" w:color="auto" w:fill="auto"/>
            <w:noWrap/>
            <w:vAlign w:val="bottom"/>
            <w:hideMark/>
          </w:tcPr>
          <w:p w14:paraId="3B807F98"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0.064676494</w:t>
            </w:r>
          </w:p>
        </w:tc>
        <w:tc>
          <w:tcPr>
            <w:tcW w:w="1316" w:type="dxa"/>
            <w:tcBorders>
              <w:top w:val="nil"/>
              <w:left w:val="nil"/>
              <w:bottom w:val="nil"/>
              <w:right w:val="nil"/>
            </w:tcBorders>
            <w:shd w:val="clear" w:color="auto" w:fill="auto"/>
            <w:noWrap/>
            <w:vAlign w:val="bottom"/>
            <w:hideMark/>
          </w:tcPr>
          <w:p w14:paraId="4BABAEDA"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30</w:t>
            </w:r>
          </w:p>
        </w:tc>
        <w:tc>
          <w:tcPr>
            <w:tcW w:w="1496" w:type="dxa"/>
            <w:tcBorders>
              <w:top w:val="nil"/>
              <w:left w:val="nil"/>
              <w:bottom w:val="nil"/>
              <w:right w:val="single" w:sz="4" w:space="0" w:color="auto"/>
            </w:tcBorders>
            <w:shd w:val="clear" w:color="auto" w:fill="auto"/>
            <w:noWrap/>
            <w:vAlign w:val="bottom"/>
            <w:hideMark/>
          </w:tcPr>
          <w:p w14:paraId="145FC9B9" w14:textId="77777777" w:rsidR="001B0C27" w:rsidRPr="001B0C27" w:rsidRDefault="001B0C27" w:rsidP="001B0C27">
            <w:pPr>
              <w:spacing w:after="0" w:line="240" w:lineRule="auto"/>
              <w:jc w:val="center"/>
              <w:rPr>
                <w:rFonts w:ascii="Calibri" w:eastAsia="Times New Roman" w:hAnsi="Calibri" w:cs="Calibri"/>
                <w:color w:val="000000"/>
                <w:lang w:eastAsia="en-GB"/>
              </w:rPr>
            </w:pPr>
          </w:p>
        </w:tc>
      </w:tr>
      <w:tr w:rsidR="001B0C27" w:rsidRPr="001B0C27" w14:paraId="484FED75" w14:textId="77777777" w:rsidTr="00C13572">
        <w:trPr>
          <w:trHeight w:val="294"/>
        </w:trPr>
        <w:tc>
          <w:tcPr>
            <w:tcW w:w="1648" w:type="dxa"/>
            <w:tcBorders>
              <w:top w:val="single" w:sz="4" w:space="0" w:color="auto"/>
              <w:left w:val="single" w:sz="4" w:space="0" w:color="auto"/>
              <w:bottom w:val="single" w:sz="8" w:space="0" w:color="auto"/>
              <w:right w:val="nil"/>
            </w:tcBorders>
            <w:shd w:val="clear" w:color="auto" w:fill="auto"/>
            <w:noWrap/>
            <w:vAlign w:val="bottom"/>
            <w:hideMark/>
          </w:tcPr>
          <w:p w14:paraId="28B41E83" w14:textId="264AACCB" w:rsidR="001B0C27" w:rsidRPr="001B0C27" w:rsidRDefault="001B0C27" w:rsidP="001B0C27">
            <w:pPr>
              <w:spacing w:after="0" w:line="240" w:lineRule="auto"/>
              <w:jc w:val="center"/>
              <w:rPr>
                <w:rFonts w:ascii="Calibri" w:eastAsia="Times New Roman" w:hAnsi="Calibri" w:cs="Calibri"/>
                <w:b/>
                <w:bCs/>
                <w:color w:val="000000"/>
                <w:lang w:eastAsia="en-GB"/>
              </w:rPr>
            </w:pPr>
          </w:p>
        </w:tc>
        <w:tc>
          <w:tcPr>
            <w:tcW w:w="1408" w:type="dxa"/>
            <w:tcBorders>
              <w:top w:val="single" w:sz="4" w:space="0" w:color="auto"/>
              <w:left w:val="nil"/>
              <w:bottom w:val="single" w:sz="8" w:space="0" w:color="auto"/>
              <w:right w:val="nil"/>
            </w:tcBorders>
            <w:shd w:val="clear" w:color="auto" w:fill="auto"/>
            <w:noWrap/>
            <w:vAlign w:val="bottom"/>
            <w:hideMark/>
          </w:tcPr>
          <w:p w14:paraId="21035285" w14:textId="19D3B36D" w:rsidR="001B0C27" w:rsidRPr="001B0C27" w:rsidRDefault="001B0C27" w:rsidP="001B0C27">
            <w:pPr>
              <w:spacing w:after="0" w:line="240" w:lineRule="auto"/>
              <w:jc w:val="center"/>
              <w:rPr>
                <w:rFonts w:ascii="Calibri" w:eastAsia="Times New Roman" w:hAnsi="Calibri" w:cs="Calibri"/>
                <w:color w:val="000000"/>
                <w:lang w:eastAsia="en-GB"/>
              </w:rPr>
            </w:pPr>
          </w:p>
        </w:tc>
        <w:tc>
          <w:tcPr>
            <w:tcW w:w="1900" w:type="dxa"/>
            <w:tcBorders>
              <w:top w:val="single" w:sz="4" w:space="0" w:color="auto"/>
              <w:left w:val="nil"/>
              <w:bottom w:val="single" w:sz="8" w:space="0" w:color="auto"/>
              <w:right w:val="nil"/>
            </w:tcBorders>
            <w:shd w:val="clear" w:color="auto" w:fill="auto"/>
            <w:noWrap/>
            <w:vAlign w:val="bottom"/>
            <w:hideMark/>
          </w:tcPr>
          <w:p w14:paraId="1781845F" w14:textId="06741DD9" w:rsidR="001B0C27" w:rsidRPr="001B0C27" w:rsidRDefault="001B0C27" w:rsidP="001B0C27">
            <w:pPr>
              <w:spacing w:after="0"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 xml:space="preserve">                   </w:t>
            </w:r>
            <w:r w:rsidRPr="001B0C27">
              <w:rPr>
                <w:rFonts w:ascii="Calibri" w:eastAsia="Times New Roman" w:hAnsi="Calibri" w:cs="Calibri"/>
                <w:b/>
                <w:bCs/>
                <w:color w:val="000000"/>
                <w:lang w:eastAsia="en-GB"/>
              </w:rPr>
              <w:t>ANOVA</w:t>
            </w:r>
          </w:p>
        </w:tc>
        <w:tc>
          <w:tcPr>
            <w:tcW w:w="1436" w:type="dxa"/>
            <w:tcBorders>
              <w:top w:val="single" w:sz="4" w:space="0" w:color="auto"/>
              <w:left w:val="nil"/>
              <w:bottom w:val="single" w:sz="8" w:space="0" w:color="auto"/>
              <w:right w:val="nil"/>
            </w:tcBorders>
            <w:shd w:val="clear" w:color="auto" w:fill="auto"/>
            <w:noWrap/>
            <w:vAlign w:val="bottom"/>
            <w:hideMark/>
          </w:tcPr>
          <w:p w14:paraId="5EBFF1FF" w14:textId="6997219B" w:rsidR="001B0C27" w:rsidRPr="001B0C27" w:rsidRDefault="001B0C27" w:rsidP="001B0C27">
            <w:pPr>
              <w:spacing w:after="0" w:line="240" w:lineRule="auto"/>
              <w:jc w:val="center"/>
              <w:rPr>
                <w:rFonts w:ascii="Calibri" w:eastAsia="Times New Roman" w:hAnsi="Calibri" w:cs="Calibri"/>
                <w:color w:val="000000"/>
                <w:lang w:eastAsia="en-GB"/>
              </w:rPr>
            </w:pPr>
          </w:p>
        </w:tc>
        <w:tc>
          <w:tcPr>
            <w:tcW w:w="1316" w:type="dxa"/>
            <w:tcBorders>
              <w:top w:val="single" w:sz="4" w:space="0" w:color="auto"/>
              <w:left w:val="nil"/>
              <w:bottom w:val="single" w:sz="8" w:space="0" w:color="auto"/>
              <w:right w:val="nil"/>
            </w:tcBorders>
            <w:shd w:val="clear" w:color="auto" w:fill="auto"/>
            <w:noWrap/>
            <w:vAlign w:val="bottom"/>
            <w:hideMark/>
          </w:tcPr>
          <w:p w14:paraId="04B3BA67" w14:textId="65F11C4F" w:rsidR="001B0C27" w:rsidRPr="001B0C27" w:rsidRDefault="001B0C27" w:rsidP="001B0C27">
            <w:pPr>
              <w:spacing w:after="0" w:line="240" w:lineRule="auto"/>
              <w:jc w:val="center"/>
              <w:rPr>
                <w:rFonts w:ascii="Calibri" w:eastAsia="Times New Roman" w:hAnsi="Calibri" w:cs="Calibri"/>
                <w:color w:val="000000"/>
                <w:lang w:eastAsia="en-GB"/>
              </w:rPr>
            </w:pPr>
          </w:p>
        </w:tc>
        <w:tc>
          <w:tcPr>
            <w:tcW w:w="1496" w:type="dxa"/>
            <w:tcBorders>
              <w:top w:val="single" w:sz="4" w:space="0" w:color="auto"/>
              <w:left w:val="nil"/>
              <w:bottom w:val="single" w:sz="8" w:space="0" w:color="auto"/>
              <w:right w:val="single" w:sz="4" w:space="0" w:color="auto"/>
            </w:tcBorders>
            <w:shd w:val="clear" w:color="auto" w:fill="auto"/>
            <w:noWrap/>
            <w:vAlign w:val="bottom"/>
            <w:hideMark/>
          </w:tcPr>
          <w:p w14:paraId="7E02B112" w14:textId="6DD7FD34" w:rsidR="001B0C27" w:rsidRPr="001B0C27" w:rsidRDefault="001B0C27" w:rsidP="001B0C27">
            <w:pPr>
              <w:spacing w:after="0" w:line="240" w:lineRule="auto"/>
              <w:jc w:val="center"/>
              <w:rPr>
                <w:rFonts w:ascii="Calibri" w:eastAsia="Times New Roman" w:hAnsi="Calibri" w:cs="Calibri"/>
                <w:color w:val="000000"/>
                <w:lang w:eastAsia="en-GB"/>
              </w:rPr>
            </w:pPr>
          </w:p>
        </w:tc>
      </w:tr>
      <w:tr w:rsidR="001B0C27" w:rsidRPr="001B0C27" w14:paraId="358FB8E9" w14:textId="77777777" w:rsidTr="00C13572">
        <w:trPr>
          <w:trHeight w:val="288"/>
        </w:trPr>
        <w:tc>
          <w:tcPr>
            <w:tcW w:w="1648" w:type="dxa"/>
            <w:tcBorders>
              <w:top w:val="nil"/>
              <w:left w:val="single" w:sz="4" w:space="0" w:color="auto"/>
              <w:bottom w:val="single" w:sz="4" w:space="0" w:color="auto"/>
              <w:right w:val="nil"/>
            </w:tcBorders>
            <w:shd w:val="clear" w:color="auto" w:fill="auto"/>
            <w:noWrap/>
            <w:vAlign w:val="bottom"/>
            <w:hideMark/>
          </w:tcPr>
          <w:p w14:paraId="3D558D54" w14:textId="1219B36C" w:rsidR="001B0C27" w:rsidRPr="001B0C27" w:rsidRDefault="001B0C27" w:rsidP="001B0C27">
            <w:pPr>
              <w:spacing w:after="0" w:line="240" w:lineRule="auto"/>
              <w:jc w:val="center"/>
              <w:rPr>
                <w:rFonts w:ascii="Calibri" w:eastAsia="Times New Roman" w:hAnsi="Calibri" w:cs="Calibri"/>
                <w:i/>
                <w:iCs/>
                <w:color w:val="000000"/>
                <w:lang w:eastAsia="en-GB"/>
              </w:rPr>
            </w:pPr>
          </w:p>
        </w:tc>
        <w:tc>
          <w:tcPr>
            <w:tcW w:w="1408" w:type="dxa"/>
            <w:tcBorders>
              <w:top w:val="nil"/>
              <w:left w:val="nil"/>
              <w:bottom w:val="single" w:sz="4" w:space="0" w:color="auto"/>
              <w:right w:val="nil"/>
            </w:tcBorders>
            <w:shd w:val="clear" w:color="auto" w:fill="auto"/>
            <w:noWrap/>
            <w:vAlign w:val="center"/>
            <w:hideMark/>
          </w:tcPr>
          <w:p w14:paraId="161B919B" w14:textId="77777777" w:rsidR="001B0C27" w:rsidRPr="001B0C27" w:rsidRDefault="001B0C27" w:rsidP="001B0C27">
            <w:pPr>
              <w:spacing w:after="0" w:line="240" w:lineRule="auto"/>
              <w:jc w:val="center"/>
              <w:rPr>
                <w:rFonts w:ascii="Calibri" w:eastAsia="Times New Roman" w:hAnsi="Calibri" w:cs="Calibri"/>
                <w:i/>
                <w:iCs/>
                <w:color w:val="000000"/>
                <w:lang w:eastAsia="en-GB"/>
              </w:rPr>
            </w:pPr>
            <w:r w:rsidRPr="001B0C27">
              <w:rPr>
                <w:rFonts w:ascii="Calibri" w:eastAsia="Times New Roman" w:hAnsi="Calibri" w:cs="Calibri"/>
                <w:i/>
                <w:iCs/>
                <w:color w:val="000000"/>
                <w:lang w:eastAsia="en-GB"/>
              </w:rPr>
              <w:t>df</w:t>
            </w:r>
          </w:p>
        </w:tc>
        <w:tc>
          <w:tcPr>
            <w:tcW w:w="1900" w:type="dxa"/>
            <w:tcBorders>
              <w:top w:val="nil"/>
              <w:left w:val="nil"/>
              <w:bottom w:val="single" w:sz="4" w:space="0" w:color="auto"/>
              <w:right w:val="nil"/>
            </w:tcBorders>
            <w:shd w:val="clear" w:color="auto" w:fill="auto"/>
            <w:noWrap/>
            <w:vAlign w:val="center"/>
            <w:hideMark/>
          </w:tcPr>
          <w:p w14:paraId="3AADA2BA" w14:textId="77777777" w:rsidR="001B0C27" w:rsidRPr="001B0C27" w:rsidRDefault="001B0C27" w:rsidP="001B0C27">
            <w:pPr>
              <w:spacing w:after="0" w:line="240" w:lineRule="auto"/>
              <w:jc w:val="center"/>
              <w:rPr>
                <w:rFonts w:ascii="Calibri" w:eastAsia="Times New Roman" w:hAnsi="Calibri" w:cs="Calibri"/>
                <w:i/>
                <w:iCs/>
                <w:color w:val="000000"/>
                <w:lang w:eastAsia="en-GB"/>
              </w:rPr>
            </w:pPr>
            <w:r w:rsidRPr="001B0C27">
              <w:rPr>
                <w:rFonts w:ascii="Calibri" w:eastAsia="Times New Roman" w:hAnsi="Calibri" w:cs="Calibri"/>
                <w:i/>
                <w:iCs/>
                <w:color w:val="000000"/>
                <w:lang w:eastAsia="en-GB"/>
              </w:rPr>
              <w:t>SS</w:t>
            </w:r>
          </w:p>
        </w:tc>
        <w:tc>
          <w:tcPr>
            <w:tcW w:w="1436" w:type="dxa"/>
            <w:tcBorders>
              <w:top w:val="nil"/>
              <w:left w:val="nil"/>
              <w:bottom w:val="single" w:sz="4" w:space="0" w:color="auto"/>
              <w:right w:val="nil"/>
            </w:tcBorders>
            <w:shd w:val="clear" w:color="auto" w:fill="auto"/>
            <w:noWrap/>
            <w:vAlign w:val="center"/>
            <w:hideMark/>
          </w:tcPr>
          <w:p w14:paraId="324894FC" w14:textId="77777777" w:rsidR="001B0C27" w:rsidRPr="001B0C27" w:rsidRDefault="001B0C27" w:rsidP="001B0C27">
            <w:pPr>
              <w:spacing w:after="0" w:line="240" w:lineRule="auto"/>
              <w:jc w:val="center"/>
              <w:rPr>
                <w:rFonts w:ascii="Calibri" w:eastAsia="Times New Roman" w:hAnsi="Calibri" w:cs="Calibri"/>
                <w:i/>
                <w:iCs/>
                <w:color w:val="000000"/>
                <w:lang w:eastAsia="en-GB"/>
              </w:rPr>
            </w:pPr>
            <w:r w:rsidRPr="001B0C27">
              <w:rPr>
                <w:rFonts w:ascii="Calibri" w:eastAsia="Times New Roman" w:hAnsi="Calibri" w:cs="Calibri"/>
                <w:i/>
                <w:iCs/>
                <w:color w:val="000000"/>
                <w:lang w:eastAsia="en-GB"/>
              </w:rPr>
              <w:t>MS</w:t>
            </w:r>
          </w:p>
        </w:tc>
        <w:tc>
          <w:tcPr>
            <w:tcW w:w="1316" w:type="dxa"/>
            <w:tcBorders>
              <w:top w:val="nil"/>
              <w:left w:val="nil"/>
              <w:bottom w:val="single" w:sz="4" w:space="0" w:color="auto"/>
              <w:right w:val="nil"/>
            </w:tcBorders>
            <w:shd w:val="clear" w:color="auto" w:fill="auto"/>
            <w:noWrap/>
            <w:vAlign w:val="center"/>
            <w:hideMark/>
          </w:tcPr>
          <w:p w14:paraId="2588521A" w14:textId="77777777" w:rsidR="001B0C27" w:rsidRPr="001B0C27" w:rsidRDefault="001B0C27" w:rsidP="001B0C27">
            <w:pPr>
              <w:spacing w:after="0" w:line="240" w:lineRule="auto"/>
              <w:jc w:val="center"/>
              <w:rPr>
                <w:rFonts w:ascii="Calibri" w:eastAsia="Times New Roman" w:hAnsi="Calibri" w:cs="Calibri"/>
                <w:i/>
                <w:iCs/>
                <w:color w:val="000000"/>
                <w:lang w:eastAsia="en-GB"/>
              </w:rPr>
            </w:pPr>
            <w:r w:rsidRPr="001B0C27">
              <w:rPr>
                <w:rFonts w:ascii="Calibri" w:eastAsia="Times New Roman" w:hAnsi="Calibri" w:cs="Calibri"/>
                <w:i/>
                <w:iCs/>
                <w:color w:val="000000"/>
                <w:lang w:eastAsia="en-GB"/>
              </w:rPr>
              <w:t>F</w:t>
            </w:r>
          </w:p>
        </w:tc>
        <w:tc>
          <w:tcPr>
            <w:tcW w:w="1496" w:type="dxa"/>
            <w:tcBorders>
              <w:top w:val="nil"/>
              <w:left w:val="nil"/>
              <w:bottom w:val="single" w:sz="4" w:space="0" w:color="auto"/>
              <w:right w:val="single" w:sz="4" w:space="0" w:color="auto"/>
            </w:tcBorders>
            <w:shd w:val="clear" w:color="auto" w:fill="auto"/>
            <w:noWrap/>
            <w:vAlign w:val="center"/>
            <w:hideMark/>
          </w:tcPr>
          <w:p w14:paraId="79C27F04" w14:textId="77777777" w:rsidR="001B0C27" w:rsidRPr="001B0C27" w:rsidRDefault="001B0C27" w:rsidP="001B0C27">
            <w:pPr>
              <w:spacing w:after="0" w:line="240" w:lineRule="auto"/>
              <w:jc w:val="center"/>
              <w:rPr>
                <w:rFonts w:ascii="Calibri" w:eastAsia="Times New Roman" w:hAnsi="Calibri" w:cs="Calibri"/>
                <w:i/>
                <w:iCs/>
                <w:color w:val="000000"/>
                <w:lang w:eastAsia="en-GB"/>
              </w:rPr>
            </w:pPr>
            <w:r w:rsidRPr="001B0C27">
              <w:rPr>
                <w:rFonts w:ascii="Calibri" w:eastAsia="Times New Roman" w:hAnsi="Calibri" w:cs="Calibri"/>
                <w:i/>
                <w:iCs/>
                <w:color w:val="000000"/>
                <w:lang w:eastAsia="en-GB"/>
              </w:rPr>
              <w:t>Significance F</w:t>
            </w:r>
          </w:p>
        </w:tc>
      </w:tr>
      <w:tr w:rsidR="001B0C27" w:rsidRPr="001B0C27" w14:paraId="100CC276" w14:textId="77777777" w:rsidTr="00C13572">
        <w:trPr>
          <w:trHeight w:val="288"/>
        </w:trPr>
        <w:tc>
          <w:tcPr>
            <w:tcW w:w="1648" w:type="dxa"/>
            <w:tcBorders>
              <w:top w:val="nil"/>
              <w:left w:val="single" w:sz="4" w:space="0" w:color="auto"/>
              <w:bottom w:val="nil"/>
              <w:right w:val="nil"/>
            </w:tcBorders>
            <w:shd w:val="clear" w:color="auto" w:fill="auto"/>
            <w:noWrap/>
            <w:vAlign w:val="bottom"/>
            <w:hideMark/>
          </w:tcPr>
          <w:p w14:paraId="65B5913E"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Regression</w:t>
            </w:r>
          </w:p>
        </w:tc>
        <w:tc>
          <w:tcPr>
            <w:tcW w:w="1408" w:type="dxa"/>
            <w:tcBorders>
              <w:top w:val="nil"/>
              <w:left w:val="nil"/>
              <w:bottom w:val="nil"/>
              <w:right w:val="nil"/>
            </w:tcBorders>
            <w:shd w:val="clear" w:color="auto" w:fill="auto"/>
            <w:noWrap/>
            <w:vAlign w:val="center"/>
            <w:hideMark/>
          </w:tcPr>
          <w:p w14:paraId="0191E61F"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4</w:t>
            </w:r>
          </w:p>
        </w:tc>
        <w:tc>
          <w:tcPr>
            <w:tcW w:w="1900" w:type="dxa"/>
            <w:tcBorders>
              <w:top w:val="nil"/>
              <w:left w:val="nil"/>
              <w:bottom w:val="nil"/>
              <w:right w:val="nil"/>
            </w:tcBorders>
            <w:shd w:val="clear" w:color="auto" w:fill="auto"/>
            <w:noWrap/>
            <w:vAlign w:val="center"/>
            <w:hideMark/>
          </w:tcPr>
          <w:p w14:paraId="5535EAA2"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0.016244572</w:t>
            </w:r>
          </w:p>
        </w:tc>
        <w:tc>
          <w:tcPr>
            <w:tcW w:w="1436" w:type="dxa"/>
            <w:tcBorders>
              <w:top w:val="nil"/>
              <w:left w:val="nil"/>
              <w:bottom w:val="nil"/>
              <w:right w:val="nil"/>
            </w:tcBorders>
            <w:shd w:val="clear" w:color="auto" w:fill="auto"/>
            <w:noWrap/>
            <w:vAlign w:val="center"/>
            <w:hideMark/>
          </w:tcPr>
          <w:p w14:paraId="10772B9D"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0.004061143</w:t>
            </w:r>
          </w:p>
        </w:tc>
        <w:tc>
          <w:tcPr>
            <w:tcW w:w="1316" w:type="dxa"/>
            <w:tcBorders>
              <w:top w:val="nil"/>
              <w:left w:val="nil"/>
              <w:bottom w:val="nil"/>
              <w:right w:val="nil"/>
            </w:tcBorders>
            <w:shd w:val="clear" w:color="auto" w:fill="auto"/>
            <w:noWrap/>
            <w:vAlign w:val="center"/>
            <w:hideMark/>
          </w:tcPr>
          <w:p w14:paraId="46D0CE0C"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0.97085716</w:t>
            </w:r>
          </w:p>
        </w:tc>
        <w:tc>
          <w:tcPr>
            <w:tcW w:w="1496" w:type="dxa"/>
            <w:tcBorders>
              <w:top w:val="nil"/>
              <w:left w:val="nil"/>
              <w:bottom w:val="nil"/>
              <w:right w:val="single" w:sz="4" w:space="0" w:color="auto"/>
            </w:tcBorders>
            <w:shd w:val="clear" w:color="auto" w:fill="auto"/>
            <w:noWrap/>
            <w:vAlign w:val="center"/>
            <w:hideMark/>
          </w:tcPr>
          <w:p w14:paraId="537D7C0C"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0.440940994</w:t>
            </w:r>
          </w:p>
        </w:tc>
      </w:tr>
      <w:tr w:rsidR="001B0C27" w:rsidRPr="001B0C27" w14:paraId="7AC21D0D" w14:textId="77777777" w:rsidTr="00C13572">
        <w:trPr>
          <w:trHeight w:val="288"/>
        </w:trPr>
        <w:tc>
          <w:tcPr>
            <w:tcW w:w="1648" w:type="dxa"/>
            <w:tcBorders>
              <w:top w:val="nil"/>
              <w:left w:val="single" w:sz="4" w:space="0" w:color="auto"/>
              <w:bottom w:val="nil"/>
              <w:right w:val="nil"/>
            </w:tcBorders>
            <w:shd w:val="clear" w:color="auto" w:fill="auto"/>
            <w:noWrap/>
            <w:vAlign w:val="bottom"/>
            <w:hideMark/>
          </w:tcPr>
          <w:p w14:paraId="548CE422"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Residual</w:t>
            </w:r>
          </w:p>
        </w:tc>
        <w:tc>
          <w:tcPr>
            <w:tcW w:w="1408" w:type="dxa"/>
            <w:tcBorders>
              <w:top w:val="nil"/>
              <w:left w:val="nil"/>
              <w:bottom w:val="nil"/>
              <w:right w:val="nil"/>
            </w:tcBorders>
            <w:shd w:val="clear" w:color="auto" w:fill="auto"/>
            <w:noWrap/>
            <w:vAlign w:val="center"/>
            <w:hideMark/>
          </w:tcPr>
          <w:p w14:paraId="3C18E031"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25</w:t>
            </w:r>
          </w:p>
        </w:tc>
        <w:tc>
          <w:tcPr>
            <w:tcW w:w="1900" w:type="dxa"/>
            <w:tcBorders>
              <w:top w:val="nil"/>
              <w:left w:val="nil"/>
              <w:bottom w:val="nil"/>
              <w:right w:val="nil"/>
            </w:tcBorders>
            <w:shd w:val="clear" w:color="auto" w:fill="auto"/>
            <w:noWrap/>
            <w:vAlign w:val="center"/>
            <w:hideMark/>
          </w:tcPr>
          <w:p w14:paraId="215D8A99"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0.104576223</w:t>
            </w:r>
          </w:p>
        </w:tc>
        <w:tc>
          <w:tcPr>
            <w:tcW w:w="1436" w:type="dxa"/>
            <w:tcBorders>
              <w:top w:val="nil"/>
              <w:left w:val="nil"/>
              <w:bottom w:val="nil"/>
              <w:right w:val="nil"/>
            </w:tcBorders>
            <w:shd w:val="clear" w:color="auto" w:fill="auto"/>
            <w:noWrap/>
            <w:vAlign w:val="center"/>
            <w:hideMark/>
          </w:tcPr>
          <w:p w14:paraId="1C9ADE69"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0.004183049</w:t>
            </w:r>
          </w:p>
        </w:tc>
        <w:tc>
          <w:tcPr>
            <w:tcW w:w="1316" w:type="dxa"/>
            <w:tcBorders>
              <w:top w:val="nil"/>
              <w:left w:val="nil"/>
              <w:bottom w:val="nil"/>
              <w:right w:val="nil"/>
            </w:tcBorders>
            <w:shd w:val="clear" w:color="auto" w:fill="auto"/>
            <w:noWrap/>
            <w:vAlign w:val="center"/>
            <w:hideMark/>
          </w:tcPr>
          <w:p w14:paraId="7C5318EA" w14:textId="77777777" w:rsidR="001B0C27" w:rsidRPr="001B0C27" w:rsidRDefault="001B0C27" w:rsidP="001B0C27">
            <w:pPr>
              <w:spacing w:after="0" w:line="240" w:lineRule="auto"/>
              <w:jc w:val="center"/>
              <w:rPr>
                <w:rFonts w:ascii="Calibri" w:eastAsia="Times New Roman" w:hAnsi="Calibri" w:cs="Calibri"/>
                <w:color w:val="000000"/>
                <w:lang w:eastAsia="en-GB"/>
              </w:rPr>
            </w:pPr>
          </w:p>
        </w:tc>
        <w:tc>
          <w:tcPr>
            <w:tcW w:w="1496" w:type="dxa"/>
            <w:tcBorders>
              <w:top w:val="nil"/>
              <w:left w:val="nil"/>
              <w:bottom w:val="nil"/>
              <w:right w:val="single" w:sz="4" w:space="0" w:color="auto"/>
            </w:tcBorders>
            <w:shd w:val="clear" w:color="auto" w:fill="auto"/>
            <w:noWrap/>
            <w:vAlign w:val="center"/>
            <w:hideMark/>
          </w:tcPr>
          <w:p w14:paraId="1AEFC0BF" w14:textId="77777777" w:rsidR="001B0C27" w:rsidRPr="001B0C27" w:rsidRDefault="001B0C27" w:rsidP="001B0C27">
            <w:pPr>
              <w:spacing w:after="0" w:line="240" w:lineRule="auto"/>
              <w:jc w:val="center"/>
              <w:rPr>
                <w:rFonts w:ascii="Times New Roman" w:eastAsia="Times New Roman" w:hAnsi="Times New Roman" w:cs="Times New Roman"/>
                <w:sz w:val="20"/>
                <w:szCs w:val="20"/>
                <w:lang w:eastAsia="en-GB"/>
              </w:rPr>
            </w:pPr>
          </w:p>
        </w:tc>
      </w:tr>
      <w:tr w:rsidR="001B0C27" w:rsidRPr="001B0C27" w14:paraId="1AE6F05F" w14:textId="77777777" w:rsidTr="00C13572">
        <w:trPr>
          <w:trHeight w:val="294"/>
        </w:trPr>
        <w:tc>
          <w:tcPr>
            <w:tcW w:w="1648" w:type="dxa"/>
            <w:tcBorders>
              <w:top w:val="nil"/>
              <w:left w:val="single" w:sz="4" w:space="0" w:color="auto"/>
              <w:bottom w:val="single" w:sz="4" w:space="0" w:color="auto"/>
              <w:right w:val="nil"/>
            </w:tcBorders>
            <w:shd w:val="clear" w:color="auto" w:fill="auto"/>
            <w:noWrap/>
            <w:vAlign w:val="bottom"/>
            <w:hideMark/>
          </w:tcPr>
          <w:p w14:paraId="03E1685F"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Total</w:t>
            </w:r>
          </w:p>
        </w:tc>
        <w:tc>
          <w:tcPr>
            <w:tcW w:w="1408" w:type="dxa"/>
            <w:tcBorders>
              <w:top w:val="nil"/>
              <w:left w:val="nil"/>
              <w:bottom w:val="single" w:sz="4" w:space="0" w:color="auto"/>
              <w:right w:val="nil"/>
            </w:tcBorders>
            <w:shd w:val="clear" w:color="auto" w:fill="auto"/>
            <w:noWrap/>
            <w:vAlign w:val="center"/>
            <w:hideMark/>
          </w:tcPr>
          <w:p w14:paraId="796DC6AC"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29</w:t>
            </w:r>
          </w:p>
        </w:tc>
        <w:tc>
          <w:tcPr>
            <w:tcW w:w="1900" w:type="dxa"/>
            <w:tcBorders>
              <w:top w:val="nil"/>
              <w:left w:val="nil"/>
              <w:bottom w:val="single" w:sz="4" w:space="0" w:color="auto"/>
              <w:right w:val="nil"/>
            </w:tcBorders>
            <w:shd w:val="clear" w:color="auto" w:fill="auto"/>
            <w:noWrap/>
            <w:vAlign w:val="center"/>
            <w:hideMark/>
          </w:tcPr>
          <w:p w14:paraId="036B9D3D"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0.120820795</w:t>
            </w:r>
          </w:p>
        </w:tc>
        <w:tc>
          <w:tcPr>
            <w:tcW w:w="1436" w:type="dxa"/>
            <w:tcBorders>
              <w:top w:val="nil"/>
              <w:left w:val="nil"/>
              <w:bottom w:val="single" w:sz="4" w:space="0" w:color="auto"/>
              <w:right w:val="nil"/>
            </w:tcBorders>
            <w:shd w:val="clear" w:color="auto" w:fill="auto"/>
            <w:noWrap/>
            <w:vAlign w:val="center"/>
            <w:hideMark/>
          </w:tcPr>
          <w:p w14:paraId="527BDE3D" w14:textId="7F04EFB3" w:rsidR="001B0C27" w:rsidRPr="001B0C27" w:rsidRDefault="001B0C27" w:rsidP="001B0C27">
            <w:pPr>
              <w:spacing w:after="0" w:line="240" w:lineRule="auto"/>
              <w:jc w:val="center"/>
              <w:rPr>
                <w:rFonts w:ascii="Calibri" w:eastAsia="Times New Roman" w:hAnsi="Calibri" w:cs="Calibri"/>
                <w:color w:val="000000"/>
                <w:lang w:eastAsia="en-GB"/>
              </w:rPr>
            </w:pPr>
          </w:p>
        </w:tc>
        <w:tc>
          <w:tcPr>
            <w:tcW w:w="1316" w:type="dxa"/>
            <w:tcBorders>
              <w:top w:val="nil"/>
              <w:left w:val="nil"/>
              <w:bottom w:val="single" w:sz="4" w:space="0" w:color="auto"/>
              <w:right w:val="nil"/>
            </w:tcBorders>
            <w:shd w:val="clear" w:color="auto" w:fill="auto"/>
            <w:noWrap/>
            <w:vAlign w:val="center"/>
            <w:hideMark/>
          </w:tcPr>
          <w:p w14:paraId="7509A306" w14:textId="7B6CB271" w:rsidR="001B0C27" w:rsidRPr="001B0C27" w:rsidRDefault="001B0C27" w:rsidP="001B0C27">
            <w:pPr>
              <w:spacing w:after="0" w:line="240" w:lineRule="auto"/>
              <w:jc w:val="center"/>
              <w:rPr>
                <w:rFonts w:ascii="Calibri" w:eastAsia="Times New Roman" w:hAnsi="Calibri" w:cs="Calibri"/>
                <w:color w:val="000000"/>
                <w:lang w:eastAsia="en-GB"/>
              </w:rPr>
            </w:pPr>
          </w:p>
        </w:tc>
        <w:tc>
          <w:tcPr>
            <w:tcW w:w="1496" w:type="dxa"/>
            <w:tcBorders>
              <w:top w:val="nil"/>
              <w:left w:val="nil"/>
              <w:bottom w:val="single" w:sz="4" w:space="0" w:color="auto"/>
              <w:right w:val="single" w:sz="4" w:space="0" w:color="auto"/>
            </w:tcBorders>
            <w:shd w:val="clear" w:color="auto" w:fill="auto"/>
            <w:noWrap/>
            <w:vAlign w:val="center"/>
            <w:hideMark/>
          </w:tcPr>
          <w:p w14:paraId="0DC0075B" w14:textId="1406822E" w:rsidR="001B0C27" w:rsidRPr="001B0C27" w:rsidRDefault="001B0C27" w:rsidP="001B0C27">
            <w:pPr>
              <w:spacing w:after="0" w:line="240" w:lineRule="auto"/>
              <w:jc w:val="center"/>
              <w:rPr>
                <w:rFonts w:ascii="Calibri" w:eastAsia="Times New Roman" w:hAnsi="Calibri" w:cs="Calibri"/>
                <w:color w:val="000000"/>
                <w:lang w:eastAsia="en-GB"/>
              </w:rPr>
            </w:pPr>
          </w:p>
        </w:tc>
      </w:tr>
    </w:tbl>
    <w:p w14:paraId="02A76121" w14:textId="11615AE3" w:rsidR="00B53825" w:rsidRDefault="00C13572" w:rsidP="00C13572">
      <w:pPr>
        <w:spacing w:line="254" w:lineRule="auto"/>
        <w:jc w:val="center"/>
      </w:pPr>
      <w:r>
        <w:t xml:space="preserve">Table Two: </w:t>
      </w:r>
      <w:bookmarkStart w:id="40" w:name="_Hlk43474467"/>
      <w:r>
        <w:t xml:space="preserve">Regression Statistic and ANOVA Test of the </w:t>
      </w:r>
      <w:r w:rsidRPr="00C13572">
        <w:rPr>
          <w:i/>
          <w:iCs/>
        </w:rPr>
        <w:t>First</w:t>
      </w:r>
      <w:r>
        <w:t xml:space="preserve"> </w:t>
      </w:r>
      <w:r w:rsidRPr="00C13572">
        <w:rPr>
          <w:i/>
          <w:iCs/>
        </w:rPr>
        <w:t>Equation</w:t>
      </w:r>
      <w:bookmarkEnd w:id="40"/>
    </w:p>
    <w:p w14:paraId="152E5ABD" w14:textId="71E9E541" w:rsidR="001B0C27" w:rsidRDefault="001B0C27" w:rsidP="00B53825">
      <w:pPr>
        <w:spacing w:line="254" w:lineRule="auto"/>
      </w:pPr>
    </w:p>
    <w:tbl>
      <w:tblPr>
        <w:tblW w:w="7020" w:type="dxa"/>
        <w:tblInd w:w="1005" w:type="dxa"/>
        <w:tblLook w:val="04A0" w:firstRow="1" w:lastRow="0" w:firstColumn="1" w:lastColumn="0" w:noHBand="0" w:noVBand="1"/>
      </w:tblPr>
      <w:tblGrid>
        <w:gridCol w:w="1436"/>
        <w:gridCol w:w="1536"/>
        <w:gridCol w:w="1476"/>
        <w:gridCol w:w="1276"/>
        <w:gridCol w:w="1296"/>
      </w:tblGrid>
      <w:tr w:rsidR="001B0C27" w:rsidRPr="001B0C27" w14:paraId="4256820D" w14:textId="77777777" w:rsidTr="006406CF">
        <w:trPr>
          <w:trHeight w:val="294"/>
        </w:trPr>
        <w:tc>
          <w:tcPr>
            <w:tcW w:w="1436" w:type="dxa"/>
            <w:tcBorders>
              <w:top w:val="single" w:sz="4" w:space="0" w:color="auto"/>
              <w:left w:val="single" w:sz="4" w:space="0" w:color="auto"/>
              <w:bottom w:val="single" w:sz="4" w:space="0" w:color="auto"/>
              <w:right w:val="nil"/>
            </w:tcBorders>
            <w:shd w:val="clear" w:color="auto" w:fill="auto"/>
            <w:noWrap/>
            <w:vAlign w:val="center"/>
            <w:hideMark/>
          </w:tcPr>
          <w:p w14:paraId="06C6482E" w14:textId="77777777" w:rsidR="001B0C27" w:rsidRPr="001B0C27" w:rsidRDefault="001B0C27" w:rsidP="001B0C27">
            <w:pPr>
              <w:spacing w:after="0" w:line="240" w:lineRule="auto"/>
              <w:jc w:val="center"/>
              <w:rPr>
                <w:rFonts w:ascii="Calibri" w:eastAsia="Times New Roman" w:hAnsi="Calibri" w:cs="Calibri"/>
                <w:i/>
                <w:iCs/>
                <w:color w:val="000000"/>
                <w:lang w:eastAsia="en-GB"/>
              </w:rPr>
            </w:pPr>
            <w:r w:rsidRPr="001B0C27">
              <w:rPr>
                <w:rFonts w:ascii="Calibri" w:eastAsia="Times New Roman" w:hAnsi="Calibri" w:cs="Calibri"/>
                <w:i/>
                <w:iCs/>
                <w:color w:val="000000"/>
                <w:lang w:eastAsia="en-GB"/>
              </w:rPr>
              <w:t> </w:t>
            </w:r>
          </w:p>
        </w:tc>
        <w:tc>
          <w:tcPr>
            <w:tcW w:w="1536" w:type="dxa"/>
            <w:tcBorders>
              <w:top w:val="single" w:sz="4" w:space="0" w:color="auto"/>
              <w:left w:val="nil"/>
              <w:bottom w:val="single" w:sz="4" w:space="0" w:color="auto"/>
              <w:right w:val="nil"/>
            </w:tcBorders>
            <w:shd w:val="clear" w:color="auto" w:fill="auto"/>
            <w:noWrap/>
            <w:vAlign w:val="center"/>
            <w:hideMark/>
          </w:tcPr>
          <w:p w14:paraId="7FCBBB63" w14:textId="77777777" w:rsidR="001B0C27" w:rsidRPr="001B0C27" w:rsidRDefault="001B0C27" w:rsidP="001B0C27">
            <w:pPr>
              <w:spacing w:after="0" w:line="240" w:lineRule="auto"/>
              <w:jc w:val="center"/>
              <w:rPr>
                <w:rFonts w:ascii="Calibri" w:eastAsia="Times New Roman" w:hAnsi="Calibri" w:cs="Calibri"/>
                <w:i/>
                <w:iCs/>
                <w:color w:val="000000"/>
                <w:lang w:eastAsia="en-GB"/>
              </w:rPr>
            </w:pPr>
            <w:r w:rsidRPr="001B0C27">
              <w:rPr>
                <w:rFonts w:ascii="Calibri" w:eastAsia="Times New Roman" w:hAnsi="Calibri" w:cs="Calibri"/>
                <w:i/>
                <w:iCs/>
                <w:color w:val="000000"/>
                <w:lang w:eastAsia="en-GB"/>
              </w:rPr>
              <w:t>Coefficients</w:t>
            </w:r>
          </w:p>
        </w:tc>
        <w:tc>
          <w:tcPr>
            <w:tcW w:w="1476" w:type="dxa"/>
            <w:tcBorders>
              <w:top w:val="single" w:sz="4" w:space="0" w:color="auto"/>
              <w:left w:val="nil"/>
              <w:bottom w:val="single" w:sz="4" w:space="0" w:color="auto"/>
              <w:right w:val="nil"/>
            </w:tcBorders>
            <w:shd w:val="clear" w:color="auto" w:fill="auto"/>
            <w:noWrap/>
            <w:vAlign w:val="center"/>
            <w:hideMark/>
          </w:tcPr>
          <w:p w14:paraId="45E0CB63" w14:textId="77777777" w:rsidR="001B0C27" w:rsidRPr="001B0C27" w:rsidRDefault="001B0C27" w:rsidP="001B0C27">
            <w:pPr>
              <w:spacing w:after="0" w:line="240" w:lineRule="auto"/>
              <w:jc w:val="center"/>
              <w:rPr>
                <w:rFonts w:ascii="Calibri" w:eastAsia="Times New Roman" w:hAnsi="Calibri" w:cs="Calibri"/>
                <w:i/>
                <w:iCs/>
                <w:color w:val="000000"/>
                <w:lang w:eastAsia="en-GB"/>
              </w:rPr>
            </w:pPr>
            <w:r w:rsidRPr="001B0C27">
              <w:rPr>
                <w:rFonts w:ascii="Calibri" w:eastAsia="Times New Roman" w:hAnsi="Calibri" w:cs="Calibri"/>
                <w:i/>
                <w:iCs/>
                <w:color w:val="000000"/>
                <w:lang w:eastAsia="en-GB"/>
              </w:rPr>
              <w:t>Standard Error</w:t>
            </w:r>
          </w:p>
        </w:tc>
        <w:tc>
          <w:tcPr>
            <w:tcW w:w="1276" w:type="dxa"/>
            <w:tcBorders>
              <w:top w:val="single" w:sz="4" w:space="0" w:color="auto"/>
              <w:left w:val="nil"/>
              <w:bottom w:val="single" w:sz="4" w:space="0" w:color="auto"/>
              <w:right w:val="nil"/>
            </w:tcBorders>
            <w:shd w:val="clear" w:color="auto" w:fill="auto"/>
            <w:noWrap/>
            <w:vAlign w:val="center"/>
            <w:hideMark/>
          </w:tcPr>
          <w:p w14:paraId="5BE769B5" w14:textId="77777777" w:rsidR="001B0C27" w:rsidRPr="001B0C27" w:rsidRDefault="001B0C27" w:rsidP="001B0C27">
            <w:pPr>
              <w:spacing w:after="0" w:line="240" w:lineRule="auto"/>
              <w:jc w:val="center"/>
              <w:rPr>
                <w:rFonts w:ascii="Calibri" w:eastAsia="Times New Roman" w:hAnsi="Calibri" w:cs="Calibri"/>
                <w:i/>
                <w:iCs/>
                <w:color w:val="000000"/>
                <w:lang w:eastAsia="en-GB"/>
              </w:rPr>
            </w:pPr>
            <w:r w:rsidRPr="001B0C27">
              <w:rPr>
                <w:rFonts w:ascii="Calibri" w:eastAsia="Times New Roman" w:hAnsi="Calibri" w:cs="Calibri"/>
                <w:i/>
                <w:iCs/>
                <w:color w:val="000000"/>
                <w:lang w:eastAsia="en-GB"/>
              </w:rPr>
              <w:t>t Stat</w:t>
            </w:r>
          </w:p>
        </w:tc>
        <w:tc>
          <w:tcPr>
            <w:tcW w:w="1296" w:type="dxa"/>
            <w:tcBorders>
              <w:top w:val="single" w:sz="4" w:space="0" w:color="auto"/>
              <w:left w:val="nil"/>
              <w:bottom w:val="single" w:sz="4" w:space="0" w:color="auto"/>
              <w:right w:val="single" w:sz="4" w:space="0" w:color="auto"/>
            </w:tcBorders>
            <w:shd w:val="clear" w:color="auto" w:fill="auto"/>
            <w:noWrap/>
            <w:vAlign w:val="center"/>
            <w:hideMark/>
          </w:tcPr>
          <w:p w14:paraId="57CF2F4D" w14:textId="77777777" w:rsidR="001B0C27" w:rsidRPr="001B0C27" w:rsidRDefault="001B0C27" w:rsidP="001B0C27">
            <w:pPr>
              <w:spacing w:after="0" w:line="240" w:lineRule="auto"/>
              <w:jc w:val="center"/>
              <w:rPr>
                <w:rFonts w:ascii="Calibri" w:eastAsia="Times New Roman" w:hAnsi="Calibri" w:cs="Calibri"/>
                <w:i/>
                <w:iCs/>
                <w:color w:val="000000"/>
                <w:lang w:eastAsia="en-GB"/>
              </w:rPr>
            </w:pPr>
            <w:r w:rsidRPr="001B0C27">
              <w:rPr>
                <w:rFonts w:ascii="Calibri" w:eastAsia="Times New Roman" w:hAnsi="Calibri" w:cs="Calibri"/>
                <w:i/>
                <w:iCs/>
                <w:color w:val="000000"/>
                <w:lang w:eastAsia="en-GB"/>
              </w:rPr>
              <w:t>P-value</w:t>
            </w:r>
          </w:p>
        </w:tc>
      </w:tr>
      <w:tr w:rsidR="001B0C27" w:rsidRPr="001B0C27" w14:paraId="7F0639B9" w14:textId="77777777" w:rsidTr="006406CF">
        <w:trPr>
          <w:trHeight w:val="288"/>
        </w:trPr>
        <w:tc>
          <w:tcPr>
            <w:tcW w:w="1436" w:type="dxa"/>
            <w:tcBorders>
              <w:top w:val="nil"/>
              <w:left w:val="single" w:sz="4" w:space="0" w:color="auto"/>
              <w:bottom w:val="nil"/>
              <w:right w:val="nil"/>
            </w:tcBorders>
            <w:shd w:val="clear" w:color="auto" w:fill="auto"/>
            <w:noWrap/>
            <w:vAlign w:val="center"/>
            <w:hideMark/>
          </w:tcPr>
          <w:p w14:paraId="0BC807D7"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Intercept</w:t>
            </w:r>
          </w:p>
        </w:tc>
        <w:tc>
          <w:tcPr>
            <w:tcW w:w="1536" w:type="dxa"/>
            <w:tcBorders>
              <w:top w:val="nil"/>
              <w:left w:val="nil"/>
              <w:bottom w:val="nil"/>
              <w:right w:val="nil"/>
            </w:tcBorders>
            <w:shd w:val="clear" w:color="auto" w:fill="auto"/>
            <w:noWrap/>
            <w:vAlign w:val="center"/>
            <w:hideMark/>
          </w:tcPr>
          <w:p w14:paraId="13E171CA"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0.005913034</w:t>
            </w:r>
          </w:p>
        </w:tc>
        <w:tc>
          <w:tcPr>
            <w:tcW w:w="1476" w:type="dxa"/>
            <w:tcBorders>
              <w:top w:val="nil"/>
              <w:left w:val="nil"/>
              <w:bottom w:val="nil"/>
              <w:right w:val="nil"/>
            </w:tcBorders>
            <w:shd w:val="clear" w:color="auto" w:fill="auto"/>
            <w:noWrap/>
            <w:vAlign w:val="center"/>
            <w:hideMark/>
          </w:tcPr>
          <w:p w14:paraId="4AD70C14"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0.083927191</w:t>
            </w:r>
          </w:p>
        </w:tc>
        <w:tc>
          <w:tcPr>
            <w:tcW w:w="1276" w:type="dxa"/>
            <w:tcBorders>
              <w:top w:val="nil"/>
              <w:left w:val="nil"/>
              <w:bottom w:val="nil"/>
              <w:right w:val="nil"/>
            </w:tcBorders>
            <w:shd w:val="clear" w:color="auto" w:fill="auto"/>
            <w:noWrap/>
            <w:vAlign w:val="center"/>
            <w:hideMark/>
          </w:tcPr>
          <w:p w14:paraId="36F72FDC"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0.07045433</w:t>
            </w:r>
          </w:p>
        </w:tc>
        <w:tc>
          <w:tcPr>
            <w:tcW w:w="1296" w:type="dxa"/>
            <w:tcBorders>
              <w:top w:val="nil"/>
              <w:left w:val="nil"/>
              <w:bottom w:val="nil"/>
              <w:right w:val="single" w:sz="4" w:space="0" w:color="auto"/>
            </w:tcBorders>
            <w:shd w:val="clear" w:color="auto" w:fill="auto"/>
            <w:noWrap/>
            <w:vAlign w:val="center"/>
            <w:hideMark/>
          </w:tcPr>
          <w:p w14:paraId="43F3E789"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0.94439262</w:t>
            </w:r>
          </w:p>
        </w:tc>
      </w:tr>
      <w:tr w:rsidR="001B0C27" w:rsidRPr="001B0C27" w14:paraId="3392AB2B" w14:textId="77777777" w:rsidTr="006406CF">
        <w:trPr>
          <w:trHeight w:val="294"/>
        </w:trPr>
        <w:tc>
          <w:tcPr>
            <w:tcW w:w="1436" w:type="dxa"/>
            <w:tcBorders>
              <w:top w:val="nil"/>
              <w:left w:val="single" w:sz="4" w:space="0" w:color="auto"/>
              <w:bottom w:val="nil"/>
              <w:right w:val="nil"/>
            </w:tcBorders>
            <w:shd w:val="clear" w:color="auto" w:fill="auto"/>
            <w:noWrap/>
            <w:vAlign w:val="center"/>
            <w:hideMark/>
          </w:tcPr>
          <w:p w14:paraId="2CE16EEF"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C/R</w:t>
            </w:r>
          </w:p>
        </w:tc>
        <w:tc>
          <w:tcPr>
            <w:tcW w:w="1536" w:type="dxa"/>
            <w:tcBorders>
              <w:top w:val="nil"/>
              <w:left w:val="nil"/>
              <w:bottom w:val="nil"/>
              <w:right w:val="nil"/>
            </w:tcBorders>
            <w:shd w:val="clear" w:color="auto" w:fill="auto"/>
            <w:noWrap/>
            <w:vAlign w:val="center"/>
            <w:hideMark/>
          </w:tcPr>
          <w:p w14:paraId="5F69A30F"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0.092733057</w:t>
            </w:r>
          </w:p>
        </w:tc>
        <w:tc>
          <w:tcPr>
            <w:tcW w:w="1476" w:type="dxa"/>
            <w:tcBorders>
              <w:top w:val="nil"/>
              <w:left w:val="nil"/>
              <w:bottom w:val="nil"/>
              <w:right w:val="nil"/>
            </w:tcBorders>
            <w:shd w:val="clear" w:color="auto" w:fill="auto"/>
            <w:noWrap/>
            <w:vAlign w:val="center"/>
            <w:hideMark/>
          </w:tcPr>
          <w:p w14:paraId="72A1674A"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0.051342733</w:t>
            </w:r>
          </w:p>
        </w:tc>
        <w:tc>
          <w:tcPr>
            <w:tcW w:w="1276" w:type="dxa"/>
            <w:tcBorders>
              <w:top w:val="nil"/>
              <w:left w:val="nil"/>
              <w:bottom w:val="nil"/>
              <w:right w:val="nil"/>
            </w:tcBorders>
            <w:shd w:val="clear" w:color="auto" w:fill="auto"/>
            <w:noWrap/>
            <w:vAlign w:val="center"/>
            <w:hideMark/>
          </w:tcPr>
          <w:p w14:paraId="350470DA"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1.80615738</w:t>
            </w:r>
          </w:p>
        </w:tc>
        <w:tc>
          <w:tcPr>
            <w:tcW w:w="1296" w:type="dxa"/>
            <w:tcBorders>
              <w:top w:val="nil"/>
              <w:left w:val="nil"/>
              <w:bottom w:val="nil"/>
              <w:right w:val="single" w:sz="4" w:space="0" w:color="auto"/>
            </w:tcBorders>
            <w:shd w:val="clear" w:color="auto" w:fill="auto"/>
            <w:noWrap/>
            <w:vAlign w:val="center"/>
            <w:hideMark/>
          </w:tcPr>
          <w:p w14:paraId="066A357D"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0.08294831</w:t>
            </w:r>
          </w:p>
        </w:tc>
      </w:tr>
      <w:tr w:rsidR="001B0C27" w:rsidRPr="001B0C27" w14:paraId="5EE25BAE" w14:textId="77777777" w:rsidTr="006406CF">
        <w:trPr>
          <w:trHeight w:val="288"/>
        </w:trPr>
        <w:tc>
          <w:tcPr>
            <w:tcW w:w="1436" w:type="dxa"/>
            <w:tcBorders>
              <w:top w:val="nil"/>
              <w:left w:val="single" w:sz="4" w:space="0" w:color="auto"/>
              <w:bottom w:val="nil"/>
              <w:right w:val="nil"/>
            </w:tcBorders>
            <w:shd w:val="clear" w:color="auto" w:fill="auto"/>
            <w:noWrap/>
            <w:vAlign w:val="center"/>
            <w:hideMark/>
          </w:tcPr>
          <w:p w14:paraId="1CBD5149"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D/E</w:t>
            </w:r>
          </w:p>
        </w:tc>
        <w:tc>
          <w:tcPr>
            <w:tcW w:w="1536" w:type="dxa"/>
            <w:tcBorders>
              <w:top w:val="nil"/>
              <w:left w:val="nil"/>
              <w:bottom w:val="nil"/>
              <w:right w:val="nil"/>
            </w:tcBorders>
            <w:shd w:val="clear" w:color="auto" w:fill="auto"/>
            <w:noWrap/>
            <w:vAlign w:val="center"/>
            <w:hideMark/>
          </w:tcPr>
          <w:p w14:paraId="25E42DFF"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-0.000878242</w:t>
            </w:r>
          </w:p>
        </w:tc>
        <w:tc>
          <w:tcPr>
            <w:tcW w:w="1476" w:type="dxa"/>
            <w:tcBorders>
              <w:top w:val="nil"/>
              <w:left w:val="nil"/>
              <w:bottom w:val="nil"/>
              <w:right w:val="nil"/>
            </w:tcBorders>
            <w:shd w:val="clear" w:color="auto" w:fill="auto"/>
            <w:noWrap/>
            <w:vAlign w:val="center"/>
            <w:hideMark/>
          </w:tcPr>
          <w:p w14:paraId="3DC54643"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0.002281008</w:t>
            </w:r>
          </w:p>
        </w:tc>
        <w:tc>
          <w:tcPr>
            <w:tcW w:w="1276" w:type="dxa"/>
            <w:tcBorders>
              <w:top w:val="nil"/>
              <w:left w:val="nil"/>
              <w:bottom w:val="nil"/>
              <w:right w:val="nil"/>
            </w:tcBorders>
            <w:shd w:val="clear" w:color="auto" w:fill="auto"/>
            <w:noWrap/>
            <w:vAlign w:val="center"/>
            <w:hideMark/>
          </w:tcPr>
          <w:p w14:paraId="54253BC6"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-0.3850235</w:t>
            </w:r>
          </w:p>
        </w:tc>
        <w:tc>
          <w:tcPr>
            <w:tcW w:w="1296" w:type="dxa"/>
            <w:tcBorders>
              <w:top w:val="nil"/>
              <w:left w:val="nil"/>
              <w:bottom w:val="nil"/>
              <w:right w:val="single" w:sz="4" w:space="0" w:color="auto"/>
            </w:tcBorders>
            <w:shd w:val="clear" w:color="auto" w:fill="auto"/>
            <w:noWrap/>
            <w:vAlign w:val="center"/>
            <w:hideMark/>
          </w:tcPr>
          <w:p w14:paraId="3373070D"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0.70347623</w:t>
            </w:r>
          </w:p>
        </w:tc>
      </w:tr>
      <w:tr w:rsidR="001B0C27" w:rsidRPr="001B0C27" w14:paraId="0657DDCF" w14:textId="77777777" w:rsidTr="006406CF">
        <w:trPr>
          <w:trHeight w:val="288"/>
        </w:trPr>
        <w:tc>
          <w:tcPr>
            <w:tcW w:w="1436" w:type="dxa"/>
            <w:tcBorders>
              <w:top w:val="nil"/>
              <w:left w:val="single" w:sz="4" w:space="0" w:color="auto"/>
              <w:bottom w:val="nil"/>
              <w:right w:val="nil"/>
            </w:tcBorders>
            <w:shd w:val="clear" w:color="auto" w:fill="auto"/>
            <w:noWrap/>
            <w:vAlign w:val="center"/>
            <w:hideMark/>
          </w:tcPr>
          <w:p w14:paraId="2CE419DF"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Size</w:t>
            </w:r>
          </w:p>
        </w:tc>
        <w:tc>
          <w:tcPr>
            <w:tcW w:w="1536" w:type="dxa"/>
            <w:tcBorders>
              <w:top w:val="nil"/>
              <w:left w:val="nil"/>
              <w:bottom w:val="nil"/>
              <w:right w:val="nil"/>
            </w:tcBorders>
            <w:shd w:val="clear" w:color="auto" w:fill="auto"/>
            <w:noWrap/>
            <w:vAlign w:val="center"/>
            <w:hideMark/>
          </w:tcPr>
          <w:p w14:paraId="45C15CEC"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4.16397E-05</w:t>
            </w:r>
          </w:p>
        </w:tc>
        <w:tc>
          <w:tcPr>
            <w:tcW w:w="1476" w:type="dxa"/>
            <w:tcBorders>
              <w:top w:val="nil"/>
              <w:left w:val="nil"/>
              <w:bottom w:val="nil"/>
              <w:right w:val="nil"/>
            </w:tcBorders>
            <w:shd w:val="clear" w:color="auto" w:fill="auto"/>
            <w:noWrap/>
            <w:vAlign w:val="center"/>
            <w:hideMark/>
          </w:tcPr>
          <w:p w14:paraId="2616AC91"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9.3216E-05</w:t>
            </w:r>
          </w:p>
        </w:tc>
        <w:tc>
          <w:tcPr>
            <w:tcW w:w="1276" w:type="dxa"/>
            <w:tcBorders>
              <w:top w:val="nil"/>
              <w:left w:val="nil"/>
              <w:bottom w:val="nil"/>
              <w:right w:val="nil"/>
            </w:tcBorders>
            <w:shd w:val="clear" w:color="auto" w:fill="auto"/>
            <w:noWrap/>
            <w:vAlign w:val="center"/>
            <w:hideMark/>
          </w:tcPr>
          <w:p w14:paraId="4EE7008E"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0.44670133</w:t>
            </w:r>
          </w:p>
        </w:tc>
        <w:tc>
          <w:tcPr>
            <w:tcW w:w="1296" w:type="dxa"/>
            <w:tcBorders>
              <w:top w:val="nil"/>
              <w:left w:val="nil"/>
              <w:bottom w:val="nil"/>
              <w:right w:val="single" w:sz="4" w:space="0" w:color="auto"/>
            </w:tcBorders>
            <w:shd w:val="clear" w:color="auto" w:fill="auto"/>
            <w:noWrap/>
            <w:vAlign w:val="center"/>
            <w:hideMark/>
          </w:tcPr>
          <w:p w14:paraId="0F0D252D"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0.65893644</w:t>
            </w:r>
          </w:p>
        </w:tc>
      </w:tr>
      <w:tr w:rsidR="001B0C27" w:rsidRPr="001B0C27" w14:paraId="7E7CF4FB" w14:textId="77777777" w:rsidTr="006406CF">
        <w:trPr>
          <w:trHeight w:val="294"/>
        </w:trPr>
        <w:tc>
          <w:tcPr>
            <w:tcW w:w="1436" w:type="dxa"/>
            <w:tcBorders>
              <w:top w:val="nil"/>
              <w:left w:val="single" w:sz="4" w:space="0" w:color="auto"/>
              <w:bottom w:val="single" w:sz="4" w:space="0" w:color="auto"/>
              <w:right w:val="nil"/>
            </w:tcBorders>
            <w:shd w:val="clear" w:color="auto" w:fill="auto"/>
            <w:noWrap/>
            <w:vAlign w:val="center"/>
            <w:hideMark/>
          </w:tcPr>
          <w:p w14:paraId="73E4F2FC"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Growth</w:t>
            </w:r>
          </w:p>
        </w:tc>
        <w:tc>
          <w:tcPr>
            <w:tcW w:w="1536" w:type="dxa"/>
            <w:tcBorders>
              <w:top w:val="nil"/>
              <w:left w:val="nil"/>
              <w:bottom w:val="single" w:sz="4" w:space="0" w:color="auto"/>
              <w:right w:val="nil"/>
            </w:tcBorders>
            <w:shd w:val="clear" w:color="auto" w:fill="auto"/>
            <w:noWrap/>
            <w:vAlign w:val="center"/>
            <w:hideMark/>
          </w:tcPr>
          <w:p w14:paraId="314AB4DE"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0.023867437</w:t>
            </w:r>
          </w:p>
        </w:tc>
        <w:tc>
          <w:tcPr>
            <w:tcW w:w="1476" w:type="dxa"/>
            <w:tcBorders>
              <w:top w:val="nil"/>
              <w:left w:val="nil"/>
              <w:bottom w:val="single" w:sz="4" w:space="0" w:color="auto"/>
              <w:right w:val="nil"/>
            </w:tcBorders>
            <w:shd w:val="clear" w:color="auto" w:fill="auto"/>
            <w:noWrap/>
            <w:vAlign w:val="center"/>
            <w:hideMark/>
          </w:tcPr>
          <w:p w14:paraId="1A09844A"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0.239086155</w:t>
            </w:r>
          </w:p>
        </w:tc>
        <w:tc>
          <w:tcPr>
            <w:tcW w:w="1276" w:type="dxa"/>
            <w:tcBorders>
              <w:top w:val="nil"/>
              <w:left w:val="nil"/>
              <w:bottom w:val="single" w:sz="4" w:space="0" w:color="auto"/>
              <w:right w:val="nil"/>
            </w:tcBorders>
            <w:shd w:val="clear" w:color="auto" w:fill="auto"/>
            <w:noWrap/>
            <w:vAlign w:val="center"/>
            <w:hideMark/>
          </w:tcPr>
          <w:p w14:paraId="7A24C3FA"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0.09982777</w:t>
            </w:r>
          </w:p>
        </w:tc>
        <w:tc>
          <w:tcPr>
            <w:tcW w:w="1296" w:type="dxa"/>
            <w:tcBorders>
              <w:top w:val="nil"/>
              <w:left w:val="nil"/>
              <w:bottom w:val="single" w:sz="4" w:space="0" w:color="auto"/>
              <w:right w:val="single" w:sz="4" w:space="0" w:color="auto"/>
            </w:tcBorders>
            <w:shd w:val="clear" w:color="auto" w:fill="auto"/>
            <w:noWrap/>
            <w:vAlign w:val="center"/>
            <w:hideMark/>
          </w:tcPr>
          <w:p w14:paraId="6F7F3764" w14:textId="77777777" w:rsidR="001B0C27" w:rsidRPr="001B0C27" w:rsidRDefault="001B0C27" w:rsidP="001B0C27">
            <w:pPr>
              <w:spacing w:after="0" w:line="240" w:lineRule="auto"/>
              <w:jc w:val="center"/>
              <w:rPr>
                <w:rFonts w:ascii="Calibri" w:eastAsia="Times New Roman" w:hAnsi="Calibri" w:cs="Calibri"/>
                <w:color w:val="000000"/>
                <w:lang w:eastAsia="en-GB"/>
              </w:rPr>
            </w:pPr>
            <w:r w:rsidRPr="001B0C27">
              <w:rPr>
                <w:rFonts w:ascii="Calibri" w:eastAsia="Times New Roman" w:hAnsi="Calibri" w:cs="Calibri"/>
                <w:color w:val="000000"/>
                <w:lang w:eastAsia="en-GB"/>
              </w:rPr>
              <w:t>0.92127729</w:t>
            </w:r>
          </w:p>
        </w:tc>
      </w:tr>
    </w:tbl>
    <w:p w14:paraId="4412777E" w14:textId="6E2EEA6C" w:rsidR="006406CF" w:rsidRPr="006406CF" w:rsidRDefault="00C13572" w:rsidP="006406CF">
      <w:pPr>
        <w:spacing w:line="254" w:lineRule="auto"/>
        <w:jc w:val="center"/>
        <w:rPr>
          <w:i/>
          <w:iCs/>
        </w:rPr>
      </w:pPr>
      <w:r>
        <w:t xml:space="preserve">Table Three: Individual variables’ analysis of the </w:t>
      </w:r>
      <w:r w:rsidRPr="00C13572">
        <w:rPr>
          <w:i/>
          <w:iCs/>
        </w:rPr>
        <w:t>First</w:t>
      </w:r>
      <w:r>
        <w:t xml:space="preserve"> </w:t>
      </w:r>
      <w:r w:rsidRPr="00C13572">
        <w:rPr>
          <w:i/>
          <w:iCs/>
        </w:rPr>
        <w:t>Equation</w:t>
      </w:r>
    </w:p>
    <w:p w14:paraId="0602A596" w14:textId="77777777" w:rsidR="00516C83" w:rsidRDefault="00516C83" w:rsidP="00B144A7">
      <w:pPr>
        <w:spacing w:line="254" w:lineRule="auto"/>
        <w:jc w:val="both"/>
        <w:rPr>
          <w:rFonts w:cstheme="minorHAnsi"/>
        </w:rPr>
      </w:pPr>
    </w:p>
    <w:p w14:paraId="3074F3CC" w14:textId="033E3EFA" w:rsidR="000E537E" w:rsidRDefault="000E537E" w:rsidP="00914334">
      <w:pPr>
        <w:spacing w:line="360" w:lineRule="auto"/>
        <w:jc w:val="both"/>
        <w:rPr>
          <w:rFonts w:cstheme="minorHAnsi"/>
        </w:rPr>
      </w:pPr>
      <w:r>
        <w:rPr>
          <w:rFonts w:cstheme="minorHAnsi"/>
        </w:rPr>
        <w:t xml:space="preserve">Table </w:t>
      </w:r>
      <w:r w:rsidRPr="001B0C27">
        <w:rPr>
          <w:rFonts w:cstheme="minorHAnsi"/>
        </w:rPr>
        <w:t>t</w:t>
      </w:r>
      <w:r w:rsidR="00852E71">
        <w:rPr>
          <w:rFonts w:cstheme="minorHAnsi"/>
        </w:rPr>
        <w:t>hree</w:t>
      </w:r>
      <w:r>
        <w:rPr>
          <w:rFonts w:cstheme="minorHAnsi"/>
        </w:rPr>
        <w:t xml:space="preserve"> show</w:t>
      </w:r>
      <w:r w:rsidR="00ED4959">
        <w:rPr>
          <w:rFonts w:cstheme="minorHAnsi"/>
        </w:rPr>
        <w:t>s</w:t>
      </w:r>
      <w:r>
        <w:rPr>
          <w:rFonts w:cstheme="minorHAnsi"/>
        </w:rPr>
        <w:t xml:space="preserve"> the data needed to calculate the </w:t>
      </w:r>
      <w:r w:rsidRPr="000E537E">
        <w:rPr>
          <w:rFonts w:cstheme="minorHAnsi"/>
          <w:u w:val="single"/>
        </w:rPr>
        <w:t>Equation of the regression model</w:t>
      </w:r>
      <w:r>
        <w:rPr>
          <w:rFonts w:cstheme="minorHAnsi"/>
        </w:rPr>
        <w:t>, which in our scenario is</w:t>
      </w:r>
    </w:p>
    <w:p w14:paraId="0056A3E8" w14:textId="3F0BD90E" w:rsidR="000E537E" w:rsidRDefault="000E537E" w:rsidP="00914334">
      <w:pPr>
        <w:spacing w:line="360" w:lineRule="auto"/>
        <w:jc w:val="center"/>
        <w:rPr>
          <w:rFonts w:ascii="Cambria Math" w:hAnsi="Cambria Math" w:cstheme="minorHAnsi"/>
          <w:i/>
          <w:iCs/>
        </w:rPr>
      </w:pPr>
      <w:r w:rsidRPr="00F94FD2">
        <w:rPr>
          <w:rFonts w:ascii="Cambria Math" w:hAnsi="Cambria Math" w:cstheme="minorHAnsi"/>
          <w:i/>
          <w:iCs/>
        </w:rPr>
        <w:t xml:space="preserve">ROI = 0.00591 + 0.09273C/R + (0.0008)D/E + 0.00004Size </w:t>
      </w:r>
      <w:r w:rsidR="00F94FD2" w:rsidRPr="00F94FD2">
        <w:rPr>
          <w:rFonts w:ascii="Cambria Math" w:hAnsi="Cambria Math" w:cstheme="minorHAnsi"/>
          <w:i/>
          <w:iCs/>
        </w:rPr>
        <w:t>+ 0.0238Growth Rate</w:t>
      </w:r>
    </w:p>
    <w:p w14:paraId="4492C17B" w14:textId="1B737342" w:rsidR="00F94FD2" w:rsidRPr="00F94FD2" w:rsidRDefault="00F94FD2" w:rsidP="00914334">
      <w:pPr>
        <w:spacing w:line="360" w:lineRule="auto"/>
        <w:rPr>
          <w:rFonts w:cstheme="minorHAnsi"/>
          <w:b/>
          <w:bCs/>
        </w:rPr>
      </w:pPr>
      <w:r>
        <w:rPr>
          <w:rFonts w:cstheme="minorHAnsi"/>
        </w:rPr>
        <w:t xml:space="preserve">Where </w:t>
      </w:r>
      <w:r w:rsidRPr="00B20EE3">
        <w:rPr>
          <w:rFonts w:ascii="Cambria Math" w:hAnsi="Cambria Math" w:cs="Cambria Math"/>
          <w:i/>
          <w:iCs/>
        </w:rPr>
        <w:t>𝛽</w:t>
      </w:r>
      <w:r w:rsidRPr="00B20EE3">
        <w:rPr>
          <w:rFonts w:ascii="Cambria Math" w:hAnsi="Cambria Math"/>
          <w:i/>
          <w:iCs/>
        </w:rPr>
        <w:t>0</w:t>
      </w:r>
      <w:r>
        <w:rPr>
          <w:rFonts w:ascii="Cambria Math" w:hAnsi="Cambria Math"/>
          <w:i/>
          <w:iCs/>
        </w:rPr>
        <w:t xml:space="preserve"> </w:t>
      </w:r>
      <w:r>
        <w:rPr>
          <w:rFonts w:cstheme="minorHAnsi"/>
        </w:rPr>
        <w:t>(</w:t>
      </w:r>
      <w:r>
        <w:rPr>
          <w:rFonts w:cstheme="minorHAnsi"/>
          <w:i/>
          <w:iCs/>
        </w:rPr>
        <w:t xml:space="preserve">0.00591) </w:t>
      </w:r>
      <w:r>
        <w:rPr>
          <w:rFonts w:cstheme="minorHAnsi"/>
        </w:rPr>
        <w:t>is the intercept and express</w:t>
      </w:r>
      <w:r w:rsidR="009A3431">
        <w:rPr>
          <w:rFonts w:cstheme="minorHAnsi"/>
        </w:rPr>
        <w:t>es</w:t>
      </w:r>
      <w:r>
        <w:rPr>
          <w:rFonts w:cstheme="minorHAnsi"/>
        </w:rPr>
        <w:t xml:space="preserve"> the value of Y when all the X values are at 0. X values analysed individually, represent the increase or decrease in Y for every increase in 1 unit when all the other variables remain constant.</w:t>
      </w:r>
    </w:p>
    <w:p w14:paraId="3FB9980E" w14:textId="5DF552CE" w:rsidR="00E27590" w:rsidRDefault="00C0603B" w:rsidP="00914334">
      <w:pPr>
        <w:spacing w:line="360" w:lineRule="auto"/>
        <w:jc w:val="both"/>
      </w:pPr>
      <w:r>
        <w:lastRenderedPageBreak/>
        <w:t xml:space="preserve">In table </w:t>
      </w:r>
      <w:r w:rsidR="00852E71">
        <w:t>two</w:t>
      </w:r>
      <w:r w:rsidR="00884449" w:rsidRPr="001B0C27">
        <w:t>,</w:t>
      </w:r>
      <w:r w:rsidR="00B0354B">
        <w:t xml:space="preserve"> which analyse</w:t>
      </w:r>
      <w:r w:rsidR="00810810">
        <w:t>s</w:t>
      </w:r>
      <w:r w:rsidR="00B0354B">
        <w:t xml:space="preserve"> the overall fit of the model,</w:t>
      </w:r>
      <w:r w:rsidR="00884449">
        <w:t xml:space="preserve"> the </w:t>
      </w:r>
      <w:r w:rsidR="00884449" w:rsidRPr="008810C0">
        <w:rPr>
          <w:u w:val="single"/>
        </w:rPr>
        <w:t>Multiple R</w:t>
      </w:r>
      <w:r w:rsidR="00884449">
        <w:t xml:space="preserve"> is a correlation coefficient which explain</w:t>
      </w:r>
      <w:r w:rsidR="00810810">
        <w:t>s</w:t>
      </w:r>
      <w:r w:rsidR="00884449">
        <w:t xml:space="preserve"> the strength of the linear relationship. A value close to +1 indicates a strong</w:t>
      </w:r>
      <w:r w:rsidR="00810810">
        <w:t xml:space="preserve"> positive</w:t>
      </w:r>
      <w:r w:rsidR="00884449">
        <w:t xml:space="preserve"> relationship</w:t>
      </w:r>
      <w:r w:rsidR="00810810">
        <w:t>;</w:t>
      </w:r>
      <w:r w:rsidR="00884449">
        <w:t xml:space="preserve"> on the other hand, a value close to -1 </w:t>
      </w:r>
      <w:r w:rsidR="00672C29">
        <w:t>expresses</w:t>
      </w:r>
      <w:r w:rsidR="00884449">
        <w:t xml:space="preserve"> a strong negative relationship. Values close to 0 implicate no relationship at all. The table shows a value of 0.366, </w:t>
      </w:r>
      <w:r w:rsidR="00884449" w:rsidRPr="00884449">
        <w:t>which depicts a fairly weak relationship</w:t>
      </w:r>
      <w:r w:rsidR="00884449">
        <w:t xml:space="preserve">. </w:t>
      </w:r>
    </w:p>
    <w:p w14:paraId="1C1BD0AB" w14:textId="6B2C0AE2" w:rsidR="00B144A7" w:rsidRDefault="00884449" w:rsidP="00914334">
      <w:pPr>
        <w:spacing w:line="360" w:lineRule="auto"/>
        <w:jc w:val="both"/>
      </w:pPr>
      <w:r>
        <w:t xml:space="preserve">The Coefficient of Determination </w:t>
      </w:r>
      <w:r w:rsidRPr="008810C0">
        <w:rPr>
          <w:u w:val="single"/>
        </w:rPr>
        <w:t>R-squared</w:t>
      </w:r>
      <w:r>
        <w:t xml:space="preserve"> is measured between 0 to 1</w:t>
      </w:r>
      <w:r w:rsidR="00810810">
        <w:t>,</w:t>
      </w:r>
      <w:r>
        <w:t xml:space="preserve"> and it </w:t>
      </w:r>
      <w:r w:rsidR="00E27590">
        <w:t>shows</w:t>
      </w:r>
      <w:r>
        <w:t xml:space="preserve"> the variability of Y(ROI) </w:t>
      </w:r>
      <w:r w:rsidR="00E27590">
        <w:t xml:space="preserve">explained by the set of four predictor variables considered (C/R, D/E, Size and Growth). In our study, taken as a set, the predictors C/R, D/E, Size and Growth Rate account for 13.44% of the variance in ROI. </w:t>
      </w:r>
      <w:r w:rsidR="001A392B">
        <w:t>Higher R-squared values prove a higher predicti</w:t>
      </w:r>
      <w:r w:rsidR="008D774F">
        <w:t xml:space="preserve">vity </w:t>
      </w:r>
      <w:r w:rsidR="00BB54F3">
        <w:t xml:space="preserve">power </w:t>
      </w:r>
      <w:r w:rsidR="008D774F">
        <w:t>of the analysis. In our scenario</w:t>
      </w:r>
      <w:r w:rsidR="00810810">
        <w:t>,</w:t>
      </w:r>
      <w:r w:rsidR="008D774F">
        <w:t xml:space="preserve"> the coefficient of determination showed</w:t>
      </w:r>
      <w:r w:rsidR="00C4505F">
        <w:t xml:space="preserve"> low predictivity levels, regardless</w:t>
      </w:r>
      <w:r w:rsidR="00810810">
        <w:t xml:space="preserve"> of</w:t>
      </w:r>
      <w:r w:rsidR="00C4505F">
        <w:t xml:space="preserve"> the significance of the variables, indicating that the</w:t>
      </w:r>
      <w:r w:rsidR="0006547E">
        <w:t xml:space="preserve"> four</w:t>
      </w:r>
      <w:r w:rsidR="00C4505F">
        <w:t xml:space="preserve"> independent variables do</w:t>
      </w:r>
      <w:r w:rsidR="00516C83">
        <w:t xml:space="preserve"> </w:t>
      </w:r>
      <w:r w:rsidR="00C4505F">
        <w:t>n</w:t>
      </w:r>
      <w:r w:rsidR="00516C83">
        <w:t>o</w:t>
      </w:r>
      <w:r w:rsidR="00C4505F">
        <w:t>t represent for much of the mean of the ROI.</w:t>
      </w:r>
    </w:p>
    <w:p w14:paraId="09987114" w14:textId="1BE60055" w:rsidR="008810C0" w:rsidRDefault="008810C0" w:rsidP="00914334">
      <w:pPr>
        <w:spacing w:line="360" w:lineRule="auto"/>
        <w:jc w:val="both"/>
      </w:pPr>
      <w:r>
        <w:t xml:space="preserve">The </w:t>
      </w:r>
      <w:r w:rsidRPr="00982D3B">
        <w:rPr>
          <w:u w:val="single"/>
        </w:rPr>
        <w:t>adjusted R-squared</w:t>
      </w:r>
      <w:r>
        <w:t>, on the other side, is mainly used to compare the regression’s explanatory power between models that contain</w:t>
      </w:r>
      <w:r w:rsidR="00E33D55">
        <w:t xml:space="preserve"> a</w:t>
      </w:r>
      <w:r>
        <w:t xml:space="preserve"> different number of independent variables. Its value is always lower tha</w:t>
      </w:r>
      <w:r w:rsidR="00E33D55">
        <w:t>n</w:t>
      </w:r>
      <w:r>
        <w:t xml:space="preserve"> the R-squared</w:t>
      </w:r>
      <w:r w:rsidR="00D52218">
        <w:t>,</w:t>
      </w:r>
      <w:r w:rsidR="00982D3B">
        <w:t xml:space="preserve"> and it is a modif</w:t>
      </w:r>
      <w:r w:rsidR="00D52218">
        <w:t>ied</w:t>
      </w:r>
      <w:r w:rsidR="00982D3B">
        <w:t xml:space="preserve"> version of it for the number of the independent features used. In our study, all four the models contain four predictor variables and the same sample size, </w:t>
      </w:r>
      <w:r w:rsidR="00D52218">
        <w:t xml:space="preserve">the </w:t>
      </w:r>
      <w:r w:rsidR="00982D3B">
        <w:t xml:space="preserve">reason why </w:t>
      </w:r>
      <w:r w:rsidR="00982D3B" w:rsidRPr="00982D3B">
        <w:t xml:space="preserve">no particular attention will be paid to its value, but mainly to the </w:t>
      </w:r>
      <w:r w:rsidR="00982D3B">
        <w:t>R</w:t>
      </w:r>
      <w:r w:rsidR="00982D3B" w:rsidRPr="00982D3B">
        <w:t>-squared.</w:t>
      </w:r>
    </w:p>
    <w:p w14:paraId="4BCF59FE" w14:textId="37B83766" w:rsidR="00B0354B" w:rsidRDefault="00CD3F85" w:rsidP="00914334">
      <w:pPr>
        <w:spacing w:line="360" w:lineRule="auto"/>
      </w:pPr>
      <w:r>
        <w:t>Based on</w:t>
      </w:r>
      <w:r w:rsidR="00D52218">
        <w:t xml:space="preserve"> the</w:t>
      </w:r>
      <w:r>
        <w:t xml:space="preserve"> </w:t>
      </w:r>
      <w:r w:rsidRPr="00B0354B">
        <w:rPr>
          <w:b/>
          <w:bCs/>
        </w:rPr>
        <w:t>ANOVA</w:t>
      </w:r>
      <w:r>
        <w:t xml:space="preserve"> test, the </w:t>
      </w:r>
      <w:r w:rsidR="00DB2562" w:rsidRPr="00133950">
        <w:rPr>
          <w:u w:val="single"/>
        </w:rPr>
        <w:t>P</w:t>
      </w:r>
      <w:r w:rsidR="00D52218">
        <w:rPr>
          <w:u w:val="single"/>
        </w:rPr>
        <w:t>-</w:t>
      </w:r>
      <w:r w:rsidRPr="00133950">
        <w:rPr>
          <w:u w:val="single"/>
        </w:rPr>
        <w:t>value</w:t>
      </w:r>
      <w:r>
        <w:t xml:space="preserve"> for the overall test is 0.44</w:t>
      </w:r>
      <w:r w:rsidR="00B0354B">
        <w:t>. The P</w:t>
      </w:r>
      <w:r w:rsidR="00D52218">
        <w:t>-</w:t>
      </w:r>
      <w:r w:rsidR="00B0354B">
        <w:t>value test is based on two hypotheses:</w:t>
      </w:r>
    </w:p>
    <w:p w14:paraId="129431CC" w14:textId="0385D2DE" w:rsidR="00B0354B" w:rsidRDefault="00B0354B" w:rsidP="00914334">
      <w:pPr>
        <w:spacing w:line="360" w:lineRule="auto"/>
        <w:jc w:val="center"/>
        <w:rPr>
          <w:rFonts w:ascii="Cambria Math" w:hAnsi="Cambria Math" w:cs="Cambria Math"/>
          <w:i/>
          <w:iCs/>
        </w:rPr>
      </w:pPr>
      <w:r w:rsidRPr="00B0354B">
        <w:rPr>
          <w:rFonts w:ascii="Cambria Math" w:hAnsi="Cambria Math"/>
        </w:rPr>
        <w:t>H0=</w:t>
      </w:r>
      <w:r w:rsidRPr="00B0354B">
        <w:rPr>
          <w:rFonts w:ascii="Cambria Math" w:hAnsi="Cambria Math" w:cs="Cambria Math"/>
          <w:i/>
          <w:iCs/>
        </w:rPr>
        <w:t xml:space="preserve"> 𝛽1 = 𝛽2 = 𝛽3 = 𝛽4 = 0</w:t>
      </w:r>
    </w:p>
    <w:p w14:paraId="3FF73AC8" w14:textId="38187234" w:rsidR="00B0354B" w:rsidRDefault="00B0354B" w:rsidP="00914334">
      <w:pPr>
        <w:spacing w:line="360" w:lineRule="auto"/>
        <w:jc w:val="center"/>
        <w:rPr>
          <w:rFonts w:ascii="Cambria Math" w:hAnsi="Cambria Math" w:cs="Arial"/>
          <w:color w:val="222222"/>
          <w:sz w:val="21"/>
          <w:szCs w:val="21"/>
          <w:shd w:val="clear" w:color="auto" w:fill="FFFFFF"/>
        </w:rPr>
      </w:pPr>
      <w:r w:rsidRPr="00B0354B">
        <w:rPr>
          <w:rFonts w:ascii="Cambria Math" w:hAnsi="Cambria Math" w:cs="Cambria Math"/>
          <w:i/>
          <w:iCs/>
        </w:rPr>
        <w:t xml:space="preserve">H1 = at least one 𝛽 </w:t>
      </w:r>
      <w:r w:rsidRPr="00B0354B">
        <w:rPr>
          <w:rFonts w:ascii="Cambria Math" w:hAnsi="Cambria Math" w:cs="Arial"/>
          <w:color w:val="222222"/>
          <w:sz w:val="21"/>
          <w:szCs w:val="21"/>
          <w:shd w:val="clear" w:color="auto" w:fill="FFFFFF"/>
        </w:rPr>
        <w:t>≠ 0</w:t>
      </w:r>
    </w:p>
    <w:p w14:paraId="1CE21879" w14:textId="0683E4B7" w:rsidR="00B0354B" w:rsidRDefault="00B0354B" w:rsidP="00914334">
      <w:pPr>
        <w:spacing w:line="360" w:lineRule="auto"/>
        <w:jc w:val="both"/>
        <w:rPr>
          <w:rFonts w:cstheme="minorHAnsi"/>
          <w:color w:val="222222"/>
          <w:shd w:val="clear" w:color="auto" w:fill="FFFFFF"/>
        </w:rPr>
      </w:pPr>
      <w:r>
        <w:rPr>
          <w:rFonts w:cstheme="minorHAnsi"/>
          <w:color w:val="222222"/>
          <w:shd w:val="clear" w:color="auto" w:fill="FFFFFF"/>
        </w:rPr>
        <w:t>The H0 stated that all the partial slopes are equal to 0</w:t>
      </w:r>
      <w:r w:rsidR="00D52218">
        <w:rPr>
          <w:rFonts w:cstheme="minorHAnsi"/>
          <w:color w:val="222222"/>
          <w:shd w:val="clear" w:color="auto" w:fill="FFFFFF"/>
        </w:rPr>
        <w:t>,</w:t>
      </w:r>
      <w:r>
        <w:rPr>
          <w:rFonts w:cstheme="minorHAnsi"/>
          <w:color w:val="222222"/>
          <w:shd w:val="clear" w:color="auto" w:fill="FFFFFF"/>
        </w:rPr>
        <w:t xml:space="preserve"> and there is not </w:t>
      </w:r>
      <w:r w:rsidR="00D52218">
        <w:rPr>
          <w:rFonts w:cstheme="minorHAnsi"/>
          <w:color w:val="222222"/>
          <w:shd w:val="clear" w:color="auto" w:fill="FFFFFF"/>
        </w:rPr>
        <w:t xml:space="preserve">a </w:t>
      </w:r>
      <w:r>
        <w:rPr>
          <w:rFonts w:cstheme="minorHAnsi"/>
          <w:color w:val="222222"/>
          <w:shd w:val="clear" w:color="auto" w:fill="FFFFFF"/>
        </w:rPr>
        <w:t>useful linear relationship between any of the four independent variables and Y (ROI).</w:t>
      </w:r>
    </w:p>
    <w:p w14:paraId="228C7954" w14:textId="01C43EDE" w:rsidR="00B0354B" w:rsidRDefault="00B0354B" w:rsidP="00914334">
      <w:pPr>
        <w:spacing w:line="360" w:lineRule="auto"/>
        <w:jc w:val="both"/>
        <w:rPr>
          <w:rFonts w:cstheme="minorHAnsi"/>
          <w:color w:val="222222"/>
          <w:shd w:val="clear" w:color="auto" w:fill="FFFFFF"/>
        </w:rPr>
      </w:pPr>
      <w:r>
        <w:rPr>
          <w:rFonts w:cstheme="minorHAnsi"/>
          <w:color w:val="222222"/>
          <w:shd w:val="clear" w:color="auto" w:fill="FFFFFF"/>
        </w:rPr>
        <w:t>The H1, on the other side, stated that at least one of the partial slope</w:t>
      </w:r>
      <w:r w:rsidR="002C5766">
        <w:rPr>
          <w:rFonts w:cstheme="minorHAnsi"/>
          <w:color w:val="222222"/>
          <w:shd w:val="clear" w:color="auto" w:fill="FFFFFF"/>
        </w:rPr>
        <w:t>s</w:t>
      </w:r>
      <w:r>
        <w:rPr>
          <w:rFonts w:cstheme="minorHAnsi"/>
          <w:color w:val="222222"/>
          <w:shd w:val="clear" w:color="auto" w:fill="FFFFFF"/>
        </w:rPr>
        <w:t xml:space="preserve"> has a useful linear relationship with Y (ROI). </w:t>
      </w:r>
    </w:p>
    <w:p w14:paraId="60AC7B0D" w14:textId="3ED73187" w:rsidR="002C5766" w:rsidRDefault="002C5766" w:rsidP="00914334">
      <w:pPr>
        <w:spacing w:line="360" w:lineRule="auto"/>
        <w:jc w:val="both"/>
        <w:rPr>
          <w:rFonts w:cstheme="minorHAnsi"/>
          <w:color w:val="222222"/>
          <w:shd w:val="clear" w:color="auto" w:fill="FFFFFF"/>
        </w:rPr>
      </w:pPr>
      <w:r>
        <w:rPr>
          <w:rFonts w:cstheme="minorHAnsi"/>
          <w:color w:val="222222"/>
          <w:shd w:val="clear" w:color="auto" w:fill="FFFFFF"/>
        </w:rPr>
        <w:t>The rejection rule of the model can be seen in two different ways</w:t>
      </w:r>
      <w:r w:rsidR="00DB2562">
        <w:rPr>
          <w:rFonts w:cstheme="minorHAnsi"/>
          <w:color w:val="222222"/>
          <w:shd w:val="clear" w:color="auto" w:fill="FFFFFF"/>
        </w:rPr>
        <w:t xml:space="preserve">: with the </w:t>
      </w:r>
      <w:r w:rsidR="00DB2562" w:rsidRPr="00DB2562">
        <w:rPr>
          <w:rFonts w:cstheme="minorHAnsi"/>
          <w:color w:val="222222"/>
          <w:u w:val="single"/>
          <w:shd w:val="clear" w:color="auto" w:fill="FFFFFF"/>
        </w:rPr>
        <w:t>p</w:t>
      </w:r>
      <w:r w:rsidR="00D52218">
        <w:rPr>
          <w:rFonts w:cstheme="minorHAnsi"/>
          <w:color w:val="222222"/>
          <w:u w:val="single"/>
          <w:shd w:val="clear" w:color="auto" w:fill="FFFFFF"/>
        </w:rPr>
        <w:t>-</w:t>
      </w:r>
      <w:r w:rsidR="00DB2562" w:rsidRPr="00DB2562">
        <w:rPr>
          <w:rFonts w:cstheme="minorHAnsi"/>
          <w:color w:val="222222"/>
          <w:u w:val="single"/>
          <w:shd w:val="clear" w:color="auto" w:fill="FFFFFF"/>
        </w:rPr>
        <w:t>value approach</w:t>
      </w:r>
      <w:r w:rsidR="00DB2562">
        <w:rPr>
          <w:rFonts w:cstheme="minorHAnsi"/>
          <w:color w:val="222222"/>
          <w:shd w:val="clear" w:color="auto" w:fill="FFFFFF"/>
        </w:rPr>
        <w:t>, H0 is rejected if p</w:t>
      </w:r>
      <w:r w:rsidR="00D52218">
        <w:rPr>
          <w:rFonts w:cstheme="minorHAnsi"/>
          <w:color w:val="222222"/>
          <w:shd w:val="clear" w:color="auto" w:fill="FFFFFF"/>
        </w:rPr>
        <w:t>-</w:t>
      </w:r>
      <w:r w:rsidR="00DB2562">
        <w:rPr>
          <w:rFonts w:cstheme="minorHAnsi"/>
          <w:color w:val="222222"/>
          <w:shd w:val="clear" w:color="auto" w:fill="FFFFFF"/>
        </w:rPr>
        <w:t xml:space="preserve">value &lt; </w:t>
      </w:r>
      <w:r w:rsidR="00DB2562" w:rsidRPr="00DB2562">
        <w:rPr>
          <w:rFonts w:cstheme="minorHAnsi"/>
          <w:color w:val="222222"/>
          <w:shd w:val="clear" w:color="auto" w:fill="FFFFFF"/>
        </w:rPr>
        <w:t>α</w:t>
      </w:r>
      <w:r w:rsidR="00DB2562">
        <w:rPr>
          <w:rFonts w:cstheme="minorHAnsi"/>
          <w:color w:val="222222"/>
          <w:shd w:val="clear" w:color="auto" w:fill="FFFFFF"/>
        </w:rPr>
        <w:t xml:space="preserve"> (0.05). With the </w:t>
      </w:r>
      <w:r w:rsidR="00DB2562" w:rsidRPr="00DB2562">
        <w:rPr>
          <w:rFonts w:cstheme="minorHAnsi"/>
          <w:color w:val="222222"/>
          <w:u w:val="single"/>
          <w:shd w:val="clear" w:color="auto" w:fill="FFFFFF"/>
        </w:rPr>
        <w:t>critical value approach</w:t>
      </w:r>
      <w:r w:rsidR="00DB2562">
        <w:rPr>
          <w:rFonts w:cstheme="minorHAnsi"/>
          <w:color w:val="222222"/>
          <w:shd w:val="clear" w:color="auto" w:fill="FFFFFF"/>
        </w:rPr>
        <w:t xml:space="preserve">, the rejection region is between t </w:t>
      </w:r>
      <w:r w:rsidR="00DB2562" w:rsidRPr="00DB2562">
        <w:rPr>
          <w:rFonts w:cstheme="minorHAnsi"/>
          <w:color w:val="222222"/>
          <w:shd w:val="clear" w:color="auto" w:fill="FFFFFF"/>
        </w:rPr>
        <w:t>≤</w:t>
      </w:r>
      <w:r w:rsidR="00DB2562">
        <w:rPr>
          <w:rFonts w:cstheme="minorHAnsi"/>
          <w:color w:val="222222"/>
          <w:shd w:val="clear" w:color="auto" w:fill="FFFFFF"/>
        </w:rPr>
        <w:t xml:space="preserve"> -t</w:t>
      </w:r>
      <w:r w:rsidR="00DB2562" w:rsidRPr="00F94FD2">
        <w:rPr>
          <w:rFonts w:cstheme="minorHAnsi"/>
          <w:color w:val="222222"/>
          <w:shd w:val="clear" w:color="auto" w:fill="FFFFFF"/>
          <w:vertAlign w:val="subscript"/>
        </w:rPr>
        <w:t>(α/2)</w:t>
      </w:r>
      <w:r w:rsidR="00DB2562">
        <w:rPr>
          <w:rFonts w:cstheme="minorHAnsi"/>
          <w:color w:val="222222"/>
          <w:shd w:val="clear" w:color="auto" w:fill="FFFFFF"/>
        </w:rPr>
        <w:t xml:space="preserve"> and t </w:t>
      </w:r>
      <w:r w:rsidR="00DB2562">
        <w:t>≥ +t</w:t>
      </w:r>
      <w:r w:rsidR="00DB2562" w:rsidRPr="00F94FD2">
        <w:rPr>
          <w:rFonts w:cstheme="minorHAnsi"/>
          <w:color w:val="222222"/>
          <w:shd w:val="clear" w:color="auto" w:fill="FFFFFF"/>
          <w:vertAlign w:val="subscript"/>
        </w:rPr>
        <w:t>(α/2)</w:t>
      </w:r>
      <w:r w:rsidR="00DB2562">
        <w:rPr>
          <w:rFonts w:cstheme="minorHAnsi"/>
          <w:color w:val="222222"/>
          <w:shd w:val="clear" w:color="auto" w:fill="FFFFFF"/>
        </w:rPr>
        <w:t xml:space="preserve"> where t</w:t>
      </w:r>
      <w:r w:rsidR="00DB2562" w:rsidRPr="00F94FD2">
        <w:rPr>
          <w:rFonts w:cstheme="minorHAnsi"/>
          <w:color w:val="222222"/>
          <w:shd w:val="clear" w:color="auto" w:fill="FFFFFF"/>
          <w:vertAlign w:val="subscript"/>
        </w:rPr>
        <w:t>(α/2)</w:t>
      </w:r>
      <w:r w:rsidR="00DB2562">
        <w:rPr>
          <w:rFonts w:cstheme="minorHAnsi"/>
          <w:color w:val="222222"/>
          <w:shd w:val="clear" w:color="auto" w:fill="FFFFFF"/>
        </w:rPr>
        <w:t xml:space="preserve"> is based on a distribution with n – p – 1 degree of freedom</w:t>
      </w:r>
      <w:r w:rsidR="005E118E">
        <w:rPr>
          <w:rFonts w:cstheme="minorHAnsi"/>
          <w:color w:val="222222"/>
          <w:shd w:val="clear" w:color="auto" w:fill="FFFFFF"/>
        </w:rPr>
        <w:t xml:space="preserve"> (Carlos M. Carvalho, 2015)</w:t>
      </w:r>
      <w:r w:rsidR="00DB2562">
        <w:rPr>
          <w:rFonts w:cstheme="minorHAnsi"/>
          <w:color w:val="222222"/>
          <w:shd w:val="clear" w:color="auto" w:fill="FFFFFF"/>
        </w:rPr>
        <w:t xml:space="preserve">, which in our scenario is </w:t>
      </w:r>
      <w:r w:rsidR="00731DD0">
        <w:rPr>
          <w:rFonts w:cstheme="minorHAnsi"/>
          <w:color w:val="222222"/>
          <w:shd w:val="clear" w:color="auto" w:fill="FFFFFF"/>
        </w:rPr>
        <w:t xml:space="preserve">30–4–1= 25 with </w:t>
      </w:r>
      <w:r w:rsidR="00731DD0" w:rsidRPr="00DB2562">
        <w:rPr>
          <w:rFonts w:cstheme="minorHAnsi"/>
          <w:color w:val="222222"/>
          <w:shd w:val="clear" w:color="auto" w:fill="FFFFFF"/>
        </w:rPr>
        <w:t>α</w:t>
      </w:r>
      <w:r w:rsidR="00731DD0">
        <w:rPr>
          <w:rFonts w:cstheme="minorHAnsi"/>
          <w:color w:val="222222"/>
          <w:shd w:val="clear" w:color="auto" w:fill="FFFFFF"/>
        </w:rPr>
        <w:t xml:space="preserve"> value of 0.025. </w:t>
      </w:r>
    </w:p>
    <w:p w14:paraId="5DA9763A" w14:textId="3DE7245C" w:rsidR="00783C9C" w:rsidRDefault="005D278E" w:rsidP="00914334">
      <w:pPr>
        <w:spacing w:line="360" w:lineRule="auto"/>
        <w:jc w:val="both"/>
        <w:rPr>
          <w:rFonts w:cstheme="minorHAnsi"/>
          <w:color w:val="222222"/>
          <w:shd w:val="clear" w:color="auto" w:fill="FFFFFF"/>
        </w:rPr>
      </w:pPr>
      <w:r>
        <w:rPr>
          <w:rFonts w:cstheme="minorHAnsi"/>
          <w:color w:val="222222"/>
          <w:shd w:val="clear" w:color="auto" w:fill="FFFFFF"/>
        </w:rPr>
        <w:t>As previously mentioned, the p</w:t>
      </w:r>
      <w:r w:rsidR="00D52218">
        <w:rPr>
          <w:rFonts w:cstheme="minorHAnsi"/>
          <w:color w:val="222222"/>
          <w:shd w:val="clear" w:color="auto" w:fill="FFFFFF"/>
        </w:rPr>
        <w:t>-</w:t>
      </w:r>
      <w:r>
        <w:rPr>
          <w:rFonts w:cstheme="minorHAnsi"/>
          <w:color w:val="222222"/>
          <w:shd w:val="clear" w:color="auto" w:fill="FFFFFF"/>
        </w:rPr>
        <w:t xml:space="preserve">value in the model is 0.44, because it is higher than </w:t>
      </w:r>
      <w:r w:rsidRPr="00DB2562">
        <w:rPr>
          <w:rFonts w:cstheme="minorHAnsi"/>
          <w:color w:val="222222"/>
          <w:shd w:val="clear" w:color="auto" w:fill="FFFFFF"/>
        </w:rPr>
        <w:t>α</w:t>
      </w:r>
      <w:r>
        <w:rPr>
          <w:rFonts w:cstheme="minorHAnsi"/>
          <w:color w:val="222222"/>
          <w:shd w:val="clear" w:color="auto" w:fill="FFFFFF"/>
        </w:rPr>
        <w:t xml:space="preserve">, it can be concluded that the H0 is accepted and there is not useful linear relationship between C/R, D/E, Size, </w:t>
      </w:r>
      <w:r>
        <w:rPr>
          <w:rFonts w:cstheme="minorHAnsi"/>
          <w:color w:val="222222"/>
          <w:shd w:val="clear" w:color="auto" w:fill="FFFFFF"/>
        </w:rPr>
        <w:lastRenderedPageBreak/>
        <w:t>Growth rate and ROI. In this scenario</w:t>
      </w:r>
      <w:r w:rsidR="00D52218">
        <w:rPr>
          <w:rFonts w:cstheme="minorHAnsi"/>
          <w:color w:val="222222"/>
          <w:shd w:val="clear" w:color="auto" w:fill="FFFFFF"/>
        </w:rPr>
        <w:t>,</w:t>
      </w:r>
      <w:r>
        <w:rPr>
          <w:rFonts w:cstheme="minorHAnsi"/>
          <w:color w:val="222222"/>
          <w:shd w:val="clear" w:color="auto" w:fill="FFFFFF"/>
        </w:rPr>
        <w:t xml:space="preserve"> the overall model does</w:t>
      </w:r>
      <w:r w:rsidR="00516C83">
        <w:rPr>
          <w:rFonts w:cstheme="minorHAnsi"/>
          <w:color w:val="222222"/>
          <w:shd w:val="clear" w:color="auto" w:fill="FFFFFF"/>
        </w:rPr>
        <w:t xml:space="preserve"> not</w:t>
      </w:r>
      <w:r>
        <w:rPr>
          <w:rFonts w:cstheme="minorHAnsi"/>
          <w:color w:val="222222"/>
          <w:shd w:val="clear" w:color="auto" w:fill="FFFFFF"/>
        </w:rPr>
        <w:t xml:space="preserve"> fit</w:t>
      </w:r>
      <w:r w:rsidR="00D52218">
        <w:rPr>
          <w:rFonts w:cstheme="minorHAnsi"/>
          <w:color w:val="222222"/>
          <w:shd w:val="clear" w:color="auto" w:fill="FFFFFF"/>
        </w:rPr>
        <w:t>;</w:t>
      </w:r>
      <w:r>
        <w:rPr>
          <w:rFonts w:cstheme="minorHAnsi"/>
          <w:color w:val="222222"/>
          <w:shd w:val="clear" w:color="auto" w:fill="FFFFFF"/>
        </w:rPr>
        <w:t xml:space="preserve"> </w:t>
      </w:r>
      <w:r w:rsidR="00D52218">
        <w:rPr>
          <w:rFonts w:cstheme="minorHAnsi"/>
          <w:color w:val="222222"/>
          <w:shd w:val="clear" w:color="auto" w:fill="FFFFFF"/>
        </w:rPr>
        <w:t xml:space="preserve">the </w:t>
      </w:r>
      <w:r>
        <w:rPr>
          <w:rFonts w:cstheme="minorHAnsi"/>
          <w:color w:val="222222"/>
          <w:shd w:val="clear" w:color="auto" w:fill="FFFFFF"/>
        </w:rPr>
        <w:t xml:space="preserve">reason why </w:t>
      </w:r>
      <w:r w:rsidRPr="005D278E">
        <w:rPr>
          <w:rFonts w:cstheme="minorHAnsi"/>
          <w:color w:val="222222"/>
          <w:shd w:val="clear" w:color="auto" w:fill="FFFFFF"/>
        </w:rPr>
        <w:t>it makes no sense to perform the individual analysis of the variables</w:t>
      </w:r>
      <w:r w:rsidR="00133950">
        <w:rPr>
          <w:rFonts w:cstheme="minorHAnsi"/>
          <w:color w:val="222222"/>
          <w:shd w:val="clear" w:color="auto" w:fill="FFFFFF"/>
        </w:rPr>
        <w:t>.</w:t>
      </w:r>
    </w:p>
    <w:p w14:paraId="708915E6" w14:textId="77777777" w:rsidR="00783C9C" w:rsidRDefault="00783C9C" w:rsidP="00B0354B">
      <w:pPr>
        <w:spacing w:line="254" w:lineRule="auto"/>
        <w:rPr>
          <w:rFonts w:cstheme="minorHAnsi"/>
          <w:color w:val="222222"/>
          <w:shd w:val="clear" w:color="auto" w:fill="FFFFFF"/>
        </w:rPr>
      </w:pPr>
    </w:p>
    <w:p w14:paraId="197DCF8B" w14:textId="3125BCAA" w:rsidR="009A3431" w:rsidRDefault="002E402E" w:rsidP="00852E71">
      <w:pPr>
        <w:pStyle w:val="Heading3"/>
        <w:spacing w:line="480" w:lineRule="auto"/>
        <w:rPr>
          <w:rFonts w:ascii="Arial" w:hAnsi="Arial" w:cs="Arial"/>
          <w:b/>
          <w:bCs/>
          <w:color w:val="auto"/>
          <w:shd w:val="clear" w:color="auto" w:fill="FFFFFF"/>
        </w:rPr>
      </w:pPr>
      <w:bookmarkStart w:id="41" w:name="_Toc43473613"/>
      <w:r>
        <w:rPr>
          <w:rFonts w:ascii="Arial" w:hAnsi="Arial" w:cs="Arial"/>
          <w:b/>
          <w:bCs/>
          <w:color w:val="auto"/>
          <w:shd w:val="clear" w:color="auto" w:fill="FFFFFF"/>
        </w:rPr>
        <w:t xml:space="preserve">2.2 </w:t>
      </w:r>
      <w:r w:rsidR="009A3431" w:rsidRPr="00852E71">
        <w:rPr>
          <w:rFonts w:ascii="Arial" w:hAnsi="Arial" w:cs="Arial"/>
          <w:b/>
          <w:bCs/>
          <w:color w:val="auto"/>
          <w:shd w:val="clear" w:color="auto" w:fill="FFFFFF"/>
        </w:rPr>
        <w:t>Equation two Testing</w:t>
      </w:r>
      <w:bookmarkEnd w:id="41"/>
    </w:p>
    <w:p w14:paraId="3D71470A" w14:textId="77777777" w:rsidR="00852E71" w:rsidRDefault="00852E71" w:rsidP="00852E71">
      <w:pPr>
        <w:jc w:val="center"/>
        <w:rPr>
          <w:rFonts w:ascii="Cambria Math" w:hAnsi="Cambria Math"/>
          <w:b/>
          <w:bCs/>
          <w:i/>
          <w:iCs/>
        </w:rPr>
      </w:pPr>
    </w:p>
    <w:p w14:paraId="2B8C27C4" w14:textId="7A983D36" w:rsidR="00852E71" w:rsidRPr="00852E71" w:rsidRDefault="00852E71" w:rsidP="00852E71">
      <w:pPr>
        <w:jc w:val="center"/>
        <w:rPr>
          <w:b/>
          <w:bCs/>
        </w:rPr>
      </w:pPr>
      <w:r w:rsidRPr="00852E71">
        <w:rPr>
          <w:rFonts w:ascii="Cambria Math" w:hAnsi="Cambria Math"/>
          <w:b/>
          <w:bCs/>
          <w:i/>
          <w:iCs/>
        </w:rPr>
        <w:t xml:space="preserve">ROI = </w:t>
      </w:r>
      <w:r w:rsidRPr="00852E71">
        <w:rPr>
          <w:rFonts w:ascii="Cambria Math" w:hAnsi="Cambria Math" w:cs="Cambria Math"/>
          <w:b/>
          <w:bCs/>
          <w:i/>
          <w:iCs/>
        </w:rPr>
        <w:t>𝛽</w:t>
      </w:r>
      <w:r w:rsidRPr="00852E71">
        <w:rPr>
          <w:rFonts w:ascii="Cambria Math" w:hAnsi="Cambria Math"/>
          <w:b/>
          <w:bCs/>
          <w:i/>
          <w:iCs/>
        </w:rPr>
        <w:t xml:space="preserve">0 + </w:t>
      </w:r>
      <w:r w:rsidRPr="00852E71">
        <w:rPr>
          <w:rFonts w:ascii="Cambria Math" w:hAnsi="Cambria Math" w:cs="Cambria Math"/>
          <w:b/>
          <w:bCs/>
          <w:i/>
          <w:iCs/>
        </w:rPr>
        <w:t>𝛽</w:t>
      </w:r>
      <w:r w:rsidRPr="00852E71">
        <w:rPr>
          <w:rFonts w:ascii="Cambria Math" w:hAnsi="Cambria Math"/>
          <w:b/>
          <w:bCs/>
          <w:i/>
          <w:iCs/>
        </w:rPr>
        <w:t>1</w:t>
      </w:r>
      <w:r w:rsidRPr="00852E71">
        <w:rPr>
          <w:rFonts w:ascii="Cambria Math" w:hAnsi="Cambria Math" w:cs="Cambria Math"/>
          <w:b/>
          <w:bCs/>
          <w:i/>
          <w:iCs/>
        </w:rPr>
        <w:t>Quick Ratio</w:t>
      </w:r>
      <w:r w:rsidRPr="00852E71">
        <w:rPr>
          <w:rFonts w:ascii="Cambria Math" w:hAnsi="Cambria Math"/>
          <w:b/>
          <w:bCs/>
          <w:i/>
          <w:iCs/>
        </w:rPr>
        <w:t xml:space="preserve">+ </w:t>
      </w:r>
      <w:r w:rsidRPr="00852E71">
        <w:rPr>
          <w:rFonts w:ascii="Cambria Math" w:hAnsi="Cambria Math" w:cs="Cambria Math"/>
          <w:b/>
          <w:bCs/>
          <w:i/>
          <w:iCs/>
        </w:rPr>
        <w:t>𝛽</w:t>
      </w:r>
      <w:r w:rsidRPr="00852E71">
        <w:rPr>
          <w:rFonts w:ascii="Cambria Math" w:hAnsi="Cambria Math"/>
          <w:b/>
          <w:bCs/>
          <w:i/>
          <w:iCs/>
        </w:rPr>
        <w:t>2</w:t>
      </w:r>
      <w:r w:rsidRPr="00852E71">
        <w:rPr>
          <w:rFonts w:ascii="Cambria Math" w:hAnsi="Cambria Math" w:cs="Cambria Math"/>
          <w:b/>
          <w:bCs/>
          <w:i/>
          <w:iCs/>
        </w:rPr>
        <w:t>Debt-to-Capital Ratio</w:t>
      </w:r>
      <w:r w:rsidRPr="00852E71">
        <w:rPr>
          <w:rFonts w:ascii="Cambria Math" w:hAnsi="Cambria Math"/>
          <w:b/>
          <w:bCs/>
          <w:i/>
          <w:iCs/>
        </w:rPr>
        <w:t xml:space="preserve"> + </w:t>
      </w:r>
      <w:r w:rsidRPr="00852E71">
        <w:rPr>
          <w:rFonts w:ascii="Cambria Math" w:hAnsi="Cambria Math" w:cs="Cambria Math"/>
          <w:b/>
          <w:bCs/>
          <w:i/>
          <w:iCs/>
        </w:rPr>
        <w:t>𝛽</w:t>
      </w:r>
      <w:r w:rsidRPr="00852E71">
        <w:rPr>
          <w:rFonts w:ascii="Cambria Math" w:hAnsi="Cambria Math"/>
          <w:b/>
          <w:bCs/>
          <w:i/>
          <w:iCs/>
        </w:rPr>
        <w:t>3</w:t>
      </w:r>
      <w:r w:rsidRPr="00852E71">
        <w:rPr>
          <w:rFonts w:ascii="Cambria Math" w:hAnsi="Cambria Math" w:cs="Cambria Math"/>
          <w:b/>
          <w:bCs/>
          <w:i/>
          <w:iCs/>
        </w:rPr>
        <w:t>Size</w:t>
      </w:r>
      <w:r w:rsidRPr="00852E71">
        <w:rPr>
          <w:rFonts w:ascii="Cambria Math" w:hAnsi="Cambria Math"/>
          <w:b/>
          <w:bCs/>
          <w:i/>
          <w:iCs/>
        </w:rPr>
        <w:t xml:space="preserve"> + </w:t>
      </w:r>
      <w:r w:rsidRPr="00852E71">
        <w:rPr>
          <w:rFonts w:ascii="Cambria Math" w:hAnsi="Cambria Math" w:cs="Cambria Math"/>
          <w:b/>
          <w:bCs/>
          <w:i/>
          <w:iCs/>
        </w:rPr>
        <w:t>𝛽</w:t>
      </w:r>
      <w:r w:rsidRPr="00852E71">
        <w:rPr>
          <w:rFonts w:ascii="Cambria Math" w:hAnsi="Cambria Math"/>
          <w:b/>
          <w:bCs/>
          <w:i/>
          <w:iCs/>
        </w:rPr>
        <w:t>4</w:t>
      </w:r>
      <w:r w:rsidRPr="00852E71">
        <w:rPr>
          <w:rFonts w:ascii="Cambria Math" w:hAnsi="Cambria Math" w:cs="Cambria Math"/>
          <w:b/>
          <w:bCs/>
          <w:i/>
          <w:iCs/>
        </w:rPr>
        <w:t>Growth rate + 𝜀</w:t>
      </w:r>
    </w:p>
    <w:p w14:paraId="4DD5187B" w14:textId="02A1BE73" w:rsidR="00E142A1" w:rsidRDefault="00E142A1" w:rsidP="00E142A1">
      <w:pPr>
        <w:spacing w:line="254" w:lineRule="auto"/>
        <w:jc w:val="both"/>
      </w:pPr>
    </w:p>
    <w:tbl>
      <w:tblPr>
        <w:tblW w:w="9220" w:type="dxa"/>
        <w:tblLook w:val="04A0" w:firstRow="1" w:lastRow="0" w:firstColumn="1" w:lastColumn="0" w:noHBand="0" w:noVBand="1"/>
      </w:tblPr>
      <w:tblGrid>
        <w:gridCol w:w="1656"/>
        <w:gridCol w:w="1416"/>
        <w:gridCol w:w="1900"/>
        <w:gridCol w:w="1436"/>
        <w:gridCol w:w="1397"/>
        <w:gridCol w:w="1496"/>
      </w:tblGrid>
      <w:tr w:rsidR="00783C9C" w:rsidRPr="00783C9C" w14:paraId="76922B3B" w14:textId="77777777" w:rsidTr="00C13572">
        <w:trPr>
          <w:trHeight w:val="294"/>
        </w:trPr>
        <w:tc>
          <w:tcPr>
            <w:tcW w:w="1656" w:type="dxa"/>
            <w:tcBorders>
              <w:top w:val="single" w:sz="4" w:space="0" w:color="auto"/>
              <w:left w:val="single" w:sz="4" w:space="0" w:color="auto"/>
              <w:bottom w:val="nil"/>
              <w:right w:val="nil"/>
            </w:tcBorders>
            <w:shd w:val="clear" w:color="auto" w:fill="auto"/>
            <w:noWrap/>
            <w:vAlign w:val="bottom"/>
            <w:hideMark/>
          </w:tcPr>
          <w:p w14:paraId="2027161F" w14:textId="77777777" w:rsidR="00783C9C" w:rsidRPr="00783C9C" w:rsidRDefault="00783C9C" w:rsidP="00783C9C">
            <w:pPr>
              <w:spacing w:after="0" w:line="240" w:lineRule="auto"/>
              <w:rPr>
                <w:rFonts w:ascii="Times New Roman" w:eastAsia="Times New Roman" w:hAnsi="Times New Roman" w:cs="Times New Roman"/>
                <w:sz w:val="24"/>
                <w:szCs w:val="24"/>
                <w:lang w:eastAsia="en-GB"/>
              </w:rPr>
            </w:pPr>
          </w:p>
        </w:tc>
        <w:tc>
          <w:tcPr>
            <w:tcW w:w="1416" w:type="dxa"/>
            <w:tcBorders>
              <w:top w:val="single" w:sz="4" w:space="0" w:color="auto"/>
              <w:left w:val="nil"/>
              <w:bottom w:val="nil"/>
              <w:right w:val="nil"/>
            </w:tcBorders>
            <w:shd w:val="clear" w:color="auto" w:fill="auto"/>
            <w:noWrap/>
            <w:vAlign w:val="bottom"/>
            <w:hideMark/>
          </w:tcPr>
          <w:p w14:paraId="16886E58" w14:textId="77777777" w:rsidR="00783C9C" w:rsidRPr="00783C9C" w:rsidRDefault="00783C9C" w:rsidP="00783C9C">
            <w:pPr>
              <w:spacing w:after="0" w:line="240" w:lineRule="auto"/>
              <w:rPr>
                <w:rFonts w:ascii="Times New Roman" w:eastAsia="Times New Roman" w:hAnsi="Times New Roman" w:cs="Times New Roman"/>
                <w:sz w:val="20"/>
                <w:szCs w:val="20"/>
                <w:lang w:eastAsia="en-GB"/>
              </w:rPr>
            </w:pPr>
          </w:p>
        </w:tc>
        <w:tc>
          <w:tcPr>
            <w:tcW w:w="3336" w:type="dxa"/>
            <w:gridSpan w:val="2"/>
            <w:tcBorders>
              <w:top w:val="single" w:sz="4" w:space="0" w:color="auto"/>
              <w:left w:val="nil"/>
              <w:bottom w:val="nil"/>
              <w:right w:val="nil"/>
            </w:tcBorders>
            <w:shd w:val="clear" w:color="auto" w:fill="auto"/>
            <w:noWrap/>
            <w:vAlign w:val="bottom"/>
            <w:hideMark/>
          </w:tcPr>
          <w:p w14:paraId="0AFDD999" w14:textId="77777777" w:rsidR="00783C9C" w:rsidRPr="00783C9C" w:rsidRDefault="00783C9C" w:rsidP="00783C9C">
            <w:pPr>
              <w:spacing w:after="0" w:line="240" w:lineRule="auto"/>
              <w:rPr>
                <w:rFonts w:ascii="Calibri" w:eastAsia="Times New Roman" w:hAnsi="Calibri" w:cs="Calibri"/>
                <w:b/>
                <w:bCs/>
                <w:color w:val="000000"/>
                <w:lang w:eastAsia="en-GB"/>
              </w:rPr>
            </w:pPr>
            <w:r w:rsidRPr="00783C9C">
              <w:rPr>
                <w:rFonts w:ascii="Calibri" w:eastAsia="Times New Roman" w:hAnsi="Calibri" w:cs="Calibri"/>
                <w:b/>
                <w:bCs/>
                <w:color w:val="000000"/>
                <w:lang w:eastAsia="en-GB"/>
              </w:rPr>
              <w:t>REGRESSION STATISTIC</w:t>
            </w:r>
          </w:p>
        </w:tc>
        <w:tc>
          <w:tcPr>
            <w:tcW w:w="1316" w:type="dxa"/>
            <w:tcBorders>
              <w:top w:val="single" w:sz="4" w:space="0" w:color="auto"/>
              <w:left w:val="nil"/>
              <w:bottom w:val="nil"/>
              <w:right w:val="nil"/>
            </w:tcBorders>
            <w:shd w:val="clear" w:color="auto" w:fill="auto"/>
            <w:noWrap/>
            <w:vAlign w:val="bottom"/>
            <w:hideMark/>
          </w:tcPr>
          <w:p w14:paraId="47917BD4" w14:textId="77777777" w:rsidR="00783C9C" w:rsidRPr="00783C9C" w:rsidRDefault="00783C9C" w:rsidP="00783C9C">
            <w:pPr>
              <w:spacing w:after="0" w:line="240" w:lineRule="auto"/>
              <w:rPr>
                <w:rFonts w:ascii="Calibri" w:eastAsia="Times New Roman" w:hAnsi="Calibri" w:cs="Calibri"/>
                <w:b/>
                <w:bCs/>
                <w:color w:val="000000"/>
                <w:lang w:eastAsia="en-GB"/>
              </w:rPr>
            </w:pPr>
          </w:p>
        </w:tc>
        <w:tc>
          <w:tcPr>
            <w:tcW w:w="1496" w:type="dxa"/>
            <w:tcBorders>
              <w:top w:val="single" w:sz="4" w:space="0" w:color="auto"/>
              <w:left w:val="nil"/>
              <w:bottom w:val="nil"/>
              <w:right w:val="single" w:sz="4" w:space="0" w:color="auto"/>
            </w:tcBorders>
            <w:shd w:val="clear" w:color="auto" w:fill="auto"/>
            <w:noWrap/>
            <w:vAlign w:val="bottom"/>
            <w:hideMark/>
          </w:tcPr>
          <w:p w14:paraId="3348452A" w14:textId="77777777" w:rsidR="00783C9C" w:rsidRPr="00783C9C" w:rsidRDefault="00783C9C" w:rsidP="00783C9C">
            <w:pPr>
              <w:spacing w:after="0" w:line="240" w:lineRule="auto"/>
              <w:rPr>
                <w:rFonts w:ascii="Times New Roman" w:eastAsia="Times New Roman" w:hAnsi="Times New Roman" w:cs="Times New Roman"/>
                <w:sz w:val="20"/>
                <w:szCs w:val="20"/>
                <w:lang w:eastAsia="en-GB"/>
              </w:rPr>
            </w:pPr>
          </w:p>
        </w:tc>
      </w:tr>
      <w:tr w:rsidR="00783C9C" w:rsidRPr="00783C9C" w14:paraId="04A5A584" w14:textId="77777777" w:rsidTr="00C13572">
        <w:trPr>
          <w:trHeight w:val="294"/>
        </w:trPr>
        <w:tc>
          <w:tcPr>
            <w:tcW w:w="1656" w:type="dxa"/>
            <w:tcBorders>
              <w:top w:val="single" w:sz="4" w:space="0" w:color="auto"/>
              <w:left w:val="single" w:sz="4" w:space="0" w:color="auto"/>
              <w:bottom w:val="single" w:sz="8" w:space="0" w:color="auto"/>
              <w:right w:val="nil"/>
            </w:tcBorders>
            <w:shd w:val="clear" w:color="auto" w:fill="auto"/>
            <w:noWrap/>
            <w:vAlign w:val="bottom"/>
            <w:hideMark/>
          </w:tcPr>
          <w:p w14:paraId="60916181"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Multiple R</w:t>
            </w:r>
          </w:p>
        </w:tc>
        <w:tc>
          <w:tcPr>
            <w:tcW w:w="1416" w:type="dxa"/>
            <w:tcBorders>
              <w:top w:val="single" w:sz="4" w:space="0" w:color="auto"/>
              <w:left w:val="nil"/>
              <w:bottom w:val="single" w:sz="8" w:space="0" w:color="auto"/>
              <w:right w:val="nil"/>
            </w:tcBorders>
            <w:shd w:val="clear" w:color="auto" w:fill="auto"/>
            <w:noWrap/>
            <w:vAlign w:val="bottom"/>
            <w:hideMark/>
          </w:tcPr>
          <w:p w14:paraId="4456816E"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R squared</w:t>
            </w:r>
          </w:p>
        </w:tc>
        <w:tc>
          <w:tcPr>
            <w:tcW w:w="1900" w:type="dxa"/>
            <w:tcBorders>
              <w:top w:val="single" w:sz="4" w:space="0" w:color="auto"/>
              <w:left w:val="nil"/>
              <w:bottom w:val="single" w:sz="8" w:space="0" w:color="auto"/>
              <w:right w:val="nil"/>
            </w:tcBorders>
            <w:shd w:val="clear" w:color="auto" w:fill="auto"/>
            <w:noWrap/>
            <w:vAlign w:val="bottom"/>
            <w:hideMark/>
          </w:tcPr>
          <w:p w14:paraId="45B0448F"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Adjusted R squared</w:t>
            </w:r>
          </w:p>
        </w:tc>
        <w:tc>
          <w:tcPr>
            <w:tcW w:w="1436" w:type="dxa"/>
            <w:tcBorders>
              <w:top w:val="single" w:sz="4" w:space="0" w:color="auto"/>
              <w:left w:val="nil"/>
              <w:bottom w:val="single" w:sz="8" w:space="0" w:color="auto"/>
              <w:right w:val="nil"/>
            </w:tcBorders>
            <w:shd w:val="clear" w:color="auto" w:fill="auto"/>
            <w:noWrap/>
            <w:vAlign w:val="bottom"/>
            <w:hideMark/>
          </w:tcPr>
          <w:p w14:paraId="1642F57F"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Standard error</w:t>
            </w:r>
          </w:p>
        </w:tc>
        <w:tc>
          <w:tcPr>
            <w:tcW w:w="1316" w:type="dxa"/>
            <w:tcBorders>
              <w:top w:val="single" w:sz="4" w:space="0" w:color="auto"/>
              <w:left w:val="nil"/>
              <w:bottom w:val="single" w:sz="8" w:space="0" w:color="auto"/>
              <w:right w:val="nil"/>
            </w:tcBorders>
            <w:shd w:val="clear" w:color="auto" w:fill="auto"/>
            <w:noWrap/>
            <w:vAlign w:val="bottom"/>
            <w:hideMark/>
          </w:tcPr>
          <w:p w14:paraId="21D0D0EC"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Observations</w:t>
            </w:r>
          </w:p>
        </w:tc>
        <w:tc>
          <w:tcPr>
            <w:tcW w:w="1496" w:type="dxa"/>
            <w:tcBorders>
              <w:top w:val="single" w:sz="4" w:space="0" w:color="auto"/>
              <w:left w:val="nil"/>
              <w:bottom w:val="single" w:sz="8" w:space="0" w:color="auto"/>
              <w:right w:val="single" w:sz="4" w:space="0" w:color="auto"/>
            </w:tcBorders>
            <w:shd w:val="clear" w:color="auto" w:fill="auto"/>
            <w:noWrap/>
            <w:vAlign w:val="bottom"/>
            <w:hideMark/>
          </w:tcPr>
          <w:p w14:paraId="62EBA1A8"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 </w:t>
            </w:r>
          </w:p>
        </w:tc>
      </w:tr>
      <w:tr w:rsidR="00783C9C" w:rsidRPr="00783C9C" w14:paraId="1C36FA1F" w14:textId="77777777" w:rsidTr="00C13572">
        <w:trPr>
          <w:trHeight w:val="288"/>
        </w:trPr>
        <w:tc>
          <w:tcPr>
            <w:tcW w:w="1656" w:type="dxa"/>
            <w:tcBorders>
              <w:top w:val="nil"/>
              <w:left w:val="single" w:sz="4" w:space="0" w:color="auto"/>
              <w:bottom w:val="nil"/>
              <w:right w:val="nil"/>
            </w:tcBorders>
            <w:shd w:val="clear" w:color="auto" w:fill="auto"/>
            <w:noWrap/>
            <w:vAlign w:val="bottom"/>
            <w:hideMark/>
          </w:tcPr>
          <w:p w14:paraId="61CB799D" w14:textId="77777777" w:rsidR="00783C9C" w:rsidRPr="00783C9C" w:rsidRDefault="00783C9C" w:rsidP="00783C9C">
            <w:pPr>
              <w:spacing w:after="0" w:line="240" w:lineRule="auto"/>
              <w:jc w:val="right"/>
              <w:rPr>
                <w:rFonts w:ascii="Calibri" w:eastAsia="Times New Roman" w:hAnsi="Calibri" w:cs="Calibri"/>
                <w:color w:val="000000"/>
                <w:lang w:eastAsia="en-GB"/>
              </w:rPr>
            </w:pPr>
            <w:r w:rsidRPr="00783C9C">
              <w:rPr>
                <w:rFonts w:ascii="Calibri" w:eastAsia="Times New Roman" w:hAnsi="Calibri" w:cs="Calibri"/>
                <w:color w:val="000000"/>
                <w:lang w:eastAsia="en-GB"/>
              </w:rPr>
              <w:t>0.70338952</w:t>
            </w:r>
          </w:p>
        </w:tc>
        <w:tc>
          <w:tcPr>
            <w:tcW w:w="1416" w:type="dxa"/>
            <w:tcBorders>
              <w:top w:val="nil"/>
              <w:left w:val="nil"/>
              <w:bottom w:val="nil"/>
              <w:right w:val="nil"/>
            </w:tcBorders>
            <w:shd w:val="clear" w:color="auto" w:fill="auto"/>
            <w:noWrap/>
            <w:vAlign w:val="bottom"/>
            <w:hideMark/>
          </w:tcPr>
          <w:p w14:paraId="560572DF" w14:textId="77777777" w:rsidR="00783C9C" w:rsidRPr="00783C9C" w:rsidRDefault="00783C9C" w:rsidP="00783C9C">
            <w:pPr>
              <w:spacing w:after="0" w:line="240" w:lineRule="auto"/>
              <w:jc w:val="right"/>
              <w:rPr>
                <w:rFonts w:ascii="Calibri" w:eastAsia="Times New Roman" w:hAnsi="Calibri" w:cs="Calibri"/>
                <w:color w:val="000000"/>
                <w:lang w:eastAsia="en-GB"/>
              </w:rPr>
            </w:pPr>
            <w:r w:rsidRPr="00783C9C">
              <w:rPr>
                <w:rFonts w:ascii="Calibri" w:eastAsia="Times New Roman" w:hAnsi="Calibri" w:cs="Calibri"/>
                <w:color w:val="000000"/>
                <w:lang w:eastAsia="en-GB"/>
              </w:rPr>
              <w:t>0.494756816</w:t>
            </w:r>
          </w:p>
        </w:tc>
        <w:tc>
          <w:tcPr>
            <w:tcW w:w="1900" w:type="dxa"/>
            <w:tcBorders>
              <w:top w:val="nil"/>
              <w:left w:val="nil"/>
              <w:bottom w:val="nil"/>
              <w:right w:val="nil"/>
            </w:tcBorders>
            <w:shd w:val="clear" w:color="auto" w:fill="auto"/>
            <w:noWrap/>
            <w:vAlign w:val="bottom"/>
            <w:hideMark/>
          </w:tcPr>
          <w:p w14:paraId="2A14B200" w14:textId="77777777" w:rsidR="00783C9C" w:rsidRPr="00783C9C" w:rsidRDefault="00783C9C" w:rsidP="00A67D0D">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0.413917907</w:t>
            </w:r>
          </w:p>
        </w:tc>
        <w:tc>
          <w:tcPr>
            <w:tcW w:w="1436" w:type="dxa"/>
            <w:tcBorders>
              <w:top w:val="nil"/>
              <w:left w:val="nil"/>
              <w:bottom w:val="nil"/>
              <w:right w:val="nil"/>
            </w:tcBorders>
            <w:shd w:val="clear" w:color="auto" w:fill="auto"/>
            <w:noWrap/>
            <w:vAlign w:val="bottom"/>
            <w:hideMark/>
          </w:tcPr>
          <w:p w14:paraId="76FD6D6F" w14:textId="77777777" w:rsidR="00783C9C" w:rsidRPr="00783C9C" w:rsidRDefault="00783C9C" w:rsidP="00783C9C">
            <w:pPr>
              <w:spacing w:after="0" w:line="240" w:lineRule="auto"/>
              <w:jc w:val="right"/>
              <w:rPr>
                <w:rFonts w:ascii="Calibri" w:eastAsia="Times New Roman" w:hAnsi="Calibri" w:cs="Calibri"/>
                <w:color w:val="000000"/>
                <w:lang w:eastAsia="en-GB"/>
              </w:rPr>
            </w:pPr>
            <w:r w:rsidRPr="00783C9C">
              <w:rPr>
                <w:rFonts w:ascii="Calibri" w:eastAsia="Times New Roman" w:hAnsi="Calibri" w:cs="Calibri"/>
                <w:color w:val="000000"/>
                <w:lang w:eastAsia="en-GB"/>
              </w:rPr>
              <w:t>0.049414121</w:t>
            </w:r>
          </w:p>
        </w:tc>
        <w:tc>
          <w:tcPr>
            <w:tcW w:w="1316" w:type="dxa"/>
            <w:tcBorders>
              <w:top w:val="nil"/>
              <w:left w:val="nil"/>
              <w:bottom w:val="nil"/>
              <w:right w:val="nil"/>
            </w:tcBorders>
            <w:shd w:val="clear" w:color="auto" w:fill="auto"/>
            <w:noWrap/>
            <w:vAlign w:val="bottom"/>
            <w:hideMark/>
          </w:tcPr>
          <w:p w14:paraId="735C2771"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30</w:t>
            </w:r>
          </w:p>
        </w:tc>
        <w:tc>
          <w:tcPr>
            <w:tcW w:w="1496" w:type="dxa"/>
            <w:tcBorders>
              <w:top w:val="nil"/>
              <w:left w:val="nil"/>
              <w:bottom w:val="nil"/>
              <w:right w:val="single" w:sz="4" w:space="0" w:color="auto"/>
            </w:tcBorders>
            <w:shd w:val="clear" w:color="auto" w:fill="auto"/>
            <w:noWrap/>
            <w:vAlign w:val="bottom"/>
            <w:hideMark/>
          </w:tcPr>
          <w:p w14:paraId="31621E73" w14:textId="77777777" w:rsidR="00783C9C" w:rsidRPr="00783C9C" w:rsidRDefault="00783C9C" w:rsidP="00783C9C">
            <w:pPr>
              <w:spacing w:after="0" w:line="240" w:lineRule="auto"/>
              <w:jc w:val="center"/>
              <w:rPr>
                <w:rFonts w:ascii="Calibri" w:eastAsia="Times New Roman" w:hAnsi="Calibri" w:cs="Calibri"/>
                <w:color w:val="000000"/>
                <w:lang w:eastAsia="en-GB"/>
              </w:rPr>
            </w:pPr>
          </w:p>
        </w:tc>
      </w:tr>
      <w:tr w:rsidR="00783C9C" w:rsidRPr="00783C9C" w14:paraId="61DF10E7" w14:textId="77777777" w:rsidTr="00C13572">
        <w:trPr>
          <w:trHeight w:val="294"/>
        </w:trPr>
        <w:tc>
          <w:tcPr>
            <w:tcW w:w="1656" w:type="dxa"/>
            <w:tcBorders>
              <w:top w:val="single" w:sz="4" w:space="0" w:color="auto"/>
              <w:left w:val="single" w:sz="4" w:space="0" w:color="auto"/>
              <w:bottom w:val="single" w:sz="8" w:space="0" w:color="auto"/>
              <w:right w:val="nil"/>
            </w:tcBorders>
            <w:shd w:val="clear" w:color="auto" w:fill="auto"/>
            <w:noWrap/>
            <w:vAlign w:val="bottom"/>
            <w:hideMark/>
          </w:tcPr>
          <w:p w14:paraId="042630A9" w14:textId="77777777" w:rsidR="00783C9C" w:rsidRPr="00783C9C" w:rsidRDefault="00783C9C" w:rsidP="00783C9C">
            <w:pPr>
              <w:spacing w:after="0" w:line="240" w:lineRule="auto"/>
              <w:rPr>
                <w:rFonts w:ascii="Calibri" w:eastAsia="Times New Roman" w:hAnsi="Calibri" w:cs="Calibri"/>
                <w:b/>
                <w:bCs/>
                <w:color w:val="000000"/>
                <w:lang w:eastAsia="en-GB"/>
              </w:rPr>
            </w:pPr>
            <w:r w:rsidRPr="00783C9C">
              <w:rPr>
                <w:rFonts w:ascii="Calibri" w:eastAsia="Times New Roman" w:hAnsi="Calibri" w:cs="Calibri"/>
                <w:b/>
                <w:bCs/>
                <w:color w:val="000000"/>
                <w:lang w:eastAsia="en-GB"/>
              </w:rPr>
              <w:t> </w:t>
            </w:r>
          </w:p>
        </w:tc>
        <w:tc>
          <w:tcPr>
            <w:tcW w:w="1416" w:type="dxa"/>
            <w:tcBorders>
              <w:top w:val="single" w:sz="4" w:space="0" w:color="auto"/>
              <w:left w:val="nil"/>
              <w:bottom w:val="single" w:sz="8" w:space="0" w:color="auto"/>
              <w:right w:val="nil"/>
            </w:tcBorders>
            <w:shd w:val="clear" w:color="auto" w:fill="auto"/>
            <w:noWrap/>
            <w:vAlign w:val="bottom"/>
            <w:hideMark/>
          </w:tcPr>
          <w:p w14:paraId="48257C1D" w14:textId="77777777" w:rsidR="00783C9C" w:rsidRPr="00783C9C" w:rsidRDefault="00783C9C" w:rsidP="00783C9C">
            <w:pPr>
              <w:spacing w:after="0" w:line="240" w:lineRule="auto"/>
              <w:rPr>
                <w:rFonts w:ascii="Calibri" w:eastAsia="Times New Roman" w:hAnsi="Calibri" w:cs="Calibri"/>
                <w:color w:val="000000"/>
                <w:lang w:eastAsia="en-GB"/>
              </w:rPr>
            </w:pPr>
            <w:r w:rsidRPr="00783C9C">
              <w:rPr>
                <w:rFonts w:ascii="Calibri" w:eastAsia="Times New Roman" w:hAnsi="Calibri" w:cs="Calibri"/>
                <w:color w:val="000000"/>
                <w:lang w:eastAsia="en-GB"/>
              </w:rPr>
              <w:t> </w:t>
            </w:r>
          </w:p>
        </w:tc>
        <w:tc>
          <w:tcPr>
            <w:tcW w:w="1900" w:type="dxa"/>
            <w:tcBorders>
              <w:top w:val="single" w:sz="4" w:space="0" w:color="auto"/>
              <w:left w:val="nil"/>
              <w:bottom w:val="single" w:sz="8" w:space="0" w:color="auto"/>
              <w:right w:val="nil"/>
            </w:tcBorders>
            <w:shd w:val="clear" w:color="auto" w:fill="auto"/>
            <w:noWrap/>
            <w:vAlign w:val="bottom"/>
            <w:hideMark/>
          </w:tcPr>
          <w:p w14:paraId="611751A1" w14:textId="1980638E" w:rsidR="00783C9C" w:rsidRPr="00783C9C" w:rsidRDefault="00783C9C" w:rsidP="00783C9C">
            <w:pPr>
              <w:spacing w:after="0" w:line="240" w:lineRule="auto"/>
              <w:rPr>
                <w:rFonts w:ascii="Calibri" w:eastAsia="Times New Roman" w:hAnsi="Calibri" w:cs="Calibri"/>
                <w:b/>
                <w:bCs/>
                <w:color w:val="000000"/>
                <w:lang w:eastAsia="en-GB"/>
              </w:rPr>
            </w:pPr>
            <w:r>
              <w:rPr>
                <w:rFonts w:ascii="Calibri" w:eastAsia="Times New Roman" w:hAnsi="Calibri" w:cs="Calibri"/>
                <w:b/>
                <w:bCs/>
                <w:color w:val="000000"/>
                <w:lang w:eastAsia="en-GB"/>
              </w:rPr>
              <w:t xml:space="preserve">             </w:t>
            </w:r>
            <w:r w:rsidRPr="00783C9C">
              <w:rPr>
                <w:rFonts w:ascii="Calibri" w:eastAsia="Times New Roman" w:hAnsi="Calibri" w:cs="Calibri"/>
                <w:b/>
                <w:bCs/>
                <w:color w:val="000000"/>
                <w:lang w:eastAsia="en-GB"/>
              </w:rPr>
              <w:t>ANOVA</w:t>
            </w:r>
          </w:p>
        </w:tc>
        <w:tc>
          <w:tcPr>
            <w:tcW w:w="1436" w:type="dxa"/>
            <w:tcBorders>
              <w:top w:val="single" w:sz="4" w:space="0" w:color="auto"/>
              <w:left w:val="nil"/>
              <w:bottom w:val="single" w:sz="8" w:space="0" w:color="auto"/>
              <w:right w:val="nil"/>
            </w:tcBorders>
            <w:shd w:val="clear" w:color="auto" w:fill="auto"/>
            <w:noWrap/>
            <w:vAlign w:val="bottom"/>
            <w:hideMark/>
          </w:tcPr>
          <w:p w14:paraId="56A3794F" w14:textId="77777777" w:rsidR="00783C9C" w:rsidRPr="00783C9C" w:rsidRDefault="00783C9C" w:rsidP="00783C9C">
            <w:pPr>
              <w:spacing w:after="0" w:line="240" w:lineRule="auto"/>
              <w:rPr>
                <w:rFonts w:ascii="Calibri" w:eastAsia="Times New Roman" w:hAnsi="Calibri" w:cs="Calibri"/>
                <w:color w:val="000000"/>
                <w:lang w:eastAsia="en-GB"/>
              </w:rPr>
            </w:pPr>
            <w:r w:rsidRPr="00783C9C">
              <w:rPr>
                <w:rFonts w:ascii="Calibri" w:eastAsia="Times New Roman" w:hAnsi="Calibri" w:cs="Calibri"/>
                <w:color w:val="000000"/>
                <w:lang w:eastAsia="en-GB"/>
              </w:rPr>
              <w:t> </w:t>
            </w:r>
          </w:p>
        </w:tc>
        <w:tc>
          <w:tcPr>
            <w:tcW w:w="1316" w:type="dxa"/>
            <w:tcBorders>
              <w:top w:val="single" w:sz="4" w:space="0" w:color="auto"/>
              <w:left w:val="nil"/>
              <w:bottom w:val="single" w:sz="8" w:space="0" w:color="auto"/>
              <w:right w:val="nil"/>
            </w:tcBorders>
            <w:shd w:val="clear" w:color="auto" w:fill="auto"/>
            <w:noWrap/>
            <w:vAlign w:val="bottom"/>
            <w:hideMark/>
          </w:tcPr>
          <w:p w14:paraId="5871B426" w14:textId="77777777" w:rsidR="00783C9C" w:rsidRPr="00783C9C" w:rsidRDefault="00783C9C" w:rsidP="00783C9C">
            <w:pPr>
              <w:spacing w:after="0" w:line="240" w:lineRule="auto"/>
              <w:rPr>
                <w:rFonts w:ascii="Calibri" w:eastAsia="Times New Roman" w:hAnsi="Calibri" w:cs="Calibri"/>
                <w:color w:val="000000"/>
                <w:lang w:eastAsia="en-GB"/>
              </w:rPr>
            </w:pPr>
            <w:r w:rsidRPr="00783C9C">
              <w:rPr>
                <w:rFonts w:ascii="Calibri" w:eastAsia="Times New Roman" w:hAnsi="Calibri" w:cs="Calibri"/>
                <w:color w:val="000000"/>
                <w:lang w:eastAsia="en-GB"/>
              </w:rPr>
              <w:t> </w:t>
            </w:r>
          </w:p>
        </w:tc>
        <w:tc>
          <w:tcPr>
            <w:tcW w:w="1496" w:type="dxa"/>
            <w:tcBorders>
              <w:top w:val="single" w:sz="4" w:space="0" w:color="auto"/>
              <w:left w:val="nil"/>
              <w:bottom w:val="single" w:sz="8" w:space="0" w:color="auto"/>
              <w:right w:val="single" w:sz="4" w:space="0" w:color="auto"/>
            </w:tcBorders>
            <w:shd w:val="clear" w:color="auto" w:fill="auto"/>
            <w:noWrap/>
            <w:vAlign w:val="bottom"/>
            <w:hideMark/>
          </w:tcPr>
          <w:p w14:paraId="1D18F797" w14:textId="77777777" w:rsidR="00783C9C" w:rsidRPr="00783C9C" w:rsidRDefault="00783C9C" w:rsidP="00783C9C">
            <w:pPr>
              <w:spacing w:after="0" w:line="240" w:lineRule="auto"/>
              <w:rPr>
                <w:rFonts w:ascii="Calibri" w:eastAsia="Times New Roman" w:hAnsi="Calibri" w:cs="Calibri"/>
                <w:color w:val="000000"/>
                <w:lang w:eastAsia="en-GB"/>
              </w:rPr>
            </w:pPr>
            <w:r w:rsidRPr="00783C9C">
              <w:rPr>
                <w:rFonts w:ascii="Calibri" w:eastAsia="Times New Roman" w:hAnsi="Calibri" w:cs="Calibri"/>
                <w:color w:val="000000"/>
                <w:lang w:eastAsia="en-GB"/>
              </w:rPr>
              <w:t> </w:t>
            </w:r>
          </w:p>
        </w:tc>
      </w:tr>
      <w:tr w:rsidR="00783C9C" w:rsidRPr="00783C9C" w14:paraId="0ED6230A" w14:textId="77777777" w:rsidTr="00C13572">
        <w:trPr>
          <w:trHeight w:val="288"/>
        </w:trPr>
        <w:tc>
          <w:tcPr>
            <w:tcW w:w="1656" w:type="dxa"/>
            <w:tcBorders>
              <w:top w:val="nil"/>
              <w:left w:val="single" w:sz="4" w:space="0" w:color="auto"/>
              <w:bottom w:val="single" w:sz="4" w:space="0" w:color="auto"/>
              <w:right w:val="nil"/>
            </w:tcBorders>
            <w:shd w:val="clear" w:color="auto" w:fill="auto"/>
            <w:noWrap/>
            <w:vAlign w:val="bottom"/>
            <w:hideMark/>
          </w:tcPr>
          <w:p w14:paraId="45985ED6" w14:textId="77777777" w:rsidR="00783C9C" w:rsidRPr="00783C9C" w:rsidRDefault="00783C9C" w:rsidP="00783C9C">
            <w:pPr>
              <w:spacing w:after="0" w:line="240" w:lineRule="auto"/>
              <w:jc w:val="center"/>
              <w:rPr>
                <w:rFonts w:ascii="Calibri" w:eastAsia="Times New Roman" w:hAnsi="Calibri" w:cs="Calibri"/>
                <w:i/>
                <w:iCs/>
                <w:color w:val="000000"/>
                <w:lang w:eastAsia="en-GB"/>
              </w:rPr>
            </w:pPr>
            <w:r w:rsidRPr="00783C9C">
              <w:rPr>
                <w:rFonts w:ascii="Calibri" w:eastAsia="Times New Roman" w:hAnsi="Calibri" w:cs="Calibri"/>
                <w:i/>
                <w:iCs/>
                <w:color w:val="000000"/>
                <w:lang w:eastAsia="en-GB"/>
              </w:rPr>
              <w:t> </w:t>
            </w:r>
          </w:p>
        </w:tc>
        <w:tc>
          <w:tcPr>
            <w:tcW w:w="1416" w:type="dxa"/>
            <w:tcBorders>
              <w:top w:val="nil"/>
              <w:left w:val="nil"/>
              <w:bottom w:val="single" w:sz="4" w:space="0" w:color="auto"/>
              <w:right w:val="nil"/>
            </w:tcBorders>
            <w:shd w:val="clear" w:color="auto" w:fill="auto"/>
            <w:noWrap/>
            <w:vAlign w:val="center"/>
            <w:hideMark/>
          </w:tcPr>
          <w:p w14:paraId="017B0752" w14:textId="77777777" w:rsidR="00783C9C" w:rsidRPr="00783C9C" w:rsidRDefault="00783C9C" w:rsidP="00783C9C">
            <w:pPr>
              <w:spacing w:after="0" w:line="240" w:lineRule="auto"/>
              <w:jc w:val="center"/>
              <w:rPr>
                <w:rFonts w:ascii="Calibri" w:eastAsia="Times New Roman" w:hAnsi="Calibri" w:cs="Calibri"/>
                <w:i/>
                <w:iCs/>
                <w:color w:val="000000"/>
                <w:lang w:eastAsia="en-GB"/>
              </w:rPr>
            </w:pPr>
            <w:r w:rsidRPr="00783C9C">
              <w:rPr>
                <w:rFonts w:ascii="Calibri" w:eastAsia="Times New Roman" w:hAnsi="Calibri" w:cs="Calibri"/>
                <w:i/>
                <w:iCs/>
                <w:color w:val="000000"/>
                <w:lang w:eastAsia="en-GB"/>
              </w:rPr>
              <w:t>df</w:t>
            </w:r>
          </w:p>
        </w:tc>
        <w:tc>
          <w:tcPr>
            <w:tcW w:w="1900" w:type="dxa"/>
            <w:tcBorders>
              <w:top w:val="nil"/>
              <w:left w:val="nil"/>
              <w:bottom w:val="single" w:sz="4" w:space="0" w:color="auto"/>
              <w:right w:val="nil"/>
            </w:tcBorders>
            <w:shd w:val="clear" w:color="auto" w:fill="auto"/>
            <w:noWrap/>
            <w:vAlign w:val="center"/>
            <w:hideMark/>
          </w:tcPr>
          <w:p w14:paraId="67D48484" w14:textId="77777777" w:rsidR="00783C9C" w:rsidRPr="00783C9C" w:rsidRDefault="00783C9C" w:rsidP="00783C9C">
            <w:pPr>
              <w:spacing w:after="0" w:line="240" w:lineRule="auto"/>
              <w:jc w:val="center"/>
              <w:rPr>
                <w:rFonts w:ascii="Calibri" w:eastAsia="Times New Roman" w:hAnsi="Calibri" w:cs="Calibri"/>
                <w:i/>
                <w:iCs/>
                <w:color w:val="000000"/>
                <w:lang w:eastAsia="en-GB"/>
              </w:rPr>
            </w:pPr>
            <w:r w:rsidRPr="00783C9C">
              <w:rPr>
                <w:rFonts w:ascii="Calibri" w:eastAsia="Times New Roman" w:hAnsi="Calibri" w:cs="Calibri"/>
                <w:i/>
                <w:iCs/>
                <w:color w:val="000000"/>
                <w:lang w:eastAsia="en-GB"/>
              </w:rPr>
              <w:t>SS</w:t>
            </w:r>
          </w:p>
        </w:tc>
        <w:tc>
          <w:tcPr>
            <w:tcW w:w="1436" w:type="dxa"/>
            <w:tcBorders>
              <w:top w:val="nil"/>
              <w:left w:val="nil"/>
              <w:bottom w:val="single" w:sz="4" w:space="0" w:color="auto"/>
              <w:right w:val="nil"/>
            </w:tcBorders>
            <w:shd w:val="clear" w:color="auto" w:fill="auto"/>
            <w:noWrap/>
            <w:vAlign w:val="center"/>
            <w:hideMark/>
          </w:tcPr>
          <w:p w14:paraId="5EECB0D7" w14:textId="77777777" w:rsidR="00783C9C" w:rsidRPr="00783C9C" w:rsidRDefault="00783C9C" w:rsidP="00783C9C">
            <w:pPr>
              <w:spacing w:after="0" w:line="240" w:lineRule="auto"/>
              <w:jc w:val="center"/>
              <w:rPr>
                <w:rFonts w:ascii="Calibri" w:eastAsia="Times New Roman" w:hAnsi="Calibri" w:cs="Calibri"/>
                <w:i/>
                <w:iCs/>
                <w:color w:val="000000"/>
                <w:lang w:eastAsia="en-GB"/>
              </w:rPr>
            </w:pPr>
            <w:r w:rsidRPr="00783C9C">
              <w:rPr>
                <w:rFonts w:ascii="Calibri" w:eastAsia="Times New Roman" w:hAnsi="Calibri" w:cs="Calibri"/>
                <w:i/>
                <w:iCs/>
                <w:color w:val="000000"/>
                <w:lang w:eastAsia="en-GB"/>
              </w:rPr>
              <w:t>MS</w:t>
            </w:r>
          </w:p>
        </w:tc>
        <w:tc>
          <w:tcPr>
            <w:tcW w:w="1316" w:type="dxa"/>
            <w:tcBorders>
              <w:top w:val="nil"/>
              <w:left w:val="nil"/>
              <w:bottom w:val="single" w:sz="4" w:space="0" w:color="auto"/>
              <w:right w:val="nil"/>
            </w:tcBorders>
            <w:shd w:val="clear" w:color="auto" w:fill="auto"/>
            <w:noWrap/>
            <w:vAlign w:val="center"/>
            <w:hideMark/>
          </w:tcPr>
          <w:p w14:paraId="39491B32" w14:textId="77777777" w:rsidR="00783C9C" w:rsidRPr="00783C9C" w:rsidRDefault="00783C9C" w:rsidP="00783C9C">
            <w:pPr>
              <w:spacing w:after="0" w:line="240" w:lineRule="auto"/>
              <w:jc w:val="center"/>
              <w:rPr>
                <w:rFonts w:ascii="Calibri" w:eastAsia="Times New Roman" w:hAnsi="Calibri" w:cs="Calibri"/>
                <w:i/>
                <w:iCs/>
                <w:color w:val="000000"/>
                <w:lang w:eastAsia="en-GB"/>
              </w:rPr>
            </w:pPr>
            <w:r w:rsidRPr="00783C9C">
              <w:rPr>
                <w:rFonts w:ascii="Calibri" w:eastAsia="Times New Roman" w:hAnsi="Calibri" w:cs="Calibri"/>
                <w:i/>
                <w:iCs/>
                <w:color w:val="000000"/>
                <w:lang w:eastAsia="en-GB"/>
              </w:rPr>
              <w:t>F</w:t>
            </w:r>
          </w:p>
        </w:tc>
        <w:tc>
          <w:tcPr>
            <w:tcW w:w="1496" w:type="dxa"/>
            <w:tcBorders>
              <w:top w:val="nil"/>
              <w:left w:val="nil"/>
              <w:bottom w:val="single" w:sz="4" w:space="0" w:color="auto"/>
              <w:right w:val="single" w:sz="4" w:space="0" w:color="auto"/>
            </w:tcBorders>
            <w:shd w:val="clear" w:color="auto" w:fill="auto"/>
            <w:noWrap/>
            <w:vAlign w:val="center"/>
            <w:hideMark/>
          </w:tcPr>
          <w:p w14:paraId="44A52701" w14:textId="77777777" w:rsidR="00783C9C" w:rsidRPr="00783C9C" w:rsidRDefault="00783C9C" w:rsidP="00783C9C">
            <w:pPr>
              <w:spacing w:after="0" w:line="240" w:lineRule="auto"/>
              <w:jc w:val="center"/>
              <w:rPr>
                <w:rFonts w:ascii="Calibri" w:eastAsia="Times New Roman" w:hAnsi="Calibri" w:cs="Calibri"/>
                <w:i/>
                <w:iCs/>
                <w:color w:val="000000"/>
                <w:lang w:eastAsia="en-GB"/>
              </w:rPr>
            </w:pPr>
            <w:r w:rsidRPr="00783C9C">
              <w:rPr>
                <w:rFonts w:ascii="Calibri" w:eastAsia="Times New Roman" w:hAnsi="Calibri" w:cs="Calibri"/>
                <w:i/>
                <w:iCs/>
                <w:color w:val="000000"/>
                <w:lang w:eastAsia="en-GB"/>
              </w:rPr>
              <w:t>Significance F</w:t>
            </w:r>
          </w:p>
        </w:tc>
      </w:tr>
      <w:tr w:rsidR="00783C9C" w:rsidRPr="00783C9C" w14:paraId="212D03ED" w14:textId="77777777" w:rsidTr="00C13572">
        <w:trPr>
          <w:trHeight w:val="288"/>
        </w:trPr>
        <w:tc>
          <w:tcPr>
            <w:tcW w:w="1656" w:type="dxa"/>
            <w:tcBorders>
              <w:top w:val="nil"/>
              <w:left w:val="single" w:sz="4" w:space="0" w:color="auto"/>
              <w:bottom w:val="nil"/>
              <w:right w:val="nil"/>
            </w:tcBorders>
            <w:shd w:val="clear" w:color="auto" w:fill="auto"/>
            <w:noWrap/>
            <w:vAlign w:val="bottom"/>
            <w:hideMark/>
          </w:tcPr>
          <w:p w14:paraId="480AE9A9" w14:textId="77777777" w:rsidR="00783C9C" w:rsidRPr="00783C9C" w:rsidRDefault="00783C9C" w:rsidP="00783C9C">
            <w:pPr>
              <w:spacing w:after="0" w:line="240" w:lineRule="auto"/>
              <w:rPr>
                <w:rFonts w:ascii="Calibri" w:eastAsia="Times New Roman" w:hAnsi="Calibri" w:cs="Calibri"/>
                <w:color w:val="000000"/>
                <w:lang w:eastAsia="en-GB"/>
              </w:rPr>
            </w:pPr>
            <w:r w:rsidRPr="00783C9C">
              <w:rPr>
                <w:rFonts w:ascii="Calibri" w:eastAsia="Times New Roman" w:hAnsi="Calibri" w:cs="Calibri"/>
                <w:color w:val="000000"/>
                <w:lang w:eastAsia="en-GB"/>
              </w:rPr>
              <w:t>Regression</w:t>
            </w:r>
          </w:p>
        </w:tc>
        <w:tc>
          <w:tcPr>
            <w:tcW w:w="1416" w:type="dxa"/>
            <w:tcBorders>
              <w:top w:val="nil"/>
              <w:left w:val="nil"/>
              <w:bottom w:val="nil"/>
              <w:right w:val="nil"/>
            </w:tcBorders>
            <w:shd w:val="clear" w:color="auto" w:fill="auto"/>
            <w:noWrap/>
            <w:vAlign w:val="center"/>
            <w:hideMark/>
          </w:tcPr>
          <w:p w14:paraId="65B2C69E"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4</w:t>
            </w:r>
          </w:p>
        </w:tc>
        <w:tc>
          <w:tcPr>
            <w:tcW w:w="1900" w:type="dxa"/>
            <w:tcBorders>
              <w:top w:val="nil"/>
              <w:left w:val="nil"/>
              <w:bottom w:val="nil"/>
              <w:right w:val="nil"/>
            </w:tcBorders>
            <w:shd w:val="clear" w:color="auto" w:fill="auto"/>
            <w:noWrap/>
            <w:vAlign w:val="bottom"/>
            <w:hideMark/>
          </w:tcPr>
          <w:p w14:paraId="167A8D84" w14:textId="77777777" w:rsidR="00783C9C" w:rsidRPr="00783C9C" w:rsidRDefault="00783C9C" w:rsidP="00783C9C">
            <w:pPr>
              <w:spacing w:after="0" w:line="240" w:lineRule="auto"/>
              <w:jc w:val="right"/>
              <w:rPr>
                <w:rFonts w:ascii="Calibri" w:eastAsia="Times New Roman" w:hAnsi="Calibri" w:cs="Calibri"/>
                <w:color w:val="000000"/>
                <w:lang w:eastAsia="en-GB"/>
              </w:rPr>
            </w:pPr>
            <w:r w:rsidRPr="00783C9C">
              <w:rPr>
                <w:rFonts w:ascii="Calibri" w:eastAsia="Times New Roman" w:hAnsi="Calibri" w:cs="Calibri"/>
                <w:color w:val="000000"/>
                <w:lang w:eastAsia="en-GB"/>
              </w:rPr>
              <w:t>0.059776912</w:t>
            </w:r>
          </w:p>
        </w:tc>
        <w:tc>
          <w:tcPr>
            <w:tcW w:w="1436" w:type="dxa"/>
            <w:tcBorders>
              <w:top w:val="nil"/>
              <w:left w:val="nil"/>
              <w:bottom w:val="nil"/>
              <w:right w:val="nil"/>
            </w:tcBorders>
            <w:shd w:val="clear" w:color="auto" w:fill="auto"/>
            <w:noWrap/>
            <w:vAlign w:val="bottom"/>
            <w:hideMark/>
          </w:tcPr>
          <w:p w14:paraId="7693CCED" w14:textId="77777777" w:rsidR="00783C9C" w:rsidRPr="00783C9C" w:rsidRDefault="00783C9C" w:rsidP="00783C9C">
            <w:pPr>
              <w:spacing w:after="0" w:line="240" w:lineRule="auto"/>
              <w:jc w:val="right"/>
              <w:rPr>
                <w:rFonts w:ascii="Calibri" w:eastAsia="Times New Roman" w:hAnsi="Calibri" w:cs="Calibri"/>
                <w:color w:val="000000"/>
                <w:lang w:eastAsia="en-GB"/>
              </w:rPr>
            </w:pPr>
            <w:r w:rsidRPr="00783C9C">
              <w:rPr>
                <w:rFonts w:ascii="Calibri" w:eastAsia="Times New Roman" w:hAnsi="Calibri" w:cs="Calibri"/>
                <w:color w:val="000000"/>
                <w:lang w:eastAsia="en-GB"/>
              </w:rPr>
              <w:t>0.014944228</w:t>
            </w:r>
          </w:p>
        </w:tc>
        <w:tc>
          <w:tcPr>
            <w:tcW w:w="1316" w:type="dxa"/>
            <w:tcBorders>
              <w:top w:val="nil"/>
              <w:left w:val="nil"/>
              <w:bottom w:val="nil"/>
              <w:right w:val="nil"/>
            </w:tcBorders>
            <w:shd w:val="clear" w:color="auto" w:fill="auto"/>
            <w:noWrap/>
            <w:vAlign w:val="bottom"/>
            <w:hideMark/>
          </w:tcPr>
          <w:p w14:paraId="1F29A758" w14:textId="77777777" w:rsidR="00783C9C" w:rsidRPr="00783C9C" w:rsidRDefault="00783C9C" w:rsidP="00783C9C">
            <w:pPr>
              <w:spacing w:after="0" w:line="240" w:lineRule="auto"/>
              <w:jc w:val="right"/>
              <w:rPr>
                <w:rFonts w:ascii="Calibri" w:eastAsia="Times New Roman" w:hAnsi="Calibri" w:cs="Calibri"/>
                <w:color w:val="000000"/>
                <w:lang w:eastAsia="en-GB"/>
              </w:rPr>
            </w:pPr>
            <w:r w:rsidRPr="00783C9C">
              <w:rPr>
                <w:rFonts w:ascii="Calibri" w:eastAsia="Times New Roman" w:hAnsi="Calibri" w:cs="Calibri"/>
                <w:color w:val="000000"/>
                <w:lang w:eastAsia="en-GB"/>
              </w:rPr>
              <w:t>6.12028069</w:t>
            </w:r>
          </w:p>
        </w:tc>
        <w:tc>
          <w:tcPr>
            <w:tcW w:w="1496" w:type="dxa"/>
            <w:tcBorders>
              <w:top w:val="nil"/>
              <w:left w:val="nil"/>
              <w:bottom w:val="nil"/>
              <w:right w:val="single" w:sz="4" w:space="0" w:color="auto"/>
            </w:tcBorders>
            <w:shd w:val="clear" w:color="auto" w:fill="auto"/>
            <w:noWrap/>
            <w:vAlign w:val="bottom"/>
            <w:hideMark/>
          </w:tcPr>
          <w:p w14:paraId="1C05AF91" w14:textId="77777777" w:rsidR="00783C9C" w:rsidRPr="00783C9C" w:rsidRDefault="00783C9C" w:rsidP="00783C9C">
            <w:pPr>
              <w:spacing w:after="0" w:line="240" w:lineRule="auto"/>
              <w:jc w:val="right"/>
              <w:rPr>
                <w:rFonts w:ascii="Calibri" w:eastAsia="Times New Roman" w:hAnsi="Calibri" w:cs="Calibri"/>
                <w:color w:val="000000"/>
                <w:lang w:eastAsia="en-GB"/>
              </w:rPr>
            </w:pPr>
            <w:r w:rsidRPr="00783C9C">
              <w:rPr>
                <w:rFonts w:ascii="Calibri" w:eastAsia="Times New Roman" w:hAnsi="Calibri" w:cs="Calibri"/>
                <w:color w:val="000000"/>
                <w:lang w:eastAsia="en-GB"/>
              </w:rPr>
              <w:t>0.001413025</w:t>
            </w:r>
          </w:p>
        </w:tc>
      </w:tr>
      <w:tr w:rsidR="00783C9C" w:rsidRPr="00783C9C" w14:paraId="21C04CC3" w14:textId="77777777" w:rsidTr="00C13572">
        <w:trPr>
          <w:trHeight w:val="294"/>
        </w:trPr>
        <w:tc>
          <w:tcPr>
            <w:tcW w:w="1656" w:type="dxa"/>
            <w:tcBorders>
              <w:top w:val="nil"/>
              <w:left w:val="single" w:sz="4" w:space="0" w:color="auto"/>
              <w:bottom w:val="nil"/>
              <w:right w:val="nil"/>
            </w:tcBorders>
            <w:shd w:val="clear" w:color="auto" w:fill="auto"/>
            <w:noWrap/>
            <w:vAlign w:val="bottom"/>
            <w:hideMark/>
          </w:tcPr>
          <w:p w14:paraId="56FC620E" w14:textId="77777777" w:rsidR="00783C9C" w:rsidRPr="00783C9C" w:rsidRDefault="00783C9C" w:rsidP="00783C9C">
            <w:pPr>
              <w:spacing w:after="0" w:line="240" w:lineRule="auto"/>
              <w:rPr>
                <w:rFonts w:ascii="Calibri" w:eastAsia="Times New Roman" w:hAnsi="Calibri" w:cs="Calibri"/>
                <w:color w:val="000000"/>
                <w:lang w:eastAsia="en-GB"/>
              </w:rPr>
            </w:pPr>
            <w:r w:rsidRPr="00783C9C">
              <w:rPr>
                <w:rFonts w:ascii="Calibri" w:eastAsia="Times New Roman" w:hAnsi="Calibri" w:cs="Calibri"/>
                <w:color w:val="000000"/>
                <w:lang w:eastAsia="en-GB"/>
              </w:rPr>
              <w:t>Residual</w:t>
            </w:r>
          </w:p>
        </w:tc>
        <w:tc>
          <w:tcPr>
            <w:tcW w:w="1416" w:type="dxa"/>
            <w:tcBorders>
              <w:top w:val="nil"/>
              <w:left w:val="nil"/>
              <w:bottom w:val="nil"/>
              <w:right w:val="nil"/>
            </w:tcBorders>
            <w:shd w:val="clear" w:color="auto" w:fill="auto"/>
            <w:noWrap/>
            <w:vAlign w:val="center"/>
            <w:hideMark/>
          </w:tcPr>
          <w:p w14:paraId="2B4A8D73"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25</w:t>
            </w:r>
          </w:p>
        </w:tc>
        <w:tc>
          <w:tcPr>
            <w:tcW w:w="1900" w:type="dxa"/>
            <w:tcBorders>
              <w:top w:val="nil"/>
              <w:left w:val="nil"/>
              <w:bottom w:val="nil"/>
              <w:right w:val="nil"/>
            </w:tcBorders>
            <w:shd w:val="clear" w:color="auto" w:fill="auto"/>
            <w:noWrap/>
            <w:vAlign w:val="bottom"/>
            <w:hideMark/>
          </w:tcPr>
          <w:p w14:paraId="662150DD" w14:textId="77777777" w:rsidR="00783C9C" w:rsidRPr="00783C9C" w:rsidRDefault="00783C9C" w:rsidP="00783C9C">
            <w:pPr>
              <w:spacing w:after="0" w:line="240" w:lineRule="auto"/>
              <w:jc w:val="right"/>
              <w:rPr>
                <w:rFonts w:ascii="Calibri" w:eastAsia="Times New Roman" w:hAnsi="Calibri" w:cs="Calibri"/>
                <w:color w:val="000000"/>
                <w:lang w:eastAsia="en-GB"/>
              </w:rPr>
            </w:pPr>
            <w:r w:rsidRPr="00783C9C">
              <w:rPr>
                <w:rFonts w:ascii="Calibri" w:eastAsia="Times New Roman" w:hAnsi="Calibri" w:cs="Calibri"/>
                <w:color w:val="000000"/>
                <w:lang w:eastAsia="en-GB"/>
              </w:rPr>
              <w:t>0.061043883</w:t>
            </w:r>
          </w:p>
        </w:tc>
        <w:tc>
          <w:tcPr>
            <w:tcW w:w="1436" w:type="dxa"/>
            <w:tcBorders>
              <w:top w:val="nil"/>
              <w:left w:val="nil"/>
              <w:bottom w:val="nil"/>
              <w:right w:val="nil"/>
            </w:tcBorders>
            <w:shd w:val="clear" w:color="auto" w:fill="auto"/>
            <w:noWrap/>
            <w:vAlign w:val="bottom"/>
            <w:hideMark/>
          </w:tcPr>
          <w:p w14:paraId="27281131" w14:textId="77777777" w:rsidR="00783C9C" w:rsidRPr="00783C9C" w:rsidRDefault="00783C9C" w:rsidP="00783C9C">
            <w:pPr>
              <w:spacing w:after="0" w:line="240" w:lineRule="auto"/>
              <w:jc w:val="right"/>
              <w:rPr>
                <w:rFonts w:ascii="Calibri" w:eastAsia="Times New Roman" w:hAnsi="Calibri" w:cs="Calibri"/>
                <w:color w:val="000000"/>
                <w:lang w:eastAsia="en-GB"/>
              </w:rPr>
            </w:pPr>
            <w:r w:rsidRPr="00783C9C">
              <w:rPr>
                <w:rFonts w:ascii="Calibri" w:eastAsia="Times New Roman" w:hAnsi="Calibri" w:cs="Calibri"/>
                <w:color w:val="000000"/>
                <w:lang w:eastAsia="en-GB"/>
              </w:rPr>
              <w:t>0.002441755</w:t>
            </w:r>
          </w:p>
        </w:tc>
        <w:tc>
          <w:tcPr>
            <w:tcW w:w="1316" w:type="dxa"/>
            <w:tcBorders>
              <w:top w:val="nil"/>
              <w:left w:val="nil"/>
              <w:bottom w:val="nil"/>
              <w:right w:val="nil"/>
            </w:tcBorders>
            <w:shd w:val="clear" w:color="auto" w:fill="auto"/>
            <w:noWrap/>
            <w:vAlign w:val="center"/>
            <w:hideMark/>
          </w:tcPr>
          <w:p w14:paraId="472855A6" w14:textId="77777777" w:rsidR="00783C9C" w:rsidRPr="00783C9C" w:rsidRDefault="00783C9C" w:rsidP="00783C9C">
            <w:pPr>
              <w:spacing w:after="0" w:line="240" w:lineRule="auto"/>
              <w:jc w:val="right"/>
              <w:rPr>
                <w:rFonts w:ascii="Calibri" w:eastAsia="Times New Roman" w:hAnsi="Calibri" w:cs="Calibri"/>
                <w:color w:val="000000"/>
                <w:lang w:eastAsia="en-GB"/>
              </w:rPr>
            </w:pPr>
          </w:p>
        </w:tc>
        <w:tc>
          <w:tcPr>
            <w:tcW w:w="1496" w:type="dxa"/>
            <w:tcBorders>
              <w:top w:val="nil"/>
              <w:left w:val="nil"/>
              <w:bottom w:val="nil"/>
              <w:right w:val="single" w:sz="4" w:space="0" w:color="auto"/>
            </w:tcBorders>
            <w:shd w:val="clear" w:color="auto" w:fill="auto"/>
            <w:noWrap/>
            <w:vAlign w:val="center"/>
            <w:hideMark/>
          </w:tcPr>
          <w:p w14:paraId="716A9AC4" w14:textId="77777777" w:rsidR="00783C9C" w:rsidRPr="00783C9C" w:rsidRDefault="00783C9C" w:rsidP="00783C9C">
            <w:pPr>
              <w:spacing w:after="0" w:line="240" w:lineRule="auto"/>
              <w:jc w:val="center"/>
              <w:rPr>
                <w:rFonts w:ascii="Times New Roman" w:eastAsia="Times New Roman" w:hAnsi="Times New Roman" w:cs="Times New Roman"/>
                <w:sz w:val="20"/>
                <w:szCs w:val="20"/>
                <w:lang w:eastAsia="en-GB"/>
              </w:rPr>
            </w:pPr>
          </w:p>
        </w:tc>
      </w:tr>
      <w:tr w:rsidR="00783C9C" w:rsidRPr="00783C9C" w14:paraId="211ED1DD" w14:textId="77777777" w:rsidTr="00C13572">
        <w:trPr>
          <w:trHeight w:val="294"/>
        </w:trPr>
        <w:tc>
          <w:tcPr>
            <w:tcW w:w="1656" w:type="dxa"/>
            <w:tcBorders>
              <w:top w:val="nil"/>
              <w:left w:val="single" w:sz="4" w:space="0" w:color="auto"/>
              <w:bottom w:val="single" w:sz="4" w:space="0" w:color="auto"/>
              <w:right w:val="nil"/>
            </w:tcBorders>
            <w:shd w:val="clear" w:color="auto" w:fill="auto"/>
            <w:noWrap/>
            <w:vAlign w:val="bottom"/>
            <w:hideMark/>
          </w:tcPr>
          <w:p w14:paraId="694D9C8B" w14:textId="77777777" w:rsidR="00783C9C" w:rsidRPr="00783C9C" w:rsidRDefault="00783C9C" w:rsidP="00783C9C">
            <w:pPr>
              <w:spacing w:after="0" w:line="240" w:lineRule="auto"/>
              <w:rPr>
                <w:rFonts w:ascii="Calibri" w:eastAsia="Times New Roman" w:hAnsi="Calibri" w:cs="Calibri"/>
                <w:color w:val="000000"/>
                <w:lang w:eastAsia="en-GB"/>
              </w:rPr>
            </w:pPr>
            <w:r w:rsidRPr="00783C9C">
              <w:rPr>
                <w:rFonts w:ascii="Calibri" w:eastAsia="Times New Roman" w:hAnsi="Calibri" w:cs="Calibri"/>
                <w:color w:val="000000"/>
                <w:lang w:eastAsia="en-GB"/>
              </w:rPr>
              <w:t>Total</w:t>
            </w:r>
          </w:p>
        </w:tc>
        <w:tc>
          <w:tcPr>
            <w:tcW w:w="1416" w:type="dxa"/>
            <w:tcBorders>
              <w:top w:val="nil"/>
              <w:left w:val="nil"/>
              <w:bottom w:val="single" w:sz="4" w:space="0" w:color="auto"/>
              <w:right w:val="nil"/>
            </w:tcBorders>
            <w:shd w:val="clear" w:color="auto" w:fill="auto"/>
            <w:noWrap/>
            <w:vAlign w:val="center"/>
            <w:hideMark/>
          </w:tcPr>
          <w:p w14:paraId="617B7A2E"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29</w:t>
            </w:r>
          </w:p>
        </w:tc>
        <w:tc>
          <w:tcPr>
            <w:tcW w:w="1900" w:type="dxa"/>
            <w:tcBorders>
              <w:top w:val="nil"/>
              <w:left w:val="nil"/>
              <w:bottom w:val="single" w:sz="4" w:space="0" w:color="auto"/>
              <w:right w:val="nil"/>
            </w:tcBorders>
            <w:shd w:val="clear" w:color="auto" w:fill="auto"/>
            <w:noWrap/>
            <w:vAlign w:val="bottom"/>
            <w:hideMark/>
          </w:tcPr>
          <w:p w14:paraId="590B0FF3" w14:textId="77777777" w:rsidR="00783C9C" w:rsidRPr="00783C9C" w:rsidRDefault="00783C9C" w:rsidP="00783C9C">
            <w:pPr>
              <w:spacing w:after="0" w:line="240" w:lineRule="auto"/>
              <w:jc w:val="right"/>
              <w:rPr>
                <w:rFonts w:ascii="Calibri" w:eastAsia="Times New Roman" w:hAnsi="Calibri" w:cs="Calibri"/>
                <w:color w:val="000000"/>
                <w:lang w:eastAsia="en-GB"/>
              </w:rPr>
            </w:pPr>
            <w:r w:rsidRPr="00783C9C">
              <w:rPr>
                <w:rFonts w:ascii="Calibri" w:eastAsia="Times New Roman" w:hAnsi="Calibri" w:cs="Calibri"/>
                <w:color w:val="000000"/>
                <w:lang w:eastAsia="en-GB"/>
              </w:rPr>
              <w:t>0.120820795</w:t>
            </w:r>
          </w:p>
        </w:tc>
        <w:tc>
          <w:tcPr>
            <w:tcW w:w="1436" w:type="dxa"/>
            <w:tcBorders>
              <w:top w:val="nil"/>
              <w:left w:val="nil"/>
              <w:bottom w:val="single" w:sz="4" w:space="0" w:color="auto"/>
              <w:right w:val="nil"/>
            </w:tcBorders>
            <w:shd w:val="clear" w:color="auto" w:fill="auto"/>
            <w:noWrap/>
            <w:vAlign w:val="center"/>
            <w:hideMark/>
          </w:tcPr>
          <w:p w14:paraId="186FC3EF"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 </w:t>
            </w:r>
          </w:p>
        </w:tc>
        <w:tc>
          <w:tcPr>
            <w:tcW w:w="1316" w:type="dxa"/>
            <w:tcBorders>
              <w:top w:val="nil"/>
              <w:left w:val="nil"/>
              <w:bottom w:val="single" w:sz="4" w:space="0" w:color="auto"/>
              <w:right w:val="nil"/>
            </w:tcBorders>
            <w:shd w:val="clear" w:color="auto" w:fill="auto"/>
            <w:noWrap/>
            <w:vAlign w:val="center"/>
            <w:hideMark/>
          </w:tcPr>
          <w:p w14:paraId="12BC5575"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 </w:t>
            </w:r>
          </w:p>
        </w:tc>
        <w:tc>
          <w:tcPr>
            <w:tcW w:w="1496" w:type="dxa"/>
            <w:tcBorders>
              <w:top w:val="nil"/>
              <w:left w:val="nil"/>
              <w:bottom w:val="single" w:sz="4" w:space="0" w:color="auto"/>
              <w:right w:val="single" w:sz="4" w:space="0" w:color="auto"/>
            </w:tcBorders>
            <w:shd w:val="clear" w:color="auto" w:fill="auto"/>
            <w:noWrap/>
            <w:vAlign w:val="center"/>
            <w:hideMark/>
          </w:tcPr>
          <w:p w14:paraId="5E2734BB"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 </w:t>
            </w:r>
          </w:p>
        </w:tc>
      </w:tr>
    </w:tbl>
    <w:p w14:paraId="5FE2142E" w14:textId="521DD32B" w:rsidR="00783C9C" w:rsidRDefault="00C13572" w:rsidP="00C13572">
      <w:pPr>
        <w:spacing w:line="254" w:lineRule="auto"/>
        <w:jc w:val="center"/>
      </w:pPr>
      <w:r>
        <w:t xml:space="preserve">Table Four: Regression Statistic and ANOVA Test of the </w:t>
      </w:r>
      <w:r>
        <w:rPr>
          <w:i/>
          <w:iCs/>
        </w:rPr>
        <w:t>Second</w:t>
      </w:r>
      <w:r>
        <w:t xml:space="preserve"> </w:t>
      </w:r>
      <w:r w:rsidRPr="00C13572">
        <w:rPr>
          <w:i/>
          <w:iCs/>
        </w:rPr>
        <w:t>Equation</w:t>
      </w:r>
    </w:p>
    <w:p w14:paraId="2E6897A8" w14:textId="5776D9E8" w:rsidR="00783C9C" w:rsidRDefault="00783C9C" w:rsidP="00E142A1">
      <w:pPr>
        <w:spacing w:line="254" w:lineRule="auto"/>
        <w:jc w:val="both"/>
      </w:pPr>
    </w:p>
    <w:tbl>
      <w:tblPr>
        <w:tblW w:w="7020" w:type="dxa"/>
        <w:tblInd w:w="1005" w:type="dxa"/>
        <w:tblLook w:val="04A0" w:firstRow="1" w:lastRow="0" w:firstColumn="1" w:lastColumn="0" w:noHBand="0" w:noVBand="1"/>
      </w:tblPr>
      <w:tblGrid>
        <w:gridCol w:w="1436"/>
        <w:gridCol w:w="1536"/>
        <w:gridCol w:w="1476"/>
        <w:gridCol w:w="1276"/>
        <w:gridCol w:w="1296"/>
      </w:tblGrid>
      <w:tr w:rsidR="00783C9C" w:rsidRPr="00783C9C" w14:paraId="4086D41E" w14:textId="77777777" w:rsidTr="00C13572">
        <w:trPr>
          <w:trHeight w:val="294"/>
        </w:trPr>
        <w:tc>
          <w:tcPr>
            <w:tcW w:w="1436" w:type="dxa"/>
            <w:tcBorders>
              <w:top w:val="single" w:sz="4" w:space="0" w:color="auto"/>
              <w:left w:val="single" w:sz="4" w:space="0" w:color="auto"/>
              <w:bottom w:val="single" w:sz="4" w:space="0" w:color="auto"/>
              <w:right w:val="nil"/>
            </w:tcBorders>
            <w:shd w:val="clear" w:color="auto" w:fill="auto"/>
            <w:noWrap/>
            <w:vAlign w:val="center"/>
            <w:hideMark/>
          </w:tcPr>
          <w:p w14:paraId="24FCE706" w14:textId="77777777" w:rsidR="00783C9C" w:rsidRPr="00783C9C" w:rsidRDefault="00783C9C" w:rsidP="00783C9C">
            <w:pPr>
              <w:spacing w:after="0" w:line="240" w:lineRule="auto"/>
              <w:jc w:val="center"/>
              <w:rPr>
                <w:rFonts w:ascii="Calibri" w:eastAsia="Times New Roman" w:hAnsi="Calibri" w:cs="Calibri"/>
                <w:i/>
                <w:iCs/>
                <w:color w:val="000000"/>
                <w:lang w:eastAsia="en-GB"/>
              </w:rPr>
            </w:pPr>
            <w:r w:rsidRPr="00783C9C">
              <w:rPr>
                <w:rFonts w:ascii="Calibri" w:eastAsia="Times New Roman" w:hAnsi="Calibri" w:cs="Calibri"/>
                <w:i/>
                <w:iCs/>
                <w:color w:val="000000"/>
                <w:lang w:eastAsia="en-GB"/>
              </w:rPr>
              <w:t> </w:t>
            </w:r>
          </w:p>
        </w:tc>
        <w:tc>
          <w:tcPr>
            <w:tcW w:w="1536" w:type="dxa"/>
            <w:tcBorders>
              <w:top w:val="single" w:sz="4" w:space="0" w:color="auto"/>
              <w:left w:val="nil"/>
              <w:bottom w:val="single" w:sz="4" w:space="0" w:color="auto"/>
              <w:right w:val="nil"/>
            </w:tcBorders>
            <w:shd w:val="clear" w:color="auto" w:fill="auto"/>
            <w:noWrap/>
            <w:vAlign w:val="center"/>
            <w:hideMark/>
          </w:tcPr>
          <w:p w14:paraId="1537A6D3" w14:textId="77777777" w:rsidR="00783C9C" w:rsidRPr="00783C9C" w:rsidRDefault="00783C9C" w:rsidP="00783C9C">
            <w:pPr>
              <w:spacing w:after="0" w:line="240" w:lineRule="auto"/>
              <w:jc w:val="center"/>
              <w:rPr>
                <w:rFonts w:ascii="Calibri" w:eastAsia="Times New Roman" w:hAnsi="Calibri" w:cs="Calibri"/>
                <w:i/>
                <w:iCs/>
                <w:color w:val="000000"/>
                <w:lang w:eastAsia="en-GB"/>
              </w:rPr>
            </w:pPr>
            <w:r w:rsidRPr="00783C9C">
              <w:rPr>
                <w:rFonts w:ascii="Calibri" w:eastAsia="Times New Roman" w:hAnsi="Calibri" w:cs="Calibri"/>
                <w:i/>
                <w:iCs/>
                <w:color w:val="000000"/>
                <w:lang w:eastAsia="en-GB"/>
              </w:rPr>
              <w:t>Coefficients</w:t>
            </w:r>
          </w:p>
        </w:tc>
        <w:tc>
          <w:tcPr>
            <w:tcW w:w="1476" w:type="dxa"/>
            <w:tcBorders>
              <w:top w:val="single" w:sz="4" w:space="0" w:color="auto"/>
              <w:left w:val="nil"/>
              <w:bottom w:val="single" w:sz="4" w:space="0" w:color="auto"/>
              <w:right w:val="nil"/>
            </w:tcBorders>
            <w:shd w:val="clear" w:color="auto" w:fill="auto"/>
            <w:noWrap/>
            <w:vAlign w:val="center"/>
            <w:hideMark/>
          </w:tcPr>
          <w:p w14:paraId="1307B7BC" w14:textId="77777777" w:rsidR="00783C9C" w:rsidRPr="00783C9C" w:rsidRDefault="00783C9C" w:rsidP="00783C9C">
            <w:pPr>
              <w:spacing w:after="0" w:line="240" w:lineRule="auto"/>
              <w:jc w:val="center"/>
              <w:rPr>
                <w:rFonts w:ascii="Calibri" w:eastAsia="Times New Roman" w:hAnsi="Calibri" w:cs="Calibri"/>
                <w:i/>
                <w:iCs/>
                <w:color w:val="000000"/>
                <w:lang w:eastAsia="en-GB"/>
              </w:rPr>
            </w:pPr>
            <w:r w:rsidRPr="00783C9C">
              <w:rPr>
                <w:rFonts w:ascii="Calibri" w:eastAsia="Times New Roman" w:hAnsi="Calibri" w:cs="Calibri"/>
                <w:i/>
                <w:iCs/>
                <w:color w:val="000000"/>
                <w:lang w:eastAsia="en-GB"/>
              </w:rPr>
              <w:t>Standard Error</w:t>
            </w:r>
          </w:p>
        </w:tc>
        <w:tc>
          <w:tcPr>
            <w:tcW w:w="1276" w:type="dxa"/>
            <w:tcBorders>
              <w:top w:val="single" w:sz="4" w:space="0" w:color="auto"/>
              <w:left w:val="nil"/>
              <w:bottom w:val="single" w:sz="4" w:space="0" w:color="auto"/>
              <w:right w:val="nil"/>
            </w:tcBorders>
            <w:shd w:val="clear" w:color="auto" w:fill="auto"/>
            <w:noWrap/>
            <w:vAlign w:val="center"/>
            <w:hideMark/>
          </w:tcPr>
          <w:p w14:paraId="2A205AED" w14:textId="77777777" w:rsidR="00783C9C" w:rsidRPr="00783C9C" w:rsidRDefault="00783C9C" w:rsidP="00783C9C">
            <w:pPr>
              <w:spacing w:after="0" w:line="240" w:lineRule="auto"/>
              <w:jc w:val="center"/>
              <w:rPr>
                <w:rFonts w:ascii="Calibri" w:eastAsia="Times New Roman" w:hAnsi="Calibri" w:cs="Calibri"/>
                <w:i/>
                <w:iCs/>
                <w:color w:val="000000"/>
                <w:lang w:eastAsia="en-GB"/>
              </w:rPr>
            </w:pPr>
            <w:r w:rsidRPr="00783C9C">
              <w:rPr>
                <w:rFonts w:ascii="Calibri" w:eastAsia="Times New Roman" w:hAnsi="Calibri" w:cs="Calibri"/>
                <w:i/>
                <w:iCs/>
                <w:color w:val="000000"/>
                <w:lang w:eastAsia="en-GB"/>
              </w:rPr>
              <w:t>t Stat</w:t>
            </w:r>
          </w:p>
        </w:tc>
        <w:tc>
          <w:tcPr>
            <w:tcW w:w="1296" w:type="dxa"/>
            <w:tcBorders>
              <w:top w:val="single" w:sz="4" w:space="0" w:color="auto"/>
              <w:left w:val="nil"/>
              <w:bottom w:val="single" w:sz="4" w:space="0" w:color="auto"/>
              <w:right w:val="single" w:sz="4" w:space="0" w:color="auto"/>
            </w:tcBorders>
            <w:shd w:val="clear" w:color="auto" w:fill="auto"/>
            <w:noWrap/>
            <w:vAlign w:val="center"/>
            <w:hideMark/>
          </w:tcPr>
          <w:p w14:paraId="364CEF58" w14:textId="77777777" w:rsidR="00783C9C" w:rsidRPr="00783C9C" w:rsidRDefault="00783C9C" w:rsidP="00783C9C">
            <w:pPr>
              <w:spacing w:after="0" w:line="240" w:lineRule="auto"/>
              <w:jc w:val="center"/>
              <w:rPr>
                <w:rFonts w:ascii="Calibri" w:eastAsia="Times New Roman" w:hAnsi="Calibri" w:cs="Calibri"/>
                <w:i/>
                <w:iCs/>
                <w:color w:val="000000"/>
                <w:lang w:eastAsia="en-GB"/>
              </w:rPr>
            </w:pPr>
            <w:r w:rsidRPr="00783C9C">
              <w:rPr>
                <w:rFonts w:ascii="Calibri" w:eastAsia="Times New Roman" w:hAnsi="Calibri" w:cs="Calibri"/>
                <w:i/>
                <w:iCs/>
                <w:color w:val="000000"/>
                <w:lang w:eastAsia="en-GB"/>
              </w:rPr>
              <w:t>P-value</w:t>
            </w:r>
          </w:p>
        </w:tc>
      </w:tr>
      <w:tr w:rsidR="00783C9C" w:rsidRPr="00783C9C" w14:paraId="728AB6B1" w14:textId="77777777" w:rsidTr="00C13572">
        <w:trPr>
          <w:trHeight w:val="288"/>
        </w:trPr>
        <w:tc>
          <w:tcPr>
            <w:tcW w:w="1436" w:type="dxa"/>
            <w:tcBorders>
              <w:top w:val="nil"/>
              <w:left w:val="single" w:sz="4" w:space="0" w:color="auto"/>
              <w:bottom w:val="nil"/>
              <w:right w:val="nil"/>
            </w:tcBorders>
            <w:shd w:val="clear" w:color="auto" w:fill="auto"/>
            <w:noWrap/>
            <w:vAlign w:val="center"/>
            <w:hideMark/>
          </w:tcPr>
          <w:p w14:paraId="0F8451E0"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Intercept</w:t>
            </w:r>
          </w:p>
        </w:tc>
        <w:tc>
          <w:tcPr>
            <w:tcW w:w="1536" w:type="dxa"/>
            <w:tcBorders>
              <w:top w:val="nil"/>
              <w:left w:val="nil"/>
              <w:bottom w:val="nil"/>
              <w:right w:val="nil"/>
            </w:tcBorders>
            <w:shd w:val="clear" w:color="auto" w:fill="auto"/>
            <w:noWrap/>
            <w:vAlign w:val="bottom"/>
            <w:hideMark/>
          </w:tcPr>
          <w:p w14:paraId="6245C315" w14:textId="77777777" w:rsidR="00783C9C" w:rsidRPr="00783C9C" w:rsidRDefault="00783C9C" w:rsidP="00783C9C">
            <w:pPr>
              <w:spacing w:after="0" w:line="240" w:lineRule="auto"/>
              <w:jc w:val="right"/>
              <w:rPr>
                <w:rFonts w:ascii="Calibri" w:eastAsia="Times New Roman" w:hAnsi="Calibri" w:cs="Calibri"/>
                <w:color w:val="000000"/>
                <w:lang w:eastAsia="en-GB"/>
              </w:rPr>
            </w:pPr>
            <w:r w:rsidRPr="00783C9C">
              <w:rPr>
                <w:rFonts w:ascii="Calibri" w:eastAsia="Times New Roman" w:hAnsi="Calibri" w:cs="Calibri"/>
                <w:color w:val="000000"/>
                <w:lang w:eastAsia="en-GB"/>
              </w:rPr>
              <w:t>0.091111628</w:t>
            </w:r>
          </w:p>
        </w:tc>
        <w:tc>
          <w:tcPr>
            <w:tcW w:w="1476" w:type="dxa"/>
            <w:tcBorders>
              <w:top w:val="nil"/>
              <w:left w:val="nil"/>
              <w:bottom w:val="nil"/>
              <w:right w:val="nil"/>
            </w:tcBorders>
            <w:shd w:val="clear" w:color="auto" w:fill="auto"/>
            <w:noWrap/>
            <w:vAlign w:val="bottom"/>
            <w:hideMark/>
          </w:tcPr>
          <w:p w14:paraId="2959EC20" w14:textId="77777777" w:rsidR="00783C9C" w:rsidRPr="00783C9C" w:rsidRDefault="00783C9C" w:rsidP="00783C9C">
            <w:pPr>
              <w:spacing w:after="0" w:line="240" w:lineRule="auto"/>
              <w:jc w:val="right"/>
              <w:rPr>
                <w:rFonts w:ascii="Calibri" w:eastAsia="Times New Roman" w:hAnsi="Calibri" w:cs="Calibri"/>
                <w:color w:val="000000"/>
                <w:lang w:eastAsia="en-GB"/>
              </w:rPr>
            </w:pPr>
            <w:r w:rsidRPr="00783C9C">
              <w:rPr>
                <w:rFonts w:ascii="Calibri" w:eastAsia="Times New Roman" w:hAnsi="Calibri" w:cs="Calibri"/>
                <w:color w:val="000000"/>
                <w:lang w:eastAsia="en-GB"/>
              </w:rPr>
              <w:t>0.068037264</w:t>
            </w:r>
          </w:p>
        </w:tc>
        <w:tc>
          <w:tcPr>
            <w:tcW w:w="1276" w:type="dxa"/>
            <w:tcBorders>
              <w:top w:val="nil"/>
              <w:left w:val="nil"/>
              <w:bottom w:val="nil"/>
              <w:right w:val="nil"/>
            </w:tcBorders>
            <w:shd w:val="clear" w:color="auto" w:fill="auto"/>
            <w:noWrap/>
            <w:vAlign w:val="bottom"/>
            <w:hideMark/>
          </w:tcPr>
          <w:p w14:paraId="79C445E3" w14:textId="77777777" w:rsidR="00783C9C" w:rsidRPr="00783C9C" w:rsidRDefault="00783C9C" w:rsidP="00783C9C">
            <w:pPr>
              <w:spacing w:after="0" w:line="240" w:lineRule="auto"/>
              <w:jc w:val="right"/>
              <w:rPr>
                <w:rFonts w:ascii="Calibri" w:eastAsia="Times New Roman" w:hAnsi="Calibri" w:cs="Calibri"/>
                <w:color w:val="000000"/>
                <w:lang w:eastAsia="en-GB"/>
              </w:rPr>
            </w:pPr>
            <w:r w:rsidRPr="00783C9C">
              <w:rPr>
                <w:rFonts w:ascii="Calibri" w:eastAsia="Times New Roman" w:hAnsi="Calibri" w:cs="Calibri"/>
                <w:color w:val="000000"/>
                <w:lang w:eastAsia="en-GB"/>
              </w:rPr>
              <w:t>1.33914304</w:t>
            </w:r>
          </w:p>
        </w:tc>
        <w:tc>
          <w:tcPr>
            <w:tcW w:w="1296" w:type="dxa"/>
            <w:tcBorders>
              <w:top w:val="nil"/>
              <w:left w:val="nil"/>
              <w:bottom w:val="nil"/>
              <w:right w:val="single" w:sz="4" w:space="0" w:color="auto"/>
            </w:tcBorders>
            <w:shd w:val="clear" w:color="auto" w:fill="auto"/>
            <w:noWrap/>
            <w:vAlign w:val="bottom"/>
            <w:hideMark/>
          </w:tcPr>
          <w:p w14:paraId="79BA137E" w14:textId="77777777" w:rsidR="00783C9C" w:rsidRPr="00783C9C" w:rsidRDefault="00783C9C" w:rsidP="00783C9C">
            <w:pPr>
              <w:spacing w:after="0" w:line="240" w:lineRule="auto"/>
              <w:jc w:val="right"/>
              <w:rPr>
                <w:rFonts w:ascii="Calibri" w:eastAsia="Times New Roman" w:hAnsi="Calibri" w:cs="Calibri"/>
                <w:color w:val="000000"/>
                <w:lang w:eastAsia="en-GB"/>
              </w:rPr>
            </w:pPr>
            <w:r w:rsidRPr="00783C9C">
              <w:rPr>
                <w:rFonts w:ascii="Calibri" w:eastAsia="Times New Roman" w:hAnsi="Calibri" w:cs="Calibri"/>
                <w:color w:val="000000"/>
                <w:lang w:eastAsia="en-GB"/>
              </w:rPr>
              <w:t>0.1925734</w:t>
            </w:r>
          </w:p>
        </w:tc>
      </w:tr>
      <w:tr w:rsidR="00783C9C" w:rsidRPr="00783C9C" w14:paraId="1C5A9108" w14:textId="77777777" w:rsidTr="00C13572">
        <w:trPr>
          <w:trHeight w:val="294"/>
        </w:trPr>
        <w:tc>
          <w:tcPr>
            <w:tcW w:w="1436" w:type="dxa"/>
            <w:tcBorders>
              <w:top w:val="nil"/>
              <w:left w:val="single" w:sz="4" w:space="0" w:color="auto"/>
              <w:bottom w:val="nil"/>
              <w:right w:val="nil"/>
            </w:tcBorders>
            <w:shd w:val="clear" w:color="auto" w:fill="auto"/>
            <w:noWrap/>
            <w:vAlign w:val="center"/>
            <w:hideMark/>
          </w:tcPr>
          <w:p w14:paraId="4E8F901F"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C/R</w:t>
            </w:r>
          </w:p>
        </w:tc>
        <w:tc>
          <w:tcPr>
            <w:tcW w:w="1536" w:type="dxa"/>
            <w:tcBorders>
              <w:top w:val="nil"/>
              <w:left w:val="nil"/>
              <w:bottom w:val="nil"/>
              <w:right w:val="nil"/>
            </w:tcBorders>
            <w:shd w:val="clear" w:color="auto" w:fill="auto"/>
            <w:noWrap/>
            <w:vAlign w:val="bottom"/>
            <w:hideMark/>
          </w:tcPr>
          <w:p w14:paraId="7498DDC9" w14:textId="77777777" w:rsidR="00783C9C" w:rsidRPr="00783C9C" w:rsidRDefault="00783C9C" w:rsidP="00783C9C">
            <w:pPr>
              <w:spacing w:after="0" w:line="240" w:lineRule="auto"/>
              <w:jc w:val="right"/>
              <w:rPr>
                <w:rFonts w:ascii="Calibri" w:eastAsia="Times New Roman" w:hAnsi="Calibri" w:cs="Calibri"/>
                <w:color w:val="000000"/>
                <w:lang w:eastAsia="en-GB"/>
              </w:rPr>
            </w:pPr>
            <w:r w:rsidRPr="00783C9C">
              <w:rPr>
                <w:rFonts w:ascii="Calibri" w:eastAsia="Times New Roman" w:hAnsi="Calibri" w:cs="Calibri"/>
                <w:color w:val="000000"/>
                <w:lang w:eastAsia="en-GB"/>
              </w:rPr>
              <w:t>0.067133342</w:t>
            </w:r>
          </w:p>
        </w:tc>
        <w:tc>
          <w:tcPr>
            <w:tcW w:w="1476" w:type="dxa"/>
            <w:tcBorders>
              <w:top w:val="nil"/>
              <w:left w:val="nil"/>
              <w:bottom w:val="nil"/>
              <w:right w:val="nil"/>
            </w:tcBorders>
            <w:shd w:val="clear" w:color="auto" w:fill="auto"/>
            <w:noWrap/>
            <w:vAlign w:val="bottom"/>
            <w:hideMark/>
          </w:tcPr>
          <w:p w14:paraId="278150C5" w14:textId="77777777" w:rsidR="00783C9C" w:rsidRPr="00783C9C" w:rsidRDefault="00783C9C" w:rsidP="00783C9C">
            <w:pPr>
              <w:spacing w:after="0" w:line="240" w:lineRule="auto"/>
              <w:jc w:val="right"/>
              <w:rPr>
                <w:rFonts w:ascii="Calibri" w:eastAsia="Times New Roman" w:hAnsi="Calibri" w:cs="Calibri"/>
                <w:color w:val="000000"/>
                <w:lang w:eastAsia="en-GB"/>
              </w:rPr>
            </w:pPr>
            <w:r w:rsidRPr="00783C9C">
              <w:rPr>
                <w:rFonts w:ascii="Calibri" w:eastAsia="Times New Roman" w:hAnsi="Calibri" w:cs="Calibri"/>
                <w:color w:val="000000"/>
                <w:lang w:eastAsia="en-GB"/>
              </w:rPr>
              <w:t>0.038961966</w:t>
            </w:r>
          </w:p>
        </w:tc>
        <w:tc>
          <w:tcPr>
            <w:tcW w:w="1276" w:type="dxa"/>
            <w:tcBorders>
              <w:top w:val="nil"/>
              <w:left w:val="nil"/>
              <w:bottom w:val="nil"/>
              <w:right w:val="nil"/>
            </w:tcBorders>
            <w:shd w:val="clear" w:color="auto" w:fill="auto"/>
            <w:noWrap/>
            <w:vAlign w:val="bottom"/>
            <w:hideMark/>
          </w:tcPr>
          <w:p w14:paraId="27046D02" w14:textId="77777777" w:rsidR="00783C9C" w:rsidRPr="00783C9C" w:rsidRDefault="00783C9C" w:rsidP="00783C9C">
            <w:pPr>
              <w:spacing w:after="0" w:line="240" w:lineRule="auto"/>
              <w:jc w:val="right"/>
              <w:rPr>
                <w:rFonts w:ascii="Calibri" w:eastAsia="Times New Roman" w:hAnsi="Calibri" w:cs="Calibri"/>
                <w:color w:val="000000"/>
                <w:lang w:eastAsia="en-GB"/>
              </w:rPr>
            </w:pPr>
            <w:r w:rsidRPr="00783C9C">
              <w:rPr>
                <w:rFonts w:ascii="Calibri" w:eastAsia="Times New Roman" w:hAnsi="Calibri" w:cs="Calibri"/>
                <w:color w:val="000000"/>
                <w:lang w:eastAsia="en-GB"/>
              </w:rPr>
              <w:t>1.72304812</w:t>
            </w:r>
          </w:p>
        </w:tc>
        <w:tc>
          <w:tcPr>
            <w:tcW w:w="1296" w:type="dxa"/>
            <w:tcBorders>
              <w:top w:val="nil"/>
              <w:left w:val="nil"/>
              <w:bottom w:val="nil"/>
              <w:right w:val="single" w:sz="4" w:space="0" w:color="auto"/>
            </w:tcBorders>
            <w:shd w:val="clear" w:color="auto" w:fill="auto"/>
            <w:noWrap/>
            <w:vAlign w:val="bottom"/>
            <w:hideMark/>
          </w:tcPr>
          <w:p w14:paraId="6FD6BE97" w14:textId="77777777" w:rsidR="00783C9C" w:rsidRPr="00783C9C" w:rsidRDefault="00783C9C" w:rsidP="00783C9C">
            <w:pPr>
              <w:spacing w:after="0" w:line="240" w:lineRule="auto"/>
              <w:jc w:val="right"/>
              <w:rPr>
                <w:rFonts w:ascii="Calibri" w:eastAsia="Times New Roman" w:hAnsi="Calibri" w:cs="Calibri"/>
                <w:color w:val="000000"/>
                <w:lang w:eastAsia="en-GB"/>
              </w:rPr>
            </w:pPr>
            <w:r w:rsidRPr="00783C9C">
              <w:rPr>
                <w:rFonts w:ascii="Calibri" w:eastAsia="Times New Roman" w:hAnsi="Calibri" w:cs="Calibri"/>
                <w:color w:val="000000"/>
                <w:lang w:eastAsia="en-GB"/>
              </w:rPr>
              <w:t>0.09722908</w:t>
            </w:r>
          </w:p>
        </w:tc>
      </w:tr>
      <w:tr w:rsidR="00783C9C" w:rsidRPr="00783C9C" w14:paraId="45C61E48" w14:textId="77777777" w:rsidTr="00C13572">
        <w:trPr>
          <w:trHeight w:val="288"/>
        </w:trPr>
        <w:tc>
          <w:tcPr>
            <w:tcW w:w="1436" w:type="dxa"/>
            <w:tcBorders>
              <w:top w:val="nil"/>
              <w:left w:val="single" w:sz="4" w:space="0" w:color="auto"/>
              <w:bottom w:val="nil"/>
              <w:right w:val="nil"/>
            </w:tcBorders>
            <w:shd w:val="clear" w:color="auto" w:fill="auto"/>
            <w:noWrap/>
            <w:vAlign w:val="center"/>
            <w:hideMark/>
          </w:tcPr>
          <w:p w14:paraId="597AA237" w14:textId="4850024B"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D/</w:t>
            </w:r>
            <w:r w:rsidR="00593EB5">
              <w:rPr>
                <w:rFonts w:ascii="Calibri" w:eastAsia="Times New Roman" w:hAnsi="Calibri" w:cs="Calibri"/>
                <w:color w:val="000000"/>
                <w:lang w:eastAsia="en-GB"/>
              </w:rPr>
              <w:t>C</w:t>
            </w:r>
          </w:p>
        </w:tc>
        <w:tc>
          <w:tcPr>
            <w:tcW w:w="1536" w:type="dxa"/>
            <w:tcBorders>
              <w:top w:val="nil"/>
              <w:left w:val="nil"/>
              <w:bottom w:val="nil"/>
              <w:right w:val="nil"/>
            </w:tcBorders>
            <w:shd w:val="clear" w:color="auto" w:fill="auto"/>
            <w:noWrap/>
            <w:vAlign w:val="bottom"/>
            <w:hideMark/>
          </w:tcPr>
          <w:p w14:paraId="50AE0EAB" w14:textId="77777777" w:rsidR="00783C9C" w:rsidRPr="00783C9C" w:rsidRDefault="00783C9C" w:rsidP="00783C9C">
            <w:pPr>
              <w:spacing w:after="0" w:line="240" w:lineRule="auto"/>
              <w:jc w:val="right"/>
              <w:rPr>
                <w:rFonts w:ascii="Calibri" w:eastAsia="Times New Roman" w:hAnsi="Calibri" w:cs="Calibri"/>
                <w:color w:val="000000"/>
                <w:lang w:eastAsia="en-GB"/>
              </w:rPr>
            </w:pPr>
            <w:r w:rsidRPr="00783C9C">
              <w:rPr>
                <w:rFonts w:ascii="Calibri" w:eastAsia="Times New Roman" w:hAnsi="Calibri" w:cs="Calibri"/>
                <w:color w:val="000000"/>
                <w:lang w:eastAsia="en-GB"/>
              </w:rPr>
              <w:t>-0.199757926</w:t>
            </w:r>
          </w:p>
        </w:tc>
        <w:tc>
          <w:tcPr>
            <w:tcW w:w="1476" w:type="dxa"/>
            <w:tcBorders>
              <w:top w:val="nil"/>
              <w:left w:val="nil"/>
              <w:bottom w:val="nil"/>
              <w:right w:val="nil"/>
            </w:tcBorders>
            <w:shd w:val="clear" w:color="auto" w:fill="auto"/>
            <w:noWrap/>
            <w:vAlign w:val="bottom"/>
            <w:hideMark/>
          </w:tcPr>
          <w:p w14:paraId="4075852C" w14:textId="77777777" w:rsidR="00783C9C" w:rsidRPr="00783C9C" w:rsidRDefault="00783C9C" w:rsidP="00783C9C">
            <w:pPr>
              <w:spacing w:after="0" w:line="240" w:lineRule="auto"/>
              <w:jc w:val="right"/>
              <w:rPr>
                <w:rFonts w:ascii="Calibri" w:eastAsia="Times New Roman" w:hAnsi="Calibri" w:cs="Calibri"/>
                <w:color w:val="000000"/>
                <w:lang w:eastAsia="en-GB"/>
              </w:rPr>
            </w:pPr>
            <w:r w:rsidRPr="00783C9C">
              <w:rPr>
                <w:rFonts w:ascii="Calibri" w:eastAsia="Times New Roman" w:hAnsi="Calibri" w:cs="Calibri"/>
                <w:color w:val="000000"/>
                <w:lang w:eastAsia="en-GB"/>
              </w:rPr>
              <w:t>0.047451416</w:t>
            </w:r>
          </w:p>
        </w:tc>
        <w:tc>
          <w:tcPr>
            <w:tcW w:w="1276" w:type="dxa"/>
            <w:tcBorders>
              <w:top w:val="nil"/>
              <w:left w:val="nil"/>
              <w:bottom w:val="nil"/>
              <w:right w:val="nil"/>
            </w:tcBorders>
            <w:shd w:val="clear" w:color="auto" w:fill="auto"/>
            <w:noWrap/>
            <w:vAlign w:val="bottom"/>
            <w:hideMark/>
          </w:tcPr>
          <w:p w14:paraId="7782B4A9" w14:textId="77777777" w:rsidR="00783C9C" w:rsidRPr="00783C9C" w:rsidRDefault="00783C9C" w:rsidP="00783C9C">
            <w:pPr>
              <w:spacing w:after="0" w:line="240" w:lineRule="auto"/>
              <w:jc w:val="right"/>
              <w:rPr>
                <w:rFonts w:ascii="Calibri" w:eastAsia="Times New Roman" w:hAnsi="Calibri" w:cs="Calibri"/>
                <w:color w:val="000000"/>
                <w:lang w:eastAsia="en-GB"/>
              </w:rPr>
            </w:pPr>
            <w:r w:rsidRPr="00783C9C">
              <w:rPr>
                <w:rFonts w:ascii="Calibri" w:eastAsia="Times New Roman" w:hAnsi="Calibri" w:cs="Calibri"/>
                <w:color w:val="000000"/>
                <w:lang w:eastAsia="en-GB"/>
              </w:rPr>
              <w:t>-4.2097358</w:t>
            </w:r>
          </w:p>
        </w:tc>
        <w:tc>
          <w:tcPr>
            <w:tcW w:w="1296" w:type="dxa"/>
            <w:tcBorders>
              <w:top w:val="nil"/>
              <w:left w:val="nil"/>
              <w:bottom w:val="nil"/>
              <w:right w:val="single" w:sz="4" w:space="0" w:color="auto"/>
            </w:tcBorders>
            <w:shd w:val="clear" w:color="auto" w:fill="auto"/>
            <w:noWrap/>
            <w:vAlign w:val="bottom"/>
            <w:hideMark/>
          </w:tcPr>
          <w:p w14:paraId="6C59A2C4" w14:textId="77777777" w:rsidR="00783C9C" w:rsidRPr="00783C9C" w:rsidRDefault="00783C9C" w:rsidP="00783C9C">
            <w:pPr>
              <w:spacing w:after="0" w:line="240" w:lineRule="auto"/>
              <w:jc w:val="right"/>
              <w:rPr>
                <w:rFonts w:ascii="Calibri" w:eastAsia="Times New Roman" w:hAnsi="Calibri" w:cs="Calibri"/>
                <w:color w:val="000000"/>
                <w:lang w:eastAsia="en-GB"/>
              </w:rPr>
            </w:pPr>
            <w:r w:rsidRPr="00783C9C">
              <w:rPr>
                <w:rFonts w:ascii="Calibri" w:eastAsia="Times New Roman" w:hAnsi="Calibri" w:cs="Calibri"/>
                <w:color w:val="000000"/>
                <w:lang w:eastAsia="en-GB"/>
              </w:rPr>
              <w:t>0.00028866</w:t>
            </w:r>
          </w:p>
        </w:tc>
      </w:tr>
      <w:tr w:rsidR="00783C9C" w:rsidRPr="00783C9C" w14:paraId="7AE9AE64" w14:textId="77777777" w:rsidTr="00C13572">
        <w:trPr>
          <w:trHeight w:val="288"/>
        </w:trPr>
        <w:tc>
          <w:tcPr>
            <w:tcW w:w="1436" w:type="dxa"/>
            <w:tcBorders>
              <w:top w:val="nil"/>
              <w:left w:val="single" w:sz="4" w:space="0" w:color="auto"/>
              <w:bottom w:val="nil"/>
              <w:right w:val="nil"/>
            </w:tcBorders>
            <w:shd w:val="clear" w:color="auto" w:fill="auto"/>
            <w:noWrap/>
            <w:vAlign w:val="center"/>
            <w:hideMark/>
          </w:tcPr>
          <w:p w14:paraId="5C848B58"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Size</w:t>
            </w:r>
          </w:p>
        </w:tc>
        <w:tc>
          <w:tcPr>
            <w:tcW w:w="1536" w:type="dxa"/>
            <w:tcBorders>
              <w:top w:val="nil"/>
              <w:left w:val="nil"/>
              <w:bottom w:val="nil"/>
              <w:right w:val="nil"/>
            </w:tcBorders>
            <w:shd w:val="clear" w:color="auto" w:fill="auto"/>
            <w:noWrap/>
            <w:vAlign w:val="bottom"/>
            <w:hideMark/>
          </w:tcPr>
          <w:p w14:paraId="63E28AFB" w14:textId="77777777" w:rsidR="00783C9C" w:rsidRPr="00783C9C" w:rsidRDefault="00783C9C" w:rsidP="00783C9C">
            <w:pPr>
              <w:spacing w:after="0" w:line="240" w:lineRule="auto"/>
              <w:jc w:val="right"/>
              <w:rPr>
                <w:rFonts w:ascii="Calibri" w:eastAsia="Times New Roman" w:hAnsi="Calibri" w:cs="Calibri"/>
                <w:color w:val="000000"/>
                <w:lang w:eastAsia="en-GB"/>
              </w:rPr>
            </w:pPr>
            <w:r w:rsidRPr="00783C9C">
              <w:rPr>
                <w:rFonts w:ascii="Calibri" w:eastAsia="Times New Roman" w:hAnsi="Calibri" w:cs="Calibri"/>
                <w:color w:val="000000"/>
                <w:lang w:eastAsia="en-GB"/>
              </w:rPr>
              <w:t>0.000142749</w:t>
            </w:r>
          </w:p>
        </w:tc>
        <w:tc>
          <w:tcPr>
            <w:tcW w:w="1476" w:type="dxa"/>
            <w:tcBorders>
              <w:top w:val="nil"/>
              <w:left w:val="nil"/>
              <w:bottom w:val="nil"/>
              <w:right w:val="nil"/>
            </w:tcBorders>
            <w:shd w:val="clear" w:color="auto" w:fill="auto"/>
            <w:noWrap/>
            <w:vAlign w:val="bottom"/>
            <w:hideMark/>
          </w:tcPr>
          <w:p w14:paraId="04FA9B20" w14:textId="77777777" w:rsidR="00783C9C" w:rsidRPr="00783C9C" w:rsidRDefault="00783C9C" w:rsidP="00783C9C">
            <w:pPr>
              <w:spacing w:after="0" w:line="240" w:lineRule="auto"/>
              <w:jc w:val="right"/>
              <w:rPr>
                <w:rFonts w:ascii="Calibri" w:eastAsia="Times New Roman" w:hAnsi="Calibri" w:cs="Calibri"/>
                <w:color w:val="000000"/>
                <w:lang w:eastAsia="en-GB"/>
              </w:rPr>
            </w:pPr>
            <w:r w:rsidRPr="00783C9C">
              <w:rPr>
                <w:rFonts w:ascii="Calibri" w:eastAsia="Times New Roman" w:hAnsi="Calibri" w:cs="Calibri"/>
                <w:color w:val="000000"/>
                <w:lang w:eastAsia="en-GB"/>
              </w:rPr>
              <w:t>7.67475E-05</w:t>
            </w:r>
          </w:p>
        </w:tc>
        <w:tc>
          <w:tcPr>
            <w:tcW w:w="1276" w:type="dxa"/>
            <w:tcBorders>
              <w:top w:val="nil"/>
              <w:left w:val="nil"/>
              <w:bottom w:val="nil"/>
              <w:right w:val="nil"/>
            </w:tcBorders>
            <w:shd w:val="clear" w:color="auto" w:fill="auto"/>
            <w:noWrap/>
            <w:vAlign w:val="bottom"/>
            <w:hideMark/>
          </w:tcPr>
          <w:p w14:paraId="1D1DC93C" w14:textId="77777777" w:rsidR="00783C9C" w:rsidRPr="00783C9C" w:rsidRDefault="00783C9C" w:rsidP="00783C9C">
            <w:pPr>
              <w:spacing w:after="0" w:line="240" w:lineRule="auto"/>
              <w:jc w:val="right"/>
              <w:rPr>
                <w:rFonts w:ascii="Calibri" w:eastAsia="Times New Roman" w:hAnsi="Calibri" w:cs="Calibri"/>
                <w:color w:val="000000"/>
                <w:lang w:eastAsia="en-GB"/>
              </w:rPr>
            </w:pPr>
            <w:r w:rsidRPr="00783C9C">
              <w:rPr>
                <w:rFonts w:ascii="Calibri" w:eastAsia="Times New Roman" w:hAnsi="Calibri" w:cs="Calibri"/>
                <w:color w:val="000000"/>
                <w:lang w:eastAsia="en-GB"/>
              </w:rPr>
              <w:t>1.85998878</w:t>
            </w:r>
          </w:p>
        </w:tc>
        <w:tc>
          <w:tcPr>
            <w:tcW w:w="1296" w:type="dxa"/>
            <w:tcBorders>
              <w:top w:val="nil"/>
              <w:left w:val="nil"/>
              <w:bottom w:val="nil"/>
              <w:right w:val="single" w:sz="4" w:space="0" w:color="auto"/>
            </w:tcBorders>
            <w:shd w:val="clear" w:color="auto" w:fill="auto"/>
            <w:noWrap/>
            <w:vAlign w:val="bottom"/>
            <w:hideMark/>
          </w:tcPr>
          <w:p w14:paraId="1ABDB587" w14:textId="77777777" w:rsidR="00783C9C" w:rsidRPr="00783C9C" w:rsidRDefault="00783C9C" w:rsidP="00783C9C">
            <w:pPr>
              <w:spacing w:after="0" w:line="240" w:lineRule="auto"/>
              <w:jc w:val="right"/>
              <w:rPr>
                <w:rFonts w:ascii="Calibri" w:eastAsia="Times New Roman" w:hAnsi="Calibri" w:cs="Calibri"/>
                <w:color w:val="000000"/>
                <w:lang w:eastAsia="en-GB"/>
              </w:rPr>
            </w:pPr>
            <w:r w:rsidRPr="00783C9C">
              <w:rPr>
                <w:rFonts w:ascii="Calibri" w:eastAsia="Times New Roman" w:hAnsi="Calibri" w:cs="Calibri"/>
                <w:color w:val="000000"/>
                <w:lang w:eastAsia="en-GB"/>
              </w:rPr>
              <w:t>0.07469262</w:t>
            </w:r>
          </w:p>
        </w:tc>
      </w:tr>
      <w:tr w:rsidR="00783C9C" w:rsidRPr="00783C9C" w14:paraId="7956A261" w14:textId="77777777" w:rsidTr="00C13572">
        <w:trPr>
          <w:trHeight w:val="294"/>
        </w:trPr>
        <w:tc>
          <w:tcPr>
            <w:tcW w:w="1436" w:type="dxa"/>
            <w:tcBorders>
              <w:top w:val="nil"/>
              <w:left w:val="single" w:sz="4" w:space="0" w:color="auto"/>
              <w:bottom w:val="single" w:sz="4" w:space="0" w:color="auto"/>
              <w:right w:val="nil"/>
            </w:tcBorders>
            <w:shd w:val="clear" w:color="auto" w:fill="auto"/>
            <w:noWrap/>
            <w:vAlign w:val="center"/>
            <w:hideMark/>
          </w:tcPr>
          <w:p w14:paraId="71D434ED"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Growth</w:t>
            </w:r>
          </w:p>
        </w:tc>
        <w:tc>
          <w:tcPr>
            <w:tcW w:w="1536" w:type="dxa"/>
            <w:tcBorders>
              <w:top w:val="nil"/>
              <w:left w:val="nil"/>
              <w:bottom w:val="single" w:sz="4" w:space="0" w:color="auto"/>
              <w:right w:val="nil"/>
            </w:tcBorders>
            <w:shd w:val="clear" w:color="auto" w:fill="auto"/>
            <w:noWrap/>
            <w:vAlign w:val="bottom"/>
            <w:hideMark/>
          </w:tcPr>
          <w:p w14:paraId="74FF5903" w14:textId="77777777" w:rsidR="00783C9C" w:rsidRPr="00783C9C" w:rsidRDefault="00783C9C" w:rsidP="00783C9C">
            <w:pPr>
              <w:spacing w:after="0" w:line="240" w:lineRule="auto"/>
              <w:jc w:val="right"/>
              <w:rPr>
                <w:rFonts w:ascii="Calibri" w:eastAsia="Times New Roman" w:hAnsi="Calibri" w:cs="Calibri"/>
                <w:color w:val="000000"/>
                <w:lang w:eastAsia="en-GB"/>
              </w:rPr>
            </w:pPr>
            <w:r w:rsidRPr="00783C9C">
              <w:rPr>
                <w:rFonts w:ascii="Calibri" w:eastAsia="Times New Roman" w:hAnsi="Calibri" w:cs="Calibri"/>
                <w:color w:val="000000"/>
                <w:lang w:eastAsia="en-GB"/>
              </w:rPr>
              <w:t>-0.175866661</w:t>
            </w:r>
          </w:p>
        </w:tc>
        <w:tc>
          <w:tcPr>
            <w:tcW w:w="1476" w:type="dxa"/>
            <w:tcBorders>
              <w:top w:val="nil"/>
              <w:left w:val="nil"/>
              <w:bottom w:val="single" w:sz="4" w:space="0" w:color="auto"/>
              <w:right w:val="nil"/>
            </w:tcBorders>
            <w:shd w:val="clear" w:color="auto" w:fill="auto"/>
            <w:noWrap/>
            <w:vAlign w:val="bottom"/>
            <w:hideMark/>
          </w:tcPr>
          <w:p w14:paraId="0306BE1B" w14:textId="77777777" w:rsidR="00783C9C" w:rsidRPr="00783C9C" w:rsidRDefault="00783C9C" w:rsidP="00783C9C">
            <w:pPr>
              <w:spacing w:after="0" w:line="240" w:lineRule="auto"/>
              <w:jc w:val="right"/>
              <w:rPr>
                <w:rFonts w:ascii="Calibri" w:eastAsia="Times New Roman" w:hAnsi="Calibri" w:cs="Calibri"/>
                <w:color w:val="000000"/>
                <w:lang w:eastAsia="en-GB"/>
              </w:rPr>
            </w:pPr>
            <w:r w:rsidRPr="00783C9C">
              <w:rPr>
                <w:rFonts w:ascii="Calibri" w:eastAsia="Times New Roman" w:hAnsi="Calibri" w:cs="Calibri"/>
                <w:color w:val="000000"/>
                <w:lang w:eastAsia="en-GB"/>
              </w:rPr>
              <w:t>0.187281867</w:t>
            </w:r>
          </w:p>
        </w:tc>
        <w:tc>
          <w:tcPr>
            <w:tcW w:w="1276" w:type="dxa"/>
            <w:tcBorders>
              <w:top w:val="nil"/>
              <w:left w:val="nil"/>
              <w:bottom w:val="single" w:sz="4" w:space="0" w:color="auto"/>
              <w:right w:val="nil"/>
            </w:tcBorders>
            <w:shd w:val="clear" w:color="auto" w:fill="auto"/>
            <w:noWrap/>
            <w:vAlign w:val="bottom"/>
            <w:hideMark/>
          </w:tcPr>
          <w:p w14:paraId="34B7C895" w14:textId="77777777" w:rsidR="00783C9C" w:rsidRPr="00783C9C" w:rsidRDefault="00783C9C" w:rsidP="00783C9C">
            <w:pPr>
              <w:spacing w:after="0" w:line="240" w:lineRule="auto"/>
              <w:jc w:val="right"/>
              <w:rPr>
                <w:rFonts w:ascii="Calibri" w:eastAsia="Times New Roman" w:hAnsi="Calibri" w:cs="Calibri"/>
                <w:color w:val="000000"/>
                <w:lang w:eastAsia="en-GB"/>
              </w:rPr>
            </w:pPr>
            <w:r w:rsidRPr="00783C9C">
              <w:rPr>
                <w:rFonts w:ascii="Calibri" w:eastAsia="Times New Roman" w:hAnsi="Calibri" w:cs="Calibri"/>
                <w:color w:val="000000"/>
                <w:lang w:eastAsia="en-GB"/>
              </w:rPr>
              <w:t>-0.939048</w:t>
            </w:r>
          </w:p>
        </w:tc>
        <w:tc>
          <w:tcPr>
            <w:tcW w:w="1296" w:type="dxa"/>
            <w:tcBorders>
              <w:top w:val="nil"/>
              <w:left w:val="nil"/>
              <w:bottom w:val="single" w:sz="4" w:space="0" w:color="auto"/>
              <w:right w:val="single" w:sz="4" w:space="0" w:color="auto"/>
            </w:tcBorders>
            <w:shd w:val="clear" w:color="auto" w:fill="auto"/>
            <w:noWrap/>
            <w:vAlign w:val="bottom"/>
            <w:hideMark/>
          </w:tcPr>
          <w:p w14:paraId="0996CD82" w14:textId="77777777" w:rsidR="00783C9C" w:rsidRPr="00783C9C" w:rsidRDefault="00783C9C" w:rsidP="00783C9C">
            <w:pPr>
              <w:spacing w:after="0" w:line="240" w:lineRule="auto"/>
              <w:jc w:val="right"/>
              <w:rPr>
                <w:rFonts w:ascii="Calibri" w:eastAsia="Times New Roman" w:hAnsi="Calibri" w:cs="Calibri"/>
                <w:color w:val="000000"/>
                <w:lang w:eastAsia="en-GB"/>
              </w:rPr>
            </w:pPr>
            <w:r w:rsidRPr="00783C9C">
              <w:rPr>
                <w:rFonts w:ascii="Calibri" w:eastAsia="Times New Roman" w:hAnsi="Calibri" w:cs="Calibri"/>
                <w:color w:val="000000"/>
                <w:lang w:eastAsia="en-GB"/>
              </w:rPr>
              <w:t>0.35669099</w:t>
            </w:r>
          </w:p>
        </w:tc>
      </w:tr>
    </w:tbl>
    <w:p w14:paraId="5379D6BA" w14:textId="77527021" w:rsidR="00783C9C" w:rsidRPr="00E142A1" w:rsidRDefault="00C13572" w:rsidP="00C13572">
      <w:pPr>
        <w:spacing w:line="254" w:lineRule="auto"/>
        <w:jc w:val="center"/>
      </w:pPr>
      <w:r>
        <w:t xml:space="preserve">Table Five: Individual variables’ analysis of the </w:t>
      </w:r>
      <w:r>
        <w:rPr>
          <w:i/>
          <w:iCs/>
        </w:rPr>
        <w:t>Second</w:t>
      </w:r>
      <w:r>
        <w:t xml:space="preserve"> </w:t>
      </w:r>
      <w:r w:rsidRPr="00C13572">
        <w:rPr>
          <w:i/>
          <w:iCs/>
        </w:rPr>
        <w:t>Equation</w:t>
      </w:r>
    </w:p>
    <w:p w14:paraId="32E4321B" w14:textId="77777777" w:rsidR="00C13572" w:rsidRDefault="00C13572" w:rsidP="00886D59">
      <w:pPr>
        <w:spacing w:line="360" w:lineRule="auto"/>
        <w:jc w:val="both"/>
      </w:pPr>
    </w:p>
    <w:p w14:paraId="3241DFB6" w14:textId="30A48738" w:rsidR="009A3431" w:rsidRDefault="009A3431" w:rsidP="00886D59">
      <w:pPr>
        <w:spacing w:line="360" w:lineRule="auto"/>
        <w:jc w:val="both"/>
      </w:pPr>
      <w:r>
        <w:t xml:space="preserve">In this second scenario, the </w:t>
      </w:r>
      <w:r w:rsidRPr="009A3431">
        <w:rPr>
          <w:u w:val="single"/>
        </w:rPr>
        <w:t>Equation of the regression model</w:t>
      </w:r>
      <w:r>
        <w:t xml:space="preserve">’s data are presented in table </w:t>
      </w:r>
      <w:r w:rsidR="00ED4959" w:rsidRPr="00783C9C">
        <w:t>f</w:t>
      </w:r>
      <w:r w:rsidR="00852E71">
        <w:t>ive</w:t>
      </w:r>
      <w:r w:rsidR="00F37EF9">
        <w:t>,</w:t>
      </w:r>
      <w:r>
        <w:t xml:space="preserve"> and </w:t>
      </w:r>
      <w:r w:rsidR="00B7617F">
        <w:t>they</w:t>
      </w:r>
      <w:r>
        <w:t xml:space="preserve"> can be seen as:</w:t>
      </w:r>
    </w:p>
    <w:p w14:paraId="0EEB93FF" w14:textId="400BA824" w:rsidR="009A3431" w:rsidRDefault="009A3431" w:rsidP="00886D59">
      <w:pPr>
        <w:spacing w:line="360" w:lineRule="auto"/>
        <w:jc w:val="center"/>
        <w:rPr>
          <w:rFonts w:ascii="Cambria Math" w:hAnsi="Cambria Math" w:cs="Cambria Math"/>
          <w:i/>
          <w:iCs/>
        </w:rPr>
      </w:pPr>
      <w:r w:rsidRPr="009A3431">
        <w:rPr>
          <w:rFonts w:ascii="Cambria Math" w:hAnsi="Cambria Math"/>
          <w:i/>
          <w:iCs/>
        </w:rPr>
        <w:t xml:space="preserve">ROI = </w:t>
      </w:r>
      <w:r>
        <w:rPr>
          <w:rFonts w:ascii="Cambria Math" w:hAnsi="Cambria Math" w:cs="Cambria Math"/>
          <w:i/>
          <w:iCs/>
        </w:rPr>
        <w:t xml:space="preserve">0.0911 </w:t>
      </w:r>
      <w:r w:rsidRPr="009A3431">
        <w:rPr>
          <w:rFonts w:ascii="Cambria Math" w:hAnsi="Cambria Math"/>
          <w:i/>
          <w:iCs/>
        </w:rPr>
        <w:t xml:space="preserve">+ </w:t>
      </w:r>
      <w:r>
        <w:rPr>
          <w:rFonts w:ascii="Cambria Math" w:hAnsi="Cambria Math"/>
          <w:i/>
          <w:iCs/>
        </w:rPr>
        <w:t>0.0671</w:t>
      </w:r>
      <w:r w:rsidRPr="009A3431">
        <w:rPr>
          <w:rFonts w:ascii="Cambria Math" w:hAnsi="Cambria Math" w:cs="Cambria Math"/>
          <w:i/>
          <w:iCs/>
        </w:rPr>
        <w:t>Q</w:t>
      </w:r>
      <w:r>
        <w:rPr>
          <w:rFonts w:ascii="Cambria Math" w:hAnsi="Cambria Math" w:cs="Cambria Math"/>
          <w:i/>
          <w:iCs/>
        </w:rPr>
        <w:t>/</w:t>
      </w:r>
      <w:r w:rsidRPr="009A3431">
        <w:rPr>
          <w:rFonts w:ascii="Cambria Math" w:hAnsi="Cambria Math" w:cs="Cambria Math"/>
          <w:i/>
          <w:iCs/>
        </w:rPr>
        <w:t>R</w:t>
      </w:r>
      <w:r>
        <w:rPr>
          <w:rFonts w:ascii="Cambria Math" w:hAnsi="Cambria Math" w:cs="Cambria Math"/>
          <w:i/>
          <w:iCs/>
        </w:rPr>
        <w:t xml:space="preserve"> </w:t>
      </w:r>
      <w:r w:rsidRPr="009A3431">
        <w:rPr>
          <w:rFonts w:ascii="Cambria Math" w:hAnsi="Cambria Math"/>
          <w:i/>
          <w:iCs/>
        </w:rPr>
        <w:t xml:space="preserve">+ </w:t>
      </w:r>
      <w:r>
        <w:rPr>
          <w:rFonts w:ascii="Cambria Math" w:hAnsi="Cambria Math" w:cs="Cambria Math"/>
          <w:i/>
          <w:iCs/>
        </w:rPr>
        <w:t>(0.1997)</w:t>
      </w:r>
      <w:r w:rsidRPr="009A3431">
        <w:rPr>
          <w:rFonts w:ascii="Cambria Math" w:hAnsi="Cambria Math" w:cs="Cambria Math"/>
          <w:i/>
          <w:iCs/>
        </w:rPr>
        <w:t>D</w:t>
      </w:r>
      <w:r>
        <w:rPr>
          <w:rFonts w:ascii="Cambria Math" w:hAnsi="Cambria Math" w:cs="Cambria Math"/>
          <w:i/>
          <w:iCs/>
        </w:rPr>
        <w:t>/</w:t>
      </w:r>
      <w:r w:rsidRPr="009A3431">
        <w:rPr>
          <w:rFonts w:ascii="Cambria Math" w:hAnsi="Cambria Math" w:cs="Cambria Math"/>
          <w:i/>
          <w:iCs/>
        </w:rPr>
        <w:t>C</w:t>
      </w:r>
      <w:r>
        <w:rPr>
          <w:rFonts w:ascii="Cambria Math" w:hAnsi="Cambria Math" w:cs="Cambria Math"/>
          <w:i/>
          <w:iCs/>
        </w:rPr>
        <w:t xml:space="preserve"> </w:t>
      </w:r>
      <w:r w:rsidRPr="009A3431">
        <w:rPr>
          <w:rFonts w:ascii="Cambria Math" w:hAnsi="Cambria Math"/>
          <w:i/>
          <w:iCs/>
        </w:rPr>
        <w:t xml:space="preserve">+ </w:t>
      </w:r>
      <w:r>
        <w:rPr>
          <w:rFonts w:ascii="Cambria Math" w:hAnsi="Cambria Math" w:cs="Cambria Math"/>
          <w:i/>
          <w:iCs/>
        </w:rPr>
        <w:t>0.0001</w:t>
      </w:r>
      <w:r w:rsidRPr="009A3431">
        <w:rPr>
          <w:rFonts w:ascii="Cambria Math" w:hAnsi="Cambria Math" w:cs="Cambria Math"/>
          <w:i/>
          <w:iCs/>
        </w:rPr>
        <w:t>Size</w:t>
      </w:r>
      <w:r w:rsidRPr="009A3431">
        <w:rPr>
          <w:rFonts w:ascii="Cambria Math" w:hAnsi="Cambria Math"/>
          <w:i/>
          <w:iCs/>
        </w:rPr>
        <w:t xml:space="preserve"> + </w:t>
      </w:r>
      <w:r>
        <w:rPr>
          <w:rFonts w:ascii="Cambria Math" w:hAnsi="Cambria Math" w:cs="Cambria Math"/>
          <w:i/>
          <w:iCs/>
        </w:rPr>
        <w:t>(0.1758)</w:t>
      </w:r>
      <w:r w:rsidRPr="009A3431">
        <w:rPr>
          <w:rFonts w:ascii="Cambria Math" w:hAnsi="Cambria Math" w:cs="Cambria Math"/>
          <w:i/>
          <w:iCs/>
        </w:rPr>
        <w:t>Growth rate</w:t>
      </w:r>
    </w:p>
    <w:p w14:paraId="3F1AC76C" w14:textId="7B33C913" w:rsidR="00132C50" w:rsidRDefault="00ED4959" w:rsidP="00886D59">
      <w:pPr>
        <w:spacing w:line="360" w:lineRule="auto"/>
        <w:jc w:val="both"/>
        <w:rPr>
          <w:rFonts w:cstheme="minorHAnsi"/>
        </w:rPr>
      </w:pPr>
      <w:r w:rsidRPr="00783C9C">
        <w:rPr>
          <w:rFonts w:cstheme="minorHAnsi"/>
        </w:rPr>
        <w:t xml:space="preserve">Table </w:t>
      </w:r>
      <w:r w:rsidR="00852E71">
        <w:rPr>
          <w:rFonts w:cstheme="minorHAnsi"/>
        </w:rPr>
        <w:t>four</w:t>
      </w:r>
      <w:r w:rsidRPr="00783C9C">
        <w:rPr>
          <w:rFonts w:cstheme="minorHAnsi"/>
        </w:rPr>
        <w:t xml:space="preserve"> presents the data needed to analyse the overall efficiency of the model, while table f</w:t>
      </w:r>
      <w:r w:rsidR="00852E71">
        <w:rPr>
          <w:rFonts w:cstheme="minorHAnsi"/>
        </w:rPr>
        <w:t>ive</w:t>
      </w:r>
      <w:r>
        <w:rPr>
          <w:rFonts w:cstheme="minorHAnsi"/>
        </w:rPr>
        <w:t xml:space="preserve"> is necessary for the individual test of the predictor variables. </w:t>
      </w:r>
      <w:r w:rsidR="00B7617F">
        <w:rPr>
          <w:rFonts w:cstheme="minorHAnsi"/>
        </w:rPr>
        <w:t xml:space="preserve">Based on the Regression Statistic, </w:t>
      </w:r>
      <w:r w:rsidR="000A2B28">
        <w:rPr>
          <w:rFonts w:cstheme="minorHAnsi"/>
        </w:rPr>
        <w:t xml:space="preserve">specifically on the </w:t>
      </w:r>
      <w:r w:rsidR="000A2B28" w:rsidRPr="000A2B28">
        <w:rPr>
          <w:rFonts w:cstheme="minorHAnsi"/>
          <w:u w:val="single"/>
        </w:rPr>
        <w:t>R-</w:t>
      </w:r>
      <w:r w:rsidR="000A2B28">
        <w:rPr>
          <w:rFonts w:cstheme="minorHAnsi"/>
          <w:u w:val="single"/>
        </w:rPr>
        <w:t>s</w:t>
      </w:r>
      <w:r w:rsidR="000A2B28" w:rsidRPr="000A2B28">
        <w:rPr>
          <w:rFonts w:cstheme="minorHAnsi"/>
          <w:u w:val="single"/>
        </w:rPr>
        <w:t>quared</w:t>
      </w:r>
      <w:r w:rsidR="000A2B28">
        <w:rPr>
          <w:rFonts w:cstheme="minorHAnsi"/>
        </w:rPr>
        <w:t xml:space="preserve">, </w:t>
      </w:r>
      <w:r w:rsidR="00B7617F">
        <w:rPr>
          <w:rFonts w:cstheme="minorHAnsi"/>
        </w:rPr>
        <w:t>it can be stated that 49.47% of the variability of the ROI can be explained by the entire set of predictor</w:t>
      </w:r>
      <w:r w:rsidR="00BA7B4C">
        <w:rPr>
          <w:rFonts w:cstheme="minorHAnsi"/>
        </w:rPr>
        <w:t>s</w:t>
      </w:r>
      <w:r w:rsidR="00B7617F">
        <w:rPr>
          <w:rFonts w:cstheme="minorHAnsi"/>
        </w:rPr>
        <w:t xml:space="preserve"> considered, which are Q/R, D/C, Size and Growth rate. </w:t>
      </w:r>
      <w:r w:rsidR="00BA277C">
        <w:rPr>
          <w:rFonts w:cstheme="minorHAnsi"/>
        </w:rPr>
        <w:t>The relationship between the combined predictor variables and the ROI results stronger than the previous model, suggesting that this model is approximately a good predictor of the results.</w:t>
      </w:r>
      <w:r w:rsidR="0064696C">
        <w:rPr>
          <w:rFonts w:cstheme="minorHAnsi"/>
        </w:rPr>
        <w:t xml:space="preserve"> </w:t>
      </w:r>
    </w:p>
    <w:p w14:paraId="0C06040C" w14:textId="4CE7A540" w:rsidR="00132C50" w:rsidRDefault="0064696C" w:rsidP="00886D59">
      <w:pPr>
        <w:spacing w:line="360" w:lineRule="auto"/>
        <w:jc w:val="both"/>
        <w:rPr>
          <w:rFonts w:cstheme="minorHAnsi"/>
        </w:rPr>
      </w:pPr>
      <w:r>
        <w:rPr>
          <w:rFonts w:cstheme="minorHAnsi"/>
        </w:rPr>
        <w:lastRenderedPageBreak/>
        <w:t xml:space="preserve">The </w:t>
      </w:r>
      <w:r w:rsidRPr="000A2B28">
        <w:rPr>
          <w:rFonts w:cstheme="minorHAnsi"/>
          <w:b/>
          <w:bCs/>
        </w:rPr>
        <w:t>ANOVA</w:t>
      </w:r>
      <w:r>
        <w:rPr>
          <w:rFonts w:cstheme="minorHAnsi"/>
        </w:rPr>
        <w:t xml:space="preserve"> test showed that the model is significant, with a </w:t>
      </w:r>
      <w:r w:rsidRPr="000A2B28">
        <w:rPr>
          <w:rFonts w:cstheme="minorHAnsi"/>
          <w:u w:val="single"/>
        </w:rPr>
        <w:t>P</w:t>
      </w:r>
      <w:r w:rsidR="00F37EF9">
        <w:rPr>
          <w:rFonts w:cstheme="minorHAnsi"/>
          <w:u w:val="single"/>
        </w:rPr>
        <w:t>-</w:t>
      </w:r>
      <w:r w:rsidRPr="000A2B28">
        <w:rPr>
          <w:rFonts w:cstheme="minorHAnsi"/>
          <w:u w:val="single"/>
        </w:rPr>
        <w:t>value</w:t>
      </w:r>
      <w:r>
        <w:rPr>
          <w:rFonts w:cstheme="minorHAnsi"/>
        </w:rPr>
        <w:t xml:space="preserve"> of 0.001</w:t>
      </w:r>
      <w:r w:rsidR="00593EB5">
        <w:rPr>
          <w:rFonts w:cstheme="minorHAnsi"/>
        </w:rPr>
        <w:t>;</w:t>
      </w:r>
      <w:r>
        <w:rPr>
          <w:rFonts w:cstheme="minorHAnsi"/>
        </w:rPr>
        <w:t xml:space="preserve"> </w:t>
      </w:r>
      <w:r w:rsidR="00593EB5">
        <w:rPr>
          <w:rFonts w:cstheme="minorHAnsi"/>
        </w:rPr>
        <w:t>a</w:t>
      </w:r>
      <w:r w:rsidR="00572B55">
        <w:rPr>
          <w:rFonts w:cstheme="minorHAnsi"/>
        </w:rPr>
        <w:t>s the overall P-value is &lt;0.05, hypothesis 1 is accepted and hypothesis 0 is rejected: t</w:t>
      </w:r>
      <w:r>
        <w:rPr>
          <w:rFonts w:cstheme="minorHAnsi"/>
        </w:rPr>
        <w:t>his result underline</w:t>
      </w:r>
      <w:r w:rsidR="00392D7F">
        <w:rPr>
          <w:rFonts w:cstheme="minorHAnsi"/>
        </w:rPr>
        <w:t>s</w:t>
      </w:r>
      <w:r>
        <w:rPr>
          <w:rFonts w:cstheme="minorHAnsi"/>
        </w:rPr>
        <w:t xml:space="preserve"> that exist</w:t>
      </w:r>
      <w:r w:rsidR="007E6A63">
        <w:rPr>
          <w:rFonts w:cstheme="minorHAnsi"/>
        </w:rPr>
        <w:t>s</w:t>
      </w:r>
      <w:r>
        <w:rPr>
          <w:rFonts w:cstheme="minorHAnsi"/>
        </w:rPr>
        <w:t>, between the ROI and at least one variable between Q/R, D/C, Size and Growth, a useful linear relationship</w:t>
      </w:r>
      <w:r w:rsidR="00572B55">
        <w:rPr>
          <w:rFonts w:cstheme="minorHAnsi"/>
        </w:rPr>
        <w:t>.</w:t>
      </w:r>
    </w:p>
    <w:p w14:paraId="1A3E346A" w14:textId="3B9C7B1E" w:rsidR="009A3431" w:rsidRDefault="0064696C" w:rsidP="00886D59">
      <w:pPr>
        <w:spacing w:line="360" w:lineRule="auto"/>
        <w:jc w:val="both"/>
        <w:rPr>
          <w:rFonts w:cstheme="minorHAnsi"/>
        </w:rPr>
      </w:pPr>
      <w:r>
        <w:rPr>
          <w:rFonts w:cstheme="minorHAnsi"/>
        </w:rPr>
        <w:t>Furthermore, the</w:t>
      </w:r>
      <w:r w:rsidR="007E6A63">
        <w:rPr>
          <w:rFonts w:cstheme="minorHAnsi"/>
        </w:rPr>
        <w:t xml:space="preserve"> individual test of the predictor variables demonstrates </w:t>
      </w:r>
      <w:r w:rsidR="007E6A63" w:rsidRPr="007E6A63">
        <w:rPr>
          <w:rFonts w:cstheme="minorHAnsi"/>
        </w:rPr>
        <w:t>that only one of the four partial slopes is significant</w:t>
      </w:r>
      <w:r w:rsidR="007E6A63">
        <w:rPr>
          <w:rFonts w:cstheme="minorHAnsi"/>
        </w:rPr>
        <w:t>, which is the Debt-to-Capital Ratio</w:t>
      </w:r>
      <w:r w:rsidR="00132C50">
        <w:rPr>
          <w:rFonts w:cstheme="minorHAnsi"/>
        </w:rPr>
        <w:t xml:space="preserve"> with a </w:t>
      </w:r>
      <w:r w:rsidR="00132C50" w:rsidRPr="000A2B28">
        <w:rPr>
          <w:rFonts w:cstheme="minorHAnsi"/>
          <w:u w:val="single"/>
        </w:rPr>
        <w:t>p-value</w:t>
      </w:r>
      <w:r w:rsidR="00132C50">
        <w:rPr>
          <w:rFonts w:cstheme="minorHAnsi"/>
        </w:rPr>
        <w:t xml:space="preserve"> of 0.0002. This result implies that the leverage ratio used in the second equation significantly contribute to profitability</w:t>
      </w:r>
      <w:r w:rsidR="007E6A63">
        <w:rPr>
          <w:rFonts w:cstheme="minorHAnsi"/>
        </w:rPr>
        <w:t>. A</w:t>
      </w:r>
      <w:r w:rsidR="007E6A63" w:rsidRPr="007E6A63">
        <w:rPr>
          <w:rFonts w:cstheme="minorHAnsi"/>
        </w:rPr>
        <w:t>naly</w:t>
      </w:r>
      <w:r w:rsidR="007E6A63">
        <w:rPr>
          <w:rFonts w:cstheme="minorHAnsi"/>
        </w:rPr>
        <w:t>s</w:t>
      </w:r>
      <w:r w:rsidR="007E6A63" w:rsidRPr="007E6A63">
        <w:rPr>
          <w:rFonts w:cstheme="minorHAnsi"/>
        </w:rPr>
        <w:t>ing in detail the individual results,</w:t>
      </w:r>
      <w:r w:rsidR="007E6A63">
        <w:rPr>
          <w:rFonts w:cstheme="minorHAnsi"/>
        </w:rPr>
        <w:t xml:space="preserve"> Quick Ratio and Size have an insignificant positive relationship with the ROI</w:t>
      </w:r>
      <w:r w:rsidR="00532589">
        <w:rPr>
          <w:rFonts w:cstheme="minorHAnsi"/>
        </w:rPr>
        <w:t>, while the Growth Rate appears to have an insignificant negative relationship with the dependent variable</w:t>
      </w:r>
      <w:r w:rsidR="00132C50">
        <w:rPr>
          <w:rFonts w:cstheme="minorHAnsi"/>
        </w:rPr>
        <w:t xml:space="preserve"> considered</w:t>
      </w:r>
      <w:r w:rsidR="00532589">
        <w:rPr>
          <w:rFonts w:cstheme="minorHAnsi"/>
        </w:rPr>
        <w:t>. Debt-to-Capital Ratio, instead, ha</w:t>
      </w:r>
      <w:r w:rsidR="00132C50">
        <w:rPr>
          <w:rFonts w:cstheme="minorHAnsi"/>
        </w:rPr>
        <w:t>s</w:t>
      </w:r>
      <w:r w:rsidR="00532589">
        <w:rPr>
          <w:rFonts w:cstheme="minorHAnsi"/>
        </w:rPr>
        <w:t xml:space="preserve"> a</w:t>
      </w:r>
      <w:r w:rsidR="000A2B28">
        <w:rPr>
          <w:rFonts w:cstheme="minorHAnsi"/>
        </w:rPr>
        <w:t xml:space="preserve"> </w:t>
      </w:r>
      <w:r w:rsidR="00532589">
        <w:rPr>
          <w:rFonts w:cstheme="minorHAnsi"/>
        </w:rPr>
        <w:t>significant negative relationship with the Return on In</w:t>
      </w:r>
      <w:r w:rsidR="00392D7F">
        <w:rPr>
          <w:rFonts w:cstheme="minorHAnsi"/>
        </w:rPr>
        <w:t>terest</w:t>
      </w:r>
      <w:r w:rsidR="00532589">
        <w:rPr>
          <w:rFonts w:cstheme="minorHAnsi"/>
        </w:rPr>
        <w:t xml:space="preserve">, meaning that higher levels of D/C lead to </w:t>
      </w:r>
      <w:r w:rsidR="00392D7F">
        <w:rPr>
          <w:rFonts w:cstheme="minorHAnsi"/>
        </w:rPr>
        <w:t xml:space="preserve">a </w:t>
      </w:r>
      <w:r w:rsidR="00532589">
        <w:rPr>
          <w:rFonts w:cstheme="minorHAnsi"/>
        </w:rPr>
        <w:t>reduction in the level of the ROI</w:t>
      </w:r>
      <w:r w:rsidR="00886D59">
        <w:rPr>
          <w:rFonts w:cstheme="minorHAnsi"/>
        </w:rPr>
        <w:t>,</w:t>
      </w:r>
      <w:r w:rsidR="00532589">
        <w:rPr>
          <w:rFonts w:cstheme="minorHAnsi"/>
        </w:rPr>
        <w:t xml:space="preserve"> or companies with a higher level of debt financing result to be less profitable. </w:t>
      </w:r>
      <w:r w:rsidR="00392D7F">
        <w:rPr>
          <w:rFonts w:cstheme="minorHAnsi"/>
        </w:rPr>
        <w:t>Following the outcome of the analysis, every increase of 1 unit in leverage (D/C), lead to a decrease o</w:t>
      </w:r>
      <w:r w:rsidR="00752FDD">
        <w:rPr>
          <w:rFonts w:cstheme="minorHAnsi"/>
        </w:rPr>
        <w:t>f</w:t>
      </w:r>
      <w:r w:rsidR="00392D7F">
        <w:rPr>
          <w:rFonts w:cstheme="minorHAnsi"/>
        </w:rPr>
        <w:t xml:space="preserve"> 0.20 </w:t>
      </w:r>
      <w:r w:rsidR="00DF7501">
        <w:rPr>
          <w:rFonts w:cstheme="minorHAnsi"/>
        </w:rPr>
        <w:t xml:space="preserve">of the profitability (ROI). </w:t>
      </w:r>
    </w:p>
    <w:p w14:paraId="02ACB32F" w14:textId="77777777" w:rsidR="00783C9C" w:rsidRPr="009A3431" w:rsidRDefault="00783C9C" w:rsidP="009A3431">
      <w:pPr>
        <w:spacing w:line="254" w:lineRule="auto"/>
        <w:rPr>
          <w:rFonts w:cstheme="minorHAnsi"/>
        </w:rPr>
      </w:pPr>
    </w:p>
    <w:p w14:paraId="5238CC2A" w14:textId="717FB5D3" w:rsidR="009A3431" w:rsidRDefault="002E402E" w:rsidP="00852E71">
      <w:pPr>
        <w:pStyle w:val="Heading3"/>
        <w:spacing w:line="480" w:lineRule="auto"/>
        <w:rPr>
          <w:rFonts w:ascii="Arial" w:hAnsi="Arial" w:cs="Arial"/>
          <w:b/>
          <w:bCs/>
          <w:color w:val="auto"/>
        </w:rPr>
      </w:pPr>
      <w:bookmarkStart w:id="42" w:name="_Toc43473614"/>
      <w:r>
        <w:rPr>
          <w:rFonts w:ascii="Arial" w:hAnsi="Arial" w:cs="Arial"/>
          <w:b/>
          <w:bCs/>
          <w:color w:val="auto"/>
        </w:rPr>
        <w:t xml:space="preserve">2.3 </w:t>
      </w:r>
      <w:r w:rsidR="00E142A1" w:rsidRPr="00852E71">
        <w:rPr>
          <w:rFonts w:ascii="Arial" w:hAnsi="Arial" w:cs="Arial"/>
          <w:b/>
          <w:bCs/>
          <w:color w:val="auto"/>
        </w:rPr>
        <w:t>Equation three Testing</w:t>
      </w:r>
      <w:bookmarkEnd w:id="42"/>
    </w:p>
    <w:p w14:paraId="5ECEC3AF" w14:textId="77777777" w:rsidR="00852E71" w:rsidRDefault="00852E71" w:rsidP="00852E71">
      <w:pPr>
        <w:spacing w:line="254" w:lineRule="auto"/>
        <w:ind w:left="360"/>
        <w:jc w:val="both"/>
        <w:rPr>
          <w:rFonts w:ascii="Cambria Math" w:hAnsi="Cambria Math"/>
          <w:i/>
          <w:iCs/>
        </w:rPr>
      </w:pPr>
    </w:p>
    <w:p w14:paraId="38F1DF7F" w14:textId="376CAA51" w:rsidR="00852E71" w:rsidRPr="00852E71" w:rsidRDefault="00852E71" w:rsidP="00852E71">
      <w:pPr>
        <w:spacing w:line="254" w:lineRule="auto"/>
        <w:ind w:left="360"/>
        <w:jc w:val="both"/>
        <w:rPr>
          <w:rFonts w:ascii="Cambria Math" w:hAnsi="Cambria Math"/>
          <w:b/>
          <w:bCs/>
        </w:rPr>
      </w:pPr>
      <w:r w:rsidRPr="00852E71">
        <w:rPr>
          <w:rFonts w:ascii="Cambria Math" w:hAnsi="Cambria Math"/>
          <w:b/>
          <w:bCs/>
          <w:i/>
          <w:iCs/>
        </w:rPr>
        <w:t xml:space="preserve">ROA = </w:t>
      </w:r>
      <w:r w:rsidRPr="00852E71">
        <w:rPr>
          <w:rFonts w:ascii="Cambria Math" w:hAnsi="Cambria Math" w:cs="Cambria Math"/>
          <w:b/>
          <w:bCs/>
          <w:i/>
          <w:iCs/>
        </w:rPr>
        <w:t>𝛽</w:t>
      </w:r>
      <w:r w:rsidRPr="00852E71">
        <w:rPr>
          <w:rFonts w:ascii="Cambria Math" w:hAnsi="Cambria Math"/>
          <w:b/>
          <w:bCs/>
          <w:i/>
          <w:iCs/>
        </w:rPr>
        <w:t xml:space="preserve">0 + </w:t>
      </w:r>
      <w:r w:rsidRPr="00852E71">
        <w:rPr>
          <w:rFonts w:ascii="Cambria Math" w:hAnsi="Cambria Math" w:cs="Cambria Math"/>
          <w:b/>
          <w:bCs/>
          <w:i/>
          <w:iCs/>
        </w:rPr>
        <w:t>𝛽</w:t>
      </w:r>
      <w:r w:rsidRPr="00852E71">
        <w:rPr>
          <w:rFonts w:ascii="Cambria Math" w:hAnsi="Cambria Math"/>
          <w:b/>
          <w:bCs/>
          <w:i/>
          <w:iCs/>
        </w:rPr>
        <w:t>1</w:t>
      </w:r>
      <w:r w:rsidRPr="00852E71">
        <w:rPr>
          <w:rFonts w:ascii="Cambria Math" w:hAnsi="Cambria Math" w:cs="Cambria Math"/>
          <w:b/>
          <w:bCs/>
          <w:i/>
          <w:iCs/>
        </w:rPr>
        <w:t>Current Ratio</w:t>
      </w:r>
      <w:r w:rsidRPr="00852E71">
        <w:rPr>
          <w:rFonts w:ascii="Cambria Math" w:hAnsi="Cambria Math"/>
          <w:b/>
          <w:bCs/>
          <w:i/>
          <w:iCs/>
        </w:rPr>
        <w:t xml:space="preserve">+ </w:t>
      </w:r>
      <w:r w:rsidRPr="00852E71">
        <w:rPr>
          <w:rFonts w:ascii="Cambria Math" w:hAnsi="Cambria Math" w:cs="Cambria Math"/>
          <w:b/>
          <w:bCs/>
          <w:i/>
          <w:iCs/>
        </w:rPr>
        <w:t>𝛽</w:t>
      </w:r>
      <w:r w:rsidRPr="00852E71">
        <w:rPr>
          <w:rFonts w:ascii="Cambria Math" w:hAnsi="Cambria Math"/>
          <w:b/>
          <w:bCs/>
          <w:i/>
          <w:iCs/>
        </w:rPr>
        <w:t>2</w:t>
      </w:r>
      <w:r w:rsidRPr="00852E71">
        <w:rPr>
          <w:rFonts w:ascii="Cambria Math" w:hAnsi="Cambria Math" w:cs="Cambria Math"/>
          <w:b/>
          <w:bCs/>
          <w:i/>
          <w:iCs/>
        </w:rPr>
        <w:t>Debt-to-Equity Ratio</w:t>
      </w:r>
      <w:r w:rsidRPr="00852E71">
        <w:rPr>
          <w:rFonts w:ascii="Cambria Math" w:hAnsi="Cambria Math"/>
          <w:b/>
          <w:bCs/>
          <w:i/>
          <w:iCs/>
        </w:rPr>
        <w:t xml:space="preserve"> + </w:t>
      </w:r>
      <w:r w:rsidRPr="00852E71">
        <w:rPr>
          <w:rFonts w:ascii="Cambria Math" w:hAnsi="Cambria Math" w:cs="Cambria Math"/>
          <w:b/>
          <w:bCs/>
          <w:i/>
          <w:iCs/>
        </w:rPr>
        <w:t>𝛽</w:t>
      </w:r>
      <w:r w:rsidRPr="00852E71">
        <w:rPr>
          <w:rFonts w:ascii="Cambria Math" w:hAnsi="Cambria Math"/>
          <w:b/>
          <w:bCs/>
          <w:i/>
          <w:iCs/>
        </w:rPr>
        <w:t>3</w:t>
      </w:r>
      <w:r w:rsidRPr="00852E71">
        <w:rPr>
          <w:rFonts w:ascii="Cambria Math" w:hAnsi="Cambria Math" w:cs="Cambria Math"/>
          <w:b/>
          <w:bCs/>
          <w:i/>
          <w:iCs/>
        </w:rPr>
        <w:t>Size</w:t>
      </w:r>
      <w:r w:rsidRPr="00852E71">
        <w:rPr>
          <w:rFonts w:ascii="Cambria Math" w:hAnsi="Cambria Math"/>
          <w:b/>
          <w:bCs/>
          <w:i/>
          <w:iCs/>
        </w:rPr>
        <w:t xml:space="preserve"> + </w:t>
      </w:r>
      <w:r w:rsidRPr="00852E71">
        <w:rPr>
          <w:rFonts w:ascii="Cambria Math" w:hAnsi="Cambria Math" w:cs="Cambria Math"/>
          <w:b/>
          <w:bCs/>
          <w:i/>
          <w:iCs/>
        </w:rPr>
        <w:t>𝛽</w:t>
      </w:r>
      <w:r w:rsidRPr="00852E71">
        <w:rPr>
          <w:rFonts w:ascii="Cambria Math" w:hAnsi="Cambria Math"/>
          <w:b/>
          <w:bCs/>
          <w:i/>
          <w:iCs/>
        </w:rPr>
        <w:t>4</w:t>
      </w:r>
      <w:r w:rsidRPr="00852E71">
        <w:rPr>
          <w:rFonts w:ascii="Cambria Math" w:hAnsi="Cambria Math" w:cs="Cambria Math"/>
          <w:b/>
          <w:bCs/>
          <w:i/>
          <w:iCs/>
        </w:rPr>
        <w:t>Growth rate + 𝜀</w:t>
      </w:r>
    </w:p>
    <w:p w14:paraId="52D87613" w14:textId="28553C29" w:rsidR="00783C9C" w:rsidRDefault="00783C9C" w:rsidP="00E142A1">
      <w:pPr>
        <w:spacing w:line="254" w:lineRule="auto"/>
        <w:jc w:val="both"/>
      </w:pPr>
    </w:p>
    <w:tbl>
      <w:tblPr>
        <w:tblW w:w="9220" w:type="dxa"/>
        <w:tblLook w:val="04A0" w:firstRow="1" w:lastRow="0" w:firstColumn="1" w:lastColumn="0" w:noHBand="0" w:noVBand="1"/>
      </w:tblPr>
      <w:tblGrid>
        <w:gridCol w:w="1656"/>
        <w:gridCol w:w="1416"/>
        <w:gridCol w:w="1900"/>
        <w:gridCol w:w="1436"/>
        <w:gridCol w:w="1397"/>
        <w:gridCol w:w="1496"/>
      </w:tblGrid>
      <w:tr w:rsidR="00783C9C" w:rsidRPr="00783C9C" w14:paraId="13ACC654" w14:textId="77777777" w:rsidTr="00C13572">
        <w:trPr>
          <w:trHeight w:val="294"/>
        </w:trPr>
        <w:tc>
          <w:tcPr>
            <w:tcW w:w="1656" w:type="dxa"/>
            <w:tcBorders>
              <w:top w:val="single" w:sz="4" w:space="0" w:color="auto"/>
              <w:left w:val="single" w:sz="4" w:space="0" w:color="auto"/>
              <w:bottom w:val="nil"/>
              <w:right w:val="nil"/>
            </w:tcBorders>
            <w:shd w:val="clear" w:color="auto" w:fill="auto"/>
            <w:noWrap/>
            <w:vAlign w:val="bottom"/>
            <w:hideMark/>
          </w:tcPr>
          <w:p w14:paraId="41A2CF9F" w14:textId="77777777" w:rsidR="00783C9C" w:rsidRPr="00783C9C" w:rsidRDefault="00783C9C" w:rsidP="00783C9C">
            <w:pPr>
              <w:spacing w:after="0" w:line="240" w:lineRule="auto"/>
              <w:rPr>
                <w:rFonts w:ascii="Times New Roman" w:eastAsia="Times New Roman" w:hAnsi="Times New Roman" w:cs="Times New Roman"/>
                <w:sz w:val="24"/>
                <w:szCs w:val="24"/>
                <w:lang w:eastAsia="en-GB"/>
              </w:rPr>
            </w:pPr>
          </w:p>
        </w:tc>
        <w:tc>
          <w:tcPr>
            <w:tcW w:w="1416" w:type="dxa"/>
            <w:tcBorders>
              <w:top w:val="single" w:sz="4" w:space="0" w:color="auto"/>
              <w:left w:val="nil"/>
              <w:bottom w:val="nil"/>
              <w:right w:val="nil"/>
            </w:tcBorders>
            <w:shd w:val="clear" w:color="auto" w:fill="auto"/>
            <w:noWrap/>
            <w:vAlign w:val="bottom"/>
            <w:hideMark/>
          </w:tcPr>
          <w:p w14:paraId="1E03D3CA" w14:textId="77777777" w:rsidR="00783C9C" w:rsidRPr="00783C9C" w:rsidRDefault="00783C9C" w:rsidP="00783C9C">
            <w:pPr>
              <w:spacing w:after="0" w:line="240" w:lineRule="auto"/>
              <w:rPr>
                <w:rFonts w:ascii="Times New Roman" w:eastAsia="Times New Roman" w:hAnsi="Times New Roman" w:cs="Times New Roman"/>
                <w:sz w:val="20"/>
                <w:szCs w:val="20"/>
                <w:lang w:eastAsia="en-GB"/>
              </w:rPr>
            </w:pPr>
          </w:p>
        </w:tc>
        <w:tc>
          <w:tcPr>
            <w:tcW w:w="3336" w:type="dxa"/>
            <w:gridSpan w:val="2"/>
            <w:tcBorders>
              <w:top w:val="single" w:sz="4" w:space="0" w:color="auto"/>
              <w:left w:val="nil"/>
              <w:bottom w:val="nil"/>
              <w:right w:val="nil"/>
            </w:tcBorders>
            <w:shd w:val="clear" w:color="auto" w:fill="auto"/>
            <w:noWrap/>
            <w:vAlign w:val="bottom"/>
            <w:hideMark/>
          </w:tcPr>
          <w:p w14:paraId="13E0BBBC" w14:textId="77777777" w:rsidR="00783C9C" w:rsidRPr="00783C9C" w:rsidRDefault="00783C9C" w:rsidP="00783C9C">
            <w:pPr>
              <w:spacing w:after="0" w:line="240" w:lineRule="auto"/>
              <w:rPr>
                <w:rFonts w:ascii="Calibri" w:eastAsia="Times New Roman" w:hAnsi="Calibri" w:cs="Calibri"/>
                <w:b/>
                <w:bCs/>
                <w:color w:val="000000"/>
                <w:lang w:eastAsia="en-GB"/>
              </w:rPr>
            </w:pPr>
            <w:r w:rsidRPr="00783C9C">
              <w:rPr>
                <w:rFonts w:ascii="Calibri" w:eastAsia="Times New Roman" w:hAnsi="Calibri" w:cs="Calibri"/>
                <w:b/>
                <w:bCs/>
                <w:color w:val="000000"/>
                <w:lang w:eastAsia="en-GB"/>
              </w:rPr>
              <w:t>REGRESSION STATISTIC</w:t>
            </w:r>
          </w:p>
        </w:tc>
        <w:tc>
          <w:tcPr>
            <w:tcW w:w="1316" w:type="dxa"/>
            <w:tcBorders>
              <w:top w:val="single" w:sz="4" w:space="0" w:color="auto"/>
              <w:left w:val="nil"/>
              <w:bottom w:val="nil"/>
              <w:right w:val="nil"/>
            </w:tcBorders>
            <w:shd w:val="clear" w:color="auto" w:fill="auto"/>
            <w:noWrap/>
            <w:vAlign w:val="bottom"/>
            <w:hideMark/>
          </w:tcPr>
          <w:p w14:paraId="2F8EDC7C" w14:textId="77777777" w:rsidR="00783C9C" w:rsidRPr="00783C9C" w:rsidRDefault="00783C9C" w:rsidP="00783C9C">
            <w:pPr>
              <w:spacing w:after="0" w:line="240" w:lineRule="auto"/>
              <w:rPr>
                <w:rFonts w:ascii="Calibri" w:eastAsia="Times New Roman" w:hAnsi="Calibri" w:cs="Calibri"/>
                <w:b/>
                <w:bCs/>
                <w:color w:val="000000"/>
                <w:lang w:eastAsia="en-GB"/>
              </w:rPr>
            </w:pPr>
          </w:p>
        </w:tc>
        <w:tc>
          <w:tcPr>
            <w:tcW w:w="1496" w:type="dxa"/>
            <w:tcBorders>
              <w:top w:val="single" w:sz="4" w:space="0" w:color="auto"/>
              <w:left w:val="nil"/>
              <w:bottom w:val="nil"/>
              <w:right w:val="single" w:sz="4" w:space="0" w:color="auto"/>
            </w:tcBorders>
            <w:shd w:val="clear" w:color="auto" w:fill="auto"/>
            <w:noWrap/>
            <w:vAlign w:val="bottom"/>
            <w:hideMark/>
          </w:tcPr>
          <w:p w14:paraId="16AD5BF0" w14:textId="77777777" w:rsidR="00783C9C" w:rsidRPr="00783C9C" w:rsidRDefault="00783C9C" w:rsidP="00783C9C">
            <w:pPr>
              <w:spacing w:after="0" w:line="240" w:lineRule="auto"/>
              <w:rPr>
                <w:rFonts w:ascii="Times New Roman" w:eastAsia="Times New Roman" w:hAnsi="Times New Roman" w:cs="Times New Roman"/>
                <w:sz w:val="20"/>
                <w:szCs w:val="20"/>
                <w:lang w:eastAsia="en-GB"/>
              </w:rPr>
            </w:pPr>
          </w:p>
        </w:tc>
      </w:tr>
      <w:tr w:rsidR="00783C9C" w:rsidRPr="00783C9C" w14:paraId="640C568E" w14:textId="77777777" w:rsidTr="00C13572">
        <w:trPr>
          <w:trHeight w:val="294"/>
        </w:trPr>
        <w:tc>
          <w:tcPr>
            <w:tcW w:w="1656" w:type="dxa"/>
            <w:tcBorders>
              <w:top w:val="single" w:sz="4" w:space="0" w:color="auto"/>
              <w:left w:val="single" w:sz="4" w:space="0" w:color="auto"/>
              <w:bottom w:val="single" w:sz="8" w:space="0" w:color="auto"/>
              <w:right w:val="nil"/>
            </w:tcBorders>
            <w:shd w:val="clear" w:color="auto" w:fill="auto"/>
            <w:noWrap/>
            <w:vAlign w:val="center"/>
            <w:hideMark/>
          </w:tcPr>
          <w:p w14:paraId="66414A92"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Multiple R</w:t>
            </w:r>
          </w:p>
        </w:tc>
        <w:tc>
          <w:tcPr>
            <w:tcW w:w="1416" w:type="dxa"/>
            <w:tcBorders>
              <w:top w:val="single" w:sz="4" w:space="0" w:color="auto"/>
              <w:left w:val="nil"/>
              <w:bottom w:val="single" w:sz="8" w:space="0" w:color="auto"/>
              <w:right w:val="nil"/>
            </w:tcBorders>
            <w:shd w:val="clear" w:color="auto" w:fill="auto"/>
            <w:noWrap/>
            <w:vAlign w:val="center"/>
            <w:hideMark/>
          </w:tcPr>
          <w:p w14:paraId="71D6BCDF"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R squared</w:t>
            </w:r>
          </w:p>
        </w:tc>
        <w:tc>
          <w:tcPr>
            <w:tcW w:w="1900" w:type="dxa"/>
            <w:tcBorders>
              <w:top w:val="single" w:sz="4" w:space="0" w:color="auto"/>
              <w:left w:val="nil"/>
              <w:bottom w:val="single" w:sz="8" w:space="0" w:color="auto"/>
              <w:right w:val="nil"/>
            </w:tcBorders>
            <w:shd w:val="clear" w:color="auto" w:fill="auto"/>
            <w:noWrap/>
            <w:vAlign w:val="center"/>
            <w:hideMark/>
          </w:tcPr>
          <w:p w14:paraId="56189E30"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Adjusted R squared</w:t>
            </w:r>
          </w:p>
        </w:tc>
        <w:tc>
          <w:tcPr>
            <w:tcW w:w="1436" w:type="dxa"/>
            <w:tcBorders>
              <w:top w:val="single" w:sz="4" w:space="0" w:color="auto"/>
              <w:left w:val="nil"/>
              <w:bottom w:val="single" w:sz="8" w:space="0" w:color="auto"/>
              <w:right w:val="nil"/>
            </w:tcBorders>
            <w:shd w:val="clear" w:color="auto" w:fill="auto"/>
            <w:noWrap/>
            <w:vAlign w:val="center"/>
            <w:hideMark/>
          </w:tcPr>
          <w:p w14:paraId="097975ED"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Standard error</w:t>
            </w:r>
          </w:p>
        </w:tc>
        <w:tc>
          <w:tcPr>
            <w:tcW w:w="1316" w:type="dxa"/>
            <w:tcBorders>
              <w:top w:val="single" w:sz="4" w:space="0" w:color="auto"/>
              <w:left w:val="nil"/>
              <w:bottom w:val="single" w:sz="8" w:space="0" w:color="auto"/>
              <w:right w:val="nil"/>
            </w:tcBorders>
            <w:shd w:val="clear" w:color="auto" w:fill="auto"/>
            <w:noWrap/>
            <w:vAlign w:val="center"/>
            <w:hideMark/>
          </w:tcPr>
          <w:p w14:paraId="13ADBA73"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Observations</w:t>
            </w:r>
          </w:p>
        </w:tc>
        <w:tc>
          <w:tcPr>
            <w:tcW w:w="1496" w:type="dxa"/>
            <w:tcBorders>
              <w:top w:val="single" w:sz="4" w:space="0" w:color="auto"/>
              <w:left w:val="nil"/>
              <w:bottom w:val="single" w:sz="8" w:space="0" w:color="auto"/>
              <w:right w:val="single" w:sz="4" w:space="0" w:color="auto"/>
            </w:tcBorders>
            <w:shd w:val="clear" w:color="auto" w:fill="auto"/>
            <w:noWrap/>
            <w:vAlign w:val="center"/>
            <w:hideMark/>
          </w:tcPr>
          <w:p w14:paraId="0AD68DD8"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 </w:t>
            </w:r>
          </w:p>
        </w:tc>
      </w:tr>
      <w:tr w:rsidR="00783C9C" w:rsidRPr="00783C9C" w14:paraId="0948808E" w14:textId="77777777" w:rsidTr="00C13572">
        <w:trPr>
          <w:trHeight w:val="288"/>
        </w:trPr>
        <w:tc>
          <w:tcPr>
            <w:tcW w:w="1656" w:type="dxa"/>
            <w:tcBorders>
              <w:top w:val="nil"/>
              <w:left w:val="single" w:sz="4" w:space="0" w:color="auto"/>
              <w:bottom w:val="nil"/>
              <w:right w:val="nil"/>
            </w:tcBorders>
            <w:shd w:val="clear" w:color="auto" w:fill="auto"/>
            <w:noWrap/>
            <w:vAlign w:val="center"/>
            <w:hideMark/>
          </w:tcPr>
          <w:p w14:paraId="4861838A"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0.590084437</w:t>
            </w:r>
          </w:p>
        </w:tc>
        <w:tc>
          <w:tcPr>
            <w:tcW w:w="1416" w:type="dxa"/>
            <w:tcBorders>
              <w:top w:val="nil"/>
              <w:left w:val="nil"/>
              <w:bottom w:val="nil"/>
              <w:right w:val="nil"/>
            </w:tcBorders>
            <w:shd w:val="clear" w:color="auto" w:fill="auto"/>
            <w:noWrap/>
            <w:vAlign w:val="center"/>
            <w:hideMark/>
          </w:tcPr>
          <w:p w14:paraId="60002BEF"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0.348199642</w:t>
            </w:r>
          </w:p>
        </w:tc>
        <w:tc>
          <w:tcPr>
            <w:tcW w:w="1900" w:type="dxa"/>
            <w:tcBorders>
              <w:top w:val="nil"/>
              <w:left w:val="nil"/>
              <w:bottom w:val="nil"/>
              <w:right w:val="nil"/>
            </w:tcBorders>
            <w:shd w:val="clear" w:color="auto" w:fill="auto"/>
            <w:noWrap/>
            <w:vAlign w:val="center"/>
            <w:hideMark/>
          </w:tcPr>
          <w:p w14:paraId="01A251C2"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0.243911585</w:t>
            </w:r>
          </w:p>
        </w:tc>
        <w:tc>
          <w:tcPr>
            <w:tcW w:w="1436" w:type="dxa"/>
            <w:tcBorders>
              <w:top w:val="nil"/>
              <w:left w:val="nil"/>
              <w:bottom w:val="nil"/>
              <w:right w:val="nil"/>
            </w:tcBorders>
            <w:shd w:val="clear" w:color="auto" w:fill="auto"/>
            <w:noWrap/>
            <w:vAlign w:val="center"/>
            <w:hideMark/>
          </w:tcPr>
          <w:p w14:paraId="4B274276"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0.039096874</w:t>
            </w:r>
          </w:p>
        </w:tc>
        <w:tc>
          <w:tcPr>
            <w:tcW w:w="1316" w:type="dxa"/>
            <w:tcBorders>
              <w:top w:val="nil"/>
              <w:left w:val="nil"/>
              <w:bottom w:val="nil"/>
              <w:right w:val="nil"/>
            </w:tcBorders>
            <w:shd w:val="clear" w:color="auto" w:fill="auto"/>
            <w:noWrap/>
            <w:vAlign w:val="center"/>
            <w:hideMark/>
          </w:tcPr>
          <w:p w14:paraId="3C2D918B"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30</w:t>
            </w:r>
          </w:p>
        </w:tc>
        <w:tc>
          <w:tcPr>
            <w:tcW w:w="1496" w:type="dxa"/>
            <w:tcBorders>
              <w:top w:val="nil"/>
              <w:left w:val="nil"/>
              <w:bottom w:val="nil"/>
              <w:right w:val="single" w:sz="4" w:space="0" w:color="auto"/>
            </w:tcBorders>
            <w:shd w:val="clear" w:color="auto" w:fill="auto"/>
            <w:noWrap/>
            <w:vAlign w:val="center"/>
            <w:hideMark/>
          </w:tcPr>
          <w:p w14:paraId="3B355D49" w14:textId="77777777" w:rsidR="00783C9C" w:rsidRPr="00783C9C" w:rsidRDefault="00783C9C" w:rsidP="00783C9C">
            <w:pPr>
              <w:spacing w:after="0" w:line="240" w:lineRule="auto"/>
              <w:jc w:val="center"/>
              <w:rPr>
                <w:rFonts w:ascii="Calibri" w:eastAsia="Times New Roman" w:hAnsi="Calibri" w:cs="Calibri"/>
                <w:color w:val="000000"/>
                <w:lang w:eastAsia="en-GB"/>
              </w:rPr>
            </w:pPr>
          </w:p>
        </w:tc>
      </w:tr>
      <w:tr w:rsidR="00783C9C" w:rsidRPr="00783C9C" w14:paraId="53FF1C41" w14:textId="77777777" w:rsidTr="00C13572">
        <w:trPr>
          <w:trHeight w:val="294"/>
        </w:trPr>
        <w:tc>
          <w:tcPr>
            <w:tcW w:w="1656" w:type="dxa"/>
            <w:tcBorders>
              <w:top w:val="single" w:sz="4" w:space="0" w:color="auto"/>
              <w:left w:val="single" w:sz="4" w:space="0" w:color="auto"/>
              <w:bottom w:val="single" w:sz="8" w:space="0" w:color="auto"/>
              <w:right w:val="nil"/>
            </w:tcBorders>
            <w:shd w:val="clear" w:color="auto" w:fill="auto"/>
            <w:noWrap/>
            <w:vAlign w:val="center"/>
            <w:hideMark/>
          </w:tcPr>
          <w:p w14:paraId="3D78828E" w14:textId="77777777" w:rsidR="00783C9C" w:rsidRPr="00783C9C" w:rsidRDefault="00783C9C" w:rsidP="00783C9C">
            <w:pPr>
              <w:spacing w:after="0" w:line="240" w:lineRule="auto"/>
              <w:jc w:val="center"/>
              <w:rPr>
                <w:rFonts w:ascii="Calibri" w:eastAsia="Times New Roman" w:hAnsi="Calibri" w:cs="Calibri"/>
                <w:b/>
                <w:bCs/>
                <w:color w:val="000000"/>
                <w:lang w:eastAsia="en-GB"/>
              </w:rPr>
            </w:pPr>
            <w:r w:rsidRPr="00783C9C">
              <w:rPr>
                <w:rFonts w:ascii="Calibri" w:eastAsia="Times New Roman" w:hAnsi="Calibri" w:cs="Calibri"/>
                <w:b/>
                <w:bCs/>
                <w:color w:val="000000"/>
                <w:lang w:eastAsia="en-GB"/>
              </w:rPr>
              <w:t> </w:t>
            </w:r>
          </w:p>
        </w:tc>
        <w:tc>
          <w:tcPr>
            <w:tcW w:w="1416" w:type="dxa"/>
            <w:tcBorders>
              <w:top w:val="single" w:sz="4" w:space="0" w:color="auto"/>
              <w:left w:val="nil"/>
              <w:bottom w:val="single" w:sz="8" w:space="0" w:color="auto"/>
              <w:right w:val="nil"/>
            </w:tcBorders>
            <w:shd w:val="clear" w:color="auto" w:fill="auto"/>
            <w:noWrap/>
            <w:vAlign w:val="center"/>
            <w:hideMark/>
          </w:tcPr>
          <w:p w14:paraId="5335598D"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 </w:t>
            </w:r>
          </w:p>
        </w:tc>
        <w:tc>
          <w:tcPr>
            <w:tcW w:w="1900" w:type="dxa"/>
            <w:tcBorders>
              <w:top w:val="single" w:sz="4" w:space="0" w:color="auto"/>
              <w:left w:val="nil"/>
              <w:bottom w:val="single" w:sz="8" w:space="0" w:color="auto"/>
              <w:right w:val="nil"/>
            </w:tcBorders>
            <w:shd w:val="clear" w:color="auto" w:fill="auto"/>
            <w:noWrap/>
            <w:vAlign w:val="center"/>
            <w:hideMark/>
          </w:tcPr>
          <w:p w14:paraId="40B95981" w14:textId="4F6F4413" w:rsidR="00783C9C" w:rsidRPr="00783C9C" w:rsidRDefault="00783C9C" w:rsidP="00783C9C">
            <w:pPr>
              <w:spacing w:after="0"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 xml:space="preserve">          </w:t>
            </w:r>
            <w:r w:rsidRPr="00783C9C">
              <w:rPr>
                <w:rFonts w:ascii="Calibri" w:eastAsia="Times New Roman" w:hAnsi="Calibri" w:cs="Calibri"/>
                <w:b/>
                <w:bCs/>
                <w:color w:val="000000"/>
                <w:lang w:eastAsia="en-GB"/>
              </w:rPr>
              <w:t>ANOVA</w:t>
            </w:r>
          </w:p>
        </w:tc>
        <w:tc>
          <w:tcPr>
            <w:tcW w:w="1436" w:type="dxa"/>
            <w:tcBorders>
              <w:top w:val="single" w:sz="4" w:space="0" w:color="auto"/>
              <w:left w:val="nil"/>
              <w:bottom w:val="single" w:sz="8" w:space="0" w:color="auto"/>
              <w:right w:val="nil"/>
            </w:tcBorders>
            <w:shd w:val="clear" w:color="auto" w:fill="auto"/>
            <w:noWrap/>
            <w:vAlign w:val="center"/>
            <w:hideMark/>
          </w:tcPr>
          <w:p w14:paraId="21AB7731"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 </w:t>
            </w:r>
          </w:p>
        </w:tc>
        <w:tc>
          <w:tcPr>
            <w:tcW w:w="1316" w:type="dxa"/>
            <w:tcBorders>
              <w:top w:val="single" w:sz="4" w:space="0" w:color="auto"/>
              <w:left w:val="nil"/>
              <w:bottom w:val="single" w:sz="8" w:space="0" w:color="auto"/>
              <w:right w:val="nil"/>
            </w:tcBorders>
            <w:shd w:val="clear" w:color="auto" w:fill="auto"/>
            <w:noWrap/>
            <w:vAlign w:val="center"/>
            <w:hideMark/>
          </w:tcPr>
          <w:p w14:paraId="4A0857A9"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 </w:t>
            </w:r>
          </w:p>
        </w:tc>
        <w:tc>
          <w:tcPr>
            <w:tcW w:w="1496" w:type="dxa"/>
            <w:tcBorders>
              <w:top w:val="single" w:sz="4" w:space="0" w:color="auto"/>
              <w:left w:val="nil"/>
              <w:bottom w:val="single" w:sz="8" w:space="0" w:color="auto"/>
              <w:right w:val="single" w:sz="4" w:space="0" w:color="auto"/>
            </w:tcBorders>
            <w:shd w:val="clear" w:color="auto" w:fill="auto"/>
            <w:noWrap/>
            <w:vAlign w:val="center"/>
            <w:hideMark/>
          </w:tcPr>
          <w:p w14:paraId="3D17C576"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 </w:t>
            </w:r>
          </w:p>
        </w:tc>
      </w:tr>
      <w:tr w:rsidR="00783C9C" w:rsidRPr="00783C9C" w14:paraId="504E4349" w14:textId="77777777" w:rsidTr="00C13572">
        <w:trPr>
          <w:trHeight w:val="288"/>
        </w:trPr>
        <w:tc>
          <w:tcPr>
            <w:tcW w:w="1656" w:type="dxa"/>
            <w:tcBorders>
              <w:top w:val="nil"/>
              <w:left w:val="single" w:sz="4" w:space="0" w:color="auto"/>
              <w:bottom w:val="single" w:sz="4" w:space="0" w:color="auto"/>
              <w:right w:val="nil"/>
            </w:tcBorders>
            <w:shd w:val="clear" w:color="auto" w:fill="auto"/>
            <w:noWrap/>
            <w:vAlign w:val="center"/>
            <w:hideMark/>
          </w:tcPr>
          <w:p w14:paraId="7CEBC206" w14:textId="77777777" w:rsidR="00783C9C" w:rsidRPr="00783C9C" w:rsidRDefault="00783C9C" w:rsidP="00783C9C">
            <w:pPr>
              <w:spacing w:after="0" w:line="240" w:lineRule="auto"/>
              <w:jc w:val="center"/>
              <w:rPr>
                <w:rFonts w:ascii="Calibri" w:eastAsia="Times New Roman" w:hAnsi="Calibri" w:cs="Calibri"/>
                <w:i/>
                <w:iCs/>
                <w:color w:val="000000"/>
                <w:lang w:eastAsia="en-GB"/>
              </w:rPr>
            </w:pPr>
            <w:r w:rsidRPr="00783C9C">
              <w:rPr>
                <w:rFonts w:ascii="Calibri" w:eastAsia="Times New Roman" w:hAnsi="Calibri" w:cs="Calibri"/>
                <w:i/>
                <w:iCs/>
                <w:color w:val="000000"/>
                <w:lang w:eastAsia="en-GB"/>
              </w:rPr>
              <w:t> </w:t>
            </w:r>
          </w:p>
        </w:tc>
        <w:tc>
          <w:tcPr>
            <w:tcW w:w="1416" w:type="dxa"/>
            <w:tcBorders>
              <w:top w:val="nil"/>
              <w:left w:val="nil"/>
              <w:bottom w:val="single" w:sz="4" w:space="0" w:color="auto"/>
              <w:right w:val="nil"/>
            </w:tcBorders>
            <w:shd w:val="clear" w:color="auto" w:fill="auto"/>
            <w:noWrap/>
            <w:vAlign w:val="center"/>
            <w:hideMark/>
          </w:tcPr>
          <w:p w14:paraId="7B7F6D44" w14:textId="77777777" w:rsidR="00783C9C" w:rsidRPr="00783C9C" w:rsidRDefault="00783C9C" w:rsidP="00783C9C">
            <w:pPr>
              <w:spacing w:after="0" w:line="240" w:lineRule="auto"/>
              <w:jc w:val="center"/>
              <w:rPr>
                <w:rFonts w:ascii="Calibri" w:eastAsia="Times New Roman" w:hAnsi="Calibri" w:cs="Calibri"/>
                <w:i/>
                <w:iCs/>
                <w:color w:val="000000"/>
                <w:lang w:eastAsia="en-GB"/>
              </w:rPr>
            </w:pPr>
            <w:r w:rsidRPr="00783C9C">
              <w:rPr>
                <w:rFonts w:ascii="Calibri" w:eastAsia="Times New Roman" w:hAnsi="Calibri" w:cs="Calibri"/>
                <w:i/>
                <w:iCs/>
                <w:color w:val="000000"/>
                <w:lang w:eastAsia="en-GB"/>
              </w:rPr>
              <w:t>df</w:t>
            </w:r>
          </w:p>
        </w:tc>
        <w:tc>
          <w:tcPr>
            <w:tcW w:w="1900" w:type="dxa"/>
            <w:tcBorders>
              <w:top w:val="nil"/>
              <w:left w:val="nil"/>
              <w:bottom w:val="single" w:sz="4" w:space="0" w:color="auto"/>
              <w:right w:val="nil"/>
            </w:tcBorders>
            <w:shd w:val="clear" w:color="auto" w:fill="auto"/>
            <w:noWrap/>
            <w:vAlign w:val="center"/>
            <w:hideMark/>
          </w:tcPr>
          <w:p w14:paraId="628FCB1A" w14:textId="77777777" w:rsidR="00783C9C" w:rsidRPr="00783C9C" w:rsidRDefault="00783C9C" w:rsidP="00783C9C">
            <w:pPr>
              <w:spacing w:after="0" w:line="240" w:lineRule="auto"/>
              <w:jc w:val="center"/>
              <w:rPr>
                <w:rFonts w:ascii="Calibri" w:eastAsia="Times New Roman" w:hAnsi="Calibri" w:cs="Calibri"/>
                <w:i/>
                <w:iCs/>
                <w:color w:val="000000"/>
                <w:lang w:eastAsia="en-GB"/>
              </w:rPr>
            </w:pPr>
            <w:r w:rsidRPr="00783C9C">
              <w:rPr>
                <w:rFonts w:ascii="Calibri" w:eastAsia="Times New Roman" w:hAnsi="Calibri" w:cs="Calibri"/>
                <w:i/>
                <w:iCs/>
                <w:color w:val="000000"/>
                <w:lang w:eastAsia="en-GB"/>
              </w:rPr>
              <w:t>SS</w:t>
            </w:r>
          </w:p>
        </w:tc>
        <w:tc>
          <w:tcPr>
            <w:tcW w:w="1436" w:type="dxa"/>
            <w:tcBorders>
              <w:top w:val="nil"/>
              <w:left w:val="nil"/>
              <w:bottom w:val="single" w:sz="4" w:space="0" w:color="auto"/>
              <w:right w:val="nil"/>
            </w:tcBorders>
            <w:shd w:val="clear" w:color="auto" w:fill="auto"/>
            <w:noWrap/>
            <w:vAlign w:val="center"/>
            <w:hideMark/>
          </w:tcPr>
          <w:p w14:paraId="416F98F6" w14:textId="77777777" w:rsidR="00783C9C" w:rsidRPr="00783C9C" w:rsidRDefault="00783C9C" w:rsidP="00783C9C">
            <w:pPr>
              <w:spacing w:after="0" w:line="240" w:lineRule="auto"/>
              <w:jc w:val="center"/>
              <w:rPr>
                <w:rFonts w:ascii="Calibri" w:eastAsia="Times New Roman" w:hAnsi="Calibri" w:cs="Calibri"/>
                <w:i/>
                <w:iCs/>
                <w:color w:val="000000"/>
                <w:lang w:eastAsia="en-GB"/>
              </w:rPr>
            </w:pPr>
            <w:r w:rsidRPr="00783C9C">
              <w:rPr>
                <w:rFonts w:ascii="Calibri" w:eastAsia="Times New Roman" w:hAnsi="Calibri" w:cs="Calibri"/>
                <w:i/>
                <w:iCs/>
                <w:color w:val="000000"/>
                <w:lang w:eastAsia="en-GB"/>
              </w:rPr>
              <w:t>MS</w:t>
            </w:r>
          </w:p>
        </w:tc>
        <w:tc>
          <w:tcPr>
            <w:tcW w:w="1316" w:type="dxa"/>
            <w:tcBorders>
              <w:top w:val="nil"/>
              <w:left w:val="nil"/>
              <w:bottom w:val="single" w:sz="4" w:space="0" w:color="auto"/>
              <w:right w:val="nil"/>
            </w:tcBorders>
            <w:shd w:val="clear" w:color="auto" w:fill="auto"/>
            <w:noWrap/>
            <w:vAlign w:val="center"/>
            <w:hideMark/>
          </w:tcPr>
          <w:p w14:paraId="714BDA26" w14:textId="77777777" w:rsidR="00783C9C" w:rsidRPr="00783C9C" w:rsidRDefault="00783C9C" w:rsidP="00783C9C">
            <w:pPr>
              <w:spacing w:after="0" w:line="240" w:lineRule="auto"/>
              <w:jc w:val="center"/>
              <w:rPr>
                <w:rFonts w:ascii="Calibri" w:eastAsia="Times New Roman" w:hAnsi="Calibri" w:cs="Calibri"/>
                <w:i/>
                <w:iCs/>
                <w:color w:val="000000"/>
                <w:lang w:eastAsia="en-GB"/>
              </w:rPr>
            </w:pPr>
            <w:r w:rsidRPr="00783C9C">
              <w:rPr>
                <w:rFonts w:ascii="Calibri" w:eastAsia="Times New Roman" w:hAnsi="Calibri" w:cs="Calibri"/>
                <w:i/>
                <w:iCs/>
                <w:color w:val="000000"/>
                <w:lang w:eastAsia="en-GB"/>
              </w:rPr>
              <w:t>F</w:t>
            </w:r>
          </w:p>
        </w:tc>
        <w:tc>
          <w:tcPr>
            <w:tcW w:w="1496" w:type="dxa"/>
            <w:tcBorders>
              <w:top w:val="nil"/>
              <w:left w:val="nil"/>
              <w:bottom w:val="single" w:sz="4" w:space="0" w:color="auto"/>
              <w:right w:val="single" w:sz="4" w:space="0" w:color="auto"/>
            </w:tcBorders>
            <w:shd w:val="clear" w:color="auto" w:fill="auto"/>
            <w:noWrap/>
            <w:vAlign w:val="center"/>
            <w:hideMark/>
          </w:tcPr>
          <w:p w14:paraId="05FCDA45" w14:textId="77777777" w:rsidR="00783C9C" w:rsidRPr="00783C9C" w:rsidRDefault="00783C9C" w:rsidP="00783C9C">
            <w:pPr>
              <w:spacing w:after="0" w:line="240" w:lineRule="auto"/>
              <w:jc w:val="center"/>
              <w:rPr>
                <w:rFonts w:ascii="Calibri" w:eastAsia="Times New Roman" w:hAnsi="Calibri" w:cs="Calibri"/>
                <w:i/>
                <w:iCs/>
                <w:color w:val="000000"/>
                <w:lang w:eastAsia="en-GB"/>
              </w:rPr>
            </w:pPr>
            <w:r w:rsidRPr="00783C9C">
              <w:rPr>
                <w:rFonts w:ascii="Calibri" w:eastAsia="Times New Roman" w:hAnsi="Calibri" w:cs="Calibri"/>
                <w:i/>
                <w:iCs/>
                <w:color w:val="000000"/>
                <w:lang w:eastAsia="en-GB"/>
              </w:rPr>
              <w:t>Significance F</w:t>
            </w:r>
          </w:p>
        </w:tc>
      </w:tr>
      <w:tr w:rsidR="00783C9C" w:rsidRPr="00783C9C" w14:paraId="010CD4E4" w14:textId="77777777" w:rsidTr="00C13572">
        <w:trPr>
          <w:trHeight w:val="288"/>
        </w:trPr>
        <w:tc>
          <w:tcPr>
            <w:tcW w:w="1656" w:type="dxa"/>
            <w:tcBorders>
              <w:top w:val="nil"/>
              <w:left w:val="single" w:sz="4" w:space="0" w:color="auto"/>
              <w:bottom w:val="nil"/>
              <w:right w:val="nil"/>
            </w:tcBorders>
            <w:shd w:val="clear" w:color="auto" w:fill="auto"/>
            <w:noWrap/>
            <w:vAlign w:val="center"/>
            <w:hideMark/>
          </w:tcPr>
          <w:p w14:paraId="65782687"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Regression</w:t>
            </w:r>
          </w:p>
        </w:tc>
        <w:tc>
          <w:tcPr>
            <w:tcW w:w="1416" w:type="dxa"/>
            <w:tcBorders>
              <w:top w:val="nil"/>
              <w:left w:val="nil"/>
              <w:bottom w:val="nil"/>
              <w:right w:val="nil"/>
            </w:tcBorders>
            <w:shd w:val="clear" w:color="auto" w:fill="auto"/>
            <w:noWrap/>
            <w:vAlign w:val="center"/>
            <w:hideMark/>
          </w:tcPr>
          <w:p w14:paraId="4D6AEF2B"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4</w:t>
            </w:r>
          </w:p>
        </w:tc>
        <w:tc>
          <w:tcPr>
            <w:tcW w:w="1900" w:type="dxa"/>
            <w:tcBorders>
              <w:top w:val="nil"/>
              <w:left w:val="nil"/>
              <w:bottom w:val="nil"/>
              <w:right w:val="nil"/>
            </w:tcBorders>
            <w:shd w:val="clear" w:color="auto" w:fill="auto"/>
            <w:noWrap/>
            <w:vAlign w:val="center"/>
            <w:hideMark/>
          </w:tcPr>
          <w:p w14:paraId="1A663491"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0.020414456</w:t>
            </w:r>
          </w:p>
        </w:tc>
        <w:tc>
          <w:tcPr>
            <w:tcW w:w="1436" w:type="dxa"/>
            <w:tcBorders>
              <w:top w:val="nil"/>
              <w:left w:val="nil"/>
              <w:bottom w:val="nil"/>
              <w:right w:val="nil"/>
            </w:tcBorders>
            <w:shd w:val="clear" w:color="auto" w:fill="auto"/>
            <w:noWrap/>
            <w:vAlign w:val="center"/>
            <w:hideMark/>
          </w:tcPr>
          <w:p w14:paraId="5DFB6063"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0.005103614</w:t>
            </w:r>
          </w:p>
        </w:tc>
        <w:tc>
          <w:tcPr>
            <w:tcW w:w="1316" w:type="dxa"/>
            <w:tcBorders>
              <w:top w:val="nil"/>
              <w:left w:val="nil"/>
              <w:bottom w:val="nil"/>
              <w:right w:val="nil"/>
            </w:tcBorders>
            <w:shd w:val="clear" w:color="auto" w:fill="auto"/>
            <w:noWrap/>
            <w:vAlign w:val="center"/>
            <w:hideMark/>
          </w:tcPr>
          <w:p w14:paraId="0FAD9B45"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3.33882567</w:t>
            </w:r>
          </w:p>
        </w:tc>
        <w:tc>
          <w:tcPr>
            <w:tcW w:w="1496" w:type="dxa"/>
            <w:tcBorders>
              <w:top w:val="nil"/>
              <w:left w:val="nil"/>
              <w:bottom w:val="nil"/>
              <w:right w:val="single" w:sz="4" w:space="0" w:color="auto"/>
            </w:tcBorders>
            <w:shd w:val="clear" w:color="auto" w:fill="auto"/>
            <w:noWrap/>
            <w:vAlign w:val="center"/>
            <w:hideMark/>
          </w:tcPr>
          <w:p w14:paraId="122A6FB9"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0.025409068</w:t>
            </w:r>
          </w:p>
        </w:tc>
      </w:tr>
      <w:tr w:rsidR="00783C9C" w:rsidRPr="00783C9C" w14:paraId="2E17C875" w14:textId="77777777" w:rsidTr="00C13572">
        <w:trPr>
          <w:trHeight w:val="294"/>
        </w:trPr>
        <w:tc>
          <w:tcPr>
            <w:tcW w:w="1656" w:type="dxa"/>
            <w:tcBorders>
              <w:top w:val="nil"/>
              <w:left w:val="single" w:sz="4" w:space="0" w:color="auto"/>
              <w:bottom w:val="nil"/>
              <w:right w:val="nil"/>
            </w:tcBorders>
            <w:shd w:val="clear" w:color="auto" w:fill="auto"/>
            <w:noWrap/>
            <w:vAlign w:val="center"/>
            <w:hideMark/>
          </w:tcPr>
          <w:p w14:paraId="644FE9A5"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Residual</w:t>
            </w:r>
          </w:p>
        </w:tc>
        <w:tc>
          <w:tcPr>
            <w:tcW w:w="1416" w:type="dxa"/>
            <w:tcBorders>
              <w:top w:val="nil"/>
              <w:left w:val="nil"/>
              <w:bottom w:val="nil"/>
              <w:right w:val="nil"/>
            </w:tcBorders>
            <w:shd w:val="clear" w:color="auto" w:fill="auto"/>
            <w:noWrap/>
            <w:vAlign w:val="center"/>
            <w:hideMark/>
          </w:tcPr>
          <w:p w14:paraId="68C34F55"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25</w:t>
            </w:r>
          </w:p>
        </w:tc>
        <w:tc>
          <w:tcPr>
            <w:tcW w:w="1900" w:type="dxa"/>
            <w:tcBorders>
              <w:top w:val="nil"/>
              <w:left w:val="nil"/>
              <w:bottom w:val="nil"/>
              <w:right w:val="nil"/>
            </w:tcBorders>
            <w:shd w:val="clear" w:color="auto" w:fill="auto"/>
            <w:noWrap/>
            <w:vAlign w:val="center"/>
            <w:hideMark/>
          </w:tcPr>
          <w:p w14:paraId="27C766DE"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0.038214139</w:t>
            </w:r>
          </w:p>
        </w:tc>
        <w:tc>
          <w:tcPr>
            <w:tcW w:w="1436" w:type="dxa"/>
            <w:tcBorders>
              <w:top w:val="nil"/>
              <w:left w:val="nil"/>
              <w:bottom w:val="nil"/>
              <w:right w:val="nil"/>
            </w:tcBorders>
            <w:shd w:val="clear" w:color="auto" w:fill="auto"/>
            <w:noWrap/>
            <w:vAlign w:val="center"/>
            <w:hideMark/>
          </w:tcPr>
          <w:p w14:paraId="27C21736"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0.001528566</w:t>
            </w:r>
          </w:p>
        </w:tc>
        <w:tc>
          <w:tcPr>
            <w:tcW w:w="1316" w:type="dxa"/>
            <w:tcBorders>
              <w:top w:val="nil"/>
              <w:left w:val="nil"/>
              <w:bottom w:val="nil"/>
              <w:right w:val="nil"/>
            </w:tcBorders>
            <w:shd w:val="clear" w:color="auto" w:fill="auto"/>
            <w:noWrap/>
            <w:vAlign w:val="center"/>
            <w:hideMark/>
          </w:tcPr>
          <w:p w14:paraId="5C012DCF" w14:textId="77777777" w:rsidR="00783C9C" w:rsidRPr="00783C9C" w:rsidRDefault="00783C9C" w:rsidP="00783C9C">
            <w:pPr>
              <w:spacing w:after="0" w:line="240" w:lineRule="auto"/>
              <w:jc w:val="center"/>
              <w:rPr>
                <w:rFonts w:ascii="Calibri" w:eastAsia="Times New Roman" w:hAnsi="Calibri" w:cs="Calibri"/>
                <w:color w:val="000000"/>
                <w:lang w:eastAsia="en-GB"/>
              </w:rPr>
            </w:pPr>
          </w:p>
        </w:tc>
        <w:tc>
          <w:tcPr>
            <w:tcW w:w="1496" w:type="dxa"/>
            <w:tcBorders>
              <w:top w:val="nil"/>
              <w:left w:val="nil"/>
              <w:bottom w:val="nil"/>
              <w:right w:val="single" w:sz="4" w:space="0" w:color="auto"/>
            </w:tcBorders>
            <w:shd w:val="clear" w:color="auto" w:fill="auto"/>
            <w:noWrap/>
            <w:vAlign w:val="center"/>
            <w:hideMark/>
          </w:tcPr>
          <w:p w14:paraId="34474B12" w14:textId="77777777" w:rsidR="00783C9C" w:rsidRPr="00783C9C" w:rsidRDefault="00783C9C" w:rsidP="00783C9C">
            <w:pPr>
              <w:spacing w:after="0" w:line="240" w:lineRule="auto"/>
              <w:jc w:val="center"/>
              <w:rPr>
                <w:rFonts w:ascii="Times New Roman" w:eastAsia="Times New Roman" w:hAnsi="Times New Roman" w:cs="Times New Roman"/>
                <w:sz w:val="20"/>
                <w:szCs w:val="20"/>
                <w:lang w:eastAsia="en-GB"/>
              </w:rPr>
            </w:pPr>
          </w:p>
        </w:tc>
      </w:tr>
      <w:tr w:rsidR="00783C9C" w:rsidRPr="00783C9C" w14:paraId="35562D75" w14:textId="77777777" w:rsidTr="00C13572">
        <w:trPr>
          <w:trHeight w:val="294"/>
        </w:trPr>
        <w:tc>
          <w:tcPr>
            <w:tcW w:w="1656" w:type="dxa"/>
            <w:tcBorders>
              <w:top w:val="nil"/>
              <w:left w:val="single" w:sz="4" w:space="0" w:color="auto"/>
              <w:bottom w:val="single" w:sz="4" w:space="0" w:color="auto"/>
              <w:right w:val="nil"/>
            </w:tcBorders>
            <w:shd w:val="clear" w:color="auto" w:fill="auto"/>
            <w:noWrap/>
            <w:vAlign w:val="center"/>
            <w:hideMark/>
          </w:tcPr>
          <w:p w14:paraId="6171FEF4"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Total</w:t>
            </w:r>
          </w:p>
        </w:tc>
        <w:tc>
          <w:tcPr>
            <w:tcW w:w="1416" w:type="dxa"/>
            <w:tcBorders>
              <w:top w:val="nil"/>
              <w:left w:val="nil"/>
              <w:bottom w:val="single" w:sz="4" w:space="0" w:color="auto"/>
              <w:right w:val="nil"/>
            </w:tcBorders>
            <w:shd w:val="clear" w:color="auto" w:fill="auto"/>
            <w:noWrap/>
            <w:vAlign w:val="center"/>
            <w:hideMark/>
          </w:tcPr>
          <w:p w14:paraId="6D4EB74C"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29</w:t>
            </w:r>
          </w:p>
        </w:tc>
        <w:tc>
          <w:tcPr>
            <w:tcW w:w="1900" w:type="dxa"/>
            <w:tcBorders>
              <w:top w:val="nil"/>
              <w:left w:val="nil"/>
              <w:bottom w:val="single" w:sz="4" w:space="0" w:color="auto"/>
              <w:right w:val="nil"/>
            </w:tcBorders>
            <w:shd w:val="clear" w:color="auto" w:fill="auto"/>
            <w:noWrap/>
            <w:vAlign w:val="center"/>
            <w:hideMark/>
          </w:tcPr>
          <w:p w14:paraId="7FDAC495"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0.058628595</w:t>
            </w:r>
          </w:p>
        </w:tc>
        <w:tc>
          <w:tcPr>
            <w:tcW w:w="1436" w:type="dxa"/>
            <w:tcBorders>
              <w:top w:val="nil"/>
              <w:left w:val="nil"/>
              <w:bottom w:val="single" w:sz="4" w:space="0" w:color="auto"/>
              <w:right w:val="nil"/>
            </w:tcBorders>
            <w:shd w:val="clear" w:color="auto" w:fill="auto"/>
            <w:noWrap/>
            <w:vAlign w:val="center"/>
            <w:hideMark/>
          </w:tcPr>
          <w:p w14:paraId="06B49094"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 </w:t>
            </w:r>
          </w:p>
        </w:tc>
        <w:tc>
          <w:tcPr>
            <w:tcW w:w="1316" w:type="dxa"/>
            <w:tcBorders>
              <w:top w:val="nil"/>
              <w:left w:val="nil"/>
              <w:bottom w:val="single" w:sz="4" w:space="0" w:color="auto"/>
              <w:right w:val="nil"/>
            </w:tcBorders>
            <w:shd w:val="clear" w:color="auto" w:fill="auto"/>
            <w:noWrap/>
            <w:vAlign w:val="center"/>
            <w:hideMark/>
          </w:tcPr>
          <w:p w14:paraId="581B2866"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 </w:t>
            </w:r>
          </w:p>
        </w:tc>
        <w:tc>
          <w:tcPr>
            <w:tcW w:w="1496" w:type="dxa"/>
            <w:tcBorders>
              <w:top w:val="nil"/>
              <w:left w:val="nil"/>
              <w:bottom w:val="single" w:sz="4" w:space="0" w:color="auto"/>
              <w:right w:val="single" w:sz="4" w:space="0" w:color="auto"/>
            </w:tcBorders>
            <w:shd w:val="clear" w:color="auto" w:fill="auto"/>
            <w:noWrap/>
            <w:vAlign w:val="center"/>
            <w:hideMark/>
          </w:tcPr>
          <w:p w14:paraId="24E9B875"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 </w:t>
            </w:r>
          </w:p>
        </w:tc>
      </w:tr>
    </w:tbl>
    <w:p w14:paraId="27B22DD6" w14:textId="0E9BDF24" w:rsidR="00783C9C" w:rsidRDefault="00C13572" w:rsidP="00C13572">
      <w:pPr>
        <w:spacing w:line="254" w:lineRule="auto"/>
        <w:jc w:val="center"/>
      </w:pPr>
      <w:r>
        <w:t xml:space="preserve">Table Six: Regression Statistic and ANOVA Test of the </w:t>
      </w:r>
      <w:r>
        <w:rPr>
          <w:i/>
          <w:iCs/>
        </w:rPr>
        <w:t>Third</w:t>
      </w:r>
      <w:r>
        <w:t xml:space="preserve"> </w:t>
      </w:r>
      <w:r w:rsidRPr="00C13572">
        <w:rPr>
          <w:i/>
          <w:iCs/>
        </w:rPr>
        <w:t>Equation</w:t>
      </w:r>
    </w:p>
    <w:p w14:paraId="0776EF0E" w14:textId="2EA03691" w:rsidR="00783C9C" w:rsidRDefault="00783C9C" w:rsidP="00E142A1">
      <w:pPr>
        <w:spacing w:line="254" w:lineRule="auto"/>
        <w:jc w:val="both"/>
      </w:pPr>
    </w:p>
    <w:tbl>
      <w:tblPr>
        <w:tblW w:w="7020" w:type="dxa"/>
        <w:tblInd w:w="1005" w:type="dxa"/>
        <w:tblLook w:val="04A0" w:firstRow="1" w:lastRow="0" w:firstColumn="1" w:lastColumn="0" w:noHBand="0" w:noVBand="1"/>
      </w:tblPr>
      <w:tblGrid>
        <w:gridCol w:w="1436"/>
        <w:gridCol w:w="1536"/>
        <w:gridCol w:w="1476"/>
        <w:gridCol w:w="1276"/>
        <w:gridCol w:w="1296"/>
      </w:tblGrid>
      <w:tr w:rsidR="00783C9C" w:rsidRPr="00783C9C" w14:paraId="12D9DB25" w14:textId="77777777" w:rsidTr="00C13572">
        <w:trPr>
          <w:trHeight w:val="294"/>
        </w:trPr>
        <w:tc>
          <w:tcPr>
            <w:tcW w:w="1436" w:type="dxa"/>
            <w:tcBorders>
              <w:top w:val="single" w:sz="4" w:space="0" w:color="auto"/>
              <w:left w:val="single" w:sz="4" w:space="0" w:color="auto"/>
              <w:bottom w:val="single" w:sz="4" w:space="0" w:color="auto"/>
              <w:right w:val="nil"/>
            </w:tcBorders>
            <w:shd w:val="clear" w:color="auto" w:fill="auto"/>
            <w:noWrap/>
            <w:vAlign w:val="center"/>
            <w:hideMark/>
          </w:tcPr>
          <w:p w14:paraId="6CC4CA81" w14:textId="77777777" w:rsidR="00783C9C" w:rsidRPr="00783C9C" w:rsidRDefault="00783C9C" w:rsidP="00783C9C">
            <w:pPr>
              <w:spacing w:after="0" w:line="240" w:lineRule="auto"/>
              <w:jc w:val="center"/>
              <w:rPr>
                <w:rFonts w:ascii="Calibri" w:eastAsia="Times New Roman" w:hAnsi="Calibri" w:cs="Calibri"/>
                <w:i/>
                <w:iCs/>
                <w:color w:val="000000"/>
                <w:lang w:eastAsia="en-GB"/>
              </w:rPr>
            </w:pPr>
            <w:r w:rsidRPr="00783C9C">
              <w:rPr>
                <w:rFonts w:ascii="Calibri" w:eastAsia="Times New Roman" w:hAnsi="Calibri" w:cs="Calibri"/>
                <w:i/>
                <w:iCs/>
                <w:color w:val="000000"/>
                <w:lang w:eastAsia="en-GB"/>
              </w:rPr>
              <w:t> </w:t>
            </w:r>
          </w:p>
        </w:tc>
        <w:tc>
          <w:tcPr>
            <w:tcW w:w="1536" w:type="dxa"/>
            <w:tcBorders>
              <w:top w:val="single" w:sz="4" w:space="0" w:color="auto"/>
              <w:left w:val="nil"/>
              <w:bottom w:val="single" w:sz="4" w:space="0" w:color="auto"/>
              <w:right w:val="nil"/>
            </w:tcBorders>
            <w:shd w:val="clear" w:color="auto" w:fill="auto"/>
            <w:noWrap/>
            <w:vAlign w:val="center"/>
            <w:hideMark/>
          </w:tcPr>
          <w:p w14:paraId="5499AE73" w14:textId="77777777" w:rsidR="00783C9C" w:rsidRPr="00783C9C" w:rsidRDefault="00783C9C" w:rsidP="00783C9C">
            <w:pPr>
              <w:spacing w:after="0" w:line="240" w:lineRule="auto"/>
              <w:jc w:val="center"/>
              <w:rPr>
                <w:rFonts w:ascii="Calibri" w:eastAsia="Times New Roman" w:hAnsi="Calibri" w:cs="Calibri"/>
                <w:i/>
                <w:iCs/>
                <w:color w:val="000000"/>
                <w:lang w:eastAsia="en-GB"/>
              </w:rPr>
            </w:pPr>
            <w:r w:rsidRPr="00783C9C">
              <w:rPr>
                <w:rFonts w:ascii="Calibri" w:eastAsia="Times New Roman" w:hAnsi="Calibri" w:cs="Calibri"/>
                <w:i/>
                <w:iCs/>
                <w:color w:val="000000"/>
                <w:lang w:eastAsia="en-GB"/>
              </w:rPr>
              <w:t>Coefficients</w:t>
            </w:r>
          </w:p>
        </w:tc>
        <w:tc>
          <w:tcPr>
            <w:tcW w:w="1476" w:type="dxa"/>
            <w:tcBorders>
              <w:top w:val="single" w:sz="4" w:space="0" w:color="auto"/>
              <w:left w:val="nil"/>
              <w:bottom w:val="single" w:sz="4" w:space="0" w:color="auto"/>
              <w:right w:val="nil"/>
            </w:tcBorders>
            <w:shd w:val="clear" w:color="auto" w:fill="auto"/>
            <w:noWrap/>
            <w:vAlign w:val="center"/>
            <w:hideMark/>
          </w:tcPr>
          <w:p w14:paraId="26C647B9" w14:textId="77777777" w:rsidR="00783C9C" w:rsidRPr="00783C9C" w:rsidRDefault="00783C9C" w:rsidP="00783C9C">
            <w:pPr>
              <w:spacing w:after="0" w:line="240" w:lineRule="auto"/>
              <w:jc w:val="center"/>
              <w:rPr>
                <w:rFonts w:ascii="Calibri" w:eastAsia="Times New Roman" w:hAnsi="Calibri" w:cs="Calibri"/>
                <w:i/>
                <w:iCs/>
                <w:color w:val="000000"/>
                <w:lang w:eastAsia="en-GB"/>
              </w:rPr>
            </w:pPr>
            <w:r w:rsidRPr="00783C9C">
              <w:rPr>
                <w:rFonts w:ascii="Calibri" w:eastAsia="Times New Roman" w:hAnsi="Calibri" w:cs="Calibri"/>
                <w:i/>
                <w:iCs/>
                <w:color w:val="000000"/>
                <w:lang w:eastAsia="en-GB"/>
              </w:rPr>
              <w:t>Standard Error</w:t>
            </w:r>
          </w:p>
        </w:tc>
        <w:tc>
          <w:tcPr>
            <w:tcW w:w="1276" w:type="dxa"/>
            <w:tcBorders>
              <w:top w:val="single" w:sz="4" w:space="0" w:color="auto"/>
              <w:left w:val="nil"/>
              <w:bottom w:val="single" w:sz="4" w:space="0" w:color="auto"/>
              <w:right w:val="nil"/>
            </w:tcBorders>
            <w:shd w:val="clear" w:color="auto" w:fill="auto"/>
            <w:noWrap/>
            <w:vAlign w:val="center"/>
            <w:hideMark/>
          </w:tcPr>
          <w:p w14:paraId="1FBA44CC" w14:textId="77777777" w:rsidR="00783C9C" w:rsidRPr="00783C9C" w:rsidRDefault="00783C9C" w:rsidP="00783C9C">
            <w:pPr>
              <w:spacing w:after="0" w:line="240" w:lineRule="auto"/>
              <w:jc w:val="center"/>
              <w:rPr>
                <w:rFonts w:ascii="Calibri" w:eastAsia="Times New Roman" w:hAnsi="Calibri" w:cs="Calibri"/>
                <w:i/>
                <w:iCs/>
                <w:color w:val="000000"/>
                <w:lang w:eastAsia="en-GB"/>
              </w:rPr>
            </w:pPr>
            <w:r w:rsidRPr="00783C9C">
              <w:rPr>
                <w:rFonts w:ascii="Calibri" w:eastAsia="Times New Roman" w:hAnsi="Calibri" w:cs="Calibri"/>
                <w:i/>
                <w:iCs/>
                <w:color w:val="000000"/>
                <w:lang w:eastAsia="en-GB"/>
              </w:rPr>
              <w:t>t Stat</w:t>
            </w:r>
          </w:p>
        </w:tc>
        <w:tc>
          <w:tcPr>
            <w:tcW w:w="1296" w:type="dxa"/>
            <w:tcBorders>
              <w:top w:val="single" w:sz="4" w:space="0" w:color="auto"/>
              <w:left w:val="nil"/>
              <w:bottom w:val="single" w:sz="4" w:space="0" w:color="auto"/>
              <w:right w:val="single" w:sz="4" w:space="0" w:color="auto"/>
            </w:tcBorders>
            <w:shd w:val="clear" w:color="auto" w:fill="auto"/>
            <w:noWrap/>
            <w:vAlign w:val="center"/>
            <w:hideMark/>
          </w:tcPr>
          <w:p w14:paraId="47EE0F9D" w14:textId="77777777" w:rsidR="00783C9C" w:rsidRPr="00783C9C" w:rsidRDefault="00783C9C" w:rsidP="00783C9C">
            <w:pPr>
              <w:spacing w:after="0" w:line="240" w:lineRule="auto"/>
              <w:jc w:val="center"/>
              <w:rPr>
                <w:rFonts w:ascii="Calibri" w:eastAsia="Times New Roman" w:hAnsi="Calibri" w:cs="Calibri"/>
                <w:i/>
                <w:iCs/>
                <w:color w:val="000000"/>
                <w:lang w:eastAsia="en-GB"/>
              </w:rPr>
            </w:pPr>
            <w:r w:rsidRPr="00783C9C">
              <w:rPr>
                <w:rFonts w:ascii="Calibri" w:eastAsia="Times New Roman" w:hAnsi="Calibri" w:cs="Calibri"/>
                <w:i/>
                <w:iCs/>
                <w:color w:val="000000"/>
                <w:lang w:eastAsia="en-GB"/>
              </w:rPr>
              <w:t>P-value</w:t>
            </w:r>
          </w:p>
        </w:tc>
      </w:tr>
      <w:tr w:rsidR="00783C9C" w:rsidRPr="00783C9C" w14:paraId="357B881B" w14:textId="77777777" w:rsidTr="00C13572">
        <w:trPr>
          <w:trHeight w:val="288"/>
        </w:trPr>
        <w:tc>
          <w:tcPr>
            <w:tcW w:w="1436" w:type="dxa"/>
            <w:tcBorders>
              <w:top w:val="nil"/>
              <w:left w:val="single" w:sz="4" w:space="0" w:color="auto"/>
              <w:bottom w:val="nil"/>
              <w:right w:val="nil"/>
            </w:tcBorders>
            <w:shd w:val="clear" w:color="auto" w:fill="auto"/>
            <w:noWrap/>
            <w:vAlign w:val="center"/>
            <w:hideMark/>
          </w:tcPr>
          <w:p w14:paraId="4AB8DD80"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Intercept</w:t>
            </w:r>
          </w:p>
        </w:tc>
        <w:tc>
          <w:tcPr>
            <w:tcW w:w="1536" w:type="dxa"/>
            <w:tcBorders>
              <w:top w:val="nil"/>
              <w:left w:val="nil"/>
              <w:bottom w:val="nil"/>
              <w:right w:val="nil"/>
            </w:tcBorders>
            <w:shd w:val="clear" w:color="auto" w:fill="auto"/>
            <w:noWrap/>
            <w:vAlign w:val="center"/>
            <w:hideMark/>
          </w:tcPr>
          <w:p w14:paraId="31166725"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0.017109471</w:t>
            </w:r>
          </w:p>
        </w:tc>
        <w:tc>
          <w:tcPr>
            <w:tcW w:w="1476" w:type="dxa"/>
            <w:tcBorders>
              <w:top w:val="nil"/>
              <w:left w:val="nil"/>
              <w:bottom w:val="nil"/>
              <w:right w:val="nil"/>
            </w:tcBorders>
            <w:shd w:val="clear" w:color="auto" w:fill="auto"/>
            <w:noWrap/>
            <w:vAlign w:val="center"/>
            <w:hideMark/>
          </w:tcPr>
          <w:p w14:paraId="437FC2A5"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0.0507339</w:t>
            </w:r>
          </w:p>
        </w:tc>
        <w:tc>
          <w:tcPr>
            <w:tcW w:w="1276" w:type="dxa"/>
            <w:tcBorders>
              <w:top w:val="nil"/>
              <w:left w:val="nil"/>
              <w:bottom w:val="nil"/>
              <w:right w:val="nil"/>
            </w:tcBorders>
            <w:shd w:val="clear" w:color="auto" w:fill="auto"/>
            <w:noWrap/>
            <w:vAlign w:val="center"/>
            <w:hideMark/>
          </w:tcPr>
          <w:p w14:paraId="175B035E"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0.33723943</w:t>
            </w:r>
          </w:p>
        </w:tc>
        <w:tc>
          <w:tcPr>
            <w:tcW w:w="1296" w:type="dxa"/>
            <w:tcBorders>
              <w:top w:val="nil"/>
              <w:left w:val="nil"/>
              <w:bottom w:val="nil"/>
              <w:right w:val="single" w:sz="4" w:space="0" w:color="auto"/>
            </w:tcBorders>
            <w:shd w:val="clear" w:color="auto" w:fill="auto"/>
            <w:noWrap/>
            <w:vAlign w:val="center"/>
            <w:hideMark/>
          </w:tcPr>
          <w:p w14:paraId="199CF54F"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0.73875144</w:t>
            </w:r>
          </w:p>
        </w:tc>
      </w:tr>
      <w:tr w:rsidR="00783C9C" w:rsidRPr="00783C9C" w14:paraId="3A06694F" w14:textId="77777777" w:rsidTr="00C13572">
        <w:trPr>
          <w:trHeight w:val="294"/>
        </w:trPr>
        <w:tc>
          <w:tcPr>
            <w:tcW w:w="1436" w:type="dxa"/>
            <w:tcBorders>
              <w:top w:val="nil"/>
              <w:left w:val="single" w:sz="4" w:space="0" w:color="auto"/>
              <w:bottom w:val="nil"/>
              <w:right w:val="nil"/>
            </w:tcBorders>
            <w:shd w:val="clear" w:color="auto" w:fill="auto"/>
            <w:noWrap/>
            <w:vAlign w:val="center"/>
            <w:hideMark/>
          </w:tcPr>
          <w:p w14:paraId="5F213452"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C/R</w:t>
            </w:r>
          </w:p>
        </w:tc>
        <w:tc>
          <w:tcPr>
            <w:tcW w:w="1536" w:type="dxa"/>
            <w:tcBorders>
              <w:top w:val="nil"/>
              <w:left w:val="nil"/>
              <w:bottom w:val="nil"/>
              <w:right w:val="nil"/>
            </w:tcBorders>
            <w:shd w:val="clear" w:color="auto" w:fill="auto"/>
            <w:noWrap/>
            <w:vAlign w:val="center"/>
            <w:hideMark/>
          </w:tcPr>
          <w:p w14:paraId="17E116B1"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0.070706247</w:t>
            </w:r>
          </w:p>
        </w:tc>
        <w:tc>
          <w:tcPr>
            <w:tcW w:w="1476" w:type="dxa"/>
            <w:tcBorders>
              <w:top w:val="nil"/>
              <w:left w:val="nil"/>
              <w:bottom w:val="nil"/>
              <w:right w:val="nil"/>
            </w:tcBorders>
            <w:shd w:val="clear" w:color="auto" w:fill="auto"/>
            <w:noWrap/>
            <w:vAlign w:val="center"/>
            <w:hideMark/>
          </w:tcPr>
          <w:p w14:paraId="3130432B"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0.031036629</w:t>
            </w:r>
          </w:p>
        </w:tc>
        <w:tc>
          <w:tcPr>
            <w:tcW w:w="1276" w:type="dxa"/>
            <w:tcBorders>
              <w:top w:val="nil"/>
              <w:left w:val="nil"/>
              <w:bottom w:val="nil"/>
              <w:right w:val="nil"/>
            </w:tcBorders>
            <w:shd w:val="clear" w:color="auto" w:fill="auto"/>
            <w:noWrap/>
            <w:vAlign w:val="center"/>
            <w:hideMark/>
          </w:tcPr>
          <w:p w14:paraId="238D8B4F"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2.27815483</w:t>
            </w:r>
          </w:p>
        </w:tc>
        <w:tc>
          <w:tcPr>
            <w:tcW w:w="1296" w:type="dxa"/>
            <w:tcBorders>
              <w:top w:val="nil"/>
              <w:left w:val="nil"/>
              <w:bottom w:val="nil"/>
              <w:right w:val="single" w:sz="4" w:space="0" w:color="auto"/>
            </w:tcBorders>
            <w:shd w:val="clear" w:color="auto" w:fill="auto"/>
            <w:noWrap/>
            <w:vAlign w:val="center"/>
            <w:hideMark/>
          </w:tcPr>
          <w:p w14:paraId="08262281"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0.03152784</w:t>
            </w:r>
          </w:p>
        </w:tc>
      </w:tr>
      <w:tr w:rsidR="00783C9C" w:rsidRPr="00783C9C" w14:paraId="2816211C" w14:textId="77777777" w:rsidTr="00C13572">
        <w:trPr>
          <w:trHeight w:val="288"/>
        </w:trPr>
        <w:tc>
          <w:tcPr>
            <w:tcW w:w="1436" w:type="dxa"/>
            <w:tcBorders>
              <w:top w:val="nil"/>
              <w:left w:val="single" w:sz="4" w:space="0" w:color="auto"/>
              <w:bottom w:val="nil"/>
              <w:right w:val="nil"/>
            </w:tcBorders>
            <w:shd w:val="clear" w:color="auto" w:fill="auto"/>
            <w:noWrap/>
            <w:vAlign w:val="center"/>
            <w:hideMark/>
          </w:tcPr>
          <w:p w14:paraId="2302C941"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D/E</w:t>
            </w:r>
          </w:p>
        </w:tc>
        <w:tc>
          <w:tcPr>
            <w:tcW w:w="1536" w:type="dxa"/>
            <w:tcBorders>
              <w:top w:val="nil"/>
              <w:left w:val="nil"/>
              <w:bottom w:val="nil"/>
              <w:right w:val="nil"/>
            </w:tcBorders>
            <w:shd w:val="clear" w:color="auto" w:fill="auto"/>
            <w:noWrap/>
            <w:vAlign w:val="center"/>
            <w:hideMark/>
          </w:tcPr>
          <w:p w14:paraId="3CEF7604"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-0.000515616</w:t>
            </w:r>
          </w:p>
        </w:tc>
        <w:tc>
          <w:tcPr>
            <w:tcW w:w="1476" w:type="dxa"/>
            <w:tcBorders>
              <w:top w:val="nil"/>
              <w:left w:val="nil"/>
              <w:bottom w:val="nil"/>
              <w:right w:val="nil"/>
            </w:tcBorders>
            <w:shd w:val="clear" w:color="auto" w:fill="auto"/>
            <w:noWrap/>
            <w:vAlign w:val="center"/>
            <w:hideMark/>
          </w:tcPr>
          <w:p w14:paraId="498F4228"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0.001378867</w:t>
            </w:r>
          </w:p>
        </w:tc>
        <w:tc>
          <w:tcPr>
            <w:tcW w:w="1276" w:type="dxa"/>
            <w:tcBorders>
              <w:top w:val="nil"/>
              <w:left w:val="nil"/>
              <w:bottom w:val="nil"/>
              <w:right w:val="nil"/>
            </w:tcBorders>
            <w:shd w:val="clear" w:color="auto" w:fill="auto"/>
            <w:noWrap/>
            <w:vAlign w:val="center"/>
            <w:hideMark/>
          </w:tcPr>
          <w:p w14:paraId="17E9D60B"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-0.3739416</w:t>
            </w:r>
          </w:p>
        </w:tc>
        <w:tc>
          <w:tcPr>
            <w:tcW w:w="1296" w:type="dxa"/>
            <w:tcBorders>
              <w:top w:val="nil"/>
              <w:left w:val="nil"/>
              <w:bottom w:val="nil"/>
              <w:right w:val="single" w:sz="4" w:space="0" w:color="auto"/>
            </w:tcBorders>
            <w:shd w:val="clear" w:color="auto" w:fill="auto"/>
            <w:noWrap/>
            <w:vAlign w:val="center"/>
            <w:hideMark/>
          </w:tcPr>
          <w:p w14:paraId="00C531DA"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0.71160047</w:t>
            </w:r>
          </w:p>
        </w:tc>
      </w:tr>
      <w:tr w:rsidR="00783C9C" w:rsidRPr="00783C9C" w14:paraId="4A7E8182" w14:textId="77777777" w:rsidTr="00C13572">
        <w:trPr>
          <w:trHeight w:val="288"/>
        </w:trPr>
        <w:tc>
          <w:tcPr>
            <w:tcW w:w="1436" w:type="dxa"/>
            <w:tcBorders>
              <w:top w:val="nil"/>
              <w:left w:val="single" w:sz="4" w:space="0" w:color="auto"/>
              <w:bottom w:val="nil"/>
              <w:right w:val="nil"/>
            </w:tcBorders>
            <w:shd w:val="clear" w:color="auto" w:fill="auto"/>
            <w:noWrap/>
            <w:vAlign w:val="center"/>
            <w:hideMark/>
          </w:tcPr>
          <w:p w14:paraId="7400E964"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Size</w:t>
            </w:r>
          </w:p>
        </w:tc>
        <w:tc>
          <w:tcPr>
            <w:tcW w:w="1536" w:type="dxa"/>
            <w:tcBorders>
              <w:top w:val="nil"/>
              <w:left w:val="nil"/>
              <w:bottom w:val="nil"/>
              <w:right w:val="nil"/>
            </w:tcBorders>
            <w:shd w:val="clear" w:color="auto" w:fill="auto"/>
            <w:noWrap/>
            <w:vAlign w:val="center"/>
            <w:hideMark/>
          </w:tcPr>
          <w:p w14:paraId="62068BD6"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-6.46787E-05</w:t>
            </w:r>
          </w:p>
        </w:tc>
        <w:tc>
          <w:tcPr>
            <w:tcW w:w="1476" w:type="dxa"/>
            <w:tcBorders>
              <w:top w:val="nil"/>
              <w:left w:val="nil"/>
              <w:bottom w:val="nil"/>
              <w:right w:val="nil"/>
            </w:tcBorders>
            <w:shd w:val="clear" w:color="auto" w:fill="auto"/>
            <w:noWrap/>
            <w:vAlign w:val="center"/>
            <w:hideMark/>
          </w:tcPr>
          <w:p w14:paraId="302F858F"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5.6349E-05</w:t>
            </w:r>
          </w:p>
        </w:tc>
        <w:tc>
          <w:tcPr>
            <w:tcW w:w="1276" w:type="dxa"/>
            <w:tcBorders>
              <w:top w:val="nil"/>
              <w:left w:val="nil"/>
              <w:bottom w:val="nil"/>
              <w:right w:val="nil"/>
            </w:tcBorders>
            <w:shd w:val="clear" w:color="auto" w:fill="auto"/>
            <w:noWrap/>
            <w:vAlign w:val="center"/>
            <w:hideMark/>
          </w:tcPr>
          <w:p w14:paraId="2A23793F"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-1.1478232</w:t>
            </w:r>
          </w:p>
        </w:tc>
        <w:tc>
          <w:tcPr>
            <w:tcW w:w="1296" w:type="dxa"/>
            <w:tcBorders>
              <w:top w:val="nil"/>
              <w:left w:val="nil"/>
              <w:bottom w:val="nil"/>
              <w:right w:val="single" w:sz="4" w:space="0" w:color="auto"/>
            </w:tcBorders>
            <w:shd w:val="clear" w:color="auto" w:fill="auto"/>
            <w:noWrap/>
            <w:vAlign w:val="center"/>
            <w:hideMark/>
          </w:tcPr>
          <w:p w14:paraId="2DEF2581"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0.26190717</w:t>
            </w:r>
          </w:p>
        </w:tc>
      </w:tr>
      <w:tr w:rsidR="00783C9C" w:rsidRPr="00783C9C" w14:paraId="016502FD" w14:textId="77777777" w:rsidTr="00C13572">
        <w:trPr>
          <w:trHeight w:val="294"/>
        </w:trPr>
        <w:tc>
          <w:tcPr>
            <w:tcW w:w="1436" w:type="dxa"/>
            <w:tcBorders>
              <w:top w:val="nil"/>
              <w:left w:val="single" w:sz="4" w:space="0" w:color="auto"/>
              <w:bottom w:val="single" w:sz="4" w:space="0" w:color="auto"/>
              <w:right w:val="nil"/>
            </w:tcBorders>
            <w:shd w:val="clear" w:color="auto" w:fill="auto"/>
            <w:noWrap/>
            <w:vAlign w:val="center"/>
            <w:hideMark/>
          </w:tcPr>
          <w:p w14:paraId="723B222E"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Growth</w:t>
            </w:r>
          </w:p>
        </w:tc>
        <w:tc>
          <w:tcPr>
            <w:tcW w:w="1536" w:type="dxa"/>
            <w:tcBorders>
              <w:top w:val="nil"/>
              <w:left w:val="nil"/>
              <w:bottom w:val="single" w:sz="4" w:space="0" w:color="auto"/>
              <w:right w:val="nil"/>
            </w:tcBorders>
            <w:shd w:val="clear" w:color="auto" w:fill="auto"/>
            <w:noWrap/>
            <w:vAlign w:val="center"/>
            <w:hideMark/>
          </w:tcPr>
          <w:p w14:paraId="619B2343"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0.062097797</w:t>
            </w:r>
          </w:p>
        </w:tc>
        <w:tc>
          <w:tcPr>
            <w:tcW w:w="1476" w:type="dxa"/>
            <w:tcBorders>
              <w:top w:val="nil"/>
              <w:left w:val="nil"/>
              <w:bottom w:val="single" w:sz="4" w:space="0" w:color="auto"/>
              <w:right w:val="nil"/>
            </w:tcBorders>
            <w:shd w:val="clear" w:color="auto" w:fill="auto"/>
            <w:noWrap/>
            <w:vAlign w:val="center"/>
            <w:hideMark/>
          </w:tcPr>
          <w:p w14:paraId="17A4B88E"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0.144527334</w:t>
            </w:r>
          </w:p>
        </w:tc>
        <w:tc>
          <w:tcPr>
            <w:tcW w:w="1276" w:type="dxa"/>
            <w:tcBorders>
              <w:top w:val="nil"/>
              <w:left w:val="nil"/>
              <w:bottom w:val="single" w:sz="4" w:space="0" w:color="auto"/>
              <w:right w:val="nil"/>
            </w:tcBorders>
            <w:shd w:val="clear" w:color="auto" w:fill="auto"/>
            <w:noWrap/>
            <w:vAlign w:val="center"/>
            <w:hideMark/>
          </w:tcPr>
          <w:p w14:paraId="2548D2B0"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0.42966127</w:t>
            </w:r>
          </w:p>
        </w:tc>
        <w:tc>
          <w:tcPr>
            <w:tcW w:w="1296" w:type="dxa"/>
            <w:tcBorders>
              <w:top w:val="nil"/>
              <w:left w:val="nil"/>
              <w:bottom w:val="single" w:sz="4" w:space="0" w:color="auto"/>
              <w:right w:val="single" w:sz="4" w:space="0" w:color="auto"/>
            </w:tcBorders>
            <w:shd w:val="clear" w:color="auto" w:fill="auto"/>
            <w:noWrap/>
            <w:vAlign w:val="center"/>
            <w:hideMark/>
          </w:tcPr>
          <w:p w14:paraId="75C77F21" w14:textId="77777777" w:rsidR="00783C9C" w:rsidRPr="00783C9C" w:rsidRDefault="00783C9C" w:rsidP="00783C9C">
            <w:pPr>
              <w:spacing w:after="0" w:line="240" w:lineRule="auto"/>
              <w:jc w:val="center"/>
              <w:rPr>
                <w:rFonts w:ascii="Calibri" w:eastAsia="Times New Roman" w:hAnsi="Calibri" w:cs="Calibri"/>
                <w:color w:val="000000"/>
                <w:lang w:eastAsia="en-GB"/>
              </w:rPr>
            </w:pPr>
            <w:r w:rsidRPr="00783C9C">
              <w:rPr>
                <w:rFonts w:ascii="Calibri" w:eastAsia="Times New Roman" w:hAnsi="Calibri" w:cs="Calibri"/>
                <w:color w:val="000000"/>
                <w:lang w:eastAsia="en-GB"/>
              </w:rPr>
              <w:t>0.6711227</w:t>
            </w:r>
          </w:p>
        </w:tc>
      </w:tr>
    </w:tbl>
    <w:p w14:paraId="79E908E4" w14:textId="7B6408D5" w:rsidR="00783C9C" w:rsidRDefault="00C13572" w:rsidP="00C13572">
      <w:pPr>
        <w:spacing w:line="254" w:lineRule="auto"/>
        <w:jc w:val="center"/>
      </w:pPr>
      <w:r>
        <w:lastRenderedPageBreak/>
        <w:t xml:space="preserve">Table Seven: Individual variables’ analysis of the </w:t>
      </w:r>
      <w:r>
        <w:rPr>
          <w:i/>
          <w:iCs/>
        </w:rPr>
        <w:t>Third</w:t>
      </w:r>
      <w:r>
        <w:t xml:space="preserve"> </w:t>
      </w:r>
      <w:r w:rsidRPr="00C13572">
        <w:rPr>
          <w:i/>
          <w:iCs/>
        </w:rPr>
        <w:t>Equation</w:t>
      </w:r>
    </w:p>
    <w:p w14:paraId="56EBA258" w14:textId="77777777" w:rsidR="00C13572" w:rsidRDefault="00C13572" w:rsidP="004B72BD">
      <w:pPr>
        <w:spacing w:line="360" w:lineRule="auto"/>
        <w:jc w:val="both"/>
        <w:rPr>
          <w:rFonts w:cstheme="minorHAnsi"/>
        </w:rPr>
      </w:pPr>
    </w:p>
    <w:p w14:paraId="4D20BF23" w14:textId="3CC10BF4" w:rsidR="00134A88" w:rsidRPr="00134A88" w:rsidRDefault="00134A88" w:rsidP="004B72BD">
      <w:pPr>
        <w:spacing w:line="360" w:lineRule="auto"/>
        <w:jc w:val="both"/>
        <w:rPr>
          <w:rFonts w:cstheme="minorHAnsi"/>
        </w:rPr>
      </w:pPr>
      <w:r>
        <w:rPr>
          <w:rFonts w:cstheme="minorHAnsi"/>
        </w:rPr>
        <w:t>Table s</w:t>
      </w:r>
      <w:r w:rsidR="00852E71">
        <w:rPr>
          <w:rFonts w:cstheme="minorHAnsi"/>
        </w:rPr>
        <w:t>even</w:t>
      </w:r>
      <w:r>
        <w:rPr>
          <w:rFonts w:cstheme="minorHAnsi"/>
        </w:rPr>
        <w:t xml:space="preserve"> signifies the </w:t>
      </w:r>
      <w:r w:rsidRPr="00134A88">
        <w:rPr>
          <w:rFonts w:cstheme="minorHAnsi"/>
          <w:u w:val="single"/>
        </w:rPr>
        <w:t>Equation of the Regression model</w:t>
      </w:r>
      <w:r>
        <w:rPr>
          <w:rFonts w:cstheme="minorHAnsi"/>
        </w:rPr>
        <w:t xml:space="preserve"> for the third scenario, where the dependent variable ROA (Y) is analysed through the predictor variables Current Ratio (x1) for the liquidity, Debt-to-Equity</w:t>
      </w:r>
      <w:r w:rsidR="004B72BD">
        <w:rPr>
          <w:rFonts w:cstheme="minorHAnsi"/>
        </w:rPr>
        <w:t xml:space="preserve"> ratio</w:t>
      </w:r>
      <w:r>
        <w:rPr>
          <w:rFonts w:cstheme="minorHAnsi"/>
        </w:rPr>
        <w:t xml:space="preserve"> (x2) for the leverage and Size (x3) and Growth Rate (x4) as control variables. The Equation is presented as follow:</w:t>
      </w:r>
    </w:p>
    <w:p w14:paraId="2DE46EB0" w14:textId="41DA3C59" w:rsidR="00965C00" w:rsidRDefault="00965C00" w:rsidP="004B72BD">
      <w:pPr>
        <w:spacing w:line="360" w:lineRule="auto"/>
        <w:jc w:val="center"/>
        <w:rPr>
          <w:rFonts w:ascii="Cambria Math" w:hAnsi="Cambria Math" w:cs="Cambria Math"/>
          <w:i/>
          <w:iCs/>
        </w:rPr>
      </w:pPr>
      <w:r w:rsidRPr="009A3431">
        <w:rPr>
          <w:rFonts w:ascii="Cambria Math" w:hAnsi="Cambria Math"/>
          <w:i/>
          <w:iCs/>
        </w:rPr>
        <w:t>RO</w:t>
      </w:r>
      <w:r>
        <w:rPr>
          <w:rFonts w:ascii="Cambria Math" w:hAnsi="Cambria Math"/>
          <w:i/>
          <w:iCs/>
        </w:rPr>
        <w:t>A</w:t>
      </w:r>
      <w:r w:rsidRPr="009A3431">
        <w:rPr>
          <w:rFonts w:ascii="Cambria Math" w:hAnsi="Cambria Math"/>
          <w:i/>
          <w:iCs/>
        </w:rPr>
        <w:t xml:space="preserve"> = </w:t>
      </w:r>
      <w:r>
        <w:rPr>
          <w:rFonts w:ascii="Cambria Math" w:hAnsi="Cambria Math" w:cs="Cambria Math"/>
          <w:i/>
          <w:iCs/>
        </w:rPr>
        <w:t xml:space="preserve">0.0171 </w:t>
      </w:r>
      <w:r w:rsidRPr="009A3431">
        <w:rPr>
          <w:rFonts w:ascii="Cambria Math" w:hAnsi="Cambria Math"/>
          <w:i/>
          <w:iCs/>
        </w:rPr>
        <w:t xml:space="preserve">+ </w:t>
      </w:r>
      <w:r>
        <w:rPr>
          <w:rFonts w:ascii="Cambria Math" w:hAnsi="Cambria Math"/>
          <w:i/>
          <w:iCs/>
        </w:rPr>
        <w:t>0.0707</w:t>
      </w:r>
      <w:r w:rsidR="00134A88">
        <w:rPr>
          <w:rFonts w:ascii="Cambria Math" w:hAnsi="Cambria Math" w:cs="Cambria Math"/>
          <w:i/>
          <w:iCs/>
        </w:rPr>
        <w:t>C</w:t>
      </w:r>
      <w:r>
        <w:rPr>
          <w:rFonts w:ascii="Cambria Math" w:hAnsi="Cambria Math" w:cs="Cambria Math"/>
          <w:i/>
          <w:iCs/>
        </w:rPr>
        <w:t>/</w:t>
      </w:r>
      <w:r w:rsidRPr="009A3431">
        <w:rPr>
          <w:rFonts w:ascii="Cambria Math" w:hAnsi="Cambria Math" w:cs="Cambria Math"/>
          <w:i/>
          <w:iCs/>
        </w:rPr>
        <w:t>R</w:t>
      </w:r>
      <w:r>
        <w:rPr>
          <w:rFonts w:ascii="Cambria Math" w:hAnsi="Cambria Math" w:cs="Cambria Math"/>
          <w:i/>
          <w:iCs/>
        </w:rPr>
        <w:t xml:space="preserve"> </w:t>
      </w:r>
      <w:r w:rsidRPr="009A3431">
        <w:rPr>
          <w:rFonts w:ascii="Cambria Math" w:hAnsi="Cambria Math"/>
          <w:i/>
          <w:iCs/>
        </w:rPr>
        <w:t xml:space="preserve">+ </w:t>
      </w:r>
      <w:r>
        <w:rPr>
          <w:rFonts w:ascii="Cambria Math" w:hAnsi="Cambria Math" w:cs="Cambria Math"/>
          <w:i/>
          <w:iCs/>
        </w:rPr>
        <w:t>(0.</w:t>
      </w:r>
      <w:r w:rsidR="004D1C08">
        <w:rPr>
          <w:rFonts w:ascii="Cambria Math" w:hAnsi="Cambria Math" w:cs="Cambria Math"/>
          <w:i/>
          <w:iCs/>
        </w:rPr>
        <w:t>0005</w:t>
      </w:r>
      <w:r>
        <w:rPr>
          <w:rFonts w:ascii="Cambria Math" w:hAnsi="Cambria Math" w:cs="Cambria Math"/>
          <w:i/>
          <w:iCs/>
        </w:rPr>
        <w:t>)</w:t>
      </w:r>
      <w:r w:rsidRPr="009A3431">
        <w:rPr>
          <w:rFonts w:ascii="Cambria Math" w:hAnsi="Cambria Math" w:cs="Cambria Math"/>
          <w:i/>
          <w:iCs/>
        </w:rPr>
        <w:t>D</w:t>
      </w:r>
      <w:r>
        <w:rPr>
          <w:rFonts w:ascii="Cambria Math" w:hAnsi="Cambria Math" w:cs="Cambria Math"/>
          <w:i/>
          <w:iCs/>
        </w:rPr>
        <w:t>/</w:t>
      </w:r>
      <w:r w:rsidR="00134A88">
        <w:rPr>
          <w:rFonts w:ascii="Cambria Math" w:hAnsi="Cambria Math" w:cs="Cambria Math"/>
          <w:i/>
          <w:iCs/>
        </w:rPr>
        <w:t>E</w:t>
      </w:r>
      <w:r>
        <w:rPr>
          <w:rFonts w:ascii="Cambria Math" w:hAnsi="Cambria Math" w:cs="Cambria Math"/>
          <w:i/>
          <w:iCs/>
        </w:rPr>
        <w:t xml:space="preserve"> </w:t>
      </w:r>
      <w:r w:rsidRPr="009A3431">
        <w:rPr>
          <w:rFonts w:ascii="Cambria Math" w:hAnsi="Cambria Math"/>
          <w:i/>
          <w:iCs/>
        </w:rPr>
        <w:t xml:space="preserve">+ </w:t>
      </w:r>
      <w:r>
        <w:rPr>
          <w:rFonts w:ascii="Cambria Math" w:hAnsi="Cambria Math" w:cs="Cambria Math"/>
          <w:i/>
          <w:iCs/>
        </w:rPr>
        <w:t>0.0001</w:t>
      </w:r>
      <w:r w:rsidRPr="009A3431">
        <w:rPr>
          <w:rFonts w:ascii="Cambria Math" w:hAnsi="Cambria Math" w:cs="Cambria Math"/>
          <w:i/>
          <w:iCs/>
        </w:rPr>
        <w:t>Size</w:t>
      </w:r>
      <w:r w:rsidRPr="009A3431">
        <w:rPr>
          <w:rFonts w:ascii="Cambria Math" w:hAnsi="Cambria Math"/>
          <w:i/>
          <w:iCs/>
        </w:rPr>
        <w:t xml:space="preserve"> + </w:t>
      </w:r>
      <w:r>
        <w:rPr>
          <w:rFonts w:ascii="Cambria Math" w:hAnsi="Cambria Math" w:cs="Cambria Math"/>
          <w:i/>
          <w:iCs/>
        </w:rPr>
        <w:t>(0.</w:t>
      </w:r>
      <w:r w:rsidR="004D1C08">
        <w:rPr>
          <w:rFonts w:ascii="Cambria Math" w:hAnsi="Cambria Math" w:cs="Cambria Math"/>
          <w:i/>
          <w:iCs/>
        </w:rPr>
        <w:t>0620</w:t>
      </w:r>
      <w:r>
        <w:rPr>
          <w:rFonts w:ascii="Cambria Math" w:hAnsi="Cambria Math" w:cs="Cambria Math"/>
          <w:i/>
          <w:iCs/>
        </w:rPr>
        <w:t>)</w:t>
      </w:r>
      <w:r w:rsidRPr="009A3431">
        <w:rPr>
          <w:rFonts w:ascii="Cambria Math" w:hAnsi="Cambria Math" w:cs="Cambria Math"/>
          <w:i/>
          <w:iCs/>
        </w:rPr>
        <w:t>Growth rate</w:t>
      </w:r>
    </w:p>
    <w:p w14:paraId="1E1B023E" w14:textId="099F5F36" w:rsidR="002D5A72" w:rsidRDefault="00134A88" w:rsidP="004B72BD">
      <w:pPr>
        <w:spacing w:line="360" w:lineRule="auto"/>
        <w:jc w:val="both"/>
      </w:pPr>
      <w:r w:rsidRPr="000B3326">
        <w:t>The</w:t>
      </w:r>
      <w:r w:rsidR="000B3326" w:rsidRPr="000B3326">
        <w:t xml:space="preserve"> above table </w:t>
      </w:r>
      <w:r w:rsidR="00852E71">
        <w:t>six</w:t>
      </w:r>
      <w:r w:rsidR="000B3326">
        <w:t xml:space="preserve"> presents the value of the</w:t>
      </w:r>
      <w:r w:rsidRPr="000B3326">
        <w:t xml:space="preserve"> </w:t>
      </w:r>
      <w:r w:rsidRPr="000B3326">
        <w:rPr>
          <w:u w:val="single"/>
        </w:rPr>
        <w:t>R squared</w:t>
      </w:r>
      <w:r w:rsidR="000B3326">
        <w:t>, which shows that the four predictor</w:t>
      </w:r>
      <w:r w:rsidR="00CD190B">
        <w:t>s</w:t>
      </w:r>
      <w:r w:rsidR="000B3326">
        <w:t xml:space="preserve"> C/R, D/E, Size and Growth Rate, taken as a set, account for the 34.82% of the variance of the ROA. This value shows a weak predictivity power of the analysis because, as previously stated, higher is the value of the R squared, higher is the predictivity of the model. </w:t>
      </w:r>
      <w:r w:rsidR="005313F5">
        <w:t>This outcome indicates that the independent variables, even if correlated with the ROA, do</w:t>
      </w:r>
      <w:r w:rsidR="004B72BD">
        <w:t xml:space="preserve"> not</w:t>
      </w:r>
      <w:r w:rsidR="005313F5">
        <w:t xml:space="preserve"> explain much if its variability; however, regardless the R-squared value, the research focus on the interpretation of the features for significant variables. Low R squared values could derive from imprecise predictions and do</w:t>
      </w:r>
      <w:r w:rsidR="004B72BD">
        <w:t xml:space="preserve"> not</w:t>
      </w:r>
      <w:r w:rsidR="005313F5">
        <w:t xml:space="preserve"> convey the reliability of the model</w:t>
      </w:r>
      <w:r w:rsidR="00CD190B">
        <w:t>,</w:t>
      </w:r>
      <w:r w:rsidR="005313F5">
        <w:t xml:space="preserve"> and it does</w:t>
      </w:r>
      <w:r w:rsidR="004B72BD">
        <w:t xml:space="preserve"> not</w:t>
      </w:r>
      <w:r w:rsidR="005313F5">
        <w:t xml:space="preserve"> necessarily express if the model </w:t>
      </w:r>
      <w:r w:rsidR="00352329">
        <w:t xml:space="preserve">used (or its data and predictions) </w:t>
      </w:r>
      <w:r w:rsidR="005313F5">
        <w:t xml:space="preserve">is </w:t>
      </w:r>
      <w:r w:rsidR="00352329">
        <w:t>valuable or not</w:t>
      </w:r>
      <w:r w:rsidR="00C244B1">
        <w:t xml:space="preserve"> </w:t>
      </w:r>
      <w:r w:rsidR="00C244B1" w:rsidRPr="00FD4DDB">
        <w:t>(</w:t>
      </w:r>
      <w:proofErr w:type="spellStart"/>
      <w:r w:rsidR="00C244B1" w:rsidRPr="00FD4DDB">
        <w:t>Alexopoulos</w:t>
      </w:r>
      <w:proofErr w:type="spellEnd"/>
      <w:r w:rsidR="00C244B1" w:rsidRPr="00FD4DDB">
        <w:t>, 2010)</w:t>
      </w:r>
      <w:r w:rsidR="00C244B1">
        <w:t>.</w:t>
      </w:r>
    </w:p>
    <w:p w14:paraId="6311EC4F" w14:textId="0A7D3771" w:rsidR="00061196" w:rsidRDefault="00061196" w:rsidP="004B72BD">
      <w:pPr>
        <w:spacing w:line="360" w:lineRule="auto"/>
        <w:jc w:val="both"/>
      </w:pPr>
      <w:r>
        <w:t xml:space="preserve">In the </w:t>
      </w:r>
      <w:r w:rsidRPr="00061196">
        <w:rPr>
          <w:b/>
          <w:bCs/>
        </w:rPr>
        <w:t>ANOVA</w:t>
      </w:r>
      <w:r>
        <w:rPr>
          <w:b/>
          <w:bCs/>
        </w:rPr>
        <w:t xml:space="preserve"> </w:t>
      </w:r>
      <w:r>
        <w:t xml:space="preserve">analysis is evident that the </w:t>
      </w:r>
      <w:r w:rsidRPr="00061196">
        <w:rPr>
          <w:u w:val="single"/>
        </w:rPr>
        <w:t>P</w:t>
      </w:r>
      <w:r w:rsidR="00CD190B">
        <w:rPr>
          <w:u w:val="single"/>
        </w:rPr>
        <w:t>-</w:t>
      </w:r>
      <w:r w:rsidRPr="00061196">
        <w:rPr>
          <w:u w:val="single"/>
        </w:rPr>
        <w:t>value</w:t>
      </w:r>
      <w:r>
        <w:t xml:space="preserve"> is </w:t>
      </w:r>
      <w:r>
        <w:rPr>
          <w:rFonts w:cstheme="minorHAnsi"/>
          <w:color w:val="222222"/>
          <w:shd w:val="clear" w:color="auto" w:fill="FFFFFF"/>
        </w:rPr>
        <w:t xml:space="preserve">&lt; </w:t>
      </w:r>
      <w:r w:rsidRPr="00DB2562">
        <w:rPr>
          <w:rFonts w:cstheme="minorHAnsi"/>
          <w:color w:val="222222"/>
          <w:shd w:val="clear" w:color="auto" w:fill="FFFFFF"/>
        </w:rPr>
        <w:t>α</w:t>
      </w:r>
      <w:r>
        <w:t xml:space="preserve"> (</w:t>
      </w:r>
      <w:r w:rsidR="00C673D2">
        <w:t xml:space="preserve">0.025 &lt; </w:t>
      </w:r>
      <w:r>
        <w:t>0.05), underlining that the hypothesis 1 is accepted and</w:t>
      </w:r>
      <w:r w:rsidR="00FB5E96">
        <w:t xml:space="preserve"> the null hypothesis is rejected. It states that,</w:t>
      </w:r>
      <w:r>
        <w:t xml:space="preserve"> overall, exists at least one useful relationship between C/R, D/E, Size, Growth Rate and ROA. </w:t>
      </w:r>
    </w:p>
    <w:p w14:paraId="42B550D9" w14:textId="03A8A5FE" w:rsidR="0091146D" w:rsidRDefault="0091146D" w:rsidP="004B72BD">
      <w:pPr>
        <w:spacing w:line="360" w:lineRule="auto"/>
        <w:jc w:val="both"/>
      </w:pPr>
      <w:r>
        <w:t>Table s</w:t>
      </w:r>
      <w:r w:rsidR="00852E71">
        <w:t>even</w:t>
      </w:r>
      <w:r>
        <w:t xml:space="preserve"> presents the </w:t>
      </w:r>
      <w:r w:rsidR="004C1786">
        <w:t>outcome</w:t>
      </w:r>
      <w:r>
        <w:t xml:space="preserve"> of the individual test of the predictors</w:t>
      </w:r>
      <w:r w:rsidR="00CD190B">
        <w:t>,</w:t>
      </w:r>
      <w:r w:rsidR="004C1786">
        <w:t xml:space="preserve"> and the only variable that result</w:t>
      </w:r>
      <w:r w:rsidR="00AD18F6">
        <w:t>s</w:t>
      </w:r>
      <w:r w:rsidR="004C1786">
        <w:t xml:space="preserve"> to be significant is the Current Ratio, which has a significant positive relationship with the ROA of 0.07. This</w:t>
      </w:r>
      <w:r w:rsidR="004B72BD">
        <w:t xml:space="preserve"> result</w:t>
      </w:r>
      <w:r w:rsidR="004C1786">
        <w:t xml:space="preserve"> implies that an increase of 1 unit in the C/R’s value (liquidity), has the consequence of an increase of 7% on the Return on Asset</w:t>
      </w:r>
      <w:r w:rsidR="00876BA2">
        <w:t xml:space="preserve"> (profitability)</w:t>
      </w:r>
      <w:r w:rsidR="00EF09D0">
        <w:t xml:space="preserve"> while holding the other variables constant. This positive relationship implies that liquid companies tend to be more profitable</w:t>
      </w:r>
      <w:r w:rsidR="004A3793">
        <w:t xml:space="preserve">, reflecting the necessity of liquid funds in order to be able to cover the short-term liabilities, to reduce the risks and to have better chances to improve the profitability of the business. </w:t>
      </w:r>
    </w:p>
    <w:p w14:paraId="0132FAB5" w14:textId="677DACDA" w:rsidR="00E749E8" w:rsidRDefault="00E749E8" w:rsidP="004B72BD">
      <w:pPr>
        <w:spacing w:line="360" w:lineRule="auto"/>
        <w:jc w:val="both"/>
      </w:pPr>
      <w:r>
        <w:t>The Debt-to-Equity Ratio and the Size have a negative relationship with the ROA</w:t>
      </w:r>
      <w:r w:rsidR="00CD190B">
        <w:t>;</w:t>
      </w:r>
      <w:r>
        <w:t xml:space="preserve"> however</w:t>
      </w:r>
      <w:r w:rsidR="00CD190B">
        <w:t>,</w:t>
      </w:r>
      <w:r>
        <w:t xml:space="preserve"> their relationship is not significant </w:t>
      </w:r>
      <w:r w:rsidRPr="00E749E8">
        <w:t xml:space="preserve">since their </w:t>
      </w:r>
      <w:r>
        <w:t>p</w:t>
      </w:r>
      <w:r w:rsidR="00CD190B">
        <w:t>-</w:t>
      </w:r>
      <w:r w:rsidRPr="00E749E8">
        <w:t>value</w:t>
      </w:r>
      <w:r w:rsidR="004B72BD">
        <w:t>s</w:t>
      </w:r>
      <w:r w:rsidRPr="00E749E8">
        <w:t xml:space="preserve"> </w:t>
      </w:r>
      <w:r w:rsidR="004B72BD">
        <w:t>are</w:t>
      </w:r>
      <w:r w:rsidRPr="00E749E8">
        <w:t xml:space="preserve"> 0.71 and 0.26 respectively, both of which are higher than alpha 0.05.</w:t>
      </w:r>
      <w:r w:rsidR="0086721E">
        <w:t xml:space="preserve"> The growth rate, on the other side, has a positive correlation with the ROA</w:t>
      </w:r>
      <w:r w:rsidR="004B72BD">
        <w:t>;</w:t>
      </w:r>
      <w:r w:rsidR="0086721E">
        <w:t xml:space="preserve"> nevertheless, the relationship is not significant.</w:t>
      </w:r>
    </w:p>
    <w:p w14:paraId="30685D1E" w14:textId="2EC9166D" w:rsidR="00F14DB0" w:rsidRPr="00F14DB0" w:rsidRDefault="00F14DB0" w:rsidP="00DB790E">
      <w:pPr>
        <w:spacing w:line="254" w:lineRule="auto"/>
        <w:jc w:val="both"/>
        <w:rPr>
          <w:b/>
          <w:bCs/>
        </w:rPr>
      </w:pPr>
    </w:p>
    <w:p w14:paraId="736E14DB" w14:textId="3D75B84F" w:rsidR="00F14DB0" w:rsidRDefault="002E402E" w:rsidP="00852E71">
      <w:pPr>
        <w:pStyle w:val="Heading3"/>
        <w:spacing w:line="480" w:lineRule="auto"/>
        <w:rPr>
          <w:rFonts w:ascii="Arial" w:hAnsi="Arial" w:cs="Arial"/>
          <w:b/>
          <w:bCs/>
          <w:color w:val="auto"/>
        </w:rPr>
      </w:pPr>
      <w:bookmarkStart w:id="43" w:name="_Toc43473615"/>
      <w:r>
        <w:rPr>
          <w:rFonts w:ascii="Arial" w:hAnsi="Arial" w:cs="Arial"/>
          <w:b/>
          <w:bCs/>
          <w:color w:val="auto"/>
        </w:rPr>
        <w:lastRenderedPageBreak/>
        <w:t xml:space="preserve">2.4 </w:t>
      </w:r>
      <w:r w:rsidR="00F14DB0" w:rsidRPr="00852E71">
        <w:rPr>
          <w:rFonts w:ascii="Arial" w:hAnsi="Arial" w:cs="Arial"/>
          <w:b/>
          <w:bCs/>
          <w:color w:val="auto"/>
        </w:rPr>
        <w:t>Equation Four Testing</w:t>
      </w:r>
      <w:bookmarkEnd w:id="43"/>
    </w:p>
    <w:p w14:paraId="54CD555D" w14:textId="77777777" w:rsidR="00852E71" w:rsidRDefault="00852E71" w:rsidP="00852E71">
      <w:pPr>
        <w:pStyle w:val="ListParagraph"/>
        <w:spacing w:line="254" w:lineRule="auto"/>
        <w:jc w:val="both"/>
        <w:rPr>
          <w:rFonts w:ascii="Cambria Math" w:hAnsi="Cambria Math"/>
          <w:i/>
          <w:iCs/>
        </w:rPr>
      </w:pPr>
    </w:p>
    <w:p w14:paraId="2EBCBEE7" w14:textId="739C78A5" w:rsidR="00852E71" w:rsidRPr="00852E71" w:rsidRDefault="00852E71" w:rsidP="00852E71">
      <w:pPr>
        <w:pStyle w:val="ListParagraph"/>
        <w:spacing w:line="254" w:lineRule="auto"/>
        <w:jc w:val="both"/>
        <w:rPr>
          <w:rFonts w:ascii="Cambria Math" w:hAnsi="Cambria Math"/>
          <w:b/>
          <w:bCs/>
        </w:rPr>
      </w:pPr>
      <w:r w:rsidRPr="00852E71">
        <w:rPr>
          <w:rFonts w:ascii="Cambria Math" w:hAnsi="Cambria Math"/>
          <w:b/>
          <w:bCs/>
          <w:i/>
          <w:iCs/>
        </w:rPr>
        <w:t xml:space="preserve">ROA = </w:t>
      </w:r>
      <w:r w:rsidRPr="00852E71">
        <w:rPr>
          <w:rFonts w:ascii="Cambria Math" w:hAnsi="Cambria Math" w:cs="Cambria Math"/>
          <w:b/>
          <w:bCs/>
          <w:i/>
          <w:iCs/>
        </w:rPr>
        <w:t>𝛽</w:t>
      </w:r>
      <w:r w:rsidRPr="00852E71">
        <w:rPr>
          <w:rFonts w:ascii="Cambria Math" w:hAnsi="Cambria Math"/>
          <w:b/>
          <w:bCs/>
          <w:i/>
          <w:iCs/>
        </w:rPr>
        <w:t xml:space="preserve">0 + </w:t>
      </w:r>
      <w:r w:rsidRPr="00852E71">
        <w:rPr>
          <w:rFonts w:ascii="Cambria Math" w:hAnsi="Cambria Math" w:cs="Cambria Math"/>
          <w:b/>
          <w:bCs/>
          <w:i/>
          <w:iCs/>
        </w:rPr>
        <w:t>𝛽</w:t>
      </w:r>
      <w:r w:rsidRPr="00852E71">
        <w:rPr>
          <w:rFonts w:ascii="Cambria Math" w:hAnsi="Cambria Math"/>
          <w:b/>
          <w:bCs/>
          <w:i/>
          <w:iCs/>
        </w:rPr>
        <w:t>1</w:t>
      </w:r>
      <w:r w:rsidRPr="00852E71">
        <w:rPr>
          <w:rFonts w:ascii="Cambria Math" w:hAnsi="Cambria Math" w:cs="Cambria Math"/>
          <w:b/>
          <w:bCs/>
          <w:i/>
          <w:iCs/>
        </w:rPr>
        <w:t>Quick Ratio</w:t>
      </w:r>
      <w:r w:rsidRPr="00852E71">
        <w:rPr>
          <w:rFonts w:ascii="Cambria Math" w:hAnsi="Cambria Math"/>
          <w:b/>
          <w:bCs/>
          <w:i/>
          <w:iCs/>
        </w:rPr>
        <w:t xml:space="preserve">+ </w:t>
      </w:r>
      <w:r w:rsidRPr="00852E71">
        <w:rPr>
          <w:rFonts w:ascii="Cambria Math" w:hAnsi="Cambria Math" w:cs="Cambria Math"/>
          <w:b/>
          <w:bCs/>
          <w:i/>
          <w:iCs/>
        </w:rPr>
        <w:t>𝛽</w:t>
      </w:r>
      <w:r w:rsidRPr="00852E71">
        <w:rPr>
          <w:rFonts w:ascii="Cambria Math" w:hAnsi="Cambria Math"/>
          <w:b/>
          <w:bCs/>
          <w:i/>
          <w:iCs/>
        </w:rPr>
        <w:t>2</w:t>
      </w:r>
      <w:r w:rsidRPr="00852E71">
        <w:rPr>
          <w:rFonts w:ascii="Cambria Math" w:hAnsi="Cambria Math" w:cs="Cambria Math"/>
          <w:b/>
          <w:bCs/>
          <w:i/>
          <w:iCs/>
        </w:rPr>
        <w:t>Debt-to-Capital Ratio</w:t>
      </w:r>
      <w:r w:rsidRPr="00852E71">
        <w:rPr>
          <w:rFonts w:ascii="Cambria Math" w:hAnsi="Cambria Math"/>
          <w:b/>
          <w:bCs/>
          <w:i/>
          <w:iCs/>
        </w:rPr>
        <w:t xml:space="preserve"> + </w:t>
      </w:r>
      <w:r w:rsidRPr="00852E71">
        <w:rPr>
          <w:rFonts w:ascii="Cambria Math" w:hAnsi="Cambria Math" w:cs="Cambria Math"/>
          <w:b/>
          <w:bCs/>
          <w:i/>
          <w:iCs/>
        </w:rPr>
        <w:t>𝛽</w:t>
      </w:r>
      <w:r w:rsidRPr="00852E71">
        <w:rPr>
          <w:rFonts w:ascii="Cambria Math" w:hAnsi="Cambria Math"/>
          <w:b/>
          <w:bCs/>
          <w:i/>
          <w:iCs/>
        </w:rPr>
        <w:t>3</w:t>
      </w:r>
      <w:r w:rsidRPr="00852E71">
        <w:rPr>
          <w:rFonts w:ascii="Cambria Math" w:hAnsi="Cambria Math" w:cs="Cambria Math"/>
          <w:b/>
          <w:bCs/>
          <w:i/>
          <w:iCs/>
        </w:rPr>
        <w:t>Size</w:t>
      </w:r>
      <w:r w:rsidRPr="00852E71">
        <w:rPr>
          <w:rFonts w:ascii="Cambria Math" w:hAnsi="Cambria Math"/>
          <w:b/>
          <w:bCs/>
          <w:i/>
          <w:iCs/>
        </w:rPr>
        <w:t xml:space="preserve"> + </w:t>
      </w:r>
      <w:r w:rsidRPr="00852E71">
        <w:rPr>
          <w:rFonts w:ascii="Cambria Math" w:hAnsi="Cambria Math" w:cs="Cambria Math"/>
          <w:b/>
          <w:bCs/>
          <w:i/>
          <w:iCs/>
        </w:rPr>
        <w:t>𝛽</w:t>
      </w:r>
      <w:r w:rsidRPr="00852E71">
        <w:rPr>
          <w:rFonts w:ascii="Cambria Math" w:hAnsi="Cambria Math"/>
          <w:b/>
          <w:bCs/>
          <w:i/>
          <w:iCs/>
        </w:rPr>
        <w:t>4</w:t>
      </w:r>
      <w:r w:rsidRPr="00852E71">
        <w:rPr>
          <w:rFonts w:ascii="Cambria Math" w:hAnsi="Cambria Math" w:cs="Cambria Math"/>
          <w:b/>
          <w:bCs/>
          <w:i/>
          <w:iCs/>
        </w:rPr>
        <w:t>Growth rate + 𝜀</w:t>
      </w:r>
    </w:p>
    <w:p w14:paraId="41966C21" w14:textId="7FEA6D69" w:rsidR="00DF179A" w:rsidRPr="00DF179A" w:rsidRDefault="00DF179A" w:rsidP="00DB790E">
      <w:pPr>
        <w:spacing w:line="254" w:lineRule="auto"/>
        <w:jc w:val="both"/>
      </w:pPr>
    </w:p>
    <w:tbl>
      <w:tblPr>
        <w:tblW w:w="9220" w:type="dxa"/>
        <w:tblLook w:val="04A0" w:firstRow="1" w:lastRow="0" w:firstColumn="1" w:lastColumn="0" w:noHBand="0" w:noVBand="1"/>
      </w:tblPr>
      <w:tblGrid>
        <w:gridCol w:w="1656"/>
        <w:gridCol w:w="1416"/>
        <w:gridCol w:w="1900"/>
        <w:gridCol w:w="1436"/>
        <w:gridCol w:w="1397"/>
        <w:gridCol w:w="1496"/>
      </w:tblGrid>
      <w:tr w:rsidR="00DF179A" w:rsidRPr="00DF179A" w14:paraId="09B60DBE" w14:textId="77777777" w:rsidTr="006406CF">
        <w:trPr>
          <w:trHeight w:val="294"/>
        </w:trPr>
        <w:tc>
          <w:tcPr>
            <w:tcW w:w="1656" w:type="dxa"/>
            <w:tcBorders>
              <w:top w:val="single" w:sz="4" w:space="0" w:color="auto"/>
              <w:left w:val="single" w:sz="4" w:space="0" w:color="auto"/>
              <w:bottom w:val="nil"/>
              <w:right w:val="nil"/>
            </w:tcBorders>
            <w:shd w:val="clear" w:color="auto" w:fill="auto"/>
            <w:noWrap/>
            <w:vAlign w:val="center"/>
            <w:hideMark/>
          </w:tcPr>
          <w:p w14:paraId="54C3E3DB" w14:textId="77777777" w:rsidR="00DF179A" w:rsidRPr="00DF179A" w:rsidRDefault="00DF179A" w:rsidP="00DF179A">
            <w:pPr>
              <w:spacing w:after="0" w:line="240" w:lineRule="auto"/>
              <w:rPr>
                <w:rFonts w:ascii="Times New Roman" w:eastAsia="Times New Roman" w:hAnsi="Times New Roman" w:cs="Times New Roman"/>
                <w:sz w:val="24"/>
                <w:szCs w:val="24"/>
                <w:lang w:eastAsia="en-GB"/>
              </w:rPr>
            </w:pPr>
          </w:p>
        </w:tc>
        <w:tc>
          <w:tcPr>
            <w:tcW w:w="1416" w:type="dxa"/>
            <w:tcBorders>
              <w:top w:val="single" w:sz="4" w:space="0" w:color="auto"/>
              <w:left w:val="nil"/>
              <w:bottom w:val="nil"/>
              <w:right w:val="nil"/>
            </w:tcBorders>
            <w:shd w:val="clear" w:color="auto" w:fill="auto"/>
            <w:noWrap/>
            <w:vAlign w:val="center"/>
            <w:hideMark/>
          </w:tcPr>
          <w:p w14:paraId="7A093B1F" w14:textId="77777777" w:rsidR="00DF179A" w:rsidRPr="00DF179A" w:rsidRDefault="00DF179A" w:rsidP="00DF179A">
            <w:pPr>
              <w:spacing w:after="0" w:line="240" w:lineRule="auto"/>
              <w:jc w:val="center"/>
              <w:rPr>
                <w:rFonts w:ascii="Times New Roman" w:eastAsia="Times New Roman" w:hAnsi="Times New Roman" w:cs="Times New Roman"/>
                <w:sz w:val="20"/>
                <w:szCs w:val="20"/>
                <w:lang w:eastAsia="en-GB"/>
              </w:rPr>
            </w:pPr>
          </w:p>
        </w:tc>
        <w:tc>
          <w:tcPr>
            <w:tcW w:w="3336" w:type="dxa"/>
            <w:gridSpan w:val="2"/>
            <w:tcBorders>
              <w:top w:val="single" w:sz="4" w:space="0" w:color="auto"/>
              <w:left w:val="nil"/>
              <w:bottom w:val="nil"/>
              <w:right w:val="nil"/>
            </w:tcBorders>
            <w:shd w:val="clear" w:color="auto" w:fill="auto"/>
            <w:noWrap/>
            <w:vAlign w:val="bottom"/>
            <w:hideMark/>
          </w:tcPr>
          <w:p w14:paraId="4F2E0A0C" w14:textId="77777777" w:rsidR="00DF179A" w:rsidRPr="00DF179A" w:rsidRDefault="00DF179A" w:rsidP="00DF179A">
            <w:pPr>
              <w:spacing w:after="0" w:line="240" w:lineRule="auto"/>
              <w:rPr>
                <w:rFonts w:ascii="Calibri" w:eastAsia="Times New Roman" w:hAnsi="Calibri" w:cs="Calibri"/>
                <w:b/>
                <w:bCs/>
                <w:color w:val="000000"/>
                <w:lang w:eastAsia="en-GB"/>
              </w:rPr>
            </w:pPr>
            <w:r w:rsidRPr="00DF179A">
              <w:rPr>
                <w:rFonts w:ascii="Calibri" w:eastAsia="Times New Roman" w:hAnsi="Calibri" w:cs="Calibri"/>
                <w:b/>
                <w:bCs/>
                <w:color w:val="000000"/>
                <w:lang w:eastAsia="en-GB"/>
              </w:rPr>
              <w:t>REGRESSION STATISTIC</w:t>
            </w:r>
          </w:p>
        </w:tc>
        <w:tc>
          <w:tcPr>
            <w:tcW w:w="1316" w:type="dxa"/>
            <w:tcBorders>
              <w:top w:val="single" w:sz="4" w:space="0" w:color="auto"/>
              <w:left w:val="nil"/>
              <w:bottom w:val="nil"/>
              <w:right w:val="nil"/>
            </w:tcBorders>
            <w:shd w:val="clear" w:color="auto" w:fill="auto"/>
            <w:noWrap/>
            <w:vAlign w:val="center"/>
            <w:hideMark/>
          </w:tcPr>
          <w:p w14:paraId="34445CE1" w14:textId="77777777" w:rsidR="00DF179A" w:rsidRPr="00DF179A" w:rsidRDefault="00DF179A" w:rsidP="00DF179A">
            <w:pPr>
              <w:spacing w:after="0" w:line="240" w:lineRule="auto"/>
              <w:rPr>
                <w:rFonts w:ascii="Calibri" w:eastAsia="Times New Roman" w:hAnsi="Calibri" w:cs="Calibri"/>
                <w:b/>
                <w:bCs/>
                <w:color w:val="000000"/>
                <w:lang w:eastAsia="en-GB"/>
              </w:rPr>
            </w:pPr>
          </w:p>
        </w:tc>
        <w:tc>
          <w:tcPr>
            <w:tcW w:w="1496" w:type="dxa"/>
            <w:tcBorders>
              <w:top w:val="single" w:sz="4" w:space="0" w:color="auto"/>
              <w:left w:val="nil"/>
              <w:bottom w:val="nil"/>
              <w:right w:val="single" w:sz="4" w:space="0" w:color="auto"/>
            </w:tcBorders>
            <w:shd w:val="clear" w:color="auto" w:fill="auto"/>
            <w:noWrap/>
            <w:vAlign w:val="center"/>
            <w:hideMark/>
          </w:tcPr>
          <w:p w14:paraId="3DABFA81" w14:textId="77777777" w:rsidR="00DF179A" w:rsidRPr="00DF179A" w:rsidRDefault="00DF179A" w:rsidP="00DF179A">
            <w:pPr>
              <w:spacing w:after="0" w:line="240" w:lineRule="auto"/>
              <w:jc w:val="center"/>
              <w:rPr>
                <w:rFonts w:ascii="Times New Roman" w:eastAsia="Times New Roman" w:hAnsi="Times New Roman" w:cs="Times New Roman"/>
                <w:sz w:val="20"/>
                <w:szCs w:val="20"/>
                <w:lang w:eastAsia="en-GB"/>
              </w:rPr>
            </w:pPr>
          </w:p>
        </w:tc>
      </w:tr>
      <w:tr w:rsidR="00DF179A" w:rsidRPr="00DF179A" w14:paraId="7103BAAE" w14:textId="77777777" w:rsidTr="006406CF">
        <w:trPr>
          <w:trHeight w:val="294"/>
        </w:trPr>
        <w:tc>
          <w:tcPr>
            <w:tcW w:w="1656" w:type="dxa"/>
            <w:tcBorders>
              <w:top w:val="single" w:sz="4" w:space="0" w:color="auto"/>
              <w:left w:val="single" w:sz="4" w:space="0" w:color="auto"/>
              <w:bottom w:val="single" w:sz="8" w:space="0" w:color="auto"/>
              <w:right w:val="nil"/>
            </w:tcBorders>
            <w:shd w:val="clear" w:color="auto" w:fill="auto"/>
            <w:noWrap/>
            <w:vAlign w:val="center"/>
            <w:hideMark/>
          </w:tcPr>
          <w:p w14:paraId="2839F490"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Multiple R</w:t>
            </w:r>
          </w:p>
        </w:tc>
        <w:tc>
          <w:tcPr>
            <w:tcW w:w="1416" w:type="dxa"/>
            <w:tcBorders>
              <w:top w:val="single" w:sz="4" w:space="0" w:color="auto"/>
              <w:left w:val="nil"/>
              <w:bottom w:val="single" w:sz="8" w:space="0" w:color="auto"/>
              <w:right w:val="nil"/>
            </w:tcBorders>
            <w:shd w:val="clear" w:color="auto" w:fill="auto"/>
            <w:noWrap/>
            <w:vAlign w:val="center"/>
            <w:hideMark/>
          </w:tcPr>
          <w:p w14:paraId="5267F72D"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R squared</w:t>
            </w:r>
          </w:p>
        </w:tc>
        <w:tc>
          <w:tcPr>
            <w:tcW w:w="1900" w:type="dxa"/>
            <w:tcBorders>
              <w:top w:val="single" w:sz="4" w:space="0" w:color="auto"/>
              <w:left w:val="nil"/>
              <w:bottom w:val="single" w:sz="8" w:space="0" w:color="auto"/>
              <w:right w:val="nil"/>
            </w:tcBorders>
            <w:shd w:val="clear" w:color="auto" w:fill="auto"/>
            <w:noWrap/>
            <w:vAlign w:val="center"/>
            <w:hideMark/>
          </w:tcPr>
          <w:p w14:paraId="79826265"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Adjusted R squared</w:t>
            </w:r>
          </w:p>
        </w:tc>
        <w:tc>
          <w:tcPr>
            <w:tcW w:w="1436" w:type="dxa"/>
            <w:tcBorders>
              <w:top w:val="single" w:sz="4" w:space="0" w:color="auto"/>
              <w:left w:val="nil"/>
              <w:bottom w:val="single" w:sz="8" w:space="0" w:color="auto"/>
              <w:right w:val="nil"/>
            </w:tcBorders>
            <w:shd w:val="clear" w:color="auto" w:fill="auto"/>
            <w:noWrap/>
            <w:vAlign w:val="center"/>
            <w:hideMark/>
          </w:tcPr>
          <w:p w14:paraId="1A05AFDC"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Standard error</w:t>
            </w:r>
          </w:p>
        </w:tc>
        <w:tc>
          <w:tcPr>
            <w:tcW w:w="1316" w:type="dxa"/>
            <w:tcBorders>
              <w:top w:val="single" w:sz="4" w:space="0" w:color="auto"/>
              <w:left w:val="nil"/>
              <w:bottom w:val="single" w:sz="8" w:space="0" w:color="auto"/>
              <w:right w:val="nil"/>
            </w:tcBorders>
            <w:shd w:val="clear" w:color="auto" w:fill="auto"/>
            <w:noWrap/>
            <w:vAlign w:val="center"/>
            <w:hideMark/>
          </w:tcPr>
          <w:p w14:paraId="67384570"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Observations</w:t>
            </w:r>
          </w:p>
        </w:tc>
        <w:tc>
          <w:tcPr>
            <w:tcW w:w="1496" w:type="dxa"/>
            <w:tcBorders>
              <w:top w:val="single" w:sz="4" w:space="0" w:color="auto"/>
              <w:left w:val="nil"/>
              <w:bottom w:val="single" w:sz="8" w:space="0" w:color="auto"/>
              <w:right w:val="single" w:sz="4" w:space="0" w:color="auto"/>
            </w:tcBorders>
            <w:shd w:val="clear" w:color="auto" w:fill="auto"/>
            <w:noWrap/>
            <w:vAlign w:val="center"/>
            <w:hideMark/>
          </w:tcPr>
          <w:p w14:paraId="74CCD491"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 </w:t>
            </w:r>
          </w:p>
        </w:tc>
      </w:tr>
      <w:tr w:rsidR="00DF179A" w:rsidRPr="00DF179A" w14:paraId="18B3743C" w14:textId="77777777" w:rsidTr="006406CF">
        <w:trPr>
          <w:trHeight w:val="288"/>
        </w:trPr>
        <w:tc>
          <w:tcPr>
            <w:tcW w:w="1656" w:type="dxa"/>
            <w:tcBorders>
              <w:top w:val="nil"/>
              <w:left w:val="single" w:sz="4" w:space="0" w:color="auto"/>
              <w:bottom w:val="nil"/>
              <w:right w:val="nil"/>
            </w:tcBorders>
            <w:shd w:val="clear" w:color="auto" w:fill="auto"/>
            <w:noWrap/>
            <w:vAlign w:val="center"/>
            <w:hideMark/>
          </w:tcPr>
          <w:p w14:paraId="371D96BA"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0.707488513</w:t>
            </w:r>
          </w:p>
        </w:tc>
        <w:tc>
          <w:tcPr>
            <w:tcW w:w="1416" w:type="dxa"/>
            <w:tcBorders>
              <w:top w:val="nil"/>
              <w:left w:val="nil"/>
              <w:bottom w:val="nil"/>
              <w:right w:val="nil"/>
            </w:tcBorders>
            <w:shd w:val="clear" w:color="auto" w:fill="auto"/>
            <w:noWrap/>
            <w:vAlign w:val="center"/>
            <w:hideMark/>
          </w:tcPr>
          <w:p w14:paraId="052C3E9B"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0.500539996</w:t>
            </w:r>
          </w:p>
        </w:tc>
        <w:tc>
          <w:tcPr>
            <w:tcW w:w="1900" w:type="dxa"/>
            <w:tcBorders>
              <w:top w:val="nil"/>
              <w:left w:val="nil"/>
              <w:bottom w:val="nil"/>
              <w:right w:val="nil"/>
            </w:tcBorders>
            <w:shd w:val="clear" w:color="auto" w:fill="auto"/>
            <w:noWrap/>
            <w:vAlign w:val="center"/>
            <w:hideMark/>
          </w:tcPr>
          <w:p w14:paraId="0D6A7C68"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0.420626395</w:t>
            </w:r>
          </w:p>
        </w:tc>
        <w:tc>
          <w:tcPr>
            <w:tcW w:w="1436" w:type="dxa"/>
            <w:tcBorders>
              <w:top w:val="nil"/>
              <w:left w:val="nil"/>
              <w:bottom w:val="nil"/>
              <w:right w:val="nil"/>
            </w:tcBorders>
            <w:shd w:val="clear" w:color="auto" w:fill="auto"/>
            <w:noWrap/>
            <w:vAlign w:val="center"/>
            <w:hideMark/>
          </w:tcPr>
          <w:p w14:paraId="493348D2"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0.034224341</w:t>
            </w:r>
          </w:p>
        </w:tc>
        <w:tc>
          <w:tcPr>
            <w:tcW w:w="1316" w:type="dxa"/>
            <w:tcBorders>
              <w:top w:val="nil"/>
              <w:left w:val="nil"/>
              <w:bottom w:val="nil"/>
              <w:right w:val="nil"/>
            </w:tcBorders>
            <w:shd w:val="clear" w:color="auto" w:fill="auto"/>
            <w:noWrap/>
            <w:vAlign w:val="center"/>
            <w:hideMark/>
          </w:tcPr>
          <w:p w14:paraId="4F7D6C1E"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30</w:t>
            </w:r>
          </w:p>
        </w:tc>
        <w:tc>
          <w:tcPr>
            <w:tcW w:w="1496" w:type="dxa"/>
            <w:tcBorders>
              <w:top w:val="nil"/>
              <w:left w:val="nil"/>
              <w:bottom w:val="nil"/>
              <w:right w:val="single" w:sz="4" w:space="0" w:color="auto"/>
            </w:tcBorders>
            <w:shd w:val="clear" w:color="auto" w:fill="auto"/>
            <w:noWrap/>
            <w:vAlign w:val="center"/>
            <w:hideMark/>
          </w:tcPr>
          <w:p w14:paraId="19A98DD9" w14:textId="77777777" w:rsidR="00DF179A" w:rsidRPr="00DF179A" w:rsidRDefault="00DF179A" w:rsidP="00DF179A">
            <w:pPr>
              <w:spacing w:after="0" w:line="240" w:lineRule="auto"/>
              <w:jc w:val="center"/>
              <w:rPr>
                <w:rFonts w:ascii="Calibri" w:eastAsia="Times New Roman" w:hAnsi="Calibri" w:cs="Calibri"/>
                <w:color w:val="000000"/>
                <w:lang w:eastAsia="en-GB"/>
              </w:rPr>
            </w:pPr>
          </w:p>
        </w:tc>
      </w:tr>
      <w:tr w:rsidR="00DF179A" w:rsidRPr="00DF179A" w14:paraId="7E8331E2" w14:textId="77777777" w:rsidTr="006406CF">
        <w:trPr>
          <w:trHeight w:val="294"/>
        </w:trPr>
        <w:tc>
          <w:tcPr>
            <w:tcW w:w="1656" w:type="dxa"/>
            <w:tcBorders>
              <w:top w:val="single" w:sz="4" w:space="0" w:color="auto"/>
              <w:left w:val="single" w:sz="4" w:space="0" w:color="auto"/>
              <w:bottom w:val="single" w:sz="8" w:space="0" w:color="auto"/>
              <w:right w:val="nil"/>
            </w:tcBorders>
            <w:shd w:val="clear" w:color="auto" w:fill="auto"/>
            <w:noWrap/>
            <w:vAlign w:val="center"/>
            <w:hideMark/>
          </w:tcPr>
          <w:p w14:paraId="377ED054" w14:textId="77777777" w:rsidR="00DF179A" w:rsidRPr="00DF179A" w:rsidRDefault="00DF179A" w:rsidP="00DF179A">
            <w:pPr>
              <w:spacing w:after="0" w:line="240" w:lineRule="auto"/>
              <w:jc w:val="center"/>
              <w:rPr>
                <w:rFonts w:ascii="Calibri" w:eastAsia="Times New Roman" w:hAnsi="Calibri" w:cs="Calibri"/>
                <w:b/>
                <w:bCs/>
                <w:color w:val="000000"/>
                <w:lang w:eastAsia="en-GB"/>
              </w:rPr>
            </w:pPr>
            <w:r w:rsidRPr="00DF179A">
              <w:rPr>
                <w:rFonts w:ascii="Calibri" w:eastAsia="Times New Roman" w:hAnsi="Calibri" w:cs="Calibri"/>
                <w:b/>
                <w:bCs/>
                <w:color w:val="000000"/>
                <w:lang w:eastAsia="en-GB"/>
              </w:rPr>
              <w:t> </w:t>
            </w:r>
          </w:p>
        </w:tc>
        <w:tc>
          <w:tcPr>
            <w:tcW w:w="1416" w:type="dxa"/>
            <w:tcBorders>
              <w:top w:val="single" w:sz="4" w:space="0" w:color="auto"/>
              <w:left w:val="nil"/>
              <w:bottom w:val="single" w:sz="8" w:space="0" w:color="auto"/>
              <w:right w:val="nil"/>
            </w:tcBorders>
            <w:shd w:val="clear" w:color="auto" w:fill="auto"/>
            <w:noWrap/>
            <w:vAlign w:val="center"/>
            <w:hideMark/>
          </w:tcPr>
          <w:p w14:paraId="170AF8A4"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 </w:t>
            </w:r>
          </w:p>
        </w:tc>
        <w:tc>
          <w:tcPr>
            <w:tcW w:w="1900" w:type="dxa"/>
            <w:tcBorders>
              <w:top w:val="single" w:sz="4" w:space="0" w:color="auto"/>
              <w:left w:val="nil"/>
              <w:bottom w:val="single" w:sz="8" w:space="0" w:color="auto"/>
              <w:right w:val="nil"/>
            </w:tcBorders>
            <w:shd w:val="clear" w:color="auto" w:fill="auto"/>
            <w:noWrap/>
            <w:vAlign w:val="center"/>
            <w:hideMark/>
          </w:tcPr>
          <w:p w14:paraId="1AF1620E" w14:textId="56FDD539" w:rsidR="00DF179A" w:rsidRPr="00DF179A" w:rsidRDefault="00DF179A" w:rsidP="00DF179A">
            <w:pPr>
              <w:spacing w:after="0" w:line="240" w:lineRule="auto"/>
              <w:jc w:val="center"/>
              <w:rPr>
                <w:rFonts w:ascii="Calibri" w:eastAsia="Times New Roman" w:hAnsi="Calibri" w:cs="Calibri"/>
                <w:b/>
                <w:bCs/>
                <w:color w:val="000000"/>
                <w:lang w:eastAsia="en-GB"/>
              </w:rPr>
            </w:pPr>
            <w:r>
              <w:rPr>
                <w:rFonts w:ascii="Calibri" w:eastAsia="Times New Roman" w:hAnsi="Calibri" w:cs="Calibri"/>
                <w:b/>
                <w:bCs/>
                <w:color w:val="000000"/>
                <w:lang w:eastAsia="en-GB"/>
              </w:rPr>
              <w:t xml:space="preserve">      </w:t>
            </w:r>
            <w:r w:rsidRPr="00DF179A">
              <w:rPr>
                <w:rFonts w:ascii="Calibri" w:eastAsia="Times New Roman" w:hAnsi="Calibri" w:cs="Calibri"/>
                <w:b/>
                <w:bCs/>
                <w:color w:val="000000"/>
                <w:lang w:eastAsia="en-GB"/>
              </w:rPr>
              <w:t>ANOVA</w:t>
            </w:r>
          </w:p>
        </w:tc>
        <w:tc>
          <w:tcPr>
            <w:tcW w:w="1436" w:type="dxa"/>
            <w:tcBorders>
              <w:top w:val="single" w:sz="4" w:space="0" w:color="auto"/>
              <w:left w:val="nil"/>
              <w:bottom w:val="single" w:sz="8" w:space="0" w:color="auto"/>
              <w:right w:val="nil"/>
            </w:tcBorders>
            <w:shd w:val="clear" w:color="auto" w:fill="auto"/>
            <w:noWrap/>
            <w:vAlign w:val="center"/>
            <w:hideMark/>
          </w:tcPr>
          <w:p w14:paraId="394B6896"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 </w:t>
            </w:r>
          </w:p>
        </w:tc>
        <w:tc>
          <w:tcPr>
            <w:tcW w:w="1316" w:type="dxa"/>
            <w:tcBorders>
              <w:top w:val="single" w:sz="4" w:space="0" w:color="auto"/>
              <w:left w:val="nil"/>
              <w:bottom w:val="single" w:sz="8" w:space="0" w:color="auto"/>
              <w:right w:val="nil"/>
            </w:tcBorders>
            <w:shd w:val="clear" w:color="auto" w:fill="auto"/>
            <w:noWrap/>
            <w:vAlign w:val="center"/>
            <w:hideMark/>
          </w:tcPr>
          <w:p w14:paraId="1CF8107F"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 </w:t>
            </w:r>
          </w:p>
        </w:tc>
        <w:tc>
          <w:tcPr>
            <w:tcW w:w="1496" w:type="dxa"/>
            <w:tcBorders>
              <w:top w:val="single" w:sz="4" w:space="0" w:color="auto"/>
              <w:left w:val="nil"/>
              <w:bottom w:val="single" w:sz="8" w:space="0" w:color="auto"/>
              <w:right w:val="single" w:sz="4" w:space="0" w:color="auto"/>
            </w:tcBorders>
            <w:shd w:val="clear" w:color="auto" w:fill="auto"/>
            <w:noWrap/>
            <w:vAlign w:val="center"/>
            <w:hideMark/>
          </w:tcPr>
          <w:p w14:paraId="739D8EFB"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 </w:t>
            </w:r>
          </w:p>
        </w:tc>
      </w:tr>
      <w:tr w:rsidR="00DF179A" w:rsidRPr="00DF179A" w14:paraId="1896DC05" w14:textId="77777777" w:rsidTr="006406CF">
        <w:trPr>
          <w:trHeight w:val="288"/>
        </w:trPr>
        <w:tc>
          <w:tcPr>
            <w:tcW w:w="1656" w:type="dxa"/>
            <w:tcBorders>
              <w:top w:val="nil"/>
              <w:left w:val="single" w:sz="4" w:space="0" w:color="auto"/>
              <w:bottom w:val="single" w:sz="4" w:space="0" w:color="auto"/>
              <w:right w:val="nil"/>
            </w:tcBorders>
            <w:shd w:val="clear" w:color="auto" w:fill="auto"/>
            <w:noWrap/>
            <w:vAlign w:val="center"/>
            <w:hideMark/>
          </w:tcPr>
          <w:p w14:paraId="0A1DB14D" w14:textId="77777777" w:rsidR="00DF179A" w:rsidRPr="00DF179A" w:rsidRDefault="00DF179A" w:rsidP="00DF179A">
            <w:pPr>
              <w:spacing w:after="0" w:line="240" w:lineRule="auto"/>
              <w:jc w:val="center"/>
              <w:rPr>
                <w:rFonts w:ascii="Calibri" w:eastAsia="Times New Roman" w:hAnsi="Calibri" w:cs="Calibri"/>
                <w:i/>
                <w:iCs/>
                <w:color w:val="000000"/>
                <w:lang w:eastAsia="en-GB"/>
              </w:rPr>
            </w:pPr>
            <w:r w:rsidRPr="00DF179A">
              <w:rPr>
                <w:rFonts w:ascii="Calibri" w:eastAsia="Times New Roman" w:hAnsi="Calibri" w:cs="Calibri"/>
                <w:i/>
                <w:iCs/>
                <w:color w:val="000000"/>
                <w:lang w:eastAsia="en-GB"/>
              </w:rPr>
              <w:t> </w:t>
            </w:r>
          </w:p>
        </w:tc>
        <w:tc>
          <w:tcPr>
            <w:tcW w:w="1416" w:type="dxa"/>
            <w:tcBorders>
              <w:top w:val="nil"/>
              <w:left w:val="nil"/>
              <w:bottom w:val="single" w:sz="4" w:space="0" w:color="auto"/>
              <w:right w:val="nil"/>
            </w:tcBorders>
            <w:shd w:val="clear" w:color="auto" w:fill="auto"/>
            <w:noWrap/>
            <w:vAlign w:val="center"/>
            <w:hideMark/>
          </w:tcPr>
          <w:p w14:paraId="302796BD" w14:textId="77777777" w:rsidR="00DF179A" w:rsidRPr="00DF179A" w:rsidRDefault="00DF179A" w:rsidP="00DF179A">
            <w:pPr>
              <w:spacing w:after="0" w:line="240" w:lineRule="auto"/>
              <w:jc w:val="center"/>
              <w:rPr>
                <w:rFonts w:ascii="Calibri" w:eastAsia="Times New Roman" w:hAnsi="Calibri" w:cs="Calibri"/>
                <w:i/>
                <w:iCs/>
                <w:color w:val="000000"/>
                <w:lang w:eastAsia="en-GB"/>
              </w:rPr>
            </w:pPr>
            <w:r w:rsidRPr="00DF179A">
              <w:rPr>
                <w:rFonts w:ascii="Calibri" w:eastAsia="Times New Roman" w:hAnsi="Calibri" w:cs="Calibri"/>
                <w:i/>
                <w:iCs/>
                <w:color w:val="000000"/>
                <w:lang w:eastAsia="en-GB"/>
              </w:rPr>
              <w:t>df</w:t>
            </w:r>
          </w:p>
        </w:tc>
        <w:tc>
          <w:tcPr>
            <w:tcW w:w="1900" w:type="dxa"/>
            <w:tcBorders>
              <w:top w:val="nil"/>
              <w:left w:val="nil"/>
              <w:bottom w:val="single" w:sz="4" w:space="0" w:color="auto"/>
              <w:right w:val="nil"/>
            </w:tcBorders>
            <w:shd w:val="clear" w:color="auto" w:fill="auto"/>
            <w:noWrap/>
            <w:vAlign w:val="center"/>
            <w:hideMark/>
          </w:tcPr>
          <w:p w14:paraId="79CE9A3D" w14:textId="77777777" w:rsidR="00DF179A" w:rsidRPr="00DF179A" w:rsidRDefault="00DF179A" w:rsidP="00DF179A">
            <w:pPr>
              <w:spacing w:after="0" w:line="240" w:lineRule="auto"/>
              <w:jc w:val="center"/>
              <w:rPr>
                <w:rFonts w:ascii="Calibri" w:eastAsia="Times New Roman" w:hAnsi="Calibri" w:cs="Calibri"/>
                <w:i/>
                <w:iCs/>
                <w:color w:val="000000"/>
                <w:lang w:eastAsia="en-GB"/>
              </w:rPr>
            </w:pPr>
            <w:r w:rsidRPr="00DF179A">
              <w:rPr>
                <w:rFonts w:ascii="Calibri" w:eastAsia="Times New Roman" w:hAnsi="Calibri" w:cs="Calibri"/>
                <w:i/>
                <w:iCs/>
                <w:color w:val="000000"/>
                <w:lang w:eastAsia="en-GB"/>
              </w:rPr>
              <w:t>SS</w:t>
            </w:r>
          </w:p>
        </w:tc>
        <w:tc>
          <w:tcPr>
            <w:tcW w:w="1436" w:type="dxa"/>
            <w:tcBorders>
              <w:top w:val="nil"/>
              <w:left w:val="nil"/>
              <w:bottom w:val="single" w:sz="4" w:space="0" w:color="auto"/>
              <w:right w:val="nil"/>
            </w:tcBorders>
            <w:shd w:val="clear" w:color="auto" w:fill="auto"/>
            <w:noWrap/>
            <w:vAlign w:val="center"/>
            <w:hideMark/>
          </w:tcPr>
          <w:p w14:paraId="05FFFE3D" w14:textId="77777777" w:rsidR="00DF179A" w:rsidRPr="00DF179A" w:rsidRDefault="00DF179A" w:rsidP="00DF179A">
            <w:pPr>
              <w:spacing w:after="0" w:line="240" w:lineRule="auto"/>
              <w:jc w:val="center"/>
              <w:rPr>
                <w:rFonts w:ascii="Calibri" w:eastAsia="Times New Roman" w:hAnsi="Calibri" w:cs="Calibri"/>
                <w:i/>
                <w:iCs/>
                <w:color w:val="000000"/>
                <w:lang w:eastAsia="en-GB"/>
              </w:rPr>
            </w:pPr>
            <w:r w:rsidRPr="00DF179A">
              <w:rPr>
                <w:rFonts w:ascii="Calibri" w:eastAsia="Times New Roman" w:hAnsi="Calibri" w:cs="Calibri"/>
                <w:i/>
                <w:iCs/>
                <w:color w:val="000000"/>
                <w:lang w:eastAsia="en-GB"/>
              </w:rPr>
              <w:t>MS</w:t>
            </w:r>
          </w:p>
        </w:tc>
        <w:tc>
          <w:tcPr>
            <w:tcW w:w="1316" w:type="dxa"/>
            <w:tcBorders>
              <w:top w:val="nil"/>
              <w:left w:val="nil"/>
              <w:bottom w:val="single" w:sz="4" w:space="0" w:color="auto"/>
              <w:right w:val="nil"/>
            </w:tcBorders>
            <w:shd w:val="clear" w:color="auto" w:fill="auto"/>
            <w:noWrap/>
            <w:vAlign w:val="center"/>
            <w:hideMark/>
          </w:tcPr>
          <w:p w14:paraId="48C9292D" w14:textId="77777777" w:rsidR="00DF179A" w:rsidRPr="00DF179A" w:rsidRDefault="00DF179A" w:rsidP="00DF179A">
            <w:pPr>
              <w:spacing w:after="0" w:line="240" w:lineRule="auto"/>
              <w:jc w:val="center"/>
              <w:rPr>
                <w:rFonts w:ascii="Calibri" w:eastAsia="Times New Roman" w:hAnsi="Calibri" w:cs="Calibri"/>
                <w:i/>
                <w:iCs/>
                <w:color w:val="000000"/>
                <w:lang w:eastAsia="en-GB"/>
              </w:rPr>
            </w:pPr>
            <w:r w:rsidRPr="00DF179A">
              <w:rPr>
                <w:rFonts w:ascii="Calibri" w:eastAsia="Times New Roman" w:hAnsi="Calibri" w:cs="Calibri"/>
                <w:i/>
                <w:iCs/>
                <w:color w:val="000000"/>
                <w:lang w:eastAsia="en-GB"/>
              </w:rPr>
              <w:t>F</w:t>
            </w:r>
          </w:p>
        </w:tc>
        <w:tc>
          <w:tcPr>
            <w:tcW w:w="1496" w:type="dxa"/>
            <w:tcBorders>
              <w:top w:val="nil"/>
              <w:left w:val="nil"/>
              <w:bottom w:val="single" w:sz="4" w:space="0" w:color="auto"/>
              <w:right w:val="single" w:sz="4" w:space="0" w:color="auto"/>
            </w:tcBorders>
            <w:shd w:val="clear" w:color="auto" w:fill="auto"/>
            <w:noWrap/>
            <w:vAlign w:val="center"/>
            <w:hideMark/>
          </w:tcPr>
          <w:p w14:paraId="683D73F8" w14:textId="77777777" w:rsidR="00DF179A" w:rsidRPr="00DF179A" w:rsidRDefault="00DF179A" w:rsidP="00DF179A">
            <w:pPr>
              <w:spacing w:after="0" w:line="240" w:lineRule="auto"/>
              <w:jc w:val="center"/>
              <w:rPr>
                <w:rFonts w:ascii="Calibri" w:eastAsia="Times New Roman" w:hAnsi="Calibri" w:cs="Calibri"/>
                <w:i/>
                <w:iCs/>
                <w:color w:val="000000"/>
                <w:lang w:eastAsia="en-GB"/>
              </w:rPr>
            </w:pPr>
            <w:r w:rsidRPr="00DF179A">
              <w:rPr>
                <w:rFonts w:ascii="Calibri" w:eastAsia="Times New Roman" w:hAnsi="Calibri" w:cs="Calibri"/>
                <w:i/>
                <w:iCs/>
                <w:color w:val="000000"/>
                <w:lang w:eastAsia="en-GB"/>
              </w:rPr>
              <w:t>Significance F</w:t>
            </w:r>
          </w:p>
        </w:tc>
      </w:tr>
      <w:tr w:rsidR="00DF179A" w:rsidRPr="00DF179A" w14:paraId="06056DDA" w14:textId="77777777" w:rsidTr="006406CF">
        <w:trPr>
          <w:trHeight w:val="288"/>
        </w:trPr>
        <w:tc>
          <w:tcPr>
            <w:tcW w:w="1656" w:type="dxa"/>
            <w:tcBorders>
              <w:top w:val="nil"/>
              <w:left w:val="single" w:sz="4" w:space="0" w:color="auto"/>
              <w:bottom w:val="nil"/>
              <w:right w:val="nil"/>
            </w:tcBorders>
            <w:shd w:val="clear" w:color="auto" w:fill="auto"/>
            <w:noWrap/>
            <w:vAlign w:val="center"/>
            <w:hideMark/>
          </w:tcPr>
          <w:p w14:paraId="6E836702"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Regression</w:t>
            </w:r>
          </w:p>
        </w:tc>
        <w:tc>
          <w:tcPr>
            <w:tcW w:w="1416" w:type="dxa"/>
            <w:tcBorders>
              <w:top w:val="nil"/>
              <w:left w:val="nil"/>
              <w:bottom w:val="nil"/>
              <w:right w:val="nil"/>
            </w:tcBorders>
            <w:shd w:val="clear" w:color="auto" w:fill="auto"/>
            <w:noWrap/>
            <w:vAlign w:val="center"/>
            <w:hideMark/>
          </w:tcPr>
          <w:p w14:paraId="4213A499"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4</w:t>
            </w:r>
          </w:p>
        </w:tc>
        <w:tc>
          <w:tcPr>
            <w:tcW w:w="1900" w:type="dxa"/>
            <w:tcBorders>
              <w:top w:val="nil"/>
              <w:left w:val="nil"/>
              <w:bottom w:val="nil"/>
              <w:right w:val="nil"/>
            </w:tcBorders>
            <w:shd w:val="clear" w:color="auto" w:fill="auto"/>
            <w:noWrap/>
            <w:vAlign w:val="center"/>
            <w:hideMark/>
          </w:tcPr>
          <w:p w14:paraId="069E5894"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0.029345957</w:t>
            </w:r>
          </w:p>
        </w:tc>
        <w:tc>
          <w:tcPr>
            <w:tcW w:w="1436" w:type="dxa"/>
            <w:tcBorders>
              <w:top w:val="nil"/>
              <w:left w:val="nil"/>
              <w:bottom w:val="nil"/>
              <w:right w:val="nil"/>
            </w:tcBorders>
            <w:shd w:val="clear" w:color="auto" w:fill="auto"/>
            <w:noWrap/>
            <w:vAlign w:val="center"/>
            <w:hideMark/>
          </w:tcPr>
          <w:p w14:paraId="03B8D4D3"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0.007336489</w:t>
            </w:r>
          </w:p>
        </w:tc>
        <w:tc>
          <w:tcPr>
            <w:tcW w:w="1316" w:type="dxa"/>
            <w:tcBorders>
              <w:top w:val="nil"/>
              <w:left w:val="nil"/>
              <w:bottom w:val="nil"/>
              <w:right w:val="nil"/>
            </w:tcBorders>
            <w:shd w:val="clear" w:color="auto" w:fill="auto"/>
            <w:noWrap/>
            <w:vAlign w:val="center"/>
            <w:hideMark/>
          </w:tcPr>
          <w:p w14:paraId="64C958D3"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6.2635145</w:t>
            </w:r>
          </w:p>
        </w:tc>
        <w:tc>
          <w:tcPr>
            <w:tcW w:w="1496" w:type="dxa"/>
            <w:tcBorders>
              <w:top w:val="nil"/>
              <w:left w:val="nil"/>
              <w:bottom w:val="nil"/>
              <w:right w:val="single" w:sz="4" w:space="0" w:color="auto"/>
            </w:tcBorders>
            <w:shd w:val="clear" w:color="auto" w:fill="auto"/>
            <w:noWrap/>
            <w:vAlign w:val="center"/>
            <w:hideMark/>
          </w:tcPr>
          <w:p w14:paraId="1B617D02"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0.001235951</w:t>
            </w:r>
          </w:p>
        </w:tc>
      </w:tr>
      <w:tr w:rsidR="00DF179A" w:rsidRPr="00DF179A" w14:paraId="1FA4BBE8" w14:textId="77777777" w:rsidTr="006406CF">
        <w:trPr>
          <w:trHeight w:val="294"/>
        </w:trPr>
        <w:tc>
          <w:tcPr>
            <w:tcW w:w="1656" w:type="dxa"/>
            <w:tcBorders>
              <w:top w:val="nil"/>
              <w:left w:val="single" w:sz="4" w:space="0" w:color="auto"/>
              <w:bottom w:val="nil"/>
              <w:right w:val="nil"/>
            </w:tcBorders>
            <w:shd w:val="clear" w:color="auto" w:fill="auto"/>
            <w:noWrap/>
            <w:vAlign w:val="center"/>
            <w:hideMark/>
          </w:tcPr>
          <w:p w14:paraId="1953F98C"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Residual</w:t>
            </w:r>
          </w:p>
        </w:tc>
        <w:tc>
          <w:tcPr>
            <w:tcW w:w="1416" w:type="dxa"/>
            <w:tcBorders>
              <w:top w:val="nil"/>
              <w:left w:val="nil"/>
              <w:bottom w:val="nil"/>
              <w:right w:val="nil"/>
            </w:tcBorders>
            <w:shd w:val="clear" w:color="auto" w:fill="auto"/>
            <w:noWrap/>
            <w:vAlign w:val="center"/>
            <w:hideMark/>
          </w:tcPr>
          <w:p w14:paraId="45992FEC"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25</w:t>
            </w:r>
          </w:p>
        </w:tc>
        <w:tc>
          <w:tcPr>
            <w:tcW w:w="1900" w:type="dxa"/>
            <w:tcBorders>
              <w:top w:val="nil"/>
              <w:left w:val="nil"/>
              <w:bottom w:val="nil"/>
              <w:right w:val="nil"/>
            </w:tcBorders>
            <w:shd w:val="clear" w:color="auto" w:fill="auto"/>
            <w:noWrap/>
            <w:vAlign w:val="center"/>
            <w:hideMark/>
          </w:tcPr>
          <w:p w14:paraId="20D05631"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0.029282638</w:t>
            </w:r>
          </w:p>
        </w:tc>
        <w:tc>
          <w:tcPr>
            <w:tcW w:w="1436" w:type="dxa"/>
            <w:tcBorders>
              <w:top w:val="nil"/>
              <w:left w:val="nil"/>
              <w:bottom w:val="nil"/>
              <w:right w:val="nil"/>
            </w:tcBorders>
            <w:shd w:val="clear" w:color="auto" w:fill="auto"/>
            <w:noWrap/>
            <w:vAlign w:val="center"/>
            <w:hideMark/>
          </w:tcPr>
          <w:p w14:paraId="73874707"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0.001171306</w:t>
            </w:r>
          </w:p>
        </w:tc>
        <w:tc>
          <w:tcPr>
            <w:tcW w:w="1316" w:type="dxa"/>
            <w:tcBorders>
              <w:top w:val="nil"/>
              <w:left w:val="nil"/>
              <w:bottom w:val="nil"/>
              <w:right w:val="nil"/>
            </w:tcBorders>
            <w:shd w:val="clear" w:color="auto" w:fill="auto"/>
            <w:noWrap/>
            <w:vAlign w:val="center"/>
            <w:hideMark/>
          </w:tcPr>
          <w:p w14:paraId="27BCBE59" w14:textId="77777777" w:rsidR="00DF179A" w:rsidRPr="00DF179A" w:rsidRDefault="00DF179A" w:rsidP="00DF179A">
            <w:pPr>
              <w:spacing w:after="0" w:line="240" w:lineRule="auto"/>
              <w:jc w:val="center"/>
              <w:rPr>
                <w:rFonts w:ascii="Calibri" w:eastAsia="Times New Roman" w:hAnsi="Calibri" w:cs="Calibri"/>
                <w:color w:val="000000"/>
                <w:lang w:eastAsia="en-GB"/>
              </w:rPr>
            </w:pPr>
          </w:p>
        </w:tc>
        <w:tc>
          <w:tcPr>
            <w:tcW w:w="1496" w:type="dxa"/>
            <w:tcBorders>
              <w:top w:val="nil"/>
              <w:left w:val="nil"/>
              <w:bottom w:val="nil"/>
              <w:right w:val="single" w:sz="4" w:space="0" w:color="auto"/>
            </w:tcBorders>
            <w:shd w:val="clear" w:color="auto" w:fill="auto"/>
            <w:noWrap/>
            <w:vAlign w:val="center"/>
            <w:hideMark/>
          </w:tcPr>
          <w:p w14:paraId="0EDF17E7" w14:textId="77777777" w:rsidR="00DF179A" w:rsidRPr="00DF179A" w:rsidRDefault="00DF179A" w:rsidP="00DF179A">
            <w:pPr>
              <w:spacing w:after="0" w:line="240" w:lineRule="auto"/>
              <w:jc w:val="center"/>
              <w:rPr>
                <w:rFonts w:ascii="Times New Roman" w:eastAsia="Times New Roman" w:hAnsi="Times New Roman" w:cs="Times New Roman"/>
                <w:sz w:val="20"/>
                <w:szCs w:val="20"/>
                <w:lang w:eastAsia="en-GB"/>
              </w:rPr>
            </w:pPr>
          </w:p>
        </w:tc>
      </w:tr>
      <w:tr w:rsidR="00DF179A" w:rsidRPr="00DF179A" w14:paraId="54D24FC6" w14:textId="77777777" w:rsidTr="006406CF">
        <w:trPr>
          <w:trHeight w:val="294"/>
        </w:trPr>
        <w:tc>
          <w:tcPr>
            <w:tcW w:w="1656" w:type="dxa"/>
            <w:tcBorders>
              <w:top w:val="nil"/>
              <w:left w:val="single" w:sz="4" w:space="0" w:color="auto"/>
              <w:bottom w:val="single" w:sz="4" w:space="0" w:color="auto"/>
              <w:right w:val="nil"/>
            </w:tcBorders>
            <w:shd w:val="clear" w:color="auto" w:fill="auto"/>
            <w:noWrap/>
            <w:vAlign w:val="center"/>
            <w:hideMark/>
          </w:tcPr>
          <w:p w14:paraId="0DC97599"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Total</w:t>
            </w:r>
          </w:p>
        </w:tc>
        <w:tc>
          <w:tcPr>
            <w:tcW w:w="1416" w:type="dxa"/>
            <w:tcBorders>
              <w:top w:val="nil"/>
              <w:left w:val="nil"/>
              <w:bottom w:val="single" w:sz="4" w:space="0" w:color="auto"/>
              <w:right w:val="nil"/>
            </w:tcBorders>
            <w:shd w:val="clear" w:color="auto" w:fill="auto"/>
            <w:noWrap/>
            <w:vAlign w:val="center"/>
            <w:hideMark/>
          </w:tcPr>
          <w:p w14:paraId="04B1188C"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29</w:t>
            </w:r>
          </w:p>
        </w:tc>
        <w:tc>
          <w:tcPr>
            <w:tcW w:w="1900" w:type="dxa"/>
            <w:tcBorders>
              <w:top w:val="nil"/>
              <w:left w:val="nil"/>
              <w:bottom w:val="single" w:sz="4" w:space="0" w:color="auto"/>
              <w:right w:val="nil"/>
            </w:tcBorders>
            <w:shd w:val="clear" w:color="auto" w:fill="auto"/>
            <w:noWrap/>
            <w:vAlign w:val="center"/>
            <w:hideMark/>
          </w:tcPr>
          <w:p w14:paraId="19075B8C"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0.058628595</w:t>
            </w:r>
          </w:p>
        </w:tc>
        <w:tc>
          <w:tcPr>
            <w:tcW w:w="1436" w:type="dxa"/>
            <w:tcBorders>
              <w:top w:val="nil"/>
              <w:left w:val="nil"/>
              <w:bottom w:val="single" w:sz="4" w:space="0" w:color="auto"/>
              <w:right w:val="nil"/>
            </w:tcBorders>
            <w:shd w:val="clear" w:color="auto" w:fill="auto"/>
            <w:noWrap/>
            <w:vAlign w:val="center"/>
            <w:hideMark/>
          </w:tcPr>
          <w:p w14:paraId="4A4FD589"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 </w:t>
            </w:r>
          </w:p>
        </w:tc>
        <w:tc>
          <w:tcPr>
            <w:tcW w:w="1316" w:type="dxa"/>
            <w:tcBorders>
              <w:top w:val="nil"/>
              <w:left w:val="nil"/>
              <w:bottom w:val="single" w:sz="4" w:space="0" w:color="auto"/>
              <w:right w:val="nil"/>
            </w:tcBorders>
            <w:shd w:val="clear" w:color="auto" w:fill="auto"/>
            <w:noWrap/>
            <w:vAlign w:val="center"/>
            <w:hideMark/>
          </w:tcPr>
          <w:p w14:paraId="73BFD424"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 </w:t>
            </w:r>
          </w:p>
        </w:tc>
        <w:tc>
          <w:tcPr>
            <w:tcW w:w="1496" w:type="dxa"/>
            <w:tcBorders>
              <w:top w:val="nil"/>
              <w:left w:val="nil"/>
              <w:bottom w:val="single" w:sz="4" w:space="0" w:color="auto"/>
              <w:right w:val="single" w:sz="4" w:space="0" w:color="auto"/>
            </w:tcBorders>
            <w:shd w:val="clear" w:color="auto" w:fill="auto"/>
            <w:noWrap/>
            <w:vAlign w:val="center"/>
            <w:hideMark/>
          </w:tcPr>
          <w:p w14:paraId="213A4E15"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 </w:t>
            </w:r>
          </w:p>
        </w:tc>
      </w:tr>
    </w:tbl>
    <w:p w14:paraId="268198BA" w14:textId="28F18FF9" w:rsidR="006406CF" w:rsidRDefault="006406CF" w:rsidP="006406CF">
      <w:pPr>
        <w:spacing w:line="254" w:lineRule="auto"/>
        <w:jc w:val="center"/>
      </w:pPr>
      <w:r>
        <w:t xml:space="preserve">Table Eight: Regression Statistic and ANOVA Test of the </w:t>
      </w:r>
      <w:r>
        <w:rPr>
          <w:i/>
          <w:iCs/>
        </w:rPr>
        <w:t>Fourth</w:t>
      </w:r>
      <w:r>
        <w:t xml:space="preserve"> </w:t>
      </w:r>
      <w:r w:rsidRPr="00C13572">
        <w:rPr>
          <w:i/>
          <w:iCs/>
        </w:rPr>
        <w:t>Equation</w:t>
      </w:r>
    </w:p>
    <w:p w14:paraId="695F0925" w14:textId="19C23764" w:rsidR="00F44612" w:rsidRDefault="00F44612" w:rsidP="00DB790E">
      <w:pPr>
        <w:spacing w:line="254" w:lineRule="auto"/>
        <w:jc w:val="both"/>
      </w:pPr>
    </w:p>
    <w:tbl>
      <w:tblPr>
        <w:tblW w:w="7020" w:type="dxa"/>
        <w:tblInd w:w="1005" w:type="dxa"/>
        <w:tblLook w:val="04A0" w:firstRow="1" w:lastRow="0" w:firstColumn="1" w:lastColumn="0" w:noHBand="0" w:noVBand="1"/>
      </w:tblPr>
      <w:tblGrid>
        <w:gridCol w:w="1436"/>
        <w:gridCol w:w="1536"/>
        <w:gridCol w:w="1476"/>
        <w:gridCol w:w="1276"/>
        <w:gridCol w:w="1296"/>
      </w:tblGrid>
      <w:tr w:rsidR="00DF179A" w:rsidRPr="00DF179A" w14:paraId="3C7D8EA6" w14:textId="77777777" w:rsidTr="006406CF">
        <w:trPr>
          <w:trHeight w:val="294"/>
        </w:trPr>
        <w:tc>
          <w:tcPr>
            <w:tcW w:w="1436" w:type="dxa"/>
            <w:tcBorders>
              <w:top w:val="single" w:sz="4" w:space="0" w:color="auto"/>
              <w:left w:val="single" w:sz="4" w:space="0" w:color="auto"/>
              <w:bottom w:val="single" w:sz="4" w:space="0" w:color="auto"/>
              <w:right w:val="nil"/>
            </w:tcBorders>
            <w:shd w:val="clear" w:color="auto" w:fill="auto"/>
            <w:noWrap/>
            <w:vAlign w:val="center"/>
            <w:hideMark/>
          </w:tcPr>
          <w:p w14:paraId="4F225EA0" w14:textId="77777777" w:rsidR="00DF179A" w:rsidRPr="00DF179A" w:rsidRDefault="00DF179A" w:rsidP="00DF179A">
            <w:pPr>
              <w:spacing w:after="0" w:line="240" w:lineRule="auto"/>
              <w:jc w:val="center"/>
              <w:rPr>
                <w:rFonts w:ascii="Calibri" w:eastAsia="Times New Roman" w:hAnsi="Calibri" w:cs="Calibri"/>
                <w:i/>
                <w:iCs/>
                <w:color w:val="000000"/>
                <w:lang w:eastAsia="en-GB"/>
              </w:rPr>
            </w:pPr>
            <w:r w:rsidRPr="00DF179A">
              <w:rPr>
                <w:rFonts w:ascii="Calibri" w:eastAsia="Times New Roman" w:hAnsi="Calibri" w:cs="Calibri"/>
                <w:i/>
                <w:iCs/>
                <w:color w:val="000000"/>
                <w:lang w:eastAsia="en-GB"/>
              </w:rPr>
              <w:t> </w:t>
            </w:r>
          </w:p>
        </w:tc>
        <w:tc>
          <w:tcPr>
            <w:tcW w:w="1536" w:type="dxa"/>
            <w:tcBorders>
              <w:top w:val="single" w:sz="4" w:space="0" w:color="auto"/>
              <w:left w:val="nil"/>
              <w:bottom w:val="single" w:sz="4" w:space="0" w:color="auto"/>
              <w:right w:val="nil"/>
            </w:tcBorders>
            <w:shd w:val="clear" w:color="auto" w:fill="auto"/>
            <w:noWrap/>
            <w:vAlign w:val="center"/>
            <w:hideMark/>
          </w:tcPr>
          <w:p w14:paraId="74950640" w14:textId="77777777" w:rsidR="00DF179A" w:rsidRPr="00DF179A" w:rsidRDefault="00DF179A" w:rsidP="00DF179A">
            <w:pPr>
              <w:spacing w:after="0" w:line="240" w:lineRule="auto"/>
              <w:jc w:val="center"/>
              <w:rPr>
                <w:rFonts w:ascii="Calibri" w:eastAsia="Times New Roman" w:hAnsi="Calibri" w:cs="Calibri"/>
                <w:i/>
                <w:iCs/>
                <w:color w:val="000000"/>
                <w:lang w:eastAsia="en-GB"/>
              </w:rPr>
            </w:pPr>
            <w:r w:rsidRPr="00DF179A">
              <w:rPr>
                <w:rFonts w:ascii="Calibri" w:eastAsia="Times New Roman" w:hAnsi="Calibri" w:cs="Calibri"/>
                <w:i/>
                <w:iCs/>
                <w:color w:val="000000"/>
                <w:lang w:eastAsia="en-GB"/>
              </w:rPr>
              <w:t>Coefficients</w:t>
            </w:r>
          </w:p>
        </w:tc>
        <w:tc>
          <w:tcPr>
            <w:tcW w:w="1476" w:type="dxa"/>
            <w:tcBorders>
              <w:top w:val="single" w:sz="4" w:space="0" w:color="auto"/>
              <w:left w:val="nil"/>
              <w:bottom w:val="single" w:sz="4" w:space="0" w:color="auto"/>
              <w:right w:val="nil"/>
            </w:tcBorders>
            <w:shd w:val="clear" w:color="auto" w:fill="auto"/>
            <w:noWrap/>
            <w:vAlign w:val="center"/>
            <w:hideMark/>
          </w:tcPr>
          <w:p w14:paraId="141DB532" w14:textId="77777777" w:rsidR="00DF179A" w:rsidRPr="00DF179A" w:rsidRDefault="00DF179A" w:rsidP="00DF179A">
            <w:pPr>
              <w:spacing w:after="0" w:line="240" w:lineRule="auto"/>
              <w:jc w:val="center"/>
              <w:rPr>
                <w:rFonts w:ascii="Calibri" w:eastAsia="Times New Roman" w:hAnsi="Calibri" w:cs="Calibri"/>
                <w:i/>
                <w:iCs/>
                <w:color w:val="000000"/>
                <w:lang w:eastAsia="en-GB"/>
              </w:rPr>
            </w:pPr>
            <w:r w:rsidRPr="00DF179A">
              <w:rPr>
                <w:rFonts w:ascii="Calibri" w:eastAsia="Times New Roman" w:hAnsi="Calibri" w:cs="Calibri"/>
                <w:i/>
                <w:iCs/>
                <w:color w:val="000000"/>
                <w:lang w:eastAsia="en-GB"/>
              </w:rPr>
              <w:t>Standard Error</w:t>
            </w:r>
          </w:p>
        </w:tc>
        <w:tc>
          <w:tcPr>
            <w:tcW w:w="1276" w:type="dxa"/>
            <w:tcBorders>
              <w:top w:val="single" w:sz="4" w:space="0" w:color="auto"/>
              <w:left w:val="nil"/>
              <w:bottom w:val="single" w:sz="4" w:space="0" w:color="auto"/>
              <w:right w:val="nil"/>
            </w:tcBorders>
            <w:shd w:val="clear" w:color="auto" w:fill="auto"/>
            <w:noWrap/>
            <w:vAlign w:val="center"/>
            <w:hideMark/>
          </w:tcPr>
          <w:p w14:paraId="52BD0106" w14:textId="77777777" w:rsidR="00DF179A" w:rsidRPr="00DF179A" w:rsidRDefault="00DF179A" w:rsidP="00DF179A">
            <w:pPr>
              <w:spacing w:after="0" w:line="240" w:lineRule="auto"/>
              <w:jc w:val="center"/>
              <w:rPr>
                <w:rFonts w:ascii="Calibri" w:eastAsia="Times New Roman" w:hAnsi="Calibri" w:cs="Calibri"/>
                <w:i/>
                <w:iCs/>
                <w:color w:val="000000"/>
                <w:lang w:eastAsia="en-GB"/>
              </w:rPr>
            </w:pPr>
            <w:r w:rsidRPr="00DF179A">
              <w:rPr>
                <w:rFonts w:ascii="Calibri" w:eastAsia="Times New Roman" w:hAnsi="Calibri" w:cs="Calibri"/>
                <w:i/>
                <w:iCs/>
                <w:color w:val="000000"/>
                <w:lang w:eastAsia="en-GB"/>
              </w:rPr>
              <w:t>t Stat</w:t>
            </w:r>
          </w:p>
        </w:tc>
        <w:tc>
          <w:tcPr>
            <w:tcW w:w="1296" w:type="dxa"/>
            <w:tcBorders>
              <w:top w:val="single" w:sz="4" w:space="0" w:color="auto"/>
              <w:left w:val="nil"/>
              <w:bottom w:val="single" w:sz="4" w:space="0" w:color="auto"/>
              <w:right w:val="single" w:sz="4" w:space="0" w:color="auto"/>
            </w:tcBorders>
            <w:shd w:val="clear" w:color="auto" w:fill="auto"/>
            <w:noWrap/>
            <w:vAlign w:val="center"/>
            <w:hideMark/>
          </w:tcPr>
          <w:p w14:paraId="37DD366C" w14:textId="77777777" w:rsidR="00DF179A" w:rsidRPr="00DF179A" w:rsidRDefault="00DF179A" w:rsidP="00DF179A">
            <w:pPr>
              <w:spacing w:after="0" w:line="240" w:lineRule="auto"/>
              <w:jc w:val="center"/>
              <w:rPr>
                <w:rFonts w:ascii="Calibri" w:eastAsia="Times New Roman" w:hAnsi="Calibri" w:cs="Calibri"/>
                <w:i/>
                <w:iCs/>
                <w:color w:val="000000"/>
                <w:lang w:eastAsia="en-GB"/>
              </w:rPr>
            </w:pPr>
            <w:r w:rsidRPr="00DF179A">
              <w:rPr>
                <w:rFonts w:ascii="Calibri" w:eastAsia="Times New Roman" w:hAnsi="Calibri" w:cs="Calibri"/>
                <w:i/>
                <w:iCs/>
                <w:color w:val="000000"/>
                <w:lang w:eastAsia="en-GB"/>
              </w:rPr>
              <w:t>P-value</w:t>
            </w:r>
          </w:p>
        </w:tc>
      </w:tr>
      <w:tr w:rsidR="00DF179A" w:rsidRPr="00DF179A" w14:paraId="604A16BF" w14:textId="77777777" w:rsidTr="006406CF">
        <w:trPr>
          <w:trHeight w:val="288"/>
        </w:trPr>
        <w:tc>
          <w:tcPr>
            <w:tcW w:w="1436" w:type="dxa"/>
            <w:tcBorders>
              <w:top w:val="nil"/>
              <w:left w:val="single" w:sz="4" w:space="0" w:color="auto"/>
              <w:bottom w:val="nil"/>
              <w:right w:val="nil"/>
            </w:tcBorders>
            <w:shd w:val="clear" w:color="auto" w:fill="auto"/>
            <w:noWrap/>
            <w:vAlign w:val="center"/>
            <w:hideMark/>
          </w:tcPr>
          <w:p w14:paraId="37D63FBC"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Intercept</w:t>
            </w:r>
          </w:p>
        </w:tc>
        <w:tc>
          <w:tcPr>
            <w:tcW w:w="1536" w:type="dxa"/>
            <w:tcBorders>
              <w:top w:val="nil"/>
              <w:left w:val="nil"/>
              <w:bottom w:val="nil"/>
              <w:right w:val="nil"/>
            </w:tcBorders>
            <w:shd w:val="clear" w:color="auto" w:fill="auto"/>
            <w:noWrap/>
            <w:vAlign w:val="center"/>
            <w:hideMark/>
          </w:tcPr>
          <w:p w14:paraId="3157E970"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0.051570926</w:t>
            </w:r>
          </w:p>
        </w:tc>
        <w:tc>
          <w:tcPr>
            <w:tcW w:w="1476" w:type="dxa"/>
            <w:tcBorders>
              <w:top w:val="nil"/>
              <w:left w:val="nil"/>
              <w:bottom w:val="nil"/>
              <w:right w:val="nil"/>
            </w:tcBorders>
            <w:shd w:val="clear" w:color="auto" w:fill="auto"/>
            <w:noWrap/>
            <w:vAlign w:val="center"/>
            <w:hideMark/>
          </w:tcPr>
          <w:p w14:paraId="14A334DF"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0.047122776</w:t>
            </w:r>
          </w:p>
        </w:tc>
        <w:tc>
          <w:tcPr>
            <w:tcW w:w="1276" w:type="dxa"/>
            <w:tcBorders>
              <w:top w:val="nil"/>
              <w:left w:val="nil"/>
              <w:bottom w:val="nil"/>
              <w:right w:val="nil"/>
            </w:tcBorders>
            <w:shd w:val="clear" w:color="auto" w:fill="auto"/>
            <w:noWrap/>
            <w:vAlign w:val="center"/>
            <w:hideMark/>
          </w:tcPr>
          <w:p w14:paraId="543017EB"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1.09439491</w:t>
            </w:r>
          </w:p>
        </w:tc>
        <w:tc>
          <w:tcPr>
            <w:tcW w:w="1296" w:type="dxa"/>
            <w:tcBorders>
              <w:top w:val="nil"/>
              <w:left w:val="nil"/>
              <w:bottom w:val="nil"/>
              <w:right w:val="single" w:sz="4" w:space="0" w:color="auto"/>
            </w:tcBorders>
            <w:shd w:val="clear" w:color="auto" w:fill="auto"/>
            <w:noWrap/>
            <w:vAlign w:val="center"/>
            <w:hideMark/>
          </w:tcPr>
          <w:p w14:paraId="54126218"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0.28421438</w:t>
            </w:r>
          </w:p>
        </w:tc>
      </w:tr>
      <w:tr w:rsidR="00DF179A" w:rsidRPr="00DF179A" w14:paraId="1A938738" w14:textId="77777777" w:rsidTr="006406CF">
        <w:trPr>
          <w:trHeight w:val="294"/>
        </w:trPr>
        <w:tc>
          <w:tcPr>
            <w:tcW w:w="1436" w:type="dxa"/>
            <w:tcBorders>
              <w:top w:val="nil"/>
              <w:left w:val="single" w:sz="4" w:space="0" w:color="auto"/>
              <w:bottom w:val="nil"/>
              <w:right w:val="nil"/>
            </w:tcBorders>
            <w:shd w:val="clear" w:color="auto" w:fill="auto"/>
            <w:noWrap/>
            <w:vAlign w:val="center"/>
            <w:hideMark/>
          </w:tcPr>
          <w:p w14:paraId="15578A09"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Q/R</w:t>
            </w:r>
          </w:p>
        </w:tc>
        <w:tc>
          <w:tcPr>
            <w:tcW w:w="1536" w:type="dxa"/>
            <w:tcBorders>
              <w:top w:val="nil"/>
              <w:left w:val="nil"/>
              <w:bottom w:val="nil"/>
              <w:right w:val="nil"/>
            </w:tcBorders>
            <w:shd w:val="clear" w:color="auto" w:fill="auto"/>
            <w:noWrap/>
            <w:vAlign w:val="center"/>
            <w:hideMark/>
          </w:tcPr>
          <w:p w14:paraId="5A573D48"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0.060878782</w:t>
            </w:r>
          </w:p>
        </w:tc>
        <w:tc>
          <w:tcPr>
            <w:tcW w:w="1476" w:type="dxa"/>
            <w:tcBorders>
              <w:top w:val="nil"/>
              <w:left w:val="nil"/>
              <w:bottom w:val="nil"/>
              <w:right w:val="nil"/>
            </w:tcBorders>
            <w:shd w:val="clear" w:color="auto" w:fill="auto"/>
            <w:noWrap/>
            <w:vAlign w:val="center"/>
            <w:hideMark/>
          </w:tcPr>
          <w:p w14:paraId="5FD6CDF8"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0.026985153</w:t>
            </w:r>
          </w:p>
        </w:tc>
        <w:tc>
          <w:tcPr>
            <w:tcW w:w="1276" w:type="dxa"/>
            <w:tcBorders>
              <w:top w:val="nil"/>
              <w:left w:val="nil"/>
              <w:bottom w:val="nil"/>
              <w:right w:val="nil"/>
            </w:tcBorders>
            <w:shd w:val="clear" w:color="auto" w:fill="auto"/>
            <w:noWrap/>
            <w:vAlign w:val="center"/>
            <w:hideMark/>
          </w:tcPr>
          <w:p w14:paraId="4EA882A0"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2.25601023</w:t>
            </w:r>
          </w:p>
        </w:tc>
        <w:tc>
          <w:tcPr>
            <w:tcW w:w="1296" w:type="dxa"/>
            <w:tcBorders>
              <w:top w:val="nil"/>
              <w:left w:val="nil"/>
              <w:bottom w:val="nil"/>
              <w:right w:val="single" w:sz="4" w:space="0" w:color="auto"/>
            </w:tcBorders>
            <w:shd w:val="clear" w:color="auto" w:fill="auto"/>
            <w:noWrap/>
            <w:vAlign w:val="center"/>
            <w:hideMark/>
          </w:tcPr>
          <w:p w14:paraId="31A824AB"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0.03306711</w:t>
            </w:r>
          </w:p>
        </w:tc>
      </w:tr>
      <w:tr w:rsidR="00DF179A" w:rsidRPr="00DF179A" w14:paraId="2B164E5F" w14:textId="77777777" w:rsidTr="006406CF">
        <w:trPr>
          <w:trHeight w:val="288"/>
        </w:trPr>
        <w:tc>
          <w:tcPr>
            <w:tcW w:w="1436" w:type="dxa"/>
            <w:tcBorders>
              <w:top w:val="nil"/>
              <w:left w:val="single" w:sz="4" w:space="0" w:color="auto"/>
              <w:bottom w:val="nil"/>
              <w:right w:val="nil"/>
            </w:tcBorders>
            <w:shd w:val="clear" w:color="auto" w:fill="auto"/>
            <w:noWrap/>
            <w:vAlign w:val="center"/>
            <w:hideMark/>
          </w:tcPr>
          <w:p w14:paraId="28B733AE"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D/C</w:t>
            </w:r>
          </w:p>
        </w:tc>
        <w:tc>
          <w:tcPr>
            <w:tcW w:w="1536" w:type="dxa"/>
            <w:tcBorders>
              <w:top w:val="nil"/>
              <w:left w:val="nil"/>
              <w:bottom w:val="nil"/>
              <w:right w:val="nil"/>
            </w:tcBorders>
            <w:shd w:val="clear" w:color="auto" w:fill="auto"/>
            <w:noWrap/>
            <w:vAlign w:val="center"/>
            <w:hideMark/>
          </w:tcPr>
          <w:p w14:paraId="174666DE"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-0.088179219</w:t>
            </w:r>
          </w:p>
        </w:tc>
        <w:tc>
          <w:tcPr>
            <w:tcW w:w="1476" w:type="dxa"/>
            <w:tcBorders>
              <w:top w:val="nil"/>
              <w:left w:val="nil"/>
              <w:bottom w:val="nil"/>
              <w:right w:val="nil"/>
            </w:tcBorders>
            <w:shd w:val="clear" w:color="auto" w:fill="auto"/>
            <w:noWrap/>
            <w:vAlign w:val="center"/>
            <w:hideMark/>
          </w:tcPr>
          <w:p w14:paraId="02E4FF29"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0.032864967</w:t>
            </w:r>
          </w:p>
        </w:tc>
        <w:tc>
          <w:tcPr>
            <w:tcW w:w="1276" w:type="dxa"/>
            <w:tcBorders>
              <w:top w:val="nil"/>
              <w:left w:val="nil"/>
              <w:bottom w:val="nil"/>
              <w:right w:val="nil"/>
            </w:tcBorders>
            <w:shd w:val="clear" w:color="auto" w:fill="auto"/>
            <w:noWrap/>
            <w:vAlign w:val="center"/>
            <w:hideMark/>
          </w:tcPr>
          <w:p w14:paraId="261D7753"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-2.6830764</w:t>
            </w:r>
          </w:p>
        </w:tc>
        <w:tc>
          <w:tcPr>
            <w:tcW w:w="1296" w:type="dxa"/>
            <w:tcBorders>
              <w:top w:val="nil"/>
              <w:left w:val="nil"/>
              <w:bottom w:val="nil"/>
              <w:right w:val="single" w:sz="4" w:space="0" w:color="auto"/>
            </w:tcBorders>
            <w:shd w:val="clear" w:color="auto" w:fill="auto"/>
            <w:noWrap/>
            <w:vAlign w:val="center"/>
            <w:hideMark/>
          </w:tcPr>
          <w:p w14:paraId="5377842B"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0.01274738</w:t>
            </w:r>
          </w:p>
        </w:tc>
      </w:tr>
      <w:tr w:rsidR="00DF179A" w:rsidRPr="00DF179A" w14:paraId="1047C345" w14:textId="77777777" w:rsidTr="006406CF">
        <w:trPr>
          <w:trHeight w:val="288"/>
        </w:trPr>
        <w:tc>
          <w:tcPr>
            <w:tcW w:w="1436" w:type="dxa"/>
            <w:tcBorders>
              <w:top w:val="nil"/>
              <w:left w:val="single" w:sz="4" w:space="0" w:color="auto"/>
              <w:bottom w:val="nil"/>
              <w:right w:val="nil"/>
            </w:tcBorders>
            <w:shd w:val="clear" w:color="auto" w:fill="auto"/>
            <w:noWrap/>
            <w:vAlign w:val="center"/>
            <w:hideMark/>
          </w:tcPr>
          <w:p w14:paraId="11C969CE"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Size</w:t>
            </w:r>
          </w:p>
        </w:tc>
        <w:tc>
          <w:tcPr>
            <w:tcW w:w="1536" w:type="dxa"/>
            <w:tcBorders>
              <w:top w:val="nil"/>
              <w:left w:val="nil"/>
              <w:bottom w:val="nil"/>
              <w:right w:val="nil"/>
            </w:tcBorders>
            <w:shd w:val="clear" w:color="auto" w:fill="auto"/>
            <w:noWrap/>
            <w:vAlign w:val="center"/>
            <w:hideMark/>
          </w:tcPr>
          <w:p w14:paraId="76ECCEC3"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-1.43469E-05</w:t>
            </w:r>
          </w:p>
        </w:tc>
        <w:tc>
          <w:tcPr>
            <w:tcW w:w="1476" w:type="dxa"/>
            <w:tcBorders>
              <w:top w:val="nil"/>
              <w:left w:val="nil"/>
              <w:bottom w:val="nil"/>
              <w:right w:val="nil"/>
            </w:tcBorders>
            <w:shd w:val="clear" w:color="auto" w:fill="auto"/>
            <w:noWrap/>
            <w:vAlign w:val="center"/>
            <w:hideMark/>
          </w:tcPr>
          <w:p w14:paraId="75C50141"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5.31555E-05</w:t>
            </w:r>
          </w:p>
        </w:tc>
        <w:tc>
          <w:tcPr>
            <w:tcW w:w="1276" w:type="dxa"/>
            <w:tcBorders>
              <w:top w:val="nil"/>
              <w:left w:val="nil"/>
              <w:bottom w:val="nil"/>
              <w:right w:val="nil"/>
            </w:tcBorders>
            <w:shd w:val="clear" w:color="auto" w:fill="auto"/>
            <w:noWrap/>
            <w:vAlign w:val="center"/>
            <w:hideMark/>
          </w:tcPr>
          <w:p w14:paraId="21CE028A"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-0.2699041</w:t>
            </w:r>
          </w:p>
        </w:tc>
        <w:tc>
          <w:tcPr>
            <w:tcW w:w="1296" w:type="dxa"/>
            <w:tcBorders>
              <w:top w:val="nil"/>
              <w:left w:val="nil"/>
              <w:bottom w:val="nil"/>
              <w:right w:val="single" w:sz="4" w:space="0" w:color="auto"/>
            </w:tcBorders>
            <w:shd w:val="clear" w:color="auto" w:fill="auto"/>
            <w:noWrap/>
            <w:vAlign w:val="center"/>
            <w:hideMark/>
          </w:tcPr>
          <w:p w14:paraId="77443F92"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0.7894495</w:t>
            </w:r>
          </w:p>
        </w:tc>
      </w:tr>
      <w:tr w:rsidR="00DF179A" w:rsidRPr="00DF179A" w14:paraId="3F3C562E" w14:textId="77777777" w:rsidTr="006406CF">
        <w:trPr>
          <w:trHeight w:val="294"/>
        </w:trPr>
        <w:tc>
          <w:tcPr>
            <w:tcW w:w="1436" w:type="dxa"/>
            <w:tcBorders>
              <w:top w:val="nil"/>
              <w:left w:val="single" w:sz="4" w:space="0" w:color="auto"/>
              <w:bottom w:val="single" w:sz="4" w:space="0" w:color="auto"/>
              <w:right w:val="nil"/>
            </w:tcBorders>
            <w:shd w:val="clear" w:color="auto" w:fill="auto"/>
            <w:noWrap/>
            <w:vAlign w:val="center"/>
            <w:hideMark/>
          </w:tcPr>
          <w:p w14:paraId="2C1AF207"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Growth</w:t>
            </w:r>
          </w:p>
        </w:tc>
        <w:tc>
          <w:tcPr>
            <w:tcW w:w="1536" w:type="dxa"/>
            <w:tcBorders>
              <w:top w:val="nil"/>
              <w:left w:val="nil"/>
              <w:bottom w:val="single" w:sz="4" w:space="0" w:color="auto"/>
              <w:right w:val="nil"/>
            </w:tcBorders>
            <w:shd w:val="clear" w:color="auto" w:fill="auto"/>
            <w:noWrap/>
            <w:vAlign w:val="center"/>
            <w:hideMark/>
          </w:tcPr>
          <w:p w14:paraId="20C3C6B8"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-0.028467896</w:t>
            </w:r>
          </w:p>
        </w:tc>
        <w:tc>
          <w:tcPr>
            <w:tcW w:w="1476" w:type="dxa"/>
            <w:tcBorders>
              <w:top w:val="nil"/>
              <w:left w:val="nil"/>
              <w:bottom w:val="single" w:sz="4" w:space="0" w:color="auto"/>
              <w:right w:val="nil"/>
            </w:tcBorders>
            <w:shd w:val="clear" w:color="auto" w:fill="auto"/>
            <w:noWrap/>
            <w:vAlign w:val="center"/>
            <w:hideMark/>
          </w:tcPr>
          <w:p w14:paraId="11AB41F6"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0.12971188</w:t>
            </w:r>
          </w:p>
        </w:tc>
        <w:tc>
          <w:tcPr>
            <w:tcW w:w="1276" w:type="dxa"/>
            <w:tcBorders>
              <w:top w:val="nil"/>
              <w:left w:val="nil"/>
              <w:bottom w:val="single" w:sz="4" w:space="0" w:color="auto"/>
              <w:right w:val="nil"/>
            </w:tcBorders>
            <w:shd w:val="clear" w:color="auto" w:fill="auto"/>
            <w:noWrap/>
            <w:vAlign w:val="center"/>
            <w:hideMark/>
          </w:tcPr>
          <w:p w14:paraId="720E27EC"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-0.2194702</w:t>
            </w:r>
          </w:p>
        </w:tc>
        <w:tc>
          <w:tcPr>
            <w:tcW w:w="1296" w:type="dxa"/>
            <w:tcBorders>
              <w:top w:val="nil"/>
              <w:left w:val="nil"/>
              <w:bottom w:val="single" w:sz="4" w:space="0" w:color="auto"/>
              <w:right w:val="single" w:sz="4" w:space="0" w:color="auto"/>
            </w:tcBorders>
            <w:shd w:val="clear" w:color="auto" w:fill="auto"/>
            <w:noWrap/>
            <w:vAlign w:val="center"/>
            <w:hideMark/>
          </w:tcPr>
          <w:p w14:paraId="241E735C" w14:textId="77777777" w:rsidR="00DF179A" w:rsidRPr="00DF179A" w:rsidRDefault="00DF179A" w:rsidP="00DF179A">
            <w:pPr>
              <w:spacing w:after="0" w:line="240" w:lineRule="auto"/>
              <w:jc w:val="center"/>
              <w:rPr>
                <w:rFonts w:ascii="Calibri" w:eastAsia="Times New Roman" w:hAnsi="Calibri" w:cs="Calibri"/>
                <w:color w:val="000000"/>
                <w:lang w:eastAsia="en-GB"/>
              </w:rPr>
            </w:pPr>
            <w:r w:rsidRPr="00DF179A">
              <w:rPr>
                <w:rFonts w:ascii="Calibri" w:eastAsia="Times New Roman" w:hAnsi="Calibri" w:cs="Calibri"/>
                <w:color w:val="000000"/>
                <w:lang w:eastAsia="en-GB"/>
              </w:rPr>
              <w:t>0.82806586</w:t>
            </w:r>
          </w:p>
        </w:tc>
      </w:tr>
    </w:tbl>
    <w:p w14:paraId="4C47957D" w14:textId="592B0327" w:rsidR="00DF179A" w:rsidRPr="000B3326" w:rsidRDefault="006406CF" w:rsidP="006406CF">
      <w:pPr>
        <w:spacing w:line="254" w:lineRule="auto"/>
        <w:jc w:val="center"/>
      </w:pPr>
      <w:r>
        <w:t xml:space="preserve">Table Nine: Individual variables’ analysis of the </w:t>
      </w:r>
      <w:r>
        <w:rPr>
          <w:i/>
          <w:iCs/>
        </w:rPr>
        <w:t>Fourth</w:t>
      </w:r>
      <w:r>
        <w:t xml:space="preserve"> </w:t>
      </w:r>
      <w:r w:rsidRPr="00C13572">
        <w:rPr>
          <w:i/>
          <w:iCs/>
        </w:rPr>
        <w:t>Equation</w:t>
      </w:r>
    </w:p>
    <w:p w14:paraId="2341A05D" w14:textId="77777777" w:rsidR="00DF6FFA" w:rsidRDefault="00DF6FFA" w:rsidP="005F3126">
      <w:pPr>
        <w:spacing w:line="360" w:lineRule="auto"/>
        <w:jc w:val="both"/>
        <w:rPr>
          <w:lang w:val="en"/>
        </w:rPr>
      </w:pPr>
    </w:p>
    <w:p w14:paraId="4AFBE0AD" w14:textId="0D5C269A" w:rsidR="002D5A72" w:rsidRDefault="00B450E5" w:rsidP="005F3126">
      <w:pPr>
        <w:spacing w:line="360" w:lineRule="auto"/>
        <w:jc w:val="both"/>
        <w:rPr>
          <w:lang w:val="en"/>
        </w:rPr>
      </w:pPr>
      <w:r>
        <w:rPr>
          <w:lang w:val="en"/>
        </w:rPr>
        <w:t xml:space="preserve">In the last </w:t>
      </w:r>
      <w:r w:rsidR="00E93283">
        <w:rPr>
          <w:lang w:val="en"/>
        </w:rPr>
        <w:t>scenario</w:t>
      </w:r>
      <w:r>
        <w:rPr>
          <w:lang w:val="en"/>
        </w:rPr>
        <w:t xml:space="preserve">, the </w:t>
      </w:r>
      <w:r w:rsidRPr="00E93283">
        <w:rPr>
          <w:u w:val="single"/>
          <w:lang w:val="en"/>
        </w:rPr>
        <w:t>Equation of the Regression Model</w:t>
      </w:r>
      <w:r>
        <w:rPr>
          <w:lang w:val="en"/>
        </w:rPr>
        <w:t xml:space="preserve"> is presented in table </w:t>
      </w:r>
      <w:r w:rsidR="00852E71">
        <w:rPr>
          <w:lang w:val="en"/>
        </w:rPr>
        <w:t>nine</w:t>
      </w:r>
      <w:r w:rsidR="007D1F8C">
        <w:rPr>
          <w:lang w:val="en"/>
        </w:rPr>
        <w:t>,</w:t>
      </w:r>
      <w:r w:rsidR="00E93283">
        <w:rPr>
          <w:lang w:val="en"/>
        </w:rPr>
        <w:t xml:space="preserve"> and it can be seen as</w:t>
      </w:r>
    </w:p>
    <w:p w14:paraId="39EBCEBE" w14:textId="350E0259" w:rsidR="00E93283" w:rsidRDefault="00E93283" w:rsidP="005F3126">
      <w:pPr>
        <w:spacing w:line="360" w:lineRule="auto"/>
        <w:jc w:val="center"/>
        <w:rPr>
          <w:rFonts w:ascii="Cambria Math" w:hAnsi="Cambria Math" w:cs="Cambria Math"/>
          <w:i/>
          <w:iCs/>
        </w:rPr>
      </w:pPr>
      <w:r w:rsidRPr="009A3431">
        <w:rPr>
          <w:rFonts w:ascii="Cambria Math" w:hAnsi="Cambria Math"/>
          <w:i/>
          <w:iCs/>
        </w:rPr>
        <w:t>RO</w:t>
      </w:r>
      <w:r>
        <w:rPr>
          <w:rFonts w:ascii="Cambria Math" w:hAnsi="Cambria Math"/>
          <w:i/>
          <w:iCs/>
        </w:rPr>
        <w:t>A</w:t>
      </w:r>
      <w:r w:rsidRPr="009A3431">
        <w:rPr>
          <w:rFonts w:ascii="Cambria Math" w:hAnsi="Cambria Math"/>
          <w:i/>
          <w:iCs/>
        </w:rPr>
        <w:t xml:space="preserve"> = </w:t>
      </w:r>
      <w:r>
        <w:rPr>
          <w:rFonts w:ascii="Cambria Math" w:hAnsi="Cambria Math" w:cs="Cambria Math"/>
          <w:i/>
          <w:iCs/>
        </w:rPr>
        <w:t xml:space="preserve">0.05167 </w:t>
      </w:r>
      <w:r w:rsidRPr="009A3431">
        <w:rPr>
          <w:rFonts w:ascii="Cambria Math" w:hAnsi="Cambria Math"/>
          <w:i/>
          <w:iCs/>
        </w:rPr>
        <w:t xml:space="preserve">+ </w:t>
      </w:r>
      <w:r>
        <w:rPr>
          <w:rFonts w:ascii="Cambria Math" w:hAnsi="Cambria Math"/>
          <w:i/>
          <w:iCs/>
        </w:rPr>
        <w:t>0.0608</w:t>
      </w:r>
      <w:r>
        <w:rPr>
          <w:rFonts w:ascii="Cambria Math" w:hAnsi="Cambria Math" w:cs="Cambria Math"/>
          <w:i/>
          <w:iCs/>
        </w:rPr>
        <w:t>Q/</w:t>
      </w:r>
      <w:r w:rsidRPr="009A3431">
        <w:rPr>
          <w:rFonts w:ascii="Cambria Math" w:hAnsi="Cambria Math" w:cs="Cambria Math"/>
          <w:i/>
          <w:iCs/>
        </w:rPr>
        <w:t>R</w:t>
      </w:r>
      <w:r>
        <w:rPr>
          <w:rFonts w:ascii="Cambria Math" w:hAnsi="Cambria Math" w:cs="Cambria Math"/>
          <w:i/>
          <w:iCs/>
        </w:rPr>
        <w:t xml:space="preserve"> </w:t>
      </w:r>
      <w:r w:rsidRPr="009A3431">
        <w:rPr>
          <w:rFonts w:ascii="Cambria Math" w:hAnsi="Cambria Math"/>
          <w:i/>
          <w:iCs/>
        </w:rPr>
        <w:t xml:space="preserve">+ </w:t>
      </w:r>
      <w:r>
        <w:rPr>
          <w:rFonts w:ascii="Cambria Math" w:hAnsi="Cambria Math" w:cs="Cambria Math"/>
          <w:i/>
          <w:iCs/>
        </w:rPr>
        <w:t>(0.0881)</w:t>
      </w:r>
      <w:r w:rsidRPr="009A3431">
        <w:rPr>
          <w:rFonts w:ascii="Cambria Math" w:hAnsi="Cambria Math" w:cs="Cambria Math"/>
          <w:i/>
          <w:iCs/>
        </w:rPr>
        <w:t>D</w:t>
      </w:r>
      <w:r>
        <w:rPr>
          <w:rFonts w:ascii="Cambria Math" w:hAnsi="Cambria Math" w:cs="Cambria Math"/>
          <w:i/>
          <w:iCs/>
        </w:rPr>
        <w:t>/</w:t>
      </w:r>
      <w:r w:rsidR="00DF6FFA">
        <w:rPr>
          <w:rFonts w:ascii="Cambria Math" w:hAnsi="Cambria Math" w:cs="Cambria Math"/>
          <w:i/>
          <w:iCs/>
        </w:rPr>
        <w:t>C</w:t>
      </w:r>
      <w:r>
        <w:rPr>
          <w:rFonts w:ascii="Cambria Math" w:hAnsi="Cambria Math" w:cs="Cambria Math"/>
          <w:i/>
          <w:iCs/>
        </w:rPr>
        <w:t xml:space="preserve"> </w:t>
      </w:r>
      <w:r w:rsidRPr="009A3431">
        <w:rPr>
          <w:rFonts w:ascii="Cambria Math" w:hAnsi="Cambria Math"/>
          <w:i/>
          <w:iCs/>
        </w:rPr>
        <w:t xml:space="preserve">+ </w:t>
      </w:r>
      <w:r>
        <w:rPr>
          <w:rFonts w:ascii="Cambria Math" w:hAnsi="Cambria Math"/>
          <w:i/>
          <w:iCs/>
        </w:rPr>
        <w:t>(</w:t>
      </w:r>
      <w:r>
        <w:rPr>
          <w:rFonts w:ascii="Cambria Math" w:hAnsi="Cambria Math" w:cs="Cambria Math"/>
          <w:i/>
          <w:iCs/>
        </w:rPr>
        <w:t>0.00004)</w:t>
      </w:r>
      <w:r w:rsidRPr="009A3431">
        <w:rPr>
          <w:rFonts w:ascii="Cambria Math" w:hAnsi="Cambria Math" w:cs="Cambria Math"/>
          <w:i/>
          <w:iCs/>
        </w:rPr>
        <w:t>Size</w:t>
      </w:r>
      <w:r w:rsidRPr="009A3431">
        <w:rPr>
          <w:rFonts w:ascii="Cambria Math" w:hAnsi="Cambria Math"/>
          <w:i/>
          <w:iCs/>
        </w:rPr>
        <w:t xml:space="preserve"> + </w:t>
      </w:r>
      <w:r>
        <w:rPr>
          <w:rFonts w:ascii="Cambria Math" w:hAnsi="Cambria Math" w:cs="Cambria Math"/>
          <w:i/>
          <w:iCs/>
        </w:rPr>
        <w:t>(0.0284)</w:t>
      </w:r>
      <w:r w:rsidRPr="009A3431">
        <w:rPr>
          <w:rFonts w:ascii="Cambria Math" w:hAnsi="Cambria Math" w:cs="Cambria Math"/>
          <w:i/>
          <w:iCs/>
        </w:rPr>
        <w:t>Growth rate</w:t>
      </w:r>
    </w:p>
    <w:p w14:paraId="3CB6551B" w14:textId="1962CA4C" w:rsidR="00E93283" w:rsidRDefault="00E93283" w:rsidP="005F3126">
      <w:pPr>
        <w:spacing w:line="360" w:lineRule="auto"/>
        <w:jc w:val="both"/>
      </w:pPr>
      <w:r>
        <w:t>In this last model, the analysis is performed so as to determine the correlation and the cause-effect relations between the dependent variable ROA (Y)</w:t>
      </w:r>
      <w:r w:rsidR="0066430F">
        <w:t xml:space="preserve"> for the profitability</w:t>
      </w:r>
      <w:r>
        <w:t xml:space="preserve"> and four independent variable</w:t>
      </w:r>
      <w:r w:rsidR="007D1F8C">
        <w:t>s</w:t>
      </w:r>
      <w:r>
        <w:t xml:space="preserve"> named as Quick </w:t>
      </w:r>
      <w:r w:rsidR="000C4B4F">
        <w:t>R</w:t>
      </w:r>
      <w:r>
        <w:t>atio (X1)</w:t>
      </w:r>
      <w:r w:rsidR="0066430F">
        <w:t xml:space="preserve"> for the liquidity</w:t>
      </w:r>
      <w:r>
        <w:t>, Debt-to-</w:t>
      </w:r>
      <w:r w:rsidR="00DF6FFA">
        <w:t>Capital</w:t>
      </w:r>
      <w:r>
        <w:t xml:space="preserve"> </w:t>
      </w:r>
      <w:r w:rsidR="000C4B4F">
        <w:t>R</w:t>
      </w:r>
      <w:r>
        <w:t>atio (X2)</w:t>
      </w:r>
      <w:r w:rsidR="0066430F">
        <w:t xml:space="preserve"> for the leverage</w:t>
      </w:r>
      <w:r>
        <w:t>, Size and Growth Rate</w:t>
      </w:r>
      <w:r w:rsidR="0066430F">
        <w:t xml:space="preserve"> as control variables.</w:t>
      </w:r>
      <w:r w:rsidR="00FA15AC">
        <w:t xml:space="preserve"> </w:t>
      </w:r>
    </w:p>
    <w:p w14:paraId="72657148" w14:textId="0DBB9C3B" w:rsidR="00FA15AC" w:rsidRDefault="00FA15AC" w:rsidP="005F3126">
      <w:pPr>
        <w:spacing w:line="360" w:lineRule="auto"/>
        <w:jc w:val="both"/>
      </w:pPr>
      <w:r>
        <w:t xml:space="preserve">Table </w:t>
      </w:r>
      <w:r w:rsidR="00852E71">
        <w:t>eight</w:t>
      </w:r>
      <w:r>
        <w:t xml:space="preserve"> displays</w:t>
      </w:r>
      <w:r w:rsidR="00F427CA">
        <w:t xml:space="preserve"> the </w:t>
      </w:r>
      <w:r w:rsidR="00F427CA" w:rsidRPr="00F427CA">
        <w:rPr>
          <w:u w:val="single"/>
        </w:rPr>
        <w:t>R Squared</w:t>
      </w:r>
      <w:r w:rsidR="00F427CA">
        <w:t xml:space="preserve">, </w:t>
      </w:r>
      <w:r w:rsidR="00F427CA" w:rsidRPr="00F427CA">
        <w:t>whose value is the highest compared to the previously analy</w:t>
      </w:r>
      <w:r w:rsidR="00F427CA">
        <w:t>s</w:t>
      </w:r>
      <w:r w:rsidR="00F427CA" w:rsidRPr="00F427CA">
        <w:t>ed models</w:t>
      </w:r>
      <w:r w:rsidR="003A4EDC">
        <w:t xml:space="preserve">, </w:t>
      </w:r>
      <w:r w:rsidR="003A4EDC" w:rsidRPr="003A4EDC">
        <w:t>meaning a higher predictivity of the analysis</w:t>
      </w:r>
      <w:r w:rsidR="00F427CA" w:rsidRPr="00F427CA">
        <w:t>.</w:t>
      </w:r>
      <w:r w:rsidR="00F427CA">
        <w:t xml:space="preserve"> It can be stated that 50% of the variability of the ROA can be explained by the entire set of </w:t>
      </w:r>
      <w:r w:rsidR="00646BAA">
        <w:t xml:space="preserve">independent </w:t>
      </w:r>
      <w:r w:rsidR="00F427CA">
        <w:t>variable</w:t>
      </w:r>
      <w:r w:rsidR="00E412C0">
        <w:t>s</w:t>
      </w:r>
      <w:r w:rsidR="00F427CA">
        <w:t xml:space="preserve"> considered, as Quick Ratio, Debt-to-</w:t>
      </w:r>
      <w:r w:rsidR="00DF6FFA">
        <w:t>Capital</w:t>
      </w:r>
      <w:r w:rsidR="00F427CA">
        <w:t xml:space="preserve"> Ratio, Size and </w:t>
      </w:r>
      <w:r w:rsidR="00DF6FFA">
        <w:t>G</w:t>
      </w:r>
      <w:r w:rsidR="00F427CA">
        <w:t>rowth</w:t>
      </w:r>
      <w:r w:rsidR="00DF6FFA">
        <w:t xml:space="preserve"> Rate</w:t>
      </w:r>
      <w:r w:rsidR="00F427CA">
        <w:t>.</w:t>
      </w:r>
      <w:r w:rsidR="00E412C0">
        <w:t xml:space="preserve"> </w:t>
      </w:r>
      <w:r w:rsidR="0010181D">
        <w:t xml:space="preserve">The value of the </w:t>
      </w:r>
      <w:r w:rsidR="0010181D" w:rsidRPr="003A4EDC">
        <w:rPr>
          <w:u w:val="single"/>
        </w:rPr>
        <w:t>Multiple R</w:t>
      </w:r>
      <w:r w:rsidR="0010181D">
        <w:t xml:space="preserve"> shows </w:t>
      </w:r>
      <w:r w:rsidR="003A4EDC">
        <w:t>overall a positive and strong linear relationship of the components of the analysis, with a value of 0.71.</w:t>
      </w:r>
    </w:p>
    <w:p w14:paraId="2E989F33" w14:textId="312C30DF" w:rsidR="00646BAA" w:rsidRDefault="00646BAA" w:rsidP="005F3126">
      <w:pPr>
        <w:spacing w:line="360" w:lineRule="auto"/>
        <w:jc w:val="both"/>
      </w:pPr>
      <w:r>
        <w:lastRenderedPageBreak/>
        <w:t xml:space="preserve">The </w:t>
      </w:r>
      <w:r w:rsidRPr="00646BAA">
        <w:rPr>
          <w:b/>
          <w:bCs/>
        </w:rPr>
        <w:t>ANOVA</w:t>
      </w:r>
      <w:r>
        <w:rPr>
          <w:b/>
          <w:bCs/>
        </w:rPr>
        <w:t xml:space="preserve"> </w:t>
      </w:r>
      <w:r w:rsidR="00237B3F">
        <w:t>test</w:t>
      </w:r>
      <w:r w:rsidR="007148F2">
        <w:t xml:space="preserve">’s outcome shows a </w:t>
      </w:r>
      <w:r w:rsidR="007148F2" w:rsidRPr="007148F2">
        <w:rPr>
          <w:u w:val="single"/>
        </w:rPr>
        <w:t>P</w:t>
      </w:r>
      <w:r w:rsidR="007D1F8C">
        <w:rPr>
          <w:u w:val="single"/>
        </w:rPr>
        <w:t>-</w:t>
      </w:r>
      <w:r w:rsidR="007148F2" w:rsidRPr="007148F2">
        <w:rPr>
          <w:u w:val="single"/>
        </w:rPr>
        <w:t>Value</w:t>
      </w:r>
      <w:r w:rsidR="007148F2">
        <w:t xml:space="preserve"> of 0.001, which is &lt; 0.05. The </w:t>
      </w:r>
      <w:r w:rsidR="002E42AE">
        <w:t>poor</w:t>
      </w:r>
      <w:r w:rsidR="007148F2">
        <w:t xml:space="preserve"> </w:t>
      </w:r>
      <w:r w:rsidR="002E42AE">
        <w:t>amount</w:t>
      </w:r>
      <w:r w:rsidR="007148F2">
        <w:t xml:space="preserve"> of the P</w:t>
      </w:r>
      <w:r w:rsidR="007D1F8C">
        <w:t>-</w:t>
      </w:r>
      <w:r w:rsidR="007148F2">
        <w:t>Value is a demonstration of the strong evidence in favour of Hypothesis 1, which means that exist at least one strong correlation between one of the X and Y. This result prove</w:t>
      </w:r>
      <w:r w:rsidR="002E42AE">
        <w:t>s</w:t>
      </w:r>
      <w:r w:rsidR="007148F2">
        <w:t xml:space="preserve"> a strong rejection of the null hypothesis as smaller is the value, greater are the evidences against the null hypothesis. </w:t>
      </w:r>
    </w:p>
    <w:p w14:paraId="64BD4924" w14:textId="3FB82803" w:rsidR="002E42AE" w:rsidRDefault="002E42AE" w:rsidP="005F3126">
      <w:pPr>
        <w:spacing w:line="360" w:lineRule="auto"/>
        <w:jc w:val="both"/>
      </w:pPr>
      <w:r>
        <w:t xml:space="preserve">Table </w:t>
      </w:r>
      <w:r w:rsidR="00852E71">
        <w:t>nine</w:t>
      </w:r>
      <w:r w:rsidR="00386482">
        <w:t xml:space="preserve"> exposes the individual analysis of the coefficients,</w:t>
      </w:r>
      <w:r w:rsidR="00242DFD">
        <w:t xml:space="preserve"> and</w:t>
      </w:r>
      <w:r w:rsidR="00386482">
        <w:t xml:space="preserve"> </w:t>
      </w:r>
      <w:r w:rsidR="000C4B4F">
        <w:t>it states that Quick Ratio has a significant</w:t>
      </w:r>
      <w:r w:rsidR="00242DFD">
        <w:t xml:space="preserve"> positive</w:t>
      </w:r>
      <w:r w:rsidR="000C4B4F">
        <w:t xml:space="preserve"> relationship with the ROA, with a coefficient’s value of 0.06. For every increase of 1 unit on the value of the Q/R, </w:t>
      </w:r>
      <w:r w:rsidR="00DF6FFA">
        <w:t xml:space="preserve">by </w:t>
      </w:r>
      <w:r w:rsidR="000C4B4F">
        <w:t xml:space="preserve">holding constant the value of the other variables, the ROA increase of </w:t>
      </w:r>
      <w:r w:rsidR="005C2D7B">
        <w:t>6%</w:t>
      </w:r>
      <w:r w:rsidR="000C4B4F">
        <w:t xml:space="preserve">. This result reflects the outcome of the previous equation, which considered the C/R, confirming that liquid companies tend to be more profitable. Debt-to-Capital Ratio, instead, presents a significant </w:t>
      </w:r>
      <w:r w:rsidR="00242DFD">
        <w:t xml:space="preserve">negative </w:t>
      </w:r>
      <w:r w:rsidR="000C4B4F">
        <w:t>relationship with the ROA, thus confirming the negative association between leverage and profitability. An increase of 1 unit of the D/</w:t>
      </w:r>
      <w:r w:rsidR="005F3126">
        <w:t>C</w:t>
      </w:r>
      <w:r w:rsidR="000C4B4F">
        <w:t>, lead to a decrease</w:t>
      </w:r>
      <w:r w:rsidR="005C2D7B">
        <w:t xml:space="preserve"> in ROA</w:t>
      </w:r>
      <w:r w:rsidR="000C4B4F">
        <w:t xml:space="preserve"> of </w:t>
      </w:r>
      <w:r w:rsidR="005C2D7B">
        <w:t xml:space="preserve">8%, always holding constant the other variable’s value. </w:t>
      </w:r>
    </w:p>
    <w:p w14:paraId="6095C8F1" w14:textId="4E84A7EA" w:rsidR="001411FC" w:rsidRPr="007148F2" w:rsidRDefault="001411FC" w:rsidP="005F3126">
      <w:pPr>
        <w:spacing w:line="360" w:lineRule="auto"/>
        <w:jc w:val="both"/>
      </w:pPr>
      <w:r>
        <w:t>The two control variables manifest their insignificancy</w:t>
      </w:r>
      <w:r w:rsidR="00C2321C">
        <w:t xml:space="preserve"> again</w:t>
      </w:r>
      <w:r>
        <w:t xml:space="preserve">, </w:t>
      </w:r>
      <w:r w:rsidRPr="001411FC">
        <w:t>with the difference that</w:t>
      </w:r>
      <w:r>
        <w:t>, compared to the previous model,</w:t>
      </w:r>
      <w:r w:rsidRPr="001411FC">
        <w:t xml:space="preserve"> both are negatively correlated with the ROA</w:t>
      </w:r>
      <w:r>
        <w:t>.</w:t>
      </w:r>
    </w:p>
    <w:p w14:paraId="088AF44F" w14:textId="77777777" w:rsidR="00E93283" w:rsidRDefault="00E93283" w:rsidP="00E93283">
      <w:pPr>
        <w:spacing w:line="254" w:lineRule="auto"/>
        <w:jc w:val="center"/>
        <w:rPr>
          <w:lang w:val="en"/>
        </w:rPr>
      </w:pPr>
    </w:p>
    <w:p w14:paraId="0C44B12A" w14:textId="77777777" w:rsidR="00852E71" w:rsidRDefault="00852E71" w:rsidP="00DB790E">
      <w:pPr>
        <w:spacing w:line="254" w:lineRule="auto"/>
        <w:jc w:val="both"/>
        <w:rPr>
          <w:b/>
          <w:bCs/>
          <w:sz w:val="32"/>
          <w:szCs w:val="32"/>
          <w:lang w:val="en"/>
        </w:rPr>
      </w:pPr>
    </w:p>
    <w:p w14:paraId="283D158B" w14:textId="77777777" w:rsidR="00852E71" w:rsidRDefault="00852E71" w:rsidP="00DB790E">
      <w:pPr>
        <w:spacing w:line="254" w:lineRule="auto"/>
        <w:jc w:val="both"/>
        <w:rPr>
          <w:b/>
          <w:bCs/>
          <w:sz w:val="32"/>
          <w:szCs w:val="32"/>
          <w:lang w:val="en"/>
        </w:rPr>
      </w:pPr>
    </w:p>
    <w:p w14:paraId="4E2B0FBF" w14:textId="77777777" w:rsidR="00852E71" w:rsidRDefault="00852E71" w:rsidP="00DB790E">
      <w:pPr>
        <w:spacing w:line="254" w:lineRule="auto"/>
        <w:jc w:val="both"/>
        <w:rPr>
          <w:b/>
          <w:bCs/>
          <w:sz w:val="32"/>
          <w:szCs w:val="32"/>
          <w:lang w:val="en"/>
        </w:rPr>
      </w:pPr>
    </w:p>
    <w:p w14:paraId="7C6B79D3" w14:textId="77777777" w:rsidR="00852E71" w:rsidRDefault="00852E71" w:rsidP="00DB790E">
      <w:pPr>
        <w:spacing w:line="254" w:lineRule="auto"/>
        <w:jc w:val="both"/>
        <w:rPr>
          <w:b/>
          <w:bCs/>
          <w:sz w:val="32"/>
          <w:szCs w:val="32"/>
          <w:lang w:val="en"/>
        </w:rPr>
      </w:pPr>
    </w:p>
    <w:p w14:paraId="69041083" w14:textId="77777777" w:rsidR="00852E71" w:rsidRDefault="00852E71" w:rsidP="00DB790E">
      <w:pPr>
        <w:spacing w:line="254" w:lineRule="auto"/>
        <w:jc w:val="both"/>
        <w:rPr>
          <w:b/>
          <w:bCs/>
          <w:sz w:val="32"/>
          <w:szCs w:val="32"/>
          <w:lang w:val="en"/>
        </w:rPr>
      </w:pPr>
    </w:p>
    <w:p w14:paraId="2E0C9709" w14:textId="77777777" w:rsidR="00852E71" w:rsidRDefault="00852E71" w:rsidP="00DB790E">
      <w:pPr>
        <w:spacing w:line="254" w:lineRule="auto"/>
        <w:jc w:val="both"/>
        <w:rPr>
          <w:b/>
          <w:bCs/>
          <w:sz w:val="32"/>
          <w:szCs w:val="32"/>
          <w:lang w:val="en"/>
        </w:rPr>
      </w:pPr>
    </w:p>
    <w:p w14:paraId="2770F69D" w14:textId="767112F4" w:rsidR="00852E71" w:rsidRDefault="00852E71" w:rsidP="00DB790E">
      <w:pPr>
        <w:spacing w:line="254" w:lineRule="auto"/>
        <w:jc w:val="both"/>
        <w:rPr>
          <w:b/>
          <w:bCs/>
          <w:sz w:val="32"/>
          <w:szCs w:val="32"/>
          <w:lang w:val="en"/>
        </w:rPr>
      </w:pPr>
    </w:p>
    <w:p w14:paraId="6AF11DC3" w14:textId="3F0FBD3F" w:rsidR="005F3126" w:rsidRDefault="005F3126" w:rsidP="00DB790E">
      <w:pPr>
        <w:spacing w:line="254" w:lineRule="auto"/>
        <w:jc w:val="both"/>
        <w:rPr>
          <w:b/>
          <w:bCs/>
          <w:sz w:val="32"/>
          <w:szCs w:val="32"/>
          <w:lang w:val="en"/>
        </w:rPr>
      </w:pPr>
    </w:p>
    <w:p w14:paraId="59DBFA05" w14:textId="67136D60" w:rsidR="005F3126" w:rsidRDefault="005F3126" w:rsidP="00DB790E">
      <w:pPr>
        <w:spacing w:line="254" w:lineRule="auto"/>
        <w:jc w:val="both"/>
        <w:rPr>
          <w:b/>
          <w:bCs/>
          <w:sz w:val="32"/>
          <w:szCs w:val="32"/>
          <w:lang w:val="en"/>
        </w:rPr>
      </w:pPr>
    </w:p>
    <w:p w14:paraId="6F57FABA" w14:textId="1D3A9F45" w:rsidR="005F3126" w:rsidRDefault="005F3126" w:rsidP="00DB790E">
      <w:pPr>
        <w:spacing w:line="254" w:lineRule="auto"/>
        <w:jc w:val="both"/>
        <w:rPr>
          <w:b/>
          <w:bCs/>
          <w:sz w:val="32"/>
          <w:szCs w:val="32"/>
          <w:lang w:val="en"/>
        </w:rPr>
      </w:pPr>
    </w:p>
    <w:p w14:paraId="6CFCCA8B" w14:textId="059D7553" w:rsidR="005F3126" w:rsidRDefault="005F3126" w:rsidP="00DB790E">
      <w:pPr>
        <w:spacing w:line="254" w:lineRule="auto"/>
        <w:jc w:val="both"/>
        <w:rPr>
          <w:b/>
          <w:bCs/>
          <w:sz w:val="32"/>
          <w:szCs w:val="32"/>
          <w:lang w:val="en"/>
        </w:rPr>
      </w:pPr>
    </w:p>
    <w:p w14:paraId="04AAA741" w14:textId="77777777" w:rsidR="004F6CAB" w:rsidRDefault="004F6CAB" w:rsidP="00DB790E">
      <w:pPr>
        <w:spacing w:line="254" w:lineRule="auto"/>
        <w:jc w:val="both"/>
        <w:rPr>
          <w:b/>
          <w:bCs/>
          <w:sz w:val="32"/>
          <w:szCs w:val="32"/>
          <w:lang w:val="en"/>
        </w:rPr>
      </w:pPr>
    </w:p>
    <w:p w14:paraId="22508224" w14:textId="21DF21A3" w:rsidR="004F6CAB" w:rsidRPr="004F6CAB" w:rsidRDefault="00CA2533" w:rsidP="004F6CAB">
      <w:pPr>
        <w:pStyle w:val="Heading1"/>
        <w:spacing w:line="360" w:lineRule="auto"/>
        <w:rPr>
          <w:rFonts w:ascii="Arial" w:hAnsi="Arial" w:cs="Arial"/>
          <w:b/>
          <w:bCs/>
          <w:color w:val="auto"/>
          <w:lang w:val="en"/>
        </w:rPr>
      </w:pPr>
      <w:bookmarkStart w:id="44" w:name="_Toc43473616"/>
      <w:r w:rsidRPr="00852E71">
        <w:rPr>
          <w:rFonts w:ascii="Arial" w:hAnsi="Arial" w:cs="Arial"/>
          <w:b/>
          <w:bCs/>
          <w:color w:val="auto"/>
          <w:lang w:val="en"/>
        </w:rPr>
        <w:lastRenderedPageBreak/>
        <w:t>Analysis and d</w:t>
      </w:r>
      <w:r w:rsidR="006F3547" w:rsidRPr="00852E71">
        <w:rPr>
          <w:rFonts w:ascii="Arial" w:hAnsi="Arial" w:cs="Arial"/>
          <w:b/>
          <w:bCs/>
          <w:color w:val="auto"/>
          <w:lang w:val="en"/>
        </w:rPr>
        <w:t>iscussion of the results</w:t>
      </w:r>
      <w:bookmarkEnd w:id="44"/>
    </w:p>
    <w:p w14:paraId="2846DF92" w14:textId="7CBF026A" w:rsidR="00431AE5" w:rsidRPr="00A749BC" w:rsidRDefault="00A749BC" w:rsidP="004F6CAB">
      <w:pPr>
        <w:pBdr>
          <w:top w:val="single" w:sz="4" w:space="1" w:color="auto"/>
          <w:bottom w:val="single" w:sz="4" w:space="1" w:color="auto"/>
        </w:pBdr>
        <w:spacing w:line="360" w:lineRule="auto"/>
        <w:jc w:val="both"/>
        <w:rPr>
          <w:i/>
          <w:iCs/>
        </w:rPr>
      </w:pPr>
      <w:r>
        <w:rPr>
          <w:i/>
          <w:iCs/>
          <w:lang w:val="en"/>
        </w:rPr>
        <w:t xml:space="preserve">This chapter will </w:t>
      </w:r>
      <w:r w:rsidRPr="00A749BC">
        <w:rPr>
          <w:i/>
          <w:iCs/>
        </w:rPr>
        <w:t>analyse</w:t>
      </w:r>
      <w:r>
        <w:rPr>
          <w:i/>
          <w:iCs/>
          <w:lang w:val="en"/>
        </w:rPr>
        <w:t xml:space="preserve"> the results </w:t>
      </w:r>
      <w:r w:rsidRPr="00A749BC">
        <w:rPr>
          <w:i/>
          <w:iCs/>
        </w:rPr>
        <w:t>presented</w:t>
      </w:r>
      <w:r>
        <w:rPr>
          <w:i/>
          <w:iCs/>
        </w:rPr>
        <w:t xml:space="preserve"> in the previous section. Each variable will individually be evaluated and subsequently compared with the earlier presented theoretical theories and empirical results obtained by different researchers.  </w:t>
      </w:r>
    </w:p>
    <w:p w14:paraId="1A4C5177" w14:textId="77777777" w:rsidR="00852E71" w:rsidRDefault="00852E71" w:rsidP="004F6CAB">
      <w:pPr>
        <w:spacing w:line="360" w:lineRule="auto"/>
        <w:jc w:val="both"/>
        <w:rPr>
          <w:lang w:val="en"/>
        </w:rPr>
      </w:pPr>
    </w:p>
    <w:p w14:paraId="2D6523E1" w14:textId="3F8695F5" w:rsidR="002D5A72" w:rsidRPr="0057606A" w:rsidRDefault="00E13144" w:rsidP="004F6CAB">
      <w:pPr>
        <w:spacing w:line="360" w:lineRule="auto"/>
        <w:jc w:val="both"/>
      </w:pPr>
      <w:r>
        <w:rPr>
          <w:lang w:val="en"/>
        </w:rPr>
        <w:t>From the outcome of the previous section, it is evident that the selection of the model and the different combination of the variable affect</w:t>
      </w:r>
      <w:r w:rsidR="0034308A">
        <w:rPr>
          <w:lang w:val="en"/>
        </w:rPr>
        <w:t>ed</w:t>
      </w:r>
      <w:r>
        <w:rPr>
          <w:lang w:val="en"/>
        </w:rPr>
        <w:t xml:space="preserve"> the results. For instance, while the correlation analysis provided information on the linear relationship between two variables, the regression analysis has</w:t>
      </w:r>
      <w:r w:rsidR="00622358">
        <w:rPr>
          <w:lang w:val="en"/>
        </w:rPr>
        <w:t xml:space="preserve"> </w:t>
      </w:r>
      <w:r w:rsidR="00622358" w:rsidRPr="0057606A">
        <w:t>contributed to</w:t>
      </w:r>
      <w:r w:rsidRPr="0057606A">
        <w:t xml:space="preserve"> more accurate results on the prediction of the value of the independent variables</w:t>
      </w:r>
      <w:r w:rsidR="00622358" w:rsidRPr="0057606A">
        <w:t>.</w:t>
      </w:r>
      <w:r w:rsidR="0034308A" w:rsidRPr="0057606A">
        <w:t xml:space="preserve"> </w:t>
      </w:r>
    </w:p>
    <w:p w14:paraId="2933A1F6" w14:textId="7DBEBB54" w:rsidR="0092785E" w:rsidRPr="0057606A" w:rsidRDefault="0092785E" w:rsidP="004F6CAB">
      <w:pPr>
        <w:spacing w:line="360" w:lineRule="auto"/>
        <w:jc w:val="both"/>
      </w:pPr>
      <w:r w:rsidRPr="00014A4C">
        <w:t xml:space="preserve">Before presenting the results, it is essential to underline how, in the last 20 years, the aviation sector has undergone drastic changes </w:t>
      </w:r>
      <w:r w:rsidR="0057606A" w:rsidRPr="00014A4C">
        <w:t>i</w:t>
      </w:r>
      <w:r w:rsidRPr="00014A4C">
        <w:t>n both demand and supply side.</w:t>
      </w:r>
      <w:r w:rsidR="008A5CF9" w:rsidRPr="00014A4C">
        <w:t xml:space="preserve"> </w:t>
      </w:r>
      <w:r w:rsidR="0080771E" w:rsidRPr="00014A4C">
        <w:t xml:space="preserve">The current evolution of the sector with its actors such as passengers, airlines and authorities, have been affected by several factors. </w:t>
      </w:r>
      <w:r w:rsidR="0057606A" w:rsidRPr="00014A4C">
        <w:t>Unlikely to other industries, n</w:t>
      </w:r>
      <w:r w:rsidR="0080771E" w:rsidRPr="00014A4C">
        <w:t xml:space="preserve">ot only technological driving forces influenced the aviation sector, but also legal, cultural and institutional development. For this reason, the results that will be presented are suitable only for the European aviation sector, as its peculiarities hardly lend themselves to other </w:t>
      </w:r>
      <w:r w:rsidR="0057606A" w:rsidRPr="00014A4C">
        <w:t>industries</w:t>
      </w:r>
      <w:r w:rsidR="0080771E" w:rsidRPr="00014A4C">
        <w:t>.</w:t>
      </w:r>
    </w:p>
    <w:p w14:paraId="5A206491" w14:textId="77777777" w:rsidR="00B33F52" w:rsidRDefault="007C6367" w:rsidP="004F6CAB">
      <w:pPr>
        <w:spacing w:line="360" w:lineRule="auto"/>
        <w:jc w:val="both"/>
        <w:rPr>
          <w:lang w:val="en"/>
        </w:rPr>
      </w:pPr>
      <w:r>
        <w:rPr>
          <w:lang w:val="en"/>
        </w:rPr>
        <w:t xml:space="preserve">In contrast to the </w:t>
      </w:r>
      <w:r w:rsidR="00107494">
        <w:rPr>
          <w:lang w:val="en"/>
        </w:rPr>
        <w:t xml:space="preserve">theoretical </w:t>
      </w:r>
      <w:r>
        <w:rPr>
          <w:lang w:val="en"/>
        </w:rPr>
        <w:t xml:space="preserve">opinion of Assaf </w:t>
      </w:r>
      <w:proofErr w:type="spellStart"/>
      <w:r>
        <w:rPr>
          <w:lang w:val="en"/>
        </w:rPr>
        <w:t>Neto</w:t>
      </w:r>
      <w:proofErr w:type="spellEnd"/>
      <w:r>
        <w:rPr>
          <w:lang w:val="en"/>
        </w:rPr>
        <w:t xml:space="preserve"> </w:t>
      </w:r>
      <w:r w:rsidR="00107494">
        <w:rPr>
          <w:lang w:val="en"/>
        </w:rPr>
        <w:t xml:space="preserve">(2003) </w:t>
      </w:r>
      <w:r>
        <w:rPr>
          <w:lang w:val="en"/>
        </w:rPr>
        <w:t>mentioned above,</w:t>
      </w:r>
      <w:r w:rsidR="00B41754">
        <w:rPr>
          <w:lang w:val="en"/>
        </w:rPr>
        <w:t xml:space="preserve"> who stated a negative association between the investments in current assets and the return,</w:t>
      </w:r>
      <w:r>
        <w:rPr>
          <w:lang w:val="en"/>
        </w:rPr>
        <w:t xml:space="preserve"> the overall results showed a </w:t>
      </w:r>
      <w:r w:rsidRPr="007C6367">
        <w:rPr>
          <w:b/>
          <w:bCs/>
          <w:lang w:val="en"/>
        </w:rPr>
        <w:t xml:space="preserve">positive </w:t>
      </w:r>
      <w:r>
        <w:rPr>
          <w:lang w:val="en"/>
        </w:rPr>
        <w:t>relationship between the liquidity and the profitability</w:t>
      </w:r>
      <w:r w:rsidR="00107494">
        <w:rPr>
          <w:lang w:val="en"/>
        </w:rPr>
        <w:t xml:space="preserve"> for European airline</w:t>
      </w:r>
      <w:r w:rsidR="00DC6965">
        <w:rPr>
          <w:lang w:val="en"/>
        </w:rPr>
        <w:t>s</w:t>
      </w:r>
      <w:r w:rsidR="00107494">
        <w:rPr>
          <w:lang w:val="en"/>
        </w:rPr>
        <w:t xml:space="preserve"> operating worldwide</w:t>
      </w:r>
      <w:r>
        <w:rPr>
          <w:lang w:val="en"/>
        </w:rPr>
        <w:t>.</w:t>
      </w:r>
      <w:r w:rsidR="00107494">
        <w:rPr>
          <w:lang w:val="en"/>
        </w:rPr>
        <w:t xml:space="preserve"> This conclusion diverges from the results found by Yeo (2016) and </w:t>
      </w:r>
      <w:proofErr w:type="spellStart"/>
      <w:r w:rsidR="00107494">
        <w:t>Irawan</w:t>
      </w:r>
      <w:proofErr w:type="spellEnd"/>
      <w:r w:rsidR="00107494">
        <w:t xml:space="preserve"> and </w:t>
      </w:r>
      <w:proofErr w:type="spellStart"/>
      <w:r w:rsidR="00107494">
        <w:t>Faturohman</w:t>
      </w:r>
      <w:proofErr w:type="spellEnd"/>
      <w:r w:rsidR="00107494">
        <w:t xml:space="preserve"> (2015).</w:t>
      </w:r>
      <w:r w:rsidR="00107494">
        <w:rPr>
          <w:lang w:val="en"/>
        </w:rPr>
        <w:t xml:space="preserve"> </w:t>
      </w:r>
      <w:r>
        <w:rPr>
          <w:lang w:val="en"/>
        </w:rPr>
        <w:t xml:space="preserve"> It is interesting to underline how, however, this relationship in both models appears significant only </w:t>
      </w:r>
      <w:r w:rsidR="00C80F2F">
        <w:rPr>
          <w:lang w:val="en"/>
        </w:rPr>
        <w:t xml:space="preserve">in relation </w:t>
      </w:r>
      <w:r>
        <w:rPr>
          <w:lang w:val="en"/>
        </w:rPr>
        <w:t xml:space="preserve">with the ROA, while with the ROI, </w:t>
      </w:r>
      <w:r w:rsidRPr="007C6367">
        <w:rPr>
          <w:lang w:val="en"/>
        </w:rPr>
        <w:t xml:space="preserve">although the relationship is </w:t>
      </w:r>
      <w:r>
        <w:rPr>
          <w:lang w:val="en"/>
        </w:rPr>
        <w:t>likewise</w:t>
      </w:r>
      <w:r w:rsidRPr="007C6367">
        <w:rPr>
          <w:lang w:val="en"/>
        </w:rPr>
        <w:t xml:space="preserve"> positive</w:t>
      </w:r>
      <w:r>
        <w:rPr>
          <w:lang w:val="en"/>
        </w:rPr>
        <w:t xml:space="preserve">, </w:t>
      </w:r>
      <w:r w:rsidR="00C80F2F">
        <w:rPr>
          <w:lang w:val="en"/>
        </w:rPr>
        <w:t xml:space="preserve">it seems to be not particularly significative. </w:t>
      </w:r>
    </w:p>
    <w:p w14:paraId="6F565722" w14:textId="55922F86" w:rsidR="004F6CAB" w:rsidRDefault="004D7826" w:rsidP="004F6CAB">
      <w:pPr>
        <w:spacing w:line="360" w:lineRule="auto"/>
        <w:jc w:val="both"/>
      </w:pPr>
      <w:r>
        <w:rPr>
          <w:lang w:val="en"/>
        </w:rPr>
        <w:t>In detail, the correlation model revealed a</w:t>
      </w:r>
      <w:r w:rsidR="00B41754">
        <w:rPr>
          <w:lang w:val="en"/>
        </w:rPr>
        <w:t xml:space="preserve"> positive</w:t>
      </w:r>
      <w:r>
        <w:rPr>
          <w:lang w:val="en"/>
        </w:rPr>
        <w:t xml:space="preserve"> association of 35% between CR/QR and ROI</w:t>
      </w:r>
      <w:r w:rsidR="00D47C2F">
        <w:rPr>
          <w:lang w:val="en"/>
        </w:rPr>
        <w:t>,</w:t>
      </w:r>
      <w:r>
        <w:rPr>
          <w:lang w:val="en"/>
        </w:rPr>
        <w:t xml:space="preserve"> and an association of respectively 54% an</w:t>
      </w:r>
      <w:r w:rsidR="0038390E">
        <w:rPr>
          <w:lang w:val="en"/>
        </w:rPr>
        <w:t>d</w:t>
      </w:r>
      <w:r>
        <w:rPr>
          <w:lang w:val="en"/>
        </w:rPr>
        <w:t xml:space="preserve"> 57% between CR/ROA and QR/ROA. Current Ratio and Quick Ratio produced </w:t>
      </w:r>
      <w:r w:rsidR="005544B9">
        <w:rPr>
          <w:lang w:val="en"/>
        </w:rPr>
        <w:t>remarkable</w:t>
      </w:r>
      <w:r>
        <w:rPr>
          <w:lang w:val="en"/>
        </w:rPr>
        <w:t xml:space="preserve"> similar results </w:t>
      </w:r>
      <w:r w:rsidRPr="004D7826">
        <w:rPr>
          <w:lang w:val="en"/>
        </w:rPr>
        <w:t xml:space="preserve">as their </w:t>
      </w:r>
      <w:r w:rsidR="00B41754">
        <w:rPr>
          <w:lang w:val="en"/>
        </w:rPr>
        <w:t>measures</w:t>
      </w:r>
      <w:r w:rsidRPr="004D7826">
        <w:rPr>
          <w:lang w:val="en"/>
        </w:rPr>
        <w:t xml:space="preserve"> are differentiated only from the inventory, whose value in the </w:t>
      </w:r>
      <w:r w:rsidR="000B6634">
        <w:rPr>
          <w:lang w:val="en"/>
        </w:rPr>
        <w:t xml:space="preserve">treated </w:t>
      </w:r>
      <w:r w:rsidRPr="004D7826">
        <w:rPr>
          <w:lang w:val="en"/>
        </w:rPr>
        <w:t>companies is almost nil.</w:t>
      </w:r>
      <w:r>
        <w:rPr>
          <w:lang w:val="en"/>
        </w:rPr>
        <w:t xml:space="preserve"> The </w:t>
      </w:r>
      <w:r w:rsidR="006D5556">
        <w:rPr>
          <w:lang w:val="en"/>
        </w:rPr>
        <w:t>regression analysis</w:t>
      </w:r>
      <w:r w:rsidR="00B41754">
        <w:rPr>
          <w:lang w:val="en"/>
        </w:rPr>
        <w:t xml:space="preserve">, on its side, confirmed the positive relationship between the variables but underlined the insignificant influence of the liquidity on the ROI. For what concerns the ROA, the Current Ratio showed a significant influence of +7% on profitability for every </w:t>
      </w:r>
      <w:r w:rsidR="000B6634">
        <w:rPr>
          <w:lang w:val="en"/>
        </w:rPr>
        <w:t>1-unit</w:t>
      </w:r>
      <w:r w:rsidR="00B41754">
        <w:rPr>
          <w:lang w:val="en"/>
        </w:rPr>
        <w:t xml:space="preserve"> increase</w:t>
      </w:r>
      <w:r w:rsidR="006D4186">
        <w:rPr>
          <w:lang w:val="en"/>
        </w:rPr>
        <w:t xml:space="preserve"> in liquidity</w:t>
      </w:r>
      <w:r w:rsidR="00C95752">
        <w:rPr>
          <w:lang w:val="en"/>
        </w:rPr>
        <w:t xml:space="preserve">, </w:t>
      </w:r>
      <w:r w:rsidR="00FB0735">
        <w:rPr>
          <w:lang w:val="en"/>
        </w:rPr>
        <w:t>outcome</w:t>
      </w:r>
      <w:r w:rsidR="00C95752">
        <w:rPr>
          <w:lang w:val="en"/>
        </w:rPr>
        <w:t xml:space="preserve"> </w:t>
      </w:r>
      <w:r w:rsidR="00826993">
        <w:rPr>
          <w:lang w:val="en"/>
        </w:rPr>
        <w:t>analogous</w:t>
      </w:r>
      <w:r w:rsidR="00C95752">
        <w:rPr>
          <w:lang w:val="en"/>
        </w:rPr>
        <w:t xml:space="preserve"> to</w:t>
      </w:r>
      <w:r w:rsidR="00B41754">
        <w:rPr>
          <w:lang w:val="en"/>
        </w:rPr>
        <w:t xml:space="preserve"> the Quick Ratio</w:t>
      </w:r>
      <w:r w:rsidR="0038390E">
        <w:rPr>
          <w:lang w:val="en"/>
        </w:rPr>
        <w:t>,</w:t>
      </w:r>
      <w:r w:rsidR="00C95752">
        <w:rPr>
          <w:lang w:val="en"/>
        </w:rPr>
        <w:t xml:space="preserve"> which</w:t>
      </w:r>
      <w:r w:rsidR="00B41754">
        <w:rPr>
          <w:lang w:val="en"/>
        </w:rPr>
        <w:t xml:space="preserve"> </w:t>
      </w:r>
      <w:r w:rsidR="00C95752">
        <w:rPr>
          <w:lang w:val="en"/>
        </w:rPr>
        <w:t>produced a +</w:t>
      </w:r>
      <w:r w:rsidR="00C95752" w:rsidRPr="00513708">
        <w:rPr>
          <w:lang w:val="en"/>
        </w:rPr>
        <w:t>6%.</w:t>
      </w:r>
      <w:r w:rsidR="004D2693" w:rsidRPr="00513708">
        <w:rPr>
          <w:lang w:val="en"/>
        </w:rPr>
        <w:t xml:space="preserve"> Hence, the null hypothesis is rejected</w:t>
      </w:r>
      <w:r w:rsidR="00D86FCE" w:rsidRPr="00513708">
        <w:rPr>
          <w:lang w:val="en"/>
        </w:rPr>
        <w:t xml:space="preserve"> for the ROA but accepted for the ROI.</w:t>
      </w:r>
      <w:r w:rsidR="004D2693">
        <w:rPr>
          <w:lang w:val="en"/>
        </w:rPr>
        <w:t xml:space="preserve"> </w:t>
      </w:r>
      <w:r w:rsidR="00C05251">
        <w:rPr>
          <w:lang w:val="en"/>
        </w:rPr>
        <w:t xml:space="preserve"> </w:t>
      </w:r>
      <w:r w:rsidR="00826993">
        <w:rPr>
          <w:lang w:val="en"/>
        </w:rPr>
        <w:t xml:space="preserve">Based on the outcome, </w:t>
      </w:r>
      <w:r w:rsidR="009C75BD">
        <w:rPr>
          <w:lang w:val="en"/>
        </w:rPr>
        <w:t xml:space="preserve">the study proves that an increase in the value of the current asset and/or </w:t>
      </w:r>
      <w:r w:rsidR="009C75BD">
        <w:rPr>
          <w:lang w:val="en"/>
        </w:rPr>
        <w:lastRenderedPageBreak/>
        <w:t>a decrease in the current liability is likely to lead to higher profitability</w:t>
      </w:r>
      <w:r w:rsidR="00581849">
        <w:rPr>
          <w:lang w:val="en"/>
        </w:rPr>
        <w:t xml:space="preserve">, </w:t>
      </w:r>
      <w:r w:rsidR="00581849">
        <w:t xml:space="preserve">improving the </w:t>
      </w:r>
      <w:r w:rsidR="004F6CAB">
        <w:t>airlines</w:t>
      </w:r>
      <w:r w:rsidR="00581849">
        <w:t>’ financial performance and</w:t>
      </w:r>
      <w:r w:rsidR="00581849" w:rsidRPr="0021347E">
        <w:t xml:space="preserve"> increasing shareholders worth</w:t>
      </w:r>
      <w:r w:rsidR="00581849">
        <w:t>.</w:t>
      </w:r>
      <w:r w:rsidR="00D32FDD">
        <w:t xml:space="preserve"> </w:t>
      </w:r>
      <w:r w:rsidR="00305320">
        <w:t xml:space="preserve"> </w:t>
      </w:r>
    </w:p>
    <w:p w14:paraId="60290734" w14:textId="5E59979B" w:rsidR="00021164" w:rsidRPr="00326A16" w:rsidRDefault="00305320" w:rsidP="004F6CAB">
      <w:pPr>
        <w:spacing w:line="360" w:lineRule="auto"/>
        <w:jc w:val="both"/>
      </w:pPr>
      <w:r>
        <w:t xml:space="preserve">As mentioned before, </w:t>
      </w:r>
      <w:r w:rsidR="00DC6965">
        <w:t>other researchers have come to similar conclusions in their findings</w:t>
      </w:r>
      <w:r w:rsidR="0038390E">
        <w:t>;</w:t>
      </w:r>
      <w:r w:rsidR="00DC6965">
        <w:t xml:space="preserve"> </w:t>
      </w:r>
      <w:r w:rsidR="00D47C2F">
        <w:t>indeed,</w:t>
      </w:r>
      <w:r w:rsidR="003F13C3">
        <w:t xml:space="preserve"> Saleem and Ur Rehman</w:t>
      </w:r>
      <w:r w:rsidR="007F6FE7">
        <w:t xml:space="preserve"> (2011)</w:t>
      </w:r>
      <w:r w:rsidR="003F13C3">
        <w:t xml:space="preserve"> registered a positive impact of the liquidity on the financial performances of oil and gas companies in Pakistan. However, although the variable used in their</w:t>
      </w:r>
      <w:r w:rsidR="00D47C2F">
        <w:t xml:space="preserve"> study</w:t>
      </w:r>
      <w:r w:rsidR="003F13C3">
        <w:t xml:space="preserve"> and in this </w:t>
      </w:r>
      <w:r w:rsidR="00D47C2F">
        <w:t>research</w:t>
      </w:r>
      <w:r w:rsidR="003F13C3">
        <w:t xml:space="preserve"> coincide, they registered that QR and CR have a </w:t>
      </w:r>
      <w:r w:rsidR="007F6FE7">
        <w:t>remarkable</w:t>
      </w:r>
      <w:r w:rsidR="003F13C3">
        <w:t xml:space="preserve"> impact on the ROI and not on the ROA. </w:t>
      </w:r>
      <w:r w:rsidR="007F6FE7">
        <w:t xml:space="preserve">A second example is provided by </w:t>
      </w:r>
      <w:proofErr w:type="spellStart"/>
      <w:r w:rsidR="007F6FE7">
        <w:t>Niresh</w:t>
      </w:r>
      <w:proofErr w:type="spellEnd"/>
      <w:r w:rsidR="007F6FE7">
        <w:t xml:space="preserve"> (2012)</w:t>
      </w:r>
      <w:r w:rsidR="0038390E">
        <w:t>,</w:t>
      </w:r>
      <w:r w:rsidR="007F6FE7">
        <w:t xml:space="preserve"> who found an overall positive relationship </w:t>
      </w:r>
      <w:r w:rsidR="00E54BEF">
        <w:t xml:space="preserve">with ROE and NP </w:t>
      </w:r>
      <w:r w:rsidR="007F6FE7">
        <w:t>but</w:t>
      </w:r>
      <w:r w:rsidR="00E54BEF">
        <w:t>, for what concern</w:t>
      </w:r>
      <w:r w:rsidR="0038390E">
        <w:t>s</w:t>
      </w:r>
      <w:r w:rsidR="00E54BEF">
        <w:t xml:space="preserve"> the ROCE, this relationship appeared to be negative.</w:t>
      </w:r>
      <w:r w:rsidR="003528FD">
        <w:t xml:space="preserve"> Other analysis underlined </w:t>
      </w:r>
      <w:r w:rsidR="003528FD" w:rsidRPr="00513708">
        <w:t>these inconsistencies in the results, for example</w:t>
      </w:r>
      <w:r w:rsidR="0038390E" w:rsidRPr="00513708">
        <w:t>,</w:t>
      </w:r>
      <w:r w:rsidR="003528FD" w:rsidRPr="00513708">
        <w:t xml:space="preserve"> Justina (2013) found a significant</w:t>
      </w:r>
      <w:r w:rsidR="0038390E" w:rsidRPr="00513708">
        <w:t xml:space="preserve"> positive</w:t>
      </w:r>
      <w:r w:rsidR="003528FD" w:rsidRPr="00513708">
        <w:t xml:space="preserve"> relationship between the profitability’s variable</w:t>
      </w:r>
      <w:r w:rsidR="006D4186" w:rsidRPr="00513708">
        <w:t>s</w:t>
      </w:r>
      <w:r w:rsidR="003528FD" w:rsidRPr="00513708">
        <w:t xml:space="preserve"> ROA, ROE, ROI and the liquidity (C/R and Q/R) for the Polish IT sector but</w:t>
      </w:r>
      <w:r w:rsidR="00326A16" w:rsidRPr="00513708">
        <w:t xml:space="preserve">, </w:t>
      </w:r>
      <w:proofErr w:type="spellStart"/>
      <w:r w:rsidR="00326A16" w:rsidRPr="00513708">
        <w:t>Hongly</w:t>
      </w:r>
      <w:proofErr w:type="spellEnd"/>
      <w:r w:rsidR="00326A16" w:rsidRPr="00513708">
        <w:t xml:space="preserve">, </w:t>
      </w:r>
      <w:proofErr w:type="spellStart"/>
      <w:r w:rsidR="00326A16" w:rsidRPr="00513708">
        <w:t>Arjorsu</w:t>
      </w:r>
      <w:proofErr w:type="spellEnd"/>
      <w:r w:rsidR="00326A16" w:rsidRPr="00513708">
        <w:t xml:space="preserve"> and </w:t>
      </w:r>
      <w:proofErr w:type="spellStart"/>
      <w:r w:rsidR="00326A16" w:rsidRPr="00513708">
        <w:t>Bakpa</w:t>
      </w:r>
      <w:proofErr w:type="spellEnd"/>
      <w:r w:rsidR="00326A16" w:rsidRPr="00513708">
        <w:t xml:space="preserve"> (2019) discovered </w:t>
      </w:r>
      <w:r w:rsidR="00C37CA3" w:rsidRPr="00513708">
        <w:t xml:space="preserve">that </w:t>
      </w:r>
      <w:r w:rsidR="00326A16" w:rsidRPr="00513708">
        <w:t>this relationship</w:t>
      </w:r>
      <w:r w:rsidR="00C37CA3" w:rsidRPr="00513708">
        <w:t xml:space="preserve"> is</w:t>
      </w:r>
      <w:r w:rsidR="00326A16" w:rsidRPr="00513708">
        <w:t xml:space="preserve"> negative for the ROA in the manufacturing sector in Ghana.</w:t>
      </w:r>
      <w:r w:rsidR="00E54BEF">
        <w:t xml:space="preserve"> Differences in the industry context and, generally, in the macro</w:t>
      </w:r>
      <w:r w:rsidR="0038390E">
        <w:t>-</w:t>
      </w:r>
      <w:r w:rsidR="00E54BEF">
        <w:t>environment can explain the potential differences in the results</w:t>
      </w:r>
      <w:r w:rsidR="00E54BEF" w:rsidRPr="003F6B96">
        <w:t xml:space="preserve">. It is reasonable to presume that companies operating in different industries may </w:t>
      </w:r>
      <w:r w:rsidR="00E54BEF" w:rsidRPr="00C338A1">
        <w:t>differ in their</w:t>
      </w:r>
      <w:r w:rsidR="00D2264C" w:rsidRPr="00C338A1">
        <w:t xml:space="preserve"> </w:t>
      </w:r>
      <w:r w:rsidR="003F6B96" w:rsidRPr="00C338A1">
        <w:t>drivers of profitability</w:t>
      </w:r>
      <w:r w:rsidR="0038390E">
        <w:t>; the</w:t>
      </w:r>
      <w:r w:rsidR="00D2264C" w:rsidRPr="00C338A1">
        <w:t xml:space="preserve"> </w:t>
      </w:r>
      <w:r w:rsidR="003F6B96" w:rsidRPr="00C338A1">
        <w:t xml:space="preserve">reason why the registered outcomes can be different. </w:t>
      </w:r>
      <w:r w:rsidR="00C338A1" w:rsidRPr="00C338A1">
        <w:t xml:space="preserve">Firms operating in </w:t>
      </w:r>
      <w:r w:rsidR="00D2264C" w:rsidRPr="00C338A1">
        <w:t xml:space="preserve">the airline sector </w:t>
      </w:r>
      <w:r w:rsidR="00C338A1" w:rsidRPr="00C338A1">
        <w:t xml:space="preserve">are likely to be more in need of liquidity as they </w:t>
      </w:r>
      <w:r w:rsidR="00D2264C" w:rsidRPr="00C338A1">
        <w:t>demand a high amount of current expenses, as the fuel</w:t>
      </w:r>
      <w:r w:rsidR="00D32FDD">
        <w:t>,</w:t>
      </w:r>
      <w:r w:rsidR="00D2264C" w:rsidRPr="00C338A1">
        <w:t xml:space="preserve"> the maintenance,</w:t>
      </w:r>
      <w:r w:rsidR="00D32FDD">
        <w:t xml:space="preserve"> personnel expenses,</w:t>
      </w:r>
      <w:r w:rsidR="00D2264C" w:rsidRPr="00C338A1">
        <w:t xml:space="preserve"> while in another sector may occur differently</w:t>
      </w:r>
      <w:r w:rsidR="00D2264C" w:rsidRPr="005F1159">
        <w:t xml:space="preserve">. </w:t>
      </w:r>
      <w:r w:rsidR="00BA6069" w:rsidRPr="005F1159">
        <w:t xml:space="preserve">European airlines are, therefore, required to maintain a certain level of liquidity to meet their current expenses </w:t>
      </w:r>
      <w:r w:rsidR="00BA6069" w:rsidRPr="005F1159">
        <w:rPr>
          <w:i/>
          <w:iCs/>
        </w:rPr>
        <w:t>(</w:t>
      </w:r>
      <w:r w:rsidR="00BA6069" w:rsidRPr="005F1159">
        <w:rPr>
          <w:b/>
          <w:bCs/>
          <w:i/>
          <w:iCs/>
        </w:rPr>
        <w:t>transaction</w:t>
      </w:r>
      <w:r w:rsidR="00BA6069" w:rsidRPr="005F1159">
        <w:rPr>
          <w:i/>
          <w:iCs/>
        </w:rPr>
        <w:t xml:space="preserve"> motive)</w:t>
      </w:r>
      <w:r w:rsidR="00BA6069" w:rsidRPr="005F1159">
        <w:t xml:space="preserve"> and to prevent unexpected problems </w:t>
      </w:r>
      <w:r w:rsidR="00BA6069" w:rsidRPr="005F1159">
        <w:rPr>
          <w:i/>
          <w:iCs/>
        </w:rPr>
        <w:t>(</w:t>
      </w:r>
      <w:r w:rsidR="00BA6069" w:rsidRPr="005F1159">
        <w:rPr>
          <w:b/>
          <w:bCs/>
          <w:i/>
          <w:iCs/>
        </w:rPr>
        <w:t xml:space="preserve">precautionary </w:t>
      </w:r>
      <w:r w:rsidR="00BA6069" w:rsidRPr="005F1159">
        <w:rPr>
          <w:i/>
          <w:iCs/>
        </w:rPr>
        <w:t>motive)</w:t>
      </w:r>
      <w:r w:rsidR="00BA6069" w:rsidRPr="005F1159">
        <w:t xml:space="preserve"> for example the recent outbreak of the coronavirus, which destabilised </w:t>
      </w:r>
      <w:r w:rsidR="006D4186" w:rsidRPr="005F1159">
        <w:t>most of</w:t>
      </w:r>
      <w:r w:rsidR="00BA6069" w:rsidRPr="005F1159">
        <w:t xml:space="preserve"> the sectors.</w:t>
      </w:r>
      <w:r w:rsidR="00B97616" w:rsidRPr="005F1159">
        <w:t xml:space="preserve"> </w:t>
      </w:r>
      <w:r w:rsidR="004840B8" w:rsidRPr="005F1159">
        <w:t xml:space="preserve">Indeed, companies with solid financial foundations and solid liquidity are more likely to achieve better performances and to survive the market shocks (Vieira, 2010). </w:t>
      </w:r>
      <w:r w:rsidR="00B97616" w:rsidRPr="005F1159">
        <w:t xml:space="preserve">In </w:t>
      </w:r>
      <w:r w:rsidR="005F1159" w:rsidRPr="005F1159">
        <w:t>conclusion</w:t>
      </w:r>
      <w:r w:rsidR="00B97616" w:rsidRPr="005F1159">
        <w:t xml:space="preserve">, as previously stated, higher liquidity might lead to higher returns for the business, </w:t>
      </w:r>
      <w:r w:rsidR="004840B8" w:rsidRPr="005F1159">
        <w:t xml:space="preserve">emphasizing the essentiality of the working capital’s management and its benefits. </w:t>
      </w:r>
      <w:r w:rsidR="00BA6069" w:rsidRPr="005F1159">
        <w:t xml:space="preserve"> </w:t>
      </w:r>
    </w:p>
    <w:p w14:paraId="0A3516D7" w14:textId="77777777" w:rsidR="004F6CAB" w:rsidRDefault="006D4186" w:rsidP="004F6CAB">
      <w:pPr>
        <w:spacing w:line="360" w:lineRule="auto"/>
        <w:jc w:val="both"/>
        <w:rPr>
          <w:lang w:val="en"/>
        </w:rPr>
      </w:pPr>
      <w:r>
        <w:rPr>
          <w:lang w:val="en"/>
        </w:rPr>
        <w:t xml:space="preserve">For what concern the leverage, the overall results showed that exists a </w:t>
      </w:r>
      <w:r w:rsidRPr="006D4186">
        <w:rPr>
          <w:b/>
          <w:bCs/>
          <w:lang w:val="en"/>
        </w:rPr>
        <w:t>negative</w:t>
      </w:r>
      <w:r>
        <w:rPr>
          <w:b/>
          <w:bCs/>
          <w:lang w:val="en"/>
        </w:rPr>
        <w:t xml:space="preserve"> </w:t>
      </w:r>
      <w:r>
        <w:rPr>
          <w:lang w:val="en"/>
        </w:rPr>
        <w:t xml:space="preserve">relationship between leverage and profitability for the European Airline sector. </w:t>
      </w:r>
      <w:r w:rsidR="002D1F87">
        <w:rPr>
          <w:lang w:val="en"/>
        </w:rPr>
        <w:t>S</w:t>
      </w:r>
      <w:r w:rsidR="002D1F87" w:rsidRPr="002D1F87">
        <w:rPr>
          <w:lang w:val="en"/>
        </w:rPr>
        <w:t>pecifically</w:t>
      </w:r>
      <w:r w:rsidR="002D1F87">
        <w:rPr>
          <w:lang w:val="en"/>
        </w:rPr>
        <w:t>,</w:t>
      </w:r>
      <w:r w:rsidR="002D1F87" w:rsidRPr="002D1F87">
        <w:rPr>
          <w:lang w:val="en"/>
        </w:rPr>
        <w:t xml:space="preserve"> this negative relationship is constant in all models but, while the </w:t>
      </w:r>
      <w:r w:rsidR="00C12ED2">
        <w:rPr>
          <w:lang w:val="en"/>
        </w:rPr>
        <w:t>findings</w:t>
      </w:r>
      <w:r w:rsidR="002D1F87" w:rsidRPr="002D1F87">
        <w:rPr>
          <w:lang w:val="en"/>
        </w:rPr>
        <w:t xml:space="preserve"> deriv</w:t>
      </w:r>
      <w:r w:rsidR="00445ADE">
        <w:rPr>
          <w:lang w:val="en"/>
        </w:rPr>
        <w:t>ed</w:t>
      </w:r>
      <w:r w:rsidR="002D1F87" w:rsidRPr="002D1F87">
        <w:rPr>
          <w:lang w:val="en"/>
        </w:rPr>
        <w:t xml:space="preserve"> from the Debt-to-Capital </w:t>
      </w:r>
      <w:r w:rsidR="009D5859">
        <w:rPr>
          <w:lang w:val="en"/>
        </w:rPr>
        <w:t xml:space="preserve">Ratio </w:t>
      </w:r>
      <w:r w:rsidR="002D1F87" w:rsidRPr="002D1F87">
        <w:rPr>
          <w:lang w:val="en"/>
        </w:rPr>
        <w:t>are significant, those deriv</w:t>
      </w:r>
      <w:r w:rsidR="00445ADE">
        <w:rPr>
          <w:lang w:val="en"/>
        </w:rPr>
        <w:t>ed</w:t>
      </w:r>
      <w:r w:rsidR="002D1F87" w:rsidRPr="002D1F87">
        <w:rPr>
          <w:lang w:val="en"/>
        </w:rPr>
        <w:t xml:space="preserve"> from the Debt-to-Equity </w:t>
      </w:r>
      <w:r w:rsidR="009D5859">
        <w:rPr>
          <w:lang w:val="en"/>
        </w:rPr>
        <w:t xml:space="preserve">Ratio </w:t>
      </w:r>
      <w:r w:rsidR="00C12ED2">
        <w:rPr>
          <w:lang w:val="en"/>
        </w:rPr>
        <w:t>resulted</w:t>
      </w:r>
      <w:r w:rsidR="002D1F87" w:rsidRPr="002D1F87">
        <w:rPr>
          <w:lang w:val="en"/>
        </w:rPr>
        <w:t xml:space="preserve"> not significant.</w:t>
      </w:r>
      <w:r w:rsidR="002D1F87">
        <w:rPr>
          <w:lang w:val="en"/>
        </w:rPr>
        <w:t xml:space="preserve"> </w:t>
      </w:r>
      <w:r w:rsidR="008B5D95">
        <w:rPr>
          <w:lang w:val="en"/>
        </w:rPr>
        <w:t xml:space="preserve">In detail, the correlation analysis presented an insignificant negative relation between D/E and ROI (-11%) </w:t>
      </w:r>
      <w:r w:rsidR="008B5D95" w:rsidRPr="0058313D">
        <w:rPr>
          <w:lang w:val="en"/>
        </w:rPr>
        <w:t>and</w:t>
      </w:r>
      <w:r w:rsidR="00940990">
        <w:rPr>
          <w:lang w:val="en"/>
        </w:rPr>
        <w:t xml:space="preserve"> between D/E</w:t>
      </w:r>
      <w:r w:rsidR="008B5D95">
        <w:rPr>
          <w:lang w:val="en"/>
        </w:rPr>
        <w:t xml:space="preserve"> </w:t>
      </w:r>
      <w:r w:rsidR="00940990">
        <w:rPr>
          <w:lang w:val="en"/>
        </w:rPr>
        <w:t>and</w:t>
      </w:r>
      <w:r w:rsidR="008B5D95">
        <w:rPr>
          <w:lang w:val="en"/>
        </w:rPr>
        <w:t xml:space="preserve"> ROA (-13%), while the D/C showed a significant impact of -61% on the ROI and</w:t>
      </w:r>
      <w:r w:rsidR="00445ADE">
        <w:rPr>
          <w:lang w:val="en"/>
        </w:rPr>
        <w:t xml:space="preserve"> of</w:t>
      </w:r>
      <w:r w:rsidR="008B5D95">
        <w:rPr>
          <w:lang w:val="en"/>
        </w:rPr>
        <w:t xml:space="preserve"> -59% on the ROA. The regression analysis confirmed the outcome, underlying the negative relationship between the variables but also the low relevance of the Debt-to-Equity Ratio. The Debt-to-Capital Ratio, on its side, showed a significant negative influence of -20% on the ROI and –9% on the ROA for every 1-unit </w:t>
      </w:r>
      <w:r w:rsidR="008B5D95">
        <w:rPr>
          <w:lang w:val="en"/>
        </w:rPr>
        <w:lastRenderedPageBreak/>
        <w:t>increase in leverage.</w:t>
      </w:r>
      <w:r w:rsidR="00B401CE">
        <w:rPr>
          <w:lang w:val="en"/>
        </w:rPr>
        <w:t xml:space="preserve"> </w:t>
      </w:r>
      <w:r w:rsidR="008B5D95">
        <w:rPr>
          <w:lang w:val="en"/>
        </w:rPr>
        <w:t xml:space="preserve">These findings suggest that, overall, airlines businesses in Europe have higher profitability when their total liabilities are low. </w:t>
      </w:r>
    </w:p>
    <w:p w14:paraId="54F13E75" w14:textId="6436179F" w:rsidR="005544B9" w:rsidRDefault="008B5D95" w:rsidP="004F6CAB">
      <w:pPr>
        <w:spacing w:line="360" w:lineRule="auto"/>
        <w:jc w:val="both"/>
        <w:rPr>
          <w:lang w:val="en"/>
        </w:rPr>
      </w:pPr>
      <w:r>
        <w:rPr>
          <w:lang w:val="en"/>
        </w:rPr>
        <w:t xml:space="preserve">These conclusions do not support the theory of the </w:t>
      </w:r>
      <w:r w:rsidRPr="002D1F87">
        <w:rPr>
          <w:b/>
          <w:bCs/>
          <w:i/>
          <w:iCs/>
          <w:lang w:val="en"/>
        </w:rPr>
        <w:t>irrelevance of the capital structure</w:t>
      </w:r>
      <w:r>
        <w:rPr>
          <w:b/>
          <w:bCs/>
          <w:i/>
          <w:iCs/>
          <w:lang w:val="en"/>
        </w:rPr>
        <w:t xml:space="preserve"> </w:t>
      </w:r>
      <w:r>
        <w:rPr>
          <w:lang w:val="en"/>
        </w:rPr>
        <w:t xml:space="preserve">of MM and neither their </w:t>
      </w:r>
      <w:r w:rsidRPr="00C12ED2">
        <w:rPr>
          <w:b/>
          <w:bCs/>
          <w:i/>
          <w:iCs/>
          <w:lang w:val="en"/>
        </w:rPr>
        <w:t>revised theory</w:t>
      </w:r>
      <w:r w:rsidR="00E3675A">
        <w:rPr>
          <w:lang w:val="en"/>
        </w:rPr>
        <w:t>,</w:t>
      </w:r>
      <w:r>
        <w:rPr>
          <w:lang w:val="en"/>
        </w:rPr>
        <w:t xml:space="preserve"> which suggested a positive relationship between profit and debts due to the maximization of the advantages of the tax shields (Modigliani and Millers, 1958 and 1963). Same is the scenario of the </w:t>
      </w:r>
      <w:r w:rsidRPr="00C12ED2">
        <w:rPr>
          <w:b/>
          <w:bCs/>
          <w:i/>
          <w:iCs/>
          <w:lang w:val="en"/>
        </w:rPr>
        <w:t>Trade-Off theory</w:t>
      </w:r>
      <w:r>
        <w:rPr>
          <w:lang w:val="en"/>
        </w:rPr>
        <w:t xml:space="preserve">, which is refused as, for the purpose of the study, it assumed a positive relationship between profitability and debts </w:t>
      </w:r>
      <w:r>
        <w:t xml:space="preserve">(Kraus and </w:t>
      </w:r>
      <w:proofErr w:type="spellStart"/>
      <w:r>
        <w:t>Litzenberger</w:t>
      </w:r>
      <w:proofErr w:type="spellEnd"/>
      <w:r>
        <w:t xml:space="preserve">, 1973; Myers, 1984). </w:t>
      </w:r>
      <w:r>
        <w:rPr>
          <w:lang w:val="en"/>
        </w:rPr>
        <w:t xml:space="preserve"> Hence, the </w:t>
      </w:r>
      <w:r>
        <w:rPr>
          <w:b/>
          <w:bCs/>
          <w:i/>
          <w:iCs/>
          <w:lang w:val="en"/>
        </w:rPr>
        <w:t xml:space="preserve">Pecking Order Theory </w:t>
      </w:r>
      <w:r>
        <w:rPr>
          <w:lang w:val="en"/>
        </w:rPr>
        <w:t>finds application in the analysis, as it implies that companies should primarily use internally generated funds as</w:t>
      </w:r>
      <w:r w:rsidR="0038390E">
        <w:rPr>
          <w:lang w:val="en"/>
        </w:rPr>
        <w:t xml:space="preserve"> a</w:t>
      </w:r>
      <w:r>
        <w:rPr>
          <w:lang w:val="en"/>
        </w:rPr>
        <w:t xml:space="preserve"> source of financing.</w:t>
      </w:r>
      <w:r w:rsidR="009F0835">
        <w:rPr>
          <w:lang w:val="en"/>
        </w:rPr>
        <w:t xml:space="preserve"> The negative relationship </w:t>
      </w:r>
      <w:r w:rsidR="00445ADE">
        <w:rPr>
          <w:lang w:val="en"/>
        </w:rPr>
        <w:t>encountered</w:t>
      </w:r>
      <w:r w:rsidR="009F0835">
        <w:rPr>
          <w:lang w:val="en"/>
        </w:rPr>
        <w:t xml:space="preserve"> in his research is in line with the empirical results found by </w:t>
      </w:r>
      <w:proofErr w:type="spellStart"/>
      <w:r w:rsidR="009F0835">
        <w:rPr>
          <w:lang w:val="en"/>
        </w:rPr>
        <w:t>Sahni</w:t>
      </w:r>
      <w:proofErr w:type="spellEnd"/>
      <w:r w:rsidR="009F0835">
        <w:rPr>
          <w:lang w:val="en"/>
        </w:rPr>
        <w:t xml:space="preserve"> and Kulkarni (2018), </w:t>
      </w:r>
      <w:proofErr w:type="spellStart"/>
      <w:r w:rsidR="009F0835">
        <w:rPr>
          <w:lang w:val="en"/>
        </w:rPr>
        <w:t>Rurdin</w:t>
      </w:r>
      <w:proofErr w:type="spellEnd"/>
      <w:r w:rsidR="009F0835">
        <w:rPr>
          <w:lang w:val="en"/>
        </w:rPr>
        <w:t xml:space="preserve"> and Fattah (2016), Andersson and </w:t>
      </w:r>
      <w:proofErr w:type="spellStart"/>
      <w:r w:rsidR="009F0835">
        <w:rPr>
          <w:lang w:val="en"/>
        </w:rPr>
        <w:t>Minemma</w:t>
      </w:r>
      <w:proofErr w:type="spellEnd"/>
      <w:r w:rsidR="009F0835">
        <w:rPr>
          <w:lang w:val="en"/>
        </w:rPr>
        <w:t xml:space="preserve"> (2018), </w:t>
      </w:r>
      <w:proofErr w:type="spellStart"/>
      <w:r w:rsidR="009F0835">
        <w:rPr>
          <w:lang w:val="en"/>
        </w:rPr>
        <w:t>Gharios</w:t>
      </w:r>
      <w:proofErr w:type="spellEnd"/>
      <w:r w:rsidR="009F0835">
        <w:rPr>
          <w:lang w:val="en"/>
        </w:rPr>
        <w:t xml:space="preserve">, </w:t>
      </w:r>
      <w:proofErr w:type="spellStart"/>
      <w:r w:rsidR="009F0835">
        <w:rPr>
          <w:lang w:val="en"/>
        </w:rPr>
        <w:t>Hamdar</w:t>
      </w:r>
      <w:proofErr w:type="spellEnd"/>
      <w:r w:rsidR="009F0835">
        <w:rPr>
          <w:lang w:val="en"/>
        </w:rPr>
        <w:t xml:space="preserve"> and </w:t>
      </w:r>
      <w:proofErr w:type="spellStart"/>
      <w:r w:rsidR="009F0835">
        <w:rPr>
          <w:lang w:val="en"/>
        </w:rPr>
        <w:t>Seissian</w:t>
      </w:r>
      <w:proofErr w:type="spellEnd"/>
      <w:r w:rsidR="009F0835">
        <w:rPr>
          <w:lang w:val="en"/>
        </w:rPr>
        <w:t xml:space="preserve"> (2016), </w:t>
      </w:r>
      <w:proofErr w:type="spellStart"/>
      <w:r w:rsidR="009F0835">
        <w:rPr>
          <w:lang w:val="en"/>
        </w:rPr>
        <w:t>Akinlo</w:t>
      </w:r>
      <w:proofErr w:type="spellEnd"/>
      <w:r w:rsidR="009F0835">
        <w:rPr>
          <w:lang w:val="en"/>
        </w:rPr>
        <w:t xml:space="preserve"> and </w:t>
      </w:r>
      <w:proofErr w:type="spellStart"/>
      <w:r w:rsidR="009F0835">
        <w:rPr>
          <w:lang w:val="en"/>
        </w:rPr>
        <w:t>Asaolu</w:t>
      </w:r>
      <w:proofErr w:type="spellEnd"/>
      <w:r w:rsidR="009F0835">
        <w:rPr>
          <w:lang w:val="en"/>
        </w:rPr>
        <w:t xml:space="preserve"> (2012) and </w:t>
      </w:r>
      <w:proofErr w:type="spellStart"/>
      <w:r w:rsidR="009F0835">
        <w:rPr>
          <w:lang w:val="en"/>
        </w:rPr>
        <w:t>Fengju</w:t>
      </w:r>
      <w:proofErr w:type="spellEnd"/>
      <w:r w:rsidR="009F0835">
        <w:rPr>
          <w:lang w:val="en"/>
        </w:rPr>
        <w:t xml:space="preserve">, </w:t>
      </w:r>
      <w:proofErr w:type="spellStart"/>
      <w:r w:rsidR="009F0835">
        <w:rPr>
          <w:lang w:val="en"/>
        </w:rPr>
        <w:t>Fard</w:t>
      </w:r>
      <w:proofErr w:type="spellEnd"/>
      <w:r w:rsidR="009F0835">
        <w:rPr>
          <w:lang w:val="en"/>
        </w:rPr>
        <w:t xml:space="preserve">, Maher and </w:t>
      </w:r>
      <w:proofErr w:type="spellStart"/>
      <w:r w:rsidR="009F0835">
        <w:rPr>
          <w:lang w:val="en"/>
        </w:rPr>
        <w:t>Akhteghan</w:t>
      </w:r>
      <w:proofErr w:type="spellEnd"/>
      <w:r w:rsidR="009F0835">
        <w:rPr>
          <w:lang w:val="en"/>
        </w:rPr>
        <w:t xml:space="preserve"> (2018) who highlighted the negative association in both long and short period. </w:t>
      </w:r>
      <w:r w:rsidR="00513708" w:rsidRPr="004E08C2">
        <w:rPr>
          <w:lang w:val="en"/>
        </w:rPr>
        <w:t>This negative and partially insignificant relationship between leverage and profitability underlines that an increase in the debt’s level might produce a reduction in the potential of the assets’ utilization for the business. Th</w:t>
      </w:r>
      <w:r w:rsidR="005544B9">
        <w:rPr>
          <w:lang w:val="en"/>
        </w:rPr>
        <w:t>e result</w:t>
      </w:r>
      <w:r w:rsidR="00513708" w:rsidRPr="004E08C2">
        <w:rPr>
          <w:lang w:val="en"/>
        </w:rPr>
        <w:t xml:space="preserve"> suggests that the airline sector should not rely too much on debt financing for its growth.</w:t>
      </w:r>
      <w:r w:rsidR="0058313D">
        <w:rPr>
          <w:lang w:val="en"/>
        </w:rPr>
        <w:t xml:space="preserve"> </w:t>
      </w:r>
    </w:p>
    <w:p w14:paraId="79FAA52B" w14:textId="4BF018B9" w:rsidR="0058313D" w:rsidRDefault="003E78EB" w:rsidP="004F6CAB">
      <w:pPr>
        <w:spacing w:line="360" w:lineRule="auto"/>
        <w:jc w:val="both"/>
        <w:rPr>
          <w:lang w:val="en"/>
        </w:rPr>
      </w:pPr>
      <w:r w:rsidRPr="002D4822">
        <w:rPr>
          <w:lang w:val="en"/>
        </w:rPr>
        <w:t>Further, the correlation analysis revealed the fair or moderate negative relationship between liquidity and leverage, i.e. the increase in leverage lead</w:t>
      </w:r>
      <w:r w:rsidR="00E3675A">
        <w:rPr>
          <w:lang w:val="en"/>
        </w:rPr>
        <w:t>s</w:t>
      </w:r>
      <w:r w:rsidRPr="002D4822">
        <w:rPr>
          <w:lang w:val="en"/>
        </w:rPr>
        <w:t xml:space="preserve"> to a decrease in liquidity and vice versa. As previously stated, the negative relationship between leverage and profitability follows the Pecking Order theory, i.e. the companies prefer to support their growth initially through their internal generated resources and, just afterwards, through the stipulation of debts. In this perspective, more a firm is levered, more the insolvency risk increases and the liquidity level drop.</w:t>
      </w:r>
    </w:p>
    <w:p w14:paraId="4E242659" w14:textId="506DA2E4" w:rsidR="002D5A72" w:rsidRDefault="0058313D" w:rsidP="004F6CAB">
      <w:pPr>
        <w:spacing w:line="360" w:lineRule="auto"/>
        <w:jc w:val="both"/>
        <w:rPr>
          <w:lang w:val="en"/>
        </w:rPr>
      </w:pPr>
      <w:r>
        <w:rPr>
          <w:lang w:val="en"/>
        </w:rPr>
        <w:t>A</w:t>
      </w:r>
      <w:r w:rsidRPr="0058313D">
        <w:rPr>
          <w:lang w:val="en"/>
        </w:rPr>
        <w:t xml:space="preserve">lthough most studies support these conclusions, </w:t>
      </w:r>
      <w:r w:rsidR="005544B9">
        <w:rPr>
          <w:lang w:val="en"/>
        </w:rPr>
        <w:t>some</w:t>
      </w:r>
      <w:r w:rsidRPr="0058313D">
        <w:rPr>
          <w:lang w:val="en"/>
        </w:rPr>
        <w:t xml:space="preserve"> </w:t>
      </w:r>
      <w:r>
        <w:rPr>
          <w:lang w:val="en"/>
        </w:rPr>
        <w:t>scholars</w:t>
      </w:r>
      <w:r w:rsidRPr="0058313D">
        <w:rPr>
          <w:lang w:val="en"/>
        </w:rPr>
        <w:t xml:space="preserve"> have found opposite results</w:t>
      </w:r>
      <w:r>
        <w:rPr>
          <w:lang w:val="en"/>
        </w:rPr>
        <w:t xml:space="preserve">. Indeed, </w:t>
      </w:r>
      <w:r w:rsidR="004F6CAB">
        <w:rPr>
          <w:lang w:val="en"/>
        </w:rPr>
        <w:t xml:space="preserve">the already mentioned </w:t>
      </w:r>
      <w:r>
        <w:rPr>
          <w:lang w:val="en"/>
        </w:rPr>
        <w:t xml:space="preserve">Rekha and Mala (2018) noticed a positive association between D/E and profitability for the Indian Cement Industry, and </w:t>
      </w:r>
      <w:proofErr w:type="spellStart"/>
      <w:r>
        <w:rPr>
          <w:lang w:val="en"/>
        </w:rPr>
        <w:t>Hongly</w:t>
      </w:r>
      <w:proofErr w:type="spellEnd"/>
      <w:r>
        <w:rPr>
          <w:lang w:val="en"/>
        </w:rPr>
        <w:t xml:space="preserve">, </w:t>
      </w:r>
      <w:proofErr w:type="spellStart"/>
      <w:r>
        <w:rPr>
          <w:lang w:val="en"/>
        </w:rPr>
        <w:t>Ajorsu</w:t>
      </w:r>
      <w:proofErr w:type="spellEnd"/>
      <w:r>
        <w:rPr>
          <w:lang w:val="en"/>
        </w:rPr>
        <w:t xml:space="preserve"> and </w:t>
      </w:r>
      <w:proofErr w:type="spellStart"/>
      <w:r>
        <w:rPr>
          <w:lang w:val="en"/>
        </w:rPr>
        <w:t>Bakpa</w:t>
      </w:r>
      <w:proofErr w:type="spellEnd"/>
      <w:r>
        <w:rPr>
          <w:lang w:val="en"/>
        </w:rPr>
        <w:t xml:space="preserve"> (2019) discovered the same positive association in Ghana. As stated before, the explanation of why the results differ may derive from several factors. </w:t>
      </w:r>
      <w:r w:rsidR="004F125B">
        <w:rPr>
          <w:lang w:val="en"/>
        </w:rPr>
        <w:t>In addition to the potential macro and micro-environment’s differences between different countries and sectors, even the way of modelling and the variables involved can have a substantial effect on the research’s outcome and significance. The choice of the statistical model may impact on the results</w:t>
      </w:r>
      <w:r w:rsidR="00E3675A">
        <w:rPr>
          <w:lang w:val="en"/>
        </w:rPr>
        <w:t>;</w:t>
      </w:r>
      <w:r w:rsidR="004F125B">
        <w:rPr>
          <w:lang w:val="en"/>
        </w:rPr>
        <w:t xml:space="preserve"> for this reason</w:t>
      </w:r>
      <w:r w:rsidR="00E3675A">
        <w:rPr>
          <w:lang w:val="en"/>
        </w:rPr>
        <w:t>,</w:t>
      </w:r>
      <w:r w:rsidR="004F125B">
        <w:rPr>
          <w:lang w:val="en"/>
        </w:rPr>
        <w:t xml:space="preserve"> the use of </w:t>
      </w:r>
      <w:r w:rsidR="004F125B" w:rsidRPr="004F125B">
        <w:rPr>
          <w:lang w:val="en"/>
        </w:rPr>
        <w:t>additional improved</w:t>
      </w:r>
      <w:r w:rsidR="004F125B">
        <w:rPr>
          <w:lang w:val="en"/>
        </w:rPr>
        <w:t xml:space="preserve"> and more robust</w:t>
      </w:r>
      <w:r w:rsidR="004F125B" w:rsidRPr="004F125B">
        <w:rPr>
          <w:lang w:val="en"/>
        </w:rPr>
        <w:t xml:space="preserve"> models</w:t>
      </w:r>
      <w:r w:rsidR="004F125B">
        <w:rPr>
          <w:lang w:val="en"/>
        </w:rPr>
        <w:t xml:space="preserve"> can </w:t>
      </w:r>
      <w:r w:rsidR="008C7C69">
        <w:rPr>
          <w:lang w:val="en"/>
        </w:rPr>
        <w:t>improve</w:t>
      </w:r>
      <w:r w:rsidR="004F125B">
        <w:rPr>
          <w:lang w:val="en"/>
        </w:rPr>
        <w:t xml:space="preserve"> the reliability of the study (</w:t>
      </w:r>
      <w:r w:rsidR="004F125B" w:rsidRPr="00AD5AE9">
        <w:t xml:space="preserve">Andersson and </w:t>
      </w:r>
      <w:proofErr w:type="spellStart"/>
      <w:r w:rsidR="004F125B" w:rsidRPr="00AD5AE9">
        <w:t>Minnema</w:t>
      </w:r>
      <w:proofErr w:type="spellEnd"/>
      <w:r w:rsidR="004F125B" w:rsidRPr="00AD5AE9">
        <w:t>, 2018</w:t>
      </w:r>
      <w:r w:rsidR="004F125B">
        <w:t>).</w:t>
      </w:r>
    </w:p>
    <w:p w14:paraId="73D15F61" w14:textId="68F155D0" w:rsidR="002D5A72" w:rsidRDefault="00502EE2" w:rsidP="004F6CAB">
      <w:pPr>
        <w:spacing w:line="360" w:lineRule="auto"/>
        <w:jc w:val="both"/>
        <w:rPr>
          <w:lang w:val="en"/>
        </w:rPr>
      </w:pPr>
      <w:r>
        <w:rPr>
          <w:lang w:val="en"/>
        </w:rPr>
        <w:t>In this analysis, to further examine the drivers of profitability, have been incorporate two control variables</w:t>
      </w:r>
      <w:r w:rsidR="006D32C9">
        <w:rPr>
          <w:lang w:val="en"/>
        </w:rPr>
        <w:t xml:space="preserve"> in the regression model</w:t>
      </w:r>
      <w:r>
        <w:rPr>
          <w:lang w:val="en"/>
        </w:rPr>
        <w:t xml:space="preserve">, i.e. Size and Growth Rate. </w:t>
      </w:r>
      <w:r w:rsidR="006D32C9">
        <w:rPr>
          <w:lang w:val="en"/>
        </w:rPr>
        <w:t>The</w:t>
      </w:r>
      <w:r w:rsidR="007811A0">
        <w:rPr>
          <w:lang w:val="en"/>
        </w:rPr>
        <w:t xml:space="preserve"> two</w:t>
      </w:r>
      <w:r w:rsidR="006D32C9">
        <w:rPr>
          <w:lang w:val="en"/>
        </w:rPr>
        <w:t xml:space="preserve"> control variable</w:t>
      </w:r>
      <w:r w:rsidR="007811A0">
        <w:rPr>
          <w:lang w:val="en"/>
        </w:rPr>
        <w:t>s</w:t>
      </w:r>
      <w:r w:rsidR="006D32C9">
        <w:rPr>
          <w:lang w:val="en"/>
        </w:rPr>
        <w:t xml:space="preserve"> showed mixed </w:t>
      </w:r>
      <w:r w:rsidR="006D32C9">
        <w:rPr>
          <w:lang w:val="en"/>
        </w:rPr>
        <w:lastRenderedPageBreak/>
        <w:t xml:space="preserve">results, all of which not significant. </w:t>
      </w:r>
      <w:r w:rsidR="007811A0">
        <w:rPr>
          <w:lang w:val="en"/>
        </w:rPr>
        <w:t>This</w:t>
      </w:r>
      <w:r w:rsidR="005544B9">
        <w:rPr>
          <w:lang w:val="en"/>
        </w:rPr>
        <w:t xml:space="preserve"> outcome</w:t>
      </w:r>
      <w:r w:rsidR="007811A0">
        <w:rPr>
          <w:lang w:val="en"/>
        </w:rPr>
        <w:t xml:space="preserve"> means that the author cannot statistically confirm if exists any association between the </w:t>
      </w:r>
      <w:r w:rsidR="004F6CAB">
        <w:rPr>
          <w:lang w:val="en"/>
        </w:rPr>
        <w:t>airlines</w:t>
      </w:r>
      <w:r w:rsidR="007811A0">
        <w:rPr>
          <w:lang w:val="en"/>
        </w:rPr>
        <w:t>’ profitability and their Size and Growth Rate.</w:t>
      </w:r>
      <w:r w:rsidR="008D1DFB">
        <w:rPr>
          <w:lang w:val="en"/>
        </w:rPr>
        <w:t xml:space="preserve"> The p-values from each equation </w:t>
      </w:r>
      <w:r w:rsidR="008D1DFB" w:rsidRPr="008D1DFB">
        <w:t>analysed</w:t>
      </w:r>
      <w:r w:rsidR="008D1DFB">
        <w:rPr>
          <w:lang w:val="en"/>
        </w:rPr>
        <w:t xml:space="preserve"> always showed high values, which are not significant on a 1% significance level. </w:t>
      </w:r>
      <w:r w:rsidR="000A4514">
        <w:rPr>
          <w:lang w:val="en"/>
        </w:rPr>
        <w:t xml:space="preserve">Numerous scholars have </w:t>
      </w:r>
      <w:r w:rsidR="00406E3A">
        <w:rPr>
          <w:lang w:val="en"/>
        </w:rPr>
        <w:t>incorporated</w:t>
      </w:r>
      <w:r w:rsidR="000A4514">
        <w:rPr>
          <w:lang w:val="en"/>
        </w:rPr>
        <w:t xml:space="preserve"> these variables in their analysis, such as </w:t>
      </w:r>
      <w:proofErr w:type="spellStart"/>
      <w:r w:rsidR="000A4514">
        <w:rPr>
          <w:lang w:val="en"/>
        </w:rPr>
        <w:t>Singapurwoko</w:t>
      </w:r>
      <w:proofErr w:type="spellEnd"/>
      <w:r w:rsidR="000A4514">
        <w:rPr>
          <w:lang w:val="en"/>
        </w:rPr>
        <w:t xml:space="preserve"> and El-Wahid (2011) and Andersson and </w:t>
      </w:r>
      <w:proofErr w:type="spellStart"/>
      <w:r w:rsidR="000A4514">
        <w:rPr>
          <w:lang w:val="en"/>
        </w:rPr>
        <w:t>Minemma</w:t>
      </w:r>
      <w:proofErr w:type="spellEnd"/>
      <w:r w:rsidR="000A4514">
        <w:rPr>
          <w:lang w:val="en"/>
        </w:rPr>
        <w:t xml:space="preserve"> (2018), who found a positive relationship </w:t>
      </w:r>
      <w:r w:rsidR="004E08C2">
        <w:rPr>
          <w:lang w:val="en"/>
        </w:rPr>
        <w:t>between</w:t>
      </w:r>
      <w:r w:rsidR="000A4514">
        <w:rPr>
          <w:lang w:val="en"/>
        </w:rPr>
        <w:t xml:space="preserve"> the size and the firm’s return. </w:t>
      </w:r>
    </w:p>
    <w:p w14:paraId="55F3C8CA" w14:textId="31FA6325" w:rsidR="0092785E" w:rsidRDefault="009A3742" w:rsidP="004F6CAB">
      <w:pPr>
        <w:spacing w:line="360" w:lineRule="auto"/>
        <w:jc w:val="both"/>
        <w:rPr>
          <w:lang w:val="en"/>
        </w:rPr>
      </w:pPr>
      <w:r>
        <w:rPr>
          <w:lang w:val="en"/>
        </w:rPr>
        <w:t xml:space="preserve">When performing the correlation analysis, however, </w:t>
      </w:r>
      <w:r w:rsidRPr="009A3742">
        <w:rPr>
          <w:lang w:val="en"/>
        </w:rPr>
        <w:t>there are slight differences in the results.</w:t>
      </w:r>
      <w:r>
        <w:rPr>
          <w:lang w:val="en"/>
        </w:rPr>
        <w:t xml:space="preserve"> Indeed, while the Growth Rate showed an insignificant positive relationship with both ROI (0.4%) and ROA (2%), the Size produced a negative result, which revealed to be significative just with the ROA. The correlation between Size and ROA measures -0.45, which means that the strength of the relationship between the variables is negative and impact at 45%. </w:t>
      </w:r>
      <w:r w:rsidR="00447039">
        <w:rPr>
          <w:lang w:val="en"/>
        </w:rPr>
        <w:t>T</w:t>
      </w:r>
      <w:r w:rsidR="00447039" w:rsidRPr="00447039">
        <w:rPr>
          <w:lang w:val="en"/>
        </w:rPr>
        <w:t xml:space="preserve">hese results are inconsistent with those shown by the majority of studies which, on the other hand, </w:t>
      </w:r>
      <w:r w:rsidR="00447039">
        <w:rPr>
          <w:lang w:val="en"/>
        </w:rPr>
        <w:t>present</w:t>
      </w:r>
      <w:r w:rsidR="00BA339B">
        <w:rPr>
          <w:lang w:val="en"/>
        </w:rPr>
        <w:t>ed</w:t>
      </w:r>
      <w:r w:rsidR="00447039" w:rsidRPr="00447039">
        <w:rPr>
          <w:lang w:val="en"/>
        </w:rPr>
        <w:t xml:space="preserve"> a positive relationship between the </w:t>
      </w:r>
      <w:r w:rsidR="00D345C0">
        <w:rPr>
          <w:lang w:val="en"/>
        </w:rPr>
        <w:t>two measures</w:t>
      </w:r>
      <w:r w:rsidR="00447039" w:rsidRPr="00447039">
        <w:rPr>
          <w:lang w:val="en"/>
        </w:rPr>
        <w:t>.</w:t>
      </w:r>
      <w:r w:rsidR="00BA339B">
        <w:rPr>
          <w:lang w:val="en"/>
        </w:rPr>
        <w:t xml:space="preserve"> Overall, </w:t>
      </w:r>
      <w:r w:rsidR="00BA339B" w:rsidRPr="00BA339B">
        <w:rPr>
          <w:lang w:val="en"/>
        </w:rPr>
        <w:t>despite this,</w:t>
      </w:r>
      <w:r w:rsidR="00BA339B">
        <w:rPr>
          <w:lang w:val="en"/>
        </w:rPr>
        <w:t xml:space="preserve"> </w:t>
      </w:r>
      <w:r w:rsidR="00BA339B" w:rsidRPr="00BA339B">
        <w:rPr>
          <w:lang w:val="en"/>
        </w:rPr>
        <w:t>if</w:t>
      </w:r>
      <w:r w:rsidR="00D345C0">
        <w:rPr>
          <w:lang w:val="en"/>
        </w:rPr>
        <w:t xml:space="preserve"> we take into consideration</w:t>
      </w:r>
      <w:r w:rsidR="00BA339B">
        <w:rPr>
          <w:lang w:val="en"/>
        </w:rPr>
        <w:t xml:space="preserve"> the outcomes of</w:t>
      </w:r>
      <w:r w:rsidR="00BA339B" w:rsidRPr="00BA339B">
        <w:rPr>
          <w:lang w:val="en"/>
        </w:rPr>
        <w:t xml:space="preserve"> all used models</w:t>
      </w:r>
      <w:r w:rsidR="00D345C0">
        <w:rPr>
          <w:lang w:val="en"/>
        </w:rPr>
        <w:t>,</w:t>
      </w:r>
      <w:r w:rsidR="00BA339B" w:rsidRPr="00BA339B">
        <w:rPr>
          <w:lang w:val="en"/>
        </w:rPr>
        <w:t xml:space="preserve"> this relationship </w:t>
      </w:r>
      <w:r w:rsidR="00B2468C">
        <w:rPr>
          <w:lang w:val="en"/>
        </w:rPr>
        <w:t xml:space="preserve">in this research </w:t>
      </w:r>
      <w:r w:rsidR="00BA339B" w:rsidRPr="00BA339B">
        <w:rPr>
          <w:lang w:val="en"/>
        </w:rPr>
        <w:t>is mostly</w:t>
      </w:r>
      <w:r w:rsidR="00D345C0">
        <w:rPr>
          <w:lang w:val="en"/>
        </w:rPr>
        <w:t xml:space="preserve"> statistically</w:t>
      </w:r>
      <w:r w:rsidR="00BA339B" w:rsidRPr="00BA339B">
        <w:rPr>
          <w:lang w:val="en"/>
        </w:rPr>
        <w:t xml:space="preserve"> insignificant</w:t>
      </w:r>
      <w:r w:rsidR="00D345C0">
        <w:rPr>
          <w:lang w:val="en"/>
        </w:rPr>
        <w:t>.</w:t>
      </w:r>
      <w:r w:rsidR="00BA339B" w:rsidRPr="00BA339B">
        <w:rPr>
          <w:lang w:val="en"/>
        </w:rPr>
        <w:t xml:space="preserve"> </w:t>
      </w:r>
      <w:r w:rsidR="00D345C0">
        <w:rPr>
          <w:lang w:val="en"/>
        </w:rPr>
        <w:t>F</w:t>
      </w:r>
      <w:r w:rsidR="00BA339B" w:rsidRPr="00BA339B">
        <w:rPr>
          <w:lang w:val="en"/>
        </w:rPr>
        <w:t>or this reason</w:t>
      </w:r>
      <w:r w:rsidR="00D345C0">
        <w:rPr>
          <w:lang w:val="en"/>
        </w:rPr>
        <w:t>, the findings reveal that the control variables’ results in this research are not relevant</w:t>
      </w:r>
      <w:r w:rsidR="00103BB7">
        <w:rPr>
          <w:lang w:val="en"/>
        </w:rPr>
        <w:t>;</w:t>
      </w:r>
      <w:r w:rsidR="00D345C0">
        <w:rPr>
          <w:lang w:val="en"/>
        </w:rPr>
        <w:t xml:space="preserve"> and the author argues the possible positive relationship between Size, Growth Rate and Profitability, which </w:t>
      </w:r>
      <w:r w:rsidR="004F6CAB">
        <w:rPr>
          <w:lang w:val="en"/>
        </w:rPr>
        <w:t>could</w:t>
      </w:r>
      <w:r w:rsidR="00D345C0">
        <w:rPr>
          <w:lang w:val="en"/>
        </w:rPr>
        <w:t xml:space="preserve"> be the subject for future studies. </w:t>
      </w:r>
    </w:p>
    <w:p w14:paraId="1B64621F" w14:textId="77777777" w:rsidR="00744C32" w:rsidRDefault="00744C32" w:rsidP="00DB790E">
      <w:pPr>
        <w:spacing w:line="254" w:lineRule="auto"/>
        <w:jc w:val="both"/>
        <w:rPr>
          <w:b/>
          <w:bCs/>
          <w:sz w:val="32"/>
          <w:szCs w:val="32"/>
          <w:lang w:val="en"/>
        </w:rPr>
      </w:pPr>
    </w:p>
    <w:p w14:paraId="13EF6D20" w14:textId="77777777" w:rsidR="00A2330B" w:rsidRDefault="00A2330B" w:rsidP="00DB790E">
      <w:pPr>
        <w:spacing w:line="254" w:lineRule="auto"/>
        <w:jc w:val="both"/>
        <w:rPr>
          <w:b/>
          <w:bCs/>
          <w:sz w:val="32"/>
          <w:szCs w:val="32"/>
          <w:lang w:val="en"/>
        </w:rPr>
      </w:pPr>
    </w:p>
    <w:p w14:paraId="4936B289" w14:textId="77777777" w:rsidR="00A2330B" w:rsidRDefault="00A2330B" w:rsidP="00DB790E">
      <w:pPr>
        <w:spacing w:line="254" w:lineRule="auto"/>
        <w:jc w:val="both"/>
        <w:rPr>
          <w:b/>
          <w:bCs/>
          <w:sz w:val="32"/>
          <w:szCs w:val="32"/>
          <w:lang w:val="en"/>
        </w:rPr>
      </w:pPr>
    </w:p>
    <w:p w14:paraId="177340EC" w14:textId="77777777" w:rsidR="00A2330B" w:rsidRDefault="00A2330B" w:rsidP="00DB790E">
      <w:pPr>
        <w:spacing w:line="254" w:lineRule="auto"/>
        <w:jc w:val="both"/>
        <w:rPr>
          <w:b/>
          <w:bCs/>
          <w:sz w:val="32"/>
          <w:szCs w:val="32"/>
          <w:lang w:val="en"/>
        </w:rPr>
      </w:pPr>
    </w:p>
    <w:p w14:paraId="5FCB1F66" w14:textId="77777777" w:rsidR="00A2330B" w:rsidRDefault="00A2330B" w:rsidP="00DB790E">
      <w:pPr>
        <w:spacing w:line="254" w:lineRule="auto"/>
        <w:jc w:val="both"/>
        <w:rPr>
          <w:b/>
          <w:bCs/>
          <w:sz w:val="32"/>
          <w:szCs w:val="32"/>
          <w:lang w:val="en"/>
        </w:rPr>
      </w:pPr>
    </w:p>
    <w:p w14:paraId="6EAC758B" w14:textId="77777777" w:rsidR="00A2330B" w:rsidRDefault="00A2330B" w:rsidP="00DB790E">
      <w:pPr>
        <w:spacing w:line="254" w:lineRule="auto"/>
        <w:jc w:val="both"/>
        <w:rPr>
          <w:b/>
          <w:bCs/>
          <w:sz w:val="32"/>
          <w:szCs w:val="32"/>
          <w:lang w:val="en"/>
        </w:rPr>
      </w:pPr>
    </w:p>
    <w:p w14:paraId="7B290E6F" w14:textId="77777777" w:rsidR="00A2330B" w:rsidRDefault="00A2330B" w:rsidP="00DB790E">
      <w:pPr>
        <w:spacing w:line="254" w:lineRule="auto"/>
        <w:jc w:val="both"/>
        <w:rPr>
          <w:b/>
          <w:bCs/>
          <w:sz w:val="32"/>
          <w:szCs w:val="32"/>
          <w:lang w:val="en"/>
        </w:rPr>
      </w:pPr>
    </w:p>
    <w:p w14:paraId="4E831060" w14:textId="77777777" w:rsidR="00A2330B" w:rsidRDefault="00A2330B" w:rsidP="00DB790E">
      <w:pPr>
        <w:spacing w:line="254" w:lineRule="auto"/>
        <w:jc w:val="both"/>
        <w:rPr>
          <w:b/>
          <w:bCs/>
          <w:sz w:val="32"/>
          <w:szCs w:val="32"/>
          <w:lang w:val="en"/>
        </w:rPr>
      </w:pPr>
    </w:p>
    <w:p w14:paraId="562E1FD7" w14:textId="77777777" w:rsidR="00A2330B" w:rsidRDefault="00A2330B" w:rsidP="00DB790E">
      <w:pPr>
        <w:spacing w:line="254" w:lineRule="auto"/>
        <w:jc w:val="both"/>
        <w:rPr>
          <w:b/>
          <w:bCs/>
          <w:sz w:val="32"/>
          <w:szCs w:val="32"/>
          <w:lang w:val="en"/>
        </w:rPr>
      </w:pPr>
    </w:p>
    <w:p w14:paraId="074BAA42" w14:textId="77777777" w:rsidR="00A2330B" w:rsidRDefault="00A2330B" w:rsidP="00DB790E">
      <w:pPr>
        <w:spacing w:line="254" w:lineRule="auto"/>
        <w:jc w:val="both"/>
        <w:rPr>
          <w:b/>
          <w:bCs/>
          <w:sz w:val="32"/>
          <w:szCs w:val="32"/>
          <w:lang w:val="en"/>
        </w:rPr>
      </w:pPr>
    </w:p>
    <w:p w14:paraId="37C49E8A" w14:textId="77777777" w:rsidR="00A2330B" w:rsidRDefault="00A2330B" w:rsidP="00DB790E">
      <w:pPr>
        <w:spacing w:line="254" w:lineRule="auto"/>
        <w:jc w:val="both"/>
        <w:rPr>
          <w:b/>
          <w:bCs/>
          <w:sz w:val="32"/>
          <w:szCs w:val="32"/>
          <w:lang w:val="en"/>
        </w:rPr>
      </w:pPr>
    </w:p>
    <w:p w14:paraId="6E4231D7" w14:textId="77777777" w:rsidR="004F6CAB" w:rsidRDefault="004F6CAB" w:rsidP="00DB790E">
      <w:pPr>
        <w:spacing w:line="254" w:lineRule="auto"/>
        <w:jc w:val="both"/>
        <w:rPr>
          <w:b/>
          <w:bCs/>
          <w:sz w:val="32"/>
          <w:szCs w:val="32"/>
          <w:lang w:val="en"/>
        </w:rPr>
      </w:pPr>
    </w:p>
    <w:p w14:paraId="355221E5" w14:textId="0C44C1C2" w:rsidR="007C07DF" w:rsidRPr="00A2330B" w:rsidRDefault="007C07DF" w:rsidP="00A2330B">
      <w:pPr>
        <w:pStyle w:val="Heading1"/>
        <w:spacing w:line="360" w:lineRule="auto"/>
        <w:rPr>
          <w:rFonts w:ascii="Arial" w:hAnsi="Arial" w:cs="Arial"/>
          <w:b/>
          <w:bCs/>
          <w:color w:val="auto"/>
          <w:lang w:val="en"/>
        </w:rPr>
      </w:pPr>
      <w:bookmarkStart w:id="45" w:name="_Toc43473617"/>
      <w:r w:rsidRPr="00A2330B">
        <w:rPr>
          <w:rFonts w:ascii="Arial" w:hAnsi="Arial" w:cs="Arial"/>
          <w:b/>
          <w:bCs/>
          <w:color w:val="auto"/>
          <w:lang w:val="en"/>
        </w:rPr>
        <w:lastRenderedPageBreak/>
        <w:t>Conclusions</w:t>
      </w:r>
      <w:bookmarkEnd w:id="45"/>
    </w:p>
    <w:p w14:paraId="4BB58709" w14:textId="0FEF052D" w:rsidR="007C07DF" w:rsidRPr="007C07DF" w:rsidRDefault="007C07DF" w:rsidP="008E53E4">
      <w:pPr>
        <w:pBdr>
          <w:top w:val="single" w:sz="4" w:space="1" w:color="auto"/>
          <w:bottom w:val="single" w:sz="4" w:space="1" w:color="auto"/>
        </w:pBdr>
        <w:spacing w:line="360" w:lineRule="auto"/>
        <w:jc w:val="both"/>
        <w:rPr>
          <w:i/>
          <w:iCs/>
        </w:rPr>
      </w:pPr>
      <w:r>
        <w:rPr>
          <w:i/>
          <w:iCs/>
          <w:lang w:val="en"/>
        </w:rPr>
        <w:t xml:space="preserve">This chapter aims to </w:t>
      </w:r>
      <w:r w:rsidRPr="007C07DF">
        <w:rPr>
          <w:i/>
          <w:iCs/>
        </w:rPr>
        <w:t>summarise</w:t>
      </w:r>
      <w:r>
        <w:rPr>
          <w:i/>
          <w:iCs/>
          <w:lang w:val="en"/>
        </w:rPr>
        <w:t xml:space="preserve"> the </w:t>
      </w:r>
      <w:r>
        <w:rPr>
          <w:i/>
          <w:iCs/>
        </w:rPr>
        <w:t xml:space="preserve">outcome of the research and to highlight the most </w:t>
      </w:r>
      <w:r w:rsidR="004F26D6">
        <w:rPr>
          <w:i/>
          <w:iCs/>
        </w:rPr>
        <w:t>critical</w:t>
      </w:r>
      <w:r>
        <w:rPr>
          <w:i/>
          <w:iCs/>
        </w:rPr>
        <w:t xml:space="preserve"> aspects.</w:t>
      </w:r>
      <w:r w:rsidR="003C38F6">
        <w:rPr>
          <w:i/>
          <w:iCs/>
        </w:rPr>
        <w:t xml:space="preserve"> </w:t>
      </w:r>
      <w:r w:rsidR="003C38F6" w:rsidRPr="00951118">
        <w:rPr>
          <w:i/>
          <w:iCs/>
        </w:rPr>
        <w:t xml:space="preserve">Lastly, limitations and data shortfall will be presented, </w:t>
      </w:r>
      <w:r w:rsidR="003C38F6" w:rsidRPr="00951118">
        <w:rPr>
          <w:i/>
          <w:iCs/>
        </w:rPr>
        <w:br/>
        <w:t>with a hint of purpose for further study.</w:t>
      </w:r>
    </w:p>
    <w:p w14:paraId="4EC74445" w14:textId="77777777" w:rsidR="00A2330B" w:rsidRDefault="00A2330B" w:rsidP="00DB790E">
      <w:pPr>
        <w:spacing w:line="254" w:lineRule="auto"/>
        <w:jc w:val="both"/>
        <w:rPr>
          <w:b/>
          <w:bCs/>
          <w:sz w:val="28"/>
          <w:szCs w:val="28"/>
        </w:rPr>
      </w:pPr>
    </w:p>
    <w:p w14:paraId="6B2F5D13" w14:textId="6F9F5686" w:rsidR="002D5A72" w:rsidRPr="00A2330B" w:rsidRDefault="00AD6BC4" w:rsidP="00A2330B">
      <w:pPr>
        <w:pStyle w:val="Heading2"/>
        <w:spacing w:line="480" w:lineRule="auto"/>
        <w:rPr>
          <w:rFonts w:ascii="Arial" w:hAnsi="Arial" w:cs="Arial"/>
          <w:b/>
          <w:bCs/>
        </w:rPr>
      </w:pPr>
      <w:bookmarkStart w:id="46" w:name="_Toc43473618"/>
      <w:r w:rsidRPr="00A2330B">
        <w:rPr>
          <w:rFonts w:ascii="Arial" w:hAnsi="Arial" w:cs="Arial"/>
          <w:b/>
          <w:bCs/>
          <w:color w:val="auto"/>
        </w:rPr>
        <w:t>Conclusions of the research</w:t>
      </w:r>
      <w:bookmarkEnd w:id="46"/>
    </w:p>
    <w:p w14:paraId="1DBE7282" w14:textId="35AD41BD" w:rsidR="0092785E" w:rsidRDefault="00AD6BC4" w:rsidP="008E53E4">
      <w:pPr>
        <w:spacing w:line="360" w:lineRule="auto"/>
        <w:jc w:val="both"/>
      </w:pPr>
      <w:r>
        <w:t xml:space="preserve">The main purpose of this study was to examine </w:t>
      </w:r>
      <w:r w:rsidR="009E487E">
        <w:t>the effect of</w:t>
      </w:r>
      <w:r>
        <w:t xml:space="preserve"> liquidity and </w:t>
      </w:r>
      <w:r w:rsidR="00140445">
        <w:t>capital structure</w:t>
      </w:r>
      <w:r>
        <w:t xml:space="preserve"> </w:t>
      </w:r>
      <w:r w:rsidR="009E487E">
        <w:t>on the financial performance</w:t>
      </w:r>
      <w:r>
        <w:t xml:space="preserve"> </w:t>
      </w:r>
      <w:r w:rsidR="009E487E">
        <w:t>of</w:t>
      </w:r>
      <w:r>
        <w:t xml:space="preserve"> the European Airline sector. The research used data from five worldwide operating airlines based in Europe for the period 2014-2019</w:t>
      </w:r>
      <w:r w:rsidR="009A6747">
        <w:t>.</w:t>
      </w:r>
      <w:r w:rsidR="00337284">
        <w:t xml:space="preserve"> </w:t>
      </w:r>
      <w:r w:rsidR="00CF3934">
        <w:t xml:space="preserve">The fundamental motivation for involving both liquidity and leverage as profitability’s determinants </w:t>
      </w:r>
      <w:r w:rsidR="007A0958">
        <w:t xml:space="preserve">lies in the </w:t>
      </w:r>
      <w:r w:rsidR="007C28DC">
        <w:t xml:space="preserve">many formulated theories on </w:t>
      </w:r>
      <w:r w:rsidR="00373B81">
        <w:t xml:space="preserve">the drivers of profitability, where capital structure and liquidity are regularly mentioned. The </w:t>
      </w:r>
      <w:r w:rsidR="00A8653B">
        <w:t xml:space="preserve">main </w:t>
      </w:r>
      <w:r w:rsidR="00373B81">
        <w:t xml:space="preserve">chosen theories for this research </w:t>
      </w:r>
      <w:r w:rsidR="008E53E4">
        <w:t>were</w:t>
      </w:r>
      <w:r w:rsidR="00373B81">
        <w:t xml:space="preserve"> the </w:t>
      </w:r>
      <w:r w:rsidR="00373B81" w:rsidRPr="00A8653B">
        <w:rPr>
          <w:i/>
          <w:iCs/>
        </w:rPr>
        <w:t>Liquidity Preference Theory</w:t>
      </w:r>
      <w:r w:rsidR="00373B81">
        <w:t xml:space="preserve"> (</w:t>
      </w:r>
      <w:r w:rsidR="00A8653B">
        <w:t>Keynes, 1936</w:t>
      </w:r>
      <w:r w:rsidR="00A8653B" w:rsidRPr="00A8653B">
        <w:rPr>
          <w:i/>
          <w:iCs/>
        </w:rPr>
        <w:t>), the Irrelevance of Capital Structure</w:t>
      </w:r>
      <w:r w:rsidR="00A8653B">
        <w:t xml:space="preserve"> and its revisiting (Modigliani and Millers, 1958/1963), </w:t>
      </w:r>
      <w:r w:rsidR="00A8653B" w:rsidRPr="00A8653B">
        <w:rPr>
          <w:i/>
          <w:iCs/>
        </w:rPr>
        <w:t>The Trade-Off Theory</w:t>
      </w:r>
      <w:r w:rsidR="00A8653B">
        <w:t xml:space="preserve"> (Myers, 1984) and the </w:t>
      </w:r>
      <w:r w:rsidR="00A8653B" w:rsidRPr="00A8653B">
        <w:rPr>
          <w:i/>
          <w:iCs/>
        </w:rPr>
        <w:t>Pecking Order Theory</w:t>
      </w:r>
      <w:r w:rsidR="00A8653B">
        <w:t xml:space="preserve"> (Myers and </w:t>
      </w:r>
      <w:proofErr w:type="spellStart"/>
      <w:r w:rsidR="00A8653B">
        <w:t>Majluf</w:t>
      </w:r>
      <w:proofErr w:type="spellEnd"/>
      <w:r w:rsidR="00A8653B">
        <w:t xml:space="preserve">, 1984). </w:t>
      </w:r>
      <w:r w:rsidR="002F78B8">
        <w:t xml:space="preserve">The measures considered in the analysis </w:t>
      </w:r>
      <w:r w:rsidR="008E53E4">
        <w:t>were</w:t>
      </w:r>
      <w:r w:rsidR="002F78B8">
        <w:t xml:space="preserve"> ROI and ROA as profitability’s variables, CR and QR as liquidity</w:t>
      </w:r>
      <w:r w:rsidR="008D42EE">
        <w:t>’s variables</w:t>
      </w:r>
      <w:r w:rsidR="002F78B8">
        <w:t>, D/E and D/C as leverage</w:t>
      </w:r>
      <w:r w:rsidR="008D42EE">
        <w:t>’s variables</w:t>
      </w:r>
      <w:r w:rsidR="002F78B8">
        <w:t xml:space="preserve"> and, as control variables, Size and Growth Rate </w:t>
      </w:r>
      <w:r w:rsidR="008E53E4">
        <w:t>were</w:t>
      </w:r>
      <w:r w:rsidR="002F78B8">
        <w:t xml:space="preserve"> mentioned. </w:t>
      </w:r>
      <w:r w:rsidR="008D42EE">
        <w:t xml:space="preserve">For the empirical evaluation of their relationship, two statistical techniques have been used, i.e. the Pearson Correlation analysis and the Multiple Regression analysis. </w:t>
      </w:r>
    </w:p>
    <w:p w14:paraId="6B52ECDA" w14:textId="3BC2C0ED" w:rsidR="00541DE1" w:rsidRDefault="00140445" w:rsidP="008E53E4">
      <w:pPr>
        <w:spacing w:line="360" w:lineRule="auto"/>
        <w:jc w:val="both"/>
      </w:pPr>
      <w:r>
        <w:t xml:space="preserve">The results </w:t>
      </w:r>
      <w:r w:rsidR="004F1A9F">
        <w:t xml:space="preserve">proved that </w:t>
      </w:r>
      <w:r w:rsidR="004F1A9F" w:rsidRPr="00541DE1">
        <w:rPr>
          <w:b/>
          <w:bCs/>
          <w:i/>
          <w:iCs/>
        </w:rPr>
        <w:t>liquidity</w:t>
      </w:r>
      <w:r w:rsidR="004F1A9F">
        <w:t xml:space="preserve"> has a</w:t>
      </w:r>
      <w:r w:rsidR="004F1A9F" w:rsidRPr="00541DE1">
        <w:rPr>
          <w:b/>
          <w:bCs/>
          <w:i/>
          <w:iCs/>
        </w:rPr>
        <w:t xml:space="preserve"> significant</w:t>
      </w:r>
      <w:r w:rsidR="004F26D6">
        <w:rPr>
          <w:b/>
          <w:bCs/>
          <w:i/>
          <w:iCs/>
        </w:rPr>
        <w:t xml:space="preserve"> positive</w:t>
      </w:r>
      <w:r w:rsidR="004F1A9F">
        <w:t xml:space="preserve"> effect on</w:t>
      </w:r>
      <w:r w:rsidR="008E53E4">
        <w:t xml:space="preserve"> European</w:t>
      </w:r>
      <w:r w:rsidR="00541DE1">
        <w:t xml:space="preserve"> </w:t>
      </w:r>
      <w:r w:rsidR="008E53E4">
        <w:t>airlines</w:t>
      </w:r>
      <w:r w:rsidR="00541DE1">
        <w:t>’</w:t>
      </w:r>
      <w:r w:rsidR="004F1A9F">
        <w:t xml:space="preserve"> financial performance, revealing that the higher is the liquidity of the business, the higher is its profitability. </w:t>
      </w:r>
      <w:r w:rsidR="00541DE1">
        <w:t>This outcome underlines that companies</w:t>
      </w:r>
      <w:r w:rsidR="004F26D6">
        <w:t>,</w:t>
      </w:r>
      <w:r w:rsidR="00541DE1">
        <w:t xml:space="preserve"> operating in the European airline field</w:t>
      </w:r>
      <w:r w:rsidR="004F26D6">
        <w:t>,</w:t>
      </w:r>
      <w:r w:rsidR="00541DE1">
        <w:t xml:space="preserve"> that ar</w:t>
      </w:r>
      <w:r w:rsidR="004F26D6">
        <w:t>e</w:t>
      </w:r>
      <w:r w:rsidR="00541DE1">
        <w:t xml:space="preserve"> able to meet their short-term liabilities are likely to improve their financial performances and to increase the shareholders’ worth. Airline companies are required to maintain a certain level of liquidity in order to cover their short-term obligations, to prevent unexpected problems and, overall, to maintain their financial stability. </w:t>
      </w:r>
      <w:r w:rsidR="00CF20BC">
        <w:t>The inventory, on its side, did</w:t>
      </w:r>
      <w:r w:rsidR="004F26D6">
        <w:t xml:space="preserve"> not</w:t>
      </w:r>
      <w:r w:rsidR="00CF20BC">
        <w:t xml:space="preserve"> show a significant impact due</w:t>
      </w:r>
      <w:r w:rsidR="004F26D6">
        <w:t xml:space="preserve"> to</w:t>
      </w:r>
      <w:r w:rsidR="00CF20BC">
        <w:t xml:space="preserve"> its minimum volume, as the companies considered mainly supply services and not products. As sales growth, the financial manager should be aware of the necessity to invest more in current assets, </w:t>
      </w:r>
      <w:r w:rsidR="00BA6B80">
        <w:t>performing</w:t>
      </w:r>
      <w:r w:rsidR="00CF20BC">
        <w:t xml:space="preserve"> a moderate current assets policy, which fall</w:t>
      </w:r>
      <w:r w:rsidR="00113269">
        <w:t>s</w:t>
      </w:r>
      <w:r w:rsidR="00CF20BC">
        <w:t xml:space="preserve"> between the aggressive and conservative policies. </w:t>
      </w:r>
      <w:r w:rsidR="0006021D">
        <w:t xml:space="preserve">Implement a balance of current assents/fixed assets allows to reduce the risks and </w:t>
      </w:r>
      <w:r w:rsidR="008E53E4">
        <w:t xml:space="preserve">to </w:t>
      </w:r>
      <w:r w:rsidR="0006021D">
        <w:t>reach a satisfying level of liquidity.</w:t>
      </w:r>
      <w:r w:rsidR="0060582C">
        <w:t xml:space="preserve"> </w:t>
      </w:r>
      <w:r w:rsidR="00113269">
        <w:t>Airlines companies in Europe should, therefore, establish a strategy on profit maximisation while preserving liquidity.</w:t>
      </w:r>
    </w:p>
    <w:p w14:paraId="1DA27258" w14:textId="1E81031E" w:rsidR="00140445" w:rsidRDefault="00541DE1" w:rsidP="008E53E4">
      <w:pPr>
        <w:spacing w:line="360" w:lineRule="auto"/>
        <w:jc w:val="both"/>
      </w:pPr>
      <w:r>
        <w:lastRenderedPageBreak/>
        <w:t>A further</w:t>
      </w:r>
      <w:r w:rsidR="00FD52B3">
        <w:t xml:space="preserve"> focus of the</w:t>
      </w:r>
      <w:r>
        <w:t xml:space="preserve"> study </w:t>
      </w:r>
      <w:r w:rsidR="00FD52B3">
        <w:t>was</w:t>
      </w:r>
      <w:r>
        <w:t xml:space="preserve"> </w:t>
      </w:r>
      <w:r w:rsidR="00FD52B3">
        <w:t xml:space="preserve">the role of </w:t>
      </w:r>
      <w:r w:rsidR="00FD52B3" w:rsidRPr="00FD52B3">
        <w:rPr>
          <w:b/>
          <w:bCs/>
          <w:i/>
          <w:iCs/>
        </w:rPr>
        <w:t>leverage</w:t>
      </w:r>
      <w:r w:rsidR="00FD52B3">
        <w:t xml:space="preserve">, </w:t>
      </w:r>
      <w:r w:rsidR="00EA0DE4">
        <w:t xml:space="preserve">the </w:t>
      </w:r>
      <w:r w:rsidR="00323191">
        <w:t>results</w:t>
      </w:r>
      <w:r w:rsidR="00EA0DE4">
        <w:t xml:space="preserve"> of which showed that</w:t>
      </w:r>
      <w:r w:rsidR="00744C32">
        <w:t>, overall,</w:t>
      </w:r>
      <w:r w:rsidR="00EA0DE4">
        <w:t xml:space="preserve"> it has a</w:t>
      </w:r>
      <w:r w:rsidR="00EA0DE4">
        <w:rPr>
          <w:b/>
          <w:bCs/>
          <w:i/>
          <w:iCs/>
        </w:rPr>
        <w:t xml:space="preserve"> significant</w:t>
      </w:r>
      <w:r w:rsidR="004F26D6">
        <w:rPr>
          <w:b/>
          <w:bCs/>
          <w:i/>
          <w:iCs/>
        </w:rPr>
        <w:t xml:space="preserve"> negative</w:t>
      </w:r>
      <w:r w:rsidR="00EA0DE4">
        <w:rPr>
          <w:b/>
          <w:bCs/>
          <w:i/>
          <w:iCs/>
        </w:rPr>
        <w:t xml:space="preserve"> </w:t>
      </w:r>
      <w:r w:rsidR="00EA0DE4">
        <w:t xml:space="preserve">relationship with the profitability. </w:t>
      </w:r>
      <w:r w:rsidR="00744C32">
        <w:t xml:space="preserve">D/E and D/C ratios presented both a negative relationship with the profit in both statistical models used, even if the latter resulted not significant in the regression analysis. </w:t>
      </w:r>
      <w:r w:rsidR="00EA0DE4">
        <w:t xml:space="preserve">Consequently, airlines companies in Europe are more profitable if they have a lower degree of leverage. This outcome implies that airlines companies, </w:t>
      </w:r>
      <w:r w:rsidR="004F26D6">
        <w:t>to</w:t>
      </w:r>
      <w:r w:rsidR="00EA0DE4">
        <w:t xml:space="preserve"> support their own development and achieve higher profitability, should primarily use their internal</w:t>
      </w:r>
      <w:r w:rsidR="008E53E4">
        <w:t>ly</w:t>
      </w:r>
      <w:r w:rsidR="00EA0DE4">
        <w:t xml:space="preserve"> generated funds and, just afterwards, opt for the use of debts.</w:t>
      </w:r>
      <w:r w:rsidR="008E3F54">
        <w:t xml:space="preserve"> </w:t>
      </w:r>
      <w:r w:rsidR="008E3F54" w:rsidRPr="002D4822">
        <w:rPr>
          <w:lang w:val="en"/>
        </w:rPr>
        <w:t>Further, the correlation analysis revealed the fair or moderate negative relationship between liquidity and leverage</w:t>
      </w:r>
      <w:r w:rsidR="004F26D6">
        <w:rPr>
          <w:lang w:val="en"/>
        </w:rPr>
        <w:t xml:space="preserve"> moreover</w:t>
      </w:r>
      <w:r w:rsidR="008E3F54" w:rsidRPr="002D4822">
        <w:rPr>
          <w:lang w:val="en"/>
        </w:rPr>
        <w:t>,</w:t>
      </w:r>
      <w:r w:rsidR="00EA0DE4">
        <w:t xml:space="preserve"> </w:t>
      </w:r>
      <w:r w:rsidR="008E3F54">
        <w:t>t</w:t>
      </w:r>
      <w:r w:rsidR="00323191">
        <w:t>hus</w:t>
      </w:r>
      <w:r w:rsidR="008E3F54">
        <w:t xml:space="preserve"> supporting that</w:t>
      </w:r>
      <w:r w:rsidR="00323191">
        <w:t xml:space="preserve"> the results of the analysis are in line with the Pecking Order Theory (</w:t>
      </w:r>
      <w:r w:rsidR="00323191" w:rsidRPr="00323191">
        <w:t xml:space="preserve">Myers and </w:t>
      </w:r>
      <w:proofErr w:type="spellStart"/>
      <w:r w:rsidR="00323191" w:rsidRPr="00323191">
        <w:t>Majluf</w:t>
      </w:r>
      <w:proofErr w:type="spellEnd"/>
      <w:r w:rsidR="00323191">
        <w:t xml:space="preserve">, </w:t>
      </w:r>
      <w:r w:rsidR="00323191" w:rsidRPr="00323191">
        <w:t>1984</w:t>
      </w:r>
      <w:r w:rsidR="00323191">
        <w:t>)</w:t>
      </w:r>
      <w:r w:rsidR="00EC33E2">
        <w:t>.</w:t>
      </w:r>
      <w:r w:rsidR="00744C32">
        <w:t xml:space="preserve"> </w:t>
      </w:r>
    </w:p>
    <w:p w14:paraId="7B611288" w14:textId="45BE230D" w:rsidR="00B1034D" w:rsidRPr="008E53E4" w:rsidRDefault="00495F8C" w:rsidP="008E53E4">
      <w:pPr>
        <w:spacing w:line="360" w:lineRule="auto"/>
        <w:jc w:val="both"/>
      </w:pPr>
      <w:r w:rsidRPr="00390BFE">
        <w:rPr>
          <w:b/>
          <w:bCs/>
          <w:i/>
          <w:iCs/>
        </w:rPr>
        <w:t>Size</w:t>
      </w:r>
      <w:r>
        <w:t xml:space="preserve"> and </w:t>
      </w:r>
      <w:r w:rsidRPr="00390BFE">
        <w:rPr>
          <w:b/>
          <w:bCs/>
          <w:i/>
          <w:iCs/>
        </w:rPr>
        <w:t xml:space="preserve">Growth </w:t>
      </w:r>
      <w:r w:rsidR="00390BFE" w:rsidRPr="00390BFE">
        <w:rPr>
          <w:b/>
          <w:bCs/>
          <w:i/>
          <w:iCs/>
        </w:rPr>
        <w:t>R</w:t>
      </w:r>
      <w:r w:rsidRPr="00390BFE">
        <w:rPr>
          <w:b/>
          <w:bCs/>
          <w:i/>
          <w:iCs/>
        </w:rPr>
        <w:t>ate</w:t>
      </w:r>
      <w:r>
        <w:t xml:space="preserve"> have been included as other variables of profitability, </w:t>
      </w:r>
      <w:r w:rsidRPr="00495F8C">
        <w:t>although</w:t>
      </w:r>
      <w:r>
        <w:t xml:space="preserve"> their values were </w:t>
      </w:r>
      <w:r w:rsidRPr="00390BFE">
        <w:rPr>
          <w:b/>
          <w:bCs/>
          <w:i/>
          <w:iCs/>
        </w:rPr>
        <w:t>not significant</w:t>
      </w:r>
      <w:r>
        <w:t xml:space="preserve"> in both statistical models. The only exception is the Size that showed in the correlation analysis a moderate negative significant relationship just with the Return on Asset. This</w:t>
      </w:r>
      <w:r w:rsidR="004F26D6">
        <w:t xml:space="preserve"> result</w:t>
      </w:r>
      <w:r>
        <w:t xml:space="preserve"> implies that airlines </w:t>
      </w:r>
      <w:r w:rsidRPr="00495F8C">
        <w:t>wh</w:t>
      </w:r>
      <w:r w:rsidR="004F26D6">
        <w:t>ich</w:t>
      </w:r>
      <w:r w:rsidRPr="00495F8C">
        <w:t xml:space="preserve"> own multiple aircraft</w:t>
      </w:r>
      <w:r>
        <w:t xml:space="preserve"> may not perform well in generating revenue. However, </w:t>
      </w:r>
      <w:r w:rsidRPr="00495F8C">
        <w:t>since all the other results on this variable are insignificant,</w:t>
      </w:r>
      <w:r>
        <w:t xml:space="preserve"> the corresponding value deriving from the </w:t>
      </w:r>
      <w:r w:rsidRPr="008E53E4">
        <w:t xml:space="preserve">correlation analysis is not reliable enough to claim this negative relationship. </w:t>
      </w:r>
    </w:p>
    <w:p w14:paraId="0B06AE1C" w14:textId="4F2B51AF" w:rsidR="0070637B" w:rsidRPr="008E53E4" w:rsidRDefault="002F7C86" w:rsidP="008E53E4">
      <w:pPr>
        <w:spacing w:line="360" w:lineRule="auto"/>
        <w:jc w:val="both"/>
      </w:pPr>
      <w:r w:rsidRPr="008E53E4">
        <w:t xml:space="preserve">This study’s findings are a practical contribution </w:t>
      </w:r>
      <w:r w:rsidR="004F26D6" w:rsidRPr="008E53E4">
        <w:t>to</w:t>
      </w:r>
      <w:r w:rsidRPr="008E53E4">
        <w:t xml:space="preserve"> airlines’ managers that, perhaps, never considered</w:t>
      </w:r>
      <w:r w:rsidR="004F26D6" w:rsidRPr="008E53E4">
        <w:t xml:space="preserve"> </w:t>
      </w:r>
      <w:r w:rsidRPr="008E53E4">
        <w:t>the use of liquidity and capital structure in profit’s maximisation</w:t>
      </w:r>
      <w:r w:rsidR="004F26D6" w:rsidRPr="008E53E4">
        <w:t xml:space="preserve"> strategically</w:t>
      </w:r>
      <w:r w:rsidRPr="008E53E4">
        <w:t>. These results could assist managers in their decision</w:t>
      </w:r>
      <w:r w:rsidR="004F26D6" w:rsidRPr="008E53E4">
        <w:t>-</w:t>
      </w:r>
      <w:r w:rsidRPr="008E53E4">
        <w:t>making process</w:t>
      </w:r>
      <w:r w:rsidR="004F26D6" w:rsidRPr="008E53E4">
        <w:t>;</w:t>
      </w:r>
      <w:r w:rsidRPr="008E53E4">
        <w:t xml:space="preserve"> moreover, b</w:t>
      </w:r>
      <w:r w:rsidR="0070637B" w:rsidRPr="008E53E4">
        <w:t xml:space="preserve">ased on the findings of this study, the following suggestions are made: </w:t>
      </w:r>
      <w:r w:rsidR="00432DF2" w:rsidRPr="008E53E4">
        <w:t>due</w:t>
      </w:r>
      <w:r w:rsidR="004F26D6" w:rsidRPr="008E53E4">
        <w:t xml:space="preserve"> to</w:t>
      </w:r>
      <w:r w:rsidR="00432DF2" w:rsidRPr="008E53E4">
        <w:t xml:space="preserve"> the negative impact that the capital structure showed on the financial performance, wise use of the debt/equity’s combination is suggested to the managers of the a</w:t>
      </w:r>
      <w:r w:rsidR="004F26D6" w:rsidRPr="008E53E4">
        <w:t>viation</w:t>
      </w:r>
      <w:r w:rsidR="00432DF2" w:rsidRPr="008E53E4">
        <w:t xml:space="preserve"> sector. It is preferable, in companies’ financing, to initially use the internal</w:t>
      </w:r>
      <w:r w:rsidR="004F26D6" w:rsidRPr="008E53E4">
        <w:t>ly</w:t>
      </w:r>
      <w:r w:rsidR="00432DF2" w:rsidRPr="008E53E4">
        <w:t xml:space="preserve"> generated funds and just afterwards to </w:t>
      </w:r>
      <w:r w:rsidR="00A23148" w:rsidRPr="008E53E4">
        <w:t>adopt</w:t>
      </w:r>
      <w:r w:rsidR="00432DF2" w:rsidRPr="008E53E4">
        <w:t xml:space="preserve"> debts financing.</w:t>
      </w:r>
      <w:r w:rsidR="00582810" w:rsidRPr="008E53E4">
        <w:t xml:space="preserve"> Excessive leverage can, rather than maximise shareholders’ worth, bring adverse consequences on business’ performance.</w:t>
      </w:r>
      <w:r w:rsidR="00432DF2" w:rsidRPr="008E53E4">
        <w:t xml:space="preserve"> The capital structure should</w:t>
      </w:r>
      <w:r w:rsidR="00582810" w:rsidRPr="008E53E4">
        <w:t>, therefore,</w:t>
      </w:r>
      <w:r w:rsidR="00432DF2" w:rsidRPr="008E53E4">
        <w:t xml:space="preserve"> ensure a combination that balances profit maximization and goals’ achievement with risk minimization</w:t>
      </w:r>
      <w:r w:rsidR="006C5483" w:rsidRPr="008E53E4">
        <w:t xml:space="preserve">, in order to maintain financial stability and to enhance value for the company. </w:t>
      </w:r>
    </w:p>
    <w:p w14:paraId="5D1183FA" w14:textId="11C13A04" w:rsidR="00B543CC" w:rsidRPr="008E53E4" w:rsidRDefault="002F7C86" w:rsidP="008E53E4">
      <w:pPr>
        <w:spacing w:line="360" w:lineRule="auto"/>
        <w:jc w:val="both"/>
      </w:pPr>
      <w:r w:rsidRPr="008E53E4">
        <w:t xml:space="preserve">Secondly, </w:t>
      </w:r>
      <w:r w:rsidR="003347BD" w:rsidRPr="008E53E4">
        <w:t xml:space="preserve">it is recommended to implement a moderate current asset/fixed asset policy, adopting a prudent liquidity approach. Managers of airline companies should ensure that the level of </w:t>
      </w:r>
      <w:r w:rsidR="004F26D6" w:rsidRPr="008E53E4">
        <w:t xml:space="preserve">the </w:t>
      </w:r>
      <w:r w:rsidR="003347BD" w:rsidRPr="008E53E4">
        <w:t xml:space="preserve">current asset can honour short-term obligations, maintaining an ideal level of liquidity.  </w:t>
      </w:r>
      <w:r w:rsidR="004F26D6" w:rsidRPr="008E53E4">
        <w:t>Besides</w:t>
      </w:r>
      <w:r w:rsidR="00A23148" w:rsidRPr="008E53E4">
        <w:t>, the firms should preserve liquidity while maximising the financial performance, holding</w:t>
      </w:r>
      <w:r w:rsidR="00510D97" w:rsidRPr="008E53E4">
        <w:t xml:space="preserve"> enough</w:t>
      </w:r>
      <w:r w:rsidR="00A23148" w:rsidRPr="008E53E4">
        <w:t xml:space="preserve"> liquid assets to preserve the stability in the scenario of unexpected expenditures and emergencies. The results showed</w:t>
      </w:r>
      <w:r w:rsidR="00510D97" w:rsidRPr="008E53E4">
        <w:t>,</w:t>
      </w:r>
      <w:r w:rsidR="00A23148" w:rsidRPr="008E53E4">
        <w:t xml:space="preserve"> as well</w:t>
      </w:r>
      <w:r w:rsidR="00510D97" w:rsidRPr="008E53E4">
        <w:t>,</w:t>
      </w:r>
      <w:r w:rsidR="00A23148" w:rsidRPr="008E53E4">
        <w:t xml:space="preserve"> </w:t>
      </w:r>
      <w:r w:rsidR="00FF217C" w:rsidRPr="008E53E4">
        <w:t xml:space="preserve">how higher liquidity can affect the capital structure, leading to a decrease in the leverage. </w:t>
      </w:r>
    </w:p>
    <w:p w14:paraId="47B49340" w14:textId="5A1791B7" w:rsidR="002D5A72" w:rsidRDefault="00B543CC" w:rsidP="008E53E4">
      <w:pPr>
        <w:spacing w:line="360" w:lineRule="auto"/>
        <w:jc w:val="both"/>
      </w:pPr>
      <w:r w:rsidRPr="008E53E4">
        <w:lastRenderedPageBreak/>
        <w:t>Thus, the study emphasizes the essentiality of the working capital and capital structure’s management, acknowledging</w:t>
      </w:r>
      <w:r w:rsidR="00C86F96" w:rsidRPr="008E53E4">
        <w:t xml:space="preserve"> the importance</w:t>
      </w:r>
      <w:r w:rsidRPr="008E53E4">
        <w:t xml:space="preserve"> </w:t>
      </w:r>
      <w:r w:rsidR="00C86F96" w:rsidRPr="008E53E4">
        <w:t xml:space="preserve">of a </w:t>
      </w:r>
      <w:r w:rsidR="004F26D6" w:rsidRPr="008E53E4">
        <w:t>proper</w:t>
      </w:r>
      <w:r w:rsidR="00C86F96" w:rsidRPr="008E53E4">
        <w:t xml:space="preserve"> capital</w:t>
      </w:r>
      <w:r w:rsidR="00B1034D" w:rsidRPr="008E53E4">
        <w:t xml:space="preserve"> </w:t>
      </w:r>
      <w:r w:rsidR="00C86F96" w:rsidRPr="008E53E4">
        <w:t>administration</w:t>
      </w:r>
      <w:r w:rsidR="00B1034D" w:rsidRPr="008E53E4">
        <w:t xml:space="preserve"> </w:t>
      </w:r>
      <w:r w:rsidR="00C86F96" w:rsidRPr="008E53E4">
        <w:t>in</w:t>
      </w:r>
      <w:r w:rsidR="00B1034D" w:rsidRPr="008E53E4">
        <w:t xml:space="preserve"> the</w:t>
      </w:r>
      <w:r w:rsidR="008E53E4" w:rsidRPr="008E53E4">
        <w:t xml:space="preserve"> European</w:t>
      </w:r>
      <w:r w:rsidR="00B1034D" w:rsidRPr="008E53E4">
        <w:t xml:space="preserve"> airline sector</w:t>
      </w:r>
      <w:r w:rsidR="00C86F96" w:rsidRPr="008E53E4">
        <w:t>.</w:t>
      </w:r>
    </w:p>
    <w:p w14:paraId="48240356" w14:textId="77777777" w:rsidR="00A2330B" w:rsidRDefault="00A2330B" w:rsidP="00DB790E">
      <w:pPr>
        <w:spacing w:line="254" w:lineRule="auto"/>
        <w:jc w:val="both"/>
        <w:rPr>
          <w:b/>
          <w:bCs/>
          <w:sz w:val="28"/>
          <w:szCs w:val="28"/>
        </w:rPr>
      </w:pPr>
    </w:p>
    <w:p w14:paraId="085A2D67" w14:textId="39713C53" w:rsidR="002D4822" w:rsidRPr="00C2276C" w:rsidRDefault="00510D97" w:rsidP="00A2330B">
      <w:pPr>
        <w:pStyle w:val="Heading2"/>
        <w:spacing w:line="480" w:lineRule="auto"/>
        <w:rPr>
          <w:rFonts w:ascii="Arial" w:hAnsi="Arial" w:cs="Arial"/>
          <w:b/>
          <w:bCs/>
          <w:color w:val="auto"/>
        </w:rPr>
      </w:pPr>
      <w:bookmarkStart w:id="47" w:name="_Toc43473619"/>
      <w:r w:rsidRPr="00C2276C">
        <w:rPr>
          <w:rFonts w:ascii="Arial" w:hAnsi="Arial" w:cs="Arial"/>
          <w:b/>
          <w:bCs/>
          <w:color w:val="auto"/>
        </w:rPr>
        <w:t>Critique of used sources and l</w:t>
      </w:r>
      <w:r w:rsidR="002D4822" w:rsidRPr="00C2276C">
        <w:rPr>
          <w:rFonts w:ascii="Arial" w:hAnsi="Arial" w:cs="Arial"/>
          <w:b/>
          <w:bCs/>
          <w:color w:val="auto"/>
        </w:rPr>
        <w:t>imitations of the study</w:t>
      </w:r>
      <w:bookmarkEnd w:id="47"/>
    </w:p>
    <w:p w14:paraId="767049E2" w14:textId="29272113" w:rsidR="002F3977" w:rsidRPr="00C2276C" w:rsidRDefault="00510D97" w:rsidP="008D0C88">
      <w:pPr>
        <w:spacing w:line="360" w:lineRule="auto"/>
      </w:pPr>
      <w:r w:rsidRPr="00C2276C">
        <w:t>The present research is confined only to the five major European Airlines companies operating worldwide.</w:t>
      </w:r>
      <w:r w:rsidR="002F3977" w:rsidRPr="00C2276C">
        <w:t xml:space="preserve"> The financial data used in the study are extracted from the official annual report of the companies analysed and from financial papers, for this reason, the findings are based on secondary data, which accuracy, quality and reliability may not be meticulous.  Consequently, the period analysed represent six years only, and the sample of companies is limited at five </w:t>
      </w:r>
      <w:r w:rsidR="008D0C88">
        <w:t>airlines</w:t>
      </w:r>
      <w:r w:rsidR="002F3977" w:rsidRPr="00C2276C">
        <w:t>. For this reason, given the large number of airlines operating in the aviation sector, the results deriving from this study may not accurately represent the whole sector. Furthermore, the companies’ sample considers only European airlines; therefore, the study is limited territorially and may not reflect other markets. In conclusion, the residual test was not performed in the regression analysis, the results of which may, therefore, not be completely accurate.</w:t>
      </w:r>
    </w:p>
    <w:p w14:paraId="743D6581" w14:textId="77777777" w:rsidR="00A2330B" w:rsidRPr="00C2276C" w:rsidRDefault="00A2330B" w:rsidP="00DB790E">
      <w:pPr>
        <w:spacing w:line="254" w:lineRule="auto"/>
        <w:jc w:val="both"/>
        <w:rPr>
          <w:b/>
          <w:bCs/>
          <w:sz w:val="28"/>
          <w:szCs w:val="28"/>
        </w:rPr>
      </w:pPr>
    </w:p>
    <w:p w14:paraId="1E4C5FC2" w14:textId="12702B64" w:rsidR="002D4822" w:rsidRPr="00C2276C" w:rsidRDefault="00224E78" w:rsidP="00A2330B">
      <w:pPr>
        <w:pStyle w:val="Heading2"/>
        <w:spacing w:line="480" w:lineRule="auto"/>
        <w:rPr>
          <w:rFonts w:ascii="Arial" w:hAnsi="Arial" w:cs="Arial"/>
          <w:b/>
          <w:bCs/>
          <w:color w:val="auto"/>
        </w:rPr>
      </w:pPr>
      <w:bookmarkStart w:id="48" w:name="_Toc43473620"/>
      <w:r w:rsidRPr="00C2276C">
        <w:rPr>
          <w:rFonts w:ascii="Arial" w:hAnsi="Arial" w:cs="Arial"/>
          <w:b/>
          <w:bCs/>
          <w:color w:val="auto"/>
        </w:rPr>
        <w:t>Suggestions for Future Research</w:t>
      </w:r>
      <w:bookmarkEnd w:id="48"/>
    </w:p>
    <w:p w14:paraId="62C53F23" w14:textId="75CFFCEE" w:rsidR="00224E78" w:rsidRPr="00C2276C" w:rsidRDefault="00390BFE" w:rsidP="008D0C88">
      <w:pPr>
        <w:spacing w:line="360" w:lineRule="auto"/>
        <w:jc w:val="both"/>
      </w:pPr>
      <w:r w:rsidRPr="00C2276C">
        <w:t xml:space="preserve">The present paper showed many possibilities provided by the study area. It is, therefore, highly recommended to investigate the areas that have not been covered in the present research. </w:t>
      </w:r>
      <w:r w:rsidR="00ED1C10" w:rsidRPr="00C2276C">
        <w:t>Firstly, the replication of the analysis in a different segment and the comparison of the results with the aviation sector could provide interesting results on the relationship between liquidity, leverage and profitability.</w:t>
      </w:r>
      <w:r w:rsidR="00115F35" w:rsidRPr="00C2276C">
        <w:t xml:space="preserve"> Consequently</w:t>
      </w:r>
      <w:r w:rsidR="00ED1C10" w:rsidRPr="00C2276C">
        <w:t>, the use of a longer analysis’ period and the observation of different time period can provide</w:t>
      </w:r>
      <w:r w:rsidR="00CD6FFC" w:rsidRPr="00C2276C">
        <w:t xml:space="preserve"> more exhaustive conclusions and determine the effects of recessions and/or economic booms on the liquidity/leverage relationship with the companies’ financial performance. Moreover, the analysis of different countries </w:t>
      </w:r>
      <w:r w:rsidR="00115F35" w:rsidRPr="00C2276C">
        <w:t>could allow</w:t>
      </w:r>
      <w:r w:rsidR="00C2276C" w:rsidRPr="00C2276C">
        <w:t xml:space="preserve"> us</w:t>
      </w:r>
      <w:r w:rsidR="00115F35" w:rsidRPr="00C2276C">
        <w:t xml:space="preserve"> to examine if the results are subject to fluctuations. </w:t>
      </w:r>
    </w:p>
    <w:p w14:paraId="656CCDA6" w14:textId="12C9E6F4" w:rsidR="00F26022" w:rsidRPr="00C2276C" w:rsidRDefault="00115F35" w:rsidP="008D0C88">
      <w:pPr>
        <w:spacing w:line="360" w:lineRule="auto"/>
        <w:jc w:val="both"/>
      </w:pPr>
      <w:r w:rsidRPr="00C2276C">
        <w:t xml:space="preserve">Furthermore, it would be interesting to investigate the use of different </w:t>
      </w:r>
      <w:r w:rsidR="00F26022" w:rsidRPr="00C2276C">
        <w:t>r</w:t>
      </w:r>
      <w:r w:rsidRPr="00C2276C">
        <w:t xml:space="preserve">atios representing the variables, </w:t>
      </w:r>
      <w:r w:rsidR="00F26022" w:rsidRPr="00C2276C">
        <w:t>since in the current study only two different ratios were used for each of them. In addition, the control variables used in the regression analysis led to scattered insignificant results</w:t>
      </w:r>
      <w:r w:rsidR="00C2276C" w:rsidRPr="00C2276C">
        <w:t>;</w:t>
      </w:r>
      <w:r w:rsidR="00F26022" w:rsidRPr="00C2276C">
        <w:t xml:space="preserve"> therefore</w:t>
      </w:r>
      <w:r w:rsidR="00C2276C" w:rsidRPr="00C2276C">
        <w:t>,</w:t>
      </w:r>
      <w:r w:rsidR="00F26022" w:rsidRPr="00C2276C">
        <w:t xml:space="preserve"> the introduction of other relevant variables as profitability’s determinant could provide significant outcomes. Further, the execution of</w:t>
      </w:r>
      <w:r w:rsidR="00C2276C" w:rsidRPr="00C2276C">
        <w:t xml:space="preserve"> a</w:t>
      </w:r>
      <w:r w:rsidR="00F26022" w:rsidRPr="00C2276C">
        <w:t xml:space="preserve"> more elaborate statistical procedure, for example the residual </w:t>
      </w:r>
      <w:r w:rsidR="00F26022" w:rsidRPr="00C2276C">
        <w:lastRenderedPageBreak/>
        <w:t>test</w:t>
      </w:r>
      <w:r w:rsidR="008D0C88">
        <w:t>,</w:t>
      </w:r>
      <w:r w:rsidR="00F26022" w:rsidRPr="00C2276C">
        <w:t xml:space="preserve"> could allow </w:t>
      </w:r>
      <w:r w:rsidR="00C2276C" w:rsidRPr="00C2276C">
        <w:t>reaching</w:t>
      </w:r>
      <w:r w:rsidR="00F26022" w:rsidRPr="00C2276C">
        <w:t xml:space="preserve"> more accurate results and a deeper explanation of the relationship between the variables. </w:t>
      </w:r>
    </w:p>
    <w:p w14:paraId="6E235558" w14:textId="359680C1" w:rsidR="00F26022" w:rsidRPr="00D22300" w:rsidRDefault="00F26022" w:rsidP="008D0C88">
      <w:pPr>
        <w:spacing w:line="360" w:lineRule="auto"/>
        <w:jc w:val="both"/>
      </w:pPr>
      <w:r w:rsidRPr="00C2276C">
        <w:t>Lastly, the investigation of qualitative factors as</w:t>
      </w:r>
      <w:r w:rsidR="00C2276C" w:rsidRPr="00C2276C">
        <w:t xml:space="preserve"> the</w:t>
      </w:r>
      <w:r w:rsidRPr="00C2276C">
        <w:t xml:space="preserve"> company’s culture,</w:t>
      </w:r>
      <w:r w:rsidR="004E57AD" w:rsidRPr="00C2276C">
        <w:t xml:space="preserve"> work ethic or</w:t>
      </w:r>
      <w:r w:rsidRPr="00C2276C">
        <w:t xml:space="preserve"> </w:t>
      </w:r>
      <w:r w:rsidR="004E57AD" w:rsidRPr="00C2276C">
        <w:t>human capital’s dependence through interviews with managers and employees would likely increase the explanatory power of the study. In conclusion, the investigation of managers’ perception of profitability’s driver in their decision</w:t>
      </w:r>
      <w:r w:rsidR="00125230" w:rsidRPr="00C2276C">
        <w:t>-</w:t>
      </w:r>
      <w:r w:rsidR="004E57AD" w:rsidRPr="00C2276C">
        <w:t xml:space="preserve">making process </w:t>
      </w:r>
      <w:r w:rsidR="00BE0E34" w:rsidRPr="00C2276C">
        <w:t>c</w:t>
      </w:r>
      <w:r w:rsidR="004E57AD" w:rsidRPr="00C2276C">
        <w:t>ould be an interest</w:t>
      </w:r>
      <w:r w:rsidR="00C2276C" w:rsidRPr="00C2276C">
        <w:t>ing</w:t>
      </w:r>
      <w:r w:rsidR="004E57AD" w:rsidRPr="00C2276C">
        <w:t xml:space="preserve"> topic to cover.</w:t>
      </w:r>
      <w:r w:rsidR="004E57AD">
        <w:t xml:space="preserve"> </w:t>
      </w:r>
    </w:p>
    <w:p w14:paraId="6114A192" w14:textId="5035235D" w:rsidR="007C3524" w:rsidRDefault="007C3524">
      <w:pPr>
        <w:rPr>
          <w:lang w:val="en"/>
        </w:rPr>
      </w:pPr>
    </w:p>
    <w:p w14:paraId="219A9156" w14:textId="41C64EF5" w:rsidR="00125230" w:rsidRDefault="00125230">
      <w:pPr>
        <w:rPr>
          <w:lang w:val="en"/>
        </w:rPr>
      </w:pPr>
    </w:p>
    <w:p w14:paraId="6FCFE81D" w14:textId="16089BF2" w:rsidR="00125230" w:rsidRDefault="00125230">
      <w:pPr>
        <w:rPr>
          <w:lang w:val="en"/>
        </w:rPr>
      </w:pPr>
    </w:p>
    <w:p w14:paraId="63534CAF" w14:textId="0DB1B124" w:rsidR="00125230" w:rsidRDefault="00125230">
      <w:pPr>
        <w:rPr>
          <w:lang w:val="en"/>
        </w:rPr>
      </w:pPr>
    </w:p>
    <w:p w14:paraId="74E56434" w14:textId="6B36CC7F" w:rsidR="00125230" w:rsidRDefault="00125230"/>
    <w:p w14:paraId="30502131" w14:textId="0D1634CA" w:rsidR="00A2330B" w:rsidRDefault="00A2330B"/>
    <w:p w14:paraId="27F3D0A6" w14:textId="4F982AAC" w:rsidR="00A2330B" w:rsidRDefault="00A2330B"/>
    <w:p w14:paraId="1BA9F56F" w14:textId="62395AD8" w:rsidR="00A2330B" w:rsidRDefault="00A2330B"/>
    <w:p w14:paraId="4D5F0129" w14:textId="50BC62ED" w:rsidR="00A2330B" w:rsidRDefault="00A2330B"/>
    <w:p w14:paraId="662C008D" w14:textId="411E14FD" w:rsidR="00A2330B" w:rsidRDefault="00A2330B"/>
    <w:p w14:paraId="3A17F9BD" w14:textId="44D49A9B" w:rsidR="00A2330B" w:rsidRDefault="00A2330B"/>
    <w:p w14:paraId="2B3C0912" w14:textId="3934CC6F" w:rsidR="00A2330B" w:rsidRDefault="00A2330B"/>
    <w:p w14:paraId="39939072" w14:textId="6D19423F" w:rsidR="00A2330B" w:rsidRDefault="00A2330B"/>
    <w:p w14:paraId="7D0F6D1C" w14:textId="53D9BFAF" w:rsidR="00A2330B" w:rsidRDefault="00A2330B"/>
    <w:p w14:paraId="639B87CB" w14:textId="60B5742D" w:rsidR="00A2330B" w:rsidRDefault="00A2330B"/>
    <w:p w14:paraId="2C36BEBC" w14:textId="4B400AB6" w:rsidR="00A2330B" w:rsidRDefault="00A2330B"/>
    <w:p w14:paraId="72E7CED7" w14:textId="41F70F6F" w:rsidR="00A2330B" w:rsidRDefault="00A2330B"/>
    <w:p w14:paraId="3E17DC95" w14:textId="34761001" w:rsidR="00A2330B" w:rsidRDefault="00A2330B"/>
    <w:p w14:paraId="3050C1F8" w14:textId="252E0523" w:rsidR="00A2330B" w:rsidRDefault="00A2330B"/>
    <w:p w14:paraId="7187D279" w14:textId="02A26618" w:rsidR="00A2330B" w:rsidRDefault="00A2330B"/>
    <w:p w14:paraId="2B335D31" w14:textId="2CE86D2E" w:rsidR="00A2330B" w:rsidRDefault="00A2330B"/>
    <w:p w14:paraId="6BB15AC5" w14:textId="0DF42856" w:rsidR="008D0C88" w:rsidRDefault="008D0C88"/>
    <w:p w14:paraId="6ABC2CF4" w14:textId="77777777" w:rsidR="008D0C88" w:rsidRDefault="008D0C88"/>
    <w:p w14:paraId="3FC56492" w14:textId="1317E196" w:rsidR="001873A5" w:rsidRPr="00A2330B" w:rsidRDefault="00153A3C" w:rsidP="00A2330B">
      <w:pPr>
        <w:pStyle w:val="Heading1"/>
        <w:spacing w:line="360" w:lineRule="auto"/>
        <w:rPr>
          <w:rFonts w:ascii="Arial" w:hAnsi="Arial" w:cs="Arial"/>
          <w:b/>
          <w:bCs/>
          <w:color w:val="auto"/>
        </w:rPr>
      </w:pPr>
      <w:bookmarkStart w:id="49" w:name="_Toc43473621"/>
      <w:r w:rsidRPr="00A2330B">
        <w:rPr>
          <w:rFonts w:ascii="Arial" w:hAnsi="Arial" w:cs="Arial"/>
          <w:b/>
          <w:bCs/>
          <w:color w:val="auto"/>
        </w:rPr>
        <w:lastRenderedPageBreak/>
        <w:t>References</w:t>
      </w:r>
      <w:bookmarkEnd w:id="49"/>
    </w:p>
    <w:p w14:paraId="7D0B52B6" w14:textId="77777777" w:rsidR="00153A3C" w:rsidRPr="00304915" w:rsidRDefault="00153A3C" w:rsidP="00304915">
      <w:pPr>
        <w:jc w:val="both"/>
        <w:rPr>
          <w:rFonts w:cstheme="minorHAnsi"/>
        </w:rPr>
      </w:pPr>
      <w:r w:rsidRPr="00304915">
        <w:rPr>
          <w:rFonts w:cstheme="minorHAnsi"/>
        </w:rPr>
        <w:t>Abraham, A., Glynn, J., Murphy M., Wilkinson B. (2008). Accounting for managers, Cengage Learning EMEA, London</w:t>
      </w:r>
    </w:p>
    <w:p w14:paraId="3671029C" w14:textId="77777777" w:rsidR="00153A3C" w:rsidRPr="00304915" w:rsidRDefault="00153A3C" w:rsidP="00304915">
      <w:pPr>
        <w:jc w:val="both"/>
      </w:pPr>
      <w:proofErr w:type="spellStart"/>
      <w:r w:rsidRPr="00304915">
        <w:t>Akinlo</w:t>
      </w:r>
      <w:proofErr w:type="spellEnd"/>
      <w:r w:rsidRPr="00304915">
        <w:t xml:space="preserve">, O. and </w:t>
      </w:r>
      <w:proofErr w:type="spellStart"/>
      <w:r w:rsidRPr="00304915">
        <w:t>Asaolu</w:t>
      </w:r>
      <w:proofErr w:type="spellEnd"/>
      <w:r w:rsidRPr="00304915">
        <w:t>, T., 2012. Profitability and leverage: evidence from Nigerian firms. Global journal of business research, 6(1).</w:t>
      </w:r>
    </w:p>
    <w:p w14:paraId="287DE321" w14:textId="77777777" w:rsidR="00153A3C" w:rsidRPr="00304915" w:rsidRDefault="00153A3C" w:rsidP="00304915">
      <w:pPr>
        <w:jc w:val="both"/>
      </w:pPr>
      <w:proofErr w:type="spellStart"/>
      <w:r w:rsidRPr="00304915">
        <w:t>Alexopoulos</w:t>
      </w:r>
      <w:proofErr w:type="spellEnd"/>
      <w:r w:rsidRPr="00304915">
        <w:t>, E., 2010. Introduction to Multivariate Regression Analysis. </w:t>
      </w:r>
      <w:proofErr w:type="spellStart"/>
      <w:r w:rsidRPr="00304915">
        <w:t>Hippokratia</w:t>
      </w:r>
      <w:proofErr w:type="spellEnd"/>
      <w:r w:rsidRPr="00304915">
        <w:t>, Department of Public Health, Medical School, University of Patras, Rio Patras, Greece, 14(1), pp.23-28.</w:t>
      </w:r>
    </w:p>
    <w:p w14:paraId="007F3545" w14:textId="77777777" w:rsidR="00153A3C" w:rsidRPr="00304915" w:rsidRDefault="00153A3C" w:rsidP="00304915">
      <w:pPr>
        <w:jc w:val="both"/>
        <w:rPr>
          <w:lang w:val="en"/>
        </w:rPr>
      </w:pPr>
      <w:r w:rsidRPr="00304915">
        <w:rPr>
          <w:lang w:val="en"/>
        </w:rPr>
        <w:t xml:space="preserve">Alvarez, F. and </w:t>
      </w:r>
      <w:proofErr w:type="spellStart"/>
      <w:r w:rsidRPr="00304915">
        <w:rPr>
          <w:lang w:val="en"/>
        </w:rPr>
        <w:t>Fridson</w:t>
      </w:r>
      <w:proofErr w:type="spellEnd"/>
      <w:r w:rsidRPr="00304915">
        <w:rPr>
          <w:lang w:val="en"/>
        </w:rPr>
        <w:t>, M. (2013). Financial statement analysis. Hoboken, N.J.: Wiley.</w:t>
      </w:r>
    </w:p>
    <w:p w14:paraId="2B2B4819" w14:textId="77777777" w:rsidR="00153A3C" w:rsidRPr="00304915" w:rsidRDefault="00153A3C" w:rsidP="00304915">
      <w:pPr>
        <w:jc w:val="both"/>
      </w:pPr>
      <w:r w:rsidRPr="00304915">
        <w:t xml:space="preserve">Andersson, A. and </w:t>
      </w:r>
      <w:proofErr w:type="spellStart"/>
      <w:r w:rsidRPr="00304915">
        <w:t>Minnema</w:t>
      </w:r>
      <w:proofErr w:type="spellEnd"/>
      <w:r w:rsidRPr="00304915">
        <w:t>, J., 2018. The relationship between leverage and profitability: A quantitative study of consulting firms in Sweden. Umea School of Business. Economic and Statistic.</w:t>
      </w:r>
    </w:p>
    <w:p w14:paraId="3679AB1E" w14:textId="77777777" w:rsidR="00153A3C" w:rsidRPr="00304915" w:rsidRDefault="00153A3C" w:rsidP="00304915">
      <w:pPr>
        <w:jc w:val="both"/>
      </w:pPr>
      <w:r w:rsidRPr="00304915">
        <w:t xml:space="preserve">Arnold, G., 2008. Corporate Financial Management. 4th edition. Essex: Prentice Hall. </w:t>
      </w:r>
    </w:p>
    <w:p w14:paraId="74A6808A" w14:textId="77777777" w:rsidR="00153A3C" w:rsidRPr="00304915" w:rsidRDefault="00153A3C" w:rsidP="00304915">
      <w:pPr>
        <w:jc w:val="both"/>
      </w:pPr>
      <w:r w:rsidRPr="00304915">
        <w:rPr>
          <w:lang w:val="it-IT"/>
        </w:rPr>
        <w:t xml:space="preserve">Assaf Neto, A., 2003. Finanças Corporativas e Valor. </w:t>
      </w:r>
      <w:r w:rsidRPr="00304915">
        <w:t>6th edition. São Paulo: Atlas.</w:t>
      </w:r>
    </w:p>
    <w:p w14:paraId="329E202D" w14:textId="77777777" w:rsidR="00153A3C" w:rsidRPr="00304915" w:rsidRDefault="00153A3C" w:rsidP="00304915">
      <w:pPr>
        <w:jc w:val="both"/>
      </w:pPr>
      <w:proofErr w:type="spellStart"/>
      <w:r w:rsidRPr="00304915">
        <w:t>Azhagaiah</w:t>
      </w:r>
      <w:proofErr w:type="spellEnd"/>
      <w:r w:rsidRPr="00304915">
        <w:t xml:space="preserve">, R., </w:t>
      </w:r>
      <w:proofErr w:type="spellStart"/>
      <w:r w:rsidRPr="00304915">
        <w:t>Gavoury</w:t>
      </w:r>
      <w:proofErr w:type="spellEnd"/>
      <w:r w:rsidRPr="00304915">
        <w:t>, C., 2011. The Impact of Capital Structure on Proﬁtability with Special Reference to it Industry in India. Managing Global Transitions 9 (4). pp371–392</w:t>
      </w:r>
    </w:p>
    <w:p w14:paraId="77452381" w14:textId="77777777" w:rsidR="00153A3C" w:rsidRPr="00304915" w:rsidRDefault="00153A3C" w:rsidP="00304915">
      <w:pPr>
        <w:jc w:val="both"/>
      </w:pPr>
      <w:r w:rsidRPr="00304915">
        <w:t>Berger, A. N., 2002. Capital Structure and Firm Performance: A New Approach to Testing Agency Theory and an Application to the Banking Industry. Working Paper, Board of Governors of the Federal Reserve System, Washington.</w:t>
      </w:r>
    </w:p>
    <w:p w14:paraId="326FFECE" w14:textId="77777777" w:rsidR="00153A3C" w:rsidRPr="00304915" w:rsidRDefault="00153A3C" w:rsidP="00304915">
      <w:pPr>
        <w:jc w:val="both"/>
        <w:rPr>
          <w:rFonts w:cstheme="minorHAnsi"/>
        </w:rPr>
      </w:pPr>
      <w:r w:rsidRPr="00304915">
        <w:rPr>
          <w:rFonts w:cstheme="minorHAnsi"/>
          <w:lang w:val="it-IT"/>
        </w:rPr>
        <w:t xml:space="preserve">Berk, J., DeMarzo, P. (2013). Corporate Finance. </w:t>
      </w:r>
      <w:r w:rsidRPr="00304915">
        <w:rPr>
          <w:rFonts w:cstheme="minorHAnsi"/>
        </w:rPr>
        <w:t xml:space="preserve">3rd edition. Boston: Pearson Education.  </w:t>
      </w:r>
    </w:p>
    <w:p w14:paraId="0D8EF0E4" w14:textId="77777777" w:rsidR="00153A3C" w:rsidRPr="00304915" w:rsidRDefault="00153A3C" w:rsidP="00304915">
      <w:pPr>
        <w:jc w:val="both"/>
      </w:pPr>
      <w:r w:rsidRPr="00304915">
        <w:t xml:space="preserve">Booth, L., </w:t>
      </w:r>
      <w:proofErr w:type="spellStart"/>
      <w:r w:rsidRPr="00304915">
        <w:t>Aivazian</w:t>
      </w:r>
      <w:proofErr w:type="spellEnd"/>
      <w:r w:rsidRPr="00304915">
        <w:t xml:space="preserve"> L., </w:t>
      </w:r>
      <w:proofErr w:type="spellStart"/>
      <w:r w:rsidRPr="00304915">
        <w:t>Demirgue</w:t>
      </w:r>
      <w:proofErr w:type="spellEnd"/>
      <w:r w:rsidRPr="00304915">
        <w:t xml:space="preserve">, A., and </w:t>
      </w:r>
      <w:proofErr w:type="spellStart"/>
      <w:r w:rsidRPr="00304915">
        <w:t>Maksimovic</w:t>
      </w:r>
      <w:proofErr w:type="spellEnd"/>
      <w:r w:rsidRPr="00304915">
        <w:t>, V., 2001. Capital Structure in Developing Countries. The Journal of Finance 56 (1), pp.87–130</w:t>
      </w:r>
    </w:p>
    <w:p w14:paraId="3FBC1C51" w14:textId="6FE5DBF2" w:rsidR="00153A3C" w:rsidRDefault="00153A3C" w:rsidP="00304915">
      <w:pPr>
        <w:jc w:val="both"/>
        <w:rPr>
          <w:rFonts w:cstheme="minorHAnsi"/>
        </w:rPr>
      </w:pPr>
      <w:r w:rsidRPr="00304915">
        <w:t xml:space="preserve">Bryman, A., 2012. Social Research Method. Oxford University Press Inc. </w:t>
      </w:r>
      <w:r w:rsidRPr="00304915">
        <w:rPr>
          <w:rFonts w:cstheme="minorHAnsi"/>
        </w:rPr>
        <w:t xml:space="preserve">[online] Available at: </w:t>
      </w:r>
      <w:r w:rsidRPr="00304915">
        <w:t>&lt;</w:t>
      </w:r>
      <w:hyperlink r:id="rId9" w:anchor="!/tcmbck" w:history="1">
        <w:r w:rsidRPr="00304915">
          <w:rPr>
            <w:rStyle w:val="Hyperlink"/>
            <w:color w:val="auto"/>
            <w:u w:val="none"/>
          </w:rPr>
          <w:t>http://www.downloadslide.com/2016/01/ebook-social-research-method-4th.html#!/tcmbck</w:t>
        </w:r>
      </w:hyperlink>
      <w:r w:rsidRPr="00304915">
        <w:t xml:space="preserve">&gt; </w:t>
      </w:r>
      <w:r w:rsidRPr="00304915">
        <w:rPr>
          <w:rFonts w:cstheme="minorHAnsi"/>
        </w:rPr>
        <w:t>[</w:t>
      </w:r>
      <w:r w:rsidRPr="00304915">
        <w:t>Accessed 20 April 2020</w:t>
      </w:r>
      <w:r w:rsidRPr="00304915">
        <w:rPr>
          <w:rFonts w:cstheme="minorHAnsi"/>
        </w:rPr>
        <w:t>]</w:t>
      </w:r>
    </w:p>
    <w:p w14:paraId="6033D6DC" w14:textId="13CFBC16" w:rsidR="00B95029" w:rsidRPr="00B95029" w:rsidRDefault="00B95029" w:rsidP="00304915">
      <w:pPr>
        <w:jc w:val="both"/>
      </w:pPr>
      <w:r w:rsidRPr="00B95029">
        <w:rPr>
          <w:rFonts w:cstheme="minorHAnsi"/>
          <w:lang w:val="it-IT"/>
        </w:rPr>
        <w:t xml:space="preserve">Carlos M. Cavalho, 2015. </w:t>
      </w:r>
      <w:r w:rsidRPr="00B95029">
        <w:rPr>
          <w:rFonts w:cstheme="minorHAnsi"/>
        </w:rPr>
        <w:t>Multiple Linear Regres</w:t>
      </w:r>
      <w:r>
        <w:rPr>
          <w:rFonts w:cstheme="minorHAnsi"/>
        </w:rPr>
        <w:t xml:space="preserve">sion. </w:t>
      </w:r>
      <w:r w:rsidRPr="00B95029">
        <w:rPr>
          <w:rFonts w:cstheme="minorHAnsi"/>
        </w:rPr>
        <w:t>The University of Texas at Austin McCombs School of Business</w:t>
      </w:r>
      <w:r>
        <w:rPr>
          <w:rFonts w:cstheme="minorHAnsi"/>
        </w:rPr>
        <w:t>.</w:t>
      </w:r>
    </w:p>
    <w:p w14:paraId="2E971FD3" w14:textId="77777777" w:rsidR="00153A3C" w:rsidRPr="00304915" w:rsidRDefault="00153A3C" w:rsidP="00304915">
      <w:pPr>
        <w:jc w:val="both"/>
      </w:pPr>
      <w:r w:rsidRPr="00304915">
        <w:t>Chandra, P., 2011. Financial Management. 7th edition. McGraw-Hill</w:t>
      </w:r>
    </w:p>
    <w:p w14:paraId="76ACB7AB" w14:textId="77777777" w:rsidR="00153A3C" w:rsidRPr="00304915" w:rsidRDefault="00153A3C" w:rsidP="00304915">
      <w:pPr>
        <w:jc w:val="both"/>
      </w:pPr>
      <w:bookmarkStart w:id="50" w:name="_Hlk41378514"/>
      <w:proofErr w:type="spellStart"/>
      <w:r w:rsidRPr="00304915">
        <w:t>Dahmström</w:t>
      </w:r>
      <w:proofErr w:type="spellEnd"/>
      <w:r w:rsidRPr="00304915">
        <w:t xml:space="preserve">, K., 2011. </w:t>
      </w:r>
      <w:bookmarkEnd w:id="50"/>
      <w:proofErr w:type="spellStart"/>
      <w:r w:rsidRPr="00304915">
        <w:t>Från</w:t>
      </w:r>
      <w:proofErr w:type="spellEnd"/>
      <w:r w:rsidRPr="00304915">
        <w:t xml:space="preserve"> </w:t>
      </w:r>
      <w:proofErr w:type="spellStart"/>
      <w:r w:rsidRPr="00304915">
        <w:t>datainsamling</w:t>
      </w:r>
      <w:proofErr w:type="spellEnd"/>
      <w:r w:rsidRPr="00304915">
        <w:t xml:space="preserve"> till rapport: </w:t>
      </w:r>
      <w:proofErr w:type="spellStart"/>
      <w:r w:rsidRPr="00304915">
        <w:t>Att</w:t>
      </w:r>
      <w:proofErr w:type="spellEnd"/>
      <w:r w:rsidRPr="00304915">
        <w:t xml:space="preserve"> </w:t>
      </w:r>
      <w:proofErr w:type="spellStart"/>
      <w:r w:rsidRPr="00304915">
        <w:t>göra</w:t>
      </w:r>
      <w:proofErr w:type="spellEnd"/>
      <w:r w:rsidRPr="00304915">
        <w:t xml:space="preserve"> </w:t>
      </w:r>
      <w:proofErr w:type="spellStart"/>
      <w:r w:rsidRPr="00304915">
        <w:t>en</w:t>
      </w:r>
      <w:proofErr w:type="spellEnd"/>
      <w:r w:rsidRPr="00304915">
        <w:t xml:space="preserve"> </w:t>
      </w:r>
      <w:proofErr w:type="spellStart"/>
      <w:r w:rsidRPr="00304915">
        <w:t>statistisk</w:t>
      </w:r>
      <w:proofErr w:type="spellEnd"/>
      <w:r w:rsidRPr="00304915">
        <w:t xml:space="preserve"> </w:t>
      </w:r>
      <w:proofErr w:type="spellStart"/>
      <w:r w:rsidRPr="00304915">
        <w:t>undersökning</w:t>
      </w:r>
      <w:proofErr w:type="spellEnd"/>
      <w:r w:rsidRPr="00304915">
        <w:t xml:space="preserve">. 5th edition. Lund: </w:t>
      </w:r>
      <w:proofErr w:type="spellStart"/>
      <w:r w:rsidRPr="00304915">
        <w:t>Studentlitteratur</w:t>
      </w:r>
      <w:proofErr w:type="spellEnd"/>
    </w:p>
    <w:p w14:paraId="5B0F090A" w14:textId="77777777" w:rsidR="00153A3C" w:rsidRPr="00304915" w:rsidRDefault="00153A3C" w:rsidP="00304915">
      <w:pPr>
        <w:jc w:val="both"/>
      </w:pPr>
      <w:proofErr w:type="spellStart"/>
      <w:r w:rsidRPr="00304915">
        <w:t>Fengju</w:t>
      </w:r>
      <w:proofErr w:type="spellEnd"/>
      <w:r w:rsidRPr="00304915">
        <w:t xml:space="preserve">, X., </w:t>
      </w:r>
      <w:proofErr w:type="spellStart"/>
      <w:r w:rsidRPr="00304915">
        <w:t>Fard</w:t>
      </w:r>
      <w:proofErr w:type="spellEnd"/>
      <w:r w:rsidRPr="00304915">
        <w:t xml:space="preserve">, R., Maher, L. and </w:t>
      </w:r>
      <w:proofErr w:type="spellStart"/>
      <w:r w:rsidRPr="00304915">
        <w:t>Akhteghan</w:t>
      </w:r>
      <w:proofErr w:type="spellEnd"/>
      <w:r w:rsidRPr="00304915">
        <w:t>, N., 2013. The relationship between financial leverage and profitability with an emphasis on income smoothing in Iran’s capital market. European Online Journal of Natural and Social Sciences, 2(3), pp.156-164.</w:t>
      </w:r>
    </w:p>
    <w:p w14:paraId="6ADAB074" w14:textId="77777777" w:rsidR="00153A3C" w:rsidRPr="00304915" w:rsidRDefault="00153A3C" w:rsidP="00304915">
      <w:pPr>
        <w:jc w:val="both"/>
      </w:pPr>
      <w:proofErr w:type="spellStart"/>
      <w:r w:rsidRPr="00304915">
        <w:t>Gharios</w:t>
      </w:r>
      <w:proofErr w:type="spellEnd"/>
      <w:r w:rsidRPr="00304915">
        <w:t xml:space="preserve">, R., </w:t>
      </w:r>
      <w:proofErr w:type="spellStart"/>
      <w:r w:rsidRPr="00304915">
        <w:t>Hamdar</w:t>
      </w:r>
      <w:proofErr w:type="spellEnd"/>
      <w:r w:rsidRPr="00304915">
        <w:t xml:space="preserve">, B. and </w:t>
      </w:r>
      <w:proofErr w:type="spellStart"/>
      <w:r w:rsidRPr="00304915">
        <w:t>Seissian</w:t>
      </w:r>
      <w:proofErr w:type="spellEnd"/>
      <w:r w:rsidRPr="00304915">
        <w:t>, L., 2016. The economic impact of liquidity and leverage on the financial performance of GCC and MENA listed companies. International journal of economics, commerce and management, 4(10).</w:t>
      </w:r>
    </w:p>
    <w:p w14:paraId="62B03A97" w14:textId="77777777" w:rsidR="00153A3C" w:rsidRPr="00304915" w:rsidRDefault="00153A3C" w:rsidP="00304915">
      <w:pPr>
        <w:jc w:val="both"/>
        <w:rPr>
          <w:rFonts w:cstheme="minorHAnsi"/>
        </w:rPr>
      </w:pPr>
      <w:proofErr w:type="spellStart"/>
      <w:r w:rsidRPr="00304915">
        <w:rPr>
          <w:rFonts w:cstheme="minorHAnsi"/>
        </w:rPr>
        <w:t>Gitman</w:t>
      </w:r>
      <w:proofErr w:type="spellEnd"/>
      <w:r w:rsidRPr="00304915">
        <w:rPr>
          <w:rFonts w:cstheme="minorHAnsi"/>
        </w:rPr>
        <w:t>, L., 1992. Basic Managerial Finance. New York: HarperCollins, p.608.</w:t>
      </w:r>
    </w:p>
    <w:p w14:paraId="1DC494CA" w14:textId="77777777" w:rsidR="00153A3C" w:rsidRPr="00304915" w:rsidRDefault="00153A3C" w:rsidP="00304915">
      <w:pPr>
        <w:jc w:val="both"/>
      </w:pPr>
      <w:r w:rsidRPr="00304915">
        <w:t>Gleason, K., Mathur, L., and Mathur, I., 2000. The Interrelationship between Culture, Capital Structure, and Performance: Evidence from European Retailers. Journal of Business Research, 50 (2), pp.185–91</w:t>
      </w:r>
    </w:p>
    <w:p w14:paraId="198CCC5F" w14:textId="77777777" w:rsidR="00153A3C" w:rsidRPr="00304915" w:rsidRDefault="00153A3C" w:rsidP="00304915">
      <w:pPr>
        <w:jc w:val="both"/>
        <w:rPr>
          <w:rFonts w:cstheme="minorHAnsi"/>
        </w:rPr>
      </w:pPr>
      <w:r w:rsidRPr="00304915">
        <w:rPr>
          <w:rFonts w:cstheme="minorHAnsi"/>
        </w:rPr>
        <w:lastRenderedPageBreak/>
        <w:t xml:space="preserve">Goel, U., Chadha, S. and Sharma, A., 2015. Operating Liquidity and Financial Leverage: Evidences from Indian Machinery Industry. Social and </w:t>
      </w:r>
      <w:proofErr w:type="spellStart"/>
      <w:r w:rsidRPr="00304915">
        <w:rPr>
          <w:rFonts w:cstheme="minorHAnsi"/>
        </w:rPr>
        <w:t>Behavioral</w:t>
      </w:r>
      <w:proofErr w:type="spellEnd"/>
      <w:r w:rsidRPr="00304915">
        <w:rPr>
          <w:rFonts w:cstheme="minorHAnsi"/>
        </w:rPr>
        <w:t xml:space="preserve"> Sciences, pp.189, 344-350.</w:t>
      </w:r>
    </w:p>
    <w:p w14:paraId="49891AD3" w14:textId="77777777" w:rsidR="00153A3C" w:rsidRPr="00304915" w:rsidRDefault="00153A3C" w:rsidP="00304915">
      <w:pPr>
        <w:jc w:val="both"/>
        <w:rPr>
          <w:rFonts w:cstheme="minorHAnsi"/>
        </w:rPr>
      </w:pPr>
      <w:proofErr w:type="spellStart"/>
      <w:r w:rsidRPr="00304915">
        <w:rPr>
          <w:rFonts w:cstheme="minorHAnsi"/>
        </w:rPr>
        <w:t>Hongly</w:t>
      </w:r>
      <w:proofErr w:type="spellEnd"/>
      <w:r w:rsidRPr="00304915">
        <w:rPr>
          <w:rFonts w:cstheme="minorHAnsi"/>
        </w:rPr>
        <w:t xml:space="preserve">, J., </w:t>
      </w:r>
      <w:proofErr w:type="spellStart"/>
      <w:r w:rsidRPr="00304915">
        <w:rPr>
          <w:rFonts w:cstheme="minorHAnsi"/>
        </w:rPr>
        <w:t>Ajorsu</w:t>
      </w:r>
      <w:proofErr w:type="spellEnd"/>
      <w:r w:rsidRPr="00304915">
        <w:rPr>
          <w:rFonts w:cstheme="minorHAnsi"/>
        </w:rPr>
        <w:t xml:space="preserve">, E. and </w:t>
      </w:r>
      <w:proofErr w:type="spellStart"/>
      <w:r w:rsidRPr="00304915">
        <w:rPr>
          <w:rFonts w:cstheme="minorHAnsi"/>
        </w:rPr>
        <w:t>Bakpa</w:t>
      </w:r>
      <w:proofErr w:type="spellEnd"/>
      <w:r w:rsidRPr="00304915">
        <w:rPr>
          <w:rFonts w:cstheme="minorHAnsi"/>
        </w:rPr>
        <w:t>, E., 2019. The Effect of Liquidity and Financial Leverage on Firm Performance: Evidence from Listed Manufacturing Firms on The Ghana Stock Exchange. Research Journal of Finance and Accounting, 10(8).</w:t>
      </w:r>
    </w:p>
    <w:p w14:paraId="2BD6E0FA" w14:textId="77777777" w:rsidR="00153A3C" w:rsidRPr="00304915" w:rsidRDefault="00153A3C" w:rsidP="00304915">
      <w:pPr>
        <w:jc w:val="both"/>
      </w:pPr>
      <w:proofErr w:type="spellStart"/>
      <w:r w:rsidRPr="00304915">
        <w:t>Hristova</w:t>
      </w:r>
      <w:proofErr w:type="spellEnd"/>
      <w:r w:rsidRPr="00304915">
        <w:t xml:space="preserve">, S., </w:t>
      </w:r>
      <w:proofErr w:type="spellStart"/>
      <w:r w:rsidRPr="00304915">
        <w:t>Srbinoska</w:t>
      </w:r>
      <w:proofErr w:type="spellEnd"/>
      <w:r w:rsidRPr="00304915">
        <w:t xml:space="preserve">, D., </w:t>
      </w:r>
      <w:proofErr w:type="spellStart"/>
      <w:r w:rsidRPr="00304915">
        <w:t>Mileva</w:t>
      </w:r>
      <w:proofErr w:type="spellEnd"/>
      <w:r w:rsidRPr="00304915">
        <w:t xml:space="preserve">, I. and </w:t>
      </w:r>
      <w:proofErr w:type="spellStart"/>
      <w:r w:rsidRPr="00304915">
        <w:t>Zafirova</w:t>
      </w:r>
      <w:proofErr w:type="spellEnd"/>
      <w:r w:rsidRPr="00304915">
        <w:t>, A., 2014. Trade-off between liquidity and profitability: an empirical study of pharmaceutical sector in the republic of North Macedonia. ISSN: 2286-0991, 12(2).</w:t>
      </w:r>
    </w:p>
    <w:p w14:paraId="6D81A5DE" w14:textId="77777777" w:rsidR="00153A3C" w:rsidRPr="00304915" w:rsidRDefault="00153A3C" w:rsidP="00304915">
      <w:pPr>
        <w:jc w:val="both"/>
        <w:rPr>
          <w:rFonts w:cstheme="minorHAnsi"/>
        </w:rPr>
      </w:pPr>
      <w:proofErr w:type="spellStart"/>
      <w:r w:rsidRPr="00304915">
        <w:rPr>
          <w:rFonts w:cstheme="minorHAnsi"/>
        </w:rPr>
        <w:t>Hünermund</w:t>
      </w:r>
      <w:proofErr w:type="spellEnd"/>
      <w:r w:rsidRPr="00304915">
        <w:rPr>
          <w:rFonts w:cstheme="minorHAnsi"/>
        </w:rPr>
        <w:t xml:space="preserve">, P. and </w:t>
      </w:r>
      <w:proofErr w:type="spellStart"/>
      <w:r w:rsidRPr="00304915">
        <w:rPr>
          <w:rFonts w:cstheme="minorHAnsi"/>
        </w:rPr>
        <w:t>Louw</w:t>
      </w:r>
      <w:proofErr w:type="spellEnd"/>
      <w:r w:rsidRPr="00304915">
        <w:rPr>
          <w:rFonts w:cstheme="minorHAnsi"/>
        </w:rPr>
        <w:t>, B., 2020. On the Nuisance of Control Variables in Regression Analysis. Maastricht University, School of Business and Economics., [online] Available at: &lt;https://arxiv.org/pdf/2005.10314.pdf&gt; [Accessed 25 May 2020].</w:t>
      </w:r>
    </w:p>
    <w:p w14:paraId="21C527B1" w14:textId="77777777" w:rsidR="00153A3C" w:rsidRPr="00304915" w:rsidRDefault="00153A3C" w:rsidP="00304915">
      <w:pPr>
        <w:jc w:val="both"/>
        <w:rPr>
          <w:rFonts w:cstheme="minorHAnsi"/>
        </w:rPr>
      </w:pPr>
      <w:proofErr w:type="spellStart"/>
      <w:r w:rsidRPr="00304915">
        <w:rPr>
          <w:rFonts w:cstheme="minorHAnsi"/>
        </w:rPr>
        <w:t>Irawan</w:t>
      </w:r>
      <w:proofErr w:type="spellEnd"/>
      <w:r w:rsidRPr="00304915">
        <w:rPr>
          <w:rFonts w:cstheme="minorHAnsi"/>
        </w:rPr>
        <w:t xml:space="preserve">, A. and </w:t>
      </w:r>
      <w:proofErr w:type="spellStart"/>
      <w:r w:rsidRPr="00304915">
        <w:rPr>
          <w:rFonts w:cstheme="minorHAnsi"/>
        </w:rPr>
        <w:t>Faturohman</w:t>
      </w:r>
      <w:proofErr w:type="spellEnd"/>
      <w:r w:rsidRPr="00304915">
        <w:rPr>
          <w:rFonts w:cstheme="minorHAnsi"/>
        </w:rPr>
        <w:t>, T., 2015. A study of liquidity and profitability relationship: evidence from Indonesian capital market. The IIER International Conference, Bangkok, Thailand.</w:t>
      </w:r>
    </w:p>
    <w:p w14:paraId="23907676" w14:textId="77777777" w:rsidR="00153A3C" w:rsidRPr="00304915" w:rsidRDefault="00153A3C" w:rsidP="00304915">
      <w:pPr>
        <w:jc w:val="both"/>
        <w:rPr>
          <w:rFonts w:cstheme="minorHAnsi"/>
        </w:rPr>
      </w:pPr>
      <w:r w:rsidRPr="00304915">
        <w:rPr>
          <w:rFonts w:cstheme="minorHAnsi"/>
        </w:rPr>
        <w:t>Justyna, Z., 2013. Does liquidity impact on profitability? A case of polish listed IT companies. Conference of Informatics and Management Sciences.</w:t>
      </w:r>
    </w:p>
    <w:p w14:paraId="781D5971" w14:textId="77777777" w:rsidR="00153A3C" w:rsidRPr="00304915" w:rsidRDefault="00153A3C" w:rsidP="00304915">
      <w:pPr>
        <w:jc w:val="both"/>
      </w:pPr>
      <w:proofErr w:type="spellStart"/>
      <w:r w:rsidRPr="00304915">
        <w:t>Kabajeh</w:t>
      </w:r>
      <w:proofErr w:type="spellEnd"/>
      <w:r w:rsidRPr="00304915">
        <w:t xml:space="preserve">, M., </w:t>
      </w:r>
      <w:proofErr w:type="spellStart"/>
      <w:r w:rsidRPr="00304915">
        <w:t>Nu’aimat</w:t>
      </w:r>
      <w:proofErr w:type="spellEnd"/>
      <w:r w:rsidRPr="00304915">
        <w:t xml:space="preserve">, S. and </w:t>
      </w:r>
      <w:proofErr w:type="spellStart"/>
      <w:r w:rsidRPr="00304915">
        <w:t>Dahmash</w:t>
      </w:r>
      <w:proofErr w:type="spellEnd"/>
      <w:r w:rsidRPr="00304915">
        <w:t>, F., 2012. The Relationship between the ROA, ROE and ROI Ratios with Jordanian Insurance Public Companies Market Share Prices. International Journal of Humanities and Social Science, 2(11).</w:t>
      </w:r>
    </w:p>
    <w:p w14:paraId="18FD3652" w14:textId="77777777" w:rsidR="00153A3C" w:rsidRPr="00304915" w:rsidRDefault="00153A3C" w:rsidP="00304915">
      <w:pPr>
        <w:jc w:val="both"/>
      </w:pPr>
      <w:r w:rsidRPr="00304915">
        <w:t xml:space="preserve">Kraus, A. &amp; </w:t>
      </w:r>
      <w:proofErr w:type="spellStart"/>
      <w:r w:rsidRPr="00304915">
        <w:t>Litzenberger</w:t>
      </w:r>
      <w:proofErr w:type="spellEnd"/>
      <w:r w:rsidRPr="00304915">
        <w:t>, R. H., 1973. A State-Preference Model of Optimal Financial Leverage. The Journal of Finance, 28 (4), 911-922.</w:t>
      </w:r>
    </w:p>
    <w:p w14:paraId="45199B6A" w14:textId="77777777" w:rsidR="00153A3C" w:rsidRPr="00304915" w:rsidRDefault="00153A3C" w:rsidP="00304915">
      <w:pPr>
        <w:jc w:val="both"/>
        <w:rPr>
          <w:rFonts w:cstheme="minorHAnsi"/>
          <w:shd w:val="clear" w:color="auto" w:fill="FFFFFF"/>
        </w:rPr>
      </w:pPr>
      <w:proofErr w:type="spellStart"/>
      <w:r w:rsidRPr="00304915">
        <w:rPr>
          <w:rFonts w:cstheme="minorHAnsi"/>
          <w:shd w:val="clear" w:color="auto" w:fill="FFFFFF"/>
        </w:rPr>
        <w:t>Mahboobinejad</w:t>
      </w:r>
      <w:proofErr w:type="spellEnd"/>
      <w:r w:rsidRPr="00304915">
        <w:rPr>
          <w:rFonts w:cstheme="minorHAnsi"/>
          <w:shd w:val="clear" w:color="auto" w:fill="FFFFFF"/>
        </w:rPr>
        <w:t xml:space="preserve">, H. (2015). Applying Ratio Analysis Appropriate to the </w:t>
      </w:r>
      <w:proofErr w:type="spellStart"/>
      <w:r w:rsidRPr="00304915">
        <w:rPr>
          <w:rFonts w:cstheme="minorHAnsi"/>
          <w:shd w:val="clear" w:color="auto" w:fill="FFFFFF"/>
        </w:rPr>
        <w:t>Probiotec</w:t>
      </w:r>
      <w:proofErr w:type="spellEnd"/>
      <w:r w:rsidRPr="00304915">
        <w:rPr>
          <w:rFonts w:cstheme="minorHAnsi"/>
          <w:shd w:val="clear" w:color="auto" w:fill="FFFFFF"/>
        </w:rPr>
        <w:t xml:space="preserve"> Ltd to Measure and Comment upon the Company’s Liquidity. </w:t>
      </w:r>
      <w:r w:rsidRPr="00304915">
        <w:rPr>
          <w:rFonts w:cstheme="minorHAnsi"/>
        </w:rPr>
        <w:t>International Journal of Management, Accounting and Economics</w:t>
      </w:r>
      <w:r w:rsidRPr="00304915">
        <w:rPr>
          <w:rFonts w:cstheme="minorHAnsi"/>
          <w:shd w:val="clear" w:color="auto" w:fill="FFFFFF"/>
        </w:rPr>
        <w:t>.</w:t>
      </w:r>
    </w:p>
    <w:p w14:paraId="026C111F" w14:textId="77777777" w:rsidR="00153A3C" w:rsidRPr="00304915" w:rsidRDefault="00153A3C" w:rsidP="00304915">
      <w:pPr>
        <w:jc w:val="both"/>
      </w:pPr>
      <w:proofErr w:type="spellStart"/>
      <w:r w:rsidRPr="00304915">
        <w:t>Marill</w:t>
      </w:r>
      <w:proofErr w:type="spellEnd"/>
      <w:r w:rsidRPr="00304915">
        <w:t xml:space="preserve">, K., 2004. Advanced </w:t>
      </w:r>
      <w:proofErr w:type="spellStart"/>
      <w:r w:rsidRPr="00304915">
        <w:t>Statistics:Linear</w:t>
      </w:r>
      <w:proofErr w:type="spellEnd"/>
      <w:r w:rsidRPr="00304915">
        <w:t xml:space="preserve"> </w:t>
      </w:r>
      <w:proofErr w:type="spellStart"/>
      <w:r w:rsidRPr="00304915">
        <w:t>Regression,Part</w:t>
      </w:r>
      <w:proofErr w:type="spellEnd"/>
      <w:r w:rsidRPr="00304915">
        <w:t xml:space="preserve"> I: Simple Linear Regression. Academic Emergency Medicine, 11(1), pp.87-93.</w:t>
      </w:r>
    </w:p>
    <w:p w14:paraId="06D97D0D" w14:textId="77777777" w:rsidR="00153A3C" w:rsidRPr="00304915" w:rsidRDefault="00153A3C" w:rsidP="00304915">
      <w:pPr>
        <w:jc w:val="both"/>
        <w:rPr>
          <w:rFonts w:cstheme="minorHAnsi"/>
        </w:rPr>
      </w:pPr>
      <w:r w:rsidRPr="00304915">
        <w:rPr>
          <w:rFonts w:cstheme="minorHAnsi"/>
        </w:rPr>
        <w:t>Mills, J., and </w:t>
      </w:r>
      <w:hyperlink r:id="rId10" w:tooltip="Fai clic per cercare altri elementi di questo autore" w:history="1">
        <w:r w:rsidRPr="00304915">
          <w:rPr>
            <w:rStyle w:val="Hyperlink"/>
            <w:rFonts w:cstheme="minorHAnsi"/>
            <w:color w:val="auto"/>
            <w:u w:val="none"/>
          </w:rPr>
          <w:t>Yamamura JH</w:t>
        </w:r>
      </w:hyperlink>
      <w:r w:rsidRPr="00304915">
        <w:rPr>
          <w:rFonts w:cstheme="minorHAnsi"/>
        </w:rPr>
        <w:t xml:space="preserve">., 1998. The power of cash flow ratios. </w:t>
      </w:r>
      <w:hyperlink r:id="rId11" w:tooltip="Fai clic per cercare altri elementi in questa rivista" w:history="1">
        <w:r w:rsidRPr="00304915">
          <w:rPr>
            <w:rStyle w:val="Hyperlink"/>
            <w:rFonts w:cstheme="minorHAnsi"/>
            <w:color w:val="auto"/>
            <w:u w:val="none"/>
          </w:rPr>
          <w:t>Journal of Accountancy</w:t>
        </w:r>
      </w:hyperlink>
      <w:r w:rsidRPr="00304915">
        <w:rPr>
          <w:rFonts w:cstheme="minorHAnsi"/>
        </w:rPr>
        <w:t>, 186(4)</w:t>
      </w:r>
    </w:p>
    <w:p w14:paraId="609F0456" w14:textId="77777777" w:rsidR="00153A3C" w:rsidRPr="00304915" w:rsidRDefault="00153A3C" w:rsidP="00304915">
      <w:pPr>
        <w:jc w:val="both"/>
      </w:pPr>
      <w:r w:rsidRPr="00304915">
        <w:t xml:space="preserve">Modigliani, F. &amp; Miller, M. H., 1958. The Cost of Capital, Corporation Finance and the Theory of Investment. The American Economic Review, 48 (3), 261-297. </w:t>
      </w:r>
    </w:p>
    <w:p w14:paraId="4F7632F2" w14:textId="77777777" w:rsidR="00153A3C" w:rsidRPr="00304915" w:rsidRDefault="00153A3C" w:rsidP="00304915">
      <w:pPr>
        <w:jc w:val="both"/>
      </w:pPr>
      <w:r w:rsidRPr="00304915">
        <w:t>Modigliani, F. &amp; Miller, M. H., 1963. Corporate Income Taxes and the Cost of Capital: A Correction. The American Economic Review, 53 (3), 433-443.</w:t>
      </w:r>
    </w:p>
    <w:p w14:paraId="048D450F" w14:textId="77777777" w:rsidR="00153A3C" w:rsidRPr="00304915" w:rsidRDefault="00153A3C" w:rsidP="00304915">
      <w:pPr>
        <w:jc w:val="both"/>
      </w:pPr>
      <w:r w:rsidRPr="00304915">
        <w:t xml:space="preserve">Myers, S. C. &amp; </w:t>
      </w:r>
      <w:proofErr w:type="spellStart"/>
      <w:r w:rsidRPr="00304915">
        <w:t>Majluf</w:t>
      </w:r>
      <w:proofErr w:type="spellEnd"/>
      <w:r w:rsidRPr="00304915">
        <w:t>, N. S. (1984). Corporate financing and investment decisions when firms have information that investors do not have. Journal of Financial Economics, 13 (2), 187-221.</w:t>
      </w:r>
    </w:p>
    <w:p w14:paraId="3A9F0D71" w14:textId="77777777" w:rsidR="00153A3C" w:rsidRPr="00304915" w:rsidRDefault="00153A3C" w:rsidP="00304915">
      <w:pPr>
        <w:jc w:val="both"/>
      </w:pPr>
      <w:r w:rsidRPr="00304915">
        <w:t xml:space="preserve">Myers, S. C. (1984). The Capital Structure Puzzle. The Journal of Finance, 39 (3), 575592.  </w:t>
      </w:r>
    </w:p>
    <w:p w14:paraId="02D37C59" w14:textId="77777777" w:rsidR="00153A3C" w:rsidRPr="00304915" w:rsidRDefault="00153A3C" w:rsidP="00304915">
      <w:pPr>
        <w:jc w:val="both"/>
        <w:rPr>
          <w:rFonts w:cstheme="minorHAnsi"/>
        </w:rPr>
      </w:pPr>
      <w:r w:rsidRPr="00304915">
        <w:rPr>
          <w:rFonts w:cstheme="minorHAnsi"/>
        </w:rPr>
        <w:t>Newbold, P., Carlson, W.L., Thorne, B.M., 2013. Student Solutions Manual [To] Statistics for Business and Economics. 8</w:t>
      </w:r>
      <w:r w:rsidRPr="00304915">
        <w:rPr>
          <w:rFonts w:cstheme="minorHAnsi"/>
          <w:vertAlign w:val="superscript"/>
        </w:rPr>
        <w:t>th</w:t>
      </w:r>
      <w:r w:rsidRPr="00304915">
        <w:rPr>
          <w:rFonts w:cstheme="minorHAnsi"/>
        </w:rPr>
        <w:t xml:space="preserve"> Edition. Pearson.</w:t>
      </w:r>
    </w:p>
    <w:p w14:paraId="06562313" w14:textId="77777777" w:rsidR="00153A3C" w:rsidRPr="00304915" w:rsidRDefault="00153A3C" w:rsidP="00304915">
      <w:pPr>
        <w:jc w:val="both"/>
        <w:rPr>
          <w:rFonts w:cstheme="minorHAnsi"/>
        </w:rPr>
      </w:pPr>
      <w:r w:rsidRPr="00304915">
        <w:rPr>
          <w:rFonts w:cstheme="minorHAnsi"/>
          <w:color w:val="000000"/>
          <w:shd w:val="clear" w:color="auto" w:fill="FFFFFF"/>
        </w:rPr>
        <w:t>Pandey, M., 2005. Financial Management. 9th ed. New Delhi: Vikas, Publishing House put Limited, pp.35 and 368.</w:t>
      </w:r>
      <w:r w:rsidRPr="00304915">
        <w:rPr>
          <w:rFonts w:cstheme="minorHAnsi"/>
        </w:rPr>
        <w:t xml:space="preserve"> </w:t>
      </w:r>
    </w:p>
    <w:p w14:paraId="318C40FC" w14:textId="77777777" w:rsidR="00153A3C" w:rsidRPr="00304915" w:rsidRDefault="00153A3C" w:rsidP="00304915">
      <w:pPr>
        <w:jc w:val="both"/>
      </w:pPr>
      <w:r w:rsidRPr="00304915">
        <w:lastRenderedPageBreak/>
        <w:t>Reddy, Y. and Narayan, P., 2018. The Impact of Liquidity and Leverage on Profitability: Evidence from India. IUP Journal of Accounting Research &amp; Audit Practices, 17(1), pp.58-77.</w:t>
      </w:r>
    </w:p>
    <w:p w14:paraId="6CA5CD0A" w14:textId="77777777" w:rsidR="00153A3C" w:rsidRPr="00304915" w:rsidRDefault="00153A3C" w:rsidP="00304915">
      <w:pPr>
        <w:jc w:val="both"/>
      </w:pPr>
      <w:r w:rsidRPr="00304915">
        <w:t xml:space="preserve">Rekha, M. and Mala, D., 2018. Impact of leverage on profitability of selected companies in </w:t>
      </w:r>
      <w:proofErr w:type="spellStart"/>
      <w:r w:rsidRPr="00304915">
        <w:t>indian</w:t>
      </w:r>
      <w:proofErr w:type="spellEnd"/>
      <w:r w:rsidRPr="00304915">
        <w:t xml:space="preserve"> cement </w:t>
      </w:r>
      <w:proofErr w:type="spellStart"/>
      <w:r w:rsidRPr="00304915">
        <w:t>idustry</w:t>
      </w:r>
      <w:proofErr w:type="spellEnd"/>
      <w:r w:rsidRPr="00304915">
        <w:t>. BBSSES, 9(11).</w:t>
      </w:r>
    </w:p>
    <w:p w14:paraId="2FB7F0DB" w14:textId="77777777" w:rsidR="00153A3C" w:rsidRPr="00304915" w:rsidRDefault="00153A3C" w:rsidP="00304915">
      <w:pPr>
        <w:jc w:val="both"/>
        <w:rPr>
          <w:rFonts w:cstheme="minorHAnsi"/>
        </w:rPr>
      </w:pPr>
      <w:r w:rsidRPr="00304915">
        <w:rPr>
          <w:rFonts w:cstheme="minorHAnsi"/>
        </w:rPr>
        <w:t xml:space="preserve">Rudin, M., </w:t>
      </w:r>
      <w:proofErr w:type="spellStart"/>
      <w:r w:rsidRPr="00304915">
        <w:rPr>
          <w:rFonts w:cstheme="minorHAnsi"/>
        </w:rPr>
        <w:t>Nurdin</w:t>
      </w:r>
      <w:proofErr w:type="spellEnd"/>
      <w:r w:rsidRPr="00304915">
        <w:rPr>
          <w:rFonts w:cstheme="minorHAnsi"/>
        </w:rPr>
        <w:t>, D. and Fattah, V., 2016. Property and Real Estate Company in Indonesian stock exchange. International Journal of Social Science and management, 3(4), pp.300-304.</w:t>
      </w:r>
    </w:p>
    <w:p w14:paraId="3E9FD94D" w14:textId="77777777" w:rsidR="00153A3C" w:rsidRPr="00304915" w:rsidRDefault="00153A3C" w:rsidP="00304915">
      <w:pPr>
        <w:jc w:val="both"/>
      </w:pPr>
      <w:proofErr w:type="spellStart"/>
      <w:r w:rsidRPr="00304915">
        <w:t>Sahni</w:t>
      </w:r>
      <w:proofErr w:type="spellEnd"/>
      <w:r w:rsidRPr="00304915">
        <w:t>, D. and Kulkarni, H., 2018. Study on Impact of Financial Leverage and Liquidity on Financial Performance: A Case Study on DLF Ltd.; Construction &amp; Contracting- Real Estate Company in India. International Journal of Research in Management, Economics and Commerce, 8(1).</w:t>
      </w:r>
    </w:p>
    <w:p w14:paraId="15602D5A" w14:textId="77777777" w:rsidR="00153A3C" w:rsidRPr="00304915" w:rsidRDefault="00153A3C" w:rsidP="00304915">
      <w:pPr>
        <w:jc w:val="both"/>
      </w:pPr>
      <w:r w:rsidRPr="00304915">
        <w:t>Saleem, Q. and Ur Rehman, R., 2011. Impacts of liquidity ratios on profitability. Interdisciplinary Journal of Research in Business, 1(7), pp.95-98.</w:t>
      </w:r>
    </w:p>
    <w:p w14:paraId="25B88906" w14:textId="77777777" w:rsidR="00153A3C" w:rsidRPr="00304915" w:rsidRDefault="00153A3C" w:rsidP="00304915">
      <w:pPr>
        <w:jc w:val="both"/>
      </w:pPr>
      <w:r w:rsidRPr="00304915">
        <w:t xml:space="preserve">Schober, P., Boer, C. and </w:t>
      </w:r>
      <w:proofErr w:type="spellStart"/>
      <w:r w:rsidRPr="00304915">
        <w:t>Schwarte</w:t>
      </w:r>
      <w:proofErr w:type="spellEnd"/>
      <w:r w:rsidRPr="00304915">
        <w:t>, L., 2018. Correlation Coefficients: Appropriate Use and Interpretation. </w:t>
      </w:r>
      <w:proofErr w:type="spellStart"/>
      <w:r w:rsidRPr="00304915">
        <w:t>Anesthesia</w:t>
      </w:r>
      <w:proofErr w:type="spellEnd"/>
      <w:r w:rsidRPr="00304915">
        <w:t xml:space="preserve"> &amp; Analgesia, 126(5), pp.1763-1768.</w:t>
      </w:r>
    </w:p>
    <w:p w14:paraId="336D6EEA" w14:textId="77777777" w:rsidR="00153A3C" w:rsidRPr="00304915" w:rsidRDefault="00153A3C" w:rsidP="00304915">
      <w:pPr>
        <w:jc w:val="both"/>
        <w:rPr>
          <w:rFonts w:cstheme="minorHAnsi"/>
        </w:rPr>
      </w:pPr>
      <w:proofErr w:type="spellStart"/>
      <w:r w:rsidRPr="00304915">
        <w:rPr>
          <w:rFonts w:cstheme="minorHAnsi"/>
        </w:rPr>
        <w:t>Senthilnathan</w:t>
      </w:r>
      <w:proofErr w:type="spellEnd"/>
      <w:r w:rsidRPr="00304915">
        <w:rPr>
          <w:rFonts w:cstheme="minorHAnsi"/>
        </w:rPr>
        <w:t>, S., 2019. Usefulness of Correlation Analysis. SSRN Electronic Journal.</w:t>
      </w:r>
    </w:p>
    <w:p w14:paraId="0844E8A5" w14:textId="77777777" w:rsidR="00153A3C" w:rsidRPr="00304915" w:rsidRDefault="00153A3C" w:rsidP="00304915">
      <w:pPr>
        <w:jc w:val="both"/>
      </w:pPr>
      <w:proofErr w:type="spellStart"/>
      <w:r w:rsidRPr="00304915">
        <w:t>Singapurwoko</w:t>
      </w:r>
      <w:proofErr w:type="spellEnd"/>
      <w:r w:rsidRPr="00304915">
        <w:t>, A. and El-Wahid, M., 2011. The Impact of Financial Leverage to Profitability Study of Non-Financial Companies Listed in Indonesia Stock Exchange. European Journal of Economics, Finance and Administrative Sciences, (32).</w:t>
      </w:r>
    </w:p>
    <w:p w14:paraId="569DA90E" w14:textId="77777777" w:rsidR="00153A3C" w:rsidRPr="00304915" w:rsidRDefault="00153A3C" w:rsidP="00304915">
      <w:pPr>
        <w:jc w:val="both"/>
        <w:rPr>
          <w:rStyle w:val="selectable"/>
          <w:rFonts w:cstheme="minorHAnsi"/>
          <w:lang w:val="en"/>
        </w:rPr>
      </w:pPr>
      <w:proofErr w:type="spellStart"/>
      <w:r w:rsidRPr="00304915">
        <w:rPr>
          <w:rStyle w:val="selectable"/>
          <w:rFonts w:cstheme="minorHAnsi"/>
          <w:lang w:val="en"/>
        </w:rPr>
        <w:t>Studenmund</w:t>
      </w:r>
      <w:proofErr w:type="spellEnd"/>
      <w:r w:rsidRPr="00304915">
        <w:rPr>
          <w:rStyle w:val="selectable"/>
          <w:rFonts w:cstheme="minorHAnsi"/>
          <w:lang w:val="en"/>
        </w:rPr>
        <w:t xml:space="preserve">, A. H., 2014. Using econometrics: A practical guide. 6th edition. New York: Pearson Education Limited.  </w:t>
      </w:r>
    </w:p>
    <w:p w14:paraId="796B50E1" w14:textId="77777777" w:rsidR="00153A3C" w:rsidRPr="00304915" w:rsidRDefault="00153A3C" w:rsidP="00304915">
      <w:pPr>
        <w:jc w:val="both"/>
      </w:pPr>
      <w:r w:rsidRPr="00304915">
        <w:t>Um, T., 2001. Determinants of Capital Structure and Prediction of Bankruptcy in Korea. PhD dissertation. Cornell University. Ithaca, New York.</w:t>
      </w:r>
    </w:p>
    <w:p w14:paraId="250ABCEE" w14:textId="77777777" w:rsidR="00153A3C" w:rsidRPr="00304915" w:rsidRDefault="00153A3C" w:rsidP="00304915">
      <w:pPr>
        <w:jc w:val="both"/>
      </w:pPr>
      <w:proofErr w:type="spellStart"/>
      <w:r w:rsidRPr="00304915">
        <w:t>Uyanık</w:t>
      </w:r>
      <w:proofErr w:type="spellEnd"/>
      <w:r w:rsidRPr="00304915">
        <w:t xml:space="preserve">, G. and </w:t>
      </w:r>
      <w:proofErr w:type="spellStart"/>
      <w:r w:rsidRPr="00304915">
        <w:t>Güler</w:t>
      </w:r>
      <w:proofErr w:type="spellEnd"/>
      <w:r w:rsidRPr="00304915">
        <w:t xml:space="preserve">, N., 2013. A Study on Multiple Linear Regression Analysis. Procedia - Social and </w:t>
      </w:r>
      <w:proofErr w:type="spellStart"/>
      <w:r w:rsidRPr="00304915">
        <w:t>Behavioral</w:t>
      </w:r>
      <w:proofErr w:type="spellEnd"/>
      <w:r w:rsidRPr="00304915">
        <w:t xml:space="preserve"> Sciences, 106, pp.234-240.</w:t>
      </w:r>
    </w:p>
    <w:p w14:paraId="27FEAD3C" w14:textId="77777777" w:rsidR="00153A3C" w:rsidRPr="00304915" w:rsidRDefault="00153A3C" w:rsidP="00304915">
      <w:pPr>
        <w:jc w:val="both"/>
        <w:rPr>
          <w:rFonts w:cstheme="minorHAnsi"/>
        </w:rPr>
      </w:pPr>
      <w:bookmarkStart w:id="51" w:name="_Hlk36170794"/>
      <w:r w:rsidRPr="00304915">
        <w:rPr>
          <w:rFonts w:cstheme="minorHAnsi"/>
          <w:shd w:val="clear" w:color="auto" w:fill="FFFFFF"/>
        </w:rPr>
        <w:t xml:space="preserve">Van Horne, J. and </w:t>
      </w:r>
      <w:proofErr w:type="spellStart"/>
      <w:r w:rsidRPr="00304915">
        <w:rPr>
          <w:rFonts w:cstheme="minorHAnsi"/>
          <w:shd w:val="clear" w:color="auto" w:fill="FFFFFF"/>
        </w:rPr>
        <w:t>Wachowicz</w:t>
      </w:r>
      <w:proofErr w:type="spellEnd"/>
      <w:r w:rsidRPr="00304915">
        <w:rPr>
          <w:rFonts w:cstheme="minorHAnsi"/>
          <w:shd w:val="clear" w:color="auto" w:fill="FFFFFF"/>
        </w:rPr>
        <w:t>, J., 2000. Fundamentals of Financial Management. 11th ed. New Jersey: Prentice Hall Inc.</w:t>
      </w:r>
      <w:r w:rsidRPr="00304915">
        <w:rPr>
          <w:rFonts w:cstheme="minorHAnsi"/>
        </w:rPr>
        <w:t xml:space="preserve"> </w:t>
      </w:r>
    </w:p>
    <w:bookmarkEnd w:id="51"/>
    <w:p w14:paraId="7048A82B" w14:textId="77777777" w:rsidR="00153A3C" w:rsidRPr="00304915" w:rsidRDefault="00153A3C" w:rsidP="00304915">
      <w:pPr>
        <w:jc w:val="both"/>
        <w:rPr>
          <w:rFonts w:cstheme="minorHAnsi"/>
        </w:rPr>
      </w:pPr>
      <w:proofErr w:type="spellStart"/>
      <w:r w:rsidRPr="00304915">
        <w:rPr>
          <w:rFonts w:cstheme="minorHAnsi"/>
        </w:rPr>
        <w:t>Velnampy</w:t>
      </w:r>
      <w:proofErr w:type="spellEnd"/>
      <w:r w:rsidRPr="00304915">
        <w:rPr>
          <w:rFonts w:cstheme="minorHAnsi"/>
        </w:rPr>
        <w:t xml:space="preserve">, T. and </w:t>
      </w:r>
      <w:proofErr w:type="spellStart"/>
      <w:r w:rsidRPr="00304915">
        <w:rPr>
          <w:rFonts w:cstheme="minorHAnsi"/>
        </w:rPr>
        <w:t>Nimalathasan</w:t>
      </w:r>
      <w:proofErr w:type="spellEnd"/>
      <w:r w:rsidRPr="00304915">
        <w:rPr>
          <w:rFonts w:cstheme="minorHAnsi"/>
        </w:rPr>
        <w:t>, B., 2010. Firm size on profitability: A comparative study of Bank of Ceylon and Commercial Bank of Ceylon Ltd in Sri Lanka. Global Journal of Management and Business Research, 10(2).</w:t>
      </w:r>
    </w:p>
    <w:p w14:paraId="2E685D80" w14:textId="77777777" w:rsidR="00153A3C" w:rsidRPr="00304915" w:rsidRDefault="00153A3C" w:rsidP="00304915">
      <w:pPr>
        <w:jc w:val="both"/>
        <w:rPr>
          <w:rStyle w:val="selectable"/>
          <w:rFonts w:cstheme="minorHAnsi"/>
          <w:lang w:val="en"/>
        </w:rPr>
      </w:pPr>
      <w:r w:rsidRPr="00304915">
        <w:rPr>
          <w:rStyle w:val="selectable"/>
          <w:rFonts w:cstheme="minorHAnsi"/>
          <w:lang w:val="en"/>
        </w:rPr>
        <w:t>Vieira, R., S., 2010. The relationship between liquidity and profitability: an exploratory study of airlines companies between 2005 and 2008. Master Thesis, 15 hp. Umea University.</w:t>
      </w:r>
    </w:p>
    <w:p w14:paraId="74D7D648" w14:textId="77777777" w:rsidR="00153A3C" w:rsidRPr="00304915" w:rsidRDefault="00153A3C" w:rsidP="00304915">
      <w:pPr>
        <w:jc w:val="both"/>
        <w:rPr>
          <w:rFonts w:cstheme="minorHAnsi"/>
        </w:rPr>
      </w:pPr>
      <w:r w:rsidRPr="00304915">
        <w:rPr>
          <w:rFonts w:cstheme="minorHAnsi"/>
        </w:rPr>
        <w:t>Yeo, H., 2016. Solvency and Liquidity in Shipping Companies. The Asian Journal of Shipping and Logistics, 32(4), pp.235-241.</w:t>
      </w:r>
    </w:p>
    <w:p w14:paraId="099C4568" w14:textId="77777777" w:rsidR="004E2E52" w:rsidRPr="00F00D7B" w:rsidRDefault="004E2E52" w:rsidP="00A06DC9">
      <w:pPr>
        <w:rPr>
          <w:rFonts w:cstheme="minorHAnsi"/>
        </w:rPr>
      </w:pPr>
    </w:p>
    <w:p w14:paraId="73DE4EF4" w14:textId="77777777" w:rsidR="00A06DC9" w:rsidRPr="00410DB6" w:rsidRDefault="00A06DC9" w:rsidP="00410DB6"/>
    <w:p w14:paraId="05CF080D" w14:textId="77777777" w:rsidR="00410DB6" w:rsidRPr="00410DB6" w:rsidRDefault="00410DB6" w:rsidP="00F71A53">
      <w:pPr>
        <w:rPr>
          <w:lang w:val="en"/>
        </w:rPr>
      </w:pPr>
    </w:p>
    <w:p w14:paraId="1DE95AD6" w14:textId="77777777" w:rsidR="007C3524" w:rsidRDefault="007C3524" w:rsidP="00713601"/>
    <w:p w14:paraId="25AEEEF6" w14:textId="43122856" w:rsidR="00F970E2" w:rsidRDefault="00F970E2">
      <w:pPr>
        <w:rPr>
          <w:rFonts w:cstheme="minorHAnsi"/>
        </w:rPr>
      </w:pPr>
    </w:p>
    <w:p w14:paraId="2AA24455" w14:textId="658DF968" w:rsidR="00F970E2" w:rsidRDefault="00F970E2" w:rsidP="00F970E2">
      <w:pPr>
        <w:pStyle w:val="Heading1"/>
        <w:rPr>
          <w:rFonts w:ascii="Arial" w:hAnsi="Arial" w:cs="Arial"/>
          <w:b/>
          <w:bCs/>
          <w:color w:val="auto"/>
        </w:rPr>
      </w:pPr>
      <w:bookmarkStart w:id="52" w:name="_Toc43473622"/>
      <w:r>
        <w:rPr>
          <w:rFonts w:ascii="Arial" w:hAnsi="Arial" w:cs="Arial"/>
          <w:b/>
          <w:bCs/>
          <w:color w:val="auto"/>
        </w:rPr>
        <w:lastRenderedPageBreak/>
        <w:t>Appendix</w:t>
      </w:r>
      <w:bookmarkEnd w:id="52"/>
    </w:p>
    <w:p w14:paraId="12A5FA81" w14:textId="0487D3AD" w:rsidR="00F970E2" w:rsidRDefault="00F970E2" w:rsidP="00F970E2"/>
    <w:p w14:paraId="69D038C9" w14:textId="043493EE" w:rsidR="00F970E2" w:rsidRDefault="00F970E2" w:rsidP="00F970E2">
      <w:pPr>
        <w:pStyle w:val="Heading2"/>
        <w:rPr>
          <w:rFonts w:ascii="Arial" w:hAnsi="Arial" w:cs="Arial"/>
          <w:b/>
          <w:bCs/>
          <w:color w:val="auto"/>
        </w:rPr>
      </w:pPr>
      <w:bookmarkStart w:id="53" w:name="_Toc43473623"/>
      <w:r>
        <w:rPr>
          <w:rFonts w:ascii="Arial" w:hAnsi="Arial" w:cs="Arial"/>
          <w:b/>
          <w:bCs/>
          <w:color w:val="auto"/>
        </w:rPr>
        <w:t>Appendix 1 – Companies’ ratios</w:t>
      </w:r>
      <w:bookmarkEnd w:id="53"/>
    </w:p>
    <w:tbl>
      <w:tblPr>
        <w:tblpPr w:leftFromText="180" w:rightFromText="180" w:vertAnchor="text" w:horzAnchor="margin" w:tblpXSpec="center" w:tblpY="290"/>
        <w:tblW w:w="10400" w:type="dxa"/>
        <w:tblLook w:val="04A0" w:firstRow="1" w:lastRow="0" w:firstColumn="1" w:lastColumn="0" w:noHBand="0" w:noVBand="1"/>
      </w:tblPr>
      <w:tblGrid>
        <w:gridCol w:w="2040"/>
        <w:gridCol w:w="1000"/>
        <w:gridCol w:w="1000"/>
        <w:gridCol w:w="1000"/>
        <w:gridCol w:w="1000"/>
        <w:gridCol w:w="1000"/>
        <w:gridCol w:w="1000"/>
        <w:gridCol w:w="1000"/>
        <w:gridCol w:w="1360"/>
      </w:tblGrid>
      <w:tr w:rsidR="00F970E2" w:rsidRPr="00F970E2" w14:paraId="48C0C13A" w14:textId="77777777" w:rsidTr="00F970E2">
        <w:trPr>
          <w:trHeight w:val="288"/>
        </w:trPr>
        <w:tc>
          <w:tcPr>
            <w:tcW w:w="2040" w:type="dxa"/>
            <w:tcBorders>
              <w:top w:val="single" w:sz="4" w:space="0" w:color="auto"/>
              <w:left w:val="single" w:sz="4" w:space="0" w:color="auto"/>
              <w:bottom w:val="single" w:sz="4" w:space="0" w:color="auto"/>
              <w:right w:val="single" w:sz="4" w:space="0" w:color="auto"/>
            </w:tcBorders>
            <w:shd w:val="clear" w:color="auto" w:fill="auto"/>
            <w:noWrap/>
            <w:vAlign w:val="bottom"/>
            <w:hideMark/>
          </w:tcPr>
          <w:p w14:paraId="7AE21B43" w14:textId="77777777" w:rsidR="00F970E2" w:rsidRPr="00F970E2" w:rsidRDefault="00F970E2" w:rsidP="00F970E2">
            <w:pPr>
              <w:spacing w:after="0" w:line="240" w:lineRule="auto"/>
              <w:rPr>
                <w:rFonts w:ascii="Calibri" w:eastAsia="Times New Roman" w:hAnsi="Calibri" w:cs="Calibri"/>
                <w:color w:val="000000"/>
                <w:lang w:eastAsia="en-GB"/>
              </w:rPr>
            </w:pPr>
            <w:r w:rsidRPr="00F970E2">
              <w:rPr>
                <w:rFonts w:ascii="Calibri" w:eastAsia="Times New Roman" w:hAnsi="Calibri" w:cs="Calibri"/>
                <w:color w:val="000000"/>
                <w:lang w:eastAsia="en-GB"/>
              </w:rPr>
              <w:t> </w:t>
            </w:r>
          </w:p>
        </w:tc>
        <w:tc>
          <w:tcPr>
            <w:tcW w:w="1000" w:type="dxa"/>
            <w:tcBorders>
              <w:top w:val="single" w:sz="4" w:space="0" w:color="auto"/>
              <w:left w:val="nil"/>
              <w:bottom w:val="single" w:sz="4" w:space="0" w:color="auto"/>
              <w:right w:val="single" w:sz="4" w:space="0" w:color="auto"/>
            </w:tcBorders>
            <w:shd w:val="clear" w:color="auto" w:fill="auto"/>
            <w:noWrap/>
            <w:vAlign w:val="bottom"/>
            <w:hideMark/>
          </w:tcPr>
          <w:p w14:paraId="4F3CE5AE" w14:textId="77777777" w:rsidR="00F970E2" w:rsidRPr="00F970E2" w:rsidRDefault="00F970E2" w:rsidP="00F970E2">
            <w:pPr>
              <w:spacing w:after="0" w:line="240" w:lineRule="auto"/>
              <w:rPr>
                <w:rFonts w:ascii="Calibri" w:eastAsia="Times New Roman" w:hAnsi="Calibri" w:cs="Calibri"/>
                <w:b/>
                <w:bCs/>
                <w:color w:val="000000"/>
                <w:lang w:eastAsia="en-GB"/>
              </w:rPr>
            </w:pPr>
            <w:r w:rsidRPr="00F970E2">
              <w:rPr>
                <w:rFonts w:ascii="Calibri" w:eastAsia="Times New Roman" w:hAnsi="Calibri" w:cs="Calibri"/>
                <w:b/>
                <w:bCs/>
                <w:color w:val="000000"/>
                <w:lang w:eastAsia="en-GB"/>
              </w:rPr>
              <w:t>ROI</w:t>
            </w:r>
          </w:p>
        </w:tc>
        <w:tc>
          <w:tcPr>
            <w:tcW w:w="1000" w:type="dxa"/>
            <w:tcBorders>
              <w:top w:val="single" w:sz="4" w:space="0" w:color="auto"/>
              <w:left w:val="nil"/>
              <w:bottom w:val="single" w:sz="4" w:space="0" w:color="auto"/>
              <w:right w:val="single" w:sz="4" w:space="0" w:color="auto"/>
            </w:tcBorders>
            <w:shd w:val="clear" w:color="auto" w:fill="auto"/>
            <w:noWrap/>
            <w:vAlign w:val="bottom"/>
            <w:hideMark/>
          </w:tcPr>
          <w:p w14:paraId="6E44264A" w14:textId="77777777" w:rsidR="00F970E2" w:rsidRPr="00F970E2" w:rsidRDefault="00F970E2" w:rsidP="00F970E2">
            <w:pPr>
              <w:spacing w:after="0" w:line="240" w:lineRule="auto"/>
              <w:rPr>
                <w:rFonts w:ascii="Calibri" w:eastAsia="Times New Roman" w:hAnsi="Calibri" w:cs="Calibri"/>
                <w:b/>
                <w:bCs/>
                <w:color w:val="000000"/>
                <w:lang w:eastAsia="en-GB"/>
              </w:rPr>
            </w:pPr>
            <w:r w:rsidRPr="00F970E2">
              <w:rPr>
                <w:rFonts w:ascii="Calibri" w:eastAsia="Times New Roman" w:hAnsi="Calibri" w:cs="Calibri"/>
                <w:b/>
                <w:bCs/>
                <w:color w:val="000000"/>
                <w:lang w:eastAsia="en-GB"/>
              </w:rPr>
              <w:t>ROA</w:t>
            </w:r>
          </w:p>
        </w:tc>
        <w:tc>
          <w:tcPr>
            <w:tcW w:w="1000" w:type="dxa"/>
            <w:tcBorders>
              <w:top w:val="single" w:sz="4" w:space="0" w:color="auto"/>
              <w:left w:val="nil"/>
              <w:bottom w:val="single" w:sz="4" w:space="0" w:color="auto"/>
              <w:right w:val="single" w:sz="4" w:space="0" w:color="auto"/>
            </w:tcBorders>
            <w:shd w:val="clear" w:color="auto" w:fill="auto"/>
            <w:noWrap/>
            <w:vAlign w:val="bottom"/>
            <w:hideMark/>
          </w:tcPr>
          <w:p w14:paraId="477DDC2B" w14:textId="77777777" w:rsidR="00F970E2" w:rsidRPr="00F970E2" w:rsidRDefault="00F970E2" w:rsidP="00F970E2">
            <w:pPr>
              <w:spacing w:after="0" w:line="240" w:lineRule="auto"/>
              <w:rPr>
                <w:rFonts w:ascii="Calibri" w:eastAsia="Times New Roman" w:hAnsi="Calibri" w:cs="Calibri"/>
                <w:b/>
                <w:bCs/>
                <w:color w:val="000000"/>
                <w:lang w:eastAsia="en-GB"/>
              </w:rPr>
            </w:pPr>
            <w:r w:rsidRPr="00F970E2">
              <w:rPr>
                <w:rFonts w:ascii="Calibri" w:eastAsia="Times New Roman" w:hAnsi="Calibri" w:cs="Calibri"/>
                <w:b/>
                <w:bCs/>
                <w:color w:val="000000"/>
                <w:lang w:eastAsia="en-GB"/>
              </w:rPr>
              <w:t>C/R</w:t>
            </w:r>
          </w:p>
        </w:tc>
        <w:tc>
          <w:tcPr>
            <w:tcW w:w="1000" w:type="dxa"/>
            <w:tcBorders>
              <w:top w:val="single" w:sz="4" w:space="0" w:color="auto"/>
              <w:left w:val="nil"/>
              <w:bottom w:val="single" w:sz="4" w:space="0" w:color="auto"/>
              <w:right w:val="single" w:sz="4" w:space="0" w:color="auto"/>
            </w:tcBorders>
            <w:shd w:val="clear" w:color="auto" w:fill="auto"/>
            <w:noWrap/>
            <w:vAlign w:val="bottom"/>
            <w:hideMark/>
          </w:tcPr>
          <w:p w14:paraId="42743E0E" w14:textId="77777777" w:rsidR="00F970E2" w:rsidRPr="00F970E2" w:rsidRDefault="00F970E2" w:rsidP="00F970E2">
            <w:pPr>
              <w:spacing w:after="0" w:line="240" w:lineRule="auto"/>
              <w:rPr>
                <w:rFonts w:ascii="Calibri" w:eastAsia="Times New Roman" w:hAnsi="Calibri" w:cs="Calibri"/>
                <w:b/>
                <w:bCs/>
                <w:color w:val="000000"/>
                <w:lang w:eastAsia="en-GB"/>
              </w:rPr>
            </w:pPr>
            <w:r w:rsidRPr="00F970E2">
              <w:rPr>
                <w:rFonts w:ascii="Calibri" w:eastAsia="Times New Roman" w:hAnsi="Calibri" w:cs="Calibri"/>
                <w:b/>
                <w:bCs/>
                <w:color w:val="000000"/>
                <w:lang w:eastAsia="en-GB"/>
              </w:rPr>
              <w:t>Q/R</w:t>
            </w:r>
          </w:p>
        </w:tc>
        <w:tc>
          <w:tcPr>
            <w:tcW w:w="1000" w:type="dxa"/>
            <w:tcBorders>
              <w:top w:val="single" w:sz="4" w:space="0" w:color="auto"/>
              <w:left w:val="nil"/>
              <w:bottom w:val="single" w:sz="4" w:space="0" w:color="auto"/>
              <w:right w:val="single" w:sz="4" w:space="0" w:color="auto"/>
            </w:tcBorders>
            <w:shd w:val="clear" w:color="auto" w:fill="auto"/>
            <w:noWrap/>
            <w:vAlign w:val="bottom"/>
            <w:hideMark/>
          </w:tcPr>
          <w:p w14:paraId="007D702A" w14:textId="77777777" w:rsidR="00F970E2" w:rsidRPr="00F970E2" w:rsidRDefault="00F970E2" w:rsidP="00F970E2">
            <w:pPr>
              <w:spacing w:after="0" w:line="240" w:lineRule="auto"/>
              <w:rPr>
                <w:rFonts w:ascii="Calibri" w:eastAsia="Times New Roman" w:hAnsi="Calibri" w:cs="Calibri"/>
                <w:b/>
                <w:bCs/>
                <w:color w:val="000000"/>
                <w:lang w:eastAsia="en-GB"/>
              </w:rPr>
            </w:pPr>
            <w:r w:rsidRPr="00F970E2">
              <w:rPr>
                <w:rFonts w:ascii="Calibri" w:eastAsia="Times New Roman" w:hAnsi="Calibri" w:cs="Calibri"/>
                <w:b/>
                <w:bCs/>
                <w:color w:val="000000"/>
                <w:lang w:eastAsia="en-GB"/>
              </w:rPr>
              <w:t>D/E</w:t>
            </w:r>
          </w:p>
        </w:tc>
        <w:tc>
          <w:tcPr>
            <w:tcW w:w="1000" w:type="dxa"/>
            <w:tcBorders>
              <w:top w:val="single" w:sz="4" w:space="0" w:color="auto"/>
              <w:left w:val="nil"/>
              <w:bottom w:val="single" w:sz="4" w:space="0" w:color="auto"/>
              <w:right w:val="single" w:sz="4" w:space="0" w:color="auto"/>
            </w:tcBorders>
            <w:shd w:val="clear" w:color="auto" w:fill="auto"/>
            <w:noWrap/>
            <w:vAlign w:val="bottom"/>
            <w:hideMark/>
          </w:tcPr>
          <w:p w14:paraId="67449CE6" w14:textId="77777777" w:rsidR="00F970E2" w:rsidRPr="00F970E2" w:rsidRDefault="00F970E2" w:rsidP="00F970E2">
            <w:pPr>
              <w:spacing w:after="0" w:line="240" w:lineRule="auto"/>
              <w:rPr>
                <w:rFonts w:ascii="Calibri" w:eastAsia="Times New Roman" w:hAnsi="Calibri" w:cs="Calibri"/>
                <w:b/>
                <w:bCs/>
                <w:color w:val="000000"/>
                <w:lang w:eastAsia="en-GB"/>
              </w:rPr>
            </w:pPr>
            <w:r w:rsidRPr="00F970E2">
              <w:rPr>
                <w:rFonts w:ascii="Calibri" w:eastAsia="Times New Roman" w:hAnsi="Calibri" w:cs="Calibri"/>
                <w:b/>
                <w:bCs/>
                <w:color w:val="000000"/>
                <w:lang w:eastAsia="en-GB"/>
              </w:rPr>
              <w:t>D/C</w:t>
            </w:r>
          </w:p>
        </w:tc>
        <w:tc>
          <w:tcPr>
            <w:tcW w:w="1000" w:type="dxa"/>
            <w:tcBorders>
              <w:top w:val="single" w:sz="4" w:space="0" w:color="auto"/>
              <w:left w:val="nil"/>
              <w:bottom w:val="single" w:sz="4" w:space="0" w:color="auto"/>
              <w:right w:val="single" w:sz="4" w:space="0" w:color="auto"/>
            </w:tcBorders>
            <w:shd w:val="clear" w:color="auto" w:fill="auto"/>
            <w:noWrap/>
            <w:vAlign w:val="bottom"/>
            <w:hideMark/>
          </w:tcPr>
          <w:p w14:paraId="4E4412C0" w14:textId="77777777" w:rsidR="00F970E2" w:rsidRPr="00F970E2" w:rsidRDefault="00F970E2" w:rsidP="00F970E2">
            <w:pPr>
              <w:spacing w:after="0" w:line="240" w:lineRule="auto"/>
              <w:rPr>
                <w:rFonts w:ascii="Calibri" w:eastAsia="Times New Roman" w:hAnsi="Calibri" w:cs="Calibri"/>
                <w:b/>
                <w:bCs/>
                <w:color w:val="000000"/>
                <w:lang w:eastAsia="en-GB"/>
              </w:rPr>
            </w:pPr>
            <w:r w:rsidRPr="00F970E2">
              <w:rPr>
                <w:rFonts w:ascii="Calibri" w:eastAsia="Times New Roman" w:hAnsi="Calibri" w:cs="Calibri"/>
                <w:b/>
                <w:bCs/>
                <w:color w:val="000000"/>
                <w:lang w:eastAsia="en-GB"/>
              </w:rPr>
              <w:t>Size</w:t>
            </w:r>
          </w:p>
        </w:tc>
        <w:tc>
          <w:tcPr>
            <w:tcW w:w="1360" w:type="dxa"/>
            <w:tcBorders>
              <w:top w:val="single" w:sz="4" w:space="0" w:color="auto"/>
              <w:left w:val="nil"/>
              <w:bottom w:val="single" w:sz="4" w:space="0" w:color="auto"/>
              <w:right w:val="single" w:sz="4" w:space="0" w:color="auto"/>
            </w:tcBorders>
            <w:shd w:val="clear" w:color="auto" w:fill="auto"/>
            <w:noWrap/>
            <w:vAlign w:val="bottom"/>
            <w:hideMark/>
          </w:tcPr>
          <w:p w14:paraId="249023F9" w14:textId="77777777" w:rsidR="00F970E2" w:rsidRPr="00F970E2" w:rsidRDefault="00F970E2" w:rsidP="00F970E2">
            <w:pPr>
              <w:spacing w:after="0" w:line="240" w:lineRule="auto"/>
              <w:rPr>
                <w:rFonts w:ascii="Calibri" w:eastAsia="Times New Roman" w:hAnsi="Calibri" w:cs="Calibri"/>
                <w:b/>
                <w:bCs/>
                <w:color w:val="000000"/>
                <w:lang w:eastAsia="en-GB"/>
              </w:rPr>
            </w:pPr>
            <w:r w:rsidRPr="00F970E2">
              <w:rPr>
                <w:rFonts w:ascii="Calibri" w:eastAsia="Times New Roman" w:hAnsi="Calibri" w:cs="Calibri"/>
                <w:b/>
                <w:bCs/>
                <w:color w:val="000000"/>
                <w:lang w:eastAsia="en-GB"/>
              </w:rPr>
              <w:t>Growth</w:t>
            </w:r>
          </w:p>
        </w:tc>
      </w:tr>
      <w:tr w:rsidR="00F970E2" w:rsidRPr="00F970E2" w14:paraId="6623B71E" w14:textId="77777777" w:rsidTr="00F970E2">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25C1A9A2" w14:textId="71CF9A58" w:rsidR="00F970E2" w:rsidRPr="00F970E2" w:rsidRDefault="00F970E2" w:rsidP="00F970E2">
            <w:pPr>
              <w:spacing w:after="0" w:line="240" w:lineRule="auto"/>
              <w:rPr>
                <w:rFonts w:ascii="Calibri" w:eastAsia="Times New Roman" w:hAnsi="Calibri" w:cs="Calibri"/>
                <w:b/>
                <w:bCs/>
                <w:color w:val="000000"/>
                <w:lang w:eastAsia="en-GB"/>
              </w:rPr>
            </w:pPr>
            <w:r w:rsidRPr="00F970E2">
              <w:rPr>
                <w:rFonts w:ascii="Calibri" w:eastAsia="Times New Roman" w:hAnsi="Calibri" w:cs="Calibri"/>
                <w:b/>
                <w:bCs/>
                <w:color w:val="000000"/>
                <w:lang w:eastAsia="en-GB"/>
              </w:rPr>
              <w:t>2014 Easy</w:t>
            </w:r>
            <w:r w:rsidR="000650F6">
              <w:rPr>
                <w:rFonts w:ascii="Calibri" w:eastAsia="Times New Roman" w:hAnsi="Calibri" w:cs="Calibri"/>
                <w:b/>
                <w:bCs/>
                <w:color w:val="000000"/>
                <w:lang w:eastAsia="en-GB"/>
              </w:rPr>
              <w:t>J</w:t>
            </w:r>
            <w:r w:rsidRPr="00F970E2">
              <w:rPr>
                <w:rFonts w:ascii="Calibri" w:eastAsia="Times New Roman" w:hAnsi="Calibri" w:cs="Calibri"/>
                <w:b/>
                <w:bCs/>
                <w:color w:val="000000"/>
                <w:lang w:eastAsia="en-GB"/>
              </w:rPr>
              <w:t>et</w:t>
            </w:r>
          </w:p>
        </w:tc>
        <w:tc>
          <w:tcPr>
            <w:tcW w:w="1000" w:type="dxa"/>
            <w:tcBorders>
              <w:top w:val="nil"/>
              <w:left w:val="nil"/>
              <w:bottom w:val="single" w:sz="4" w:space="0" w:color="auto"/>
              <w:right w:val="single" w:sz="4" w:space="0" w:color="auto"/>
            </w:tcBorders>
            <w:shd w:val="clear" w:color="auto" w:fill="auto"/>
            <w:noWrap/>
            <w:vAlign w:val="bottom"/>
            <w:hideMark/>
          </w:tcPr>
          <w:p w14:paraId="11958458"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15.36%</w:t>
            </w:r>
          </w:p>
        </w:tc>
        <w:tc>
          <w:tcPr>
            <w:tcW w:w="1000" w:type="dxa"/>
            <w:tcBorders>
              <w:top w:val="nil"/>
              <w:left w:val="nil"/>
              <w:bottom w:val="single" w:sz="4" w:space="0" w:color="auto"/>
              <w:right w:val="single" w:sz="4" w:space="0" w:color="auto"/>
            </w:tcBorders>
            <w:shd w:val="clear" w:color="auto" w:fill="auto"/>
            <w:noWrap/>
            <w:vAlign w:val="bottom"/>
            <w:hideMark/>
          </w:tcPr>
          <w:p w14:paraId="3002EB4D"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10.89%</w:t>
            </w:r>
          </w:p>
        </w:tc>
        <w:tc>
          <w:tcPr>
            <w:tcW w:w="1000" w:type="dxa"/>
            <w:tcBorders>
              <w:top w:val="nil"/>
              <w:left w:val="nil"/>
              <w:bottom w:val="single" w:sz="4" w:space="0" w:color="auto"/>
              <w:right w:val="single" w:sz="4" w:space="0" w:color="auto"/>
            </w:tcBorders>
            <w:shd w:val="clear" w:color="auto" w:fill="auto"/>
            <w:noWrap/>
            <w:vAlign w:val="bottom"/>
            <w:hideMark/>
          </w:tcPr>
          <w:p w14:paraId="7B09BFD0"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0.89</w:t>
            </w:r>
          </w:p>
        </w:tc>
        <w:tc>
          <w:tcPr>
            <w:tcW w:w="1000" w:type="dxa"/>
            <w:tcBorders>
              <w:top w:val="nil"/>
              <w:left w:val="nil"/>
              <w:bottom w:val="single" w:sz="4" w:space="0" w:color="auto"/>
              <w:right w:val="single" w:sz="4" w:space="0" w:color="auto"/>
            </w:tcBorders>
            <w:shd w:val="clear" w:color="auto" w:fill="auto"/>
            <w:noWrap/>
            <w:vAlign w:val="bottom"/>
            <w:hideMark/>
          </w:tcPr>
          <w:p w14:paraId="40107C68"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0.89</w:t>
            </w:r>
          </w:p>
        </w:tc>
        <w:tc>
          <w:tcPr>
            <w:tcW w:w="1000" w:type="dxa"/>
            <w:tcBorders>
              <w:top w:val="nil"/>
              <w:left w:val="nil"/>
              <w:bottom w:val="single" w:sz="4" w:space="0" w:color="auto"/>
              <w:right w:val="single" w:sz="4" w:space="0" w:color="auto"/>
            </w:tcBorders>
            <w:shd w:val="clear" w:color="auto" w:fill="auto"/>
            <w:noWrap/>
            <w:vAlign w:val="bottom"/>
            <w:hideMark/>
          </w:tcPr>
          <w:p w14:paraId="538186B5"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0.22</w:t>
            </w:r>
          </w:p>
        </w:tc>
        <w:tc>
          <w:tcPr>
            <w:tcW w:w="1000" w:type="dxa"/>
            <w:tcBorders>
              <w:top w:val="nil"/>
              <w:left w:val="nil"/>
              <w:bottom w:val="single" w:sz="4" w:space="0" w:color="auto"/>
              <w:right w:val="single" w:sz="4" w:space="0" w:color="auto"/>
            </w:tcBorders>
            <w:shd w:val="clear" w:color="auto" w:fill="auto"/>
            <w:noWrap/>
            <w:vAlign w:val="bottom"/>
            <w:hideMark/>
          </w:tcPr>
          <w:p w14:paraId="2B19C14C"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0.18</w:t>
            </w:r>
          </w:p>
        </w:tc>
        <w:tc>
          <w:tcPr>
            <w:tcW w:w="1000" w:type="dxa"/>
            <w:tcBorders>
              <w:top w:val="nil"/>
              <w:left w:val="nil"/>
              <w:bottom w:val="single" w:sz="4" w:space="0" w:color="auto"/>
              <w:right w:val="single" w:sz="4" w:space="0" w:color="auto"/>
            </w:tcBorders>
            <w:shd w:val="clear" w:color="auto" w:fill="auto"/>
            <w:noWrap/>
            <w:vAlign w:val="bottom"/>
            <w:hideMark/>
          </w:tcPr>
          <w:p w14:paraId="16193789"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226</w:t>
            </w:r>
          </w:p>
        </w:tc>
        <w:tc>
          <w:tcPr>
            <w:tcW w:w="1360" w:type="dxa"/>
            <w:tcBorders>
              <w:top w:val="nil"/>
              <w:left w:val="nil"/>
              <w:bottom w:val="single" w:sz="4" w:space="0" w:color="auto"/>
              <w:right w:val="single" w:sz="4" w:space="0" w:color="auto"/>
            </w:tcBorders>
            <w:shd w:val="clear" w:color="auto" w:fill="auto"/>
            <w:noWrap/>
            <w:vAlign w:val="bottom"/>
            <w:hideMark/>
          </w:tcPr>
          <w:p w14:paraId="60743BB7"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6.31%</w:t>
            </w:r>
          </w:p>
        </w:tc>
      </w:tr>
      <w:tr w:rsidR="00F970E2" w:rsidRPr="00F970E2" w14:paraId="72394377" w14:textId="77777777" w:rsidTr="00F970E2">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0334D95C" w14:textId="77777777" w:rsidR="00F970E2" w:rsidRPr="00F970E2" w:rsidRDefault="00F970E2" w:rsidP="00F970E2">
            <w:pPr>
              <w:spacing w:after="0" w:line="240" w:lineRule="auto"/>
              <w:rPr>
                <w:rFonts w:ascii="Calibri" w:eastAsia="Times New Roman" w:hAnsi="Calibri" w:cs="Calibri"/>
                <w:b/>
                <w:bCs/>
                <w:color w:val="000000"/>
                <w:lang w:eastAsia="en-GB"/>
              </w:rPr>
            </w:pPr>
            <w:r w:rsidRPr="00F970E2">
              <w:rPr>
                <w:rFonts w:ascii="Calibri" w:eastAsia="Times New Roman" w:hAnsi="Calibri" w:cs="Calibri"/>
                <w:b/>
                <w:bCs/>
                <w:color w:val="000000"/>
                <w:lang w:eastAsia="en-GB"/>
              </w:rPr>
              <w:t>2014 Ryanair</w:t>
            </w:r>
          </w:p>
        </w:tc>
        <w:tc>
          <w:tcPr>
            <w:tcW w:w="1000" w:type="dxa"/>
            <w:tcBorders>
              <w:top w:val="nil"/>
              <w:left w:val="nil"/>
              <w:bottom w:val="single" w:sz="4" w:space="0" w:color="auto"/>
              <w:right w:val="single" w:sz="4" w:space="0" w:color="auto"/>
            </w:tcBorders>
            <w:shd w:val="clear" w:color="auto" w:fill="auto"/>
            <w:noWrap/>
            <w:vAlign w:val="bottom"/>
            <w:hideMark/>
          </w:tcPr>
          <w:p w14:paraId="1D8361A3"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8.49%</w:t>
            </w:r>
          </w:p>
        </w:tc>
        <w:tc>
          <w:tcPr>
            <w:tcW w:w="1000" w:type="dxa"/>
            <w:tcBorders>
              <w:top w:val="nil"/>
              <w:left w:val="nil"/>
              <w:bottom w:val="single" w:sz="4" w:space="0" w:color="auto"/>
              <w:right w:val="single" w:sz="4" w:space="0" w:color="auto"/>
            </w:tcBorders>
            <w:shd w:val="clear" w:color="auto" w:fill="auto"/>
            <w:noWrap/>
            <w:vAlign w:val="bottom"/>
            <w:hideMark/>
          </w:tcPr>
          <w:p w14:paraId="54455B12"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5.98%</w:t>
            </w:r>
          </w:p>
        </w:tc>
        <w:tc>
          <w:tcPr>
            <w:tcW w:w="1000" w:type="dxa"/>
            <w:tcBorders>
              <w:top w:val="nil"/>
              <w:left w:val="nil"/>
              <w:bottom w:val="single" w:sz="4" w:space="0" w:color="auto"/>
              <w:right w:val="single" w:sz="4" w:space="0" w:color="auto"/>
            </w:tcBorders>
            <w:shd w:val="clear" w:color="auto" w:fill="auto"/>
            <w:noWrap/>
            <w:vAlign w:val="bottom"/>
            <w:hideMark/>
          </w:tcPr>
          <w:p w14:paraId="03C39C82"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1.72</w:t>
            </w:r>
          </w:p>
        </w:tc>
        <w:tc>
          <w:tcPr>
            <w:tcW w:w="1000" w:type="dxa"/>
            <w:tcBorders>
              <w:top w:val="nil"/>
              <w:left w:val="nil"/>
              <w:bottom w:val="single" w:sz="4" w:space="0" w:color="auto"/>
              <w:right w:val="single" w:sz="4" w:space="0" w:color="auto"/>
            </w:tcBorders>
            <w:shd w:val="clear" w:color="auto" w:fill="auto"/>
            <w:noWrap/>
            <w:vAlign w:val="bottom"/>
            <w:hideMark/>
          </w:tcPr>
          <w:p w14:paraId="0257C7F9"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1.71</w:t>
            </w:r>
          </w:p>
        </w:tc>
        <w:tc>
          <w:tcPr>
            <w:tcW w:w="1000" w:type="dxa"/>
            <w:tcBorders>
              <w:top w:val="nil"/>
              <w:left w:val="nil"/>
              <w:bottom w:val="single" w:sz="4" w:space="0" w:color="auto"/>
              <w:right w:val="single" w:sz="4" w:space="0" w:color="auto"/>
            </w:tcBorders>
            <w:shd w:val="clear" w:color="auto" w:fill="auto"/>
            <w:noWrap/>
            <w:vAlign w:val="bottom"/>
            <w:hideMark/>
          </w:tcPr>
          <w:p w14:paraId="7C9F5D64"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0.65</w:t>
            </w:r>
          </w:p>
        </w:tc>
        <w:tc>
          <w:tcPr>
            <w:tcW w:w="1000" w:type="dxa"/>
            <w:tcBorders>
              <w:top w:val="nil"/>
              <w:left w:val="nil"/>
              <w:bottom w:val="single" w:sz="4" w:space="0" w:color="auto"/>
              <w:right w:val="single" w:sz="4" w:space="0" w:color="auto"/>
            </w:tcBorders>
            <w:shd w:val="clear" w:color="auto" w:fill="auto"/>
            <w:noWrap/>
            <w:vAlign w:val="bottom"/>
            <w:hideMark/>
          </w:tcPr>
          <w:p w14:paraId="08CEBF8B"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0.39</w:t>
            </w:r>
          </w:p>
        </w:tc>
        <w:tc>
          <w:tcPr>
            <w:tcW w:w="1000" w:type="dxa"/>
            <w:tcBorders>
              <w:top w:val="nil"/>
              <w:left w:val="nil"/>
              <w:bottom w:val="single" w:sz="4" w:space="0" w:color="auto"/>
              <w:right w:val="single" w:sz="4" w:space="0" w:color="auto"/>
            </w:tcBorders>
            <w:shd w:val="clear" w:color="auto" w:fill="auto"/>
            <w:noWrap/>
            <w:vAlign w:val="bottom"/>
            <w:hideMark/>
          </w:tcPr>
          <w:p w14:paraId="7E96E56C"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297</w:t>
            </w:r>
          </w:p>
        </w:tc>
        <w:tc>
          <w:tcPr>
            <w:tcW w:w="1360" w:type="dxa"/>
            <w:tcBorders>
              <w:top w:val="nil"/>
              <w:left w:val="nil"/>
              <w:bottom w:val="single" w:sz="4" w:space="0" w:color="auto"/>
              <w:right w:val="single" w:sz="4" w:space="0" w:color="auto"/>
            </w:tcBorders>
            <w:shd w:val="clear" w:color="auto" w:fill="auto"/>
            <w:noWrap/>
            <w:vAlign w:val="bottom"/>
            <w:hideMark/>
          </w:tcPr>
          <w:p w14:paraId="7DEC6DB2"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7.65%</w:t>
            </w:r>
          </w:p>
        </w:tc>
      </w:tr>
      <w:tr w:rsidR="00F970E2" w:rsidRPr="00F970E2" w14:paraId="0D39BF48" w14:textId="77777777" w:rsidTr="00F970E2">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19DE2B89" w14:textId="4374BFCF" w:rsidR="00F970E2" w:rsidRPr="00F970E2" w:rsidRDefault="00F970E2" w:rsidP="00F970E2">
            <w:pPr>
              <w:spacing w:after="0" w:line="240" w:lineRule="auto"/>
              <w:rPr>
                <w:rFonts w:ascii="Calibri" w:eastAsia="Times New Roman" w:hAnsi="Calibri" w:cs="Calibri"/>
                <w:b/>
                <w:bCs/>
                <w:color w:val="000000"/>
                <w:lang w:eastAsia="en-GB"/>
              </w:rPr>
            </w:pPr>
            <w:r w:rsidRPr="00F970E2">
              <w:rPr>
                <w:rFonts w:ascii="Calibri" w:eastAsia="Times New Roman" w:hAnsi="Calibri" w:cs="Calibri"/>
                <w:b/>
                <w:bCs/>
                <w:color w:val="000000"/>
                <w:lang w:eastAsia="en-GB"/>
              </w:rPr>
              <w:t>2014 I</w:t>
            </w:r>
            <w:r w:rsidR="000650F6">
              <w:rPr>
                <w:rFonts w:ascii="Calibri" w:eastAsia="Times New Roman" w:hAnsi="Calibri" w:cs="Calibri"/>
                <w:b/>
                <w:bCs/>
                <w:color w:val="000000"/>
                <w:lang w:eastAsia="en-GB"/>
              </w:rPr>
              <w:t>AG</w:t>
            </w:r>
            <w:r w:rsidRPr="00F970E2">
              <w:rPr>
                <w:rFonts w:ascii="Calibri" w:eastAsia="Times New Roman" w:hAnsi="Calibri" w:cs="Calibri"/>
                <w:b/>
                <w:bCs/>
                <w:color w:val="000000"/>
                <w:lang w:eastAsia="en-GB"/>
              </w:rPr>
              <w:t xml:space="preserve"> Group</w:t>
            </w:r>
          </w:p>
        </w:tc>
        <w:tc>
          <w:tcPr>
            <w:tcW w:w="1000" w:type="dxa"/>
            <w:tcBorders>
              <w:top w:val="nil"/>
              <w:left w:val="nil"/>
              <w:bottom w:val="single" w:sz="4" w:space="0" w:color="auto"/>
              <w:right w:val="single" w:sz="4" w:space="0" w:color="auto"/>
            </w:tcBorders>
            <w:shd w:val="clear" w:color="auto" w:fill="auto"/>
            <w:noWrap/>
            <w:vAlign w:val="bottom"/>
            <w:hideMark/>
          </w:tcPr>
          <w:p w14:paraId="7B38F19F"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7.90%</w:t>
            </w:r>
          </w:p>
        </w:tc>
        <w:tc>
          <w:tcPr>
            <w:tcW w:w="1000" w:type="dxa"/>
            <w:tcBorders>
              <w:top w:val="nil"/>
              <w:left w:val="nil"/>
              <w:bottom w:val="single" w:sz="4" w:space="0" w:color="auto"/>
              <w:right w:val="single" w:sz="4" w:space="0" w:color="auto"/>
            </w:tcBorders>
            <w:shd w:val="clear" w:color="auto" w:fill="auto"/>
            <w:noWrap/>
            <w:vAlign w:val="bottom"/>
            <w:hideMark/>
          </w:tcPr>
          <w:p w14:paraId="529A4C35"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-1.82%</w:t>
            </w:r>
          </w:p>
        </w:tc>
        <w:tc>
          <w:tcPr>
            <w:tcW w:w="1000" w:type="dxa"/>
            <w:tcBorders>
              <w:top w:val="nil"/>
              <w:left w:val="nil"/>
              <w:bottom w:val="single" w:sz="4" w:space="0" w:color="auto"/>
              <w:right w:val="single" w:sz="4" w:space="0" w:color="auto"/>
            </w:tcBorders>
            <w:shd w:val="clear" w:color="auto" w:fill="auto"/>
            <w:noWrap/>
            <w:vAlign w:val="bottom"/>
            <w:hideMark/>
          </w:tcPr>
          <w:p w14:paraId="046A7961"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0.76</w:t>
            </w:r>
          </w:p>
        </w:tc>
        <w:tc>
          <w:tcPr>
            <w:tcW w:w="1000" w:type="dxa"/>
            <w:tcBorders>
              <w:top w:val="nil"/>
              <w:left w:val="nil"/>
              <w:bottom w:val="single" w:sz="4" w:space="0" w:color="auto"/>
              <w:right w:val="single" w:sz="4" w:space="0" w:color="auto"/>
            </w:tcBorders>
            <w:shd w:val="clear" w:color="auto" w:fill="auto"/>
            <w:noWrap/>
            <w:vAlign w:val="bottom"/>
            <w:hideMark/>
          </w:tcPr>
          <w:p w14:paraId="03BF35D7"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0.71</w:t>
            </w:r>
          </w:p>
        </w:tc>
        <w:tc>
          <w:tcPr>
            <w:tcW w:w="1000" w:type="dxa"/>
            <w:tcBorders>
              <w:top w:val="nil"/>
              <w:left w:val="nil"/>
              <w:bottom w:val="single" w:sz="4" w:space="0" w:color="auto"/>
              <w:right w:val="single" w:sz="4" w:space="0" w:color="auto"/>
            </w:tcBorders>
            <w:shd w:val="clear" w:color="auto" w:fill="auto"/>
            <w:noWrap/>
            <w:vAlign w:val="bottom"/>
            <w:hideMark/>
          </w:tcPr>
          <w:p w14:paraId="5981240A"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1.56</w:t>
            </w:r>
          </w:p>
        </w:tc>
        <w:tc>
          <w:tcPr>
            <w:tcW w:w="1000" w:type="dxa"/>
            <w:tcBorders>
              <w:top w:val="nil"/>
              <w:left w:val="nil"/>
              <w:bottom w:val="single" w:sz="4" w:space="0" w:color="auto"/>
              <w:right w:val="single" w:sz="4" w:space="0" w:color="auto"/>
            </w:tcBorders>
            <w:shd w:val="clear" w:color="auto" w:fill="auto"/>
            <w:noWrap/>
            <w:vAlign w:val="bottom"/>
            <w:hideMark/>
          </w:tcPr>
          <w:p w14:paraId="4A50708B"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0.61</w:t>
            </w:r>
          </w:p>
        </w:tc>
        <w:tc>
          <w:tcPr>
            <w:tcW w:w="1000" w:type="dxa"/>
            <w:tcBorders>
              <w:top w:val="nil"/>
              <w:left w:val="nil"/>
              <w:bottom w:val="single" w:sz="4" w:space="0" w:color="auto"/>
              <w:right w:val="single" w:sz="4" w:space="0" w:color="auto"/>
            </w:tcBorders>
            <w:shd w:val="clear" w:color="auto" w:fill="auto"/>
            <w:noWrap/>
            <w:vAlign w:val="bottom"/>
            <w:hideMark/>
          </w:tcPr>
          <w:p w14:paraId="0AFA6754"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459</w:t>
            </w:r>
          </w:p>
        </w:tc>
        <w:tc>
          <w:tcPr>
            <w:tcW w:w="1360" w:type="dxa"/>
            <w:tcBorders>
              <w:top w:val="nil"/>
              <w:left w:val="nil"/>
              <w:bottom w:val="single" w:sz="4" w:space="0" w:color="auto"/>
              <w:right w:val="single" w:sz="4" w:space="0" w:color="auto"/>
            </w:tcBorders>
            <w:shd w:val="clear" w:color="auto" w:fill="auto"/>
            <w:noWrap/>
            <w:vAlign w:val="bottom"/>
            <w:hideMark/>
          </w:tcPr>
          <w:p w14:paraId="435ACB65"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7.10%</w:t>
            </w:r>
          </w:p>
        </w:tc>
      </w:tr>
      <w:tr w:rsidR="00F970E2" w:rsidRPr="00F970E2" w14:paraId="1541FCE0" w14:textId="77777777" w:rsidTr="00F970E2">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7B6BDB9C" w14:textId="77777777" w:rsidR="00F970E2" w:rsidRPr="00F970E2" w:rsidRDefault="00F970E2" w:rsidP="00F970E2">
            <w:pPr>
              <w:spacing w:after="0" w:line="240" w:lineRule="auto"/>
              <w:rPr>
                <w:rFonts w:ascii="Calibri" w:eastAsia="Times New Roman" w:hAnsi="Calibri" w:cs="Calibri"/>
                <w:b/>
                <w:bCs/>
                <w:color w:val="000000"/>
                <w:lang w:eastAsia="en-GB"/>
              </w:rPr>
            </w:pPr>
            <w:r w:rsidRPr="00F970E2">
              <w:rPr>
                <w:rFonts w:ascii="Calibri" w:eastAsia="Times New Roman" w:hAnsi="Calibri" w:cs="Calibri"/>
                <w:b/>
                <w:bCs/>
                <w:color w:val="000000"/>
                <w:lang w:eastAsia="en-GB"/>
              </w:rPr>
              <w:t>2014 Air France</w:t>
            </w:r>
          </w:p>
        </w:tc>
        <w:tc>
          <w:tcPr>
            <w:tcW w:w="1000" w:type="dxa"/>
            <w:tcBorders>
              <w:top w:val="nil"/>
              <w:left w:val="nil"/>
              <w:bottom w:val="single" w:sz="4" w:space="0" w:color="auto"/>
              <w:right w:val="single" w:sz="4" w:space="0" w:color="auto"/>
            </w:tcBorders>
            <w:shd w:val="clear" w:color="auto" w:fill="auto"/>
            <w:noWrap/>
            <w:vAlign w:val="bottom"/>
            <w:hideMark/>
          </w:tcPr>
          <w:p w14:paraId="73D4E12F"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-3.15%</w:t>
            </w:r>
          </w:p>
        </w:tc>
        <w:tc>
          <w:tcPr>
            <w:tcW w:w="1000" w:type="dxa"/>
            <w:tcBorders>
              <w:top w:val="nil"/>
              <w:left w:val="nil"/>
              <w:bottom w:val="single" w:sz="4" w:space="0" w:color="auto"/>
              <w:right w:val="single" w:sz="4" w:space="0" w:color="auto"/>
            </w:tcBorders>
            <w:shd w:val="clear" w:color="auto" w:fill="auto"/>
            <w:noWrap/>
            <w:vAlign w:val="bottom"/>
            <w:hideMark/>
          </w:tcPr>
          <w:p w14:paraId="48CFCF78"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-1.12%</w:t>
            </w:r>
          </w:p>
        </w:tc>
        <w:tc>
          <w:tcPr>
            <w:tcW w:w="1000" w:type="dxa"/>
            <w:tcBorders>
              <w:top w:val="nil"/>
              <w:left w:val="nil"/>
              <w:bottom w:val="single" w:sz="4" w:space="0" w:color="auto"/>
              <w:right w:val="single" w:sz="4" w:space="0" w:color="auto"/>
            </w:tcBorders>
            <w:shd w:val="clear" w:color="auto" w:fill="auto"/>
            <w:noWrap/>
            <w:vAlign w:val="bottom"/>
            <w:hideMark/>
          </w:tcPr>
          <w:p w14:paraId="6757111F"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0.61</w:t>
            </w:r>
          </w:p>
        </w:tc>
        <w:tc>
          <w:tcPr>
            <w:tcW w:w="1000" w:type="dxa"/>
            <w:tcBorders>
              <w:top w:val="nil"/>
              <w:left w:val="nil"/>
              <w:bottom w:val="single" w:sz="4" w:space="0" w:color="auto"/>
              <w:right w:val="single" w:sz="4" w:space="0" w:color="auto"/>
            </w:tcBorders>
            <w:shd w:val="clear" w:color="auto" w:fill="auto"/>
            <w:noWrap/>
            <w:vAlign w:val="bottom"/>
            <w:hideMark/>
          </w:tcPr>
          <w:p w14:paraId="1238CCFF"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0.56</w:t>
            </w:r>
          </w:p>
        </w:tc>
        <w:tc>
          <w:tcPr>
            <w:tcW w:w="1000" w:type="dxa"/>
            <w:tcBorders>
              <w:top w:val="nil"/>
              <w:left w:val="nil"/>
              <w:bottom w:val="single" w:sz="4" w:space="0" w:color="auto"/>
              <w:right w:val="single" w:sz="4" w:space="0" w:color="auto"/>
            </w:tcBorders>
            <w:shd w:val="clear" w:color="auto" w:fill="auto"/>
            <w:noWrap/>
            <w:vAlign w:val="bottom"/>
            <w:hideMark/>
          </w:tcPr>
          <w:p w14:paraId="281D1A58"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-12.24</w:t>
            </w:r>
          </w:p>
        </w:tc>
        <w:tc>
          <w:tcPr>
            <w:tcW w:w="1000" w:type="dxa"/>
            <w:tcBorders>
              <w:top w:val="nil"/>
              <w:left w:val="nil"/>
              <w:bottom w:val="single" w:sz="4" w:space="0" w:color="auto"/>
              <w:right w:val="single" w:sz="4" w:space="0" w:color="auto"/>
            </w:tcBorders>
            <w:shd w:val="clear" w:color="auto" w:fill="auto"/>
            <w:noWrap/>
            <w:vAlign w:val="bottom"/>
            <w:hideMark/>
          </w:tcPr>
          <w:p w14:paraId="7F887549"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1.09</w:t>
            </w:r>
          </w:p>
        </w:tc>
        <w:tc>
          <w:tcPr>
            <w:tcW w:w="1000" w:type="dxa"/>
            <w:tcBorders>
              <w:top w:val="nil"/>
              <w:left w:val="nil"/>
              <w:bottom w:val="single" w:sz="4" w:space="0" w:color="auto"/>
              <w:right w:val="single" w:sz="4" w:space="0" w:color="auto"/>
            </w:tcBorders>
            <w:shd w:val="clear" w:color="auto" w:fill="auto"/>
            <w:noWrap/>
            <w:vAlign w:val="bottom"/>
            <w:hideMark/>
          </w:tcPr>
          <w:p w14:paraId="31087120"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546</w:t>
            </w:r>
          </w:p>
        </w:tc>
        <w:tc>
          <w:tcPr>
            <w:tcW w:w="1360" w:type="dxa"/>
            <w:tcBorders>
              <w:top w:val="nil"/>
              <w:left w:val="nil"/>
              <w:bottom w:val="single" w:sz="4" w:space="0" w:color="auto"/>
              <w:right w:val="single" w:sz="4" w:space="0" w:color="auto"/>
            </w:tcBorders>
            <w:shd w:val="clear" w:color="auto" w:fill="auto"/>
            <w:noWrap/>
            <w:vAlign w:val="bottom"/>
            <w:hideMark/>
          </w:tcPr>
          <w:p w14:paraId="2BE898FD"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-2.35%</w:t>
            </w:r>
          </w:p>
        </w:tc>
      </w:tr>
      <w:tr w:rsidR="00F970E2" w:rsidRPr="00F970E2" w14:paraId="4D79897E" w14:textId="77777777" w:rsidTr="00F970E2">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1F8EE47C" w14:textId="77777777" w:rsidR="00F970E2" w:rsidRPr="00F970E2" w:rsidRDefault="00F970E2" w:rsidP="00F970E2">
            <w:pPr>
              <w:spacing w:after="0" w:line="240" w:lineRule="auto"/>
              <w:rPr>
                <w:rFonts w:ascii="Calibri" w:eastAsia="Times New Roman" w:hAnsi="Calibri" w:cs="Calibri"/>
                <w:b/>
                <w:bCs/>
                <w:color w:val="000000"/>
                <w:lang w:eastAsia="en-GB"/>
              </w:rPr>
            </w:pPr>
            <w:r w:rsidRPr="00F970E2">
              <w:rPr>
                <w:rFonts w:ascii="Calibri" w:eastAsia="Times New Roman" w:hAnsi="Calibri" w:cs="Calibri"/>
                <w:b/>
                <w:bCs/>
                <w:color w:val="000000"/>
                <w:lang w:eastAsia="en-GB"/>
              </w:rPr>
              <w:t>2014 Lufthansa</w:t>
            </w:r>
          </w:p>
        </w:tc>
        <w:tc>
          <w:tcPr>
            <w:tcW w:w="1000" w:type="dxa"/>
            <w:tcBorders>
              <w:top w:val="nil"/>
              <w:left w:val="nil"/>
              <w:bottom w:val="single" w:sz="4" w:space="0" w:color="auto"/>
              <w:right w:val="single" w:sz="4" w:space="0" w:color="auto"/>
            </w:tcBorders>
            <w:shd w:val="clear" w:color="auto" w:fill="auto"/>
            <w:noWrap/>
            <w:vAlign w:val="bottom"/>
            <w:hideMark/>
          </w:tcPr>
          <w:p w14:paraId="47E02AFC"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1.15%</w:t>
            </w:r>
          </w:p>
        </w:tc>
        <w:tc>
          <w:tcPr>
            <w:tcW w:w="1000" w:type="dxa"/>
            <w:tcBorders>
              <w:top w:val="nil"/>
              <w:left w:val="nil"/>
              <w:bottom w:val="single" w:sz="4" w:space="0" w:color="auto"/>
              <w:right w:val="single" w:sz="4" w:space="0" w:color="auto"/>
            </w:tcBorders>
            <w:shd w:val="clear" w:color="auto" w:fill="auto"/>
            <w:noWrap/>
            <w:vAlign w:val="bottom"/>
            <w:hideMark/>
          </w:tcPr>
          <w:p w14:paraId="7DDDD963"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0.38%</w:t>
            </w:r>
          </w:p>
        </w:tc>
        <w:tc>
          <w:tcPr>
            <w:tcW w:w="1000" w:type="dxa"/>
            <w:tcBorders>
              <w:top w:val="nil"/>
              <w:left w:val="nil"/>
              <w:bottom w:val="single" w:sz="4" w:space="0" w:color="auto"/>
              <w:right w:val="single" w:sz="4" w:space="0" w:color="auto"/>
            </w:tcBorders>
            <w:shd w:val="clear" w:color="auto" w:fill="auto"/>
            <w:noWrap/>
            <w:vAlign w:val="bottom"/>
            <w:hideMark/>
          </w:tcPr>
          <w:p w14:paraId="42E9B4FC"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0.75</w:t>
            </w:r>
          </w:p>
        </w:tc>
        <w:tc>
          <w:tcPr>
            <w:tcW w:w="1000" w:type="dxa"/>
            <w:tcBorders>
              <w:top w:val="nil"/>
              <w:left w:val="nil"/>
              <w:bottom w:val="single" w:sz="4" w:space="0" w:color="auto"/>
              <w:right w:val="single" w:sz="4" w:space="0" w:color="auto"/>
            </w:tcBorders>
            <w:shd w:val="clear" w:color="auto" w:fill="auto"/>
            <w:noWrap/>
            <w:vAlign w:val="bottom"/>
            <w:hideMark/>
          </w:tcPr>
          <w:p w14:paraId="1AD0F181"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0.69</w:t>
            </w:r>
          </w:p>
        </w:tc>
        <w:tc>
          <w:tcPr>
            <w:tcW w:w="1000" w:type="dxa"/>
            <w:tcBorders>
              <w:top w:val="nil"/>
              <w:left w:val="nil"/>
              <w:bottom w:val="single" w:sz="4" w:space="0" w:color="auto"/>
              <w:right w:val="single" w:sz="4" w:space="0" w:color="auto"/>
            </w:tcBorders>
            <w:shd w:val="clear" w:color="auto" w:fill="auto"/>
            <w:noWrap/>
            <w:vAlign w:val="bottom"/>
            <w:hideMark/>
          </w:tcPr>
          <w:p w14:paraId="5CCDA00D"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1.33</w:t>
            </w:r>
          </w:p>
        </w:tc>
        <w:tc>
          <w:tcPr>
            <w:tcW w:w="1000" w:type="dxa"/>
            <w:tcBorders>
              <w:top w:val="nil"/>
              <w:left w:val="nil"/>
              <w:bottom w:val="single" w:sz="4" w:space="0" w:color="auto"/>
              <w:right w:val="single" w:sz="4" w:space="0" w:color="auto"/>
            </w:tcBorders>
            <w:shd w:val="clear" w:color="auto" w:fill="auto"/>
            <w:noWrap/>
            <w:vAlign w:val="bottom"/>
            <w:hideMark/>
          </w:tcPr>
          <w:p w14:paraId="578209C8"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0.57</w:t>
            </w:r>
          </w:p>
        </w:tc>
        <w:tc>
          <w:tcPr>
            <w:tcW w:w="1000" w:type="dxa"/>
            <w:tcBorders>
              <w:top w:val="nil"/>
              <w:left w:val="nil"/>
              <w:bottom w:val="single" w:sz="4" w:space="0" w:color="auto"/>
              <w:right w:val="single" w:sz="4" w:space="0" w:color="auto"/>
            </w:tcBorders>
            <w:shd w:val="clear" w:color="auto" w:fill="auto"/>
            <w:noWrap/>
            <w:vAlign w:val="bottom"/>
            <w:hideMark/>
          </w:tcPr>
          <w:p w14:paraId="32BE2F8C"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615</w:t>
            </w:r>
          </w:p>
        </w:tc>
        <w:tc>
          <w:tcPr>
            <w:tcW w:w="1360" w:type="dxa"/>
            <w:tcBorders>
              <w:top w:val="nil"/>
              <w:left w:val="nil"/>
              <w:bottom w:val="single" w:sz="4" w:space="0" w:color="auto"/>
              <w:right w:val="single" w:sz="4" w:space="0" w:color="auto"/>
            </w:tcBorders>
            <w:shd w:val="clear" w:color="auto" w:fill="auto"/>
            <w:noWrap/>
            <w:vAlign w:val="bottom"/>
            <w:hideMark/>
          </w:tcPr>
          <w:p w14:paraId="4532EB4C"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-0.10%</w:t>
            </w:r>
          </w:p>
        </w:tc>
      </w:tr>
      <w:tr w:rsidR="00F970E2" w:rsidRPr="00F970E2" w14:paraId="3209AB83" w14:textId="77777777" w:rsidTr="00F970E2">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4A9C7A2B" w14:textId="5A71E5DF" w:rsidR="00F970E2" w:rsidRPr="00F970E2" w:rsidRDefault="00F970E2" w:rsidP="00F970E2">
            <w:pPr>
              <w:spacing w:after="0" w:line="240" w:lineRule="auto"/>
              <w:rPr>
                <w:rFonts w:ascii="Calibri" w:eastAsia="Times New Roman" w:hAnsi="Calibri" w:cs="Calibri"/>
                <w:b/>
                <w:bCs/>
                <w:color w:val="000000"/>
                <w:lang w:eastAsia="en-GB"/>
              </w:rPr>
            </w:pPr>
            <w:r w:rsidRPr="00F970E2">
              <w:rPr>
                <w:rFonts w:ascii="Calibri" w:eastAsia="Times New Roman" w:hAnsi="Calibri" w:cs="Calibri"/>
                <w:b/>
                <w:bCs/>
                <w:color w:val="000000"/>
                <w:lang w:eastAsia="en-GB"/>
              </w:rPr>
              <w:t>2015 Easy</w:t>
            </w:r>
            <w:r w:rsidR="000650F6">
              <w:rPr>
                <w:rFonts w:ascii="Calibri" w:eastAsia="Times New Roman" w:hAnsi="Calibri" w:cs="Calibri"/>
                <w:b/>
                <w:bCs/>
                <w:color w:val="000000"/>
                <w:lang w:eastAsia="en-GB"/>
              </w:rPr>
              <w:t>J</w:t>
            </w:r>
            <w:r w:rsidRPr="00F970E2">
              <w:rPr>
                <w:rFonts w:ascii="Calibri" w:eastAsia="Times New Roman" w:hAnsi="Calibri" w:cs="Calibri"/>
                <w:b/>
                <w:bCs/>
                <w:color w:val="000000"/>
                <w:lang w:eastAsia="en-GB"/>
              </w:rPr>
              <w:t>et</w:t>
            </w:r>
          </w:p>
        </w:tc>
        <w:tc>
          <w:tcPr>
            <w:tcW w:w="1000" w:type="dxa"/>
            <w:tcBorders>
              <w:top w:val="nil"/>
              <w:left w:val="nil"/>
              <w:bottom w:val="single" w:sz="4" w:space="0" w:color="auto"/>
              <w:right w:val="single" w:sz="4" w:space="0" w:color="auto"/>
            </w:tcBorders>
            <w:shd w:val="clear" w:color="auto" w:fill="auto"/>
            <w:noWrap/>
            <w:vAlign w:val="bottom"/>
            <w:hideMark/>
          </w:tcPr>
          <w:p w14:paraId="7007A3D4"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18.80%</w:t>
            </w:r>
          </w:p>
        </w:tc>
        <w:tc>
          <w:tcPr>
            <w:tcW w:w="1000" w:type="dxa"/>
            <w:tcBorders>
              <w:top w:val="nil"/>
              <w:left w:val="nil"/>
              <w:bottom w:val="single" w:sz="4" w:space="0" w:color="auto"/>
              <w:right w:val="single" w:sz="4" w:space="0" w:color="auto"/>
            </w:tcBorders>
            <w:shd w:val="clear" w:color="auto" w:fill="auto"/>
            <w:noWrap/>
            <w:vAlign w:val="bottom"/>
            <w:hideMark/>
          </w:tcPr>
          <w:p w14:paraId="7024DE8B"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6.75%</w:t>
            </w:r>
          </w:p>
        </w:tc>
        <w:tc>
          <w:tcPr>
            <w:tcW w:w="1000" w:type="dxa"/>
            <w:tcBorders>
              <w:top w:val="nil"/>
              <w:left w:val="nil"/>
              <w:bottom w:val="single" w:sz="4" w:space="0" w:color="auto"/>
              <w:right w:val="single" w:sz="4" w:space="0" w:color="auto"/>
            </w:tcBorders>
            <w:shd w:val="clear" w:color="auto" w:fill="auto"/>
            <w:noWrap/>
            <w:vAlign w:val="bottom"/>
            <w:hideMark/>
          </w:tcPr>
          <w:p w14:paraId="517A754E"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0.72</w:t>
            </w:r>
          </w:p>
        </w:tc>
        <w:tc>
          <w:tcPr>
            <w:tcW w:w="1000" w:type="dxa"/>
            <w:tcBorders>
              <w:top w:val="nil"/>
              <w:left w:val="nil"/>
              <w:bottom w:val="single" w:sz="4" w:space="0" w:color="auto"/>
              <w:right w:val="single" w:sz="4" w:space="0" w:color="auto"/>
            </w:tcBorders>
            <w:shd w:val="clear" w:color="auto" w:fill="auto"/>
            <w:noWrap/>
            <w:vAlign w:val="bottom"/>
            <w:hideMark/>
          </w:tcPr>
          <w:p w14:paraId="61F30015"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0.72</w:t>
            </w:r>
          </w:p>
        </w:tc>
        <w:tc>
          <w:tcPr>
            <w:tcW w:w="1000" w:type="dxa"/>
            <w:tcBorders>
              <w:top w:val="nil"/>
              <w:left w:val="nil"/>
              <w:bottom w:val="single" w:sz="4" w:space="0" w:color="auto"/>
              <w:right w:val="single" w:sz="4" w:space="0" w:color="auto"/>
            </w:tcBorders>
            <w:shd w:val="clear" w:color="auto" w:fill="auto"/>
            <w:noWrap/>
            <w:vAlign w:val="bottom"/>
            <w:hideMark/>
          </w:tcPr>
          <w:p w14:paraId="42572229"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0.14</w:t>
            </w:r>
          </w:p>
        </w:tc>
        <w:tc>
          <w:tcPr>
            <w:tcW w:w="1000" w:type="dxa"/>
            <w:tcBorders>
              <w:top w:val="nil"/>
              <w:left w:val="nil"/>
              <w:bottom w:val="single" w:sz="4" w:space="0" w:color="auto"/>
              <w:right w:val="single" w:sz="4" w:space="0" w:color="auto"/>
            </w:tcBorders>
            <w:shd w:val="clear" w:color="auto" w:fill="auto"/>
            <w:noWrap/>
            <w:vAlign w:val="bottom"/>
            <w:hideMark/>
          </w:tcPr>
          <w:p w14:paraId="23C65464"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0.12</w:t>
            </w:r>
          </w:p>
        </w:tc>
        <w:tc>
          <w:tcPr>
            <w:tcW w:w="1000" w:type="dxa"/>
            <w:tcBorders>
              <w:top w:val="nil"/>
              <w:left w:val="nil"/>
              <w:bottom w:val="single" w:sz="4" w:space="0" w:color="auto"/>
              <w:right w:val="single" w:sz="4" w:space="0" w:color="auto"/>
            </w:tcBorders>
            <w:shd w:val="clear" w:color="auto" w:fill="auto"/>
            <w:noWrap/>
            <w:vAlign w:val="bottom"/>
            <w:hideMark/>
          </w:tcPr>
          <w:p w14:paraId="0AA03D79"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241</w:t>
            </w:r>
          </w:p>
        </w:tc>
        <w:tc>
          <w:tcPr>
            <w:tcW w:w="1360" w:type="dxa"/>
            <w:tcBorders>
              <w:top w:val="nil"/>
              <w:left w:val="nil"/>
              <w:bottom w:val="single" w:sz="4" w:space="0" w:color="auto"/>
              <w:right w:val="single" w:sz="4" w:space="0" w:color="auto"/>
            </w:tcBorders>
            <w:shd w:val="clear" w:color="auto" w:fill="auto"/>
            <w:noWrap/>
            <w:vAlign w:val="bottom"/>
            <w:hideMark/>
          </w:tcPr>
          <w:p w14:paraId="406306D3"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3.49%</w:t>
            </w:r>
          </w:p>
        </w:tc>
      </w:tr>
      <w:tr w:rsidR="00F970E2" w:rsidRPr="00F970E2" w14:paraId="41835CD6" w14:textId="77777777" w:rsidTr="00F970E2">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380598C8" w14:textId="77777777" w:rsidR="00F970E2" w:rsidRPr="00F970E2" w:rsidRDefault="00F970E2" w:rsidP="00F970E2">
            <w:pPr>
              <w:spacing w:after="0" w:line="240" w:lineRule="auto"/>
              <w:rPr>
                <w:rFonts w:ascii="Calibri" w:eastAsia="Times New Roman" w:hAnsi="Calibri" w:cs="Calibri"/>
                <w:b/>
                <w:bCs/>
                <w:color w:val="000000"/>
                <w:lang w:eastAsia="en-GB"/>
              </w:rPr>
            </w:pPr>
            <w:r w:rsidRPr="00F970E2">
              <w:rPr>
                <w:rFonts w:ascii="Calibri" w:eastAsia="Times New Roman" w:hAnsi="Calibri" w:cs="Calibri"/>
                <w:b/>
                <w:bCs/>
                <w:color w:val="000000"/>
                <w:lang w:eastAsia="en-GB"/>
              </w:rPr>
              <w:t>2015 Ryanair</w:t>
            </w:r>
          </w:p>
        </w:tc>
        <w:tc>
          <w:tcPr>
            <w:tcW w:w="1000" w:type="dxa"/>
            <w:tcBorders>
              <w:top w:val="nil"/>
              <w:left w:val="nil"/>
              <w:bottom w:val="single" w:sz="4" w:space="0" w:color="auto"/>
              <w:right w:val="single" w:sz="4" w:space="0" w:color="auto"/>
            </w:tcBorders>
            <w:shd w:val="clear" w:color="auto" w:fill="auto"/>
            <w:noWrap/>
            <w:vAlign w:val="bottom"/>
            <w:hideMark/>
          </w:tcPr>
          <w:p w14:paraId="49C3027A"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11.39%</w:t>
            </w:r>
          </w:p>
        </w:tc>
        <w:tc>
          <w:tcPr>
            <w:tcW w:w="1000" w:type="dxa"/>
            <w:tcBorders>
              <w:top w:val="nil"/>
              <w:left w:val="nil"/>
              <w:bottom w:val="single" w:sz="4" w:space="0" w:color="auto"/>
              <w:right w:val="single" w:sz="4" w:space="0" w:color="auto"/>
            </w:tcBorders>
            <w:shd w:val="clear" w:color="auto" w:fill="auto"/>
            <w:noWrap/>
            <w:vAlign w:val="bottom"/>
            <w:hideMark/>
          </w:tcPr>
          <w:p w14:paraId="5942E9A5"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7.87%</w:t>
            </w:r>
          </w:p>
        </w:tc>
        <w:tc>
          <w:tcPr>
            <w:tcW w:w="1000" w:type="dxa"/>
            <w:tcBorders>
              <w:top w:val="nil"/>
              <w:left w:val="nil"/>
              <w:bottom w:val="single" w:sz="4" w:space="0" w:color="auto"/>
              <w:right w:val="single" w:sz="4" w:space="0" w:color="auto"/>
            </w:tcBorders>
            <w:shd w:val="clear" w:color="auto" w:fill="auto"/>
            <w:noWrap/>
            <w:vAlign w:val="bottom"/>
            <w:hideMark/>
          </w:tcPr>
          <w:p w14:paraId="770A4B49"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1.43</w:t>
            </w:r>
          </w:p>
        </w:tc>
        <w:tc>
          <w:tcPr>
            <w:tcW w:w="1000" w:type="dxa"/>
            <w:tcBorders>
              <w:top w:val="nil"/>
              <w:left w:val="nil"/>
              <w:bottom w:val="single" w:sz="4" w:space="0" w:color="auto"/>
              <w:right w:val="single" w:sz="4" w:space="0" w:color="auto"/>
            </w:tcBorders>
            <w:shd w:val="clear" w:color="auto" w:fill="auto"/>
            <w:noWrap/>
            <w:vAlign w:val="bottom"/>
            <w:hideMark/>
          </w:tcPr>
          <w:p w14:paraId="60F72262"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1.43</w:t>
            </w:r>
          </w:p>
        </w:tc>
        <w:tc>
          <w:tcPr>
            <w:tcW w:w="1000" w:type="dxa"/>
            <w:tcBorders>
              <w:top w:val="nil"/>
              <w:left w:val="nil"/>
              <w:bottom w:val="single" w:sz="4" w:space="0" w:color="auto"/>
              <w:right w:val="single" w:sz="4" w:space="0" w:color="auto"/>
            </w:tcBorders>
            <w:shd w:val="clear" w:color="auto" w:fill="auto"/>
            <w:noWrap/>
            <w:vAlign w:val="bottom"/>
            <w:hideMark/>
          </w:tcPr>
          <w:p w14:paraId="03EEF4FA"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1.12</w:t>
            </w:r>
          </w:p>
        </w:tc>
        <w:tc>
          <w:tcPr>
            <w:tcW w:w="1000" w:type="dxa"/>
            <w:tcBorders>
              <w:top w:val="nil"/>
              <w:left w:val="nil"/>
              <w:bottom w:val="single" w:sz="4" w:space="0" w:color="auto"/>
              <w:right w:val="single" w:sz="4" w:space="0" w:color="auto"/>
            </w:tcBorders>
            <w:shd w:val="clear" w:color="auto" w:fill="auto"/>
            <w:noWrap/>
            <w:vAlign w:val="bottom"/>
            <w:hideMark/>
          </w:tcPr>
          <w:p w14:paraId="0138D977"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0.53</w:t>
            </w:r>
          </w:p>
        </w:tc>
        <w:tc>
          <w:tcPr>
            <w:tcW w:w="1000" w:type="dxa"/>
            <w:tcBorders>
              <w:top w:val="nil"/>
              <w:left w:val="nil"/>
              <w:bottom w:val="single" w:sz="4" w:space="0" w:color="auto"/>
              <w:right w:val="single" w:sz="4" w:space="0" w:color="auto"/>
            </w:tcBorders>
            <w:shd w:val="clear" w:color="auto" w:fill="auto"/>
            <w:noWrap/>
            <w:vAlign w:val="bottom"/>
            <w:hideMark/>
          </w:tcPr>
          <w:p w14:paraId="7CFB5802"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308</w:t>
            </w:r>
          </w:p>
        </w:tc>
        <w:tc>
          <w:tcPr>
            <w:tcW w:w="1360" w:type="dxa"/>
            <w:tcBorders>
              <w:top w:val="nil"/>
              <w:left w:val="nil"/>
              <w:bottom w:val="single" w:sz="4" w:space="0" w:color="auto"/>
              <w:right w:val="single" w:sz="4" w:space="0" w:color="auto"/>
            </w:tcBorders>
            <w:shd w:val="clear" w:color="auto" w:fill="auto"/>
            <w:noWrap/>
            <w:vAlign w:val="bottom"/>
            <w:hideMark/>
          </w:tcPr>
          <w:p w14:paraId="516C4441"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8.69%</w:t>
            </w:r>
          </w:p>
        </w:tc>
      </w:tr>
      <w:tr w:rsidR="00F970E2" w:rsidRPr="00F970E2" w14:paraId="0553855D" w14:textId="77777777" w:rsidTr="00F970E2">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678D54CF" w14:textId="406F0C52" w:rsidR="00F970E2" w:rsidRPr="00F970E2" w:rsidRDefault="00F970E2" w:rsidP="00F970E2">
            <w:pPr>
              <w:spacing w:after="0" w:line="240" w:lineRule="auto"/>
              <w:rPr>
                <w:rFonts w:ascii="Calibri" w:eastAsia="Times New Roman" w:hAnsi="Calibri" w:cs="Calibri"/>
                <w:b/>
                <w:bCs/>
                <w:color w:val="000000"/>
                <w:lang w:eastAsia="en-GB"/>
              </w:rPr>
            </w:pPr>
            <w:r w:rsidRPr="00F970E2">
              <w:rPr>
                <w:rFonts w:ascii="Calibri" w:eastAsia="Times New Roman" w:hAnsi="Calibri" w:cs="Calibri"/>
                <w:b/>
                <w:bCs/>
                <w:color w:val="000000"/>
                <w:lang w:eastAsia="en-GB"/>
              </w:rPr>
              <w:t>2015 I</w:t>
            </w:r>
            <w:r w:rsidR="000650F6">
              <w:rPr>
                <w:rFonts w:ascii="Calibri" w:eastAsia="Times New Roman" w:hAnsi="Calibri" w:cs="Calibri"/>
                <w:b/>
                <w:bCs/>
                <w:color w:val="000000"/>
                <w:lang w:eastAsia="en-GB"/>
              </w:rPr>
              <w:t>AG</w:t>
            </w:r>
            <w:r w:rsidRPr="00F970E2">
              <w:rPr>
                <w:rFonts w:ascii="Calibri" w:eastAsia="Times New Roman" w:hAnsi="Calibri" w:cs="Calibri"/>
                <w:b/>
                <w:bCs/>
                <w:color w:val="000000"/>
                <w:lang w:eastAsia="en-GB"/>
              </w:rPr>
              <w:t xml:space="preserve"> Group</w:t>
            </w:r>
          </w:p>
        </w:tc>
        <w:tc>
          <w:tcPr>
            <w:tcW w:w="1000" w:type="dxa"/>
            <w:tcBorders>
              <w:top w:val="nil"/>
              <w:left w:val="nil"/>
              <w:bottom w:val="single" w:sz="4" w:space="0" w:color="auto"/>
              <w:right w:val="single" w:sz="4" w:space="0" w:color="auto"/>
            </w:tcBorders>
            <w:shd w:val="clear" w:color="auto" w:fill="auto"/>
            <w:noWrap/>
            <w:vAlign w:val="bottom"/>
            <w:hideMark/>
          </w:tcPr>
          <w:p w14:paraId="33FB6596"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12.70%</w:t>
            </w:r>
          </w:p>
        </w:tc>
        <w:tc>
          <w:tcPr>
            <w:tcW w:w="1000" w:type="dxa"/>
            <w:tcBorders>
              <w:top w:val="nil"/>
              <w:left w:val="nil"/>
              <w:bottom w:val="single" w:sz="4" w:space="0" w:color="auto"/>
              <w:right w:val="single" w:sz="4" w:space="0" w:color="auto"/>
            </w:tcBorders>
            <w:shd w:val="clear" w:color="auto" w:fill="auto"/>
            <w:noWrap/>
            <w:vAlign w:val="bottom"/>
            <w:hideMark/>
          </w:tcPr>
          <w:p w14:paraId="4E7503E8"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7.17%</w:t>
            </w:r>
          </w:p>
        </w:tc>
        <w:tc>
          <w:tcPr>
            <w:tcW w:w="1000" w:type="dxa"/>
            <w:tcBorders>
              <w:top w:val="nil"/>
              <w:left w:val="nil"/>
              <w:bottom w:val="single" w:sz="4" w:space="0" w:color="auto"/>
              <w:right w:val="single" w:sz="4" w:space="0" w:color="auto"/>
            </w:tcBorders>
            <w:shd w:val="clear" w:color="auto" w:fill="auto"/>
            <w:noWrap/>
            <w:vAlign w:val="bottom"/>
            <w:hideMark/>
          </w:tcPr>
          <w:p w14:paraId="7A23C201"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0.8</w:t>
            </w:r>
          </w:p>
        </w:tc>
        <w:tc>
          <w:tcPr>
            <w:tcW w:w="1000" w:type="dxa"/>
            <w:tcBorders>
              <w:top w:val="nil"/>
              <w:left w:val="nil"/>
              <w:bottom w:val="single" w:sz="4" w:space="0" w:color="auto"/>
              <w:right w:val="single" w:sz="4" w:space="0" w:color="auto"/>
            </w:tcBorders>
            <w:shd w:val="clear" w:color="auto" w:fill="auto"/>
            <w:noWrap/>
            <w:vAlign w:val="bottom"/>
            <w:hideMark/>
          </w:tcPr>
          <w:p w14:paraId="48D6A1B0"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0.75</w:t>
            </w:r>
          </w:p>
        </w:tc>
        <w:tc>
          <w:tcPr>
            <w:tcW w:w="1000" w:type="dxa"/>
            <w:tcBorders>
              <w:top w:val="nil"/>
              <w:left w:val="nil"/>
              <w:bottom w:val="single" w:sz="4" w:space="0" w:color="auto"/>
              <w:right w:val="single" w:sz="4" w:space="0" w:color="auto"/>
            </w:tcBorders>
            <w:shd w:val="clear" w:color="auto" w:fill="auto"/>
            <w:noWrap/>
            <w:vAlign w:val="bottom"/>
            <w:hideMark/>
          </w:tcPr>
          <w:p w14:paraId="6D05CA8E"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1.35</w:t>
            </w:r>
          </w:p>
        </w:tc>
        <w:tc>
          <w:tcPr>
            <w:tcW w:w="1000" w:type="dxa"/>
            <w:tcBorders>
              <w:top w:val="nil"/>
              <w:left w:val="nil"/>
              <w:bottom w:val="single" w:sz="4" w:space="0" w:color="auto"/>
              <w:right w:val="single" w:sz="4" w:space="0" w:color="auto"/>
            </w:tcBorders>
            <w:shd w:val="clear" w:color="auto" w:fill="auto"/>
            <w:noWrap/>
            <w:vAlign w:val="bottom"/>
            <w:hideMark/>
          </w:tcPr>
          <w:p w14:paraId="12389FD3"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0.57</w:t>
            </w:r>
          </w:p>
        </w:tc>
        <w:tc>
          <w:tcPr>
            <w:tcW w:w="1000" w:type="dxa"/>
            <w:tcBorders>
              <w:top w:val="nil"/>
              <w:left w:val="nil"/>
              <w:bottom w:val="single" w:sz="4" w:space="0" w:color="auto"/>
              <w:right w:val="single" w:sz="4" w:space="0" w:color="auto"/>
            </w:tcBorders>
            <w:shd w:val="clear" w:color="auto" w:fill="auto"/>
            <w:noWrap/>
            <w:vAlign w:val="bottom"/>
            <w:hideMark/>
          </w:tcPr>
          <w:p w14:paraId="21582D68"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529</w:t>
            </w:r>
          </w:p>
        </w:tc>
        <w:tc>
          <w:tcPr>
            <w:tcW w:w="1360" w:type="dxa"/>
            <w:tcBorders>
              <w:top w:val="nil"/>
              <w:left w:val="nil"/>
              <w:bottom w:val="single" w:sz="4" w:space="0" w:color="auto"/>
              <w:right w:val="single" w:sz="4" w:space="0" w:color="auto"/>
            </w:tcBorders>
            <w:shd w:val="clear" w:color="auto" w:fill="auto"/>
            <w:noWrap/>
            <w:vAlign w:val="bottom"/>
            <w:hideMark/>
          </w:tcPr>
          <w:p w14:paraId="4ED2BAC2"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13.32%</w:t>
            </w:r>
          </w:p>
        </w:tc>
      </w:tr>
      <w:tr w:rsidR="00F970E2" w:rsidRPr="00F970E2" w14:paraId="5EE018B6" w14:textId="77777777" w:rsidTr="00F970E2">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702FEEF0" w14:textId="77777777" w:rsidR="00F970E2" w:rsidRPr="00F970E2" w:rsidRDefault="00F970E2" w:rsidP="00F970E2">
            <w:pPr>
              <w:spacing w:after="0" w:line="240" w:lineRule="auto"/>
              <w:rPr>
                <w:rFonts w:ascii="Calibri" w:eastAsia="Times New Roman" w:hAnsi="Calibri" w:cs="Calibri"/>
                <w:b/>
                <w:bCs/>
                <w:color w:val="000000"/>
                <w:lang w:eastAsia="en-GB"/>
              </w:rPr>
            </w:pPr>
            <w:r w:rsidRPr="00F970E2">
              <w:rPr>
                <w:rFonts w:ascii="Calibri" w:eastAsia="Times New Roman" w:hAnsi="Calibri" w:cs="Calibri"/>
                <w:b/>
                <w:bCs/>
                <w:color w:val="000000"/>
                <w:lang w:eastAsia="en-GB"/>
              </w:rPr>
              <w:t>2015 Air France</w:t>
            </w:r>
          </w:p>
        </w:tc>
        <w:tc>
          <w:tcPr>
            <w:tcW w:w="1000" w:type="dxa"/>
            <w:tcBorders>
              <w:top w:val="nil"/>
              <w:left w:val="nil"/>
              <w:bottom w:val="single" w:sz="4" w:space="0" w:color="auto"/>
              <w:right w:val="single" w:sz="4" w:space="0" w:color="auto"/>
            </w:tcBorders>
            <w:shd w:val="clear" w:color="auto" w:fill="auto"/>
            <w:noWrap/>
            <w:vAlign w:val="bottom"/>
            <w:hideMark/>
          </w:tcPr>
          <w:p w14:paraId="79EE6931"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1.56%</w:t>
            </w:r>
          </w:p>
        </w:tc>
        <w:tc>
          <w:tcPr>
            <w:tcW w:w="1000" w:type="dxa"/>
            <w:tcBorders>
              <w:top w:val="nil"/>
              <w:left w:val="nil"/>
              <w:bottom w:val="single" w:sz="4" w:space="0" w:color="auto"/>
              <w:right w:val="single" w:sz="4" w:space="0" w:color="auto"/>
            </w:tcBorders>
            <w:shd w:val="clear" w:color="auto" w:fill="auto"/>
            <w:noWrap/>
            <w:vAlign w:val="bottom"/>
            <w:hideMark/>
          </w:tcPr>
          <w:p w14:paraId="4A466E51"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0.49%</w:t>
            </w:r>
          </w:p>
        </w:tc>
        <w:tc>
          <w:tcPr>
            <w:tcW w:w="1000" w:type="dxa"/>
            <w:tcBorders>
              <w:top w:val="nil"/>
              <w:left w:val="nil"/>
              <w:bottom w:val="single" w:sz="4" w:space="0" w:color="auto"/>
              <w:right w:val="single" w:sz="4" w:space="0" w:color="auto"/>
            </w:tcBorders>
            <w:shd w:val="clear" w:color="auto" w:fill="auto"/>
            <w:noWrap/>
            <w:vAlign w:val="bottom"/>
            <w:hideMark/>
          </w:tcPr>
          <w:p w14:paraId="0B02FA76"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0.63</w:t>
            </w:r>
          </w:p>
        </w:tc>
        <w:tc>
          <w:tcPr>
            <w:tcW w:w="1000" w:type="dxa"/>
            <w:tcBorders>
              <w:top w:val="nil"/>
              <w:left w:val="nil"/>
              <w:bottom w:val="single" w:sz="4" w:space="0" w:color="auto"/>
              <w:right w:val="single" w:sz="4" w:space="0" w:color="auto"/>
            </w:tcBorders>
            <w:shd w:val="clear" w:color="auto" w:fill="auto"/>
            <w:noWrap/>
            <w:vAlign w:val="bottom"/>
            <w:hideMark/>
          </w:tcPr>
          <w:p w14:paraId="0C4F3CF7"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0.58</w:t>
            </w:r>
          </w:p>
        </w:tc>
        <w:tc>
          <w:tcPr>
            <w:tcW w:w="1000" w:type="dxa"/>
            <w:tcBorders>
              <w:top w:val="nil"/>
              <w:left w:val="nil"/>
              <w:bottom w:val="single" w:sz="4" w:space="0" w:color="auto"/>
              <w:right w:val="single" w:sz="4" w:space="0" w:color="auto"/>
            </w:tcBorders>
            <w:shd w:val="clear" w:color="auto" w:fill="auto"/>
            <w:noWrap/>
            <w:vAlign w:val="bottom"/>
            <w:hideMark/>
          </w:tcPr>
          <w:p w14:paraId="56E276C4"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25.86</w:t>
            </w:r>
          </w:p>
        </w:tc>
        <w:tc>
          <w:tcPr>
            <w:tcW w:w="1000" w:type="dxa"/>
            <w:tcBorders>
              <w:top w:val="nil"/>
              <w:left w:val="nil"/>
              <w:bottom w:val="single" w:sz="4" w:space="0" w:color="auto"/>
              <w:right w:val="single" w:sz="4" w:space="0" w:color="auto"/>
            </w:tcBorders>
            <w:shd w:val="clear" w:color="auto" w:fill="auto"/>
            <w:noWrap/>
            <w:vAlign w:val="bottom"/>
            <w:hideMark/>
          </w:tcPr>
          <w:p w14:paraId="48F32F65"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0.96</w:t>
            </w:r>
          </w:p>
        </w:tc>
        <w:tc>
          <w:tcPr>
            <w:tcW w:w="1000" w:type="dxa"/>
            <w:tcBorders>
              <w:top w:val="nil"/>
              <w:left w:val="nil"/>
              <w:bottom w:val="single" w:sz="4" w:space="0" w:color="auto"/>
              <w:right w:val="single" w:sz="4" w:space="0" w:color="auto"/>
            </w:tcBorders>
            <w:shd w:val="clear" w:color="auto" w:fill="auto"/>
            <w:noWrap/>
            <w:vAlign w:val="bottom"/>
            <w:hideMark/>
          </w:tcPr>
          <w:p w14:paraId="346E08A3"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534</w:t>
            </w:r>
          </w:p>
        </w:tc>
        <w:tc>
          <w:tcPr>
            <w:tcW w:w="1360" w:type="dxa"/>
            <w:tcBorders>
              <w:top w:val="nil"/>
              <w:left w:val="nil"/>
              <w:bottom w:val="single" w:sz="4" w:space="0" w:color="auto"/>
              <w:right w:val="single" w:sz="4" w:space="0" w:color="auto"/>
            </w:tcBorders>
            <w:shd w:val="clear" w:color="auto" w:fill="auto"/>
            <w:noWrap/>
            <w:vAlign w:val="bottom"/>
            <w:hideMark/>
          </w:tcPr>
          <w:p w14:paraId="7C4E31F9"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4.54%</w:t>
            </w:r>
          </w:p>
        </w:tc>
      </w:tr>
      <w:tr w:rsidR="00F970E2" w:rsidRPr="00F970E2" w14:paraId="7D4E9197" w14:textId="77777777" w:rsidTr="00F970E2">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5620F6AD" w14:textId="77777777" w:rsidR="00F970E2" w:rsidRPr="00F970E2" w:rsidRDefault="00F970E2" w:rsidP="00F970E2">
            <w:pPr>
              <w:spacing w:after="0" w:line="240" w:lineRule="auto"/>
              <w:rPr>
                <w:rFonts w:ascii="Calibri" w:eastAsia="Times New Roman" w:hAnsi="Calibri" w:cs="Calibri"/>
                <w:b/>
                <w:bCs/>
                <w:color w:val="000000"/>
                <w:lang w:eastAsia="en-GB"/>
              </w:rPr>
            </w:pPr>
            <w:r w:rsidRPr="00F970E2">
              <w:rPr>
                <w:rFonts w:ascii="Calibri" w:eastAsia="Times New Roman" w:hAnsi="Calibri" w:cs="Calibri"/>
                <w:b/>
                <w:bCs/>
                <w:color w:val="000000"/>
                <w:lang w:eastAsia="en-GB"/>
              </w:rPr>
              <w:t>2015 Lufthansa</w:t>
            </w:r>
          </w:p>
        </w:tc>
        <w:tc>
          <w:tcPr>
            <w:tcW w:w="1000" w:type="dxa"/>
            <w:tcBorders>
              <w:top w:val="nil"/>
              <w:left w:val="nil"/>
              <w:bottom w:val="single" w:sz="4" w:space="0" w:color="auto"/>
              <w:right w:val="single" w:sz="4" w:space="0" w:color="auto"/>
            </w:tcBorders>
            <w:shd w:val="clear" w:color="auto" w:fill="auto"/>
            <w:noWrap/>
            <w:vAlign w:val="bottom"/>
            <w:hideMark/>
          </w:tcPr>
          <w:p w14:paraId="49A42EA7"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16.58%</w:t>
            </w:r>
          </w:p>
        </w:tc>
        <w:tc>
          <w:tcPr>
            <w:tcW w:w="1000" w:type="dxa"/>
            <w:tcBorders>
              <w:top w:val="nil"/>
              <w:left w:val="nil"/>
              <w:bottom w:val="single" w:sz="4" w:space="0" w:color="auto"/>
              <w:right w:val="single" w:sz="4" w:space="0" w:color="auto"/>
            </w:tcBorders>
            <w:shd w:val="clear" w:color="auto" w:fill="auto"/>
            <w:noWrap/>
            <w:vAlign w:val="bottom"/>
            <w:hideMark/>
          </w:tcPr>
          <w:p w14:paraId="3A9E9469"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5.09%</w:t>
            </w:r>
          </w:p>
        </w:tc>
        <w:tc>
          <w:tcPr>
            <w:tcW w:w="1000" w:type="dxa"/>
            <w:tcBorders>
              <w:top w:val="nil"/>
              <w:left w:val="nil"/>
              <w:bottom w:val="single" w:sz="4" w:space="0" w:color="auto"/>
              <w:right w:val="single" w:sz="4" w:space="0" w:color="auto"/>
            </w:tcBorders>
            <w:shd w:val="clear" w:color="auto" w:fill="auto"/>
            <w:noWrap/>
            <w:vAlign w:val="bottom"/>
            <w:hideMark/>
          </w:tcPr>
          <w:p w14:paraId="70B04E84"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0.72</w:t>
            </w:r>
          </w:p>
        </w:tc>
        <w:tc>
          <w:tcPr>
            <w:tcW w:w="1000" w:type="dxa"/>
            <w:tcBorders>
              <w:top w:val="nil"/>
              <w:left w:val="nil"/>
              <w:bottom w:val="single" w:sz="4" w:space="0" w:color="auto"/>
              <w:right w:val="single" w:sz="4" w:space="0" w:color="auto"/>
            </w:tcBorders>
            <w:shd w:val="clear" w:color="auto" w:fill="auto"/>
            <w:noWrap/>
            <w:vAlign w:val="bottom"/>
            <w:hideMark/>
          </w:tcPr>
          <w:p w14:paraId="36C11E02"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0.66</w:t>
            </w:r>
          </w:p>
        </w:tc>
        <w:tc>
          <w:tcPr>
            <w:tcW w:w="1000" w:type="dxa"/>
            <w:tcBorders>
              <w:top w:val="nil"/>
              <w:left w:val="nil"/>
              <w:bottom w:val="single" w:sz="4" w:space="0" w:color="auto"/>
              <w:right w:val="single" w:sz="4" w:space="0" w:color="auto"/>
            </w:tcBorders>
            <w:shd w:val="clear" w:color="auto" w:fill="auto"/>
            <w:noWrap/>
            <w:vAlign w:val="bottom"/>
            <w:hideMark/>
          </w:tcPr>
          <w:p w14:paraId="29A8F68A"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0.86</w:t>
            </w:r>
          </w:p>
        </w:tc>
        <w:tc>
          <w:tcPr>
            <w:tcW w:w="1000" w:type="dxa"/>
            <w:tcBorders>
              <w:top w:val="nil"/>
              <w:left w:val="nil"/>
              <w:bottom w:val="single" w:sz="4" w:space="0" w:color="auto"/>
              <w:right w:val="single" w:sz="4" w:space="0" w:color="auto"/>
            </w:tcBorders>
            <w:shd w:val="clear" w:color="auto" w:fill="auto"/>
            <w:noWrap/>
            <w:vAlign w:val="bottom"/>
            <w:hideMark/>
          </w:tcPr>
          <w:p w14:paraId="5206CE5E"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0.46</w:t>
            </w:r>
          </w:p>
        </w:tc>
        <w:tc>
          <w:tcPr>
            <w:tcW w:w="1000" w:type="dxa"/>
            <w:tcBorders>
              <w:top w:val="nil"/>
              <w:left w:val="nil"/>
              <w:bottom w:val="single" w:sz="4" w:space="0" w:color="auto"/>
              <w:right w:val="single" w:sz="4" w:space="0" w:color="auto"/>
            </w:tcBorders>
            <w:shd w:val="clear" w:color="auto" w:fill="auto"/>
            <w:noWrap/>
            <w:vAlign w:val="bottom"/>
            <w:hideMark/>
          </w:tcPr>
          <w:p w14:paraId="6A27DBDD"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600</w:t>
            </w:r>
          </w:p>
        </w:tc>
        <w:tc>
          <w:tcPr>
            <w:tcW w:w="1360" w:type="dxa"/>
            <w:tcBorders>
              <w:top w:val="nil"/>
              <w:left w:val="nil"/>
              <w:bottom w:val="single" w:sz="4" w:space="0" w:color="auto"/>
              <w:right w:val="single" w:sz="4" w:space="0" w:color="auto"/>
            </w:tcBorders>
            <w:shd w:val="clear" w:color="auto" w:fill="auto"/>
            <w:noWrap/>
            <w:vAlign w:val="bottom"/>
            <w:hideMark/>
          </w:tcPr>
          <w:p w14:paraId="162AA6D2"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6.81%</w:t>
            </w:r>
          </w:p>
        </w:tc>
      </w:tr>
      <w:tr w:rsidR="00F970E2" w:rsidRPr="00F970E2" w14:paraId="604FA0AE" w14:textId="77777777" w:rsidTr="00F970E2">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4A343CC0" w14:textId="33B6417D" w:rsidR="00F970E2" w:rsidRPr="00F970E2" w:rsidRDefault="00F970E2" w:rsidP="00F970E2">
            <w:pPr>
              <w:spacing w:after="0" w:line="240" w:lineRule="auto"/>
              <w:rPr>
                <w:rFonts w:ascii="Calibri" w:eastAsia="Times New Roman" w:hAnsi="Calibri" w:cs="Calibri"/>
                <w:b/>
                <w:bCs/>
                <w:color w:val="000000"/>
                <w:lang w:eastAsia="en-GB"/>
              </w:rPr>
            </w:pPr>
            <w:r w:rsidRPr="00F970E2">
              <w:rPr>
                <w:rFonts w:ascii="Calibri" w:eastAsia="Times New Roman" w:hAnsi="Calibri" w:cs="Calibri"/>
                <w:b/>
                <w:bCs/>
                <w:color w:val="000000"/>
                <w:lang w:eastAsia="en-GB"/>
              </w:rPr>
              <w:t>2016 Easy</w:t>
            </w:r>
            <w:r w:rsidR="000650F6">
              <w:rPr>
                <w:rFonts w:ascii="Calibri" w:eastAsia="Times New Roman" w:hAnsi="Calibri" w:cs="Calibri"/>
                <w:b/>
                <w:bCs/>
                <w:color w:val="000000"/>
                <w:lang w:eastAsia="en-GB"/>
              </w:rPr>
              <w:t>J</w:t>
            </w:r>
            <w:r w:rsidRPr="00F970E2">
              <w:rPr>
                <w:rFonts w:ascii="Calibri" w:eastAsia="Times New Roman" w:hAnsi="Calibri" w:cs="Calibri"/>
                <w:b/>
                <w:bCs/>
                <w:color w:val="000000"/>
                <w:lang w:eastAsia="en-GB"/>
              </w:rPr>
              <w:t>et</w:t>
            </w:r>
          </w:p>
        </w:tc>
        <w:tc>
          <w:tcPr>
            <w:tcW w:w="1000" w:type="dxa"/>
            <w:tcBorders>
              <w:top w:val="nil"/>
              <w:left w:val="nil"/>
              <w:bottom w:val="single" w:sz="4" w:space="0" w:color="auto"/>
              <w:right w:val="single" w:sz="4" w:space="0" w:color="auto"/>
            </w:tcBorders>
            <w:shd w:val="clear" w:color="auto" w:fill="auto"/>
            <w:noWrap/>
            <w:vAlign w:val="bottom"/>
            <w:hideMark/>
          </w:tcPr>
          <w:p w14:paraId="510B64FF"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12.10%</w:t>
            </w:r>
          </w:p>
        </w:tc>
        <w:tc>
          <w:tcPr>
            <w:tcW w:w="1000" w:type="dxa"/>
            <w:tcBorders>
              <w:top w:val="nil"/>
              <w:left w:val="nil"/>
              <w:bottom w:val="single" w:sz="4" w:space="0" w:color="auto"/>
              <w:right w:val="single" w:sz="4" w:space="0" w:color="auto"/>
            </w:tcBorders>
            <w:shd w:val="clear" w:color="auto" w:fill="auto"/>
            <w:noWrap/>
            <w:vAlign w:val="bottom"/>
            <w:hideMark/>
          </w:tcPr>
          <w:p w14:paraId="3D2E5CE9"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12.76%</w:t>
            </w:r>
          </w:p>
        </w:tc>
        <w:tc>
          <w:tcPr>
            <w:tcW w:w="1000" w:type="dxa"/>
            <w:tcBorders>
              <w:top w:val="nil"/>
              <w:left w:val="nil"/>
              <w:bottom w:val="single" w:sz="4" w:space="0" w:color="auto"/>
              <w:right w:val="single" w:sz="4" w:space="0" w:color="auto"/>
            </w:tcBorders>
            <w:shd w:val="clear" w:color="auto" w:fill="auto"/>
            <w:noWrap/>
            <w:vAlign w:val="bottom"/>
            <w:hideMark/>
          </w:tcPr>
          <w:p w14:paraId="36AF1B0E"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0.92</w:t>
            </w:r>
          </w:p>
        </w:tc>
        <w:tc>
          <w:tcPr>
            <w:tcW w:w="1000" w:type="dxa"/>
            <w:tcBorders>
              <w:top w:val="nil"/>
              <w:left w:val="nil"/>
              <w:bottom w:val="single" w:sz="4" w:space="0" w:color="auto"/>
              <w:right w:val="single" w:sz="4" w:space="0" w:color="auto"/>
            </w:tcBorders>
            <w:shd w:val="clear" w:color="auto" w:fill="auto"/>
            <w:noWrap/>
            <w:vAlign w:val="bottom"/>
            <w:hideMark/>
          </w:tcPr>
          <w:p w14:paraId="76ADBBB4"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0.92</w:t>
            </w:r>
          </w:p>
        </w:tc>
        <w:tc>
          <w:tcPr>
            <w:tcW w:w="1000" w:type="dxa"/>
            <w:tcBorders>
              <w:top w:val="nil"/>
              <w:left w:val="nil"/>
              <w:bottom w:val="single" w:sz="4" w:space="0" w:color="auto"/>
              <w:right w:val="single" w:sz="4" w:space="0" w:color="auto"/>
            </w:tcBorders>
            <w:shd w:val="clear" w:color="auto" w:fill="auto"/>
            <w:noWrap/>
            <w:vAlign w:val="bottom"/>
            <w:hideMark/>
          </w:tcPr>
          <w:p w14:paraId="0206DD82"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0.25</w:t>
            </w:r>
          </w:p>
        </w:tc>
        <w:tc>
          <w:tcPr>
            <w:tcW w:w="1000" w:type="dxa"/>
            <w:tcBorders>
              <w:top w:val="nil"/>
              <w:left w:val="nil"/>
              <w:bottom w:val="single" w:sz="4" w:space="0" w:color="auto"/>
              <w:right w:val="single" w:sz="4" w:space="0" w:color="auto"/>
            </w:tcBorders>
            <w:shd w:val="clear" w:color="auto" w:fill="auto"/>
            <w:noWrap/>
            <w:vAlign w:val="bottom"/>
            <w:hideMark/>
          </w:tcPr>
          <w:p w14:paraId="5C6C741B"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0.2</w:t>
            </w:r>
          </w:p>
        </w:tc>
        <w:tc>
          <w:tcPr>
            <w:tcW w:w="1000" w:type="dxa"/>
            <w:tcBorders>
              <w:top w:val="nil"/>
              <w:left w:val="nil"/>
              <w:bottom w:val="single" w:sz="4" w:space="0" w:color="auto"/>
              <w:right w:val="single" w:sz="4" w:space="0" w:color="auto"/>
            </w:tcBorders>
            <w:shd w:val="clear" w:color="auto" w:fill="auto"/>
            <w:noWrap/>
            <w:vAlign w:val="bottom"/>
            <w:hideMark/>
          </w:tcPr>
          <w:p w14:paraId="47AF0C46"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257</w:t>
            </w:r>
          </w:p>
        </w:tc>
        <w:tc>
          <w:tcPr>
            <w:tcW w:w="1360" w:type="dxa"/>
            <w:tcBorders>
              <w:top w:val="nil"/>
              <w:left w:val="nil"/>
              <w:bottom w:val="single" w:sz="4" w:space="0" w:color="auto"/>
              <w:right w:val="single" w:sz="4" w:space="0" w:color="auto"/>
            </w:tcBorders>
            <w:shd w:val="clear" w:color="auto" w:fill="auto"/>
            <w:noWrap/>
            <w:vAlign w:val="bottom"/>
            <w:hideMark/>
          </w:tcPr>
          <w:p w14:paraId="2176A975"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0.28%</w:t>
            </w:r>
          </w:p>
        </w:tc>
      </w:tr>
      <w:tr w:rsidR="00F970E2" w:rsidRPr="00F970E2" w14:paraId="5A0CFAF9" w14:textId="77777777" w:rsidTr="00F970E2">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69D40F5F" w14:textId="77777777" w:rsidR="00F970E2" w:rsidRPr="00F970E2" w:rsidRDefault="00F970E2" w:rsidP="00F970E2">
            <w:pPr>
              <w:spacing w:after="0" w:line="240" w:lineRule="auto"/>
              <w:rPr>
                <w:rFonts w:ascii="Calibri" w:eastAsia="Times New Roman" w:hAnsi="Calibri" w:cs="Calibri"/>
                <w:b/>
                <w:bCs/>
                <w:color w:val="000000"/>
                <w:lang w:eastAsia="en-GB"/>
              </w:rPr>
            </w:pPr>
            <w:r w:rsidRPr="00F970E2">
              <w:rPr>
                <w:rFonts w:ascii="Calibri" w:eastAsia="Times New Roman" w:hAnsi="Calibri" w:cs="Calibri"/>
                <w:b/>
                <w:bCs/>
                <w:color w:val="000000"/>
                <w:lang w:eastAsia="en-GB"/>
              </w:rPr>
              <w:t>2016 Ryanair</w:t>
            </w:r>
          </w:p>
        </w:tc>
        <w:tc>
          <w:tcPr>
            <w:tcW w:w="1000" w:type="dxa"/>
            <w:tcBorders>
              <w:top w:val="nil"/>
              <w:left w:val="nil"/>
              <w:bottom w:val="single" w:sz="4" w:space="0" w:color="auto"/>
              <w:right w:val="single" w:sz="4" w:space="0" w:color="auto"/>
            </w:tcBorders>
            <w:shd w:val="clear" w:color="auto" w:fill="auto"/>
            <w:noWrap/>
            <w:vAlign w:val="bottom"/>
            <w:hideMark/>
          </w:tcPr>
          <w:p w14:paraId="075E9964"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20%</w:t>
            </w:r>
          </w:p>
        </w:tc>
        <w:tc>
          <w:tcPr>
            <w:tcW w:w="1000" w:type="dxa"/>
            <w:tcBorders>
              <w:top w:val="nil"/>
              <w:left w:val="nil"/>
              <w:bottom w:val="single" w:sz="4" w:space="0" w:color="auto"/>
              <w:right w:val="single" w:sz="4" w:space="0" w:color="auto"/>
            </w:tcBorders>
            <w:shd w:val="clear" w:color="auto" w:fill="auto"/>
            <w:noWrap/>
            <w:vAlign w:val="bottom"/>
            <w:hideMark/>
          </w:tcPr>
          <w:p w14:paraId="532F37B1"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13.42%</w:t>
            </w:r>
          </w:p>
        </w:tc>
        <w:tc>
          <w:tcPr>
            <w:tcW w:w="1000" w:type="dxa"/>
            <w:tcBorders>
              <w:top w:val="nil"/>
              <w:left w:val="nil"/>
              <w:bottom w:val="single" w:sz="4" w:space="0" w:color="auto"/>
              <w:right w:val="single" w:sz="4" w:space="0" w:color="auto"/>
            </w:tcBorders>
            <w:shd w:val="clear" w:color="auto" w:fill="auto"/>
            <w:noWrap/>
            <w:vAlign w:val="bottom"/>
            <w:hideMark/>
          </w:tcPr>
          <w:p w14:paraId="55785B24"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1.56</w:t>
            </w:r>
          </w:p>
        </w:tc>
        <w:tc>
          <w:tcPr>
            <w:tcW w:w="1000" w:type="dxa"/>
            <w:tcBorders>
              <w:top w:val="nil"/>
              <w:left w:val="nil"/>
              <w:bottom w:val="single" w:sz="4" w:space="0" w:color="auto"/>
              <w:right w:val="single" w:sz="4" w:space="0" w:color="auto"/>
            </w:tcBorders>
            <w:shd w:val="clear" w:color="auto" w:fill="auto"/>
            <w:noWrap/>
            <w:vAlign w:val="bottom"/>
            <w:hideMark/>
          </w:tcPr>
          <w:p w14:paraId="054D45C1"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1.56</w:t>
            </w:r>
          </w:p>
        </w:tc>
        <w:tc>
          <w:tcPr>
            <w:tcW w:w="1000" w:type="dxa"/>
            <w:tcBorders>
              <w:top w:val="nil"/>
              <w:left w:val="nil"/>
              <w:bottom w:val="single" w:sz="4" w:space="0" w:color="auto"/>
              <w:right w:val="single" w:sz="4" w:space="0" w:color="auto"/>
            </w:tcBorders>
            <w:shd w:val="clear" w:color="auto" w:fill="auto"/>
            <w:noWrap/>
            <w:vAlign w:val="bottom"/>
            <w:hideMark/>
          </w:tcPr>
          <w:p w14:paraId="0079B025"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0.81</w:t>
            </w:r>
          </w:p>
        </w:tc>
        <w:tc>
          <w:tcPr>
            <w:tcW w:w="1000" w:type="dxa"/>
            <w:tcBorders>
              <w:top w:val="nil"/>
              <w:left w:val="nil"/>
              <w:bottom w:val="single" w:sz="4" w:space="0" w:color="auto"/>
              <w:right w:val="single" w:sz="4" w:space="0" w:color="auto"/>
            </w:tcBorders>
            <w:shd w:val="clear" w:color="auto" w:fill="auto"/>
            <w:noWrap/>
            <w:vAlign w:val="bottom"/>
            <w:hideMark/>
          </w:tcPr>
          <w:p w14:paraId="5767234D"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0.45</w:t>
            </w:r>
          </w:p>
        </w:tc>
        <w:tc>
          <w:tcPr>
            <w:tcW w:w="1000" w:type="dxa"/>
            <w:tcBorders>
              <w:top w:val="nil"/>
              <w:left w:val="nil"/>
              <w:bottom w:val="single" w:sz="4" w:space="0" w:color="auto"/>
              <w:right w:val="single" w:sz="4" w:space="0" w:color="auto"/>
            </w:tcBorders>
            <w:shd w:val="clear" w:color="auto" w:fill="auto"/>
            <w:noWrap/>
            <w:vAlign w:val="bottom"/>
            <w:hideMark/>
          </w:tcPr>
          <w:p w14:paraId="2AC23317"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341</w:t>
            </w:r>
          </w:p>
        </w:tc>
        <w:tc>
          <w:tcPr>
            <w:tcW w:w="1360" w:type="dxa"/>
            <w:tcBorders>
              <w:top w:val="nil"/>
              <w:left w:val="nil"/>
              <w:bottom w:val="single" w:sz="4" w:space="0" w:color="auto"/>
              <w:right w:val="single" w:sz="4" w:space="0" w:color="auto"/>
            </w:tcBorders>
            <w:shd w:val="clear" w:color="auto" w:fill="auto"/>
            <w:noWrap/>
            <w:vAlign w:val="bottom"/>
            <w:hideMark/>
          </w:tcPr>
          <w:p w14:paraId="772ED0CB"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-1.68%</w:t>
            </w:r>
          </w:p>
        </w:tc>
      </w:tr>
      <w:tr w:rsidR="00F970E2" w:rsidRPr="00F970E2" w14:paraId="36825E60" w14:textId="77777777" w:rsidTr="00F970E2">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3F050CC8" w14:textId="6341DA6D" w:rsidR="00F970E2" w:rsidRPr="00F970E2" w:rsidRDefault="00F970E2" w:rsidP="00F970E2">
            <w:pPr>
              <w:spacing w:after="0" w:line="240" w:lineRule="auto"/>
              <w:rPr>
                <w:rFonts w:ascii="Calibri" w:eastAsia="Times New Roman" w:hAnsi="Calibri" w:cs="Calibri"/>
                <w:b/>
                <w:bCs/>
                <w:color w:val="000000"/>
                <w:lang w:eastAsia="en-GB"/>
              </w:rPr>
            </w:pPr>
            <w:r w:rsidRPr="00F970E2">
              <w:rPr>
                <w:rFonts w:ascii="Calibri" w:eastAsia="Times New Roman" w:hAnsi="Calibri" w:cs="Calibri"/>
                <w:b/>
                <w:bCs/>
                <w:color w:val="000000"/>
                <w:lang w:eastAsia="en-GB"/>
              </w:rPr>
              <w:t>2016 I</w:t>
            </w:r>
            <w:r w:rsidR="000650F6">
              <w:rPr>
                <w:rFonts w:ascii="Calibri" w:eastAsia="Times New Roman" w:hAnsi="Calibri" w:cs="Calibri"/>
                <w:b/>
                <w:bCs/>
                <w:color w:val="000000"/>
                <w:lang w:eastAsia="en-GB"/>
              </w:rPr>
              <w:t>AG</w:t>
            </w:r>
            <w:r w:rsidRPr="00F970E2">
              <w:rPr>
                <w:rFonts w:ascii="Calibri" w:eastAsia="Times New Roman" w:hAnsi="Calibri" w:cs="Calibri"/>
                <w:b/>
                <w:bCs/>
                <w:color w:val="000000"/>
                <w:lang w:eastAsia="en-GB"/>
              </w:rPr>
              <w:t xml:space="preserve"> Group</w:t>
            </w:r>
          </w:p>
        </w:tc>
        <w:tc>
          <w:tcPr>
            <w:tcW w:w="1000" w:type="dxa"/>
            <w:tcBorders>
              <w:top w:val="nil"/>
              <w:left w:val="nil"/>
              <w:bottom w:val="single" w:sz="4" w:space="0" w:color="auto"/>
              <w:right w:val="single" w:sz="4" w:space="0" w:color="auto"/>
            </w:tcBorders>
            <w:shd w:val="clear" w:color="auto" w:fill="auto"/>
            <w:noWrap/>
            <w:vAlign w:val="bottom"/>
            <w:hideMark/>
          </w:tcPr>
          <w:p w14:paraId="3FC824D4"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13.60%</w:t>
            </w:r>
          </w:p>
        </w:tc>
        <w:tc>
          <w:tcPr>
            <w:tcW w:w="1000" w:type="dxa"/>
            <w:tcBorders>
              <w:top w:val="nil"/>
              <w:left w:val="nil"/>
              <w:bottom w:val="single" w:sz="4" w:space="0" w:color="auto"/>
              <w:right w:val="single" w:sz="4" w:space="0" w:color="auto"/>
            </w:tcBorders>
            <w:shd w:val="clear" w:color="auto" w:fill="auto"/>
            <w:noWrap/>
            <w:vAlign w:val="bottom"/>
            <w:hideMark/>
          </w:tcPr>
          <w:p w14:paraId="7C39C07D"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0.92%</w:t>
            </w:r>
          </w:p>
        </w:tc>
        <w:tc>
          <w:tcPr>
            <w:tcW w:w="1000" w:type="dxa"/>
            <w:tcBorders>
              <w:top w:val="nil"/>
              <w:left w:val="nil"/>
              <w:bottom w:val="single" w:sz="4" w:space="0" w:color="auto"/>
              <w:right w:val="single" w:sz="4" w:space="0" w:color="auto"/>
            </w:tcBorders>
            <w:shd w:val="clear" w:color="auto" w:fill="auto"/>
            <w:noWrap/>
            <w:vAlign w:val="bottom"/>
            <w:hideMark/>
          </w:tcPr>
          <w:p w14:paraId="4E9A75B1"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1.05</w:t>
            </w:r>
          </w:p>
        </w:tc>
        <w:tc>
          <w:tcPr>
            <w:tcW w:w="1000" w:type="dxa"/>
            <w:tcBorders>
              <w:top w:val="nil"/>
              <w:left w:val="nil"/>
              <w:bottom w:val="single" w:sz="4" w:space="0" w:color="auto"/>
              <w:right w:val="single" w:sz="4" w:space="0" w:color="auto"/>
            </w:tcBorders>
            <w:shd w:val="clear" w:color="auto" w:fill="auto"/>
            <w:noWrap/>
            <w:vAlign w:val="bottom"/>
            <w:hideMark/>
          </w:tcPr>
          <w:p w14:paraId="16A1F1ED"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w:t>
            </w:r>
          </w:p>
        </w:tc>
        <w:tc>
          <w:tcPr>
            <w:tcW w:w="1000" w:type="dxa"/>
            <w:tcBorders>
              <w:top w:val="nil"/>
              <w:left w:val="nil"/>
              <w:bottom w:val="single" w:sz="4" w:space="0" w:color="auto"/>
              <w:right w:val="single" w:sz="4" w:space="0" w:color="auto"/>
            </w:tcBorders>
            <w:shd w:val="clear" w:color="auto" w:fill="auto"/>
            <w:noWrap/>
            <w:vAlign w:val="bottom"/>
            <w:hideMark/>
          </w:tcPr>
          <w:p w14:paraId="5DCAD6C8"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1.41</w:t>
            </w:r>
          </w:p>
        </w:tc>
        <w:tc>
          <w:tcPr>
            <w:tcW w:w="1000" w:type="dxa"/>
            <w:tcBorders>
              <w:top w:val="nil"/>
              <w:left w:val="nil"/>
              <w:bottom w:val="single" w:sz="4" w:space="0" w:color="auto"/>
              <w:right w:val="single" w:sz="4" w:space="0" w:color="auto"/>
            </w:tcBorders>
            <w:shd w:val="clear" w:color="auto" w:fill="auto"/>
            <w:noWrap/>
            <w:vAlign w:val="bottom"/>
            <w:hideMark/>
          </w:tcPr>
          <w:p w14:paraId="499E8DA6"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0.59</w:t>
            </w:r>
          </w:p>
        </w:tc>
        <w:tc>
          <w:tcPr>
            <w:tcW w:w="1000" w:type="dxa"/>
            <w:tcBorders>
              <w:top w:val="nil"/>
              <w:left w:val="nil"/>
              <w:bottom w:val="single" w:sz="4" w:space="0" w:color="auto"/>
              <w:right w:val="single" w:sz="4" w:space="0" w:color="auto"/>
            </w:tcBorders>
            <w:shd w:val="clear" w:color="auto" w:fill="auto"/>
            <w:noWrap/>
            <w:vAlign w:val="bottom"/>
            <w:hideMark/>
          </w:tcPr>
          <w:p w14:paraId="62ACEEB9"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548</w:t>
            </w:r>
          </w:p>
        </w:tc>
        <w:tc>
          <w:tcPr>
            <w:tcW w:w="1360" w:type="dxa"/>
            <w:tcBorders>
              <w:top w:val="nil"/>
              <w:left w:val="nil"/>
              <w:bottom w:val="single" w:sz="4" w:space="0" w:color="auto"/>
              <w:right w:val="single" w:sz="4" w:space="0" w:color="auto"/>
            </w:tcBorders>
            <w:shd w:val="clear" w:color="auto" w:fill="auto"/>
            <w:noWrap/>
            <w:vAlign w:val="bottom"/>
            <w:hideMark/>
          </w:tcPr>
          <w:p w14:paraId="1F4F0BBF"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-1.27%</w:t>
            </w:r>
          </w:p>
        </w:tc>
      </w:tr>
      <w:tr w:rsidR="00F970E2" w:rsidRPr="00F970E2" w14:paraId="1482B582" w14:textId="77777777" w:rsidTr="00F970E2">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426B675C" w14:textId="77777777" w:rsidR="00F970E2" w:rsidRPr="00F970E2" w:rsidRDefault="00F970E2" w:rsidP="00F970E2">
            <w:pPr>
              <w:spacing w:after="0" w:line="240" w:lineRule="auto"/>
              <w:rPr>
                <w:rFonts w:ascii="Calibri" w:eastAsia="Times New Roman" w:hAnsi="Calibri" w:cs="Calibri"/>
                <w:b/>
                <w:bCs/>
                <w:color w:val="000000"/>
                <w:lang w:eastAsia="en-GB"/>
              </w:rPr>
            </w:pPr>
            <w:r w:rsidRPr="00F970E2">
              <w:rPr>
                <w:rFonts w:ascii="Calibri" w:eastAsia="Times New Roman" w:hAnsi="Calibri" w:cs="Calibri"/>
                <w:b/>
                <w:bCs/>
                <w:color w:val="000000"/>
                <w:lang w:eastAsia="en-GB"/>
              </w:rPr>
              <w:t>2016 Air France</w:t>
            </w:r>
          </w:p>
        </w:tc>
        <w:tc>
          <w:tcPr>
            <w:tcW w:w="1000" w:type="dxa"/>
            <w:tcBorders>
              <w:top w:val="nil"/>
              <w:left w:val="nil"/>
              <w:bottom w:val="single" w:sz="4" w:space="0" w:color="auto"/>
              <w:right w:val="single" w:sz="4" w:space="0" w:color="auto"/>
            </w:tcBorders>
            <w:shd w:val="clear" w:color="auto" w:fill="auto"/>
            <w:noWrap/>
            <w:vAlign w:val="bottom"/>
            <w:hideMark/>
          </w:tcPr>
          <w:p w14:paraId="2D691023"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11.15%</w:t>
            </w:r>
          </w:p>
        </w:tc>
        <w:tc>
          <w:tcPr>
            <w:tcW w:w="1000" w:type="dxa"/>
            <w:tcBorders>
              <w:top w:val="nil"/>
              <w:left w:val="nil"/>
              <w:bottom w:val="single" w:sz="4" w:space="0" w:color="auto"/>
              <w:right w:val="single" w:sz="4" w:space="0" w:color="auto"/>
            </w:tcBorders>
            <w:shd w:val="clear" w:color="auto" w:fill="auto"/>
            <w:noWrap/>
            <w:vAlign w:val="bottom"/>
            <w:hideMark/>
          </w:tcPr>
          <w:p w14:paraId="329CCEC8"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3.43%</w:t>
            </w:r>
          </w:p>
        </w:tc>
        <w:tc>
          <w:tcPr>
            <w:tcW w:w="1000" w:type="dxa"/>
            <w:tcBorders>
              <w:top w:val="nil"/>
              <w:left w:val="nil"/>
              <w:bottom w:val="single" w:sz="4" w:space="0" w:color="auto"/>
              <w:right w:val="single" w:sz="4" w:space="0" w:color="auto"/>
            </w:tcBorders>
            <w:shd w:val="clear" w:color="auto" w:fill="auto"/>
            <w:noWrap/>
            <w:vAlign w:val="bottom"/>
            <w:hideMark/>
          </w:tcPr>
          <w:p w14:paraId="44B58DBF"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0.75</w:t>
            </w:r>
          </w:p>
        </w:tc>
        <w:tc>
          <w:tcPr>
            <w:tcW w:w="1000" w:type="dxa"/>
            <w:tcBorders>
              <w:top w:val="nil"/>
              <w:left w:val="nil"/>
              <w:bottom w:val="single" w:sz="4" w:space="0" w:color="auto"/>
              <w:right w:val="single" w:sz="4" w:space="0" w:color="auto"/>
            </w:tcBorders>
            <w:shd w:val="clear" w:color="auto" w:fill="auto"/>
            <w:noWrap/>
            <w:vAlign w:val="bottom"/>
            <w:hideMark/>
          </w:tcPr>
          <w:p w14:paraId="040BAFFB"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0.69</w:t>
            </w:r>
          </w:p>
        </w:tc>
        <w:tc>
          <w:tcPr>
            <w:tcW w:w="1000" w:type="dxa"/>
            <w:tcBorders>
              <w:top w:val="nil"/>
              <w:left w:val="nil"/>
              <w:bottom w:val="single" w:sz="4" w:space="0" w:color="auto"/>
              <w:right w:val="single" w:sz="4" w:space="0" w:color="auto"/>
            </w:tcBorders>
            <w:shd w:val="clear" w:color="auto" w:fill="auto"/>
            <w:noWrap/>
            <w:vAlign w:val="bottom"/>
            <w:hideMark/>
          </w:tcPr>
          <w:p w14:paraId="4F6AF09F"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5.73</w:t>
            </w:r>
          </w:p>
        </w:tc>
        <w:tc>
          <w:tcPr>
            <w:tcW w:w="1000" w:type="dxa"/>
            <w:tcBorders>
              <w:top w:val="nil"/>
              <w:left w:val="nil"/>
              <w:bottom w:val="single" w:sz="4" w:space="0" w:color="auto"/>
              <w:right w:val="single" w:sz="4" w:space="0" w:color="auto"/>
            </w:tcBorders>
            <w:shd w:val="clear" w:color="auto" w:fill="auto"/>
            <w:noWrap/>
            <w:vAlign w:val="bottom"/>
            <w:hideMark/>
          </w:tcPr>
          <w:p w14:paraId="549DE5B1"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0.85</w:t>
            </w:r>
          </w:p>
        </w:tc>
        <w:tc>
          <w:tcPr>
            <w:tcW w:w="1000" w:type="dxa"/>
            <w:tcBorders>
              <w:top w:val="nil"/>
              <w:left w:val="nil"/>
              <w:bottom w:val="single" w:sz="4" w:space="0" w:color="auto"/>
              <w:right w:val="single" w:sz="4" w:space="0" w:color="auto"/>
            </w:tcBorders>
            <w:shd w:val="clear" w:color="auto" w:fill="auto"/>
            <w:noWrap/>
            <w:vAlign w:val="bottom"/>
            <w:hideMark/>
          </w:tcPr>
          <w:p w14:paraId="4881A0A6"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534</w:t>
            </w:r>
          </w:p>
        </w:tc>
        <w:tc>
          <w:tcPr>
            <w:tcW w:w="1360" w:type="dxa"/>
            <w:tcBorders>
              <w:top w:val="nil"/>
              <w:left w:val="nil"/>
              <w:bottom w:val="single" w:sz="4" w:space="0" w:color="auto"/>
              <w:right w:val="single" w:sz="4" w:space="0" w:color="auto"/>
            </w:tcBorders>
            <w:shd w:val="clear" w:color="auto" w:fill="auto"/>
            <w:noWrap/>
            <w:vAlign w:val="bottom"/>
            <w:hideMark/>
          </w:tcPr>
          <w:p w14:paraId="2FFCE8FB"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-4.66%</w:t>
            </w:r>
          </w:p>
        </w:tc>
      </w:tr>
      <w:tr w:rsidR="00F970E2" w:rsidRPr="00F970E2" w14:paraId="4B990E2D" w14:textId="77777777" w:rsidTr="00F970E2">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757A0B46" w14:textId="77777777" w:rsidR="00F970E2" w:rsidRPr="00F970E2" w:rsidRDefault="00F970E2" w:rsidP="00F970E2">
            <w:pPr>
              <w:spacing w:after="0" w:line="240" w:lineRule="auto"/>
              <w:rPr>
                <w:rFonts w:ascii="Calibri" w:eastAsia="Times New Roman" w:hAnsi="Calibri" w:cs="Calibri"/>
                <w:b/>
                <w:bCs/>
                <w:color w:val="000000"/>
                <w:lang w:eastAsia="en-GB"/>
              </w:rPr>
            </w:pPr>
            <w:r w:rsidRPr="00F970E2">
              <w:rPr>
                <w:rFonts w:ascii="Calibri" w:eastAsia="Times New Roman" w:hAnsi="Calibri" w:cs="Calibri"/>
                <w:b/>
                <w:bCs/>
                <w:color w:val="000000"/>
                <w:lang w:eastAsia="en-GB"/>
              </w:rPr>
              <w:t>2016 Lufthansa</w:t>
            </w:r>
          </w:p>
        </w:tc>
        <w:tc>
          <w:tcPr>
            <w:tcW w:w="1000" w:type="dxa"/>
            <w:tcBorders>
              <w:top w:val="nil"/>
              <w:left w:val="nil"/>
              <w:bottom w:val="single" w:sz="4" w:space="0" w:color="auto"/>
              <w:right w:val="single" w:sz="4" w:space="0" w:color="auto"/>
            </w:tcBorders>
            <w:shd w:val="clear" w:color="auto" w:fill="auto"/>
            <w:noWrap/>
            <w:vAlign w:val="bottom"/>
            <w:hideMark/>
          </w:tcPr>
          <w:p w14:paraId="660F6E78"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17.18%</w:t>
            </w:r>
          </w:p>
        </w:tc>
        <w:tc>
          <w:tcPr>
            <w:tcW w:w="1000" w:type="dxa"/>
            <w:tcBorders>
              <w:top w:val="nil"/>
              <w:left w:val="nil"/>
              <w:bottom w:val="single" w:sz="4" w:space="0" w:color="auto"/>
              <w:right w:val="single" w:sz="4" w:space="0" w:color="auto"/>
            </w:tcBorders>
            <w:shd w:val="clear" w:color="auto" w:fill="auto"/>
            <w:noWrap/>
            <w:vAlign w:val="bottom"/>
            <w:hideMark/>
          </w:tcPr>
          <w:p w14:paraId="790DDD1D"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5.14%</w:t>
            </w:r>
          </w:p>
        </w:tc>
        <w:tc>
          <w:tcPr>
            <w:tcW w:w="1000" w:type="dxa"/>
            <w:tcBorders>
              <w:top w:val="nil"/>
              <w:left w:val="nil"/>
              <w:bottom w:val="single" w:sz="4" w:space="0" w:color="auto"/>
              <w:right w:val="single" w:sz="4" w:space="0" w:color="auto"/>
            </w:tcBorders>
            <w:shd w:val="clear" w:color="auto" w:fill="auto"/>
            <w:noWrap/>
            <w:vAlign w:val="bottom"/>
            <w:hideMark/>
          </w:tcPr>
          <w:p w14:paraId="23E8947A"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0.93</w:t>
            </w:r>
          </w:p>
        </w:tc>
        <w:tc>
          <w:tcPr>
            <w:tcW w:w="1000" w:type="dxa"/>
            <w:tcBorders>
              <w:top w:val="nil"/>
              <w:left w:val="nil"/>
              <w:bottom w:val="single" w:sz="4" w:space="0" w:color="auto"/>
              <w:right w:val="single" w:sz="4" w:space="0" w:color="auto"/>
            </w:tcBorders>
            <w:shd w:val="clear" w:color="auto" w:fill="auto"/>
            <w:noWrap/>
            <w:vAlign w:val="bottom"/>
            <w:hideMark/>
          </w:tcPr>
          <w:p w14:paraId="2C94D860"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0.85</w:t>
            </w:r>
          </w:p>
        </w:tc>
        <w:tc>
          <w:tcPr>
            <w:tcW w:w="1000" w:type="dxa"/>
            <w:tcBorders>
              <w:top w:val="nil"/>
              <w:left w:val="nil"/>
              <w:bottom w:val="single" w:sz="4" w:space="0" w:color="auto"/>
              <w:right w:val="single" w:sz="4" w:space="0" w:color="auto"/>
            </w:tcBorders>
            <w:shd w:val="clear" w:color="auto" w:fill="auto"/>
            <w:noWrap/>
            <w:vAlign w:val="bottom"/>
            <w:hideMark/>
          </w:tcPr>
          <w:p w14:paraId="653D9C5C"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0.81</w:t>
            </w:r>
          </w:p>
        </w:tc>
        <w:tc>
          <w:tcPr>
            <w:tcW w:w="1000" w:type="dxa"/>
            <w:tcBorders>
              <w:top w:val="nil"/>
              <w:left w:val="nil"/>
              <w:bottom w:val="single" w:sz="4" w:space="0" w:color="auto"/>
              <w:right w:val="single" w:sz="4" w:space="0" w:color="auto"/>
            </w:tcBorders>
            <w:shd w:val="clear" w:color="auto" w:fill="auto"/>
            <w:noWrap/>
            <w:vAlign w:val="bottom"/>
            <w:hideMark/>
          </w:tcPr>
          <w:p w14:paraId="07A46C30"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0.45</w:t>
            </w:r>
          </w:p>
        </w:tc>
        <w:tc>
          <w:tcPr>
            <w:tcW w:w="1000" w:type="dxa"/>
            <w:tcBorders>
              <w:top w:val="nil"/>
              <w:left w:val="nil"/>
              <w:bottom w:val="single" w:sz="4" w:space="0" w:color="auto"/>
              <w:right w:val="single" w:sz="4" w:space="0" w:color="auto"/>
            </w:tcBorders>
            <w:shd w:val="clear" w:color="auto" w:fill="auto"/>
            <w:noWrap/>
            <w:vAlign w:val="bottom"/>
            <w:hideMark/>
          </w:tcPr>
          <w:p w14:paraId="49D71D17"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617</w:t>
            </w:r>
          </w:p>
        </w:tc>
        <w:tc>
          <w:tcPr>
            <w:tcW w:w="1360" w:type="dxa"/>
            <w:tcBorders>
              <w:top w:val="nil"/>
              <w:left w:val="nil"/>
              <w:bottom w:val="single" w:sz="4" w:space="0" w:color="auto"/>
              <w:right w:val="single" w:sz="4" w:space="0" w:color="auto"/>
            </w:tcBorders>
            <w:shd w:val="clear" w:color="auto" w:fill="auto"/>
            <w:noWrap/>
            <w:vAlign w:val="bottom"/>
            <w:hideMark/>
          </w:tcPr>
          <w:p w14:paraId="5C83E946"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-1.20%</w:t>
            </w:r>
          </w:p>
        </w:tc>
      </w:tr>
      <w:tr w:rsidR="00F970E2" w:rsidRPr="00F970E2" w14:paraId="4AC05A9B" w14:textId="77777777" w:rsidTr="00F970E2">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49C1B5D4" w14:textId="7C469822" w:rsidR="00F970E2" w:rsidRPr="00F970E2" w:rsidRDefault="00F970E2" w:rsidP="00F970E2">
            <w:pPr>
              <w:spacing w:after="0" w:line="240" w:lineRule="auto"/>
              <w:rPr>
                <w:rFonts w:ascii="Calibri" w:eastAsia="Times New Roman" w:hAnsi="Calibri" w:cs="Calibri"/>
                <w:b/>
                <w:bCs/>
                <w:color w:val="000000"/>
                <w:lang w:eastAsia="en-GB"/>
              </w:rPr>
            </w:pPr>
            <w:r w:rsidRPr="00F970E2">
              <w:rPr>
                <w:rFonts w:ascii="Calibri" w:eastAsia="Times New Roman" w:hAnsi="Calibri" w:cs="Calibri"/>
                <w:b/>
                <w:bCs/>
                <w:color w:val="000000"/>
                <w:lang w:eastAsia="en-GB"/>
              </w:rPr>
              <w:t>2017 Easy</w:t>
            </w:r>
            <w:r w:rsidR="000650F6">
              <w:rPr>
                <w:rFonts w:ascii="Calibri" w:eastAsia="Times New Roman" w:hAnsi="Calibri" w:cs="Calibri"/>
                <w:b/>
                <w:bCs/>
                <w:color w:val="000000"/>
                <w:lang w:eastAsia="en-GB"/>
              </w:rPr>
              <w:t>J</w:t>
            </w:r>
            <w:r w:rsidRPr="00F970E2">
              <w:rPr>
                <w:rFonts w:ascii="Calibri" w:eastAsia="Times New Roman" w:hAnsi="Calibri" w:cs="Calibri"/>
                <w:b/>
                <w:bCs/>
                <w:color w:val="000000"/>
                <w:lang w:eastAsia="en-GB"/>
              </w:rPr>
              <w:t>et</w:t>
            </w:r>
          </w:p>
        </w:tc>
        <w:tc>
          <w:tcPr>
            <w:tcW w:w="1000" w:type="dxa"/>
            <w:tcBorders>
              <w:top w:val="nil"/>
              <w:left w:val="nil"/>
              <w:bottom w:val="single" w:sz="4" w:space="0" w:color="auto"/>
              <w:right w:val="single" w:sz="4" w:space="0" w:color="auto"/>
            </w:tcBorders>
            <w:shd w:val="clear" w:color="auto" w:fill="auto"/>
            <w:noWrap/>
            <w:vAlign w:val="bottom"/>
            <w:hideMark/>
          </w:tcPr>
          <w:p w14:paraId="27696BEC"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8.80%</w:t>
            </w:r>
          </w:p>
        </w:tc>
        <w:tc>
          <w:tcPr>
            <w:tcW w:w="1000" w:type="dxa"/>
            <w:tcBorders>
              <w:top w:val="nil"/>
              <w:left w:val="nil"/>
              <w:bottom w:val="single" w:sz="4" w:space="0" w:color="auto"/>
              <w:right w:val="single" w:sz="4" w:space="0" w:color="auto"/>
            </w:tcBorders>
            <w:shd w:val="clear" w:color="auto" w:fill="auto"/>
            <w:noWrap/>
            <w:vAlign w:val="bottom"/>
            <w:hideMark/>
          </w:tcPr>
          <w:p w14:paraId="125DF169"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5.34%</w:t>
            </w:r>
          </w:p>
        </w:tc>
        <w:tc>
          <w:tcPr>
            <w:tcW w:w="1000" w:type="dxa"/>
            <w:tcBorders>
              <w:top w:val="nil"/>
              <w:left w:val="nil"/>
              <w:bottom w:val="single" w:sz="4" w:space="0" w:color="auto"/>
              <w:right w:val="single" w:sz="4" w:space="0" w:color="auto"/>
            </w:tcBorders>
            <w:shd w:val="clear" w:color="auto" w:fill="auto"/>
            <w:noWrap/>
            <w:vAlign w:val="bottom"/>
            <w:hideMark/>
          </w:tcPr>
          <w:p w14:paraId="39031738"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1.04</w:t>
            </w:r>
          </w:p>
        </w:tc>
        <w:tc>
          <w:tcPr>
            <w:tcW w:w="1000" w:type="dxa"/>
            <w:tcBorders>
              <w:top w:val="nil"/>
              <w:left w:val="nil"/>
              <w:bottom w:val="single" w:sz="4" w:space="0" w:color="auto"/>
              <w:right w:val="single" w:sz="4" w:space="0" w:color="auto"/>
            </w:tcBorders>
            <w:shd w:val="clear" w:color="auto" w:fill="auto"/>
            <w:noWrap/>
            <w:vAlign w:val="bottom"/>
            <w:hideMark/>
          </w:tcPr>
          <w:p w14:paraId="469EA386"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1.04</w:t>
            </w:r>
          </w:p>
        </w:tc>
        <w:tc>
          <w:tcPr>
            <w:tcW w:w="1000" w:type="dxa"/>
            <w:tcBorders>
              <w:top w:val="nil"/>
              <w:left w:val="nil"/>
              <w:bottom w:val="single" w:sz="4" w:space="0" w:color="auto"/>
              <w:right w:val="single" w:sz="4" w:space="0" w:color="auto"/>
            </w:tcBorders>
            <w:shd w:val="clear" w:color="auto" w:fill="auto"/>
            <w:noWrap/>
            <w:vAlign w:val="bottom"/>
            <w:hideMark/>
          </w:tcPr>
          <w:p w14:paraId="4EF41FE6"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0.34</w:t>
            </w:r>
          </w:p>
        </w:tc>
        <w:tc>
          <w:tcPr>
            <w:tcW w:w="1000" w:type="dxa"/>
            <w:tcBorders>
              <w:top w:val="nil"/>
              <w:left w:val="nil"/>
              <w:bottom w:val="single" w:sz="4" w:space="0" w:color="auto"/>
              <w:right w:val="single" w:sz="4" w:space="0" w:color="auto"/>
            </w:tcBorders>
            <w:shd w:val="clear" w:color="auto" w:fill="auto"/>
            <w:noWrap/>
            <w:vAlign w:val="bottom"/>
            <w:hideMark/>
          </w:tcPr>
          <w:p w14:paraId="06789AB1"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0.25</w:t>
            </w:r>
          </w:p>
        </w:tc>
        <w:tc>
          <w:tcPr>
            <w:tcW w:w="1000" w:type="dxa"/>
            <w:tcBorders>
              <w:top w:val="nil"/>
              <w:left w:val="nil"/>
              <w:bottom w:val="single" w:sz="4" w:space="0" w:color="auto"/>
              <w:right w:val="single" w:sz="4" w:space="0" w:color="auto"/>
            </w:tcBorders>
            <w:shd w:val="clear" w:color="auto" w:fill="auto"/>
            <w:noWrap/>
            <w:vAlign w:val="bottom"/>
            <w:hideMark/>
          </w:tcPr>
          <w:p w14:paraId="5BD32D80"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279</w:t>
            </w:r>
          </w:p>
        </w:tc>
        <w:tc>
          <w:tcPr>
            <w:tcW w:w="1360" w:type="dxa"/>
            <w:tcBorders>
              <w:top w:val="nil"/>
              <w:left w:val="nil"/>
              <w:bottom w:val="single" w:sz="4" w:space="0" w:color="auto"/>
              <w:right w:val="single" w:sz="4" w:space="0" w:color="auto"/>
            </w:tcBorders>
            <w:shd w:val="clear" w:color="auto" w:fill="auto"/>
            <w:noWrap/>
            <w:vAlign w:val="bottom"/>
            <w:hideMark/>
          </w:tcPr>
          <w:p w14:paraId="4F855FFD"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7.40%</w:t>
            </w:r>
          </w:p>
        </w:tc>
      </w:tr>
      <w:tr w:rsidR="00F970E2" w:rsidRPr="00F970E2" w14:paraId="5ECFB236" w14:textId="77777777" w:rsidTr="00F970E2">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5060C326" w14:textId="77777777" w:rsidR="00F970E2" w:rsidRPr="00F970E2" w:rsidRDefault="00F970E2" w:rsidP="00F970E2">
            <w:pPr>
              <w:spacing w:after="0" w:line="240" w:lineRule="auto"/>
              <w:rPr>
                <w:rFonts w:ascii="Calibri" w:eastAsia="Times New Roman" w:hAnsi="Calibri" w:cs="Calibri"/>
                <w:b/>
                <w:bCs/>
                <w:color w:val="000000"/>
                <w:lang w:eastAsia="en-GB"/>
              </w:rPr>
            </w:pPr>
            <w:r w:rsidRPr="00F970E2">
              <w:rPr>
                <w:rFonts w:ascii="Calibri" w:eastAsia="Times New Roman" w:hAnsi="Calibri" w:cs="Calibri"/>
                <w:b/>
                <w:bCs/>
                <w:color w:val="000000"/>
                <w:lang w:eastAsia="en-GB"/>
              </w:rPr>
              <w:t>2017 Ryanair</w:t>
            </w:r>
          </w:p>
        </w:tc>
        <w:tc>
          <w:tcPr>
            <w:tcW w:w="1000" w:type="dxa"/>
            <w:tcBorders>
              <w:top w:val="nil"/>
              <w:left w:val="nil"/>
              <w:bottom w:val="single" w:sz="4" w:space="0" w:color="auto"/>
              <w:right w:val="single" w:sz="4" w:space="0" w:color="auto"/>
            </w:tcBorders>
            <w:shd w:val="clear" w:color="auto" w:fill="auto"/>
            <w:noWrap/>
            <w:vAlign w:val="bottom"/>
            <w:hideMark/>
          </w:tcPr>
          <w:p w14:paraId="2B2B76A7"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18.20%</w:t>
            </w:r>
          </w:p>
        </w:tc>
        <w:tc>
          <w:tcPr>
            <w:tcW w:w="1000" w:type="dxa"/>
            <w:tcBorders>
              <w:top w:val="nil"/>
              <w:left w:val="nil"/>
              <w:bottom w:val="single" w:sz="4" w:space="0" w:color="auto"/>
              <w:right w:val="single" w:sz="4" w:space="0" w:color="auto"/>
            </w:tcBorders>
            <w:shd w:val="clear" w:color="auto" w:fill="auto"/>
            <w:noWrap/>
            <w:vAlign w:val="bottom"/>
            <w:hideMark/>
          </w:tcPr>
          <w:p w14:paraId="3D73A315"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12.89%</w:t>
            </w:r>
          </w:p>
        </w:tc>
        <w:tc>
          <w:tcPr>
            <w:tcW w:w="1000" w:type="dxa"/>
            <w:tcBorders>
              <w:top w:val="nil"/>
              <w:left w:val="nil"/>
              <w:bottom w:val="single" w:sz="4" w:space="0" w:color="auto"/>
              <w:right w:val="single" w:sz="4" w:space="0" w:color="auto"/>
            </w:tcBorders>
            <w:shd w:val="clear" w:color="auto" w:fill="auto"/>
            <w:noWrap/>
            <w:vAlign w:val="bottom"/>
            <w:hideMark/>
          </w:tcPr>
          <w:p w14:paraId="1844423C"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1.23</w:t>
            </w:r>
          </w:p>
        </w:tc>
        <w:tc>
          <w:tcPr>
            <w:tcW w:w="1000" w:type="dxa"/>
            <w:tcBorders>
              <w:top w:val="nil"/>
              <w:left w:val="nil"/>
              <w:bottom w:val="single" w:sz="4" w:space="0" w:color="auto"/>
              <w:right w:val="single" w:sz="4" w:space="0" w:color="auto"/>
            </w:tcBorders>
            <w:shd w:val="clear" w:color="auto" w:fill="auto"/>
            <w:noWrap/>
            <w:vAlign w:val="bottom"/>
            <w:hideMark/>
          </w:tcPr>
          <w:p w14:paraId="0DADB6F7"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1.23</w:t>
            </w:r>
          </w:p>
        </w:tc>
        <w:tc>
          <w:tcPr>
            <w:tcW w:w="1000" w:type="dxa"/>
            <w:tcBorders>
              <w:top w:val="nil"/>
              <w:left w:val="nil"/>
              <w:bottom w:val="single" w:sz="4" w:space="0" w:color="auto"/>
              <w:right w:val="single" w:sz="4" w:space="0" w:color="auto"/>
            </w:tcBorders>
            <w:shd w:val="clear" w:color="auto" w:fill="auto"/>
            <w:noWrap/>
            <w:vAlign w:val="bottom"/>
            <w:hideMark/>
          </w:tcPr>
          <w:p w14:paraId="5C50D9ED"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0.88</w:t>
            </w:r>
          </w:p>
        </w:tc>
        <w:tc>
          <w:tcPr>
            <w:tcW w:w="1000" w:type="dxa"/>
            <w:tcBorders>
              <w:top w:val="nil"/>
              <w:left w:val="nil"/>
              <w:bottom w:val="single" w:sz="4" w:space="0" w:color="auto"/>
              <w:right w:val="single" w:sz="4" w:space="0" w:color="auto"/>
            </w:tcBorders>
            <w:shd w:val="clear" w:color="auto" w:fill="auto"/>
            <w:noWrap/>
            <w:vAlign w:val="bottom"/>
            <w:hideMark/>
          </w:tcPr>
          <w:p w14:paraId="24C53BC8"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0.47</w:t>
            </w:r>
          </w:p>
        </w:tc>
        <w:tc>
          <w:tcPr>
            <w:tcW w:w="1000" w:type="dxa"/>
            <w:tcBorders>
              <w:top w:val="nil"/>
              <w:left w:val="nil"/>
              <w:bottom w:val="single" w:sz="4" w:space="0" w:color="auto"/>
              <w:right w:val="single" w:sz="4" w:space="0" w:color="auto"/>
            </w:tcBorders>
            <w:shd w:val="clear" w:color="auto" w:fill="auto"/>
            <w:noWrap/>
            <w:vAlign w:val="bottom"/>
            <w:hideMark/>
          </w:tcPr>
          <w:p w14:paraId="3D932399"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383</w:t>
            </w:r>
          </w:p>
        </w:tc>
        <w:tc>
          <w:tcPr>
            <w:tcW w:w="1360" w:type="dxa"/>
            <w:tcBorders>
              <w:top w:val="nil"/>
              <w:left w:val="nil"/>
              <w:bottom w:val="single" w:sz="4" w:space="0" w:color="auto"/>
              <w:right w:val="single" w:sz="4" w:space="0" w:color="auto"/>
            </w:tcBorders>
            <w:shd w:val="clear" w:color="auto" w:fill="auto"/>
            <w:noWrap/>
            <w:vAlign w:val="bottom"/>
            <w:hideMark/>
          </w:tcPr>
          <w:p w14:paraId="50C98A69"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1.08%</w:t>
            </w:r>
          </w:p>
        </w:tc>
      </w:tr>
      <w:tr w:rsidR="00F970E2" w:rsidRPr="00F970E2" w14:paraId="1A0D5605" w14:textId="77777777" w:rsidTr="00F970E2">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60F4BA2D" w14:textId="44C64225" w:rsidR="00F970E2" w:rsidRPr="00F970E2" w:rsidRDefault="00F970E2" w:rsidP="00F970E2">
            <w:pPr>
              <w:spacing w:after="0" w:line="240" w:lineRule="auto"/>
              <w:rPr>
                <w:rFonts w:ascii="Calibri" w:eastAsia="Times New Roman" w:hAnsi="Calibri" w:cs="Calibri"/>
                <w:b/>
                <w:bCs/>
                <w:color w:val="000000"/>
                <w:lang w:eastAsia="en-GB"/>
              </w:rPr>
            </w:pPr>
            <w:r w:rsidRPr="00F970E2">
              <w:rPr>
                <w:rFonts w:ascii="Calibri" w:eastAsia="Times New Roman" w:hAnsi="Calibri" w:cs="Calibri"/>
                <w:b/>
                <w:bCs/>
                <w:color w:val="000000"/>
                <w:lang w:eastAsia="en-GB"/>
              </w:rPr>
              <w:t>2017 I</w:t>
            </w:r>
            <w:r w:rsidR="000650F6">
              <w:rPr>
                <w:rFonts w:ascii="Calibri" w:eastAsia="Times New Roman" w:hAnsi="Calibri" w:cs="Calibri"/>
                <w:b/>
                <w:bCs/>
                <w:color w:val="000000"/>
                <w:lang w:eastAsia="en-GB"/>
              </w:rPr>
              <w:t>AG</w:t>
            </w:r>
            <w:r w:rsidRPr="00F970E2">
              <w:rPr>
                <w:rFonts w:ascii="Calibri" w:eastAsia="Times New Roman" w:hAnsi="Calibri" w:cs="Calibri"/>
                <w:b/>
                <w:bCs/>
                <w:color w:val="000000"/>
                <w:lang w:eastAsia="en-GB"/>
              </w:rPr>
              <w:t xml:space="preserve"> Group</w:t>
            </w:r>
          </w:p>
        </w:tc>
        <w:tc>
          <w:tcPr>
            <w:tcW w:w="1000" w:type="dxa"/>
            <w:tcBorders>
              <w:top w:val="nil"/>
              <w:left w:val="nil"/>
              <w:bottom w:val="single" w:sz="4" w:space="0" w:color="auto"/>
              <w:right w:val="single" w:sz="4" w:space="0" w:color="auto"/>
            </w:tcBorders>
            <w:shd w:val="clear" w:color="auto" w:fill="auto"/>
            <w:noWrap/>
            <w:vAlign w:val="bottom"/>
            <w:hideMark/>
          </w:tcPr>
          <w:p w14:paraId="27973427"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16%</w:t>
            </w:r>
          </w:p>
        </w:tc>
        <w:tc>
          <w:tcPr>
            <w:tcW w:w="1000" w:type="dxa"/>
            <w:tcBorders>
              <w:top w:val="nil"/>
              <w:left w:val="nil"/>
              <w:bottom w:val="single" w:sz="4" w:space="0" w:color="auto"/>
              <w:right w:val="single" w:sz="4" w:space="0" w:color="auto"/>
            </w:tcBorders>
            <w:shd w:val="clear" w:color="auto" w:fill="auto"/>
            <w:noWrap/>
            <w:vAlign w:val="bottom"/>
            <w:hideMark/>
          </w:tcPr>
          <w:p w14:paraId="6EB893E8"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10.09%</w:t>
            </w:r>
          </w:p>
        </w:tc>
        <w:tc>
          <w:tcPr>
            <w:tcW w:w="1000" w:type="dxa"/>
            <w:tcBorders>
              <w:top w:val="nil"/>
              <w:left w:val="nil"/>
              <w:bottom w:val="single" w:sz="4" w:space="0" w:color="auto"/>
              <w:right w:val="single" w:sz="4" w:space="0" w:color="auto"/>
            </w:tcBorders>
            <w:shd w:val="clear" w:color="auto" w:fill="auto"/>
            <w:noWrap/>
            <w:vAlign w:val="bottom"/>
            <w:hideMark/>
          </w:tcPr>
          <w:p w14:paraId="3A0F2005"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1.05</w:t>
            </w:r>
          </w:p>
        </w:tc>
        <w:tc>
          <w:tcPr>
            <w:tcW w:w="1000" w:type="dxa"/>
            <w:tcBorders>
              <w:top w:val="nil"/>
              <w:left w:val="nil"/>
              <w:bottom w:val="single" w:sz="4" w:space="0" w:color="auto"/>
              <w:right w:val="single" w:sz="4" w:space="0" w:color="auto"/>
            </w:tcBorders>
            <w:shd w:val="clear" w:color="auto" w:fill="auto"/>
            <w:noWrap/>
            <w:vAlign w:val="bottom"/>
            <w:hideMark/>
          </w:tcPr>
          <w:p w14:paraId="714C39A7"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1.01</w:t>
            </w:r>
          </w:p>
        </w:tc>
        <w:tc>
          <w:tcPr>
            <w:tcW w:w="1000" w:type="dxa"/>
            <w:tcBorders>
              <w:top w:val="nil"/>
              <w:left w:val="nil"/>
              <w:bottom w:val="single" w:sz="4" w:space="0" w:color="auto"/>
              <w:right w:val="single" w:sz="4" w:space="0" w:color="auto"/>
            </w:tcBorders>
            <w:shd w:val="clear" w:color="auto" w:fill="auto"/>
            <w:noWrap/>
            <w:vAlign w:val="bottom"/>
            <w:hideMark/>
          </w:tcPr>
          <w:p w14:paraId="144CB3B5"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0.9</w:t>
            </w:r>
          </w:p>
        </w:tc>
        <w:tc>
          <w:tcPr>
            <w:tcW w:w="1000" w:type="dxa"/>
            <w:tcBorders>
              <w:top w:val="nil"/>
              <w:left w:val="nil"/>
              <w:bottom w:val="single" w:sz="4" w:space="0" w:color="auto"/>
              <w:right w:val="single" w:sz="4" w:space="0" w:color="auto"/>
            </w:tcBorders>
            <w:shd w:val="clear" w:color="auto" w:fill="auto"/>
            <w:noWrap/>
            <w:vAlign w:val="bottom"/>
            <w:hideMark/>
          </w:tcPr>
          <w:p w14:paraId="5D96D9EE"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0.47</w:t>
            </w:r>
          </w:p>
        </w:tc>
        <w:tc>
          <w:tcPr>
            <w:tcW w:w="1000" w:type="dxa"/>
            <w:tcBorders>
              <w:top w:val="nil"/>
              <w:left w:val="nil"/>
              <w:bottom w:val="single" w:sz="4" w:space="0" w:color="auto"/>
              <w:right w:val="single" w:sz="4" w:space="0" w:color="auto"/>
            </w:tcBorders>
            <w:shd w:val="clear" w:color="auto" w:fill="auto"/>
            <w:noWrap/>
            <w:vAlign w:val="bottom"/>
            <w:hideMark/>
          </w:tcPr>
          <w:p w14:paraId="7F335B9F"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546</w:t>
            </w:r>
          </w:p>
        </w:tc>
        <w:tc>
          <w:tcPr>
            <w:tcW w:w="1360" w:type="dxa"/>
            <w:tcBorders>
              <w:top w:val="nil"/>
              <w:left w:val="nil"/>
              <w:bottom w:val="single" w:sz="4" w:space="0" w:color="auto"/>
              <w:right w:val="single" w:sz="4" w:space="0" w:color="auto"/>
            </w:tcBorders>
            <w:shd w:val="clear" w:color="auto" w:fill="auto"/>
            <w:noWrap/>
            <w:vAlign w:val="bottom"/>
            <w:hideMark/>
          </w:tcPr>
          <w:p w14:paraId="704ECCA2"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1.39%</w:t>
            </w:r>
          </w:p>
        </w:tc>
      </w:tr>
      <w:tr w:rsidR="00F970E2" w:rsidRPr="00F970E2" w14:paraId="0A0EB885" w14:textId="77777777" w:rsidTr="00F970E2">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0CA9B857" w14:textId="77777777" w:rsidR="00F970E2" w:rsidRPr="00F970E2" w:rsidRDefault="00F970E2" w:rsidP="00F970E2">
            <w:pPr>
              <w:spacing w:after="0" w:line="240" w:lineRule="auto"/>
              <w:rPr>
                <w:rFonts w:ascii="Calibri" w:eastAsia="Times New Roman" w:hAnsi="Calibri" w:cs="Calibri"/>
                <w:b/>
                <w:bCs/>
                <w:color w:val="000000"/>
                <w:lang w:eastAsia="en-GB"/>
              </w:rPr>
            </w:pPr>
            <w:r w:rsidRPr="00F970E2">
              <w:rPr>
                <w:rFonts w:ascii="Calibri" w:eastAsia="Times New Roman" w:hAnsi="Calibri" w:cs="Calibri"/>
                <w:b/>
                <w:bCs/>
                <w:color w:val="000000"/>
                <w:lang w:eastAsia="en-GB"/>
              </w:rPr>
              <w:t>2017 Air France</w:t>
            </w:r>
          </w:p>
        </w:tc>
        <w:tc>
          <w:tcPr>
            <w:tcW w:w="1000" w:type="dxa"/>
            <w:tcBorders>
              <w:top w:val="nil"/>
              <w:left w:val="nil"/>
              <w:bottom w:val="single" w:sz="4" w:space="0" w:color="auto"/>
              <w:right w:val="single" w:sz="4" w:space="0" w:color="auto"/>
            </w:tcBorders>
            <w:shd w:val="clear" w:color="auto" w:fill="auto"/>
            <w:noWrap/>
            <w:vAlign w:val="bottom"/>
            <w:hideMark/>
          </w:tcPr>
          <w:p w14:paraId="66118FC2"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-3.09%</w:t>
            </w:r>
          </w:p>
        </w:tc>
        <w:tc>
          <w:tcPr>
            <w:tcW w:w="1000" w:type="dxa"/>
            <w:tcBorders>
              <w:top w:val="nil"/>
              <w:left w:val="nil"/>
              <w:bottom w:val="single" w:sz="4" w:space="0" w:color="auto"/>
              <w:right w:val="single" w:sz="4" w:space="0" w:color="auto"/>
            </w:tcBorders>
            <w:shd w:val="clear" w:color="auto" w:fill="auto"/>
            <w:noWrap/>
            <w:vAlign w:val="bottom"/>
            <w:hideMark/>
          </w:tcPr>
          <w:p w14:paraId="4AC5017C"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-1.11%</w:t>
            </w:r>
          </w:p>
        </w:tc>
        <w:tc>
          <w:tcPr>
            <w:tcW w:w="1000" w:type="dxa"/>
            <w:tcBorders>
              <w:top w:val="nil"/>
              <w:left w:val="nil"/>
              <w:bottom w:val="single" w:sz="4" w:space="0" w:color="auto"/>
              <w:right w:val="single" w:sz="4" w:space="0" w:color="auto"/>
            </w:tcBorders>
            <w:shd w:val="clear" w:color="auto" w:fill="auto"/>
            <w:noWrap/>
            <w:vAlign w:val="bottom"/>
            <w:hideMark/>
          </w:tcPr>
          <w:p w14:paraId="02D6BD21"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0.82</w:t>
            </w:r>
          </w:p>
        </w:tc>
        <w:tc>
          <w:tcPr>
            <w:tcW w:w="1000" w:type="dxa"/>
            <w:tcBorders>
              <w:top w:val="nil"/>
              <w:left w:val="nil"/>
              <w:bottom w:val="single" w:sz="4" w:space="0" w:color="auto"/>
              <w:right w:val="single" w:sz="4" w:space="0" w:color="auto"/>
            </w:tcBorders>
            <w:shd w:val="clear" w:color="auto" w:fill="auto"/>
            <w:noWrap/>
            <w:vAlign w:val="bottom"/>
            <w:hideMark/>
          </w:tcPr>
          <w:p w14:paraId="03224E9E"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0.77</w:t>
            </w:r>
          </w:p>
        </w:tc>
        <w:tc>
          <w:tcPr>
            <w:tcW w:w="1000" w:type="dxa"/>
            <w:tcBorders>
              <w:top w:val="nil"/>
              <w:left w:val="nil"/>
              <w:bottom w:val="single" w:sz="4" w:space="0" w:color="auto"/>
              <w:right w:val="single" w:sz="4" w:space="0" w:color="auto"/>
            </w:tcBorders>
            <w:shd w:val="clear" w:color="auto" w:fill="auto"/>
            <w:noWrap/>
            <w:vAlign w:val="bottom"/>
            <w:hideMark/>
          </w:tcPr>
          <w:p w14:paraId="562EBCA5"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2.01</w:t>
            </w:r>
          </w:p>
        </w:tc>
        <w:tc>
          <w:tcPr>
            <w:tcW w:w="1000" w:type="dxa"/>
            <w:tcBorders>
              <w:top w:val="nil"/>
              <w:left w:val="nil"/>
              <w:bottom w:val="single" w:sz="4" w:space="0" w:color="auto"/>
              <w:right w:val="single" w:sz="4" w:space="0" w:color="auto"/>
            </w:tcBorders>
            <w:shd w:val="clear" w:color="auto" w:fill="auto"/>
            <w:noWrap/>
            <w:vAlign w:val="bottom"/>
            <w:hideMark/>
          </w:tcPr>
          <w:p w14:paraId="5A07EE16"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0.67</w:t>
            </w:r>
          </w:p>
        </w:tc>
        <w:tc>
          <w:tcPr>
            <w:tcW w:w="1000" w:type="dxa"/>
            <w:tcBorders>
              <w:top w:val="nil"/>
              <w:left w:val="nil"/>
              <w:bottom w:val="single" w:sz="4" w:space="0" w:color="auto"/>
              <w:right w:val="single" w:sz="4" w:space="0" w:color="auto"/>
            </w:tcBorders>
            <w:shd w:val="clear" w:color="auto" w:fill="auto"/>
            <w:noWrap/>
            <w:vAlign w:val="bottom"/>
            <w:hideMark/>
          </w:tcPr>
          <w:p w14:paraId="7D45A69E"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537</w:t>
            </w:r>
          </w:p>
        </w:tc>
        <w:tc>
          <w:tcPr>
            <w:tcW w:w="1360" w:type="dxa"/>
            <w:tcBorders>
              <w:top w:val="nil"/>
              <w:left w:val="nil"/>
              <w:bottom w:val="single" w:sz="4" w:space="0" w:color="auto"/>
              <w:right w:val="single" w:sz="4" w:space="0" w:color="auto"/>
            </w:tcBorders>
            <w:shd w:val="clear" w:color="auto" w:fill="auto"/>
            <w:noWrap/>
            <w:vAlign w:val="bottom"/>
            <w:hideMark/>
          </w:tcPr>
          <w:p w14:paraId="7415F96D"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3.77%</w:t>
            </w:r>
          </w:p>
        </w:tc>
      </w:tr>
      <w:tr w:rsidR="00F970E2" w:rsidRPr="00F970E2" w14:paraId="5F9B17FB" w14:textId="77777777" w:rsidTr="00F970E2">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71C98BC6" w14:textId="77777777" w:rsidR="00F970E2" w:rsidRPr="00F970E2" w:rsidRDefault="00F970E2" w:rsidP="00F970E2">
            <w:pPr>
              <w:spacing w:after="0" w:line="240" w:lineRule="auto"/>
              <w:rPr>
                <w:rFonts w:ascii="Calibri" w:eastAsia="Times New Roman" w:hAnsi="Calibri" w:cs="Calibri"/>
                <w:b/>
                <w:bCs/>
                <w:color w:val="000000"/>
                <w:lang w:eastAsia="en-GB"/>
              </w:rPr>
            </w:pPr>
            <w:r w:rsidRPr="00F970E2">
              <w:rPr>
                <w:rFonts w:ascii="Calibri" w:eastAsia="Times New Roman" w:hAnsi="Calibri" w:cs="Calibri"/>
                <w:b/>
                <w:bCs/>
                <w:color w:val="000000"/>
                <w:lang w:eastAsia="en-GB"/>
              </w:rPr>
              <w:t>2017 Lufthansa</w:t>
            </w:r>
          </w:p>
        </w:tc>
        <w:tc>
          <w:tcPr>
            <w:tcW w:w="1000" w:type="dxa"/>
            <w:tcBorders>
              <w:top w:val="nil"/>
              <w:left w:val="nil"/>
              <w:bottom w:val="single" w:sz="4" w:space="0" w:color="auto"/>
              <w:right w:val="single" w:sz="4" w:space="0" w:color="auto"/>
            </w:tcBorders>
            <w:shd w:val="clear" w:color="auto" w:fill="auto"/>
            <w:noWrap/>
            <w:vAlign w:val="bottom"/>
            <w:hideMark/>
          </w:tcPr>
          <w:p w14:paraId="5C041361"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16.50%</w:t>
            </w:r>
          </w:p>
        </w:tc>
        <w:tc>
          <w:tcPr>
            <w:tcW w:w="1000" w:type="dxa"/>
            <w:tcBorders>
              <w:top w:val="nil"/>
              <w:left w:val="nil"/>
              <w:bottom w:val="single" w:sz="4" w:space="0" w:color="auto"/>
              <w:right w:val="single" w:sz="4" w:space="0" w:color="auto"/>
            </w:tcBorders>
            <w:shd w:val="clear" w:color="auto" w:fill="auto"/>
            <w:noWrap/>
            <w:vAlign w:val="bottom"/>
            <w:hideMark/>
          </w:tcPr>
          <w:p w14:paraId="2368522C"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6.35%</w:t>
            </w:r>
          </w:p>
        </w:tc>
        <w:tc>
          <w:tcPr>
            <w:tcW w:w="1000" w:type="dxa"/>
            <w:tcBorders>
              <w:top w:val="nil"/>
              <w:left w:val="nil"/>
              <w:bottom w:val="single" w:sz="4" w:space="0" w:color="auto"/>
              <w:right w:val="single" w:sz="4" w:space="0" w:color="auto"/>
            </w:tcBorders>
            <w:shd w:val="clear" w:color="auto" w:fill="auto"/>
            <w:noWrap/>
            <w:vAlign w:val="bottom"/>
            <w:hideMark/>
          </w:tcPr>
          <w:p w14:paraId="742524F8"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0.87</w:t>
            </w:r>
          </w:p>
        </w:tc>
        <w:tc>
          <w:tcPr>
            <w:tcW w:w="1000" w:type="dxa"/>
            <w:tcBorders>
              <w:top w:val="nil"/>
              <w:left w:val="nil"/>
              <w:bottom w:val="single" w:sz="4" w:space="0" w:color="auto"/>
              <w:right w:val="single" w:sz="4" w:space="0" w:color="auto"/>
            </w:tcBorders>
            <w:shd w:val="clear" w:color="auto" w:fill="auto"/>
            <w:noWrap/>
            <w:vAlign w:val="bottom"/>
            <w:hideMark/>
          </w:tcPr>
          <w:p w14:paraId="500826C5"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0.8</w:t>
            </w:r>
          </w:p>
        </w:tc>
        <w:tc>
          <w:tcPr>
            <w:tcW w:w="1000" w:type="dxa"/>
            <w:tcBorders>
              <w:top w:val="nil"/>
              <w:left w:val="nil"/>
              <w:bottom w:val="single" w:sz="4" w:space="0" w:color="auto"/>
              <w:right w:val="single" w:sz="4" w:space="0" w:color="auto"/>
            </w:tcBorders>
            <w:shd w:val="clear" w:color="auto" w:fill="auto"/>
            <w:noWrap/>
            <w:vAlign w:val="bottom"/>
            <w:hideMark/>
          </w:tcPr>
          <w:p w14:paraId="63C423F6"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0.64</w:t>
            </w:r>
          </w:p>
        </w:tc>
        <w:tc>
          <w:tcPr>
            <w:tcW w:w="1000" w:type="dxa"/>
            <w:tcBorders>
              <w:top w:val="nil"/>
              <w:left w:val="nil"/>
              <w:bottom w:val="single" w:sz="4" w:space="0" w:color="auto"/>
              <w:right w:val="single" w:sz="4" w:space="0" w:color="auto"/>
            </w:tcBorders>
            <w:shd w:val="clear" w:color="auto" w:fill="auto"/>
            <w:noWrap/>
            <w:vAlign w:val="bottom"/>
            <w:hideMark/>
          </w:tcPr>
          <w:p w14:paraId="76A490BF"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0.39</w:t>
            </w:r>
          </w:p>
        </w:tc>
        <w:tc>
          <w:tcPr>
            <w:tcW w:w="1000" w:type="dxa"/>
            <w:tcBorders>
              <w:top w:val="nil"/>
              <w:left w:val="nil"/>
              <w:bottom w:val="single" w:sz="4" w:space="0" w:color="auto"/>
              <w:right w:val="single" w:sz="4" w:space="0" w:color="auto"/>
            </w:tcBorders>
            <w:shd w:val="clear" w:color="auto" w:fill="auto"/>
            <w:noWrap/>
            <w:vAlign w:val="bottom"/>
            <w:hideMark/>
          </w:tcPr>
          <w:p w14:paraId="2251DD4F"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728</w:t>
            </w:r>
          </w:p>
        </w:tc>
        <w:tc>
          <w:tcPr>
            <w:tcW w:w="1360" w:type="dxa"/>
            <w:tcBorders>
              <w:top w:val="nil"/>
              <w:left w:val="nil"/>
              <w:bottom w:val="single" w:sz="4" w:space="0" w:color="auto"/>
              <w:right w:val="single" w:sz="4" w:space="0" w:color="auto"/>
            </w:tcBorders>
            <w:shd w:val="clear" w:color="auto" w:fill="auto"/>
            <w:noWrap/>
            <w:vAlign w:val="bottom"/>
            <w:hideMark/>
          </w:tcPr>
          <w:p w14:paraId="39A3E529"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w:t>
            </w:r>
          </w:p>
        </w:tc>
      </w:tr>
      <w:tr w:rsidR="00F970E2" w:rsidRPr="00F970E2" w14:paraId="12A41C01" w14:textId="77777777" w:rsidTr="00F970E2">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5BF3D9F7" w14:textId="4798654B" w:rsidR="00F970E2" w:rsidRPr="00F970E2" w:rsidRDefault="00F970E2" w:rsidP="00F970E2">
            <w:pPr>
              <w:spacing w:after="0" w:line="240" w:lineRule="auto"/>
              <w:rPr>
                <w:rFonts w:ascii="Calibri" w:eastAsia="Times New Roman" w:hAnsi="Calibri" w:cs="Calibri"/>
                <w:b/>
                <w:bCs/>
                <w:color w:val="000000"/>
                <w:lang w:eastAsia="en-GB"/>
              </w:rPr>
            </w:pPr>
            <w:r w:rsidRPr="00F970E2">
              <w:rPr>
                <w:rFonts w:ascii="Calibri" w:eastAsia="Times New Roman" w:hAnsi="Calibri" w:cs="Calibri"/>
                <w:b/>
                <w:bCs/>
                <w:color w:val="000000"/>
                <w:lang w:eastAsia="en-GB"/>
              </w:rPr>
              <w:t>2018 Easy</w:t>
            </w:r>
            <w:r w:rsidR="000650F6">
              <w:rPr>
                <w:rFonts w:ascii="Calibri" w:eastAsia="Times New Roman" w:hAnsi="Calibri" w:cs="Calibri"/>
                <w:b/>
                <w:bCs/>
                <w:color w:val="000000"/>
                <w:lang w:eastAsia="en-GB"/>
              </w:rPr>
              <w:t>J</w:t>
            </w:r>
            <w:r w:rsidRPr="00F970E2">
              <w:rPr>
                <w:rFonts w:ascii="Calibri" w:eastAsia="Times New Roman" w:hAnsi="Calibri" w:cs="Calibri"/>
                <w:b/>
                <w:bCs/>
                <w:color w:val="000000"/>
                <w:lang w:eastAsia="en-GB"/>
              </w:rPr>
              <w:t>et</w:t>
            </w:r>
          </w:p>
        </w:tc>
        <w:tc>
          <w:tcPr>
            <w:tcW w:w="1000" w:type="dxa"/>
            <w:tcBorders>
              <w:top w:val="nil"/>
              <w:left w:val="nil"/>
              <w:bottom w:val="single" w:sz="4" w:space="0" w:color="auto"/>
              <w:right w:val="single" w:sz="4" w:space="0" w:color="auto"/>
            </w:tcBorders>
            <w:shd w:val="clear" w:color="auto" w:fill="auto"/>
            <w:noWrap/>
            <w:vAlign w:val="bottom"/>
            <w:hideMark/>
          </w:tcPr>
          <w:p w14:paraId="34FDB425"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10.90%</w:t>
            </w:r>
          </w:p>
        </w:tc>
        <w:tc>
          <w:tcPr>
            <w:tcW w:w="1000" w:type="dxa"/>
            <w:tcBorders>
              <w:top w:val="nil"/>
              <w:left w:val="nil"/>
              <w:bottom w:val="single" w:sz="4" w:space="0" w:color="auto"/>
              <w:right w:val="single" w:sz="4" w:space="0" w:color="auto"/>
            </w:tcBorders>
            <w:shd w:val="clear" w:color="auto" w:fill="auto"/>
            <w:noWrap/>
            <w:vAlign w:val="bottom"/>
            <w:hideMark/>
          </w:tcPr>
          <w:p w14:paraId="03F4BA00"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8.82%</w:t>
            </w:r>
          </w:p>
        </w:tc>
        <w:tc>
          <w:tcPr>
            <w:tcW w:w="1000" w:type="dxa"/>
            <w:tcBorders>
              <w:top w:val="nil"/>
              <w:left w:val="nil"/>
              <w:bottom w:val="single" w:sz="4" w:space="0" w:color="auto"/>
              <w:right w:val="single" w:sz="4" w:space="0" w:color="auto"/>
            </w:tcBorders>
            <w:shd w:val="clear" w:color="auto" w:fill="auto"/>
            <w:noWrap/>
            <w:vAlign w:val="bottom"/>
            <w:hideMark/>
          </w:tcPr>
          <w:p w14:paraId="5E903B36"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0.97</w:t>
            </w:r>
          </w:p>
        </w:tc>
        <w:tc>
          <w:tcPr>
            <w:tcW w:w="1000" w:type="dxa"/>
            <w:tcBorders>
              <w:top w:val="nil"/>
              <w:left w:val="nil"/>
              <w:bottom w:val="single" w:sz="4" w:space="0" w:color="auto"/>
              <w:right w:val="single" w:sz="4" w:space="0" w:color="auto"/>
            </w:tcBorders>
            <w:shd w:val="clear" w:color="auto" w:fill="auto"/>
            <w:noWrap/>
            <w:vAlign w:val="bottom"/>
            <w:hideMark/>
          </w:tcPr>
          <w:p w14:paraId="5E3C5CB5"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0.97</w:t>
            </w:r>
          </w:p>
        </w:tc>
        <w:tc>
          <w:tcPr>
            <w:tcW w:w="1000" w:type="dxa"/>
            <w:tcBorders>
              <w:top w:val="nil"/>
              <w:left w:val="nil"/>
              <w:bottom w:val="single" w:sz="4" w:space="0" w:color="auto"/>
              <w:right w:val="single" w:sz="4" w:space="0" w:color="auto"/>
            </w:tcBorders>
            <w:shd w:val="clear" w:color="auto" w:fill="auto"/>
            <w:noWrap/>
            <w:vAlign w:val="bottom"/>
            <w:hideMark/>
          </w:tcPr>
          <w:p w14:paraId="4CBD80A4"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0.3</w:t>
            </w:r>
          </w:p>
        </w:tc>
        <w:tc>
          <w:tcPr>
            <w:tcW w:w="1000" w:type="dxa"/>
            <w:tcBorders>
              <w:top w:val="nil"/>
              <w:left w:val="nil"/>
              <w:bottom w:val="single" w:sz="4" w:space="0" w:color="auto"/>
              <w:right w:val="single" w:sz="4" w:space="0" w:color="auto"/>
            </w:tcBorders>
            <w:shd w:val="clear" w:color="auto" w:fill="auto"/>
            <w:noWrap/>
            <w:vAlign w:val="bottom"/>
            <w:hideMark/>
          </w:tcPr>
          <w:p w14:paraId="1CFCFB35"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0.23</w:t>
            </w:r>
          </w:p>
        </w:tc>
        <w:tc>
          <w:tcPr>
            <w:tcW w:w="1000" w:type="dxa"/>
            <w:tcBorders>
              <w:top w:val="nil"/>
              <w:left w:val="nil"/>
              <w:bottom w:val="single" w:sz="4" w:space="0" w:color="auto"/>
              <w:right w:val="single" w:sz="4" w:space="0" w:color="auto"/>
            </w:tcBorders>
            <w:shd w:val="clear" w:color="auto" w:fill="auto"/>
            <w:noWrap/>
            <w:vAlign w:val="bottom"/>
            <w:hideMark/>
          </w:tcPr>
          <w:p w14:paraId="303DDBC0"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315</w:t>
            </w:r>
          </w:p>
        </w:tc>
        <w:tc>
          <w:tcPr>
            <w:tcW w:w="1360" w:type="dxa"/>
            <w:tcBorders>
              <w:top w:val="nil"/>
              <w:left w:val="nil"/>
              <w:bottom w:val="single" w:sz="4" w:space="0" w:color="auto"/>
              <w:right w:val="single" w:sz="4" w:space="0" w:color="auto"/>
            </w:tcBorders>
            <w:shd w:val="clear" w:color="auto" w:fill="auto"/>
            <w:noWrap/>
            <w:vAlign w:val="bottom"/>
            <w:hideMark/>
          </w:tcPr>
          <w:p w14:paraId="502410C4"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18.86%</w:t>
            </w:r>
          </w:p>
        </w:tc>
      </w:tr>
      <w:tr w:rsidR="00F970E2" w:rsidRPr="00F970E2" w14:paraId="2FC767E7" w14:textId="77777777" w:rsidTr="00F970E2">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3CD2FBF3" w14:textId="77777777" w:rsidR="00F970E2" w:rsidRPr="00F970E2" w:rsidRDefault="00F970E2" w:rsidP="00F970E2">
            <w:pPr>
              <w:spacing w:after="0" w:line="240" w:lineRule="auto"/>
              <w:rPr>
                <w:rFonts w:ascii="Calibri" w:eastAsia="Times New Roman" w:hAnsi="Calibri" w:cs="Calibri"/>
                <w:b/>
                <w:bCs/>
                <w:color w:val="000000"/>
                <w:lang w:eastAsia="en-GB"/>
              </w:rPr>
            </w:pPr>
            <w:r w:rsidRPr="00F970E2">
              <w:rPr>
                <w:rFonts w:ascii="Calibri" w:eastAsia="Times New Roman" w:hAnsi="Calibri" w:cs="Calibri"/>
                <w:b/>
                <w:bCs/>
                <w:color w:val="000000"/>
                <w:lang w:eastAsia="en-GB"/>
              </w:rPr>
              <w:t>2018 Ryanair</w:t>
            </w:r>
          </w:p>
        </w:tc>
        <w:tc>
          <w:tcPr>
            <w:tcW w:w="1000" w:type="dxa"/>
            <w:tcBorders>
              <w:top w:val="nil"/>
              <w:left w:val="nil"/>
              <w:bottom w:val="single" w:sz="4" w:space="0" w:color="auto"/>
              <w:right w:val="single" w:sz="4" w:space="0" w:color="auto"/>
            </w:tcBorders>
            <w:shd w:val="clear" w:color="auto" w:fill="auto"/>
            <w:noWrap/>
            <w:vAlign w:val="bottom"/>
            <w:hideMark/>
          </w:tcPr>
          <w:p w14:paraId="05186BDA"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17.75%</w:t>
            </w:r>
          </w:p>
        </w:tc>
        <w:tc>
          <w:tcPr>
            <w:tcW w:w="1000" w:type="dxa"/>
            <w:tcBorders>
              <w:top w:val="nil"/>
              <w:left w:val="nil"/>
              <w:bottom w:val="single" w:sz="4" w:space="0" w:color="auto"/>
              <w:right w:val="single" w:sz="4" w:space="0" w:color="auto"/>
            </w:tcBorders>
            <w:shd w:val="clear" w:color="auto" w:fill="auto"/>
            <w:noWrap/>
            <w:vAlign w:val="bottom"/>
            <w:hideMark/>
          </w:tcPr>
          <w:p w14:paraId="14EE441E"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12.31%</w:t>
            </w:r>
          </w:p>
        </w:tc>
        <w:tc>
          <w:tcPr>
            <w:tcW w:w="1000" w:type="dxa"/>
            <w:tcBorders>
              <w:top w:val="nil"/>
              <w:left w:val="nil"/>
              <w:bottom w:val="single" w:sz="4" w:space="0" w:color="auto"/>
              <w:right w:val="single" w:sz="4" w:space="0" w:color="auto"/>
            </w:tcBorders>
            <w:shd w:val="clear" w:color="auto" w:fill="auto"/>
            <w:noWrap/>
            <w:vAlign w:val="bottom"/>
            <w:hideMark/>
          </w:tcPr>
          <w:p w14:paraId="13B7F60A"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0.93</w:t>
            </w:r>
          </w:p>
        </w:tc>
        <w:tc>
          <w:tcPr>
            <w:tcW w:w="1000" w:type="dxa"/>
            <w:tcBorders>
              <w:top w:val="nil"/>
              <w:left w:val="nil"/>
              <w:bottom w:val="single" w:sz="4" w:space="0" w:color="auto"/>
              <w:right w:val="single" w:sz="4" w:space="0" w:color="auto"/>
            </w:tcBorders>
            <w:shd w:val="clear" w:color="auto" w:fill="auto"/>
            <w:noWrap/>
            <w:vAlign w:val="bottom"/>
            <w:hideMark/>
          </w:tcPr>
          <w:p w14:paraId="13668785"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0.93</w:t>
            </w:r>
          </w:p>
        </w:tc>
        <w:tc>
          <w:tcPr>
            <w:tcW w:w="1000" w:type="dxa"/>
            <w:tcBorders>
              <w:top w:val="nil"/>
              <w:left w:val="nil"/>
              <w:bottom w:val="single" w:sz="4" w:space="0" w:color="auto"/>
              <w:right w:val="single" w:sz="4" w:space="0" w:color="auto"/>
            </w:tcBorders>
            <w:shd w:val="clear" w:color="auto" w:fill="auto"/>
            <w:noWrap/>
            <w:vAlign w:val="bottom"/>
            <w:hideMark/>
          </w:tcPr>
          <w:p w14:paraId="5F69C165"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0.68</w:t>
            </w:r>
          </w:p>
        </w:tc>
        <w:tc>
          <w:tcPr>
            <w:tcW w:w="1000" w:type="dxa"/>
            <w:tcBorders>
              <w:top w:val="nil"/>
              <w:left w:val="nil"/>
              <w:bottom w:val="single" w:sz="4" w:space="0" w:color="auto"/>
              <w:right w:val="single" w:sz="4" w:space="0" w:color="auto"/>
            </w:tcBorders>
            <w:shd w:val="clear" w:color="auto" w:fill="auto"/>
            <w:noWrap/>
            <w:vAlign w:val="bottom"/>
            <w:hideMark/>
          </w:tcPr>
          <w:p w14:paraId="772D35DA"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0.4</w:t>
            </w:r>
          </w:p>
        </w:tc>
        <w:tc>
          <w:tcPr>
            <w:tcW w:w="1000" w:type="dxa"/>
            <w:tcBorders>
              <w:top w:val="nil"/>
              <w:left w:val="nil"/>
              <w:bottom w:val="single" w:sz="4" w:space="0" w:color="auto"/>
              <w:right w:val="single" w:sz="4" w:space="0" w:color="auto"/>
            </w:tcBorders>
            <w:shd w:val="clear" w:color="auto" w:fill="auto"/>
            <w:noWrap/>
            <w:vAlign w:val="bottom"/>
            <w:hideMark/>
          </w:tcPr>
          <w:p w14:paraId="1C77D732"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431</w:t>
            </w:r>
          </w:p>
        </w:tc>
        <w:tc>
          <w:tcPr>
            <w:tcW w:w="1360" w:type="dxa"/>
            <w:tcBorders>
              <w:top w:val="nil"/>
              <w:left w:val="nil"/>
              <w:bottom w:val="single" w:sz="4" w:space="0" w:color="auto"/>
              <w:right w:val="single" w:sz="4" w:space="0" w:color="auto"/>
            </w:tcBorders>
            <w:shd w:val="clear" w:color="auto" w:fill="auto"/>
            <w:noWrap/>
            <w:vAlign w:val="bottom"/>
            <w:hideMark/>
          </w:tcPr>
          <w:p w14:paraId="3C875B54"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14.76%</w:t>
            </w:r>
          </w:p>
        </w:tc>
      </w:tr>
      <w:tr w:rsidR="00F970E2" w:rsidRPr="00F970E2" w14:paraId="173AEC9C" w14:textId="77777777" w:rsidTr="00F970E2">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0FE9E036" w14:textId="01B7F958" w:rsidR="00F970E2" w:rsidRPr="00F970E2" w:rsidRDefault="00F970E2" w:rsidP="00F970E2">
            <w:pPr>
              <w:spacing w:after="0" w:line="240" w:lineRule="auto"/>
              <w:rPr>
                <w:rFonts w:ascii="Calibri" w:eastAsia="Times New Roman" w:hAnsi="Calibri" w:cs="Calibri"/>
                <w:b/>
                <w:bCs/>
                <w:color w:val="000000"/>
                <w:lang w:eastAsia="en-GB"/>
              </w:rPr>
            </w:pPr>
            <w:r w:rsidRPr="00F970E2">
              <w:rPr>
                <w:rFonts w:ascii="Calibri" w:eastAsia="Times New Roman" w:hAnsi="Calibri" w:cs="Calibri"/>
                <w:b/>
                <w:bCs/>
                <w:color w:val="000000"/>
                <w:lang w:eastAsia="en-GB"/>
              </w:rPr>
              <w:t>2018 I</w:t>
            </w:r>
            <w:r w:rsidR="000650F6">
              <w:rPr>
                <w:rFonts w:ascii="Calibri" w:eastAsia="Times New Roman" w:hAnsi="Calibri" w:cs="Calibri"/>
                <w:b/>
                <w:bCs/>
                <w:color w:val="000000"/>
                <w:lang w:eastAsia="en-GB"/>
              </w:rPr>
              <w:t>AG</w:t>
            </w:r>
            <w:r w:rsidRPr="00F970E2">
              <w:rPr>
                <w:rFonts w:ascii="Calibri" w:eastAsia="Times New Roman" w:hAnsi="Calibri" w:cs="Calibri"/>
                <w:b/>
                <w:bCs/>
                <w:color w:val="000000"/>
                <w:lang w:eastAsia="en-GB"/>
              </w:rPr>
              <w:t xml:space="preserve"> Group</w:t>
            </w:r>
          </w:p>
        </w:tc>
        <w:tc>
          <w:tcPr>
            <w:tcW w:w="1000" w:type="dxa"/>
            <w:tcBorders>
              <w:top w:val="nil"/>
              <w:left w:val="nil"/>
              <w:bottom w:val="single" w:sz="4" w:space="0" w:color="auto"/>
              <w:right w:val="single" w:sz="4" w:space="0" w:color="auto"/>
            </w:tcBorders>
            <w:shd w:val="clear" w:color="auto" w:fill="auto"/>
            <w:noWrap/>
            <w:vAlign w:val="bottom"/>
            <w:hideMark/>
          </w:tcPr>
          <w:p w14:paraId="1A4B428C"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16.60%</w:t>
            </w:r>
          </w:p>
        </w:tc>
        <w:tc>
          <w:tcPr>
            <w:tcW w:w="1000" w:type="dxa"/>
            <w:tcBorders>
              <w:top w:val="nil"/>
              <w:left w:val="nil"/>
              <w:bottom w:val="single" w:sz="4" w:space="0" w:color="auto"/>
              <w:right w:val="single" w:sz="4" w:space="0" w:color="auto"/>
            </w:tcBorders>
            <w:shd w:val="clear" w:color="auto" w:fill="auto"/>
            <w:noWrap/>
            <w:vAlign w:val="bottom"/>
            <w:hideMark/>
          </w:tcPr>
          <w:p w14:paraId="5444C0E9"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4.13%</w:t>
            </w:r>
          </w:p>
        </w:tc>
        <w:tc>
          <w:tcPr>
            <w:tcW w:w="1000" w:type="dxa"/>
            <w:tcBorders>
              <w:top w:val="nil"/>
              <w:left w:val="nil"/>
              <w:bottom w:val="single" w:sz="4" w:space="0" w:color="auto"/>
              <w:right w:val="single" w:sz="4" w:space="0" w:color="auto"/>
            </w:tcBorders>
            <w:shd w:val="clear" w:color="auto" w:fill="auto"/>
            <w:noWrap/>
            <w:vAlign w:val="bottom"/>
            <w:hideMark/>
          </w:tcPr>
          <w:p w14:paraId="6CA9927E"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0.91</w:t>
            </w:r>
          </w:p>
        </w:tc>
        <w:tc>
          <w:tcPr>
            <w:tcW w:w="1000" w:type="dxa"/>
            <w:tcBorders>
              <w:top w:val="nil"/>
              <w:left w:val="nil"/>
              <w:bottom w:val="single" w:sz="4" w:space="0" w:color="auto"/>
              <w:right w:val="single" w:sz="4" w:space="0" w:color="auto"/>
            </w:tcBorders>
            <w:shd w:val="clear" w:color="auto" w:fill="auto"/>
            <w:noWrap/>
            <w:vAlign w:val="bottom"/>
            <w:hideMark/>
          </w:tcPr>
          <w:p w14:paraId="4065E289"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0.87</w:t>
            </w:r>
          </w:p>
        </w:tc>
        <w:tc>
          <w:tcPr>
            <w:tcW w:w="1000" w:type="dxa"/>
            <w:tcBorders>
              <w:top w:val="nil"/>
              <w:left w:val="nil"/>
              <w:bottom w:val="single" w:sz="4" w:space="0" w:color="auto"/>
              <w:right w:val="single" w:sz="4" w:space="0" w:color="auto"/>
            </w:tcBorders>
            <w:shd w:val="clear" w:color="auto" w:fill="auto"/>
            <w:noWrap/>
            <w:vAlign w:val="bottom"/>
            <w:hideMark/>
          </w:tcPr>
          <w:p w14:paraId="1FB077DD"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0.99</w:t>
            </w:r>
          </w:p>
        </w:tc>
        <w:tc>
          <w:tcPr>
            <w:tcW w:w="1000" w:type="dxa"/>
            <w:tcBorders>
              <w:top w:val="nil"/>
              <w:left w:val="nil"/>
              <w:bottom w:val="single" w:sz="4" w:space="0" w:color="auto"/>
              <w:right w:val="single" w:sz="4" w:space="0" w:color="auto"/>
            </w:tcBorders>
            <w:shd w:val="clear" w:color="auto" w:fill="auto"/>
            <w:noWrap/>
            <w:vAlign w:val="bottom"/>
            <w:hideMark/>
          </w:tcPr>
          <w:p w14:paraId="4FF327CF"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0.5</w:t>
            </w:r>
          </w:p>
        </w:tc>
        <w:tc>
          <w:tcPr>
            <w:tcW w:w="1000" w:type="dxa"/>
            <w:tcBorders>
              <w:top w:val="nil"/>
              <w:left w:val="nil"/>
              <w:bottom w:val="single" w:sz="4" w:space="0" w:color="auto"/>
              <w:right w:val="single" w:sz="4" w:space="0" w:color="auto"/>
            </w:tcBorders>
            <w:shd w:val="clear" w:color="auto" w:fill="auto"/>
            <w:noWrap/>
            <w:vAlign w:val="bottom"/>
            <w:hideMark/>
          </w:tcPr>
          <w:p w14:paraId="3E4B17D3"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573</w:t>
            </w:r>
          </w:p>
        </w:tc>
        <w:tc>
          <w:tcPr>
            <w:tcW w:w="1360" w:type="dxa"/>
            <w:tcBorders>
              <w:top w:val="nil"/>
              <w:left w:val="nil"/>
              <w:bottom w:val="single" w:sz="4" w:space="0" w:color="auto"/>
              <w:right w:val="single" w:sz="4" w:space="0" w:color="auto"/>
            </w:tcBorders>
            <w:shd w:val="clear" w:color="auto" w:fill="auto"/>
            <w:noWrap/>
            <w:vAlign w:val="bottom"/>
            <w:hideMark/>
          </w:tcPr>
          <w:p w14:paraId="61DDDB82"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6.67%</w:t>
            </w:r>
          </w:p>
        </w:tc>
      </w:tr>
      <w:tr w:rsidR="00F970E2" w:rsidRPr="00F970E2" w14:paraId="503C9B82" w14:textId="77777777" w:rsidTr="00F970E2">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4A93E31B" w14:textId="77777777" w:rsidR="00F970E2" w:rsidRPr="00F970E2" w:rsidRDefault="00F970E2" w:rsidP="00F970E2">
            <w:pPr>
              <w:spacing w:after="0" w:line="240" w:lineRule="auto"/>
              <w:rPr>
                <w:rFonts w:ascii="Calibri" w:eastAsia="Times New Roman" w:hAnsi="Calibri" w:cs="Calibri"/>
                <w:b/>
                <w:bCs/>
                <w:color w:val="000000"/>
                <w:lang w:eastAsia="en-GB"/>
              </w:rPr>
            </w:pPr>
            <w:r w:rsidRPr="00F970E2">
              <w:rPr>
                <w:rFonts w:ascii="Calibri" w:eastAsia="Times New Roman" w:hAnsi="Calibri" w:cs="Calibri"/>
                <w:b/>
                <w:bCs/>
                <w:color w:val="000000"/>
                <w:lang w:eastAsia="en-GB"/>
              </w:rPr>
              <w:t>2018 Air France</w:t>
            </w:r>
          </w:p>
        </w:tc>
        <w:tc>
          <w:tcPr>
            <w:tcW w:w="1000" w:type="dxa"/>
            <w:tcBorders>
              <w:top w:val="nil"/>
              <w:left w:val="nil"/>
              <w:bottom w:val="single" w:sz="4" w:space="0" w:color="auto"/>
              <w:right w:val="single" w:sz="4" w:space="0" w:color="auto"/>
            </w:tcBorders>
            <w:shd w:val="clear" w:color="auto" w:fill="auto"/>
            <w:noWrap/>
            <w:vAlign w:val="bottom"/>
            <w:hideMark/>
          </w:tcPr>
          <w:p w14:paraId="267C52C2"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3.33%</w:t>
            </w:r>
          </w:p>
        </w:tc>
        <w:tc>
          <w:tcPr>
            <w:tcW w:w="1000" w:type="dxa"/>
            <w:tcBorders>
              <w:top w:val="nil"/>
              <w:left w:val="nil"/>
              <w:bottom w:val="single" w:sz="4" w:space="0" w:color="auto"/>
              <w:right w:val="single" w:sz="4" w:space="0" w:color="auto"/>
            </w:tcBorders>
            <w:shd w:val="clear" w:color="auto" w:fill="auto"/>
            <w:noWrap/>
            <w:vAlign w:val="bottom"/>
            <w:hideMark/>
          </w:tcPr>
          <w:p w14:paraId="0A7FAF0D"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1.34%</w:t>
            </w:r>
          </w:p>
        </w:tc>
        <w:tc>
          <w:tcPr>
            <w:tcW w:w="1000" w:type="dxa"/>
            <w:tcBorders>
              <w:top w:val="nil"/>
              <w:left w:val="nil"/>
              <w:bottom w:val="single" w:sz="4" w:space="0" w:color="auto"/>
              <w:right w:val="single" w:sz="4" w:space="0" w:color="auto"/>
            </w:tcBorders>
            <w:shd w:val="clear" w:color="auto" w:fill="auto"/>
            <w:noWrap/>
            <w:vAlign w:val="bottom"/>
            <w:hideMark/>
          </w:tcPr>
          <w:p w14:paraId="5F6B3FA4"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0.63</w:t>
            </w:r>
          </w:p>
        </w:tc>
        <w:tc>
          <w:tcPr>
            <w:tcW w:w="1000" w:type="dxa"/>
            <w:tcBorders>
              <w:top w:val="nil"/>
              <w:left w:val="nil"/>
              <w:bottom w:val="single" w:sz="4" w:space="0" w:color="auto"/>
              <w:right w:val="single" w:sz="4" w:space="0" w:color="auto"/>
            </w:tcBorders>
            <w:shd w:val="clear" w:color="auto" w:fill="auto"/>
            <w:noWrap/>
            <w:vAlign w:val="bottom"/>
            <w:hideMark/>
          </w:tcPr>
          <w:p w14:paraId="30756014"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0.58</w:t>
            </w:r>
          </w:p>
        </w:tc>
        <w:tc>
          <w:tcPr>
            <w:tcW w:w="1000" w:type="dxa"/>
            <w:tcBorders>
              <w:top w:val="nil"/>
              <w:left w:val="nil"/>
              <w:bottom w:val="single" w:sz="4" w:space="0" w:color="auto"/>
              <w:right w:val="single" w:sz="4" w:space="0" w:color="auto"/>
            </w:tcBorders>
            <w:shd w:val="clear" w:color="auto" w:fill="auto"/>
            <w:noWrap/>
            <w:vAlign w:val="bottom"/>
            <w:hideMark/>
          </w:tcPr>
          <w:p w14:paraId="21F3AF84"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3.19</w:t>
            </w:r>
          </w:p>
        </w:tc>
        <w:tc>
          <w:tcPr>
            <w:tcW w:w="1000" w:type="dxa"/>
            <w:tcBorders>
              <w:top w:val="nil"/>
              <w:left w:val="nil"/>
              <w:bottom w:val="single" w:sz="4" w:space="0" w:color="auto"/>
              <w:right w:val="single" w:sz="4" w:space="0" w:color="auto"/>
            </w:tcBorders>
            <w:shd w:val="clear" w:color="auto" w:fill="auto"/>
            <w:noWrap/>
            <w:vAlign w:val="bottom"/>
            <w:hideMark/>
          </w:tcPr>
          <w:p w14:paraId="1CA12309"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0.76</w:t>
            </w:r>
          </w:p>
        </w:tc>
        <w:tc>
          <w:tcPr>
            <w:tcW w:w="1000" w:type="dxa"/>
            <w:tcBorders>
              <w:top w:val="nil"/>
              <w:left w:val="nil"/>
              <w:bottom w:val="single" w:sz="4" w:space="0" w:color="auto"/>
              <w:right w:val="single" w:sz="4" w:space="0" w:color="auto"/>
            </w:tcBorders>
            <w:shd w:val="clear" w:color="auto" w:fill="auto"/>
            <w:noWrap/>
            <w:vAlign w:val="bottom"/>
            <w:hideMark/>
          </w:tcPr>
          <w:p w14:paraId="6CC9E011"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550</w:t>
            </w:r>
          </w:p>
        </w:tc>
        <w:tc>
          <w:tcPr>
            <w:tcW w:w="1360" w:type="dxa"/>
            <w:tcBorders>
              <w:top w:val="nil"/>
              <w:left w:val="nil"/>
              <w:bottom w:val="single" w:sz="4" w:space="0" w:color="auto"/>
              <w:right w:val="single" w:sz="4" w:space="0" w:color="auto"/>
            </w:tcBorders>
            <w:shd w:val="clear" w:color="auto" w:fill="auto"/>
            <w:noWrap/>
            <w:vAlign w:val="bottom"/>
            <w:hideMark/>
          </w:tcPr>
          <w:p w14:paraId="17A5D72D"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6.40%</w:t>
            </w:r>
          </w:p>
        </w:tc>
      </w:tr>
      <w:tr w:rsidR="00F970E2" w:rsidRPr="00F970E2" w14:paraId="34BD7B96" w14:textId="77777777" w:rsidTr="00F970E2">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4026B2FA" w14:textId="77777777" w:rsidR="00F970E2" w:rsidRPr="00F970E2" w:rsidRDefault="00F970E2" w:rsidP="00F970E2">
            <w:pPr>
              <w:spacing w:after="0" w:line="240" w:lineRule="auto"/>
              <w:rPr>
                <w:rFonts w:ascii="Calibri" w:eastAsia="Times New Roman" w:hAnsi="Calibri" w:cs="Calibri"/>
                <w:b/>
                <w:bCs/>
                <w:color w:val="000000"/>
                <w:lang w:eastAsia="en-GB"/>
              </w:rPr>
            </w:pPr>
            <w:r w:rsidRPr="00F970E2">
              <w:rPr>
                <w:rFonts w:ascii="Calibri" w:eastAsia="Times New Roman" w:hAnsi="Calibri" w:cs="Calibri"/>
                <w:b/>
                <w:bCs/>
                <w:color w:val="000000"/>
                <w:lang w:eastAsia="en-GB"/>
              </w:rPr>
              <w:t>2018 Lufthansa</w:t>
            </w:r>
          </w:p>
        </w:tc>
        <w:tc>
          <w:tcPr>
            <w:tcW w:w="1000" w:type="dxa"/>
            <w:tcBorders>
              <w:top w:val="nil"/>
              <w:left w:val="nil"/>
              <w:bottom w:val="single" w:sz="4" w:space="0" w:color="auto"/>
              <w:right w:val="single" w:sz="4" w:space="0" w:color="auto"/>
            </w:tcBorders>
            <w:shd w:val="clear" w:color="auto" w:fill="auto"/>
            <w:noWrap/>
            <w:vAlign w:val="bottom"/>
            <w:hideMark/>
          </w:tcPr>
          <w:p w14:paraId="27ACF81D"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13.95%</w:t>
            </w:r>
          </w:p>
        </w:tc>
        <w:tc>
          <w:tcPr>
            <w:tcW w:w="1000" w:type="dxa"/>
            <w:tcBorders>
              <w:top w:val="nil"/>
              <w:left w:val="nil"/>
              <w:bottom w:val="single" w:sz="4" w:space="0" w:color="auto"/>
              <w:right w:val="single" w:sz="4" w:space="0" w:color="auto"/>
            </w:tcBorders>
            <w:shd w:val="clear" w:color="auto" w:fill="auto"/>
            <w:noWrap/>
            <w:vAlign w:val="bottom"/>
            <w:hideMark/>
          </w:tcPr>
          <w:p w14:paraId="31B73B77"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5.53%</w:t>
            </w:r>
          </w:p>
        </w:tc>
        <w:tc>
          <w:tcPr>
            <w:tcW w:w="1000" w:type="dxa"/>
            <w:tcBorders>
              <w:top w:val="nil"/>
              <w:left w:val="nil"/>
              <w:bottom w:val="single" w:sz="4" w:space="0" w:color="auto"/>
              <w:right w:val="single" w:sz="4" w:space="0" w:color="auto"/>
            </w:tcBorders>
            <w:shd w:val="clear" w:color="auto" w:fill="auto"/>
            <w:noWrap/>
            <w:vAlign w:val="bottom"/>
            <w:hideMark/>
          </w:tcPr>
          <w:p w14:paraId="5D711048"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0.66</w:t>
            </w:r>
          </w:p>
        </w:tc>
        <w:tc>
          <w:tcPr>
            <w:tcW w:w="1000" w:type="dxa"/>
            <w:tcBorders>
              <w:top w:val="nil"/>
              <w:left w:val="nil"/>
              <w:bottom w:val="single" w:sz="4" w:space="0" w:color="auto"/>
              <w:right w:val="single" w:sz="4" w:space="0" w:color="auto"/>
            </w:tcBorders>
            <w:shd w:val="clear" w:color="auto" w:fill="auto"/>
            <w:noWrap/>
            <w:vAlign w:val="bottom"/>
            <w:hideMark/>
          </w:tcPr>
          <w:p w14:paraId="558A8202"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0.6</w:t>
            </w:r>
          </w:p>
        </w:tc>
        <w:tc>
          <w:tcPr>
            <w:tcW w:w="1000" w:type="dxa"/>
            <w:tcBorders>
              <w:top w:val="nil"/>
              <w:left w:val="nil"/>
              <w:bottom w:val="single" w:sz="4" w:space="0" w:color="auto"/>
              <w:right w:val="single" w:sz="4" w:space="0" w:color="auto"/>
            </w:tcBorders>
            <w:shd w:val="clear" w:color="auto" w:fill="auto"/>
            <w:noWrap/>
            <w:vAlign w:val="bottom"/>
            <w:hideMark/>
          </w:tcPr>
          <w:p w14:paraId="3DAA5720"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0.52</w:t>
            </w:r>
          </w:p>
        </w:tc>
        <w:tc>
          <w:tcPr>
            <w:tcW w:w="1000" w:type="dxa"/>
            <w:tcBorders>
              <w:top w:val="nil"/>
              <w:left w:val="nil"/>
              <w:bottom w:val="single" w:sz="4" w:space="0" w:color="auto"/>
              <w:right w:val="single" w:sz="4" w:space="0" w:color="auto"/>
            </w:tcBorders>
            <w:shd w:val="clear" w:color="auto" w:fill="auto"/>
            <w:noWrap/>
            <w:vAlign w:val="bottom"/>
            <w:hideMark/>
          </w:tcPr>
          <w:p w14:paraId="4ADD3CA4"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0.34</w:t>
            </w:r>
          </w:p>
        </w:tc>
        <w:tc>
          <w:tcPr>
            <w:tcW w:w="1000" w:type="dxa"/>
            <w:tcBorders>
              <w:top w:val="nil"/>
              <w:left w:val="nil"/>
              <w:bottom w:val="single" w:sz="4" w:space="0" w:color="auto"/>
              <w:right w:val="single" w:sz="4" w:space="0" w:color="auto"/>
            </w:tcBorders>
            <w:shd w:val="clear" w:color="auto" w:fill="auto"/>
            <w:noWrap/>
            <w:vAlign w:val="bottom"/>
            <w:hideMark/>
          </w:tcPr>
          <w:p w14:paraId="246C4D80"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763</w:t>
            </w:r>
          </w:p>
        </w:tc>
        <w:tc>
          <w:tcPr>
            <w:tcW w:w="1360" w:type="dxa"/>
            <w:tcBorders>
              <w:top w:val="nil"/>
              <w:left w:val="nil"/>
              <w:bottom w:val="single" w:sz="4" w:space="0" w:color="auto"/>
              <w:right w:val="single" w:sz="4" w:space="0" w:color="auto"/>
            </w:tcBorders>
            <w:shd w:val="clear" w:color="auto" w:fill="auto"/>
            <w:noWrap/>
            <w:vAlign w:val="bottom"/>
            <w:hideMark/>
          </w:tcPr>
          <w:p w14:paraId="69E5ECE2"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6%</w:t>
            </w:r>
          </w:p>
        </w:tc>
      </w:tr>
      <w:tr w:rsidR="00F970E2" w:rsidRPr="00F970E2" w14:paraId="0FF31250" w14:textId="77777777" w:rsidTr="00F970E2">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643AE908" w14:textId="3D038728" w:rsidR="00F970E2" w:rsidRPr="00F970E2" w:rsidRDefault="00F970E2" w:rsidP="00F970E2">
            <w:pPr>
              <w:spacing w:after="0" w:line="240" w:lineRule="auto"/>
              <w:rPr>
                <w:rFonts w:ascii="Calibri" w:eastAsia="Times New Roman" w:hAnsi="Calibri" w:cs="Calibri"/>
                <w:b/>
                <w:bCs/>
                <w:color w:val="000000"/>
                <w:lang w:eastAsia="en-GB"/>
              </w:rPr>
            </w:pPr>
            <w:r w:rsidRPr="00F970E2">
              <w:rPr>
                <w:rFonts w:ascii="Calibri" w:eastAsia="Times New Roman" w:hAnsi="Calibri" w:cs="Calibri"/>
                <w:b/>
                <w:bCs/>
                <w:color w:val="000000"/>
                <w:lang w:eastAsia="en-GB"/>
              </w:rPr>
              <w:t>2019 Easy</w:t>
            </w:r>
            <w:r w:rsidR="000650F6">
              <w:rPr>
                <w:rFonts w:ascii="Calibri" w:eastAsia="Times New Roman" w:hAnsi="Calibri" w:cs="Calibri"/>
                <w:b/>
                <w:bCs/>
                <w:color w:val="000000"/>
                <w:lang w:eastAsia="en-GB"/>
              </w:rPr>
              <w:t>J</w:t>
            </w:r>
            <w:r w:rsidRPr="00F970E2">
              <w:rPr>
                <w:rFonts w:ascii="Calibri" w:eastAsia="Times New Roman" w:hAnsi="Calibri" w:cs="Calibri"/>
                <w:b/>
                <w:bCs/>
                <w:color w:val="000000"/>
                <w:lang w:eastAsia="en-GB"/>
              </w:rPr>
              <w:t>et</w:t>
            </w:r>
          </w:p>
        </w:tc>
        <w:tc>
          <w:tcPr>
            <w:tcW w:w="1000" w:type="dxa"/>
            <w:tcBorders>
              <w:top w:val="nil"/>
              <w:left w:val="nil"/>
              <w:bottom w:val="single" w:sz="4" w:space="0" w:color="auto"/>
              <w:right w:val="single" w:sz="4" w:space="0" w:color="auto"/>
            </w:tcBorders>
            <w:shd w:val="clear" w:color="auto" w:fill="auto"/>
            <w:noWrap/>
            <w:vAlign w:val="bottom"/>
            <w:hideMark/>
          </w:tcPr>
          <w:p w14:paraId="430AB2F2"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7.70%</w:t>
            </w:r>
          </w:p>
        </w:tc>
        <w:tc>
          <w:tcPr>
            <w:tcW w:w="1000" w:type="dxa"/>
            <w:tcBorders>
              <w:top w:val="nil"/>
              <w:left w:val="nil"/>
              <w:bottom w:val="single" w:sz="4" w:space="0" w:color="auto"/>
              <w:right w:val="single" w:sz="4" w:space="0" w:color="auto"/>
            </w:tcBorders>
            <w:shd w:val="clear" w:color="auto" w:fill="auto"/>
            <w:noWrap/>
            <w:vAlign w:val="bottom"/>
            <w:hideMark/>
          </w:tcPr>
          <w:p w14:paraId="0C7FBBFE"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0.45%</w:t>
            </w:r>
          </w:p>
        </w:tc>
        <w:tc>
          <w:tcPr>
            <w:tcW w:w="1000" w:type="dxa"/>
            <w:tcBorders>
              <w:top w:val="nil"/>
              <w:left w:val="nil"/>
              <w:bottom w:val="single" w:sz="4" w:space="0" w:color="auto"/>
              <w:right w:val="single" w:sz="4" w:space="0" w:color="auto"/>
            </w:tcBorders>
            <w:shd w:val="clear" w:color="auto" w:fill="auto"/>
            <w:noWrap/>
            <w:vAlign w:val="bottom"/>
            <w:hideMark/>
          </w:tcPr>
          <w:p w14:paraId="1B5BBD18"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0.79</w:t>
            </w:r>
          </w:p>
        </w:tc>
        <w:tc>
          <w:tcPr>
            <w:tcW w:w="1000" w:type="dxa"/>
            <w:tcBorders>
              <w:top w:val="nil"/>
              <w:left w:val="nil"/>
              <w:bottom w:val="single" w:sz="4" w:space="0" w:color="auto"/>
              <w:right w:val="single" w:sz="4" w:space="0" w:color="auto"/>
            </w:tcBorders>
            <w:shd w:val="clear" w:color="auto" w:fill="auto"/>
            <w:noWrap/>
            <w:vAlign w:val="bottom"/>
            <w:hideMark/>
          </w:tcPr>
          <w:p w14:paraId="2971EF94"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0.79</w:t>
            </w:r>
          </w:p>
        </w:tc>
        <w:tc>
          <w:tcPr>
            <w:tcW w:w="1000" w:type="dxa"/>
            <w:tcBorders>
              <w:top w:val="nil"/>
              <w:left w:val="nil"/>
              <w:bottom w:val="single" w:sz="4" w:space="0" w:color="auto"/>
              <w:right w:val="single" w:sz="4" w:space="0" w:color="auto"/>
            </w:tcBorders>
            <w:shd w:val="clear" w:color="auto" w:fill="auto"/>
            <w:noWrap/>
            <w:vAlign w:val="bottom"/>
            <w:hideMark/>
          </w:tcPr>
          <w:p w14:paraId="1300BA8A"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0.44</w:t>
            </w:r>
          </w:p>
        </w:tc>
        <w:tc>
          <w:tcPr>
            <w:tcW w:w="1000" w:type="dxa"/>
            <w:tcBorders>
              <w:top w:val="nil"/>
              <w:left w:val="nil"/>
              <w:bottom w:val="single" w:sz="4" w:space="0" w:color="auto"/>
              <w:right w:val="single" w:sz="4" w:space="0" w:color="auto"/>
            </w:tcBorders>
            <w:shd w:val="clear" w:color="auto" w:fill="auto"/>
            <w:noWrap/>
            <w:vAlign w:val="bottom"/>
            <w:hideMark/>
          </w:tcPr>
          <w:p w14:paraId="1E00F556"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0.31</w:t>
            </w:r>
          </w:p>
        </w:tc>
        <w:tc>
          <w:tcPr>
            <w:tcW w:w="1000" w:type="dxa"/>
            <w:tcBorders>
              <w:top w:val="nil"/>
              <w:left w:val="nil"/>
              <w:bottom w:val="single" w:sz="4" w:space="0" w:color="auto"/>
              <w:right w:val="single" w:sz="4" w:space="0" w:color="auto"/>
            </w:tcBorders>
            <w:shd w:val="clear" w:color="auto" w:fill="auto"/>
            <w:noWrap/>
            <w:vAlign w:val="bottom"/>
            <w:hideMark/>
          </w:tcPr>
          <w:p w14:paraId="25D0965F"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331</w:t>
            </w:r>
          </w:p>
        </w:tc>
        <w:tc>
          <w:tcPr>
            <w:tcW w:w="1360" w:type="dxa"/>
            <w:tcBorders>
              <w:top w:val="nil"/>
              <w:left w:val="nil"/>
              <w:bottom w:val="single" w:sz="4" w:space="0" w:color="auto"/>
              <w:right w:val="single" w:sz="4" w:space="0" w:color="auto"/>
            </w:tcBorders>
            <w:shd w:val="clear" w:color="auto" w:fill="auto"/>
            <w:noWrap/>
            <w:vAlign w:val="bottom"/>
            <w:hideMark/>
          </w:tcPr>
          <w:p w14:paraId="4E2581D8"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8.25%</w:t>
            </w:r>
          </w:p>
        </w:tc>
      </w:tr>
      <w:tr w:rsidR="00F970E2" w:rsidRPr="00F970E2" w14:paraId="6F82C9EB" w14:textId="77777777" w:rsidTr="00F970E2">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7B124E8A" w14:textId="77777777" w:rsidR="00F970E2" w:rsidRPr="00F970E2" w:rsidRDefault="00F970E2" w:rsidP="00F970E2">
            <w:pPr>
              <w:spacing w:after="0" w:line="240" w:lineRule="auto"/>
              <w:rPr>
                <w:rFonts w:ascii="Calibri" w:eastAsia="Times New Roman" w:hAnsi="Calibri" w:cs="Calibri"/>
                <w:b/>
                <w:bCs/>
                <w:color w:val="000000"/>
                <w:lang w:eastAsia="en-GB"/>
              </w:rPr>
            </w:pPr>
            <w:r w:rsidRPr="00F970E2">
              <w:rPr>
                <w:rFonts w:ascii="Calibri" w:eastAsia="Times New Roman" w:hAnsi="Calibri" w:cs="Calibri"/>
                <w:b/>
                <w:bCs/>
                <w:color w:val="000000"/>
                <w:lang w:eastAsia="en-GB"/>
              </w:rPr>
              <w:t>2019 Ryanair</w:t>
            </w:r>
          </w:p>
        </w:tc>
        <w:tc>
          <w:tcPr>
            <w:tcW w:w="1000" w:type="dxa"/>
            <w:tcBorders>
              <w:top w:val="nil"/>
              <w:left w:val="nil"/>
              <w:bottom w:val="single" w:sz="4" w:space="0" w:color="auto"/>
              <w:right w:val="single" w:sz="4" w:space="0" w:color="auto"/>
            </w:tcBorders>
            <w:shd w:val="clear" w:color="auto" w:fill="auto"/>
            <w:noWrap/>
            <w:vAlign w:val="bottom"/>
            <w:hideMark/>
          </w:tcPr>
          <w:p w14:paraId="085C0F47"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10.39%</w:t>
            </w:r>
          </w:p>
        </w:tc>
        <w:tc>
          <w:tcPr>
            <w:tcW w:w="1000" w:type="dxa"/>
            <w:tcBorders>
              <w:top w:val="nil"/>
              <w:left w:val="nil"/>
              <w:bottom w:val="single" w:sz="4" w:space="0" w:color="auto"/>
              <w:right w:val="single" w:sz="4" w:space="0" w:color="auto"/>
            </w:tcBorders>
            <w:shd w:val="clear" w:color="auto" w:fill="auto"/>
            <w:noWrap/>
            <w:vAlign w:val="bottom"/>
            <w:hideMark/>
          </w:tcPr>
          <w:p w14:paraId="4EC2D61B"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7%</w:t>
            </w:r>
          </w:p>
        </w:tc>
        <w:tc>
          <w:tcPr>
            <w:tcW w:w="1000" w:type="dxa"/>
            <w:tcBorders>
              <w:top w:val="nil"/>
              <w:left w:val="nil"/>
              <w:bottom w:val="single" w:sz="4" w:space="0" w:color="auto"/>
              <w:right w:val="single" w:sz="4" w:space="0" w:color="auto"/>
            </w:tcBorders>
            <w:shd w:val="clear" w:color="auto" w:fill="auto"/>
            <w:noWrap/>
            <w:vAlign w:val="bottom"/>
            <w:hideMark/>
          </w:tcPr>
          <w:p w14:paraId="239CB64F"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1.07</w:t>
            </w:r>
          </w:p>
        </w:tc>
        <w:tc>
          <w:tcPr>
            <w:tcW w:w="1000" w:type="dxa"/>
            <w:tcBorders>
              <w:top w:val="nil"/>
              <w:left w:val="nil"/>
              <w:bottom w:val="single" w:sz="4" w:space="0" w:color="auto"/>
              <w:right w:val="single" w:sz="4" w:space="0" w:color="auto"/>
            </w:tcBorders>
            <w:shd w:val="clear" w:color="auto" w:fill="auto"/>
            <w:noWrap/>
            <w:vAlign w:val="bottom"/>
            <w:hideMark/>
          </w:tcPr>
          <w:p w14:paraId="4E0AA8C6"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1.07</w:t>
            </w:r>
          </w:p>
        </w:tc>
        <w:tc>
          <w:tcPr>
            <w:tcW w:w="1000" w:type="dxa"/>
            <w:tcBorders>
              <w:top w:val="nil"/>
              <w:left w:val="nil"/>
              <w:bottom w:val="single" w:sz="4" w:space="0" w:color="auto"/>
              <w:right w:val="single" w:sz="4" w:space="0" w:color="auto"/>
            </w:tcBorders>
            <w:shd w:val="clear" w:color="auto" w:fill="auto"/>
            <w:noWrap/>
            <w:vAlign w:val="bottom"/>
            <w:hideMark/>
          </w:tcPr>
          <w:p w14:paraId="09F996FD"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0.61</w:t>
            </w:r>
          </w:p>
        </w:tc>
        <w:tc>
          <w:tcPr>
            <w:tcW w:w="1000" w:type="dxa"/>
            <w:tcBorders>
              <w:top w:val="nil"/>
              <w:left w:val="nil"/>
              <w:bottom w:val="single" w:sz="4" w:space="0" w:color="auto"/>
              <w:right w:val="single" w:sz="4" w:space="0" w:color="auto"/>
            </w:tcBorders>
            <w:shd w:val="clear" w:color="auto" w:fill="auto"/>
            <w:noWrap/>
            <w:vAlign w:val="bottom"/>
            <w:hideMark/>
          </w:tcPr>
          <w:p w14:paraId="47222055"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0.38</w:t>
            </w:r>
          </w:p>
        </w:tc>
        <w:tc>
          <w:tcPr>
            <w:tcW w:w="1000" w:type="dxa"/>
            <w:tcBorders>
              <w:top w:val="nil"/>
              <w:left w:val="nil"/>
              <w:bottom w:val="single" w:sz="4" w:space="0" w:color="auto"/>
              <w:right w:val="single" w:sz="4" w:space="0" w:color="auto"/>
            </w:tcBorders>
            <w:shd w:val="clear" w:color="auto" w:fill="auto"/>
            <w:noWrap/>
            <w:vAlign w:val="bottom"/>
            <w:hideMark/>
          </w:tcPr>
          <w:p w14:paraId="033F2E1B"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455</w:t>
            </w:r>
          </w:p>
        </w:tc>
        <w:tc>
          <w:tcPr>
            <w:tcW w:w="1360" w:type="dxa"/>
            <w:tcBorders>
              <w:top w:val="nil"/>
              <w:left w:val="nil"/>
              <w:bottom w:val="single" w:sz="4" w:space="0" w:color="auto"/>
              <w:right w:val="single" w:sz="4" w:space="0" w:color="auto"/>
            </w:tcBorders>
            <w:shd w:val="clear" w:color="auto" w:fill="auto"/>
            <w:noWrap/>
            <w:vAlign w:val="bottom"/>
            <w:hideMark/>
          </w:tcPr>
          <w:p w14:paraId="29D87164"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6.64%</w:t>
            </w:r>
          </w:p>
        </w:tc>
      </w:tr>
      <w:tr w:rsidR="00F970E2" w:rsidRPr="00F970E2" w14:paraId="12270028" w14:textId="77777777" w:rsidTr="00F970E2">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07891CE2" w14:textId="3D7F7254" w:rsidR="00F970E2" w:rsidRPr="00F970E2" w:rsidRDefault="00F970E2" w:rsidP="00F970E2">
            <w:pPr>
              <w:spacing w:after="0" w:line="240" w:lineRule="auto"/>
              <w:rPr>
                <w:rFonts w:ascii="Calibri" w:eastAsia="Times New Roman" w:hAnsi="Calibri" w:cs="Calibri"/>
                <w:b/>
                <w:bCs/>
                <w:color w:val="000000"/>
                <w:lang w:eastAsia="en-GB"/>
              </w:rPr>
            </w:pPr>
            <w:r w:rsidRPr="00F970E2">
              <w:rPr>
                <w:rFonts w:ascii="Calibri" w:eastAsia="Times New Roman" w:hAnsi="Calibri" w:cs="Calibri"/>
                <w:b/>
                <w:bCs/>
                <w:color w:val="000000"/>
                <w:lang w:eastAsia="en-GB"/>
              </w:rPr>
              <w:t>2019 I</w:t>
            </w:r>
            <w:r w:rsidR="000650F6">
              <w:rPr>
                <w:rFonts w:ascii="Calibri" w:eastAsia="Times New Roman" w:hAnsi="Calibri" w:cs="Calibri"/>
                <w:b/>
                <w:bCs/>
                <w:color w:val="000000"/>
                <w:lang w:eastAsia="en-GB"/>
              </w:rPr>
              <w:t>AG</w:t>
            </w:r>
            <w:r w:rsidRPr="00F970E2">
              <w:rPr>
                <w:rFonts w:ascii="Calibri" w:eastAsia="Times New Roman" w:hAnsi="Calibri" w:cs="Calibri"/>
                <w:b/>
                <w:bCs/>
                <w:color w:val="000000"/>
                <w:lang w:eastAsia="en-GB"/>
              </w:rPr>
              <w:t xml:space="preserve"> Group</w:t>
            </w:r>
          </w:p>
        </w:tc>
        <w:tc>
          <w:tcPr>
            <w:tcW w:w="1000" w:type="dxa"/>
            <w:tcBorders>
              <w:top w:val="nil"/>
              <w:left w:val="nil"/>
              <w:bottom w:val="single" w:sz="4" w:space="0" w:color="auto"/>
              <w:right w:val="single" w:sz="4" w:space="0" w:color="auto"/>
            </w:tcBorders>
            <w:shd w:val="clear" w:color="auto" w:fill="auto"/>
            <w:noWrap/>
            <w:vAlign w:val="bottom"/>
            <w:hideMark/>
          </w:tcPr>
          <w:p w14:paraId="3225BBC8"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14.70%</w:t>
            </w:r>
          </w:p>
        </w:tc>
        <w:tc>
          <w:tcPr>
            <w:tcW w:w="1000" w:type="dxa"/>
            <w:tcBorders>
              <w:top w:val="nil"/>
              <w:left w:val="nil"/>
              <w:bottom w:val="single" w:sz="4" w:space="0" w:color="auto"/>
              <w:right w:val="single" w:sz="4" w:space="0" w:color="auto"/>
            </w:tcBorders>
            <w:shd w:val="clear" w:color="auto" w:fill="auto"/>
            <w:noWrap/>
            <w:vAlign w:val="bottom"/>
            <w:hideMark/>
          </w:tcPr>
          <w:p w14:paraId="6CA1AB8A"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5.47%</w:t>
            </w:r>
          </w:p>
        </w:tc>
        <w:tc>
          <w:tcPr>
            <w:tcW w:w="1000" w:type="dxa"/>
            <w:tcBorders>
              <w:top w:val="nil"/>
              <w:left w:val="nil"/>
              <w:bottom w:val="single" w:sz="4" w:space="0" w:color="auto"/>
              <w:right w:val="single" w:sz="4" w:space="0" w:color="auto"/>
            </w:tcBorders>
            <w:shd w:val="clear" w:color="auto" w:fill="auto"/>
            <w:noWrap/>
            <w:vAlign w:val="bottom"/>
            <w:hideMark/>
          </w:tcPr>
          <w:p w14:paraId="113EBCB4"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0.89</w:t>
            </w:r>
          </w:p>
        </w:tc>
        <w:tc>
          <w:tcPr>
            <w:tcW w:w="1000" w:type="dxa"/>
            <w:tcBorders>
              <w:top w:val="nil"/>
              <w:left w:val="nil"/>
              <w:bottom w:val="single" w:sz="4" w:space="0" w:color="auto"/>
              <w:right w:val="single" w:sz="4" w:space="0" w:color="auto"/>
            </w:tcBorders>
            <w:shd w:val="clear" w:color="auto" w:fill="auto"/>
            <w:noWrap/>
            <w:vAlign w:val="bottom"/>
            <w:hideMark/>
          </w:tcPr>
          <w:p w14:paraId="2EDA0AB3"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0.84</w:t>
            </w:r>
          </w:p>
        </w:tc>
        <w:tc>
          <w:tcPr>
            <w:tcW w:w="1000" w:type="dxa"/>
            <w:tcBorders>
              <w:top w:val="nil"/>
              <w:left w:val="nil"/>
              <w:bottom w:val="single" w:sz="4" w:space="0" w:color="auto"/>
              <w:right w:val="single" w:sz="4" w:space="0" w:color="auto"/>
            </w:tcBorders>
            <w:shd w:val="clear" w:color="auto" w:fill="auto"/>
            <w:noWrap/>
            <w:vAlign w:val="bottom"/>
            <w:hideMark/>
          </w:tcPr>
          <w:p w14:paraId="7DD94F8A"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1.82</w:t>
            </w:r>
          </w:p>
        </w:tc>
        <w:tc>
          <w:tcPr>
            <w:tcW w:w="1000" w:type="dxa"/>
            <w:tcBorders>
              <w:top w:val="nil"/>
              <w:left w:val="nil"/>
              <w:bottom w:val="single" w:sz="4" w:space="0" w:color="auto"/>
              <w:right w:val="single" w:sz="4" w:space="0" w:color="auto"/>
            </w:tcBorders>
            <w:shd w:val="clear" w:color="auto" w:fill="auto"/>
            <w:noWrap/>
            <w:vAlign w:val="bottom"/>
            <w:hideMark/>
          </w:tcPr>
          <w:p w14:paraId="14CD4B29"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0.64</w:t>
            </w:r>
          </w:p>
        </w:tc>
        <w:tc>
          <w:tcPr>
            <w:tcW w:w="1000" w:type="dxa"/>
            <w:tcBorders>
              <w:top w:val="nil"/>
              <w:left w:val="nil"/>
              <w:bottom w:val="single" w:sz="4" w:space="0" w:color="auto"/>
              <w:right w:val="single" w:sz="4" w:space="0" w:color="auto"/>
            </w:tcBorders>
            <w:shd w:val="clear" w:color="auto" w:fill="auto"/>
            <w:noWrap/>
            <w:vAlign w:val="bottom"/>
            <w:hideMark/>
          </w:tcPr>
          <w:p w14:paraId="22C91846"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598</w:t>
            </w:r>
          </w:p>
        </w:tc>
        <w:tc>
          <w:tcPr>
            <w:tcW w:w="1360" w:type="dxa"/>
            <w:tcBorders>
              <w:top w:val="nil"/>
              <w:left w:val="nil"/>
              <w:bottom w:val="single" w:sz="4" w:space="0" w:color="auto"/>
              <w:right w:val="single" w:sz="4" w:space="0" w:color="auto"/>
            </w:tcBorders>
            <w:shd w:val="clear" w:color="auto" w:fill="auto"/>
            <w:noWrap/>
            <w:vAlign w:val="bottom"/>
            <w:hideMark/>
          </w:tcPr>
          <w:p w14:paraId="17B4E7A2"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4.51%</w:t>
            </w:r>
          </w:p>
        </w:tc>
      </w:tr>
      <w:tr w:rsidR="00F970E2" w:rsidRPr="00F970E2" w14:paraId="0D09FB28" w14:textId="77777777" w:rsidTr="00F970E2">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7D3DAAE3" w14:textId="77777777" w:rsidR="00F970E2" w:rsidRPr="00F970E2" w:rsidRDefault="00F970E2" w:rsidP="00F970E2">
            <w:pPr>
              <w:spacing w:after="0" w:line="240" w:lineRule="auto"/>
              <w:rPr>
                <w:rFonts w:ascii="Calibri" w:eastAsia="Times New Roman" w:hAnsi="Calibri" w:cs="Calibri"/>
                <w:b/>
                <w:bCs/>
                <w:color w:val="000000"/>
                <w:lang w:eastAsia="en-GB"/>
              </w:rPr>
            </w:pPr>
            <w:r w:rsidRPr="00F970E2">
              <w:rPr>
                <w:rFonts w:ascii="Calibri" w:eastAsia="Times New Roman" w:hAnsi="Calibri" w:cs="Calibri"/>
                <w:b/>
                <w:bCs/>
                <w:color w:val="000000"/>
                <w:lang w:eastAsia="en-GB"/>
              </w:rPr>
              <w:t>2019 Air France</w:t>
            </w:r>
          </w:p>
        </w:tc>
        <w:tc>
          <w:tcPr>
            <w:tcW w:w="1000" w:type="dxa"/>
            <w:tcBorders>
              <w:top w:val="nil"/>
              <w:left w:val="nil"/>
              <w:bottom w:val="single" w:sz="4" w:space="0" w:color="auto"/>
              <w:right w:val="single" w:sz="4" w:space="0" w:color="auto"/>
            </w:tcBorders>
            <w:shd w:val="clear" w:color="auto" w:fill="auto"/>
            <w:noWrap/>
            <w:vAlign w:val="bottom"/>
            <w:hideMark/>
          </w:tcPr>
          <w:p w14:paraId="41D1B4AF"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2.12%</w:t>
            </w:r>
          </w:p>
        </w:tc>
        <w:tc>
          <w:tcPr>
            <w:tcW w:w="1000" w:type="dxa"/>
            <w:tcBorders>
              <w:top w:val="nil"/>
              <w:left w:val="nil"/>
              <w:bottom w:val="single" w:sz="4" w:space="0" w:color="auto"/>
              <w:right w:val="single" w:sz="4" w:space="0" w:color="auto"/>
            </w:tcBorders>
            <w:shd w:val="clear" w:color="auto" w:fill="auto"/>
            <w:noWrap/>
            <w:vAlign w:val="bottom"/>
            <w:hideMark/>
          </w:tcPr>
          <w:p w14:paraId="250D7EE8"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0.95%</w:t>
            </w:r>
          </w:p>
        </w:tc>
        <w:tc>
          <w:tcPr>
            <w:tcW w:w="1000" w:type="dxa"/>
            <w:tcBorders>
              <w:top w:val="nil"/>
              <w:left w:val="nil"/>
              <w:bottom w:val="single" w:sz="4" w:space="0" w:color="auto"/>
              <w:right w:val="single" w:sz="4" w:space="0" w:color="auto"/>
            </w:tcBorders>
            <w:shd w:val="clear" w:color="auto" w:fill="auto"/>
            <w:noWrap/>
            <w:vAlign w:val="bottom"/>
            <w:hideMark/>
          </w:tcPr>
          <w:p w14:paraId="11CA6240"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0.67</w:t>
            </w:r>
          </w:p>
        </w:tc>
        <w:tc>
          <w:tcPr>
            <w:tcW w:w="1000" w:type="dxa"/>
            <w:tcBorders>
              <w:top w:val="nil"/>
              <w:left w:val="nil"/>
              <w:bottom w:val="single" w:sz="4" w:space="0" w:color="auto"/>
              <w:right w:val="single" w:sz="4" w:space="0" w:color="auto"/>
            </w:tcBorders>
            <w:shd w:val="clear" w:color="auto" w:fill="auto"/>
            <w:noWrap/>
            <w:vAlign w:val="bottom"/>
            <w:hideMark/>
          </w:tcPr>
          <w:p w14:paraId="1C27EE2B"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0.62</w:t>
            </w:r>
          </w:p>
        </w:tc>
        <w:tc>
          <w:tcPr>
            <w:tcW w:w="1000" w:type="dxa"/>
            <w:tcBorders>
              <w:top w:val="nil"/>
              <w:left w:val="nil"/>
              <w:bottom w:val="single" w:sz="4" w:space="0" w:color="auto"/>
              <w:right w:val="single" w:sz="4" w:space="0" w:color="auto"/>
            </w:tcBorders>
            <w:shd w:val="clear" w:color="auto" w:fill="auto"/>
            <w:noWrap/>
            <w:vAlign w:val="bottom"/>
            <w:hideMark/>
          </w:tcPr>
          <w:p w14:paraId="42E8B4F2"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2.73</w:t>
            </w:r>
          </w:p>
        </w:tc>
        <w:tc>
          <w:tcPr>
            <w:tcW w:w="1000" w:type="dxa"/>
            <w:tcBorders>
              <w:top w:val="nil"/>
              <w:left w:val="nil"/>
              <w:bottom w:val="single" w:sz="4" w:space="0" w:color="auto"/>
              <w:right w:val="single" w:sz="4" w:space="0" w:color="auto"/>
            </w:tcBorders>
            <w:shd w:val="clear" w:color="auto" w:fill="auto"/>
            <w:noWrap/>
            <w:vAlign w:val="bottom"/>
            <w:hideMark/>
          </w:tcPr>
          <w:p w14:paraId="74729322"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0.73</w:t>
            </w:r>
          </w:p>
        </w:tc>
        <w:tc>
          <w:tcPr>
            <w:tcW w:w="1000" w:type="dxa"/>
            <w:tcBorders>
              <w:top w:val="nil"/>
              <w:left w:val="nil"/>
              <w:bottom w:val="single" w:sz="4" w:space="0" w:color="auto"/>
              <w:right w:val="single" w:sz="4" w:space="0" w:color="auto"/>
            </w:tcBorders>
            <w:shd w:val="clear" w:color="auto" w:fill="auto"/>
            <w:noWrap/>
            <w:vAlign w:val="bottom"/>
            <w:hideMark/>
          </w:tcPr>
          <w:p w14:paraId="6A837CC7"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554</w:t>
            </w:r>
          </w:p>
        </w:tc>
        <w:tc>
          <w:tcPr>
            <w:tcW w:w="1360" w:type="dxa"/>
            <w:tcBorders>
              <w:top w:val="nil"/>
              <w:left w:val="nil"/>
              <w:bottom w:val="single" w:sz="4" w:space="0" w:color="auto"/>
              <w:right w:val="single" w:sz="4" w:space="0" w:color="auto"/>
            </w:tcBorders>
            <w:shd w:val="clear" w:color="auto" w:fill="auto"/>
            <w:noWrap/>
            <w:vAlign w:val="bottom"/>
            <w:hideMark/>
          </w:tcPr>
          <w:p w14:paraId="5156E131"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9.30%</w:t>
            </w:r>
          </w:p>
        </w:tc>
      </w:tr>
      <w:tr w:rsidR="00F970E2" w:rsidRPr="00F970E2" w14:paraId="11615206" w14:textId="77777777" w:rsidTr="00F970E2">
        <w:trPr>
          <w:trHeight w:val="288"/>
        </w:trPr>
        <w:tc>
          <w:tcPr>
            <w:tcW w:w="2040" w:type="dxa"/>
            <w:tcBorders>
              <w:top w:val="nil"/>
              <w:left w:val="single" w:sz="4" w:space="0" w:color="auto"/>
              <w:bottom w:val="single" w:sz="4" w:space="0" w:color="auto"/>
              <w:right w:val="single" w:sz="4" w:space="0" w:color="auto"/>
            </w:tcBorders>
            <w:shd w:val="clear" w:color="auto" w:fill="auto"/>
            <w:noWrap/>
            <w:vAlign w:val="bottom"/>
            <w:hideMark/>
          </w:tcPr>
          <w:p w14:paraId="52F4E5A7" w14:textId="77777777" w:rsidR="00F970E2" w:rsidRPr="00F970E2" w:rsidRDefault="00F970E2" w:rsidP="00F970E2">
            <w:pPr>
              <w:spacing w:after="0" w:line="240" w:lineRule="auto"/>
              <w:rPr>
                <w:rFonts w:ascii="Calibri" w:eastAsia="Times New Roman" w:hAnsi="Calibri" w:cs="Calibri"/>
                <w:b/>
                <w:bCs/>
                <w:color w:val="000000"/>
                <w:lang w:eastAsia="en-GB"/>
              </w:rPr>
            </w:pPr>
            <w:r w:rsidRPr="00F970E2">
              <w:rPr>
                <w:rFonts w:ascii="Calibri" w:eastAsia="Times New Roman" w:hAnsi="Calibri" w:cs="Calibri"/>
                <w:b/>
                <w:bCs/>
                <w:color w:val="000000"/>
                <w:lang w:eastAsia="en-GB"/>
              </w:rPr>
              <w:t>2019 Lufthansa</w:t>
            </w:r>
          </w:p>
        </w:tc>
        <w:tc>
          <w:tcPr>
            <w:tcW w:w="1000" w:type="dxa"/>
            <w:tcBorders>
              <w:top w:val="nil"/>
              <w:left w:val="nil"/>
              <w:bottom w:val="single" w:sz="4" w:space="0" w:color="auto"/>
              <w:right w:val="single" w:sz="4" w:space="0" w:color="auto"/>
            </w:tcBorders>
            <w:shd w:val="clear" w:color="auto" w:fill="auto"/>
            <w:noWrap/>
            <w:vAlign w:val="bottom"/>
            <w:hideMark/>
          </w:tcPr>
          <w:p w14:paraId="181B1362"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13.48%</w:t>
            </w:r>
          </w:p>
        </w:tc>
        <w:tc>
          <w:tcPr>
            <w:tcW w:w="1000" w:type="dxa"/>
            <w:tcBorders>
              <w:top w:val="nil"/>
              <w:left w:val="nil"/>
              <w:bottom w:val="single" w:sz="4" w:space="0" w:color="auto"/>
              <w:right w:val="single" w:sz="4" w:space="0" w:color="auto"/>
            </w:tcBorders>
            <w:shd w:val="clear" w:color="auto" w:fill="auto"/>
            <w:noWrap/>
            <w:vAlign w:val="bottom"/>
            <w:hideMark/>
          </w:tcPr>
          <w:p w14:paraId="61C356AA"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1.83%</w:t>
            </w:r>
          </w:p>
        </w:tc>
        <w:tc>
          <w:tcPr>
            <w:tcW w:w="1000" w:type="dxa"/>
            <w:tcBorders>
              <w:top w:val="nil"/>
              <w:left w:val="nil"/>
              <w:bottom w:val="single" w:sz="4" w:space="0" w:color="auto"/>
              <w:right w:val="single" w:sz="4" w:space="0" w:color="auto"/>
            </w:tcBorders>
            <w:shd w:val="clear" w:color="auto" w:fill="auto"/>
            <w:noWrap/>
            <w:vAlign w:val="bottom"/>
            <w:hideMark/>
          </w:tcPr>
          <w:p w14:paraId="1DE09D37"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0.71</w:t>
            </w:r>
          </w:p>
        </w:tc>
        <w:tc>
          <w:tcPr>
            <w:tcW w:w="1000" w:type="dxa"/>
            <w:tcBorders>
              <w:top w:val="nil"/>
              <w:left w:val="nil"/>
              <w:bottom w:val="single" w:sz="4" w:space="0" w:color="auto"/>
              <w:right w:val="single" w:sz="4" w:space="0" w:color="auto"/>
            </w:tcBorders>
            <w:shd w:val="clear" w:color="auto" w:fill="auto"/>
            <w:noWrap/>
            <w:vAlign w:val="bottom"/>
            <w:hideMark/>
          </w:tcPr>
          <w:p w14:paraId="4CFBF835"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0.65</w:t>
            </w:r>
          </w:p>
        </w:tc>
        <w:tc>
          <w:tcPr>
            <w:tcW w:w="1000" w:type="dxa"/>
            <w:tcBorders>
              <w:top w:val="nil"/>
              <w:left w:val="nil"/>
              <w:bottom w:val="single" w:sz="4" w:space="0" w:color="auto"/>
              <w:right w:val="single" w:sz="4" w:space="0" w:color="auto"/>
            </w:tcBorders>
            <w:shd w:val="clear" w:color="auto" w:fill="auto"/>
            <w:noWrap/>
            <w:vAlign w:val="bottom"/>
            <w:hideMark/>
          </w:tcPr>
          <w:p w14:paraId="796DF00D"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0.82</w:t>
            </w:r>
          </w:p>
        </w:tc>
        <w:tc>
          <w:tcPr>
            <w:tcW w:w="1000" w:type="dxa"/>
            <w:tcBorders>
              <w:top w:val="nil"/>
              <w:left w:val="nil"/>
              <w:bottom w:val="single" w:sz="4" w:space="0" w:color="auto"/>
              <w:right w:val="single" w:sz="4" w:space="0" w:color="auto"/>
            </w:tcBorders>
            <w:shd w:val="clear" w:color="auto" w:fill="auto"/>
            <w:noWrap/>
            <w:vAlign w:val="bottom"/>
            <w:hideMark/>
          </w:tcPr>
          <w:p w14:paraId="099F2B05"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0.45</w:t>
            </w:r>
          </w:p>
        </w:tc>
        <w:tc>
          <w:tcPr>
            <w:tcW w:w="1000" w:type="dxa"/>
            <w:tcBorders>
              <w:top w:val="nil"/>
              <w:left w:val="nil"/>
              <w:bottom w:val="single" w:sz="4" w:space="0" w:color="auto"/>
              <w:right w:val="single" w:sz="4" w:space="0" w:color="auto"/>
            </w:tcBorders>
            <w:shd w:val="clear" w:color="auto" w:fill="auto"/>
            <w:noWrap/>
            <w:vAlign w:val="bottom"/>
            <w:hideMark/>
          </w:tcPr>
          <w:p w14:paraId="3A4221E1"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763</w:t>
            </w:r>
          </w:p>
        </w:tc>
        <w:tc>
          <w:tcPr>
            <w:tcW w:w="1360" w:type="dxa"/>
            <w:tcBorders>
              <w:top w:val="nil"/>
              <w:left w:val="nil"/>
              <w:bottom w:val="single" w:sz="4" w:space="0" w:color="auto"/>
              <w:right w:val="single" w:sz="4" w:space="0" w:color="auto"/>
            </w:tcBorders>
            <w:shd w:val="clear" w:color="auto" w:fill="auto"/>
            <w:noWrap/>
            <w:vAlign w:val="bottom"/>
            <w:hideMark/>
          </w:tcPr>
          <w:p w14:paraId="161A7E05" w14:textId="77777777" w:rsidR="00F970E2" w:rsidRPr="00F970E2" w:rsidRDefault="00F970E2" w:rsidP="00F970E2">
            <w:pPr>
              <w:spacing w:after="0" w:line="240" w:lineRule="auto"/>
              <w:jc w:val="right"/>
              <w:rPr>
                <w:rFonts w:ascii="Calibri" w:eastAsia="Times New Roman" w:hAnsi="Calibri" w:cs="Calibri"/>
                <w:color w:val="000000"/>
                <w:lang w:eastAsia="en-GB"/>
              </w:rPr>
            </w:pPr>
            <w:r w:rsidRPr="00F970E2">
              <w:rPr>
                <w:rFonts w:ascii="Calibri" w:eastAsia="Times New Roman" w:hAnsi="Calibri" w:cs="Calibri"/>
                <w:color w:val="000000"/>
                <w:lang w:eastAsia="en-GB"/>
              </w:rPr>
              <w:t>2.50%</w:t>
            </w:r>
          </w:p>
        </w:tc>
      </w:tr>
    </w:tbl>
    <w:p w14:paraId="41FAE8CB" w14:textId="5F5BAEFB" w:rsidR="00F970E2" w:rsidRDefault="00F970E2" w:rsidP="00F970E2"/>
    <w:p w14:paraId="5B54B3C4" w14:textId="6F8039DC" w:rsidR="00F970E2" w:rsidRDefault="00F970E2" w:rsidP="00A1411C">
      <w:pPr>
        <w:jc w:val="center"/>
      </w:pPr>
    </w:p>
    <w:p w14:paraId="1D45F6BB" w14:textId="0E0BC5E2" w:rsidR="00A1411C" w:rsidRDefault="00A1411C" w:rsidP="008053E0"/>
    <w:p w14:paraId="74B32473" w14:textId="178A3635" w:rsidR="00BF3A7A" w:rsidRDefault="00BF3A7A" w:rsidP="008053E0"/>
    <w:p w14:paraId="2C4E4E6C" w14:textId="77777777" w:rsidR="00BF3A7A" w:rsidRDefault="00BF3A7A" w:rsidP="008053E0"/>
    <w:p w14:paraId="6940BBD9" w14:textId="73735802" w:rsidR="00A1411C" w:rsidRPr="00F970E2" w:rsidRDefault="00A1411C" w:rsidP="00A1411C">
      <w:pPr>
        <w:jc w:val="center"/>
      </w:pPr>
      <w:r w:rsidRPr="009356C2">
        <w:rPr>
          <w:rFonts w:ascii="Arial" w:hAnsi="Arial" w:cs="Arial"/>
          <w:noProof/>
        </w:rPr>
        <w:drawing>
          <wp:inline distT="0" distB="0" distL="0" distR="0" wp14:anchorId="2B043F50" wp14:editId="5CFD99D5">
            <wp:extent cx="1859915" cy="758825"/>
            <wp:effectExtent l="0" t="0" r="0" b="317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859915" cy="758825"/>
                    </a:xfrm>
                    <a:prstGeom prst="rect">
                      <a:avLst/>
                    </a:prstGeom>
                    <a:noFill/>
                    <a:ln>
                      <a:noFill/>
                    </a:ln>
                  </pic:spPr>
                </pic:pic>
              </a:graphicData>
            </a:graphic>
          </wp:inline>
        </w:drawing>
      </w:r>
    </w:p>
    <w:sectPr w:rsidR="00A1411C" w:rsidRPr="00F970E2">
      <w:footerReference w:type="default" r:id="rId1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1F1F5797" w14:textId="77777777" w:rsidR="00FC4984" w:rsidRDefault="00FC4984" w:rsidP="00D46716">
      <w:pPr>
        <w:spacing w:after="0" w:line="240" w:lineRule="auto"/>
      </w:pPr>
      <w:r>
        <w:separator/>
      </w:r>
    </w:p>
  </w:endnote>
  <w:endnote w:type="continuationSeparator" w:id="0">
    <w:p w14:paraId="365946B5" w14:textId="77777777" w:rsidR="00FC4984" w:rsidRDefault="00FC4984" w:rsidP="00D467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KaTeX_Math">
    <w:altName w:val="Cambri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5676487"/>
      <w:docPartObj>
        <w:docPartGallery w:val="Page Numbers (Bottom of Page)"/>
        <w:docPartUnique/>
      </w:docPartObj>
    </w:sdtPr>
    <w:sdtEndPr>
      <w:rPr>
        <w:noProof/>
      </w:rPr>
    </w:sdtEndPr>
    <w:sdtContent>
      <w:p w14:paraId="6D86EBD6" w14:textId="18F71783" w:rsidR="00EB2E2F" w:rsidRDefault="00EB2E2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66464906" w14:textId="77777777" w:rsidR="00EB2E2F" w:rsidRDefault="00EB2E2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2370727" w14:textId="77777777" w:rsidR="00FC4984" w:rsidRDefault="00FC4984" w:rsidP="00D46716">
      <w:pPr>
        <w:spacing w:after="0" w:line="240" w:lineRule="auto"/>
      </w:pPr>
      <w:r>
        <w:separator/>
      </w:r>
    </w:p>
  </w:footnote>
  <w:footnote w:type="continuationSeparator" w:id="0">
    <w:p w14:paraId="44ECABC2" w14:textId="77777777" w:rsidR="00FC4984" w:rsidRDefault="00FC4984" w:rsidP="00D467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7D5DCB"/>
    <w:multiLevelType w:val="hybridMultilevel"/>
    <w:tmpl w:val="C3065A0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1694ED5"/>
    <w:multiLevelType w:val="multilevel"/>
    <w:tmpl w:val="E932C986"/>
    <w:lvl w:ilvl="0">
      <w:start w:val="4"/>
      <w:numFmt w:val="decimal"/>
      <w:lvlText w:val="%1"/>
      <w:lvlJc w:val="left"/>
      <w:pPr>
        <w:ind w:left="360" w:hanging="360"/>
      </w:pPr>
      <w:rPr>
        <w:rFonts w:hint="default"/>
      </w:rPr>
    </w:lvl>
    <w:lvl w:ilvl="1">
      <w:start w:val="5"/>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2" w15:restartNumberingAfterBreak="0">
    <w:nsid w:val="08C773CA"/>
    <w:multiLevelType w:val="hybridMultilevel"/>
    <w:tmpl w:val="126CF7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22D7AC4"/>
    <w:multiLevelType w:val="multilevel"/>
    <w:tmpl w:val="FD22B980"/>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 w15:restartNumberingAfterBreak="0">
    <w:nsid w:val="19883074"/>
    <w:multiLevelType w:val="hybridMultilevel"/>
    <w:tmpl w:val="C3504E3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9F44F61"/>
    <w:multiLevelType w:val="hybridMultilevel"/>
    <w:tmpl w:val="401243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FCB6C14"/>
    <w:multiLevelType w:val="hybridMultilevel"/>
    <w:tmpl w:val="058400D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4D667BC"/>
    <w:multiLevelType w:val="hybridMultilevel"/>
    <w:tmpl w:val="401243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96A12B2"/>
    <w:multiLevelType w:val="hybridMultilevel"/>
    <w:tmpl w:val="828470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2B005ECE"/>
    <w:multiLevelType w:val="hybridMultilevel"/>
    <w:tmpl w:val="7CE8500A"/>
    <w:lvl w:ilvl="0" w:tplc="F6DAA01A">
      <w:numFmt w:val="bullet"/>
      <w:lvlText w:val="-"/>
      <w:lvlJc w:val="left"/>
      <w:pPr>
        <w:ind w:left="720" w:hanging="360"/>
      </w:pPr>
      <w:rPr>
        <w:rFonts w:ascii="Calibri" w:eastAsiaTheme="minorHAnsi" w:hAnsi="Calibri" w:cs="Calibri" w:hint="default"/>
        <w:color w:val="333333"/>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46556C2"/>
    <w:multiLevelType w:val="hybridMultilevel"/>
    <w:tmpl w:val="ED28D9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85422E3"/>
    <w:multiLevelType w:val="multilevel"/>
    <w:tmpl w:val="BC126F94"/>
    <w:lvl w:ilvl="0">
      <w:start w:val="1"/>
      <w:numFmt w:val="decimal"/>
      <w:lvlText w:val="%1."/>
      <w:lvlJc w:val="left"/>
      <w:pPr>
        <w:ind w:left="720" w:hanging="360"/>
      </w:pPr>
      <w:rPr>
        <w:rFonts w:hint="default"/>
      </w:rPr>
    </w:lvl>
    <w:lvl w:ilvl="1">
      <w:start w:val="3"/>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2" w15:restartNumberingAfterBreak="0">
    <w:nsid w:val="39F11572"/>
    <w:multiLevelType w:val="hybridMultilevel"/>
    <w:tmpl w:val="D75095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D98219E"/>
    <w:multiLevelType w:val="hybridMultilevel"/>
    <w:tmpl w:val="AB0C9242"/>
    <w:lvl w:ilvl="0" w:tplc="08090001">
      <w:start w:val="1"/>
      <w:numFmt w:val="bullet"/>
      <w:lvlText w:val=""/>
      <w:lvlJc w:val="left"/>
      <w:pPr>
        <w:ind w:left="643"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08760D"/>
    <w:multiLevelType w:val="hybridMultilevel"/>
    <w:tmpl w:val="33328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BA954D2"/>
    <w:multiLevelType w:val="hybridMultilevel"/>
    <w:tmpl w:val="82B028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C5A6143"/>
    <w:multiLevelType w:val="hybridMultilevel"/>
    <w:tmpl w:val="735061BE"/>
    <w:lvl w:ilvl="0" w:tplc="4B3CB4D8">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6A258FB"/>
    <w:multiLevelType w:val="hybridMultilevel"/>
    <w:tmpl w:val="938CFD9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C1D75D3"/>
    <w:multiLevelType w:val="hybridMultilevel"/>
    <w:tmpl w:val="48DA1F3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1DF56AA"/>
    <w:multiLevelType w:val="hybridMultilevel"/>
    <w:tmpl w:val="401243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61C5C07"/>
    <w:multiLevelType w:val="hybridMultilevel"/>
    <w:tmpl w:val="9DA8E7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AAA295D"/>
    <w:multiLevelType w:val="hybridMultilevel"/>
    <w:tmpl w:val="401243D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7E3210F0"/>
    <w:multiLevelType w:val="hybridMultilevel"/>
    <w:tmpl w:val="DECE20B2"/>
    <w:lvl w:ilvl="0" w:tplc="0809000F">
      <w:start w:val="1"/>
      <w:numFmt w:val="decimal"/>
      <w:lvlText w:val="%1."/>
      <w:lvlJc w:val="left"/>
      <w:pPr>
        <w:tabs>
          <w:tab w:val="num" w:pos="720"/>
        </w:tabs>
        <w:ind w:left="720" w:hanging="360"/>
      </w:pPr>
      <w:rPr>
        <w:rFont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num w:numId="1">
    <w:abstractNumId w:val="16"/>
  </w:num>
  <w:num w:numId="2">
    <w:abstractNumId w:val="2"/>
  </w:num>
  <w:num w:numId="3">
    <w:abstractNumId w:val="17"/>
  </w:num>
  <w:num w:numId="4">
    <w:abstractNumId w:val="13"/>
  </w:num>
  <w:num w:numId="5">
    <w:abstractNumId w:val="11"/>
  </w:num>
  <w:num w:numId="6">
    <w:abstractNumId w:val="9"/>
  </w:num>
  <w:num w:numId="7">
    <w:abstractNumId w:val="1"/>
  </w:num>
  <w:num w:numId="8">
    <w:abstractNumId w:val="8"/>
  </w:num>
  <w:num w:numId="9">
    <w:abstractNumId w:val="21"/>
  </w:num>
  <w:num w:numId="10">
    <w:abstractNumId w:val="15"/>
  </w:num>
  <w:num w:numId="11">
    <w:abstractNumId w:val="7"/>
  </w:num>
  <w:num w:numId="12">
    <w:abstractNumId w:val="4"/>
  </w:num>
  <w:num w:numId="13">
    <w:abstractNumId w:val="10"/>
  </w:num>
  <w:num w:numId="14">
    <w:abstractNumId w:val="22"/>
  </w:num>
  <w:num w:numId="15">
    <w:abstractNumId w:val="6"/>
  </w:num>
  <w:num w:numId="16">
    <w:abstractNumId w:val="3"/>
  </w:num>
  <w:num w:numId="17">
    <w:abstractNumId w:val="19"/>
  </w:num>
  <w:num w:numId="18">
    <w:abstractNumId w:val="5"/>
  </w:num>
  <w:num w:numId="19">
    <w:abstractNumId w:val="0"/>
  </w:num>
  <w:num w:numId="20">
    <w:abstractNumId w:val="12"/>
  </w:num>
  <w:num w:numId="21">
    <w:abstractNumId w:val="18"/>
  </w:num>
  <w:num w:numId="22">
    <w:abstractNumId w:val="20"/>
  </w:num>
  <w:num w:numId="23">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90"/>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51C4"/>
    <w:rsid w:val="000073B3"/>
    <w:rsid w:val="00014A4C"/>
    <w:rsid w:val="000153D1"/>
    <w:rsid w:val="000171AC"/>
    <w:rsid w:val="00017309"/>
    <w:rsid w:val="00021164"/>
    <w:rsid w:val="0002309B"/>
    <w:rsid w:val="0002439A"/>
    <w:rsid w:val="00030AA3"/>
    <w:rsid w:val="00033AFC"/>
    <w:rsid w:val="00036E1E"/>
    <w:rsid w:val="000565E8"/>
    <w:rsid w:val="0006021D"/>
    <w:rsid w:val="00061196"/>
    <w:rsid w:val="000650F6"/>
    <w:rsid w:val="0006547E"/>
    <w:rsid w:val="00066ABA"/>
    <w:rsid w:val="000672A1"/>
    <w:rsid w:val="00070FF1"/>
    <w:rsid w:val="000714DE"/>
    <w:rsid w:val="00071A56"/>
    <w:rsid w:val="00073D1E"/>
    <w:rsid w:val="00075837"/>
    <w:rsid w:val="00077898"/>
    <w:rsid w:val="000800C6"/>
    <w:rsid w:val="00083F95"/>
    <w:rsid w:val="0008621E"/>
    <w:rsid w:val="00091E91"/>
    <w:rsid w:val="00091EFF"/>
    <w:rsid w:val="0009562C"/>
    <w:rsid w:val="000A2B28"/>
    <w:rsid w:val="000A4514"/>
    <w:rsid w:val="000A4D79"/>
    <w:rsid w:val="000B2179"/>
    <w:rsid w:val="000B3326"/>
    <w:rsid w:val="000B3D65"/>
    <w:rsid w:val="000B4473"/>
    <w:rsid w:val="000B4C07"/>
    <w:rsid w:val="000B51C4"/>
    <w:rsid w:val="000B6634"/>
    <w:rsid w:val="000C3FB9"/>
    <w:rsid w:val="000C4B4F"/>
    <w:rsid w:val="000C660B"/>
    <w:rsid w:val="000E27AB"/>
    <w:rsid w:val="000E537E"/>
    <w:rsid w:val="000E5F2B"/>
    <w:rsid w:val="000F652B"/>
    <w:rsid w:val="0010181D"/>
    <w:rsid w:val="00103BB7"/>
    <w:rsid w:val="00105CA9"/>
    <w:rsid w:val="00107494"/>
    <w:rsid w:val="001076E0"/>
    <w:rsid w:val="001128E9"/>
    <w:rsid w:val="00113269"/>
    <w:rsid w:val="00115F35"/>
    <w:rsid w:val="00116587"/>
    <w:rsid w:val="001179A9"/>
    <w:rsid w:val="00117AFB"/>
    <w:rsid w:val="00117E26"/>
    <w:rsid w:val="0012156B"/>
    <w:rsid w:val="00121C4F"/>
    <w:rsid w:val="00125230"/>
    <w:rsid w:val="001260DF"/>
    <w:rsid w:val="00126704"/>
    <w:rsid w:val="001276D6"/>
    <w:rsid w:val="00132C50"/>
    <w:rsid w:val="00133950"/>
    <w:rsid w:val="00134A88"/>
    <w:rsid w:val="00140445"/>
    <w:rsid w:val="001411FC"/>
    <w:rsid w:val="00144C17"/>
    <w:rsid w:val="00145E07"/>
    <w:rsid w:val="00151271"/>
    <w:rsid w:val="001531F8"/>
    <w:rsid w:val="00153A3C"/>
    <w:rsid w:val="0015486B"/>
    <w:rsid w:val="001610BB"/>
    <w:rsid w:val="00163F15"/>
    <w:rsid w:val="00165B45"/>
    <w:rsid w:val="00171135"/>
    <w:rsid w:val="00172760"/>
    <w:rsid w:val="0017742D"/>
    <w:rsid w:val="001873A5"/>
    <w:rsid w:val="001A27D6"/>
    <w:rsid w:val="001A392B"/>
    <w:rsid w:val="001A5D67"/>
    <w:rsid w:val="001B0C27"/>
    <w:rsid w:val="001B16BE"/>
    <w:rsid w:val="001B2968"/>
    <w:rsid w:val="001B6050"/>
    <w:rsid w:val="001C1262"/>
    <w:rsid w:val="001C333C"/>
    <w:rsid w:val="001C7465"/>
    <w:rsid w:val="001D0BBB"/>
    <w:rsid w:val="001D4E01"/>
    <w:rsid w:val="001D7086"/>
    <w:rsid w:val="0020160A"/>
    <w:rsid w:val="00204DBD"/>
    <w:rsid w:val="00206ACB"/>
    <w:rsid w:val="00214935"/>
    <w:rsid w:val="00215D85"/>
    <w:rsid w:val="00220B06"/>
    <w:rsid w:val="00224E78"/>
    <w:rsid w:val="002266ED"/>
    <w:rsid w:val="002267D3"/>
    <w:rsid w:val="00227FC9"/>
    <w:rsid w:val="00237B3F"/>
    <w:rsid w:val="00242DFD"/>
    <w:rsid w:val="0024541D"/>
    <w:rsid w:val="00245BBD"/>
    <w:rsid w:val="00245BF1"/>
    <w:rsid w:val="00245E43"/>
    <w:rsid w:val="00246579"/>
    <w:rsid w:val="00246608"/>
    <w:rsid w:val="002553DE"/>
    <w:rsid w:val="00256241"/>
    <w:rsid w:val="00264266"/>
    <w:rsid w:val="002810D7"/>
    <w:rsid w:val="00282F11"/>
    <w:rsid w:val="00284C8F"/>
    <w:rsid w:val="00290D5A"/>
    <w:rsid w:val="002A38AF"/>
    <w:rsid w:val="002A4AC3"/>
    <w:rsid w:val="002A5817"/>
    <w:rsid w:val="002A635A"/>
    <w:rsid w:val="002B4D70"/>
    <w:rsid w:val="002B54B8"/>
    <w:rsid w:val="002C5766"/>
    <w:rsid w:val="002D0F79"/>
    <w:rsid w:val="002D1F87"/>
    <w:rsid w:val="002D3C70"/>
    <w:rsid w:val="002D4822"/>
    <w:rsid w:val="002D5A72"/>
    <w:rsid w:val="002E04C0"/>
    <w:rsid w:val="002E1496"/>
    <w:rsid w:val="002E402E"/>
    <w:rsid w:val="002E42AE"/>
    <w:rsid w:val="002E57D0"/>
    <w:rsid w:val="002E5A78"/>
    <w:rsid w:val="002E6FDE"/>
    <w:rsid w:val="002F299F"/>
    <w:rsid w:val="002F3977"/>
    <w:rsid w:val="002F54CD"/>
    <w:rsid w:val="002F78B8"/>
    <w:rsid w:val="002F7C86"/>
    <w:rsid w:val="003000F9"/>
    <w:rsid w:val="00302723"/>
    <w:rsid w:val="00304915"/>
    <w:rsid w:val="00305320"/>
    <w:rsid w:val="00315FFB"/>
    <w:rsid w:val="00316BA1"/>
    <w:rsid w:val="00320B2F"/>
    <w:rsid w:val="00323191"/>
    <w:rsid w:val="003231F8"/>
    <w:rsid w:val="00326A16"/>
    <w:rsid w:val="00326B49"/>
    <w:rsid w:val="00334269"/>
    <w:rsid w:val="003347BD"/>
    <w:rsid w:val="0033702C"/>
    <w:rsid w:val="00337284"/>
    <w:rsid w:val="00342705"/>
    <w:rsid w:val="0034308A"/>
    <w:rsid w:val="003435CE"/>
    <w:rsid w:val="00344788"/>
    <w:rsid w:val="00345A86"/>
    <w:rsid w:val="003516E9"/>
    <w:rsid w:val="00352329"/>
    <w:rsid w:val="003528FD"/>
    <w:rsid w:val="00353124"/>
    <w:rsid w:val="00355A14"/>
    <w:rsid w:val="00357465"/>
    <w:rsid w:val="00361606"/>
    <w:rsid w:val="00364B61"/>
    <w:rsid w:val="00373B81"/>
    <w:rsid w:val="003741D4"/>
    <w:rsid w:val="00374337"/>
    <w:rsid w:val="003801C4"/>
    <w:rsid w:val="00380BB5"/>
    <w:rsid w:val="0038390E"/>
    <w:rsid w:val="00385111"/>
    <w:rsid w:val="00386482"/>
    <w:rsid w:val="00386CBB"/>
    <w:rsid w:val="00387F6E"/>
    <w:rsid w:val="00390BFE"/>
    <w:rsid w:val="00392D7F"/>
    <w:rsid w:val="003945EA"/>
    <w:rsid w:val="003A09B9"/>
    <w:rsid w:val="003A0CE8"/>
    <w:rsid w:val="003A2661"/>
    <w:rsid w:val="003A3F04"/>
    <w:rsid w:val="003A4EDC"/>
    <w:rsid w:val="003A5671"/>
    <w:rsid w:val="003B09FB"/>
    <w:rsid w:val="003B5922"/>
    <w:rsid w:val="003C06CA"/>
    <w:rsid w:val="003C38F6"/>
    <w:rsid w:val="003D5038"/>
    <w:rsid w:val="003D6596"/>
    <w:rsid w:val="003D6DF4"/>
    <w:rsid w:val="003E2AB0"/>
    <w:rsid w:val="003E5B06"/>
    <w:rsid w:val="003E78EB"/>
    <w:rsid w:val="003E7CE7"/>
    <w:rsid w:val="003F13C3"/>
    <w:rsid w:val="003F6B96"/>
    <w:rsid w:val="0040072B"/>
    <w:rsid w:val="00403906"/>
    <w:rsid w:val="0040626B"/>
    <w:rsid w:val="00406E3A"/>
    <w:rsid w:val="004072FC"/>
    <w:rsid w:val="00410797"/>
    <w:rsid w:val="00410DB6"/>
    <w:rsid w:val="0041330E"/>
    <w:rsid w:val="00414096"/>
    <w:rsid w:val="00416F9C"/>
    <w:rsid w:val="00421BE8"/>
    <w:rsid w:val="00426DBB"/>
    <w:rsid w:val="00427480"/>
    <w:rsid w:val="00431AE5"/>
    <w:rsid w:val="00432DF2"/>
    <w:rsid w:val="00445ADE"/>
    <w:rsid w:val="00447039"/>
    <w:rsid w:val="00447D18"/>
    <w:rsid w:val="0045206C"/>
    <w:rsid w:val="004560A7"/>
    <w:rsid w:val="00466A84"/>
    <w:rsid w:val="0047025A"/>
    <w:rsid w:val="00470BDC"/>
    <w:rsid w:val="00476B5D"/>
    <w:rsid w:val="00480803"/>
    <w:rsid w:val="00483798"/>
    <w:rsid w:val="004840B8"/>
    <w:rsid w:val="0048415E"/>
    <w:rsid w:val="00494A4E"/>
    <w:rsid w:val="00495F8C"/>
    <w:rsid w:val="004A157A"/>
    <w:rsid w:val="004A25C2"/>
    <w:rsid w:val="004A3793"/>
    <w:rsid w:val="004A771D"/>
    <w:rsid w:val="004B5D0B"/>
    <w:rsid w:val="004B72BD"/>
    <w:rsid w:val="004C1786"/>
    <w:rsid w:val="004C399F"/>
    <w:rsid w:val="004C4D9C"/>
    <w:rsid w:val="004C67FB"/>
    <w:rsid w:val="004D161C"/>
    <w:rsid w:val="004D1C08"/>
    <w:rsid w:val="004D2693"/>
    <w:rsid w:val="004D7826"/>
    <w:rsid w:val="004E08C2"/>
    <w:rsid w:val="004E1F10"/>
    <w:rsid w:val="004E2E52"/>
    <w:rsid w:val="004E57AD"/>
    <w:rsid w:val="004E6314"/>
    <w:rsid w:val="004F125B"/>
    <w:rsid w:val="004F12B6"/>
    <w:rsid w:val="004F1A9F"/>
    <w:rsid w:val="004F26D6"/>
    <w:rsid w:val="004F5D1B"/>
    <w:rsid w:val="004F66B0"/>
    <w:rsid w:val="004F6CAB"/>
    <w:rsid w:val="00502EE2"/>
    <w:rsid w:val="00507C3C"/>
    <w:rsid w:val="00510D97"/>
    <w:rsid w:val="00511B76"/>
    <w:rsid w:val="00513708"/>
    <w:rsid w:val="005144A5"/>
    <w:rsid w:val="00514A68"/>
    <w:rsid w:val="00516C83"/>
    <w:rsid w:val="00516EE3"/>
    <w:rsid w:val="0052494E"/>
    <w:rsid w:val="00527CD5"/>
    <w:rsid w:val="005313F5"/>
    <w:rsid w:val="00532415"/>
    <w:rsid w:val="00532589"/>
    <w:rsid w:val="00535E1E"/>
    <w:rsid w:val="005370FE"/>
    <w:rsid w:val="00541DE1"/>
    <w:rsid w:val="005430C5"/>
    <w:rsid w:val="00543E66"/>
    <w:rsid w:val="00545BEB"/>
    <w:rsid w:val="005466CB"/>
    <w:rsid w:val="00546BF6"/>
    <w:rsid w:val="005544B9"/>
    <w:rsid w:val="00555387"/>
    <w:rsid w:val="00557DE1"/>
    <w:rsid w:val="00560727"/>
    <w:rsid w:val="00565C2C"/>
    <w:rsid w:val="0057263B"/>
    <w:rsid w:val="00572B55"/>
    <w:rsid w:val="00573E43"/>
    <w:rsid w:val="00574C43"/>
    <w:rsid w:val="005750C9"/>
    <w:rsid w:val="005751F3"/>
    <w:rsid w:val="0057606A"/>
    <w:rsid w:val="00581849"/>
    <w:rsid w:val="00582810"/>
    <w:rsid w:val="0058313D"/>
    <w:rsid w:val="0058346D"/>
    <w:rsid w:val="005834C5"/>
    <w:rsid w:val="005878EB"/>
    <w:rsid w:val="00587948"/>
    <w:rsid w:val="00593EB5"/>
    <w:rsid w:val="0059506C"/>
    <w:rsid w:val="00595EA0"/>
    <w:rsid w:val="0059715F"/>
    <w:rsid w:val="00597764"/>
    <w:rsid w:val="005A2796"/>
    <w:rsid w:val="005A6C6F"/>
    <w:rsid w:val="005B39D9"/>
    <w:rsid w:val="005B7B3A"/>
    <w:rsid w:val="005C2D7B"/>
    <w:rsid w:val="005C5257"/>
    <w:rsid w:val="005C6935"/>
    <w:rsid w:val="005D278E"/>
    <w:rsid w:val="005D32B5"/>
    <w:rsid w:val="005D77CE"/>
    <w:rsid w:val="005E0BF6"/>
    <w:rsid w:val="005E118E"/>
    <w:rsid w:val="005E1DCD"/>
    <w:rsid w:val="005E44AE"/>
    <w:rsid w:val="005E55DC"/>
    <w:rsid w:val="005F1159"/>
    <w:rsid w:val="005F1BC2"/>
    <w:rsid w:val="005F3126"/>
    <w:rsid w:val="005F3212"/>
    <w:rsid w:val="0060582C"/>
    <w:rsid w:val="0060761D"/>
    <w:rsid w:val="00610EBB"/>
    <w:rsid w:val="00612F95"/>
    <w:rsid w:val="00620336"/>
    <w:rsid w:val="00622358"/>
    <w:rsid w:val="006249DD"/>
    <w:rsid w:val="00626DA2"/>
    <w:rsid w:val="00632FDB"/>
    <w:rsid w:val="006406CF"/>
    <w:rsid w:val="00644ABD"/>
    <w:rsid w:val="0064696C"/>
    <w:rsid w:val="00646BAA"/>
    <w:rsid w:val="006608FB"/>
    <w:rsid w:val="0066430F"/>
    <w:rsid w:val="0066491C"/>
    <w:rsid w:val="00670E04"/>
    <w:rsid w:val="00672C29"/>
    <w:rsid w:val="00675CBF"/>
    <w:rsid w:val="00681F41"/>
    <w:rsid w:val="00694226"/>
    <w:rsid w:val="006955FE"/>
    <w:rsid w:val="006A207D"/>
    <w:rsid w:val="006A3D97"/>
    <w:rsid w:val="006A3E95"/>
    <w:rsid w:val="006A62E1"/>
    <w:rsid w:val="006A7B47"/>
    <w:rsid w:val="006B7FFE"/>
    <w:rsid w:val="006C535A"/>
    <w:rsid w:val="006C5483"/>
    <w:rsid w:val="006D1B1D"/>
    <w:rsid w:val="006D32C9"/>
    <w:rsid w:val="006D4186"/>
    <w:rsid w:val="006D5470"/>
    <w:rsid w:val="006D5556"/>
    <w:rsid w:val="006D734E"/>
    <w:rsid w:val="006E0FEF"/>
    <w:rsid w:val="006E217B"/>
    <w:rsid w:val="006E3F08"/>
    <w:rsid w:val="006E6F63"/>
    <w:rsid w:val="006F2CA0"/>
    <w:rsid w:val="006F3547"/>
    <w:rsid w:val="00705401"/>
    <w:rsid w:val="0070637B"/>
    <w:rsid w:val="00706E09"/>
    <w:rsid w:val="00710800"/>
    <w:rsid w:val="007115C4"/>
    <w:rsid w:val="007117E9"/>
    <w:rsid w:val="00713601"/>
    <w:rsid w:val="007148F2"/>
    <w:rsid w:val="00731DD0"/>
    <w:rsid w:val="007339C0"/>
    <w:rsid w:val="00734986"/>
    <w:rsid w:val="007366C6"/>
    <w:rsid w:val="00744622"/>
    <w:rsid w:val="00744C32"/>
    <w:rsid w:val="00750A7A"/>
    <w:rsid w:val="00750ECF"/>
    <w:rsid w:val="00752FDD"/>
    <w:rsid w:val="00753A69"/>
    <w:rsid w:val="00760008"/>
    <w:rsid w:val="00764987"/>
    <w:rsid w:val="00775838"/>
    <w:rsid w:val="00777019"/>
    <w:rsid w:val="007811A0"/>
    <w:rsid w:val="00783C9C"/>
    <w:rsid w:val="007968D1"/>
    <w:rsid w:val="00796B96"/>
    <w:rsid w:val="00797E3B"/>
    <w:rsid w:val="007A0958"/>
    <w:rsid w:val="007A49F4"/>
    <w:rsid w:val="007C07DF"/>
    <w:rsid w:val="007C28DC"/>
    <w:rsid w:val="007C3524"/>
    <w:rsid w:val="007C6367"/>
    <w:rsid w:val="007D1F8C"/>
    <w:rsid w:val="007E6A63"/>
    <w:rsid w:val="007E6E9E"/>
    <w:rsid w:val="007F128D"/>
    <w:rsid w:val="007F68E1"/>
    <w:rsid w:val="007F6FE7"/>
    <w:rsid w:val="00800B7A"/>
    <w:rsid w:val="008053E0"/>
    <w:rsid w:val="0080771E"/>
    <w:rsid w:val="00810810"/>
    <w:rsid w:val="008112B1"/>
    <w:rsid w:val="0081218C"/>
    <w:rsid w:val="008149D0"/>
    <w:rsid w:val="00815883"/>
    <w:rsid w:val="008200B1"/>
    <w:rsid w:val="008259F5"/>
    <w:rsid w:val="00826993"/>
    <w:rsid w:val="008331E1"/>
    <w:rsid w:val="00837F54"/>
    <w:rsid w:val="00850480"/>
    <w:rsid w:val="00852E71"/>
    <w:rsid w:val="0085384E"/>
    <w:rsid w:val="0085497E"/>
    <w:rsid w:val="008569C0"/>
    <w:rsid w:val="00860B3C"/>
    <w:rsid w:val="00862638"/>
    <w:rsid w:val="00865514"/>
    <w:rsid w:val="0086721E"/>
    <w:rsid w:val="008677E8"/>
    <w:rsid w:val="00876BA2"/>
    <w:rsid w:val="00877CFA"/>
    <w:rsid w:val="008810C0"/>
    <w:rsid w:val="008817E9"/>
    <w:rsid w:val="00884449"/>
    <w:rsid w:val="00886D59"/>
    <w:rsid w:val="0089410B"/>
    <w:rsid w:val="008A5CF9"/>
    <w:rsid w:val="008B08AE"/>
    <w:rsid w:val="008B5D95"/>
    <w:rsid w:val="008C3FBE"/>
    <w:rsid w:val="008C7C69"/>
    <w:rsid w:val="008D0C88"/>
    <w:rsid w:val="008D1DFB"/>
    <w:rsid w:val="008D42EE"/>
    <w:rsid w:val="008D774F"/>
    <w:rsid w:val="008E145C"/>
    <w:rsid w:val="008E15FB"/>
    <w:rsid w:val="008E17D7"/>
    <w:rsid w:val="008E3F54"/>
    <w:rsid w:val="008E53E4"/>
    <w:rsid w:val="008F4B43"/>
    <w:rsid w:val="00902E97"/>
    <w:rsid w:val="0091146D"/>
    <w:rsid w:val="00914334"/>
    <w:rsid w:val="0091594C"/>
    <w:rsid w:val="00915E52"/>
    <w:rsid w:val="009219EF"/>
    <w:rsid w:val="00921DC4"/>
    <w:rsid w:val="00923529"/>
    <w:rsid w:val="00923F18"/>
    <w:rsid w:val="0092785E"/>
    <w:rsid w:val="00932B8B"/>
    <w:rsid w:val="00932BD1"/>
    <w:rsid w:val="0093476B"/>
    <w:rsid w:val="00936C6E"/>
    <w:rsid w:val="00940990"/>
    <w:rsid w:val="00951118"/>
    <w:rsid w:val="0095127D"/>
    <w:rsid w:val="009543BC"/>
    <w:rsid w:val="00960D92"/>
    <w:rsid w:val="00960FD2"/>
    <w:rsid w:val="00961030"/>
    <w:rsid w:val="009645FF"/>
    <w:rsid w:val="00965A41"/>
    <w:rsid w:val="00965C00"/>
    <w:rsid w:val="00972773"/>
    <w:rsid w:val="00977826"/>
    <w:rsid w:val="00980537"/>
    <w:rsid w:val="00982D3B"/>
    <w:rsid w:val="00992DFB"/>
    <w:rsid w:val="009A32FA"/>
    <w:rsid w:val="009A3431"/>
    <w:rsid w:val="009A3742"/>
    <w:rsid w:val="009A4C79"/>
    <w:rsid w:val="009A58A0"/>
    <w:rsid w:val="009A6616"/>
    <w:rsid w:val="009A6747"/>
    <w:rsid w:val="009B1AD9"/>
    <w:rsid w:val="009C366E"/>
    <w:rsid w:val="009C71AD"/>
    <w:rsid w:val="009C75BD"/>
    <w:rsid w:val="009D24E4"/>
    <w:rsid w:val="009D52E2"/>
    <w:rsid w:val="009D5859"/>
    <w:rsid w:val="009D602C"/>
    <w:rsid w:val="009E487E"/>
    <w:rsid w:val="009F0835"/>
    <w:rsid w:val="009F0F46"/>
    <w:rsid w:val="009F40DA"/>
    <w:rsid w:val="009F6B03"/>
    <w:rsid w:val="00A06DC9"/>
    <w:rsid w:val="00A07B25"/>
    <w:rsid w:val="00A07F84"/>
    <w:rsid w:val="00A11D26"/>
    <w:rsid w:val="00A1411C"/>
    <w:rsid w:val="00A16337"/>
    <w:rsid w:val="00A23148"/>
    <w:rsid w:val="00A2330B"/>
    <w:rsid w:val="00A23C10"/>
    <w:rsid w:val="00A264D3"/>
    <w:rsid w:val="00A271B3"/>
    <w:rsid w:val="00A27447"/>
    <w:rsid w:val="00A50195"/>
    <w:rsid w:val="00A55133"/>
    <w:rsid w:val="00A66F77"/>
    <w:rsid w:val="00A67D0D"/>
    <w:rsid w:val="00A74326"/>
    <w:rsid w:val="00A749BC"/>
    <w:rsid w:val="00A7520D"/>
    <w:rsid w:val="00A76A41"/>
    <w:rsid w:val="00A80E29"/>
    <w:rsid w:val="00A82C5D"/>
    <w:rsid w:val="00A8653B"/>
    <w:rsid w:val="00A97558"/>
    <w:rsid w:val="00AA5B5E"/>
    <w:rsid w:val="00AA667F"/>
    <w:rsid w:val="00AD0D77"/>
    <w:rsid w:val="00AD1318"/>
    <w:rsid w:val="00AD18F6"/>
    <w:rsid w:val="00AD5356"/>
    <w:rsid w:val="00AD6BC4"/>
    <w:rsid w:val="00AE249B"/>
    <w:rsid w:val="00AE4929"/>
    <w:rsid w:val="00AF4938"/>
    <w:rsid w:val="00AF70E4"/>
    <w:rsid w:val="00B0354B"/>
    <w:rsid w:val="00B0463D"/>
    <w:rsid w:val="00B05DAB"/>
    <w:rsid w:val="00B1034D"/>
    <w:rsid w:val="00B144A7"/>
    <w:rsid w:val="00B15E24"/>
    <w:rsid w:val="00B20EE3"/>
    <w:rsid w:val="00B222BF"/>
    <w:rsid w:val="00B22EC4"/>
    <w:rsid w:val="00B2468C"/>
    <w:rsid w:val="00B33F52"/>
    <w:rsid w:val="00B34CA4"/>
    <w:rsid w:val="00B401CE"/>
    <w:rsid w:val="00B41754"/>
    <w:rsid w:val="00B450E5"/>
    <w:rsid w:val="00B509B4"/>
    <w:rsid w:val="00B53825"/>
    <w:rsid w:val="00B543CC"/>
    <w:rsid w:val="00B57601"/>
    <w:rsid w:val="00B657C4"/>
    <w:rsid w:val="00B663C0"/>
    <w:rsid w:val="00B674A2"/>
    <w:rsid w:val="00B67892"/>
    <w:rsid w:val="00B67CEF"/>
    <w:rsid w:val="00B67F20"/>
    <w:rsid w:val="00B70DF6"/>
    <w:rsid w:val="00B72C1D"/>
    <w:rsid w:val="00B74CCA"/>
    <w:rsid w:val="00B75C1E"/>
    <w:rsid w:val="00B7615C"/>
    <w:rsid w:val="00B7617F"/>
    <w:rsid w:val="00B76707"/>
    <w:rsid w:val="00B92D97"/>
    <w:rsid w:val="00B95029"/>
    <w:rsid w:val="00B9662C"/>
    <w:rsid w:val="00B97616"/>
    <w:rsid w:val="00BA277C"/>
    <w:rsid w:val="00BA339B"/>
    <w:rsid w:val="00BA4E29"/>
    <w:rsid w:val="00BA5AF4"/>
    <w:rsid w:val="00BA6069"/>
    <w:rsid w:val="00BA6B80"/>
    <w:rsid w:val="00BA7AFD"/>
    <w:rsid w:val="00BA7B4C"/>
    <w:rsid w:val="00BB03C0"/>
    <w:rsid w:val="00BB19DC"/>
    <w:rsid w:val="00BB1EE5"/>
    <w:rsid w:val="00BB54F3"/>
    <w:rsid w:val="00BC0910"/>
    <w:rsid w:val="00BC38F6"/>
    <w:rsid w:val="00BC5066"/>
    <w:rsid w:val="00BC51D4"/>
    <w:rsid w:val="00BC5644"/>
    <w:rsid w:val="00BC71C3"/>
    <w:rsid w:val="00BD07DB"/>
    <w:rsid w:val="00BD32B0"/>
    <w:rsid w:val="00BD5C8B"/>
    <w:rsid w:val="00BE0E34"/>
    <w:rsid w:val="00BE3550"/>
    <w:rsid w:val="00BE4E66"/>
    <w:rsid w:val="00BE5976"/>
    <w:rsid w:val="00BE710F"/>
    <w:rsid w:val="00BF13C6"/>
    <w:rsid w:val="00BF24D4"/>
    <w:rsid w:val="00BF3A7A"/>
    <w:rsid w:val="00BF535C"/>
    <w:rsid w:val="00C01AC5"/>
    <w:rsid w:val="00C04637"/>
    <w:rsid w:val="00C048E9"/>
    <w:rsid w:val="00C05251"/>
    <w:rsid w:val="00C0603B"/>
    <w:rsid w:val="00C12ED2"/>
    <w:rsid w:val="00C13572"/>
    <w:rsid w:val="00C143E9"/>
    <w:rsid w:val="00C17E62"/>
    <w:rsid w:val="00C2276C"/>
    <w:rsid w:val="00C227BD"/>
    <w:rsid w:val="00C2321C"/>
    <w:rsid w:val="00C244B1"/>
    <w:rsid w:val="00C25393"/>
    <w:rsid w:val="00C32F40"/>
    <w:rsid w:val="00C338A1"/>
    <w:rsid w:val="00C34FCD"/>
    <w:rsid w:val="00C37CA3"/>
    <w:rsid w:val="00C4505F"/>
    <w:rsid w:val="00C51E8C"/>
    <w:rsid w:val="00C60D2E"/>
    <w:rsid w:val="00C6669C"/>
    <w:rsid w:val="00C673D2"/>
    <w:rsid w:val="00C71350"/>
    <w:rsid w:val="00C72B7B"/>
    <w:rsid w:val="00C74C9D"/>
    <w:rsid w:val="00C77638"/>
    <w:rsid w:val="00C77A40"/>
    <w:rsid w:val="00C80F2F"/>
    <w:rsid w:val="00C86F96"/>
    <w:rsid w:val="00C91E3B"/>
    <w:rsid w:val="00C93DB5"/>
    <w:rsid w:val="00C94593"/>
    <w:rsid w:val="00C95752"/>
    <w:rsid w:val="00CA2533"/>
    <w:rsid w:val="00CA5421"/>
    <w:rsid w:val="00CA7CC0"/>
    <w:rsid w:val="00CB3880"/>
    <w:rsid w:val="00CB400A"/>
    <w:rsid w:val="00CC7F29"/>
    <w:rsid w:val="00CD190B"/>
    <w:rsid w:val="00CD3F85"/>
    <w:rsid w:val="00CD6035"/>
    <w:rsid w:val="00CD6FFC"/>
    <w:rsid w:val="00CE1A27"/>
    <w:rsid w:val="00CE6430"/>
    <w:rsid w:val="00CE7179"/>
    <w:rsid w:val="00CE7662"/>
    <w:rsid w:val="00CF05FE"/>
    <w:rsid w:val="00CF20BC"/>
    <w:rsid w:val="00CF3934"/>
    <w:rsid w:val="00CF48F1"/>
    <w:rsid w:val="00CF4DC8"/>
    <w:rsid w:val="00D01E13"/>
    <w:rsid w:val="00D02C01"/>
    <w:rsid w:val="00D04A65"/>
    <w:rsid w:val="00D07EAB"/>
    <w:rsid w:val="00D106F6"/>
    <w:rsid w:val="00D11983"/>
    <w:rsid w:val="00D15258"/>
    <w:rsid w:val="00D16EED"/>
    <w:rsid w:val="00D22300"/>
    <w:rsid w:val="00D2264C"/>
    <w:rsid w:val="00D249F9"/>
    <w:rsid w:val="00D26485"/>
    <w:rsid w:val="00D276D3"/>
    <w:rsid w:val="00D32FDD"/>
    <w:rsid w:val="00D345C0"/>
    <w:rsid w:val="00D42A86"/>
    <w:rsid w:val="00D46716"/>
    <w:rsid w:val="00D47556"/>
    <w:rsid w:val="00D47C2F"/>
    <w:rsid w:val="00D52218"/>
    <w:rsid w:val="00D52696"/>
    <w:rsid w:val="00D5334A"/>
    <w:rsid w:val="00D57112"/>
    <w:rsid w:val="00D573CE"/>
    <w:rsid w:val="00D64BBB"/>
    <w:rsid w:val="00D6537F"/>
    <w:rsid w:val="00D6736C"/>
    <w:rsid w:val="00D751FD"/>
    <w:rsid w:val="00D754C2"/>
    <w:rsid w:val="00D76F94"/>
    <w:rsid w:val="00D86FCE"/>
    <w:rsid w:val="00D91CF2"/>
    <w:rsid w:val="00D92342"/>
    <w:rsid w:val="00D936BD"/>
    <w:rsid w:val="00DA5047"/>
    <w:rsid w:val="00DB2562"/>
    <w:rsid w:val="00DB32CD"/>
    <w:rsid w:val="00DB790E"/>
    <w:rsid w:val="00DC30D9"/>
    <w:rsid w:val="00DC6965"/>
    <w:rsid w:val="00DD7BFD"/>
    <w:rsid w:val="00DE11B2"/>
    <w:rsid w:val="00DE2377"/>
    <w:rsid w:val="00DF179A"/>
    <w:rsid w:val="00DF6918"/>
    <w:rsid w:val="00DF6FE9"/>
    <w:rsid w:val="00DF6FFA"/>
    <w:rsid w:val="00DF7501"/>
    <w:rsid w:val="00E04C2D"/>
    <w:rsid w:val="00E07D38"/>
    <w:rsid w:val="00E11892"/>
    <w:rsid w:val="00E11DBA"/>
    <w:rsid w:val="00E13144"/>
    <w:rsid w:val="00E142A1"/>
    <w:rsid w:val="00E17D15"/>
    <w:rsid w:val="00E207BC"/>
    <w:rsid w:val="00E20EFD"/>
    <w:rsid w:val="00E233D1"/>
    <w:rsid w:val="00E246D8"/>
    <w:rsid w:val="00E27590"/>
    <w:rsid w:val="00E305CF"/>
    <w:rsid w:val="00E33D55"/>
    <w:rsid w:val="00E3675A"/>
    <w:rsid w:val="00E401DA"/>
    <w:rsid w:val="00E412C0"/>
    <w:rsid w:val="00E54782"/>
    <w:rsid w:val="00E54BEF"/>
    <w:rsid w:val="00E554E7"/>
    <w:rsid w:val="00E71522"/>
    <w:rsid w:val="00E749E8"/>
    <w:rsid w:val="00E8734B"/>
    <w:rsid w:val="00E93283"/>
    <w:rsid w:val="00EA0DE4"/>
    <w:rsid w:val="00EB2E2F"/>
    <w:rsid w:val="00EB7947"/>
    <w:rsid w:val="00EC0B4E"/>
    <w:rsid w:val="00EC33E2"/>
    <w:rsid w:val="00ED1B04"/>
    <w:rsid w:val="00ED1C10"/>
    <w:rsid w:val="00ED2C3F"/>
    <w:rsid w:val="00ED309B"/>
    <w:rsid w:val="00ED4959"/>
    <w:rsid w:val="00ED49CC"/>
    <w:rsid w:val="00ED54DC"/>
    <w:rsid w:val="00ED7A50"/>
    <w:rsid w:val="00EE26CF"/>
    <w:rsid w:val="00EE36DC"/>
    <w:rsid w:val="00EE47C1"/>
    <w:rsid w:val="00EE663F"/>
    <w:rsid w:val="00EE7B81"/>
    <w:rsid w:val="00EF09D0"/>
    <w:rsid w:val="00EF1776"/>
    <w:rsid w:val="00F14B37"/>
    <w:rsid w:val="00F14C5A"/>
    <w:rsid w:val="00F14DB0"/>
    <w:rsid w:val="00F20BDF"/>
    <w:rsid w:val="00F2582D"/>
    <w:rsid w:val="00F26022"/>
    <w:rsid w:val="00F30071"/>
    <w:rsid w:val="00F31A19"/>
    <w:rsid w:val="00F37EF9"/>
    <w:rsid w:val="00F427CA"/>
    <w:rsid w:val="00F44612"/>
    <w:rsid w:val="00F50D33"/>
    <w:rsid w:val="00F54A9B"/>
    <w:rsid w:val="00F573A2"/>
    <w:rsid w:val="00F60A6C"/>
    <w:rsid w:val="00F705B9"/>
    <w:rsid w:val="00F71A53"/>
    <w:rsid w:val="00F73F46"/>
    <w:rsid w:val="00F803CF"/>
    <w:rsid w:val="00F828E5"/>
    <w:rsid w:val="00F831BD"/>
    <w:rsid w:val="00F92476"/>
    <w:rsid w:val="00F94484"/>
    <w:rsid w:val="00F94FD2"/>
    <w:rsid w:val="00F970E2"/>
    <w:rsid w:val="00FA15AC"/>
    <w:rsid w:val="00FA22A6"/>
    <w:rsid w:val="00FB0735"/>
    <w:rsid w:val="00FB5736"/>
    <w:rsid w:val="00FB5E96"/>
    <w:rsid w:val="00FC0E2E"/>
    <w:rsid w:val="00FC3247"/>
    <w:rsid w:val="00FC3260"/>
    <w:rsid w:val="00FC35C7"/>
    <w:rsid w:val="00FC4984"/>
    <w:rsid w:val="00FC732F"/>
    <w:rsid w:val="00FD0D58"/>
    <w:rsid w:val="00FD14FB"/>
    <w:rsid w:val="00FD4DDB"/>
    <w:rsid w:val="00FD52B3"/>
    <w:rsid w:val="00FD5F00"/>
    <w:rsid w:val="00FD6B84"/>
    <w:rsid w:val="00FE319C"/>
    <w:rsid w:val="00FE5BA8"/>
    <w:rsid w:val="00FF0659"/>
    <w:rsid w:val="00FF217C"/>
    <w:rsid w:val="00FF42C5"/>
    <w:rsid w:val="00FF6F9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place"/>
  <w:smartTagType w:namespaceuri="urn:schemas-microsoft-com:office:smarttags" w:name="PlaceName"/>
  <w:smartTagType w:namespaceuri="urn:schemas-microsoft-com:office:smarttags" w:name="PlaceType"/>
  <w:shapeDefaults>
    <o:shapedefaults v:ext="edit" spidmax="2049"/>
    <o:shapelayout v:ext="edit">
      <o:idmap v:ext="edit" data="1"/>
    </o:shapelayout>
  </w:shapeDefaults>
  <w:decimalSymbol w:val="."/>
  <w:listSeparator w:val=","/>
  <w14:docId w14:val="45F17B40"/>
  <w15:chartTrackingRefBased/>
  <w15:docId w15:val="{356FB51C-2F8A-4139-951A-249090D1119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073B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073B3"/>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0073B3"/>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569C0"/>
    <w:pPr>
      <w:ind w:left="720"/>
      <w:contextualSpacing/>
    </w:pPr>
  </w:style>
  <w:style w:type="character" w:styleId="Hyperlink">
    <w:name w:val="Hyperlink"/>
    <w:basedOn w:val="DefaultParagraphFont"/>
    <w:uiPriority w:val="99"/>
    <w:unhideWhenUsed/>
    <w:rsid w:val="00C60D2E"/>
    <w:rPr>
      <w:color w:val="0563C1" w:themeColor="hyperlink"/>
      <w:u w:val="single"/>
    </w:rPr>
  </w:style>
  <w:style w:type="character" w:styleId="UnresolvedMention">
    <w:name w:val="Unresolved Mention"/>
    <w:basedOn w:val="DefaultParagraphFont"/>
    <w:uiPriority w:val="99"/>
    <w:semiHidden/>
    <w:unhideWhenUsed/>
    <w:rsid w:val="00C60D2E"/>
    <w:rPr>
      <w:color w:val="605E5C"/>
      <w:shd w:val="clear" w:color="auto" w:fill="E1DFDD"/>
    </w:rPr>
  </w:style>
  <w:style w:type="character" w:styleId="Emphasis">
    <w:name w:val="Emphasis"/>
    <w:basedOn w:val="DefaultParagraphFont"/>
    <w:uiPriority w:val="20"/>
    <w:qFormat/>
    <w:rsid w:val="001B6050"/>
    <w:rPr>
      <w:i/>
      <w:iCs/>
    </w:rPr>
  </w:style>
  <w:style w:type="character" w:customStyle="1" w:styleId="mord">
    <w:name w:val="mord"/>
    <w:basedOn w:val="DefaultParagraphFont"/>
    <w:rsid w:val="00D754C2"/>
  </w:style>
  <w:style w:type="character" w:customStyle="1" w:styleId="mspace">
    <w:name w:val="mspace"/>
    <w:basedOn w:val="DefaultParagraphFont"/>
    <w:rsid w:val="00D754C2"/>
  </w:style>
  <w:style w:type="character" w:customStyle="1" w:styleId="mrel">
    <w:name w:val="mrel"/>
    <w:basedOn w:val="DefaultParagraphFont"/>
    <w:rsid w:val="00D754C2"/>
  </w:style>
  <w:style w:type="character" w:customStyle="1" w:styleId="mtight">
    <w:name w:val="mtight"/>
    <w:basedOn w:val="DefaultParagraphFont"/>
    <w:rsid w:val="00D754C2"/>
  </w:style>
  <w:style w:type="character" w:customStyle="1" w:styleId="vlist-s">
    <w:name w:val="vlist-s"/>
    <w:basedOn w:val="DefaultParagraphFont"/>
    <w:rsid w:val="00D754C2"/>
  </w:style>
  <w:style w:type="character" w:customStyle="1" w:styleId="selectable">
    <w:name w:val="selectable"/>
    <w:basedOn w:val="DefaultParagraphFont"/>
    <w:rsid w:val="004E2E52"/>
  </w:style>
  <w:style w:type="paragraph" w:styleId="Title">
    <w:name w:val="Title"/>
    <w:basedOn w:val="Normal"/>
    <w:next w:val="Normal"/>
    <w:link w:val="TitleChar"/>
    <w:uiPriority w:val="10"/>
    <w:qFormat/>
    <w:rsid w:val="00CA5421"/>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A5421"/>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0073B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0073B3"/>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0073B3"/>
    <w:rPr>
      <w:rFonts w:asciiTheme="majorHAnsi" w:eastAsiaTheme="majorEastAsia" w:hAnsiTheme="majorHAnsi" w:cstheme="majorBidi"/>
      <w:color w:val="1F3763" w:themeColor="accent1" w:themeShade="7F"/>
      <w:sz w:val="24"/>
      <w:szCs w:val="24"/>
    </w:rPr>
  </w:style>
  <w:style w:type="paragraph" w:styleId="Header">
    <w:name w:val="header"/>
    <w:basedOn w:val="Normal"/>
    <w:link w:val="HeaderChar"/>
    <w:uiPriority w:val="99"/>
    <w:unhideWhenUsed/>
    <w:rsid w:val="00D467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D46716"/>
  </w:style>
  <w:style w:type="paragraph" w:styleId="Footer">
    <w:name w:val="footer"/>
    <w:basedOn w:val="Normal"/>
    <w:link w:val="FooterChar"/>
    <w:uiPriority w:val="99"/>
    <w:unhideWhenUsed/>
    <w:rsid w:val="00D467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D46716"/>
  </w:style>
  <w:style w:type="paragraph" w:styleId="TOCHeading">
    <w:name w:val="TOC Heading"/>
    <w:basedOn w:val="Heading1"/>
    <w:next w:val="Normal"/>
    <w:uiPriority w:val="39"/>
    <w:unhideWhenUsed/>
    <w:qFormat/>
    <w:rsid w:val="00EB2E2F"/>
    <w:pPr>
      <w:outlineLvl w:val="9"/>
    </w:pPr>
    <w:rPr>
      <w:lang w:val="en-US"/>
    </w:rPr>
  </w:style>
  <w:style w:type="paragraph" w:styleId="TOC1">
    <w:name w:val="toc 1"/>
    <w:basedOn w:val="Normal"/>
    <w:next w:val="Normal"/>
    <w:autoRedefine/>
    <w:uiPriority w:val="39"/>
    <w:unhideWhenUsed/>
    <w:rsid w:val="00EB2E2F"/>
    <w:pPr>
      <w:spacing w:after="100"/>
    </w:pPr>
  </w:style>
  <w:style w:type="paragraph" w:styleId="TOC2">
    <w:name w:val="toc 2"/>
    <w:basedOn w:val="Normal"/>
    <w:next w:val="Normal"/>
    <w:autoRedefine/>
    <w:uiPriority w:val="39"/>
    <w:unhideWhenUsed/>
    <w:rsid w:val="00EB2E2F"/>
    <w:pPr>
      <w:spacing w:after="100"/>
      <w:ind w:left="220"/>
    </w:pPr>
  </w:style>
  <w:style w:type="paragraph" w:styleId="TOC3">
    <w:name w:val="toc 3"/>
    <w:basedOn w:val="Normal"/>
    <w:next w:val="Normal"/>
    <w:autoRedefine/>
    <w:uiPriority w:val="39"/>
    <w:unhideWhenUsed/>
    <w:rsid w:val="00EB2E2F"/>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12989252">
      <w:bodyDiv w:val="1"/>
      <w:marLeft w:val="0"/>
      <w:marRight w:val="0"/>
      <w:marTop w:val="0"/>
      <w:marBottom w:val="0"/>
      <w:divBdr>
        <w:top w:val="none" w:sz="0" w:space="0" w:color="auto"/>
        <w:left w:val="none" w:sz="0" w:space="0" w:color="auto"/>
        <w:bottom w:val="none" w:sz="0" w:space="0" w:color="auto"/>
        <w:right w:val="none" w:sz="0" w:space="0" w:color="auto"/>
      </w:divBdr>
    </w:div>
    <w:div w:id="270164841">
      <w:bodyDiv w:val="1"/>
      <w:marLeft w:val="0"/>
      <w:marRight w:val="0"/>
      <w:marTop w:val="0"/>
      <w:marBottom w:val="0"/>
      <w:divBdr>
        <w:top w:val="none" w:sz="0" w:space="0" w:color="auto"/>
        <w:left w:val="none" w:sz="0" w:space="0" w:color="auto"/>
        <w:bottom w:val="none" w:sz="0" w:space="0" w:color="auto"/>
        <w:right w:val="none" w:sz="0" w:space="0" w:color="auto"/>
      </w:divBdr>
    </w:div>
    <w:div w:id="339936181">
      <w:bodyDiv w:val="1"/>
      <w:marLeft w:val="0"/>
      <w:marRight w:val="0"/>
      <w:marTop w:val="0"/>
      <w:marBottom w:val="0"/>
      <w:divBdr>
        <w:top w:val="none" w:sz="0" w:space="0" w:color="auto"/>
        <w:left w:val="none" w:sz="0" w:space="0" w:color="auto"/>
        <w:bottom w:val="none" w:sz="0" w:space="0" w:color="auto"/>
        <w:right w:val="none" w:sz="0" w:space="0" w:color="auto"/>
      </w:divBdr>
    </w:div>
    <w:div w:id="452403489">
      <w:bodyDiv w:val="1"/>
      <w:marLeft w:val="0"/>
      <w:marRight w:val="0"/>
      <w:marTop w:val="0"/>
      <w:marBottom w:val="0"/>
      <w:divBdr>
        <w:top w:val="none" w:sz="0" w:space="0" w:color="auto"/>
        <w:left w:val="none" w:sz="0" w:space="0" w:color="auto"/>
        <w:bottom w:val="none" w:sz="0" w:space="0" w:color="auto"/>
        <w:right w:val="none" w:sz="0" w:space="0" w:color="auto"/>
      </w:divBdr>
    </w:div>
    <w:div w:id="546182710">
      <w:bodyDiv w:val="1"/>
      <w:marLeft w:val="0"/>
      <w:marRight w:val="0"/>
      <w:marTop w:val="0"/>
      <w:marBottom w:val="0"/>
      <w:divBdr>
        <w:top w:val="none" w:sz="0" w:space="0" w:color="auto"/>
        <w:left w:val="none" w:sz="0" w:space="0" w:color="auto"/>
        <w:bottom w:val="none" w:sz="0" w:space="0" w:color="auto"/>
        <w:right w:val="none" w:sz="0" w:space="0" w:color="auto"/>
      </w:divBdr>
    </w:div>
    <w:div w:id="718281412">
      <w:bodyDiv w:val="1"/>
      <w:marLeft w:val="0"/>
      <w:marRight w:val="0"/>
      <w:marTop w:val="0"/>
      <w:marBottom w:val="0"/>
      <w:divBdr>
        <w:top w:val="none" w:sz="0" w:space="0" w:color="auto"/>
        <w:left w:val="none" w:sz="0" w:space="0" w:color="auto"/>
        <w:bottom w:val="none" w:sz="0" w:space="0" w:color="auto"/>
        <w:right w:val="none" w:sz="0" w:space="0" w:color="auto"/>
      </w:divBdr>
    </w:div>
    <w:div w:id="963004384">
      <w:bodyDiv w:val="1"/>
      <w:marLeft w:val="0"/>
      <w:marRight w:val="0"/>
      <w:marTop w:val="0"/>
      <w:marBottom w:val="0"/>
      <w:divBdr>
        <w:top w:val="none" w:sz="0" w:space="0" w:color="auto"/>
        <w:left w:val="none" w:sz="0" w:space="0" w:color="auto"/>
        <w:bottom w:val="none" w:sz="0" w:space="0" w:color="auto"/>
        <w:right w:val="none" w:sz="0" w:space="0" w:color="auto"/>
      </w:divBdr>
    </w:div>
    <w:div w:id="1120801307">
      <w:bodyDiv w:val="1"/>
      <w:marLeft w:val="0"/>
      <w:marRight w:val="0"/>
      <w:marTop w:val="0"/>
      <w:marBottom w:val="0"/>
      <w:divBdr>
        <w:top w:val="none" w:sz="0" w:space="0" w:color="auto"/>
        <w:left w:val="none" w:sz="0" w:space="0" w:color="auto"/>
        <w:bottom w:val="none" w:sz="0" w:space="0" w:color="auto"/>
        <w:right w:val="none" w:sz="0" w:space="0" w:color="auto"/>
      </w:divBdr>
    </w:div>
    <w:div w:id="1177572714">
      <w:bodyDiv w:val="1"/>
      <w:marLeft w:val="0"/>
      <w:marRight w:val="0"/>
      <w:marTop w:val="0"/>
      <w:marBottom w:val="0"/>
      <w:divBdr>
        <w:top w:val="none" w:sz="0" w:space="0" w:color="auto"/>
        <w:left w:val="none" w:sz="0" w:space="0" w:color="auto"/>
        <w:bottom w:val="none" w:sz="0" w:space="0" w:color="auto"/>
        <w:right w:val="none" w:sz="0" w:space="0" w:color="auto"/>
      </w:divBdr>
    </w:div>
    <w:div w:id="1233927438">
      <w:bodyDiv w:val="1"/>
      <w:marLeft w:val="0"/>
      <w:marRight w:val="0"/>
      <w:marTop w:val="0"/>
      <w:marBottom w:val="0"/>
      <w:divBdr>
        <w:top w:val="none" w:sz="0" w:space="0" w:color="auto"/>
        <w:left w:val="none" w:sz="0" w:space="0" w:color="auto"/>
        <w:bottom w:val="none" w:sz="0" w:space="0" w:color="auto"/>
        <w:right w:val="none" w:sz="0" w:space="0" w:color="auto"/>
      </w:divBdr>
    </w:div>
    <w:div w:id="1281840586">
      <w:bodyDiv w:val="1"/>
      <w:marLeft w:val="0"/>
      <w:marRight w:val="0"/>
      <w:marTop w:val="0"/>
      <w:marBottom w:val="0"/>
      <w:divBdr>
        <w:top w:val="none" w:sz="0" w:space="0" w:color="auto"/>
        <w:left w:val="none" w:sz="0" w:space="0" w:color="auto"/>
        <w:bottom w:val="none" w:sz="0" w:space="0" w:color="auto"/>
        <w:right w:val="none" w:sz="0" w:space="0" w:color="auto"/>
      </w:divBdr>
    </w:div>
    <w:div w:id="1398893758">
      <w:bodyDiv w:val="1"/>
      <w:marLeft w:val="0"/>
      <w:marRight w:val="0"/>
      <w:marTop w:val="0"/>
      <w:marBottom w:val="0"/>
      <w:divBdr>
        <w:top w:val="none" w:sz="0" w:space="0" w:color="auto"/>
        <w:left w:val="none" w:sz="0" w:space="0" w:color="auto"/>
        <w:bottom w:val="none" w:sz="0" w:space="0" w:color="auto"/>
        <w:right w:val="none" w:sz="0" w:space="0" w:color="auto"/>
      </w:divBdr>
    </w:div>
    <w:div w:id="1510440849">
      <w:bodyDiv w:val="1"/>
      <w:marLeft w:val="0"/>
      <w:marRight w:val="0"/>
      <w:marTop w:val="0"/>
      <w:marBottom w:val="0"/>
      <w:divBdr>
        <w:top w:val="none" w:sz="0" w:space="0" w:color="auto"/>
        <w:left w:val="none" w:sz="0" w:space="0" w:color="auto"/>
        <w:bottom w:val="none" w:sz="0" w:space="0" w:color="auto"/>
        <w:right w:val="none" w:sz="0" w:space="0" w:color="auto"/>
      </w:divBdr>
    </w:div>
    <w:div w:id="1714186714">
      <w:bodyDiv w:val="1"/>
      <w:marLeft w:val="0"/>
      <w:marRight w:val="0"/>
      <w:marTop w:val="0"/>
      <w:marBottom w:val="0"/>
      <w:divBdr>
        <w:top w:val="none" w:sz="0" w:space="0" w:color="auto"/>
        <w:left w:val="none" w:sz="0" w:space="0" w:color="auto"/>
        <w:bottom w:val="none" w:sz="0" w:space="0" w:color="auto"/>
        <w:right w:val="none" w:sz="0" w:space="0" w:color="auto"/>
      </w:divBdr>
    </w:div>
    <w:div w:id="1717776435">
      <w:bodyDiv w:val="1"/>
      <w:marLeft w:val="0"/>
      <w:marRight w:val="0"/>
      <w:marTop w:val="0"/>
      <w:marBottom w:val="0"/>
      <w:divBdr>
        <w:top w:val="none" w:sz="0" w:space="0" w:color="auto"/>
        <w:left w:val="none" w:sz="0" w:space="0" w:color="auto"/>
        <w:bottom w:val="none" w:sz="0" w:space="0" w:color="auto"/>
        <w:right w:val="none" w:sz="0" w:space="0" w:color="auto"/>
      </w:divBdr>
    </w:div>
    <w:div w:id="1853032600">
      <w:bodyDiv w:val="1"/>
      <w:marLeft w:val="0"/>
      <w:marRight w:val="0"/>
      <w:marTop w:val="0"/>
      <w:marBottom w:val="0"/>
      <w:divBdr>
        <w:top w:val="none" w:sz="0" w:space="0" w:color="auto"/>
        <w:left w:val="none" w:sz="0" w:space="0" w:color="auto"/>
        <w:bottom w:val="none" w:sz="0" w:space="0" w:color="auto"/>
        <w:right w:val="none" w:sz="0" w:space="0" w:color="auto"/>
      </w:divBdr>
    </w:div>
    <w:div w:id="2027515064">
      <w:bodyDiv w:val="1"/>
      <w:marLeft w:val="0"/>
      <w:marRight w:val="0"/>
      <w:marTop w:val="0"/>
      <w:marBottom w:val="0"/>
      <w:divBdr>
        <w:top w:val="none" w:sz="0" w:space="0" w:color="auto"/>
        <w:left w:val="none" w:sz="0" w:space="0" w:color="auto"/>
        <w:bottom w:val="none" w:sz="0" w:space="0" w:color="auto"/>
        <w:right w:val="none" w:sz="0" w:space="0" w:color="auto"/>
      </w:divBdr>
    </w:div>
    <w:div w:id="2038697617">
      <w:bodyDiv w:val="1"/>
      <w:marLeft w:val="0"/>
      <w:marRight w:val="0"/>
      <w:marTop w:val="0"/>
      <w:marBottom w:val="0"/>
      <w:divBdr>
        <w:top w:val="none" w:sz="0" w:space="0" w:color="auto"/>
        <w:left w:val="none" w:sz="0" w:space="0" w:color="auto"/>
        <w:bottom w:val="none" w:sz="0" w:space="0" w:color="auto"/>
        <w:right w:val="none" w:sz="0" w:space="0" w:color="auto"/>
      </w:divBdr>
    </w:div>
    <w:div w:id="20805159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search.proquest.com/pubidlinkhandler/sng/pubtitle/Journal+of+Accountancy/$N/41065/OpenView/206784897/$B/A1AE7B0FEA1D4602PQ/1;jsessionid=A11DDFED61CD263AB0BDC3E9DB418E4A.i-0660a179a68876aac" TargetMode="External"/><Relationship Id="rId5" Type="http://schemas.openxmlformats.org/officeDocument/2006/relationships/webSettings" Target="webSettings.xml"/><Relationship Id="rId10" Type="http://schemas.openxmlformats.org/officeDocument/2006/relationships/hyperlink" Target="https://search.proquest.com/indexinglinkhandler/sng/au/Yamamura,+Jeanne+H/$N;jsessionid=A11DDFED61CD263AB0BDC3E9DB418E4A.i-0660a179a68876aac" TargetMode="External"/><Relationship Id="rId4" Type="http://schemas.openxmlformats.org/officeDocument/2006/relationships/settings" Target="settings.xml"/><Relationship Id="rId9" Type="http://schemas.openxmlformats.org/officeDocument/2006/relationships/hyperlink" Target="http://www.downloadslide.com/2016/01/ebook-social-research-method-4th.html"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EE6AE8-DAF8-4439-BE77-B0DC18AEDB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10549</TotalTime>
  <Pages>55</Pages>
  <Words>18226</Words>
  <Characters>103891</Characters>
  <Application>Microsoft Office Word</Application>
  <DocSecurity>0</DocSecurity>
  <Lines>865</Lines>
  <Paragraphs>243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121874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Giorgia Bertaina</dc:creator>
  <cp:keywords/>
  <dc:description/>
  <cp:lastModifiedBy>Giorgia Bertaina</cp:lastModifiedBy>
  <cp:revision>281</cp:revision>
  <dcterms:created xsi:type="dcterms:W3CDTF">2020-05-03T14:07:00Z</dcterms:created>
  <dcterms:modified xsi:type="dcterms:W3CDTF">2020-06-20T14:34:00Z</dcterms:modified>
</cp:coreProperties>
</file>