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87817128"/>
        <w:docPartObj>
          <w:docPartGallery w:val="Cover Pages"/>
          <w:docPartUnique/>
        </w:docPartObj>
      </w:sdtPr>
      <w:sdtEndPr>
        <w:rPr>
          <w:rFonts w:asciiTheme="minorBidi" w:hAnsiTheme="minorBidi"/>
          <w:b/>
          <w:bCs/>
          <w:sz w:val="23"/>
          <w:szCs w:val="23"/>
        </w:rPr>
      </w:sdtEndPr>
      <w:sdtContent>
        <w:p w14:paraId="41588B11" w14:textId="3EF8C40C" w:rsidR="00DB518A" w:rsidRDefault="00DB518A">
          <w:r>
            <w:rPr>
              <w:noProof/>
            </w:rPr>
            <mc:AlternateContent>
              <mc:Choice Requires="wpg">
                <w:drawing>
                  <wp:anchor distT="0" distB="0" distL="114300" distR="114300" simplePos="0" relativeHeight="251669504" behindDoc="0" locked="0" layoutInCell="1" allowOverlap="1" wp14:anchorId="7CDBE982" wp14:editId="1B9A14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B1D497" id="Group 51"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010C229C" wp14:editId="4998609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CD0D1" w14:textId="3E09A58D" w:rsidR="00DB518A" w:rsidRDefault="00DB51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1E7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0C229C" id="_x0000_t202" coordsize="21600,21600" o:spt="202" path="m,l,21600r21600,l21600,xe">
                    <v:stroke joinstyle="miter"/>
                    <v:path gradientshapeok="t" o:connecttype="rect"/>
                  </v:shapetype>
                  <v:shape id="Text Box 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ACCD0D1" w14:textId="3E09A58D" w:rsidR="00DB518A" w:rsidRDefault="00DB51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1E7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75BE30E2" wp14:editId="1C6643F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5F277" w14:textId="7C8E2A07" w:rsidR="00DB518A" w:rsidRPr="00761E71" w:rsidRDefault="00761E71">
                                <w:pPr>
                                  <w:pStyle w:val="NoSpacing"/>
                                  <w:jc w:val="right"/>
                                  <w:rPr>
                                    <w:rStyle w:val="IntenseReference"/>
                                  </w:rPr>
                                </w:pPr>
                                <w:r w:rsidRPr="00761E71">
                                  <w:rPr>
                                    <w:rStyle w:val="IntenseReference"/>
                                  </w:rPr>
                                  <w:t>Word Count: 4760</w:t>
                                </w:r>
                                <w:sdt>
                                  <w:sdtPr>
                                    <w:rPr>
                                      <w:rStyle w:val="IntenseReference"/>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761E71">
                                      <w:rPr>
                                        <w:rStyle w:val="IntenseReference"/>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BE30E2" id="Text Box 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85F277" w14:textId="7C8E2A07" w:rsidR="00DB518A" w:rsidRPr="00761E71" w:rsidRDefault="00761E71">
                          <w:pPr>
                            <w:pStyle w:val="NoSpacing"/>
                            <w:jc w:val="right"/>
                            <w:rPr>
                              <w:rStyle w:val="IntenseReference"/>
                            </w:rPr>
                          </w:pPr>
                          <w:r w:rsidRPr="00761E71">
                            <w:rPr>
                              <w:rStyle w:val="IntenseReference"/>
                            </w:rPr>
                            <w:t>Word Count: 4760</w:t>
                          </w:r>
                          <w:sdt>
                            <w:sdtPr>
                              <w:rPr>
                                <w:rStyle w:val="IntenseReference"/>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Pr="00761E71">
                                <w:rPr>
                                  <w:rStyle w:val="IntenseReference"/>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1A4A29EF" wp14:editId="2A37691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C999E" w14:textId="1AEE58BD" w:rsidR="00DB518A" w:rsidRPr="00761E71" w:rsidRDefault="00761E71">
                                <w:pPr>
                                  <w:jc w:val="right"/>
                                  <w:rPr>
                                    <w:rStyle w:val="Heading1Char"/>
                                  </w:rPr>
                                </w:pPr>
                                <w:sdt>
                                  <w:sdtPr>
                                    <w:rPr>
                                      <w:rStyle w:val="Heading1Char"/>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61E71">
                                      <w:rPr>
                                        <w:rStyle w:val="Heading1Char"/>
                                      </w:rPr>
                                      <w:t>Design, conduct and critically evaluate a close-to-practice research project focusing on the model of the transformative teacher in developing practice that has a positive impact on the learner.</w:t>
                                    </w:r>
                                    <w:r>
                                      <w:rPr>
                                        <w:rStyle w:val="Heading1Char"/>
                                      </w:rPr>
                                      <w:br/>
                                    </w:r>
                                    <w:r>
                                      <w:rPr>
                                        <w:rStyle w:val="Heading1Char"/>
                                      </w:rPr>
                                      <w:br/>
                                    </w:r>
                                  </w:sdtContent>
                                </w:sdt>
                              </w:p>
                              <w:sdt>
                                <w:sdtPr>
                                  <w:rPr>
                                    <w:rStyle w:val="Heading2Char"/>
                                    <w:b/>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4E1F75" w14:textId="491C608F" w:rsidR="00DB518A" w:rsidRPr="00761E71" w:rsidRDefault="00761E71">
                                    <w:pPr>
                                      <w:jc w:val="right"/>
                                      <w:rPr>
                                        <w:rStyle w:val="Heading2Char"/>
                                        <w:b/>
                                        <w:bCs/>
                                      </w:rPr>
                                    </w:pPr>
                                    <w:r w:rsidRPr="00761E71">
                                      <w:rPr>
                                        <w:rStyle w:val="Heading2Char"/>
                                        <w:b/>
                                        <w:bCs/>
                                      </w:rPr>
                                      <w:t>2312417 Elizabeth Lyle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4A29EF" id="Text Box 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A6C999E" w14:textId="1AEE58BD" w:rsidR="00DB518A" w:rsidRPr="00761E71" w:rsidRDefault="00761E71">
                          <w:pPr>
                            <w:jc w:val="right"/>
                            <w:rPr>
                              <w:rStyle w:val="Heading1Char"/>
                            </w:rPr>
                          </w:pPr>
                          <w:sdt>
                            <w:sdtPr>
                              <w:rPr>
                                <w:rStyle w:val="Heading1Char"/>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61E71">
                                <w:rPr>
                                  <w:rStyle w:val="Heading1Char"/>
                                </w:rPr>
                                <w:t>Design, conduct and critically evaluate a close-to-practice research project focusing on the model of the transformative teacher in developing practice that has a positive impact on the learner.</w:t>
                              </w:r>
                              <w:r>
                                <w:rPr>
                                  <w:rStyle w:val="Heading1Char"/>
                                </w:rPr>
                                <w:br/>
                              </w:r>
                              <w:r>
                                <w:rPr>
                                  <w:rStyle w:val="Heading1Char"/>
                                </w:rPr>
                                <w:br/>
                              </w:r>
                            </w:sdtContent>
                          </w:sdt>
                        </w:p>
                        <w:sdt>
                          <w:sdtPr>
                            <w:rPr>
                              <w:rStyle w:val="Heading2Char"/>
                              <w:b/>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4E1F75" w14:textId="491C608F" w:rsidR="00DB518A" w:rsidRPr="00761E71" w:rsidRDefault="00761E71">
                              <w:pPr>
                                <w:jc w:val="right"/>
                                <w:rPr>
                                  <w:rStyle w:val="Heading2Char"/>
                                  <w:b/>
                                  <w:bCs/>
                                </w:rPr>
                              </w:pPr>
                              <w:r w:rsidRPr="00761E71">
                                <w:rPr>
                                  <w:rStyle w:val="Heading2Char"/>
                                  <w:b/>
                                  <w:bCs/>
                                </w:rPr>
                                <w:t>2312417 Elizabeth Lyle</w:t>
                              </w:r>
                            </w:p>
                          </w:sdtContent>
                        </w:sdt>
                      </w:txbxContent>
                    </v:textbox>
                    <w10:wrap type="square" anchorx="page" anchory="page"/>
                  </v:shape>
                </w:pict>
              </mc:Fallback>
            </mc:AlternateContent>
          </w:r>
        </w:p>
        <w:p w14:paraId="15CFC814" w14:textId="7BC0307A" w:rsidR="00DB518A" w:rsidRDefault="00DB518A">
          <w:pPr>
            <w:rPr>
              <w:rFonts w:asciiTheme="minorBidi" w:hAnsiTheme="minorBidi"/>
              <w:b/>
              <w:bCs/>
              <w:sz w:val="23"/>
              <w:szCs w:val="23"/>
            </w:rPr>
          </w:pPr>
          <w:r>
            <w:rPr>
              <w:rFonts w:asciiTheme="minorBidi" w:hAnsiTheme="minorBidi"/>
              <w:b/>
              <w:bCs/>
              <w:sz w:val="23"/>
              <w:szCs w:val="23"/>
            </w:rPr>
            <w:br w:type="page"/>
          </w:r>
        </w:p>
      </w:sdtContent>
    </w:sdt>
    <w:p w14:paraId="42518492" w14:textId="27CDAB37" w:rsidR="00677FDD" w:rsidRPr="00677FDD" w:rsidRDefault="00197C44" w:rsidP="00677FDD">
      <w:pPr>
        <w:spacing w:line="360" w:lineRule="auto"/>
        <w:rPr>
          <w:rFonts w:asciiTheme="minorBidi" w:hAnsiTheme="minorBidi"/>
          <w:b/>
          <w:bCs/>
          <w:sz w:val="23"/>
          <w:szCs w:val="23"/>
          <w:u w:val="single"/>
        </w:rPr>
      </w:pPr>
      <w:r w:rsidRPr="00677FDD">
        <w:rPr>
          <w:rFonts w:asciiTheme="minorBidi" w:hAnsiTheme="minorBidi"/>
          <w:b/>
          <w:bCs/>
          <w:sz w:val="23"/>
          <w:szCs w:val="23"/>
          <w:u w:val="single"/>
        </w:rPr>
        <w:lastRenderedPageBreak/>
        <w:t>Aim, focus and purpose of the research / Research Context</w:t>
      </w:r>
    </w:p>
    <w:p w14:paraId="1004C287" w14:textId="3961A74E" w:rsidR="00685F16" w:rsidRPr="00FC15EF" w:rsidRDefault="006F060A" w:rsidP="00FC15EF">
      <w:pPr>
        <w:spacing w:line="360" w:lineRule="auto"/>
        <w:rPr>
          <w:rFonts w:asciiTheme="minorBidi" w:hAnsiTheme="minorBidi"/>
          <w:sz w:val="23"/>
          <w:szCs w:val="23"/>
        </w:rPr>
      </w:pPr>
      <w:r w:rsidRPr="00FC15EF">
        <w:rPr>
          <w:rFonts w:asciiTheme="minorBidi" w:hAnsiTheme="minorBidi"/>
          <w:sz w:val="23"/>
          <w:szCs w:val="23"/>
        </w:rPr>
        <w:t>The rationale for this literature review is centred around the Welsh national priorities incorporated into the Curriculum for Wales (2022</w:t>
      </w:r>
      <w:r w:rsidR="00DB6787" w:rsidRPr="00FC15EF">
        <w:rPr>
          <w:rFonts w:asciiTheme="minorBidi" w:hAnsiTheme="minorBidi"/>
          <w:sz w:val="23"/>
          <w:szCs w:val="23"/>
        </w:rPr>
        <w:t>)</w:t>
      </w:r>
      <w:r w:rsidR="007E7A84" w:rsidRPr="00FC15EF">
        <w:rPr>
          <w:rFonts w:asciiTheme="minorBidi" w:hAnsiTheme="minorBidi"/>
          <w:sz w:val="23"/>
          <w:szCs w:val="23"/>
        </w:rPr>
        <w:t>.</w:t>
      </w:r>
      <w:r w:rsidRPr="00FC15EF">
        <w:rPr>
          <w:rFonts w:asciiTheme="minorBidi" w:hAnsiTheme="minorBidi"/>
          <w:sz w:val="23"/>
          <w:szCs w:val="23"/>
        </w:rPr>
        <w:t xml:space="preserve"> </w:t>
      </w:r>
      <w:r w:rsidR="0002220C" w:rsidRPr="00FC15EF">
        <w:rPr>
          <w:rFonts w:asciiTheme="minorBidi" w:hAnsiTheme="minorBidi"/>
          <w:sz w:val="23"/>
          <w:szCs w:val="23"/>
        </w:rPr>
        <w:t xml:space="preserve">These </w:t>
      </w:r>
      <w:r w:rsidR="00F37AE5" w:rsidRPr="00FC15EF">
        <w:rPr>
          <w:rFonts w:asciiTheme="minorBidi" w:hAnsiTheme="minorBidi"/>
          <w:sz w:val="23"/>
          <w:szCs w:val="23"/>
        </w:rPr>
        <w:t>priorities</w:t>
      </w:r>
      <w:r w:rsidR="0002220C" w:rsidRPr="00FC15EF">
        <w:rPr>
          <w:rFonts w:asciiTheme="minorBidi" w:hAnsiTheme="minorBidi"/>
          <w:sz w:val="23"/>
          <w:szCs w:val="23"/>
        </w:rPr>
        <w:t xml:space="preserve"> </w:t>
      </w:r>
      <w:r w:rsidR="00BE1EC3" w:rsidRPr="00FC15EF">
        <w:rPr>
          <w:rFonts w:asciiTheme="minorBidi" w:hAnsiTheme="minorBidi"/>
          <w:sz w:val="23"/>
          <w:szCs w:val="23"/>
        </w:rPr>
        <w:t xml:space="preserve">emphasise </w:t>
      </w:r>
      <w:r w:rsidR="00A40833" w:rsidRPr="00FC15EF">
        <w:rPr>
          <w:rFonts w:asciiTheme="minorBidi" w:hAnsiTheme="minorBidi"/>
          <w:sz w:val="23"/>
          <w:szCs w:val="23"/>
        </w:rPr>
        <w:t>developing confident learners who are actively engaged</w:t>
      </w:r>
      <w:r w:rsidR="00AC71A4" w:rsidRPr="00FC15EF">
        <w:rPr>
          <w:rFonts w:asciiTheme="minorBidi" w:hAnsiTheme="minorBidi"/>
          <w:sz w:val="23"/>
          <w:szCs w:val="23"/>
        </w:rPr>
        <w:t xml:space="preserve">. </w:t>
      </w:r>
      <w:r w:rsidR="00D07331" w:rsidRPr="00FC15EF">
        <w:rPr>
          <w:rFonts w:asciiTheme="minorBidi" w:hAnsiTheme="minorBidi"/>
          <w:sz w:val="23"/>
          <w:szCs w:val="23"/>
        </w:rPr>
        <w:t xml:space="preserve"> </w:t>
      </w:r>
      <w:r w:rsidR="00AC71A4" w:rsidRPr="00FC15EF">
        <w:rPr>
          <w:rFonts w:asciiTheme="minorBidi" w:hAnsiTheme="minorBidi"/>
          <w:sz w:val="23"/>
          <w:szCs w:val="23"/>
        </w:rPr>
        <w:t xml:space="preserve">The </w:t>
      </w:r>
      <w:r w:rsidR="00BC00B5" w:rsidRPr="00FC15EF">
        <w:rPr>
          <w:rFonts w:asciiTheme="minorBidi" w:hAnsiTheme="minorBidi"/>
          <w:sz w:val="23"/>
          <w:szCs w:val="23"/>
        </w:rPr>
        <w:t>Successful Futures document</w:t>
      </w:r>
      <w:r w:rsidR="00AC71A4" w:rsidRPr="00FC15EF">
        <w:rPr>
          <w:rFonts w:asciiTheme="minorBidi" w:hAnsiTheme="minorBidi"/>
          <w:sz w:val="23"/>
          <w:szCs w:val="23"/>
        </w:rPr>
        <w:t xml:space="preserve"> outlines </w:t>
      </w:r>
      <w:r w:rsidR="00BC00B5" w:rsidRPr="00FC15EF">
        <w:rPr>
          <w:rFonts w:asciiTheme="minorBidi" w:hAnsiTheme="minorBidi"/>
          <w:sz w:val="23"/>
          <w:szCs w:val="23"/>
        </w:rPr>
        <w:t>the</w:t>
      </w:r>
      <w:r w:rsidR="00AC71A4" w:rsidRPr="00FC15EF">
        <w:rPr>
          <w:rFonts w:asciiTheme="minorBidi" w:hAnsiTheme="minorBidi"/>
          <w:sz w:val="23"/>
          <w:szCs w:val="23"/>
        </w:rPr>
        <w:t xml:space="preserve"> 4 principle</w:t>
      </w:r>
      <w:r w:rsidR="003257BD" w:rsidRPr="00FC15EF">
        <w:rPr>
          <w:rFonts w:asciiTheme="minorBidi" w:hAnsiTheme="minorBidi"/>
          <w:sz w:val="23"/>
          <w:szCs w:val="23"/>
        </w:rPr>
        <w:t>s</w:t>
      </w:r>
      <w:r w:rsidR="00BC00B5" w:rsidRPr="00FC15EF">
        <w:rPr>
          <w:rFonts w:asciiTheme="minorBidi" w:hAnsiTheme="minorBidi"/>
          <w:sz w:val="23"/>
          <w:szCs w:val="23"/>
        </w:rPr>
        <w:t xml:space="preserve"> for Curriculum for Wales</w:t>
      </w:r>
      <w:r w:rsidR="00AC71A4" w:rsidRPr="00FC15EF">
        <w:rPr>
          <w:rFonts w:asciiTheme="minorBidi" w:hAnsiTheme="minorBidi"/>
          <w:sz w:val="23"/>
          <w:szCs w:val="23"/>
        </w:rPr>
        <w:t>, including confident, engaged pupils</w:t>
      </w:r>
      <w:r w:rsidR="00BC00B5" w:rsidRPr="00FC15EF">
        <w:rPr>
          <w:rFonts w:asciiTheme="minorBidi" w:hAnsiTheme="minorBidi"/>
          <w:sz w:val="23"/>
          <w:szCs w:val="23"/>
        </w:rPr>
        <w:t xml:space="preserve"> who are active learners in the classroom (Donaldson, 2015). Therefore,</w:t>
      </w:r>
      <w:r w:rsidR="003257BD" w:rsidRPr="00FC15EF">
        <w:rPr>
          <w:rFonts w:asciiTheme="minorBidi" w:hAnsiTheme="minorBidi"/>
          <w:sz w:val="23"/>
          <w:szCs w:val="23"/>
        </w:rPr>
        <w:t xml:space="preserve"> it is imperative for progression that pupils are engaged in the learning environment to succeed and progress. </w:t>
      </w:r>
      <w:r w:rsidR="00DC19C2" w:rsidRPr="00FC15EF">
        <w:rPr>
          <w:rFonts w:asciiTheme="minorBidi" w:hAnsiTheme="minorBidi"/>
          <w:sz w:val="23"/>
          <w:szCs w:val="23"/>
        </w:rPr>
        <w:t xml:space="preserve">Moreover, the national strategy places equal importance on both well-being and achievement in school. The holistic approach acknowledges the significance of cultivating a pleasant learning environment </w:t>
      </w:r>
      <w:r w:rsidR="00DB6787" w:rsidRPr="00FC15EF">
        <w:rPr>
          <w:rFonts w:asciiTheme="minorBidi" w:hAnsiTheme="minorBidi"/>
          <w:sz w:val="23"/>
          <w:szCs w:val="23"/>
        </w:rPr>
        <w:t>to</w:t>
      </w:r>
      <w:r w:rsidR="00DC19C2" w:rsidRPr="00FC15EF">
        <w:rPr>
          <w:rFonts w:asciiTheme="minorBidi" w:hAnsiTheme="minorBidi"/>
          <w:sz w:val="23"/>
          <w:szCs w:val="23"/>
        </w:rPr>
        <w:t xml:space="preserve"> enhance participation and encourages </w:t>
      </w:r>
      <w:r w:rsidR="00DB6787" w:rsidRPr="00FC15EF">
        <w:rPr>
          <w:rFonts w:asciiTheme="minorBidi" w:hAnsiTheme="minorBidi"/>
          <w:sz w:val="23"/>
          <w:szCs w:val="23"/>
        </w:rPr>
        <w:t>establishing</w:t>
      </w:r>
      <w:r w:rsidR="00DC19C2" w:rsidRPr="00FC15EF">
        <w:rPr>
          <w:rFonts w:asciiTheme="minorBidi" w:hAnsiTheme="minorBidi"/>
          <w:sz w:val="23"/>
          <w:szCs w:val="23"/>
        </w:rPr>
        <w:t xml:space="preserve"> a safe, supportive, and motivating atmosphere for students to actively participate</w:t>
      </w:r>
      <w:r w:rsidR="00DB6787" w:rsidRPr="00FC15EF">
        <w:rPr>
          <w:rFonts w:asciiTheme="minorBidi" w:hAnsiTheme="minorBidi"/>
          <w:sz w:val="23"/>
          <w:szCs w:val="23"/>
        </w:rPr>
        <w:t xml:space="preserve"> </w:t>
      </w:r>
      <w:r w:rsidR="006821E6" w:rsidRPr="00FC15EF">
        <w:rPr>
          <w:rFonts w:asciiTheme="minorBidi" w:hAnsiTheme="minorBidi"/>
          <w:sz w:val="23"/>
          <w:szCs w:val="23"/>
        </w:rPr>
        <w:t>(Education Wales, 201</w:t>
      </w:r>
      <w:r w:rsidR="00DB6787" w:rsidRPr="00FC15EF">
        <w:rPr>
          <w:rFonts w:asciiTheme="minorBidi" w:hAnsiTheme="minorBidi"/>
          <w:sz w:val="23"/>
          <w:szCs w:val="23"/>
        </w:rPr>
        <w:t>7</w:t>
      </w:r>
      <w:r w:rsidR="006821E6" w:rsidRPr="00FC15EF">
        <w:rPr>
          <w:rFonts w:asciiTheme="minorBidi" w:hAnsiTheme="minorBidi"/>
          <w:sz w:val="23"/>
          <w:szCs w:val="23"/>
        </w:rPr>
        <w:t xml:space="preserve">). </w:t>
      </w:r>
      <w:r w:rsidR="00713F9D" w:rsidRPr="00FC15EF">
        <w:rPr>
          <w:rFonts w:asciiTheme="minorBidi" w:hAnsiTheme="minorBidi"/>
          <w:sz w:val="23"/>
          <w:szCs w:val="23"/>
        </w:rPr>
        <w:t xml:space="preserve">This </w:t>
      </w:r>
      <w:r w:rsidR="00F45BCD" w:rsidRPr="00FC15EF">
        <w:rPr>
          <w:rFonts w:asciiTheme="minorBidi" w:hAnsiTheme="minorBidi"/>
          <w:sz w:val="23"/>
          <w:szCs w:val="23"/>
        </w:rPr>
        <w:t xml:space="preserve">aims of this research project is to </w:t>
      </w:r>
      <w:r w:rsidR="00E54FCE" w:rsidRPr="00FC15EF">
        <w:rPr>
          <w:rFonts w:asciiTheme="minorBidi" w:hAnsiTheme="minorBidi"/>
          <w:sz w:val="23"/>
          <w:szCs w:val="23"/>
        </w:rPr>
        <w:t xml:space="preserve">critically explore the </w:t>
      </w:r>
      <w:r w:rsidR="00E9637A" w:rsidRPr="00FC15EF">
        <w:rPr>
          <w:rFonts w:asciiTheme="minorBidi" w:hAnsiTheme="minorBidi"/>
          <w:sz w:val="23"/>
          <w:szCs w:val="23"/>
        </w:rPr>
        <w:t>relationship between attention and focus</w:t>
      </w:r>
      <w:r w:rsidR="009774F6" w:rsidRPr="00FC15EF">
        <w:rPr>
          <w:rFonts w:asciiTheme="minorBidi" w:hAnsiTheme="minorBidi"/>
          <w:sz w:val="23"/>
          <w:szCs w:val="23"/>
        </w:rPr>
        <w:t xml:space="preserve">, </w:t>
      </w:r>
      <w:r w:rsidR="00E9637A" w:rsidRPr="00FC15EF">
        <w:rPr>
          <w:rFonts w:asciiTheme="minorBidi" w:hAnsiTheme="minorBidi"/>
          <w:sz w:val="23"/>
          <w:szCs w:val="23"/>
        </w:rPr>
        <w:t>emotional well-being, and mindfulness-based interventions (MBIs)</w:t>
      </w:r>
      <w:r w:rsidR="00DA23A3" w:rsidRPr="00FC15EF">
        <w:rPr>
          <w:rFonts w:asciiTheme="minorBidi" w:hAnsiTheme="minorBidi"/>
          <w:sz w:val="23"/>
          <w:szCs w:val="23"/>
        </w:rPr>
        <w:t xml:space="preserve"> on</w:t>
      </w:r>
      <w:r w:rsidR="00E9637A" w:rsidRPr="00FC15EF">
        <w:rPr>
          <w:rFonts w:asciiTheme="minorBidi" w:hAnsiTheme="minorBidi"/>
          <w:sz w:val="23"/>
          <w:szCs w:val="23"/>
        </w:rPr>
        <w:t xml:space="preserve"> pupil engagement</w:t>
      </w:r>
      <w:r w:rsidR="00F45BCD" w:rsidRPr="00FC15EF">
        <w:rPr>
          <w:rFonts w:asciiTheme="minorBidi" w:hAnsiTheme="minorBidi"/>
          <w:sz w:val="23"/>
          <w:szCs w:val="23"/>
        </w:rPr>
        <w:t xml:space="preserve"> to share with colleagues and improve my personal future practice</w:t>
      </w:r>
      <w:r w:rsidR="00E9637A" w:rsidRPr="00FC15EF">
        <w:rPr>
          <w:rFonts w:asciiTheme="minorBidi" w:hAnsiTheme="minorBidi"/>
          <w:sz w:val="23"/>
          <w:szCs w:val="23"/>
        </w:rPr>
        <w:t xml:space="preserve">. </w:t>
      </w:r>
      <w:r w:rsidR="00412CD9" w:rsidRPr="00FC15EF">
        <w:rPr>
          <w:rFonts w:asciiTheme="minorBidi" w:hAnsiTheme="minorBidi"/>
          <w:sz w:val="23"/>
          <w:szCs w:val="23"/>
        </w:rPr>
        <w:t xml:space="preserve">The research undertaken is based </w:t>
      </w:r>
      <w:r w:rsidR="00A75AC9" w:rsidRPr="00FC15EF">
        <w:rPr>
          <w:rFonts w:asciiTheme="minorBidi" w:hAnsiTheme="minorBidi"/>
          <w:sz w:val="23"/>
          <w:szCs w:val="23"/>
        </w:rPr>
        <w:t xml:space="preserve">in a year two classroom </w:t>
      </w:r>
      <w:r w:rsidR="00412CD9" w:rsidRPr="00FC15EF">
        <w:rPr>
          <w:rFonts w:asciiTheme="minorBidi" w:hAnsiTheme="minorBidi"/>
          <w:sz w:val="23"/>
          <w:szCs w:val="23"/>
        </w:rPr>
        <w:t>at a rural school in Wale</w:t>
      </w:r>
      <w:r w:rsidR="00D359B6" w:rsidRPr="00FC15EF">
        <w:rPr>
          <w:rFonts w:asciiTheme="minorBidi" w:hAnsiTheme="minorBidi"/>
          <w:sz w:val="23"/>
          <w:szCs w:val="23"/>
        </w:rPr>
        <w:t>s who prioritises pupil wellbeing as part of its aims and objectives</w:t>
      </w:r>
      <w:r w:rsidR="00A2440C" w:rsidRPr="00FC15EF">
        <w:rPr>
          <w:rFonts w:asciiTheme="minorBidi" w:hAnsiTheme="minorBidi"/>
          <w:sz w:val="23"/>
          <w:szCs w:val="23"/>
        </w:rPr>
        <w:t>.</w:t>
      </w:r>
      <w:r w:rsidR="00C4025D" w:rsidRPr="00FC15EF">
        <w:rPr>
          <w:rFonts w:asciiTheme="minorBidi" w:hAnsiTheme="minorBidi"/>
          <w:sz w:val="23"/>
          <w:szCs w:val="23"/>
        </w:rPr>
        <w:t xml:space="preserve"> </w:t>
      </w:r>
    </w:p>
    <w:p w14:paraId="7F12C9EC" w14:textId="0A31F3C6" w:rsidR="0028611B" w:rsidRPr="00FC15EF" w:rsidRDefault="00A2440C"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hAnsiTheme="minorBidi"/>
          <w:sz w:val="23"/>
          <w:szCs w:val="23"/>
        </w:rPr>
        <w:t xml:space="preserve">This case study is the result of observing events and conducting further investigation using research tools. The main goal of the case study is to find an intervention that can be tested in PTE 2 and supported by </w:t>
      </w:r>
      <w:r w:rsidR="005A12D4" w:rsidRPr="00FC15EF">
        <w:rPr>
          <w:rFonts w:asciiTheme="minorBidi" w:hAnsiTheme="minorBidi"/>
          <w:sz w:val="23"/>
          <w:szCs w:val="23"/>
        </w:rPr>
        <w:t xml:space="preserve">professional </w:t>
      </w:r>
      <w:r w:rsidRPr="00FC15EF">
        <w:rPr>
          <w:rFonts w:asciiTheme="minorBidi" w:hAnsiTheme="minorBidi"/>
          <w:sz w:val="23"/>
          <w:szCs w:val="23"/>
        </w:rPr>
        <w:t>reflection in the PLP</w:t>
      </w:r>
      <w:r w:rsidR="005A12D4" w:rsidRPr="00FC15EF">
        <w:rPr>
          <w:rFonts w:asciiTheme="minorBidi" w:hAnsiTheme="minorBidi"/>
          <w:sz w:val="23"/>
          <w:szCs w:val="23"/>
        </w:rPr>
        <w:t>, providing evidence for completion of teaching standards</w:t>
      </w:r>
      <w:r w:rsidRPr="00FC15EF">
        <w:rPr>
          <w:rFonts w:asciiTheme="minorBidi" w:hAnsiTheme="minorBidi"/>
          <w:sz w:val="23"/>
          <w:szCs w:val="23"/>
        </w:rPr>
        <w:t>.</w:t>
      </w:r>
      <w:r w:rsidRPr="00FC15EF">
        <w:rPr>
          <w:rFonts w:asciiTheme="minorBidi" w:eastAsia="Times New Roman" w:hAnsiTheme="minorBidi"/>
          <w:kern w:val="0"/>
          <w:sz w:val="23"/>
          <w:szCs w:val="23"/>
          <w:lang w:eastAsia="en-GB"/>
          <w14:ligatures w14:val="none"/>
        </w:rPr>
        <w:t xml:space="preserve"> </w:t>
      </w:r>
      <w:r w:rsidR="00C4025D" w:rsidRPr="00FC15EF">
        <w:rPr>
          <w:rFonts w:asciiTheme="minorBidi" w:hAnsiTheme="minorBidi"/>
          <w:sz w:val="23"/>
          <w:szCs w:val="23"/>
        </w:rPr>
        <w:t>The research question</w:t>
      </w:r>
      <w:r w:rsidR="00F51B84" w:rsidRPr="00FC15EF">
        <w:rPr>
          <w:rFonts w:asciiTheme="minorBidi" w:hAnsiTheme="minorBidi"/>
          <w:sz w:val="23"/>
          <w:szCs w:val="23"/>
        </w:rPr>
        <w:t xml:space="preserve">, ‘How effective is the use of mindfulness for improving engagement with year 2 pupils?’ </w:t>
      </w:r>
      <w:r w:rsidR="00A3655B" w:rsidRPr="00FC15EF">
        <w:rPr>
          <w:rFonts w:asciiTheme="minorBidi" w:hAnsiTheme="minorBidi"/>
          <w:sz w:val="23"/>
          <w:szCs w:val="23"/>
        </w:rPr>
        <w:t>is explored hereafter.</w:t>
      </w:r>
      <w:r w:rsidR="00A3655B" w:rsidRPr="00FC15EF">
        <w:rPr>
          <w:rFonts w:asciiTheme="minorBidi" w:eastAsia="Times New Roman" w:hAnsiTheme="minorBidi"/>
          <w:kern w:val="0"/>
          <w:sz w:val="23"/>
          <w:szCs w:val="23"/>
          <w:lang w:eastAsia="en-GB"/>
          <w14:ligatures w14:val="none"/>
        </w:rPr>
        <w:t xml:space="preserve"> </w:t>
      </w:r>
    </w:p>
    <w:p w14:paraId="1456E845" w14:textId="77777777" w:rsidR="00ED6970" w:rsidRDefault="00ED6970" w:rsidP="00FC15EF">
      <w:pPr>
        <w:spacing w:line="360" w:lineRule="auto"/>
        <w:rPr>
          <w:rFonts w:asciiTheme="minorBidi" w:eastAsia="Times New Roman" w:hAnsiTheme="minorBidi"/>
          <w:kern w:val="0"/>
          <w:sz w:val="23"/>
          <w:szCs w:val="23"/>
          <w:lang w:eastAsia="en-GB"/>
          <w14:ligatures w14:val="none"/>
        </w:rPr>
      </w:pPr>
    </w:p>
    <w:p w14:paraId="3BB5991B" w14:textId="77777777" w:rsidR="00677FDD" w:rsidRPr="00FC15EF" w:rsidRDefault="00677FDD" w:rsidP="00FC15EF">
      <w:pPr>
        <w:spacing w:line="360" w:lineRule="auto"/>
        <w:rPr>
          <w:rFonts w:asciiTheme="minorBidi" w:eastAsia="Times New Roman" w:hAnsiTheme="minorBidi"/>
          <w:kern w:val="0"/>
          <w:sz w:val="23"/>
          <w:szCs w:val="23"/>
          <w:lang w:eastAsia="en-GB"/>
          <w14:ligatures w14:val="none"/>
        </w:rPr>
      </w:pPr>
    </w:p>
    <w:p w14:paraId="117D5D42" w14:textId="60074161" w:rsidR="00E11020" w:rsidRPr="00677FDD" w:rsidRDefault="00E11020" w:rsidP="00FC15EF">
      <w:pPr>
        <w:spacing w:line="360" w:lineRule="auto"/>
        <w:rPr>
          <w:rFonts w:asciiTheme="minorBidi" w:hAnsiTheme="minorBidi"/>
          <w:b/>
          <w:bCs/>
          <w:sz w:val="23"/>
          <w:szCs w:val="23"/>
          <w:u w:val="single"/>
        </w:rPr>
      </w:pPr>
      <w:r w:rsidRPr="00677FDD">
        <w:rPr>
          <w:rFonts w:asciiTheme="minorBidi" w:hAnsiTheme="minorBidi"/>
          <w:b/>
          <w:bCs/>
          <w:sz w:val="23"/>
          <w:szCs w:val="23"/>
          <w:u w:val="single"/>
        </w:rPr>
        <w:t>Overview of relevant literature</w:t>
      </w:r>
    </w:p>
    <w:p w14:paraId="6CE03C93" w14:textId="77777777" w:rsidR="00677FDD" w:rsidRPr="00FC15EF" w:rsidRDefault="00677FDD" w:rsidP="00FC15EF">
      <w:pPr>
        <w:spacing w:line="360" w:lineRule="auto"/>
        <w:rPr>
          <w:rFonts w:asciiTheme="minorBidi" w:eastAsia="Times New Roman" w:hAnsiTheme="minorBidi"/>
          <w:kern w:val="0"/>
          <w:sz w:val="23"/>
          <w:szCs w:val="23"/>
          <w:lang w:eastAsia="en-GB"/>
          <w14:ligatures w14:val="none"/>
        </w:rPr>
      </w:pPr>
    </w:p>
    <w:p w14:paraId="058FEA0F" w14:textId="77777777" w:rsidR="003F24B9" w:rsidRPr="00FC15EF" w:rsidRDefault="003F24B9" w:rsidP="00FC15EF">
      <w:pPr>
        <w:spacing w:line="360" w:lineRule="auto"/>
        <w:jc w:val="center"/>
        <w:rPr>
          <w:rFonts w:asciiTheme="minorBidi" w:hAnsiTheme="minorBidi"/>
          <w:b/>
          <w:bCs/>
          <w:sz w:val="23"/>
          <w:szCs w:val="23"/>
        </w:rPr>
      </w:pPr>
      <w:r w:rsidRPr="00FC15EF">
        <w:rPr>
          <w:rFonts w:asciiTheme="minorBidi" w:hAnsiTheme="minorBidi"/>
          <w:b/>
          <w:bCs/>
          <w:sz w:val="23"/>
          <w:szCs w:val="23"/>
        </w:rPr>
        <w:t>Attention and Focus</w:t>
      </w:r>
    </w:p>
    <w:p w14:paraId="074E58DB" w14:textId="5419CDC0" w:rsidR="002B2874" w:rsidRPr="00FC15EF" w:rsidRDefault="00274B11"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hAnsiTheme="minorBidi"/>
          <w:sz w:val="23"/>
          <w:szCs w:val="23"/>
        </w:rPr>
        <w:t>Mindfulness is defined as “</w:t>
      </w:r>
      <w:r w:rsidR="00BD184D" w:rsidRPr="0012746D">
        <w:rPr>
          <w:rFonts w:asciiTheme="minorBidi" w:hAnsiTheme="minorBidi"/>
          <w:sz w:val="23"/>
          <w:szCs w:val="23"/>
        </w:rPr>
        <w:t>a mental state achieved by focusing one's awareness on the present moment, while </w:t>
      </w:r>
      <w:hyperlink r:id="rId9" w:history="1">
        <w:r w:rsidR="00BD184D" w:rsidRPr="0012746D">
          <w:rPr>
            <w:rFonts w:asciiTheme="minorBidi" w:hAnsiTheme="minorBidi"/>
            <w:sz w:val="23"/>
            <w:szCs w:val="23"/>
          </w:rPr>
          <w:t>calmly</w:t>
        </w:r>
      </w:hyperlink>
      <w:r w:rsidR="00BD184D" w:rsidRPr="0012746D">
        <w:rPr>
          <w:rFonts w:asciiTheme="minorBidi" w:hAnsiTheme="minorBidi"/>
          <w:sz w:val="23"/>
          <w:szCs w:val="23"/>
        </w:rPr>
        <w:t> </w:t>
      </w:r>
      <w:hyperlink r:id="rId10" w:history="1">
        <w:r w:rsidR="00BD184D" w:rsidRPr="0012746D">
          <w:rPr>
            <w:rFonts w:asciiTheme="minorBidi" w:hAnsiTheme="minorBidi"/>
            <w:sz w:val="23"/>
            <w:szCs w:val="23"/>
          </w:rPr>
          <w:t>acknowledging</w:t>
        </w:r>
      </w:hyperlink>
      <w:r w:rsidR="00BD184D" w:rsidRPr="0012746D">
        <w:rPr>
          <w:rFonts w:asciiTheme="minorBidi" w:hAnsiTheme="minorBidi"/>
          <w:sz w:val="23"/>
          <w:szCs w:val="23"/>
        </w:rPr>
        <w:t> and accepting one's feelings, thoughts, and bodily </w:t>
      </w:r>
      <w:hyperlink r:id="rId11" w:history="1">
        <w:r w:rsidR="00BD184D" w:rsidRPr="0012746D">
          <w:rPr>
            <w:rFonts w:asciiTheme="minorBidi" w:hAnsiTheme="minorBidi"/>
            <w:sz w:val="23"/>
            <w:szCs w:val="23"/>
          </w:rPr>
          <w:t>sensations</w:t>
        </w:r>
      </w:hyperlink>
      <w:r w:rsidR="00BD184D" w:rsidRPr="0012746D">
        <w:rPr>
          <w:rFonts w:asciiTheme="minorBidi" w:hAnsiTheme="minorBidi"/>
          <w:sz w:val="23"/>
          <w:szCs w:val="23"/>
        </w:rPr>
        <w:t xml:space="preserve">, used as a therapeutic technique’ (Oxford Languages, </w:t>
      </w:r>
      <w:proofErr w:type="spellStart"/>
      <w:r w:rsidR="0012746D" w:rsidRPr="0012746D">
        <w:rPr>
          <w:rFonts w:asciiTheme="minorBidi" w:hAnsiTheme="minorBidi"/>
          <w:sz w:val="23"/>
          <w:szCs w:val="23"/>
        </w:rPr>
        <w:t>n.d</w:t>
      </w:r>
      <w:proofErr w:type="spellEnd"/>
      <w:r w:rsidR="0012746D" w:rsidRPr="0012746D">
        <w:rPr>
          <w:rFonts w:asciiTheme="minorBidi" w:hAnsiTheme="minorBidi"/>
          <w:sz w:val="23"/>
          <w:szCs w:val="23"/>
        </w:rPr>
        <w:t xml:space="preserve">). </w:t>
      </w:r>
      <w:r w:rsidR="00691FD0" w:rsidRPr="00FC15EF">
        <w:rPr>
          <w:rFonts w:asciiTheme="minorBidi" w:hAnsiTheme="minorBidi"/>
          <w:sz w:val="23"/>
          <w:szCs w:val="23"/>
        </w:rPr>
        <w:t xml:space="preserve">Several research studies have demonstrated a significant association between the use </w:t>
      </w:r>
      <w:r w:rsidR="00691FD0" w:rsidRPr="00FC15EF">
        <w:rPr>
          <w:rFonts w:asciiTheme="minorBidi" w:hAnsiTheme="minorBidi"/>
          <w:sz w:val="23"/>
          <w:szCs w:val="23"/>
        </w:rPr>
        <w:lastRenderedPageBreak/>
        <w:t xml:space="preserve">of mindfulness techniques and enhanced attention among learners. </w:t>
      </w:r>
      <w:r w:rsidR="009D3EC1" w:rsidRPr="00FC15EF">
        <w:rPr>
          <w:rFonts w:asciiTheme="minorBidi" w:hAnsiTheme="minorBidi"/>
          <w:sz w:val="23"/>
          <w:szCs w:val="23"/>
        </w:rPr>
        <w:t xml:space="preserve">For example, Flook et al. (2021) </w:t>
      </w:r>
      <w:r w:rsidR="00E14432" w:rsidRPr="00FC15EF">
        <w:rPr>
          <w:rFonts w:asciiTheme="minorBidi" w:hAnsiTheme="minorBidi"/>
          <w:sz w:val="23"/>
          <w:szCs w:val="23"/>
        </w:rPr>
        <w:t xml:space="preserve">found that short-term mindfulness training improved student focus and attention in class. </w:t>
      </w:r>
      <w:r w:rsidR="002B2874" w:rsidRPr="00FC15EF">
        <w:rPr>
          <w:rFonts w:asciiTheme="minorBidi" w:hAnsiTheme="minorBidi"/>
          <w:sz w:val="23"/>
          <w:szCs w:val="23"/>
        </w:rPr>
        <w:t xml:space="preserve">This research examined an area that has been receiving increasing attention, specifically the potential advantages of mindfulness programmes in enhancing children's social and emotional learning. The article examined the impact of an 8-week mindfulness programme </w:t>
      </w:r>
      <w:r w:rsidR="00852894" w:rsidRPr="00FC15EF">
        <w:rPr>
          <w:rFonts w:asciiTheme="minorBidi" w:hAnsiTheme="minorBidi"/>
          <w:sz w:val="23"/>
          <w:szCs w:val="23"/>
        </w:rPr>
        <w:t>to improve</w:t>
      </w:r>
      <w:r w:rsidR="002B2874" w:rsidRPr="00FC15EF">
        <w:rPr>
          <w:rFonts w:asciiTheme="minorBidi" w:hAnsiTheme="minorBidi"/>
          <w:sz w:val="23"/>
          <w:szCs w:val="23"/>
        </w:rPr>
        <w:t xml:space="preserve"> children's ability to </w:t>
      </w:r>
      <w:r w:rsidR="001E0332" w:rsidRPr="00FC15EF">
        <w:rPr>
          <w:rFonts w:asciiTheme="minorBidi" w:hAnsiTheme="minorBidi"/>
          <w:sz w:val="23"/>
          <w:szCs w:val="23"/>
        </w:rPr>
        <w:t>focus on the present moment attentively and nonjudgmentally</w:t>
      </w:r>
      <w:r w:rsidR="002B2874" w:rsidRPr="00FC15EF">
        <w:rPr>
          <w:rFonts w:asciiTheme="minorBidi" w:hAnsiTheme="minorBidi"/>
          <w:sz w:val="23"/>
          <w:szCs w:val="23"/>
        </w:rPr>
        <w:t xml:space="preserve">. The research found positive improvements in teacher assessments of prosocial behaviour and externalising behaviours, indicating that the mindfulness programme could potentially have advantageous effects on </w:t>
      </w:r>
      <w:r w:rsidR="00852894" w:rsidRPr="00FC15EF">
        <w:rPr>
          <w:rFonts w:asciiTheme="minorBidi" w:hAnsiTheme="minorBidi"/>
          <w:sz w:val="23"/>
          <w:szCs w:val="23"/>
        </w:rPr>
        <w:t>pupils'</w:t>
      </w:r>
      <w:r w:rsidR="002B2874" w:rsidRPr="00FC15EF">
        <w:rPr>
          <w:rFonts w:asciiTheme="minorBidi" w:hAnsiTheme="minorBidi"/>
          <w:sz w:val="23"/>
          <w:szCs w:val="23"/>
        </w:rPr>
        <w:t xml:space="preserve"> ability to pay attention and focus. Nevertheless, the research was dependent on teacher ratings as the principal measure of performance, which may be subjective and susceptible to bias from teachers' expectations. </w:t>
      </w:r>
    </w:p>
    <w:p w14:paraId="6C0440AA" w14:textId="77777777" w:rsidR="002B2874" w:rsidRPr="00FC15EF" w:rsidRDefault="002B2874" w:rsidP="00FC15EF">
      <w:pPr>
        <w:spacing w:after="0" w:line="360" w:lineRule="auto"/>
        <w:rPr>
          <w:rFonts w:asciiTheme="minorBidi" w:hAnsiTheme="minorBidi"/>
          <w:sz w:val="23"/>
          <w:szCs w:val="23"/>
        </w:rPr>
      </w:pPr>
    </w:p>
    <w:p w14:paraId="7836D6A2" w14:textId="1BBEF5C0" w:rsidR="000537D0" w:rsidRPr="00FC15EF" w:rsidRDefault="000E077C" w:rsidP="00FC15EF">
      <w:pPr>
        <w:spacing w:line="360" w:lineRule="auto"/>
        <w:rPr>
          <w:rFonts w:asciiTheme="minorBidi" w:eastAsia="Times New Roman" w:hAnsiTheme="minorBidi"/>
          <w:kern w:val="0"/>
          <w:sz w:val="23"/>
          <w:szCs w:val="23"/>
          <w:lang w:eastAsia="en-GB"/>
          <w14:ligatures w14:val="none"/>
        </w:rPr>
      </w:pPr>
      <w:r w:rsidRPr="00FC15EF">
        <w:rPr>
          <w:rFonts w:asciiTheme="minorBidi" w:hAnsiTheme="minorBidi"/>
          <w:sz w:val="23"/>
          <w:szCs w:val="23"/>
        </w:rPr>
        <w:t>However</w:t>
      </w:r>
      <w:r w:rsidR="00045592" w:rsidRPr="00FC15EF">
        <w:rPr>
          <w:rFonts w:asciiTheme="minorBidi" w:hAnsiTheme="minorBidi"/>
          <w:sz w:val="23"/>
          <w:szCs w:val="23"/>
        </w:rPr>
        <w:t xml:space="preserve">, </w:t>
      </w:r>
      <w:r w:rsidR="0081298A" w:rsidRPr="00FC15EF">
        <w:rPr>
          <w:rFonts w:asciiTheme="minorBidi" w:hAnsiTheme="minorBidi"/>
          <w:sz w:val="23"/>
          <w:szCs w:val="23"/>
        </w:rPr>
        <w:t xml:space="preserve">the above study has failed to address pupils with attention deficit hyperactivity disorder (ADHD). </w:t>
      </w:r>
      <w:r w:rsidR="00561049" w:rsidRPr="00561049">
        <w:rPr>
          <w:rFonts w:asciiTheme="minorBidi" w:hAnsiTheme="minorBidi"/>
          <w:sz w:val="23"/>
          <w:szCs w:val="23"/>
        </w:rPr>
        <w:t>A study by Ramos et al. (2022) investigated mindfulness training for children in a summer program. While mindfulness improved attention and self-regulation in children without ADHD, it offered no additional benefit for those with ADHD when combined with existing treatments. The findings suggest mindfulness may not be a universally effective approach for improving classroom engagement.</w:t>
      </w:r>
    </w:p>
    <w:p w14:paraId="0BD23152" w14:textId="55B05F85" w:rsidR="00BB06D8" w:rsidRPr="00FC15EF" w:rsidRDefault="0003631B" w:rsidP="00FC15EF">
      <w:pPr>
        <w:spacing w:after="0" w:line="360" w:lineRule="auto"/>
        <w:rPr>
          <w:rFonts w:asciiTheme="minorBidi" w:hAnsiTheme="minorBidi"/>
          <w:sz w:val="23"/>
          <w:szCs w:val="23"/>
        </w:rPr>
      </w:pPr>
      <w:r w:rsidRPr="00FC15EF">
        <w:rPr>
          <w:rFonts w:asciiTheme="minorBidi" w:eastAsia="Times New Roman" w:hAnsiTheme="minorBidi"/>
          <w:color w:val="1F1F1F"/>
          <w:kern w:val="0"/>
          <w:sz w:val="23"/>
          <w:szCs w:val="23"/>
          <w:shd w:val="clear" w:color="auto" w:fill="FFFFFF"/>
          <w:lang w:eastAsia="en-GB"/>
          <w14:ligatures w14:val="none"/>
        </w:rPr>
        <w:br/>
      </w:r>
    </w:p>
    <w:p w14:paraId="752DA2BF" w14:textId="2BE4DC38" w:rsidR="00D05C7A" w:rsidRPr="00FC15EF" w:rsidRDefault="00D05C7A" w:rsidP="00FC15EF">
      <w:pPr>
        <w:spacing w:line="360" w:lineRule="auto"/>
        <w:jc w:val="center"/>
        <w:rPr>
          <w:rFonts w:asciiTheme="minorBidi" w:hAnsiTheme="minorBidi"/>
          <w:b/>
          <w:bCs/>
          <w:sz w:val="23"/>
          <w:szCs w:val="23"/>
        </w:rPr>
      </w:pPr>
      <w:r w:rsidRPr="00FC15EF">
        <w:rPr>
          <w:rFonts w:asciiTheme="minorBidi" w:hAnsiTheme="minorBidi"/>
          <w:b/>
          <w:bCs/>
          <w:sz w:val="23"/>
          <w:szCs w:val="23"/>
        </w:rPr>
        <w:t>Emotional well-being</w:t>
      </w:r>
    </w:p>
    <w:p w14:paraId="47740F91" w14:textId="77777777" w:rsidR="00D8754A" w:rsidRPr="00FC15EF" w:rsidRDefault="00752EF0" w:rsidP="00FC15EF">
      <w:pPr>
        <w:spacing w:after="0" w:line="360" w:lineRule="auto"/>
        <w:rPr>
          <w:rFonts w:asciiTheme="minorBidi" w:hAnsiTheme="minorBidi"/>
          <w:sz w:val="23"/>
          <w:szCs w:val="23"/>
        </w:rPr>
      </w:pPr>
      <w:r w:rsidRPr="00FC15EF">
        <w:rPr>
          <w:rFonts w:asciiTheme="minorBidi" w:hAnsiTheme="minorBidi"/>
          <w:sz w:val="23"/>
          <w:szCs w:val="23"/>
        </w:rPr>
        <w:t xml:space="preserve">The study conducted by Graziano et al. (2007) revealed a positive correlation between emotion control abilities, including the ability to effectively manage frustration, and academic performance among children. This finding implies a potential association between emotion regulation and engagement with young children. Research indicates that the practice of mindfulness can develop emotional control abilities in children, leading to increased involvement in the classroom (Flint et al. 2017). As an example, the research conducted by Flint et al. provided evidence that the implementation of mindfulness training among students resulted in improved emotional regulation and a reduction in disruptive behaviours, establishing a more optimal learning environment. The study illustrates that in instances where students show deficiencies in emotional regulation abilities, the presence of negative emotions such as anxiety or frustration </w:t>
      </w:r>
      <w:r w:rsidRPr="00FC15EF">
        <w:rPr>
          <w:rFonts w:asciiTheme="minorBidi" w:hAnsiTheme="minorBidi"/>
          <w:sz w:val="23"/>
          <w:szCs w:val="23"/>
        </w:rPr>
        <w:lastRenderedPageBreak/>
        <w:t xml:space="preserve">might appear as disruptive factors, therefore producing a negative impact on classroom participation. </w:t>
      </w:r>
    </w:p>
    <w:p w14:paraId="59702161" w14:textId="3EB52230" w:rsidR="00752EF0" w:rsidRPr="00FC15EF" w:rsidRDefault="00752EF0" w:rsidP="00FC15EF">
      <w:pPr>
        <w:spacing w:after="0" w:line="360" w:lineRule="auto"/>
        <w:rPr>
          <w:rFonts w:asciiTheme="minorBidi" w:hAnsiTheme="minorBidi"/>
          <w:sz w:val="23"/>
          <w:szCs w:val="23"/>
        </w:rPr>
      </w:pPr>
      <w:r w:rsidRPr="00FC15EF">
        <w:rPr>
          <w:rFonts w:asciiTheme="minorBidi" w:hAnsiTheme="minorBidi"/>
          <w:sz w:val="23"/>
          <w:szCs w:val="23"/>
        </w:rPr>
        <w:br/>
        <w:t>Nevertheless, researchers have raised concerns regarding the claim that mindfulness programmes may successfully improve emotional control among children. One example of this is the MYRIAD study (</w:t>
      </w:r>
      <w:proofErr w:type="spellStart"/>
      <w:r w:rsidRPr="00FC15EF">
        <w:rPr>
          <w:rFonts w:asciiTheme="minorBidi" w:hAnsiTheme="minorBidi"/>
          <w:sz w:val="23"/>
          <w:szCs w:val="23"/>
        </w:rPr>
        <w:t>Kuyken</w:t>
      </w:r>
      <w:proofErr w:type="spellEnd"/>
      <w:r w:rsidRPr="00FC15EF">
        <w:rPr>
          <w:rFonts w:asciiTheme="minorBidi" w:hAnsiTheme="minorBidi"/>
          <w:sz w:val="23"/>
          <w:szCs w:val="23"/>
        </w:rPr>
        <w:t xml:space="preserve"> W, Ball S, Crane C, et al., 2022), which examined the potential advantages of a mindfulness programme implemented in schools for young children. Although the study revealed improvements in assessments of positive behaviour, it did not demonstrate any significant impacts on emotional regulation of children in the study. This implies that meditation programmes may not be consistently effective in managing emotions for the specific age group and programme design in the study.</w:t>
      </w:r>
      <w:r w:rsidR="00D8754A" w:rsidRPr="00FC15EF">
        <w:rPr>
          <w:rFonts w:asciiTheme="minorBidi" w:hAnsiTheme="minorBidi"/>
          <w:sz w:val="23"/>
          <w:szCs w:val="23"/>
        </w:rPr>
        <w:t xml:space="preserve"> </w:t>
      </w:r>
      <w:r w:rsidR="00AD5041" w:rsidRPr="00FC15EF">
        <w:rPr>
          <w:rFonts w:asciiTheme="minorBidi" w:hAnsiTheme="minorBidi"/>
          <w:sz w:val="23"/>
          <w:szCs w:val="23"/>
        </w:rPr>
        <w:t xml:space="preserve">Finally, it is also important to consider whether there are alternative explanations for positive findings. For example, perhaps the higher levels of engagement that were observed were due to influences other than mindfulness </w:t>
      </w:r>
      <w:r w:rsidR="00EB4C3C" w:rsidRPr="00FC15EF">
        <w:rPr>
          <w:rFonts w:asciiTheme="minorBidi" w:hAnsiTheme="minorBidi"/>
          <w:sz w:val="23"/>
          <w:szCs w:val="23"/>
        </w:rPr>
        <w:t xml:space="preserve">practices in the classroom, such as relaxation, changes in home-life circumstances or social interactions among pupils throughout the day. Further research with larger sample sizes may provide </w:t>
      </w:r>
      <w:r w:rsidR="00211324" w:rsidRPr="00FC15EF">
        <w:rPr>
          <w:rFonts w:asciiTheme="minorBidi" w:hAnsiTheme="minorBidi"/>
          <w:sz w:val="23"/>
          <w:szCs w:val="23"/>
        </w:rPr>
        <w:t xml:space="preserve">richer data and explanation. </w:t>
      </w:r>
    </w:p>
    <w:p w14:paraId="1C4E6AD0" w14:textId="77777777" w:rsidR="00AD7B73" w:rsidRPr="00FC15EF" w:rsidRDefault="00AD7B73" w:rsidP="00FC15EF">
      <w:pPr>
        <w:spacing w:line="360" w:lineRule="auto"/>
        <w:rPr>
          <w:rFonts w:asciiTheme="minorBidi" w:hAnsiTheme="minorBidi"/>
          <w:b/>
          <w:bCs/>
          <w:sz w:val="23"/>
          <w:szCs w:val="23"/>
        </w:rPr>
      </w:pPr>
    </w:p>
    <w:p w14:paraId="263C6B5E" w14:textId="1661A67D" w:rsidR="00D05C7A" w:rsidRPr="00FC15EF" w:rsidRDefault="00D05C7A" w:rsidP="00FC15EF">
      <w:pPr>
        <w:spacing w:line="360" w:lineRule="auto"/>
        <w:jc w:val="center"/>
        <w:rPr>
          <w:rFonts w:asciiTheme="minorBidi" w:hAnsiTheme="minorBidi"/>
          <w:b/>
          <w:bCs/>
          <w:sz w:val="23"/>
          <w:szCs w:val="23"/>
        </w:rPr>
      </w:pPr>
      <w:r w:rsidRPr="00FC15EF">
        <w:rPr>
          <w:rFonts w:asciiTheme="minorBidi" w:hAnsiTheme="minorBidi"/>
          <w:b/>
          <w:bCs/>
          <w:sz w:val="23"/>
          <w:szCs w:val="23"/>
        </w:rPr>
        <w:t xml:space="preserve">Mindfulness-based Interventions </w:t>
      </w:r>
      <w:r w:rsidR="00986792" w:rsidRPr="00FC15EF">
        <w:rPr>
          <w:rFonts w:asciiTheme="minorBidi" w:hAnsiTheme="minorBidi"/>
          <w:b/>
          <w:bCs/>
          <w:sz w:val="23"/>
          <w:szCs w:val="23"/>
        </w:rPr>
        <w:t xml:space="preserve">(MBIs) </w:t>
      </w:r>
      <w:r w:rsidRPr="00FC15EF">
        <w:rPr>
          <w:rFonts w:asciiTheme="minorBidi" w:hAnsiTheme="minorBidi"/>
          <w:b/>
          <w:bCs/>
          <w:sz w:val="23"/>
          <w:szCs w:val="23"/>
        </w:rPr>
        <w:t>in School</w:t>
      </w:r>
    </w:p>
    <w:p w14:paraId="2A0D24FA" w14:textId="54EDAA10" w:rsidR="005B660D" w:rsidRPr="00FC15EF" w:rsidRDefault="00366AA2" w:rsidP="00FC15EF">
      <w:pPr>
        <w:spacing w:line="360" w:lineRule="auto"/>
        <w:rPr>
          <w:rFonts w:asciiTheme="minorBidi" w:hAnsiTheme="minorBidi"/>
          <w:sz w:val="23"/>
          <w:szCs w:val="23"/>
        </w:rPr>
      </w:pPr>
      <w:r w:rsidRPr="00FC15EF">
        <w:rPr>
          <w:rFonts w:asciiTheme="minorBidi" w:hAnsiTheme="minorBidi"/>
          <w:sz w:val="23"/>
          <w:szCs w:val="23"/>
        </w:rPr>
        <w:t>An M</w:t>
      </w:r>
      <w:r w:rsidR="006B327F" w:rsidRPr="00FC15EF">
        <w:rPr>
          <w:rFonts w:asciiTheme="minorBidi" w:hAnsiTheme="minorBidi"/>
          <w:sz w:val="23"/>
          <w:szCs w:val="23"/>
        </w:rPr>
        <w:t>B</w:t>
      </w:r>
      <w:r w:rsidRPr="00FC15EF">
        <w:rPr>
          <w:rFonts w:asciiTheme="minorBidi" w:hAnsiTheme="minorBidi"/>
          <w:sz w:val="23"/>
          <w:szCs w:val="23"/>
        </w:rPr>
        <w:t>I is a program that uses mindfulness practices to improve mental and emotional well-being. These practices cultivate a state of present-moment awareness, where you focus on your thoughts, feelings, and bodily sensations without judgment. MBIs can involve activities like meditation, yoga, and breathing exercises</w:t>
      </w:r>
      <w:r w:rsidR="006B327F" w:rsidRPr="00FC15EF">
        <w:rPr>
          <w:rFonts w:asciiTheme="minorBidi" w:hAnsiTheme="minorBidi"/>
          <w:sz w:val="23"/>
          <w:szCs w:val="23"/>
        </w:rPr>
        <w:t xml:space="preserve"> (National Institutes of Health, 2022). </w:t>
      </w:r>
      <w:r w:rsidR="00792796" w:rsidRPr="00FC15EF">
        <w:rPr>
          <w:rFonts w:asciiTheme="minorBidi" w:hAnsiTheme="minorBidi"/>
          <w:sz w:val="23"/>
          <w:szCs w:val="23"/>
        </w:rPr>
        <w:t xml:space="preserve">Felver et al. (2015) examine how MBIs improve student mental and emotional health. These programmes were investigated for their effects on students' emotional regulation, attention, self-awareness, social functioning, and mental health. According to the review, MBIs in schools can improve emotional regulation, stress management, attention and focus, self-awareness, and classroom conduct. However, generalising these findings requires more thorough and long-term research, and a bigger sample size may provide more definitive evidence. </w:t>
      </w:r>
    </w:p>
    <w:p w14:paraId="2F90650C" w14:textId="2DEBA5E5" w:rsidR="00211324" w:rsidRPr="00FC15EF" w:rsidRDefault="007E7A84" w:rsidP="00FC15EF">
      <w:pPr>
        <w:spacing w:after="0" w:line="360" w:lineRule="auto"/>
        <w:rPr>
          <w:rFonts w:asciiTheme="minorBidi" w:hAnsiTheme="minorBidi"/>
          <w:sz w:val="23"/>
          <w:szCs w:val="23"/>
        </w:rPr>
      </w:pPr>
      <w:r w:rsidRPr="00FC15EF">
        <w:rPr>
          <w:rFonts w:asciiTheme="minorBidi" w:hAnsiTheme="minorBidi"/>
          <w:sz w:val="23"/>
          <w:szCs w:val="23"/>
        </w:rPr>
        <w:t>However, such approaches have not addressed low-income schools, which are more vulnerable to long-term exposure to environmental stresses (Segal, Vyas, &amp; Monson, 2021). These researchers point out that it is unknown whether methods designed for children in general are beneficial for this vulnerable population. They carried out an in-</w:t>
      </w:r>
      <w:r w:rsidRPr="00FC15EF">
        <w:rPr>
          <w:rFonts w:asciiTheme="minorBidi" w:hAnsiTheme="minorBidi"/>
          <w:sz w:val="23"/>
          <w:szCs w:val="23"/>
        </w:rPr>
        <w:lastRenderedPageBreak/>
        <w:t xml:space="preserve">depth review to assess the effectiveness of mindfulness-based therapies given in low-income schools. The findings revealed that school-based mindfulness programmes may have the potential to increase access to intervention for low-income adolescents. </w:t>
      </w:r>
      <w:r w:rsidRPr="00FC15EF">
        <w:rPr>
          <w:rFonts w:asciiTheme="minorBidi" w:hAnsiTheme="minorBidi"/>
          <w:sz w:val="23"/>
          <w:szCs w:val="23"/>
        </w:rPr>
        <w:br/>
        <w:t>This outcome is beneficial because it may lead to the incorporation of interventions into low-income schools</w:t>
      </w:r>
      <w:r w:rsidR="00883717" w:rsidRPr="00FC15EF">
        <w:rPr>
          <w:rFonts w:asciiTheme="minorBidi" w:hAnsiTheme="minorBidi"/>
          <w:sz w:val="23"/>
          <w:szCs w:val="23"/>
        </w:rPr>
        <w:t xml:space="preserve"> to support learning and engagement</w:t>
      </w:r>
      <w:r w:rsidRPr="00FC15EF">
        <w:rPr>
          <w:rFonts w:asciiTheme="minorBidi" w:hAnsiTheme="minorBidi"/>
          <w:sz w:val="23"/>
          <w:szCs w:val="23"/>
        </w:rPr>
        <w:t xml:space="preserve">. </w:t>
      </w:r>
    </w:p>
    <w:p w14:paraId="66D63569" w14:textId="77777777" w:rsidR="00211324" w:rsidRPr="00FC15EF" w:rsidRDefault="00211324" w:rsidP="00FC15EF">
      <w:pPr>
        <w:spacing w:after="0" w:line="360" w:lineRule="auto"/>
        <w:rPr>
          <w:rFonts w:asciiTheme="minorBidi" w:hAnsiTheme="minorBidi"/>
          <w:sz w:val="23"/>
          <w:szCs w:val="23"/>
        </w:rPr>
      </w:pPr>
    </w:p>
    <w:p w14:paraId="77F5AC79" w14:textId="0C2BF65E" w:rsidR="007E7A84" w:rsidRPr="00FC15EF" w:rsidRDefault="00211324" w:rsidP="00FC15EF">
      <w:pPr>
        <w:spacing w:after="0" w:line="360" w:lineRule="auto"/>
        <w:rPr>
          <w:rFonts w:asciiTheme="minorBidi" w:hAnsiTheme="minorBidi"/>
          <w:sz w:val="23"/>
          <w:szCs w:val="23"/>
        </w:rPr>
      </w:pPr>
      <w:r w:rsidRPr="00FC15EF">
        <w:rPr>
          <w:rFonts w:asciiTheme="minorBidi" w:hAnsiTheme="minorBidi"/>
          <w:sz w:val="23"/>
          <w:szCs w:val="23"/>
        </w:rPr>
        <w:t>Nonetheless</w:t>
      </w:r>
      <w:r w:rsidR="007E7A84" w:rsidRPr="00FC15EF">
        <w:rPr>
          <w:rFonts w:asciiTheme="minorBidi" w:hAnsiTheme="minorBidi"/>
          <w:sz w:val="23"/>
          <w:szCs w:val="23"/>
        </w:rPr>
        <w:t>, establishing the degree of commitment to the intervention during delivery is essential in assessing the validity of intervention outcomes, which was frequently missing from the research reviewed.</w:t>
      </w:r>
      <w:r w:rsidR="00CF6C3E" w:rsidRPr="00FC15EF">
        <w:rPr>
          <w:rFonts w:asciiTheme="minorBidi" w:hAnsiTheme="minorBidi"/>
          <w:sz w:val="23"/>
          <w:szCs w:val="23"/>
        </w:rPr>
        <w:t xml:space="preserve"> When considering the contrast between findings in the studies mentioned above, perhaps investigating wh</w:t>
      </w:r>
      <w:r w:rsidR="009C5220" w:rsidRPr="00FC15EF">
        <w:rPr>
          <w:rFonts w:asciiTheme="minorBidi" w:hAnsiTheme="minorBidi"/>
          <w:sz w:val="23"/>
          <w:szCs w:val="23"/>
        </w:rPr>
        <w:t>ether the differences are impacted by varying research methods and designs, or data collection methods.</w:t>
      </w:r>
      <w:r w:rsidR="0011609F">
        <w:rPr>
          <w:rFonts w:asciiTheme="minorBidi" w:hAnsiTheme="minorBidi"/>
          <w:sz w:val="23"/>
          <w:szCs w:val="23"/>
        </w:rPr>
        <w:t xml:space="preserve"> Additionally, </w:t>
      </w:r>
      <w:r w:rsidR="0002721A">
        <w:rPr>
          <w:rFonts w:asciiTheme="minorBidi" w:hAnsiTheme="minorBidi"/>
          <w:sz w:val="23"/>
          <w:szCs w:val="23"/>
        </w:rPr>
        <w:t xml:space="preserve">researching the impact of MBI’s in </w:t>
      </w:r>
      <w:proofErr w:type="gramStart"/>
      <w:r w:rsidR="0002721A">
        <w:rPr>
          <w:rFonts w:asciiTheme="minorBidi" w:hAnsiTheme="minorBidi"/>
          <w:sz w:val="23"/>
          <w:szCs w:val="23"/>
        </w:rPr>
        <w:t>low income</w:t>
      </w:r>
      <w:proofErr w:type="gramEnd"/>
      <w:r w:rsidR="0002721A">
        <w:rPr>
          <w:rFonts w:asciiTheme="minorBidi" w:hAnsiTheme="minorBidi"/>
          <w:sz w:val="23"/>
          <w:szCs w:val="23"/>
        </w:rPr>
        <w:t xml:space="preserve"> schools may provide useful interventions for pupils in future research. </w:t>
      </w:r>
    </w:p>
    <w:p w14:paraId="412B0A2F" w14:textId="129DDDEE" w:rsidR="00ED6970" w:rsidRPr="00677FDD" w:rsidRDefault="00ED6970" w:rsidP="00FC15EF">
      <w:pPr>
        <w:spacing w:after="0" w:line="360" w:lineRule="auto"/>
        <w:rPr>
          <w:rFonts w:asciiTheme="minorBidi" w:hAnsiTheme="minorBidi"/>
          <w:sz w:val="23"/>
          <w:szCs w:val="23"/>
          <w:u w:val="single"/>
        </w:rPr>
      </w:pPr>
    </w:p>
    <w:p w14:paraId="6D10E8B2" w14:textId="77777777" w:rsidR="00677FDD" w:rsidRPr="00677FDD" w:rsidRDefault="004E4668" w:rsidP="00677FDD">
      <w:pPr>
        <w:spacing w:line="360" w:lineRule="auto"/>
        <w:rPr>
          <w:rFonts w:asciiTheme="minorBidi" w:hAnsiTheme="minorBidi"/>
          <w:b/>
          <w:bCs/>
          <w:sz w:val="23"/>
          <w:szCs w:val="23"/>
          <w:u w:val="single"/>
        </w:rPr>
      </w:pPr>
      <w:r w:rsidRPr="00677FDD">
        <w:rPr>
          <w:rFonts w:asciiTheme="minorBidi" w:hAnsiTheme="minorBidi"/>
          <w:b/>
          <w:bCs/>
          <w:sz w:val="23"/>
          <w:szCs w:val="23"/>
          <w:u w:val="single"/>
        </w:rPr>
        <w:t>Explanation of Case Study</w:t>
      </w:r>
    </w:p>
    <w:p w14:paraId="1CB7A7B0" w14:textId="040FCBFA" w:rsidR="00FA6BDB" w:rsidRPr="00FC15EF" w:rsidRDefault="00870BC9" w:rsidP="00677FDD">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Case study research is an investigative strategy that </w:t>
      </w:r>
      <w:proofErr w:type="gramStart"/>
      <w:r w:rsidRPr="00FC15EF">
        <w:rPr>
          <w:rFonts w:asciiTheme="minorBidi" w:eastAsia="Times New Roman" w:hAnsiTheme="minorBidi"/>
          <w:kern w:val="0"/>
          <w:sz w:val="23"/>
          <w:szCs w:val="23"/>
          <w:lang w:eastAsia="en-GB"/>
          <w14:ligatures w14:val="none"/>
        </w:rPr>
        <w:t>looks into</w:t>
      </w:r>
      <w:proofErr w:type="gramEnd"/>
      <w:r w:rsidRPr="00FC15EF">
        <w:rPr>
          <w:rFonts w:asciiTheme="minorBidi" w:eastAsia="Times New Roman" w:hAnsiTheme="minorBidi"/>
          <w:kern w:val="0"/>
          <w:sz w:val="23"/>
          <w:szCs w:val="23"/>
          <w:lang w:eastAsia="en-GB"/>
          <w14:ligatures w14:val="none"/>
        </w:rPr>
        <w:t xml:space="preserve"> a specific subject, such as an individual, group, organisation, event, or phenomena, within a certain context (Merriam, 1998; Yin, 2018). This strategy</w:t>
      </w:r>
      <w:r w:rsidR="00FA6BDB" w:rsidRPr="00FC15EF">
        <w:rPr>
          <w:rFonts w:asciiTheme="minorBidi" w:eastAsia="Times New Roman" w:hAnsiTheme="minorBidi"/>
          <w:kern w:val="0"/>
          <w:sz w:val="23"/>
          <w:szCs w:val="23"/>
          <w:lang w:eastAsia="en-GB"/>
          <w14:ligatures w14:val="none"/>
        </w:rPr>
        <w:t xml:space="preserve"> </w:t>
      </w:r>
      <w:r w:rsidRPr="00FC15EF">
        <w:rPr>
          <w:rFonts w:asciiTheme="minorBidi" w:eastAsia="Times New Roman" w:hAnsiTheme="minorBidi"/>
          <w:kern w:val="0"/>
          <w:sz w:val="23"/>
          <w:szCs w:val="23"/>
          <w:lang w:eastAsia="en-GB"/>
          <w14:ligatures w14:val="none"/>
        </w:rPr>
        <w:t xml:space="preserve">emphasises the collection of rich data </w:t>
      </w:r>
      <w:proofErr w:type="gramStart"/>
      <w:r w:rsidRPr="00FC15EF">
        <w:rPr>
          <w:rFonts w:asciiTheme="minorBidi" w:eastAsia="Times New Roman" w:hAnsiTheme="minorBidi"/>
          <w:kern w:val="0"/>
          <w:sz w:val="23"/>
          <w:szCs w:val="23"/>
          <w:lang w:eastAsia="en-GB"/>
          <w14:ligatures w14:val="none"/>
        </w:rPr>
        <w:t>in order to</w:t>
      </w:r>
      <w:proofErr w:type="gramEnd"/>
      <w:r w:rsidRPr="00FC15EF">
        <w:rPr>
          <w:rFonts w:asciiTheme="minorBidi" w:eastAsia="Times New Roman" w:hAnsiTheme="minorBidi"/>
          <w:kern w:val="0"/>
          <w:sz w:val="23"/>
          <w:szCs w:val="23"/>
          <w:lang w:eastAsia="en-GB"/>
          <w14:ligatures w14:val="none"/>
        </w:rPr>
        <w:t xml:space="preserve"> create an in-depth understanding of an issue</w:t>
      </w:r>
      <w:r w:rsidR="00C24C03" w:rsidRPr="00FC15EF">
        <w:rPr>
          <w:rFonts w:asciiTheme="minorBidi" w:eastAsia="Times New Roman" w:hAnsiTheme="minorBidi"/>
          <w:kern w:val="0"/>
          <w:sz w:val="23"/>
          <w:szCs w:val="23"/>
          <w:lang w:eastAsia="en-GB"/>
          <w14:ligatures w14:val="none"/>
        </w:rPr>
        <w:t xml:space="preserve">. </w:t>
      </w:r>
      <w:r w:rsidRPr="00FC15EF">
        <w:rPr>
          <w:rFonts w:asciiTheme="minorBidi" w:eastAsia="Times New Roman" w:hAnsiTheme="minorBidi"/>
          <w:kern w:val="0"/>
          <w:sz w:val="23"/>
          <w:szCs w:val="23"/>
          <w:lang w:eastAsia="en-GB"/>
          <w14:ligatures w14:val="none"/>
        </w:rPr>
        <w:t>Merriam (1998) emphasises the case study's ability to capture the 'lived experience' of the subject</w:t>
      </w:r>
      <w:r w:rsidR="00C24C03" w:rsidRPr="00FC15EF">
        <w:rPr>
          <w:rFonts w:asciiTheme="minorBidi" w:eastAsia="Times New Roman" w:hAnsiTheme="minorBidi"/>
          <w:kern w:val="0"/>
          <w:sz w:val="23"/>
          <w:szCs w:val="23"/>
          <w:lang w:eastAsia="en-GB"/>
          <w14:ligatures w14:val="none"/>
        </w:rPr>
        <w:t xml:space="preserve"> through </w:t>
      </w:r>
      <w:r w:rsidR="002B4133" w:rsidRPr="00FC15EF">
        <w:rPr>
          <w:rFonts w:asciiTheme="minorBidi" w:eastAsia="Times New Roman" w:hAnsiTheme="minorBidi"/>
          <w:kern w:val="0"/>
          <w:sz w:val="23"/>
          <w:szCs w:val="23"/>
          <w:lang w:eastAsia="en-GB"/>
          <w14:ligatures w14:val="none"/>
        </w:rPr>
        <w:t>surveys, interviews and questionnaires that capture detailed data including real-life experiences</w:t>
      </w:r>
      <w:r w:rsidRPr="00FC15EF">
        <w:rPr>
          <w:rFonts w:asciiTheme="minorBidi" w:eastAsia="Times New Roman" w:hAnsiTheme="minorBidi"/>
          <w:kern w:val="0"/>
          <w:sz w:val="23"/>
          <w:szCs w:val="23"/>
          <w:lang w:eastAsia="en-GB"/>
          <w14:ligatures w14:val="none"/>
        </w:rPr>
        <w:t xml:space="preserve">. </w:t>
      </w:r>
      <w:r w:rsidR="00AA2192" w:rsidRPr="00FC15EF">
        <w:rPr>
          <w:rFonts w:asciiTheme="minorBidi" w:eastAsia="Times New Roman" w:hAnsiTheme="minorBidi"/>
          <w:kern w:val="0"/>
          <w:sz w:val="23"/>
          <w:szCs w:val="23"/>
          <w:lang w:eastAsia="en-GB"/>
          <w14:ligatures w14:val="none"/>
        </w:rPr>
        <w:t xml:space="preserve">Likewise, Creswell (2014) highlights how these qualitative methods provide deeper representations of an investigation, including not just facts but also lived experiences and subjective opinions. </w:t>
      </w:r>
      <w:r w:rsidR="00FA6BDB" w:rsidRPr="00FC15EF">
        <w:rPr>
          <w:rFonts w:asciiTheme="minorBidi" w:eastAsia="Times New Roman" w:hAnsiTheme="minorBidi"/>
          <w:kern w:val="0"/>
          <w:sz w:val="23"/>
          <w:szCs w:val="23"/>
          <w:lang w:eastAsia="en-GB"/>
          <w14:ligatures w14:val="none"/>
        </w:rPr>
        <w:t>Therefore, perhaps by analysing a student's experiences in the classroom, researchers may gain valuable insights into how various factors, such as curriculum design, teacher-student interactions, and peer dynamics, can influence the situation rather than by looking at just facts and data alone.</w:t>
      </w:r>
    </w:p>
    <w:p w14:paraId="69348F78" w14:textId="6112EE17" w:rsidR="00365A1D" w:rsidRPr="00FC15EF" w:rsidRDefault="00870BC9"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br/>
        <w:t xml:space="preserve">Case study research has important characteristics that set it apart from other research approaches. Case studies, as opposed to surveys or experiments, involve dealing with a limited number of situations (Stake, 1995). </w:t>
      </w:r>
      <w:r w:rsidR="00FA6BDB" w:rsidRPr="00FC15EF">
        <w:rPr>
          <w:rFonts w:asciiTheme="minorBidi" w:eastAsia="Times New Roman" w:hAnsiTheme="minorBidi"/>
          <w:kern w:val="0"/>
          <w:sz w:val="23"/>
          <w:szCs w:val="23"/>
          <w:lang w:eastAsia="en-GB"/>
          <w14:ligatures w14:val="none"/>
        </w:rPr>
        <w:t>Therefore, by looking at more specified instances</w:t>
      </w:r>
      <w:r w:rsidR="00D03FE8" w:rsidRPr="00FC15EF">
        <w:rPr>
          <w:rFonts w:asciiTheme="minorBidi" w:eastAsia="Times New Roman" w:hAnsiTheme="minorBidi"/>
          <w:kern w:val="0"/>
          <w:sz w:val="23"/>
          <w:szCs w:val="23"/>
          <w:lang w:eastAsia="en-GB"/>
          <w14:ligatures w14:val="none"/>
        </w:rPr>
        <w:t>,</w:t>
      </w:r>
      <w:r w:rsidR="00FA6BDB" w:rsidRPr="00FC15EF">
        <w:rPr>
          <w:rFonts w:asciiTheme="minorBidi" w:eastAsia="Times New Roman" w:hAnsiTheme="minorBidi"/>
          <w:kern w:val="0"/>
          <w:sz w:val="23"/>
          <w:szCs w:val="23"/>
          <w:lang w:eastAsia="en-GB"/>
          <w14:ligatures w14:val="none"/>
        </w:rPr>
        <w:t xml:space="preserve"> </w:t>
      </w:r>
      <w:r w:rsidR="00D03FE8" w:rsidRPr="00FC15EF">
        <w:rPr>
          <w:rFonts w:asciiTheme="minorBidi" w:eastAsia="Times New Roman" w:hAnsiTheme="minorBidi"/>
          <w:kern w:val="0"/>
          <w:sz w:val="23"/>
          <w:szCs w:val="23"/>
          <w:lang w:eastAsia="en-GB"/>
          <w14:ligatures w14:val="none"/>
        </w:rPr>
        <w:t>researchers</w:t>
      </w:r>
      <w:r w:rsidR="006B2A4B" w:rsidRPr="00FC15EF">
        <w:rPr>
          <w:rFonts w:asciiTheme="minorBidi" w:eastAsia="Times New Roman" w:hAnsiTheme="minorBidi"/>
          <w:kern w:val="0"/>
          <w:sz w:val="23"/>
          <w:szCs w:val="23"/>
          <w:lang w:eastAsia="en-GB"/>
          <w14:ligatures w14:val="none"/>
        </w:rPr>
        <w:t xml:space="preserve"> may be able to gain a fuller understanding of specific circumstances influencing an investigation, resulting in more specific data</w:t>
      </w:r>
      <w:r w:rsidR="00D03FE8" w:rsidRPr="00FC15EF">
        <w:rPr>
          <w:rFonts w:asciiTheme="minorBidi" w:eastAsia="Times New Roman" w:hAnsiTheme="minorBidi"/>
          <w:kern w:val="0"/>
          <w:sz w:val="23"/>
          <w:szCs w:val="23"/>
          <w:lang w:eastAsia="en-GB"/>
          <w14:ligatures w14:val="none"/>
        </w:rPr>
        <w:t xml:space="preserve"> and therefore useful interventions</w:t>
      </w:r>
      <w:r w:rsidR="000852CD" w:rsidRPr="00FC15EF">
        <w:rPr>
          <w:rFonts w:asciiTheme="minorBidi" w:eastAsia="Times New Roman" w:hAnsiTheme="minorBidi"/>
          <w:kern w:val="0"/>
          <w:sz w:val="23"/>
          <w:szCs w:val="23"/>
          <w:lang w:eastAsia="en-GB"/>
          <w14:ligatures w14:val="none"/>
        </w:rPr>
        <w:t xml:space="preserve"> to overcome issues for groups or individuals.</w:t>
      </w:r>
      <w:r w:rsidR="0000722C" w:rsidRPr="00FC15EF">
        <w:rPr>
          <w:rFonts w:asciiTheme="minorBidi" w:eastAsia="Times New Roman" w:hAnsiTheme="minorBidi"/>
          <w:kern w:val="0"/>
          <w:sz w:val="23"/>
          <w:szCs w:val="23"/>
          <w:lang w:eastAsia="en-GB"/>
          <w14:ligatures w14:val="none"/>
        </w:rPr>
        <w:t xml:space="preserve"> However, although</w:t>
      </w:r>
      <w:r w:rsidR="00062695" w:rsidRPr="00FC15EF">
        <w:rPr>
          <w:rFonts w:asciiTheme="minorBidi" w:eastAsia="Times New Roman" w:hAnsiTheme="minorBidi"/>
          <w:kern w:val="0"/>
          <w:sz w:val="23"/>
          <w:szCs w:val="23"/>
          <w:lang w:eastAsia="en-GB"/>
          <w14:ligatures w14:val="none"/>
        </w:rPr>
        <w:t xml:space="preserve"> </w:t>
      </w:r>
      <w:r w:rsidR="00062695" w:rsidRPr="00FC15EF">
        <w:rPr>
          <w:rFonts w:asciiTheme="minorBidi" w:eastAsia="Times New Roman" w:hAnsiTheme="minorBidi"/>
          <w:kern w:val="0"/>
          <w:sz w:val="23"/>
          <w:szCs w:val="23"/>
          <w:lang w:eastAsia="en-GB"/>
          <w14:ligatures w14:val="none"/>
        </w:rPr>
        <w:lastRenderedPageBreak/>
        <w:t xml:space="preserve">case studies can provide highly specific </w:t>
      </w:r>
      <w:r w:rsidR="00B952CA" w:rsidRPr="00FC15EF">
        <w:rPr>
          <w:rFonts w:asciiTheme="minorBidi" w:eastAsia="Times New Roman" w:hAnsiTheme="minorBidi"/>
          <w:kern w:val="0"/>
          <w:sz w:val="23"/>
          <w:szCs w:val="23"/>
          <w:lang w:eastAsia="en-GB"/>
          <w14:ligatures w14:val="none"/>
        </w:rPr>
        <w:t>information</w:t>
      </w:r>
      <w:r w:rsidR="00365A1D" w:rsidRPr="00FC15EF">
        <w:rPr>
          <w:rFonts w:asciiTheme="minorBidi" w:eastAsia="Times New Roman" w:hAnsiTheme="minorBidi"/>
          <w:kern w:val="0"/>
          <w:sz w:val="23"/>
          <w:szCs w:val="23"/>
          <w:lang w:eastAsia="en-GB"/>
          <w14:ligatures w14:val="none"/>
        </w:rPr>
        <w:t xml:space="preserve"> and inform future research</w:t>
      </w:r>
      <w:r w:rsidR="00B952CA" w:rsidRPr="00FC15EF">
        <w:rPr>
          <w:rFonts w:asciiTheme="minorBidi" w:eastAsia="Times New Roman" w:hAnsiTheme="minorBidi"/>
          <w:kern w:val="0"/>
          <w:sz w:val="23"/>
          <w:szCs w:val="23"/>
          <w:lang w:eastAsia="en-GB"/>
          <w14:ligatures w14:val="none"/>
        </w:rPr>
        <w:t>, it is important for researchers to acknowledge its limitations. One significant drawback of case studies is their lack of generalisation.</w:t>
      </w:r>
      <w:r w:rsidR="00C16EC6" w:rsidRPr="00FC15EF">
        <w:rPr>
          <w:rFonts w:asciiTheme="minorBidi" w:eastAsia="Times New Roman" w:hAnsiTheme="minorBidi"/>
          <w:kern w:val="0"/>
          <w:sz w:val="23"/>
          <w:szCs w:val="23"/>
          <w:lang w:eastAsia="en-GB"/>
          <w14:ligatures w14:val="none"/>
        </w:rPr>
        <w:t xml:space="preserve"> Gerring (2007) points out that case studies often</w:t>
      </w:r>
      <w:r w:rsidR="00A91BCA" w:rsidRPr="00FC15EF">
        <w:rPr>
          <w:rFonts w:asciiTheme="minorBidi" w:eastAsia="Times New Roman" w:hAnsiTheme="minorBidi"/>
          <w:kern w:val="0"/>
          <w:sz w:val="23"/>
          <w:szCs w:val="23"/>
          <w:lang w:eastAsia="en-GB"/>
          <w14:ligatures w14:val="none"/>
        </w:rPr>
        <w:t xml:space="preserve"> are not statistically high enough to be generalised to the larger population, as numbers are often fewer.</w:t>
      </w:r>
      <w:r w:rsidR="00B952CA" w:rsidRPr="00FC15EF">
        <w:rPr>
          <w:rFonts w:asciiTheme="minorBidi" w:eastAsia="Times New Roman" w:hAnsiTheme="minorBidi"/>
          <w:kern w:val="0"/>
          <w:sz w:val="23"/>
          <w:szCs w:val="23"/>
          <w:lang w:eastAsia="en-GB"/>
          <w14:ligatures w14:val="none"/>
        </w:rPr>
        <w:t xml:space="preserve"> It</w:t>
      </w:r>
      <w:r w:rsidR="00A91BCA" w:rsidRPr="00FC15EF">
        <w:rPr>
          <w:rFonts w:asciiTheme="minorBidi" w:eastAsia="Times New Roman" w:hAnsiTheme="minorBidi"/>
          <w:kern w:val="0"/>
          <w:sz w:val="23"/>
          <w:szCs w:val="23"/>
          <w:lang w:eastAsia="en-GB"/>
          <w14:ligatures w14:val="none"/>
        </w:rPr>
        <w:t xml:space="preserve"> is therefore</w:t>
      </w:r>
      <w:r w:rsidR="00B952CA" w:rsidRPr="00FC15EF">
        <w:rPr>
          <w:rFonts w:asciiTheme="minorBidi" w:eastAsia="Times New Roman" w:hAnsiTheme="minorBidi"/>
          <w:kern w:val="0"/>
          <w:sz w:val="23"/>
          <w:szCs w:val="23"/>
          <w:lang w:eastAsia="en-GB"/>
          <w14:ligatures w14:val="none"/>
        </w:rPr>
        <w:t xml:space="preserve"> important to note that the findings from a single case study of a student or classroom may not be universally applicable to other schools or students.</w:t>
      </w:r>
    </w:p>
    <w:p w14:paraId="2264411A" w14:textId="77777777" w:rsidR="00365A1D" w:rsidRPr="00FC15EF" w:rsidRDefault="00365A1D" w:rsidP="00FC15EF">
      <w:pPr>
        <w:spacing w:after="0" w:line="360" w:lineRule="auto"/>
        <w:rPr>
          <w:rFonts w:asciiTheme="minorBidi" w:eastAsia="Times New Roman" w:hAnsiTheme="minorBidi"/>
          <w:kern w:val="0"/>
          <w:sz w:val="23"/>
          <w:szCs w:val="23"/>
          <w:lang w:eastAsia="en-GB"/>
          <w14:ligatures w14:val="none"/>
        </w:rPr>
      </w:pPr>
    </w:p>
    <w:p w14:paraId="3DC519A1" w14:textId="2C2794DB" w:rsidR="007148C1" w:rsidRPr="007B415E" w:rsidRDefault="00365A1D" w:rsidP="007B415E">
      <w:pPr>
        <w:spacing w:after="0"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Furthermore, case studies pose the risk of researcher bias. </w:t>
      </w:r>
      <w:r w:rsidR="00EE5077" w:rsidRPr="00FC15EF">
        <w:rPr>
          <w:rFonts w:asciiTheme="minorBidi" w:eastAsia="Times New Roman" w:hAnsiTheme="minorBidi"/>
          <w:kern w:val="0"/>
          <w:sz w:val="23"/>
          <w:szCs w:val="23"/>
          <w:lang w:eastAsia="en-GB"/>
          <w14:ligatures w14:val="none"/>
        </w:rPr>
        <w:t>Researcher’s</w:t>
      </w:r>
      <w:r w:rsidR="005F4224" w:rsidRPr="00FC15EF">
        <w:rPr>
          <w:rFonts w:asciiTheme="minorBidi" w:eastAsia="Times New Roman" w:hAnsiTheme="minorBidi"/>
          <w:kern w:val="0"/>
          <w:sz w:val="23"/>
          <w:szCs w:val="23"/>
          <w:lang w:eastAsia="en-GB"/>
          <w14:ligatures w14:val="none"/>
        </w:rPr>
        <w:t xml:space="preserve"> interpretations and data selection may influence the final conclusions</w:t>
      </w:r>
      <w:r w:rsidR="00A00EAA" w:rsidRPr="00FC15EF">
        <w:rPr>
          <w:rFonts w:asciiTheme="minorBidi" w:eastAsia="Times New Roman" w:hAnsiTheme="minorBidi"/>
          <w:kern w:val="0"/>
          <w:sz w:val="23"/>
          <w:szCs w:val="23"/>
          <w:lang w:eastAsia="en-GB"/>
          <w14:ligatures w14:val="none"/>
        </w:rPr>
        <w:t xml:space="preserve"> if specific children have been chosen to participate</w:t>
      </w:r>
      <w:r w:rsidR="003D139A" w:rsidRPr="00FC15EF">
        <w:rPr>
          <w:rFonts w:asciiTheme="minorBidi" w:eastAsia="Times New Roman" w:hAnsiTheme="minorBidi"/>
          <w:kern w:val="0"/>
          <w:sz w:val="23"/>
          <w:szCs w:val="23"/>
          <w:lang w:eastAsia="en-GB"/>
          <w14:ligatures w14:val="none"/>
        </w:rPr>
        <w:t xml:space="preserve"> (Yazan, 2015)</w:t>
      </w:r>
      <w:r w:rsidR="00A00EAA" w:rsidRPr="00FC15EF">
        <w:rPr>
          <w:rFonts w:asciiTheme="minorBidi" w:eastAsia="Times New Roman" w:hAnsiTheme="minorBidi"/>
          <w:kern w:val="0"/>
          <w:sz w:val="23"/>
          <w:szCs w:val="23"/>
          <w:lang w:eastAsia="en-GB"/>
          <w14:ligatures w14:val="none"/>
        </w:rPr>
        <w:t xml:space="preserve">. </w:t>
      </w:r>
      <w:r w:rsidR="003D139A" w:rsidRPr="00FC15EF">
        <w:rPr>
          <w:rFonts w:asciiTheme="minorBidi" w:eastAsia="Times New Roman" w:hAnsiTheme="minorBidi"/>
          <w:kern w:val="0"/>
          <w:sz w:val="23"/>
          <w:szCs w:val="23"/>
          <w:lang w:eastAsia="en-GB"/>
          <w14:ligatures w14:val="none"/>
        </w:rPr>
        <w:t>This would therefore influence the research findings, negatively impacting their validity. During</w:t>
      </w:r>
      <w:r w:rsidR="00F01D65" w:rsidRPr="00FC15EF">
        <w:rPr>
          <w:rFonts w:asciiTheme="minorBidi" w:eastAsia="Times New Roman" w:hAnsiTheme="minorBidi"/>
          <w:kern w:val="0"/>
          <w:sz w:val="23"/>
          <w:szCs w:val="23"/>
          <w:lang w:eastAsia="en-GB"/>
          <w14:ligatures w14:val="none"/>
        </w:rPr>
        <w:t xml:space="preserve"> the </w:t>
      </w:r>
      <w:r w:rsidR="003D139A" w:rsidRPr="00FC15EF">
        <w:rPr>
          <w:rFonts w:asciiTheme="minorBidi" w:eastAsia="Times New Roman" w:hAnsiTheme="minorBidi"/>
          <w:kern w:val="0"/>
          <w:sz w:val="23"/>
          <w:szCs w:val="23"/>
          <w:lang w:eastAsia="en-GB"/>
          <w14:ligatures w14:val="none"/>
        </w:rPr>
        <w:t>fore coming</w:t>
      </w:r>
      <w:r w:rsidR="00F01D65" w:rsidRPr="00FC15EF">
        <w:rPr>
          <w:rFonts w:asciiTheme="minorBidi" w:eastAsia="Times New Roman" w:hAnsiTheme="minorBidi"/>
          <w:kern w:val="0"/>
          <w:sz w:val="23"/>
          <w:szCs w:val="23"/>
          <w:lang w:eastAsia="en-GB"/>
          <w14:ligatures w14:val="none"/>
        </w:rPr>
        <w:t xml:space="preserve"> case study, participants will include children from a year two classroom based in the Welsh valleys. The class consists of 27 pupils, however for the purposes of this case study, </w:t>
      </w:r>
      <w:r w:rsidR="00D15666" w:rsidRPr="00FC15EF">
        <w:rPr>
          <w:rFonts w:asciiTheme="minorBidi" w:eastAsia="Times New Roman" w:hAnsiTheme="minorBidi"/>
          <w:kern w:val="0"/>
          <w:sz w:val="23"/>
          <w:szCs w:val="23"/>
          <w:lang w:eastAsia="en-GB"/>
          <w14:ligatures w14:val="none"/>
        </w:rPr>
        <w:t>a small group of 6 pupils will participate following pupil and parental consent. These six pupils will be selecte</w:t>
      </w:r>
      <w:r w:rsidR="008539A5" w:rsidRPr="00FC15EF">
        <w:rPr>
          <w:rFonts w:asciiTheme="minorBidi" w:eastAsia="Times New Roman" w:hAnsiTheme="minorBidi"/>
          <w:kern w:val="0"/>
          <w:sz w:val="23"/>
          <w:szCs w:val="23"/>
          <w:lang w:eastAsia="en-GB"/>
          <w14:ligatures w14:val="none"/>
        </w:rPr>
        <w:t xml:space="preserve">d at random to ensure a representative sample. Specifically, </w:t>
      </w:r>
      <w:r w:rsidR="00132DD6" w:rsidRPr="00FC15EF">
        <w:rPr>
          <w:rFonts w:asciiTheme="minorBidi" w:eastAsia="Times New Roman" w:hAnsiTheme="minorBidi"/>
          <w:kern w:val="0"/>
          <w:sz w:val="23"/>
          <w:szCs w:val="23"/>
          <w:lang w:eastAsia="en-GB"/>
          <w14:ligatures w14:val="none"/>
        </w:rPr>
        <w:t xml:space="preserve">using a register of </w:t>
      </w:r>
      <w:r w:rsidR="007F7E4F" w:rsidRPr="00FC15EF">
        <w:rPr>
          <w:rFonts w:asciiTheme="minorBidi" w:eastAsia="Times New Roman" w:hAnsiTheme="minorBidi"/>
          <w:kern w:val="0"/>
          <w:sz w:val="23"/>
          <w:szCs w:val="23"/>
          <w:lang w:eastAsia="en-GB"/>
          <w14:ligatures w14:val="none"/>
        </w:rPr>
        <w:t>children’s</w:t>
      </w:r>
      <w:r w:rsidR="00132DD6" w:rsidRPr="00FC15EF">
        <w:rPr>
          <w:rFonts w:asciiTheme="minorBidi" w:eastAsia="Times New Roman" w:hAnsiTheme="minorBidi"/>
          <w:kern w:val="0"/>
          <w:sz w:val="23"/>
          <w:szCs w:val="23"/>
          <w:lang w:eastAsia="en-GB"/>
          <w14:ligatures w14:val="none"/>
        </w:rPr>
        <w:t xml:space="preserve"> names in alphabetical order, every fourth name will be selected</w:t>
      </w:r>
      <w:r w:rsidR="007F7E4F" w:rsidRPr="00FC15EF">
        <w:rPr>
          <w:rFonts w:asciiTheme="minorBidi" w:eastAsia="Times New Roman" w:hAnsiTheme="minorBidi"/>
          <w:kern w:val="0"/>
          <w:sz w:val="23"/>
          <w:szCs w:val="23"/>
          <w:lang w:eastAsia="en-GB"/>
          <w14:ligatures w14:val="none"/>
        </w:rPr>
        <w:t xml:space="preserve">. If the selected pupil does not wish to participate or does not provide parental consent, the following name will be chosen. This way, the sample is random and </w:t>
      </w:r>
      <w:r w:rsidR="00023E1C" w:rsidRPr="00FC15EF">
        <w:rPr>
          <w:rFonts w:asciiTheme="minorBidi" w:eastAsia="Times New Roman" w:hAnsiTheme="minorBidi"/>
          <w:kern w:val="0"/>
          <w:sz w:val="23"/>
          <w:szCs w:val="23"/>
          <w:lang w:eastAsia="en-GB"/>
          <w14:ligatures w14:val="none"/>
        </w:rPr>
        <w:t>therefore more likely to draw reliable conclusions</w:t>
      </w:r>
      <w:r w:rsidR="002A7C82" w:rsidRPr="00FC15EF">
        <w:rPr>
          <w:rFonts w:asciiTheme="minorBidi" w:eastAsia="Times New Roman" w:hAnsiTheme="minorBidi"/>
          <w:kern w:val="0"/>
          <w:sz w:val="23"/>
          <w:szCs w:val="23"/>
          <w:lang w:eastAsia="en-GB"/>
          <w14:ligatures w14:val="none"/>
        </w:rPr>
        <w:t xml:space="preserve"> about the </w:t>
      </w:r>
      <w:proofErr w:type="gramStart"/>
      <w:r w:rsidR="00CB0CF8" w:rsidRPr="00FC15EF">
        <w:rPr>
          <w:rFonts w:asciiTheme="minorBidi" w:eastAsia="Times New Roman" w:hAnsiTheme="minorBidi"/>
          <w:kern w:val="0"/>
          <w:sz w:val="23"/>
          <w:szCs w:val="23"/>
          <w:lang w:eastAsia="en-GB"/>
          <w14:ligatures w14:val="none"/>
        </w:rPr>
        <w:t>class as a whole</w:t>
      </w:r>
      <w:proofErr w:type="gramEnd"/>
      <w:r w:rsidR="002A7C82" w:rsidRPr="00FC15EF">
        <w:rPr>
          <w:rFonts w:asciiTheme="minorBidi" w:eastAsia="Times New Roman" w:hAnsiTheme="minorBidi"/>
          <w:kern w:val="0"/>
          <w:sz w:val="23"/>
          <w:szCs w:val="23"/>
          <w:lang w:eastAsia="en-GB"/>
          <w14:ligatures w14:val="none"/>
        </w:rPr>
        <w:t>. The purpose of choosing randomly is so that pupils vary in terms of gender, learning styles and ability levels</w:t>
      </w:r>
      <w:r w:rsidR="00711C8C" w:rsidRPr="00FC15EF">
        <w:rPr>
          <w:rFonts w:asciiTheme="minorBidi" w:eastAsia="Times New Roman" w:hAnsiTheme="minorBidi"/>
          <w:kern w:val="0"/>
          <w:sz w:val="23"/>
          <w:szCs w:val="23"/>
          <w:lang w:eastAsia="en-GB"/>
          <w14:ligatures w14:val="none"/>
        </w:rPr>
        <w:t xml:space="preserve">, reducing the chances of biased results. </w:t>
      </w:r>
    </w:p>
    <w:p w14:paraId="5E5A29A7" w14:textId="77777777" w:rsidR="00A135C6" w:rsidRPr="00677FDD" w:rsidRDefault="00A135C6" w:rsidP="00FC15EF">
      <w:pPr>
        <w:spacing w:line="360" w:lineRule="auto"/>
        <w:rPr>
          <w:rFonts w:asciiTheme="minorBidi" w:hAnsiTheme="minorBidi"/>
          <w:b/>
          <w:bCs/>
          <w:sz w:val="23"/>
          <w:szCs w:val="23"/>
          <w:u w:val="single"/>
        </w:rPr>
      </w:pPr>
    </w:p>
    <w:p w14:paraId="705048FE" w14:textId="314A5A7D" w:rsidR="004E4668" w:rsidRPr="00677FDD" w:rsidRDefault="004E4668" w:rsidP="00FC15EF">
      <w:pPr>
        <w:spacing w:line="360" w:lineRule="auto"/>
        <w:rPr>
          <w:rFonts w:asciiTheme="minorBidi" w:eastAsia="Times New Roman" w:hAnsiTheme="minorBidi"/>
          <w:b/>
          <w:bCs/>
          <w:kern w:val="0"/>
          <w:sz w:val="23"/>
          <w:szCs w:val="23"/>
          <w:u w:val="single"/>
          <w:lang w:eastAsia="en-GB"/>
          <w14:ligatures w14:val="none"/>
        </w:rPr>
      </w:pPr>
      <w:r w:rsidRPr="00677FDD">
        <w:rPr>
          <w:rFonts w:asciiTheme="minorBidi" w:eastAsia="Times New Roman" w:hAnsiTheme="minorBidi"/>
          <w:b/>
          <w:bCs/>
          <w:kern w:val="0"/>
          <w:sz w:val="23"/>
          <w:szCs w:val="23"/>
          <w:u w:val="single"/>
          <w:lang w:eastAsia="en-GB"/>
          <w14:ligatures w14:val="none"/>
        </w:rPr>
        <w:t xml:space="preserve">Research </w:t>
      </w:r>
      <w:proofErr w:type="gramStart"/>
      <w:r w:rsidRPr="00677FDD">
        <w:rPr>
          <w:rFonts w:asciiTheme="minorBidi" w:eastAsia="Times New Roman" w:hAnsiTheme="minorBidi"/>
          <w:b/>
          <w:bCs/>
          <w:kern w:val="0"/>
          <w:sz w:val="23"/>
          <w:szCs w:val="23"/>
          <w:u w:val="single"/>
          <w:lang w:eastAsia="en-GB"/>
          <w14:ligatures w14:val="none"/>
        </w:rPr>
        <w:t>methods</w:t>
      </w:r>
      <w:proofErr w:type="gramEnd"/>
      <w:r w:rsidR="00CE607C" w:rsidRPr="00677FDD">
        <w:rPr>
          <w:rFonts w:asciiTheme="minorBidi" w:eastAsia="Times New Roman" w:hAnsiTheme="minorBidi"/>
          <w:b/>
          <w:bCs/>
          <w:kern w:val="0"/>
          <w:sz w:val="23"/>
          <w:szCs w:val="23"/>
          <w:u w:val="single"/>
          <w:lang w:eastAsia="en-GB"/>
          <w14:ligatures w14:val="none"/>
        </w:rPr>
        <w:t xml:space="preserve"> </w:t>
      </w:r>
    </w:p>
    <w:p w14:paraId="60F6890F" w14:textId="612DAB44" w:rsidR="00B71DEA" w:rsidRPr="00FC15EF" w:rsidRDefault="00D11E16"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The assessment of appropriate methods for data collection will be conducted in the next section. The main emphasis is derived from the findings in the previous section, which indicate that suitable approaches for conducting case study research include observations</w:t>
      </w:r>
      <w:r w:rsidR="00E36FE9" w:rsidRPr="00FC15EF">
        <w:rPr>
          <w:rFonts w:asciiTheme="minorBidi" w:eastAsia="Times New Roman" w:hAnsiTheme="minorBidi"/>
          <w:kern w:val="0"/>
          <w:sz w:val="23"/>
          <w:szCs w:val="23"/>
          <w:lang w:eastAsia="en-GB"/>
          <w14:ligatures w14:val="none"/>
        </w:rPr>
        <w:t xml:space="preserve"> and questionnaire</w:t>
      </w:r>
      <w:r w:rsidRPr="00FC15EF">
        <w:rPr>
          <w:rFonts w:asciiTheme="minorBidi" w:eastAsia="Times New Roman" w:hAnsiTheme="minorBidi"/>
          <w:kern w:val="0"/>
          <w:sz w:val="23"/>
          <w:szCs w:val="23"/>
          <w:lang w:eastAsia="en-GB"/>
          <w14:ligatures w14:val="none"/>
        </w:rPr>
        <w:t xml:space="preserve"> methods of data gathering. </w:t>
      </w:r>
      <w:r w:rsidR="00B23601" w:rsidRPr="00FC15EF">
        <w:rPr>
          <w:rFonts w:asciiTheme="minorBidi" w:eastAsia="Times New Roman" w:hAnsiTheme="minorBidi"/>
          <w:kern w:val="0"/>
          <w:sz w:val="23"/>
          <w:szCs w:val="23"/>
          <w:lang w:eastAsia="en-GB"/>
          <w14:ligatures w14:val="none"/>
        </w:rPr>
        <w:t xml:space="preserve">Observation is the methodical process of recording the behaviour patterns of people, objects, and events. </w:t>
      </w:r>
      <w:r w:rsidRPr="00FC15EF">
        <w:rPr>
          <w:rFonts w:asciiTheme="minorBidi" w:eastAsia="Times New Roman" w:hAnsiTheme="minorBidi"/>
          <w:kern w:val="0"/>
          <w:sz w:val="23"/>
          <w:szCs w:val="23"/>
          <w:lang w:eastAsia="en-GB"/>
          <w14:ligatures w14:val="none"/>
        </w:rPr>
        <w:t xml:space="preserve">When considering observations as a case study approach, </w:t>
      </w:r>
      <w:r w:rsidR="00D314D8" w:rsidRPr="00FC15EF">
        <w:rPr>
          <w:rFonts w:asciiTheme="minorBidi" w:eastAsia="Times New Roman" w:hAnsiTheme="minorBidi"/>
          <w:kern w:val="0"/>
          <w:sz w:val="23"/>
          <w:szCs w:val="23"/>
          <w:lang w:eastAsia="en-GB"/>
          <w14:ligatures w14:val="none"/>
        </w:rPr>
        <w:t xml:space="preserve">researchers such as Merriam (2009) and Creswell (2014) </w:t>
      </w:r>
      <w:r w:rsidR="00096D26" w:rsidRPr="00FC15EF">
        <w:rPr>
          <w:rFonts w:asciiTheme="minorBidi" w:eastAsia="Times New Roman" w:hAnsiTheme="minorBidi"/>
          <w:kern w:val="0"/>
          <w:sz w:val="23"/>
          <w:szCs w:val="23"/>
          <w:lang w:eastAsia="en-GB"/>
          <w14:ligatures w14:val="none"/>
        </w:rPr>
        <w:t xml:space="preserve">agree that they can be a useful tool in providing a window into the natural world of participants. </w:t>
      </w:r>
      <w:r w:rsidR="009750C4" w:rsidRPr="00FC15EF">
        <w:rPr>
          <w:rFonts w:asciiTheme="minorBidi" w:eastAsia="Times New Roman" w:hAnsiTheme="minorBidi"/>
          <w:kern w:val="0"/>
          <w:sz w:val="23"/>
          <w:szCs w:val="23"/>
          <w:lang w:eastAsia="en-GB"/>
          <w14:ligatures w14:val="none"/>
        </w:rPr>
        <w:t xml:space="preserve">Human behaviour, such as verbal or physical actions and expressions can be observed within classroom settings in different types of ways. For example, structured observations consist of focused observation of something </w:t>
      </w:r>
      <w:r w:rsidR="009750C4" w:rsidRPr="00FC15EF">
        <w:rPr>
          <w:rFonts w:asciiTheme="minorBidi" w:eastAsia="Times New Roman" w:hAnsiTheme="minorBidi"/>
          <w:kern w:val="0"/>
          <w:sz w:val="23"/>
          <w:szCs w:val="23"/>
          <w:lang w:eastAsia="en-GB"/>
          <w14:ligatures w14:val="none"/>
        </w:rPr>
        <w:lastRenderedPageBreak/>
        <w:t xml:space="preserve">specific, whereas unstructured observations may be </w:t>
      </w:r>
      <w:r w:rsidR="00E50D14" w:rsidRPr="00FC15EF">
        <w:rPr>
          <w:rFonts w:asciiTheme="minorBidi" w:eastAsia="Times New Roman" w:hAnsiTheme="minorBidi"/>
          <w:kern w:val="0"/>
          <w:sz w:val="23"/>
          <w:szCs w:val="23"/>
          <w:lang w:eastAsia="en-GB"/>
          <w14:ligatures w14:val="none"/>
        </w:rPr>
        <w:t>open-ended</w:t>
      </w:r>
      <w:r w:rsidR="009750C4" w:rsidRPr="00FC15EF">
        <w:rPr>
          <w:rFonts w:asciiTheme="minorBidi" w:eastAsia="Times New Roman" w:hAnsiTheme="minorBidi"/>
          <w:kern w:val="0"/>
          <w:sz w:val="23"/>
          <w:szCs w:val="23"/>
          <w:lang w:eastAsia="en-GB"/>
          <w14:ligatures w14:val="none"/>
        </w:rPr>
        <w:t xml:space="preserve"> and natural. </w:t>
      </w:r>
      <w:r w:rsidR="00B71DEA" w:rsidRPr="00FC15EF">
        <w:rPr>
          <w:rFonts w:asciiTheme="minorBidi" w:eastAsia="Times New Roman" w:hAnsiTheme="minorBidi"/>
          <w:kern w:val="0"/>
          <w:sz w:val="23"/>
          <w:szCs w:val="23"/>
          <w:lang w:eastAsia="en-GB"/>
          <w14:ligatures w14:val="none"/>
        </w:rPr>
        <w:t>Notably, o</w:t>
      </w:r>
      <w:r w:rsidR="009750C4" w:rsidRPr="00FC15EF">
        <w:rPr>
          <w:rFonts w:asciiTheme="minorBidi" w:eastAsia="Times New Roman" w:hAnsiTheme="minorBidi"/>
          <w:kern w:val="0"/>
          <w:sz w:val="23"/>
          <w:szCs w:val="23"/>
          <w:lang w:eastAsia="en-GB"/>
          <w14:ligatures w14:val="none"/>
        </w:rPr>
        <w:t>bserving what does not happen may be as important as observing what does happen (Merriam, 2009).</w:t>
      </w:r>
    </w:p>
    <w:p w14:paraId="2FE517CC" w14:textId="78549C21" w:rsidR="00D11E16" w:rsidRPr="00FC15EF" w:rsidRDefault="009750C4"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 </w:t>
      </w:r>
      <w:r w:rsidR="00CD2EA5" w:rsidRPr="00FC15EF">
        <w:rPr>
          <w:rFonts w:asciiTheme="minorBidi" w:eastAsia="Times New Roman" w:hAnsiTheme="minorBidi"/>
          <w:kern w:val="0"/>
          <w:sz w:val="23"/>
          <w:szCs w:val="23"/>
          <w:lang w:eastAsia="en-GB"/>
          <w14:ligatures w14:val="none"/>
        </w:rPr>
        <w:t xml:space="preserve">However, it is important to acknowledge both the strengths and limitations of this method to ensure validity and reliability of research findings. For example, </w:t>
      </w:r>
      <w:r w:rsidR="00E5300E" w:rsidRPr="00FC15EF">
        <w:rPr>
          <w:rFonts w:asciiTheme="minorBidi" w:eastAsia="Times New Roman" w:hAnsiTheme="minorBidi"/>
          <w:kern w:val="0"/>
          <w:sz w:val="23"/>
          <w:szCs w:val="23"/>
          <w:lang w:eastAsia="en-GB"/>
          <w14:ligatures w14:val="none"/>
        </w:rPr>
        <w:t>Cohen, Manion &amp; Morrison (2018) noted that observing children over time</w:t>
      </w:r>
      <w:r w:rsidR="00F15589" w:rsidRPr="00FC15EF">
        <w:rPr>
          <w:rFonts w:asciiTheme="minorBidi" w:eastAsia="Times New Roman" w:hAnsiTheme="minorBidi"/>
          <w:kern w:val="0"/>
          <w:sz w:val="23"/>
          <w:szCs w:val="23"/>
          <w:lang w:eastAsia="en-GB"/>
          <w14:ligatures w14:val="none"/>
        </w:rPr>
        <w:t xml:space="preserve">, as a longitudinal approach, </w:t>
      </w:r>
      <w:r w:rsidR="00E5300E" w:rsidRPr="00FC15EF">
        <w:rPr>
          <w:rFonts w:asciiTheme="minorBidi" w:eastAsia="Times New Roman" w:hAnsiTheme="minorBidi"/>
          <w:kern w:val="0"/>
          <w:sz w:val="23"/>
          <w:szCs w:val="23"/>
          <w:lang w:eastAsia="en-GB"/>
          <w14:ligatures w14:val="none"/>
        </w:rPr>
        <w:t>can allow researchers to track their progress and gain better understanding</w:t>
      </w:r>
      <w:r w:rsidR="00F15589" w:rsidRPr="00FC15EF">
        <w:rPr>
          <w:rFonts w:asciiTheme="minorBidi" w:eastAsia="Times New Roman" w:hAnsiTheme="minorBidi"/>
          <w:kern w:val="0"/>
          <w:sz w:val="23"/>
          <w:szCs w:val="23"/>
          <w:lang w:eastAsia="en-GB"/>
          <w14:ligatures w14:val="none"/>
        </w:rPr>
        <w:t xml:space="preserve"> </w:t>
      </w:r>
      <w:r w:rsidR="0001121C" w:rsidRPr="00FC15EF">
        <w:rPr>
          <w:rFonts w:asciiTheme="minorBidi" w:eastAsia="Times New Roman" w:hAnsiTheme="minorBidi"/>
          <w:kern w:val="0"/>
          <w:sz w:val="23"/>
          <w:szCs w:val="23"/>
          <w:lang w:eastAsia="en-GB"/>
          <w14:ligatures w14:val="none"/>
        </w:rPr>
        <w:t>of</w:t>
      </w:r>
      <w:r w:rsidR="00F15589" w:rsidRPr="00FC15EF">
        <w:rPr>
          <w:rFonts w:asciiTheme="minorBidi" w:eastAsia="Times New Roman" w:hAnsiTheme="minorBidi"/>
          <w:kern w:val="0"/>
          <w:sz w:val="23"/>
          <w:szCs w:val="23"/>
          <w:lang w:eastAsia="en-GB"/>
          <w14:ligatures w14:val="none"/>
        </w:rPr>
        <w:t xml:space="preserve"> developmental stages. However</w:t>
      </w:r>
      <w:proofErr w:type="gramStart"/>
      <w:r w:rsidR="00F15589" w:rsidRPr="00FC15EF">
        <w:rPr>
          <w:rFonts w:asciiTheme="minorBidi" w:eastAsia="Times New Roman" w:hAnsiTheme="minorBidi"/>
          <w:kern w:val="0"/>
          <w:sz w:val="23"/>
          <w:szCs w:val="23"/>
          <w:lang w:eastAsia="en-GB"/>
          <w14:ligatures w14:val="none"/>
        </w:rPr>
        <w:t xml:space="preserve">, </w:t>
      </w:r>
      <w:r w:rsidR="00C257E4" w:rsidRPr="00FC15EF">
        <w:rPr>
          <w:rFonts w:asciiTheme="minorBidi" w:eastAsia="Times New Roman" w:hAnsiTheme="minorBidi"/>
          <w:kern w:val="0"/>
          <w:sz w:val="23"/>
          <w:szCs w:val="23"/>
          <w:lang w:eastAsia="en-GB"/>
          <w14:ligatures w14:val="none"/>
        </w:rPr>
        <w:t xml:space="preserve">with this in mind, </w:t>
      </w:r>
      <w:r w:rsidR="0063596B" w:rsidRPr="00FC15EF">
        <w:rPr>
          <w:rFonts w:asciiTheme="minorBidi" w:eastAsia="Times New Roman" w:hAnsiTheme="minorBidi"/>
          <w:kern w:val="0"/>
          <w:sz w:val="23"/>
          <w:szCs w:val="23"/>
          <w:lang w:eastAsia="en-GB"/>
          <w14:ligatures w14:val="none"/>
        </w:rPr>
        <w:t>perhaps</w:t>
      </w:r>
      <w:proofErr w:type="gramEnd"/>
      <w:r w:rsidR="0063596B" w:rsidRPr="00FC15EF">
        <w:rPr>
          <w:rFonts w:asciiTheme="minorBidi" w:eastAsia="Times New Roman" w:hAnsiTheme="minorBidi"/>
          <w:kern w:val="0"/>
          <w:sz w:val="23"/>
          <w:szCs w:val="23"/>
          <w:lang w:eastAsia="en-GB"/>
          <w14:ligatures w14:val="none"/>
        </w:rPr>
        <w:t xml:space="preserve"> the most serious disadvantage </w:t>
      </w:r>
      <w:r w:rsidR="00F74C32" w:rsidRPr="00FC15EF">
        <w:rPr>
          <w:rFonts w:asciiTheme="minorBidi" w:eastAsia="Times New Roman" w:hAnsiTheme="minorBidi"/>
          <w:kern w:val="0"/>
          <w:sz w:val="23"/>
          <w:szCs w:val="23"/>
          <w:lang w:eastAsia="en-GB"/>
          <w14:ligatures w14:val="none"/>
        </w:rPr>
        <w:t xml:space="preserve">during a </w:t>
      </w:r>
      <w:r w:rsidR="005159A7" w:rsidRPr="00FC15EF">
        <w:rPr>
          <w:rFonts w:asciiTheme="minorBidi" w:eastAsia="Times New Roman" w:hAnsiTheme="minorBidi"/>
          <w:kern w:val="0"/>
          <w:sz w:val="23"/>
          <w:szCs w:val="23"/>
          <w:lang w:eastAsia="en-GB"/>
          <w14:ligatures w14:val="none"/>
        </w:rPr>
        <w:t>small-scale</w:t>
      </w:r>
      <w:r w:rsidR="00F74C32" w:rsidRPr="00FC15EF">
        <w:rPr>
          <w:rFonts w:asciiTheme="minorBidi" w:eastAsia="Times New Roman" w:hAnsiTheme="minorBidi"/>
          <w:kern w:val="0"/>
          <w:sz w:val="23"/>
          <w:szCs w:val="23"/>
          <w:lang w:eastAsia="en-GB"/>
          <w14:ligatures w14:val="none"/>
        </w:rPr>
        <w:t xml:space="preserve"> case study</w:t>
      </w:r>
      <w:r w:rsidR="0063596B" w:rsidRPr="00FC15EF">
        <w:rPr>
          <w:rFonts w:asciiTheme="minorBidi" w:eastAsia="Times New Roman" w:hAnsiTheme="minorBidi"/>
          <w:kern w:val="0"/>
          <w:sz w:val="23"/>
          <w:szCs w:val="23"/>
          <w:lang w:eastAsia="en-GB"/>
          <w14:ligatures w14:val="none"/>
        </w:rPr>
        <w:t xml:space="preserve"> is that</w:t>
      </w:r>
      <w:r w:rsidR="00F74C32" w:rsidRPr="00FC15EF">
        <w:rPr>
          <w:rFonts w:asciiTheme="minorBidi" w:eastAsia="Times New Roman" w:hAnsiTheme="minorBidi"/>
          <w:kern w:val="0"/>
          <w:sz w:val="23"/>
          <w:szCs w:val="23"/>
          <w:lang w:eastAsia="en-GB"/>
          <w14:ligatures w14:val="none"/>
        </w:rPr>
        <w:t xml:space="preserve"> there is limit</w:t>
      </w:r>
      <w:r w:rsidR="00D2706F" w:rsidRPr="00FC15EF">
        <w:rPr>
          <w:rFonts w:asciiTheme="minorBidi" w:eastAsia="Times New Roman" w:hAnsiTheme="minorBidi"/>
          <w:kern w:val="0"/>
          <w:sz w:val="23"/>
          <w:szCs w:val="23"/>
          <w:lang w:eastAsia="en-GB"/>
          <w14:ligatures w14:val="none"/>
        </w:rPr>
        <w:t>ed scope</w:t>
      </w:r>
      <w:r w:rsidR="00F74C32" w:rsidRPr="00FC15EF">
        <w:rPr>
          <w:rFonts w:asciiTheme="minorBidi" w:eastAsia="Times New Roman" w:hAnsiTheme="minorBidi"/>
          <w:kern w:val="0"/>
          <w:sz w:val="23"/>
          <w:szCs w:val="23"/>
          <w:lang w:eastAsia="en-GB"/>
          <w14:ligatures w14:val="none"/>
        </w:rPr>
        <w:t xml:space="preserve"> to what information can be gathered over a short period </w:t>
      </w:r>
      <w:r w:rsidR="00D2706F" w:rsidRPr="00FC15EF">
        <w:rPr>
          <w:rFonts w:asciiTheme="minorBidi" w:eastAsia="Times New Roman" w:hAnsiTheme="minorBidi"/>
          <w:kern w:val="0"/>
          <w:sz w:val="23"/>
          <w:szCs w:val="23"/>
          <w:lang w:eastAsia="en-GB"/>
          <w14:ligatures w14:val="none"/>
        </w:rPr>
        <w:t xml:space="preserve">within a specific timeframe and context. Therefore, the ability to generalise findings from a single classroom or small sample to a larger population may be challenging. </w:t>
      </w:r>
    </w:p>
    <w:p w14:paraId="7FA962E5" w14:textId="37DD5D3D" w:rsidR="00814D4E" w:rsidRPr="00FC15EF" w:rsidRDefault="00814D4E" w:rsidP="00FC15EF">
      <w:pPr>
        <w:pStyle w:val="NormalWeb"/>
        <w:shd w:val="clear" w:color="auto" w:fill="FFFFFF"/>
        <w:spacing w:line="360" w:lineRule="auto"/>
        <w:rPr>
          <w:rFonts w:asciiTheme="minorBidi" w:hAnsiTheme="minorBidi" w:cstheme="minorBidi"/>
          <w:sz w:val="23"/>
          <w:szCs w:val="23"/>
        </w:rPr>
      </w:pPr>
      <w:r w:rsidRPr="00FC15EF">
        <w:rPr>
          <w:rFonts w:asciiTheme="minorBidi" w:hAnsiTheme="minorBidi" w:cstheme="minorBidi"/>
          <w:sz w:val="23"/>
          <w:szCs w:val="23"/>
        </w:rPr>
        <w:t xml:space="preserve">One of the important strengths of an observation approach is that they are less intrusive than interviews or surveys, which may be challenging for young children who might struggle with comprehension or attention span (Cohen, Manion &amp; Morrison, 2018) which makes them a more child-friendly way to gather data. However, one important factor to consider is observer bias, which presents as a significant limitation to the validity of observational data. Feagin, Orne &amp; Beattie (1991) suggest that </w:t>
      </w:r>
      <w:proofErr w:type="gramStart"/>
      <w:r w:rsidRPr="00FC15EF">
        <w:rPr>
          <w:rFonts w:asciiTheme="minorBidi" w:hAnsiTheme="minorBidi" w:cstheme="minorBidi"/>
          <w:sz w:val="23"/>
          <w:szCs w:val="23"/>
        </w:rPr>
        <w:t>in order to</w:t>
      </w:r>
      <w:proofErr w:type="gramEnd"/>
      <w:r w:rsidRPr="00FC15EF">
        <w:rPr>
          <w:rFonts w:asciiTheme="minorBidi" w:hAnsiTheme="minorBidi" w:cstheme="minorBidi"/>
          <w:sz w:val="23"/>
          <w:szCs w:val="23"/>
        </w:rPr>
        <w:t xml:space="preserve"> prevent the risk of observers own assumptions, expectations or theoretical perspectives influencing what they perceive and record, multiple observers could be </w:t>
      </w:r>
      <w:r w:rsidR="00E36FE9" w:rsidRPr="00FC15EF">
        <w:rPr>
          <w:rFonts w:asciiTheme="minorBidi" w:hAnsiTheme="minorBidi" w:cstheme="minorBidi"/>
          <w:sz w:val="23"/>
          <w:szCs w:val="23"/>
        </w:rPr>
        <w:t>utilised,</w:t>
      </w:r>
      <w:r w:rsidRPr="00FC15EF">
        <w:rPr>
          <w:rFonts w:asciiTheme="minorBidi" w:hAnsiTheme="minorBidi" w:cstheme="minorBidi"/>
          <w:sz w:val="23"/>
          <w:szCs w:val="23"/>
        </w:rPr>
        <w:t xml:space="preserve"> </w:t>
      </w:r>
      <w:r w:rsidR="00F452AE" w:rsidRPr="00FC15EF">
        <w:rPr>
          <w:rFonts w:asciiTheme="minorBidi" w:hAnsiTheme="minorBidi" w:cstheme="minorBidi"/>
          <w:sz w:val="23"/>
          <w:szCs w:val="23"/>
        </w:rPr>
        <w:t>or</w:t>
      </w:r>
      <w:r w:rsidRPr="00FC15EF">
        <w:rPr>
          <w:rFonts w:asciiTheme="minorBidi" w:hAnsiTheme="minorBidi" w:cstheme="minorBidi"/>
          <w:sz w:val="23"/>
          <w:szCs w:val="23"/>
        </w:rPr>
        <w:t xml:space="preserve"> clear coding schemes put in place to record frequencies of certain actions and behaviours. </w:t>
      </w:r>
      <w:r w:rsidR="00D3458C" w:rsidRPr="00FC15EF">
        <w:rPr>
          <w:rFonts w:asciiTheme="minorBidi" w:hAnsiTheme="minorBidi" w:cstheme="minorBidi"/>
          <w:sz w:val="23"/>
          <w:szCs w:val="23"/>
        </w:rPr>
        <w:t>Therefore</w:t>
      </w:r>
      <w:r w:rsidR="002436CD" w:rsidRPr="00FC15EF">
        <w:rPr>
          <w:rFonts w:asciiTheme="minorBidi" w:hAnsiTheme="minorBidi" w:cstheme="minorBidi"/>
          <w:sz w:val="23"/>
          <w:szCs w:val="23"/>
        </w:rPr>
        <w:t xml:space="preserve">, the specific schedule for observation </w:t>
      </w:r>
      <w:r w:rsidR="00107514" w:rsidRPr="00FC15EF">
        <w:rPr>
          <w:rFonts w:asciiTheme="minorBidi" w:hAnsiTheme="minorBidi" w:cstheme="minorBidi"/>
          <w:sz w:val="23"/>
          <w:szCs w:val="23"/>
        </w:rPr>
        <w:t>that will be used in this case study</w:t>
      </w:r>
      <w:r w:rsidR="00F45EE9" w:rsidRPr="00FC15EF">
        <w:rPr>
          <w:rFonts w:asciiTheme="minorBidi" w:hAnsiTheme="minorBidi" w:cstheme="minorBidi"/>
          <w:sz w:val="23"/>
          <w:szCs w:val="23"/>
        </w:rPr>
        <w:t xml:space="preserve"> (Appendix 1)</w:t>
      </w:r>
      <w:r w:rsidR="00107514" w:rsidRPr="00FC15EF">
        <w:rPr>
          <w:rFonts w:asciiTheme="minorBidi" w:hAnsiTheme="minorBidi" w:cstheme="minorBidi"/>
          <w:sz w:val="23"/>
          <w:szCs w:val="23"/>
        </w:rPr>
        <w:t xml:space="preserve"> includes a </w:t>
      </w:r>
      <w:r w:rsidR="00F45EE9" w:rsidRPr="00FC15EF">
        <w:rPr>
          <w:rFonts w:asciiTheme="minorBidi" w:hAnsiTheme="minorBidi" w:cstheme="minorBidi"/>
          <w:sz w:val="23"/>
          <w:szCs w:val="23"/>
        </w:rPr>
        <w:t xml:space="preserve">checklist of observed behaviours </w:t>
      </w:r>
      <w:r w:rsidR="00F452AE" w:rsidRPr="00FC15EF">
        <w:rPr>
          <w:rFonts w:asciiTheme="minorBidi" w:hAnsiTheme="minorBidi" w:cstheme="minorBidi"/>
          <w:sz w:val="23"/>
          <w:szCs w:val="23"/>
        </w:rPr>
        <w:t xml:space="preserve">with clear descriptors to tick-box throughout the observation period giving a more subjective viewpoint of what takes place. </w:t>
      </w:r>
    </w:p>
    <w:p w14:paraId="693E70B4" w14:textId="77777777" w:rsidR="004A7599" w:rsidRPr="00FC15EF" w:rsidRDefault="000A5427" w:rsidP="00FC15EF">
      <w:pPr>
        <w:spacing w:after="0" w:line="360" w:lineRule="auto"/>
        <w:rPr>
          <w:rFonts w:asciiTheme="minorBidi" w:eastAsia="Times New Roman" w:hAnsiTheme="minorBidi"/>
          <w:kern w:val="0"/>
          <w:sz w:val="23"/>
          <w:szCs w:val="23"/>
          <w:lang w:eastAsia="en-GB"/>
          <w14:ligatures w14:val="none"/>
        </w:rPr>
      </w:pPr>
      <w:r w:rsidRPr="000A5427">
        <w:rPr>
          <w:rFonts w:asciiTheme="minorBidi" w:eastAsia="Times New Roman" w:hAnsiTheme="minorBidi"/>
          <w:kern w:val="0"/>
          <w:sz w:val="23"/>
          <w:szCs w:val="23"/>
          <w:lang w:eastAsia="en-GB"/>
          <w14:ligatures w14:val="none"/>
        </w:rPr>
        <w:t xml:space="preserve">One major disadvantage of using the observation strategy alone is that participants are aware that they are being observed and may adjust their regular behaviours, especially if they are being video recorded with a camera present. In his influential inquiry into this affect, Landsberger (1958) defined the 'Hawthorne effect' as an unintentional influence of the research method itself on the participants' behaviour. Ethical considerations (BERA, 2018) state that participants must be fully informed about the research process and have the right to withdraw at any time; however, by modifying their behaviour to what they believe the observer is looking for, participants may increase the risk of research bias and jeopardise the validity and reliability of findings. </w:t>
      </w:r>
    </w:p>
    <w:p w14:paraId="6CBCABCC" w14:textId="77777777" w:rsidR="007527E7" w:rsidRPr="00FC15EF" w:rsidRDefault="000A5427" w:rsidP="00FC15EF">
      <w:pPr>
        <w:spacing w:after="0" w:line="360" w:lineRule="auto"/>
        <w:rPr>
          <w:rFonts w:asciiTheme="minorBidi" w:eastAsia="Times New Roman" w:hAnsiTheme="minorBidi"/>
          <w:kern w:val="0"/>
          <w:sz w:val="23"/>
          <w:szCs w:val="23"/>
          <w:lang w:eastAsia="en-GB"/>
          <w14:ligatures w14:val="none"/>
        </w:rPr>
      </w:pPr>
      <w:r w:rsidRPr="000A5427">
        <w:rPr>
          <w:rFonts w:asciiTheme="minorBidi" w:eastAsia="Times New Roman" w:hAnsiTheme="minorBidi"/>
          <w:kern w:val="0"/>
          <w:sz w:val="23"/>
          <w:szCs w:val="23"/>
          <w:lang w:eastAsia="en-GB"/>
          <w14:ligatures w14:val="none"/>
        </w:rPr>
        <w:lastRenderedPageBreak/>
        <w:br/>
        <w:t xml:space="preserve">As a result, during the upcoming case study, observations will be conducted in real time with a small random sample of students, with no video recording taking place. One potential shortcoming of this approach is the researcher's ability to effectively take notes in real-time. As a result, I created an observation sheet (Appendix 1) that allows for a tick-box method of observation, divided into pre-determined categories for both engagement and disengagement based on the Leuven Scale for Involvement in Learning (Ferre Laevers, 2002): verbal, body language, and on-task (or off-task) behaviours. Observations will be gathered from the classroom while the teacher delivers the lesson, allowing for non-participant observation and data collection in a more natural setting in the least intrusive manner. The category descriptions explain specific signals to look for that indicate engagement, and the form's layout allows for quick </w:t>
      </w:r>
      <w:r w:rsidR="00982582" w:rsidRPr="00FC15EF">
        <w:rPr>
          <w:rFonts w:asciiTheme="minorBidi" w:eastAsia="Times New Roman" w:hAnsiTheme="minorBidi"/>
          <w:kern w:val="0"/>
          <w:sz w:val="23"/>
          <w:szCs w:val="23"/>
          <w:lang w:eastAsia="en-GB"/>
          <w14:ligatures w14:val="none"/>
        </w:rPr>
        <w:t>notetaking</w:t>
      </w:r>
      <w:r w:rsidRPr="000A5427">
        <w:rPr>
          <w:rFonts w:asciiTheme="minorBidi" w:eastAsia="Times New Roman" w:hAnsiTheme="minorBidi"/>
          <w:kern w:val="0"/>
          <w:sz w:val="23"/>
          <w:szCs w:val="23"/>
          <w:lang w:eastAsia="en-GB"/>
          <w14:ligatures w14:val="none"/>
        </w:rPr>
        <w:t xml:space="preserve"> during observation, with additional areas for added notes if necessary. </w:t>
      </w:r>
    </w:p>
    <w:p w14:paraId="53B760BF" w14:textId="77777777" w:rsidR="00482A74" w:rsidRPr="00FC15EF" w:rsidRDefault="00482A74" w:rsidP="00FC15EF">
      <w:pPr>
        <w:spacing w:after="0" w:line="360" w:lineRule="auto"/>
        <w:rPr>
          <w:rFonts w:asciiTheme="minorBidi" w:eastAsia="Times New Roman" w:hAnsiTheme="minorBidi"/>
          <w:kern w:val="0"/>
          <w:sz w:val="23"/>
          <w:szCs w:val="23"/>
          <w:lang w:eastAsia="en-GB"/>
          <w14:ligatures w14:val="none"/>
        </w:rPr>
      </w:pPr>
    </w:p>
    <w:p w14:paraId="6BE41F65" w14:textId="77777777" w:rsidR="00FE7B61" w:rsidRPr="00FC15EF" w:rsidRDefault="00FE7B61" w:rsidP="00FC15EF">
      <w:pPr>
        <w:spacing w:after="0" w:line="360" w:lineRule="auto"/>
        <w:rPr>
          <w:rFonts w:asciiTheme="minorBidi" w:hAnsiTheme="minorBidi"/>
          <w:sz w:val="23"/>
          <w:szCs w:val="23"/>
        </w:rPr>
      </w:pPr>
    </w:p>
    <w:p w14:paraId="61A408D5" w14:textId="18C37D26" w:rsidR="00FE7B61" w:rsidRPr="00FC15EF" w:rsidRDefault="00FE7B61" w:rsidP="00FC15EF">
      <w:pPr>
        <w:spacing w:line="360" w:lineRule="auto"/>
        <w:rPr>
          <w:rFonts w:asciiTheme="minorBidi" w:eastAsia="Times New Roman" w:hAnsiTheme="minorBidi"/>
          <w:kern w:val="0"/>
          <w:sz w:val="23"/>
          <w:szCs w:val="23"/>
          <w:lang w:eastAsia="en-GB"/>
          <w14:ligatures w14:val="none"/>
        </w:rPr>
      </w:pPr>
      <w:r w:rsidRPr="00FC15EF">
        <w:rPr>
          <w:rFonts w:asciiTheme="minorBidi" w:hAnsiTheme="minorBidi"/>
          <w:sz w:val="23"/>
          <w:szCs w:val="23"/>
        </w:rPr>
        <w:t>The Leuven Scale, while valuable for measuring engagement, can be misinterpreted. Quiet students or those with ADHD might be misclassified as disengaged due to cultural norms or coping mechanisms (</w:t>
      </w:r>
      <w:r w:rsidR="00294625" w:rsidRPr="00FC15EF">
        <w:rPr>
          <w:rFonts w:asciiTheme="minorBidi" w:hAnsiTheme="minorBidi"/>
          <w:sz w:val="23"/>
          <w:szCs w:val="23"/>
        </w:rPr>
        <w:t>Lawson &amp; Lawson, 2020</w:t>
      </w:r>
      <w:r w:rsidRPr="00FC15EF">
        <w:rPr>
          <w:rFonts w:asciiTheme="minorBidi" w:hAnsiTheme="minorBidi"/>
          <w:sz w:val="23"/>
          <w:szCs w:val="23"/>
        </w:rPr>
        <w:t>)</w:t>
      </w:r>
      <w:r w:rsidR="00C732BD" w:rsidRPr="00FC15EF">
        <w:rPr>
          <w:rFonts w:asciiTheme="minorBidi" w:hAnsiTheme="minorBidi"/>
          <w:sz w:val="23"/>
          <w:szCs w:val="23"/>
        </w:rPr>
        <w:t>, or perhaps d</w:t>
      </w:r>
      <w:r w:rsidRPr="00FC15EF">
        <w:rPr>
          <w:rFonts w:asciiTheme="minorBidi" w:hAnsiTheme="minorBidi"/>
          <w:sz w:val="23"/>
          <w:szCs w:val="23"/>
        </w:rPr>
        <w:t xml:space="preserve">ifficulty with the task </w:t>
      </w:r>
      <w:r w:rsidR="00A03DED" w:rsidRPr="00FC15EF">
        <w:rPr>
          <w:rFonts w:asciiTheme="minorBidi" w:hAnsiTheme="minorBidi"/>
          <w:sz w:val="23"/>
          <w:szCs w:val="23"/>
        </w:rPr>
        <w:t>may</w:t>
      </w:r>
      <w:r w:rsidRPr="00FC15EF">
        <w:rPr>
          <w:rFonts w:asciiTheme="minorBidi" w:hAnsiTheme="minorBidi"/>
          <w:sz w:val="23"/>
          <w:szCs w:val="23"/>
        </w:rPr>
        <w:t xml:space="preserve"> also lead to disengaged </w:t>
      </w:r>
      <w:r w:rsidR="00A03DED" w:rsidRPr="00FC15EF">
        <w:rPr>
          <w:rFonts w:asciiTheme="minorBidi" w:hAnsiTheme="minorBidi"/>
          <w:sz w:val="23"/>
          <w:szCs w:val="23"/>
        </w:rPr>
        <w:t xml:space="preserve">behaviours. </w:t>
      </w:r>
      <w:r w:rsidR="00C721DA" w:rsidRPr="00FC15EF">
        <w:rPr>
          <w:rFonts w:asciiTheme="minorBidi" w:eastAsia="Times New Roman" w:hAnsiTheme="minorBidi"/>
          <w:kern w:val="0"/>
          <w:sz w:val="23"/>
          <w:szCs w:val="23"/>
          <w:lang w:eastAsia="en-GB"/>
          <w14:ligatures w14:val="none"/>
        </w:rPr>
        <w:t xml:space="preserve">This does not necessarily indicate a lack of engagement with the learning. These misunderstandings were </w:t>
      </w:r>
      <w:r w:rsidR="00C732BD" w:rsidRPr="00FC15EF">
        <w:rPr>
          <w:rFonts w:asciiTheme="minorBidi" w:eastAsia="Times New Roman" w:hAnsiTheme="minorBidi"/>
          <w:kern w:val="0"/>
          <w:sz w:val="23"/>
          <w:szCs w:val="23"/>
          <w:lang w:eastAsia="en-GB"/>
          <w14:ligatures w14:val="none"/>
        </w:rPr>
        <w:t>considered</w:t>
      </w:r>
      <w:r w:rsidR="00C721DA" w:rsidRPr="00FC15EF">
        <w:rPr>
          <w:rFonts w:asciiTheme="minorBidi" w:eastAsia="Times New Roman" w:hAnsiTheme="minorBidi"/>
          <w:kern w:val="0"/>
          <w:sz w:val="23"/>
          <w:szCs w:val="23"/>
          <w:lang w:eastAsia="en-GB"/>
          <w14:ligatures w14:val="none"/>
        </w:rPr>
        <w:t xml:space="preserve"> when developing the observation criteria, and the lists of engaged or disengaged behaviours were modified to reflect different contexts. For example, calling out (typically classified as disengaged behaviour) was moved to the engaged category </w:t>
      </w:r>
      <w:proofErr w:type="gramStart"/>
      <w:r w:rsidR="00C721DA" w:rsidRPr="00FC15EF">
        <w:rPr>
          <w:rFonts w:asciiTheme="minorBidi" w:eastAsia="Times New Roman" w:hAnsiTheme="minorBidi"/>
          <w:kern w:val="0"/>
          <w:sz w:val="23"/>
          <w:szCs w:val="23"/>
          <w:lang w:eastAsia="en-GB"/>
          <w14:ligatures w14:val="none"/>
        </w:rPr>
        <w:t>as long as</w:t>
      </w:r>
      <w:proofErr w:type="gramEnd"/>
      <w:r w:rsidR="00C721DA" w:rsidRPr="00FC15EF">
        <w:rPr>
          <w:rFonts w:asciiTheme="minorBidi" w:eastAsia="Times New Roman" w:hAnsiTheme="minorBidi"/>
          <w:kern w:val="0"/>
          <w:sz w:val="23"/>
          <w:szCs w:val="23"/>
          <w:lang w:eastAsia="en-GB"/>
          <w14:ligatures w14:val="none"/>
        </w:rPr>
        <w:t xml:space="preserve"> it was relevant to the teaching and learning. In future studies, monitoring across various lessons and circumstances may provide a more detailed view of the sample's normal engagement habits. </w:t>
      </w:r>
    </w:p>
    <w:p w14:paraId="2D29DC41" w14:textId="1A01BD45" w:rsidR="000A5427" w:rsidRPr="000A5427" w:rsidRDefault="000A5427" w:rsidP="00FC15EF">
      <w:pPr>
        <w:spacing w:after="0" w:line="360" w:lineRule="auto"/>
        <w:rPr>
          <w:rFonts w:asciiTheme="minorBidi" w:eastAsia="Times New Roman" w:hAnsiTheme="minorBidi"/>
          <w:kern w:val="0"/>
          <w:sz w:val="23"/>
          <w:szCs w:val="23"/>
          <w:lang w:eastAsia="en-GB"/>
          <w14:ligatures w14:val="none"/>
        </w:rPr>
      </w:pPr>
      <w:r w:rsidRPr="000A5427">
        <w:rPr>
          <w:rFonts w:asciiTheme="minorBidi" w:eastAsia="Times New Roman" w:hAnsiTheme="minorBidi"/>
          <w:kern w:val="0"/>
          <w:sz w:val="23"/>
          <w:szCs w:val="23"/>
          <w:lang w:eastAsia="en-GB"/>
          <w14:ligatures w14:val="none"/>
        </w:rPr>
        <w:br/>
        <w:t>This organised observation method allows for quantitative data analysis to record the frequency of both engaged and disengaged behaviours, resulting in a numeric data set that indicates conclusions based on a predetermined list of behaviours. However, limitations include the researcher's ability to record every moment as a single person. Six students were observed over the duration of two twenty-minute sessions, with only rapid note-taking and visual indications to involvement levels, and some details may have been missed. With such a small number of students, there may not be enough time to produce a generalisable conclusion or a representative sample.</w:t>
      </w:r>
      <w:r w:rsidR="007527E7" w:rsidRPr="00FC15EF">
        <w:rPr>
          <w:rFonts w:asciiTheme="minorBidi" w:eastAsia="Times New Roman" w:hAnsiTheme="minorBidi"/>
          <w:kern w:val="0"/>
          <w:sz w:val="23"/>
          <w:szCs w:val="23"/>
          <w:lang w:eastAsia="en-GB"/>
          <w14:ligatures w14:val="none"/>
        </w:rPr>
        <w:t xml:space="preserve"> </w:t>
      </w:r>
    </w:p>
    <w:p w14:paraId="167B925C" w14:textId="1F0A34D3" w:rsidR="008157AB" w:rsidRPr="00FC15EF" w:rsidRDefault="008157AB" w:rsidP="00FC15EF">
      <w:pPr>
        <w:pStyle w:val="NormalWeb"/>
        <w:spacing w:line="360" w:lineRule="auto"/>
        <w:rPr>
          <w:rFonts w:asciiTheme="minorBidi" w:hAnsiTheme="minorBidi" w:cstheme="minorBidi"/>
          <w:sz w:val="23"/>
          <w:szCs w:val="23"/>
        </w:rPr>
      </w:pPr>
      <w:r w:rsidRPr="00FC15EF">
        <w:rPr>
          <w:rFonts w:asciiTheme="minorBidi" w:hAnsiTheme="minorBidi" w:cstheme="minorBidi"/>
          <w:sz w:val="23"/>
          <w:szCs w:val="23"/>
        </w:rPr>
        <w:lastRenderedPageBreak/>
        <w:t>To triangulate data and ensure participant perspectives are considered alongside observational findings, a post-observation questionnaire was administered to the same sample of pupils following informed assent. This child-friendly tool employed a modified Likert-scale approach using smiley face emoticons (Appendix 2, Appendix 3). Each question offered four options ranging from an upset face to a big smile, corresponding to a 1-4 scale that indicated engagement levels during the mindfulness activity and preceding lesson</w:t>
      </w:r>
      <w:r w:rsidR="00CD0483" w:rsidRPr="00FC15EF">
        <w:rPr>
          <w:rFonts w:asciiTheme="minorBidi" w:hAnsiTheme="minorBidi" w:cstheme="minorBidi"/>
          <w:sz w:val="23"/>
          <w:szCs w:val="23"/>
        </w:rPr>
        <w:t xml:space="preserve"> and resulted in quantitative data for </w:t>
      </w:r>
      <w:r w:rsidR="000E40B6" w:rsidRPr="00FC15EF">
        <w:rPr>
          <w:rFonts w:asciiTheme="minorBidi" w:hAnsiTheme="minorBidi" w:cstheme="minorBidi"/>
          <w:sz w:val="23"/>
          <w:szCs w:val="23"/>
        </w:rPr>
        <w:t xml:space="preserve">comparison across questionnaires (day 1, day 2). </w:t>
      </w:r>
      <w:r w:rsidR="00354D94" w:rsidRPr="00FC15EF">
        <w:rPr>
          <w:rFonts w:asciiTheme="minorBidi" w:hAnsiTheme="minorBidi" w:cstheme="minorBidi"/>
          <w:sz w:val="23"/>
          <w:szCs w:val="23"/>
        </w:rPr>
        <w:t>However, the data provides information on frequency of behaviours but may not reveal the underlying reasons for engagement or disengagement.</w:t>
      </w:r>
    </w:p>
    <w:p w14:paraId="763530E6" w14:textId="65310171" w:rsidR="00982582" w:rsidRDefault="008157AB" w:rsidP="007B415E">
      <w:pPr>
        <w:pStyle w:val="NormalWeb"/>
        <w:spacing w:line="360" w:lineRule="auto"/>
        <w:rPr>
          <w:rFonts w:asciiTheme="minorBidi" w:hAnsiTheme="minorBidi" w:cstheme="minorBidi"/>
          <w:sz w:val="23"/>
          <w:szCs w:val="23"/>
        </w:rPr>
      </w:pPr>
      <w:r w:rsidRPr="00FC15EF">
        <w:rPr>
          <w:rFonts w:asciiTheme="minorBidi" w:hAnsiTheme="minorBidi" w:cstheme="minorBidi"/>
          <w:sz w:val="23"/>
          <w:szCs w:val="23"/>
        </w:rPr>
        <w:t>This approach addressed potential limitations associated with open-ended questions for this age group. Open-ended questions could lead to frustration due to developmental limitations, or anxiety arising from researcher positionality</w:t>
      </w:r>
      <w:r w:rsidR="00807E7E" w:rsidRPr="00FC15EF">
        <w:rPr>
          <w:rFonts w:asciiTheme="minorBidi" w:hAnsiTheme="minorBidi" w:cstheme="minorBidi"/>
          <w:sz w:val="23"/>
          <w:szCs w:val="23"/>
        </w:rPr>
        <w:t xml:space="preserve"> (</w:t>
      </w:r>
      <w:r w:rsidR="001A1F69" w:rsidRPr="00FC15EF">
        <w:rPr>
          <w:rFonts w:asciiTheme="minorBidi" w:hAnsiTheme="minorBidi" w:cstheme="minorBidi"/>
          <w:sz w:val="23"/>
          <w:szCs w:val="23"/>
        </w:rPr>
        <w:t>Patton &amp; Winter, 2003</w:t>
      </w:r>
      <w:r w:rsidR="00807E7E" w:rsidRPr="00FC15EF">
        <w:rPr>
          <w:rFonts w:asciiTheme="minorBidi" w:hAnsiTheme="minorBidi" w:cstheme="minorBidi"/>
          <w:sz w:val="23"/>
          <w:szCs w:val="23"/>
        </w:rPr>
        <w:t xml:space="preserve">). </w:t>
      </w:r>
      <w:r w:rsidRPr="00FC15EF">
        <w:rPr>
          <w:rFonts w:asciiTheme="minorBidi" w:hAnsiTheme="minorBidi" w:cstheme="minorBidi"/>
          <w:sz w:val="23"/>
          <w:szCs w:val="23"/>
        </w:rPr>
        <w:t>Power dynamics inherent in the school environment can also influence pupil responses (Gray &amp; Holmes, 2020). Pupils may feel pressured to conform to perceived expectations rather than providing honest feedback.</w:t>
      </w:r>
      <w:r w:rsidR="004C107D" w:rsidRPr="00FC15EF">
        <w:rPr>
          <w:rFonts w:asciiTheme="minorBidi" w:hAnsiTheme="minorBidi" w:cstheme="minorBidi"/>
          <w:sz w:val="23"/>
          <w:szCs w:val="23"/>
        </w:rPr>
        <w:t xml:space="preserve"> </w:t>
      </w:r>
      <w:r w:rsidRPr="00FC15EF">
        <w:rPr>
          <w:rFonts w:asciiTheme="minorBidi" w:hAnsiTheme="minorBidi" w:cstheme="minorBidi"/>
          <w:sz w:val="23"/>
          <w:szCs w:val="23"/>
        </w:rPr>
        <w:t>To mitigate these concerns, the researcher read the questionnaire aloud and emphasized the anonymity and confidentiality of responses. Participants were assured that there were no right or wrong answers, and their honest input was invaluable. Furthermore, they were informed of their right to withdraw from the questionnaire at any point. This approach aimed to create a safe space for pupil voice, fostering more reliable and valid data collection alongside observational findings.</w:t>
      </w:r>
    </w:p>
    <w:p w14:paraId="43D2CBE0" w14:textId="77777777" w:rsidR="007B415E" w:rsidRPr="00FC15EF" w:rsidRDefault="007B415E" w:rsidP="007B415E">
      <w:pPr>
        <w:pStyle w:val="NormalWeb"/>
        <w:spacing w:line="360" w:lineRule="auto"/>
        <w:rPr>
          <w:rFonts w:asciiTheme="minorBidi" w:hAnsiTheme="minorBidi"/>
          <w:b/>
          <w:bCs/>
          <w:sz w:val="23"/>
          <w:szCs w:val="23"/>
        </w:rPr>
      </w:pPr>
    </w:p>
    <w:p w14:paraId="57FB9FCF" w14:textId="15D3B78C" w:rsidR="004E4668" w:rsidRPr="00677FDD" w:rsidRDefault="00982582" w:rsidP="00FC15EF">
      <w:pPr>
        <w:spacing w:line="360" w:lineRule="auto"/>
        <w:rPr>
          <w:rFonts w:asciiTheme="minorBidi" w:eastAsia="Times New Roman" w:hAnsiTheme="minorBidi"/>
          <w:b/>
          <w:bCs/>
          <w:kern w:val="0"/>
          <w:sz w:val="23"/>
          <w:szCs w:val="23"/>
          <w:u w:val="single"/>
          <w:lang w:eastAsia="en-GB"/>
          <w14:ligatures w14:val="none"/>
        </w:rPr>
      </w:pPr>
      <w:r w:rsidRPr="00677FDD">
        <w:rPr>
          <w:rFonts w:asciiTheme="minorBidi" w:eastAsia="Times New Roman" w:hAnsiTheme="minorBidi"/>
          <w:b/>
          <w:bCs/>
          <w:kern w:val="0"/>
          <w:sz w:val="23"/>
          <w:szCs w:val="23"/>
          <w:u w:val="single"/>
          <w:lang w:eastAsia="en-GB"/>
          <w14:ligatures w14:val="none"/>
        </w:rPr>
        <w:t>D</w:t>
      </w:r>
      <w:r w:rsidR="004E4668" w:rsidRPr="00677FDD">
        <w:rPr>
          <w:rFonts w:asciiTheme="minorBidi" w:eastAsia="Times New Roman" w:hAnsiTheme="minorBidi"/>
          <w:b/>
          <w:bCs/>
          <w:kern w:val="0"/>
          <w:sz w:val="23"/>
          <w:szCs w:val="23"/>
          <w:u w:val="single"/>
          <w:lang w:eastAsia="en-GB"/>
          <w14:ligatures w14:val="none"/>
        </w:rPr>
        <w:t>ata Presentation and Analysis Method(s)</w:t>
      </w:r>
    </w:p>
    <w:p w14:paraId="52701446" w14:textId="77777777" w:rsidR="00CF7B05" w:rsidRPr="00FC15EF" w:rsidRDefault="00856F60" w:rsidP="00FC15EF">
      <w:pPr>
        <w:spacing w:line="360" w:lineRule="auto"/>
        <w:rPr>
          <w:rFonts w:asciiTheme="minorBidi" w:hAnsiTheme="minorBidi"/>
          <w:sz w:val="23"/>
          <w:szCs w:val="23"/>
        </w:rPr>
      </w:pPr>
      <w:r w:rsidRPr="00FC15EF">
        <w:rPr>
          <w:rFonts w:asciiTheme="minorBidi" w:hAnsiTheme="minorBidi"/>
          <w:sz w:val="23"/>
          <w:szCs w:val="23"/>
        </w:rPr>
        <w:t>Two data collection methods were used (structured observation</w:t>
      </w:r>
      <w:r w:rsidR="000723BB" w:rsidRPr="00FC15EF">
        <w:rPr>
          <w:rFonts w:asciiTheme="minorBidi" w:hAnsiTheme="minorBidi"/>
          <w:sz w:val="23"/>
          <w:szCs w:val="23"/>
        </w:rPr>
        <w:t>s</w:t>
      </w:r>
      <w:r w:rsidRPr="00FC15EF">
        <w:rPr>
          <w:rFonts w:asciiTheme="minorBidi" w:hAnsiTheme="minorBidi"/>
          <w:sz w:val="23"/>
          <w:szCs w:val="23"/>
        </w:rPr>
        <w:t xml:space="preserve"> and questionnaire</w:t>
      </w:r>
      <w:r w:rsidR="000723BB" w:rsidRPr="00FC15EF">
        <w:rPr>
          <w:rFonts w:asciiTheme="minorBidi" w:hAnsiTheme="minorBidi"/>
          <w:sz w:val="23"/>
          <w:szCs w:val="23"/>
        </w:rPr>
        <w:t xml:space="preserve">s) to gather information on engagement to develop </w:t>
      </w:r>
      <w:r w:rsidR="0084668E" w:rsidRPr="00FC15EF">
        <w:rPr>
          <w:rFonts w:asciiTheme="minorBidi" w:hAnsiTheme="minorBidi"/>
          <w:sz w:val="23"/>
          <w:szCs w:val="23"/>
        </w:rPr>
        <w:t>the credibility of</w:t>
      </w:r>
      <w:r w:rsidR="000723BB" w:rsidRPr="00FC15EF">
        <w:rPr>
          <w:rFonts w:asciiTheme="minorBidi" w:hAnsiTheme="minorBidi"/>
          <w:sz w:val="23"/>
          <w:szCs w:val="23"/>
        </w:rPr>
        <w:t xml:space="preserve"> findings and increase the accuracy of the results</w:t>
      </w:r>
      <w:r w:rsidR="0084668E" w:rsidRPr="00FC15EF">
        <w:rPr>
          <w:rFonts w:asciiTheme="minorBidi" w:hAnsiTheme="minorBidi"/>
          <w:sz w:val="23"/>
          <w:szCs w:val="23"/>
        </w:rPr>
        <w:t xml:space="preserve">. </w:t>
      </w:r>
      <w:r w:rsidR="00251905" w:rsidRPr="00FC15EF">
        <w:rPr>
          <w:rFonts w:asciiTheme="minorBidi" w:hAnsiTheme="minorBidi"/>
          <w:sz w:val="23"/>
          <w:szCs w:val="23"/>
        </w:rPr>
        <w:t xml:space="preserve">This approach aligns with the concept of </w:t>
      </w:r>
      <w:r w:rsidR="00251905" w:rsidRPr="00FC15EF">
        <w:rPr>
          <w:rStyle w:val="Strong"/>
          <w:rFonts w:asciiTheme="minorBidi" w:hAnsiTheme="minorBidi"/>
          <w:b w:val="0"/>
          <w:bCs w:val="0"/>
          <w:sz w:val="23"/>
          <w:szCs w:val="23"/>
        </w:rPr>
        <w:t>triangulation</w:t>
      </w:r>
      <w:r w:rsidR="00251905" w:rsidRPr="00FC15EF">
        <w:rPr>
          <w:rFonts w:asciiTheme="minorBidi" w:hAnsiTheme="minorBidi"/>
          <w:sz w:val="23"/>
          <w:szCs w:val="23"/>
        </w:rPr>
        <w:t>, a well-established strategy in educational research (</w:t>
      </w:r>
      <w:r w:rsidR="00D348FD" w:rsidRPr="00FC15EF">
        <w:rPr>
          <w:rFonts w:asciiTheme="minorBidi" w:hAnsiTheme="minorBidi"/>
          <w:sz w:val="23"/>
          <w:szCs w:val="23"/>
        </w:rPr>
        <w:t>Cohen</w:t>
      </w:r>
      <w:r w:rsidR="004963A8" w:rsidRPr="00FC15EF">
        <w:rPr>
          <w:rFonts w:asciiTheme="minorBidi" w:hAnsiTheme="minorBidi"/>
          <w:sz w:val="23"/>
          <w:szCs w:val="23"/>
        </w:rPr>
        <w:t>, Manion &amp; Morrison</w:t>
      </w:r>
      <w:r w:rsidR="00D348FD" w:rsidRPr="00FC15EF">
        <w:rPr>
          <w:rFonts w:asciiTheme="minorBidi" w:hAnsiTheme="minorBidi"/>
          <w:sz w:val="23"/>
          <w:szCs w:val="23"/>
        </w:rPr>
        <w:t>, 2018</w:t>
      </w:r>
      <w:r w:rsidR="00251905" w:rsidRPr="00FC15EF">
        <w:rPr>
          <w:rFonts w:asciiTheme="minorBidi" w:hAnsiTheme="minorBidi"/>
          <w:sz w:val="23"/>
          <w:szCs w:val="23"/>
        </w:rPr>
        <w:t xml:space="preserve">). Triangulation involves using multiple data collection methods to investigate the same phenomenon. By combining observations with questionnaires, </w:t>
      </w:r>
      <w:r w:rsidR="004963A8" w:rsidRPr="00FC15EF">
        <w:rPr>
          <w:rFonts w:asciiTheme="minorBidi" w:hAnsiTheme="minorBidi"/>
          <w:sz w:val="23"/>
          <w:szCs w:val="23"/>
        </w:rPr>
        <w:t>the research</w:t>
      </w:r>
      <w:r w:rsidR="00251905" w:rsidRPr="00FC15EF">
        <w:rPr>
          <w:rFonts w:asciiTheme="minorBidi" w:hAnsiTheme="minorBidi"/>
          <w:sz w:val="23"/>
          <w:szCs w:val="23"/>
        </w:rPr>
        <w:t xml:space="preserve"> gain</w:t>
      </w:r>
      <w:r w:rsidR="004963A8" w:rsidRPr="00FC15EF">
        <w:rPr>
          <w:rFonts w:asciiTheme="minorBidi" w:hAnsiTheme="minorBidi"/>
          <w:sz w:val="23"/>
          <w:szCs w:val="23"/>
        </w:rPr>
        <w:t>ed</w:t>
      </w:r>
      <w:r w:rsidR="00251905" w:rsidRPr="00FC15EF">
        <w:rPr>
          <w:rFonts w:asciiTheme="minorBidi" w:hAnsiTheme="minorBidi"/>
          <w:sz w:val="23"/>
          <w:szCs w:val="23"/>
        </w:rPr>
        <w:t xml:space="preserve"> a more comprehensive understanding of pupil engagement in the classroom.</w:t>
      </w:r>
      <w:r w:rsidR="004963A8" w:rsidRPr="00FC15EF">
        <w:rPr>
          <w:rFonts w:asciiTheme="minorBidi" w:hAnsiTheme="minorBidi"/>
          <w:sz w:val="23"/>
          <w:szCs w:val="23"/>
        </w:rPr>
        <w:t xml:space="preserve"> </w:t>
      </w:r>
    </w:p>
    <w:p w14:paraId="7D3B77B2" w14:textId="567A1FB7" w:rsidR="006E091B" w:rsidRPr="00FC15EF" w:rsidRDefault="00CF7B05" w:rsidP="00FC15EF">
      <w:pPr>
        <w:spacing w:line="360" w:lineRule="auto"/>
        <w:rPr>
          <w:rFonts w:asciiTheme="minorBidi" w:hAnsiTheme="minorBidi"/>
          <w:sz w:val="23"/>
          <w:szCs w:val="23"/>
        </w:rPr>
      </w:pPr>
      <w:r w:rsidRPr="00FC15EF">
        <w:rPr>
          <w:rFonts w:asciiTheme="minorBidi" w:hAnsiTheme="minorBidi"/>
          <w:sz w:val="23"/>
          <w:szCs w:val="23"/>
        </w:rPr>
        <w:t xml:space="preserve">Observations allowed the opportunity to directly observe pupil behaviours during the lesson. The </w:t>
      </w:r>
      <w:r w:rsidRPr="00FC15EF">
        <w:rPr>
          <w:rStyle w:val="Strong"/>
          <w:rFonts w:asciiTheme="minorBidi" w:hAnsiTheme="minorBidi"/>
          <w:sz w:val="23"/>
          <w:szCs w:val="23"/>
        </w:rPr>
        <w:t>Leuven Scale</w:t>
      </w:r>
      <w:r w:rsidRPr="00FC15EF">
        <w:rPr>
          <w:rFonts w:asciiTheme="minorBidi" w:hAnsiTheme="minorBidi"/>
          <w:sz w:val="23"/>
          <w:szCs w:val="23"/>
        </w:rPr>
        <w:t xml:space="preserve"> (Laevers, 2002), a structured observation tool, provides a standardized framework for categorizing observed behavio</w:t>
      </w:r>
      <w:r w:rsidR="007F1C3F" w:rsidRPr="00FC15EF">
        <w:rPr>
          <w:rFonts w:asciiTheme="minorBidi" w:hAnsiTheme="minorBidi"/>
          <w:sz w:val="23"/>
          <w:szCs w:val="23"/>
        </w:rPr>
        <w:t>u</w:t>
      </w:r>
      <w:r w:rsidRPr="00FC15EF">
        <w:rPr>
          <w:rFonts w:asciiTheme="minorBidi" w:hAnsiTheme="minorBidi"/>
          <w:sz w:val="23"/>
          <w:szCs w:val="23"/>
        </w:rPr>
        <w:t xml:space="preserve">rs as engaged or </w:t>
      </w:r>
      <w:r w:rsidRPr="00FC15EF">
        <w:rPr>
          <w:rFonts w:asciiTheme="minorBidi" w:hAnsiTheme="minorBidi"/>
          <w:sz w:val="23"/>
          <w:szCs w:val="23"/>
        </w:rPr>
        <w:lastRenderedPageBreak/>
        <w:t>disengaged. This approach offers consistency and reduces researcher bias in interpreting pupil behavio</w:t>
      </w:r>
      <w:r w:rsidR="007F1C3F" w:rsidRPr="00FC15EF">
        <w:rPr>
          <w:rFonts w:asciiTheme="minorBidi" w:hAnsiTheme="minorBidi"/>
          <w:sz w:val="23"/>
          <w:szCs w:val="23"/>
        </w:rPr>
        <w:t>u</w:t>
      </w:r>
      <w:r w:rsidRPr="00FC15EF">
        <w:rPr>
          <w:rFonts w:asciiTheme="minorBidi" w:hAnsiTheme="minorBidi"/>
          <w:sz w:val="23"/>
          <w:szCs w:val="23"/>
        </w:rPr>
        <w:t>r.</w:t>
      </w:r>
      <w:r w:rsidR="007F1C3F" w:rsidRPr="00FC15EF">
        <w:rPr>
          <w:rFonts w:asciiTheme="minorBidi" w:hAnsiTheme="minorBidi"/>
          <w:sz w:val="23"/>
          <w:szCs w:val="23"/>
        </w:rPr>
        <w:t xml:space="preserve"> </w:t>
      </w:r>
      <w:r w:rsidR="00526D5B" w:rsidRPr="00FC15EF">
        <w:rPr>
          <w:rFonts w:asciiTheme="minorBidi" w:hAnsiTheme="minorBidi"/>
          <w:sz w:val="23"/>
          <w:szCs w:val="23"/>
        </w:rPr>
        <w:t xml:space="preserve">Additionally, Berger (2015) identifies the importance of researcher reflexivity, </w:t>
      </w:r>
      <w:r w:rsidR="00EA6891" w:rsidRPr="00FC15EF">
        <w:rPr>
          <w:rFonts w:asciiTheme="minorBidi" w:hAnsiTheme="minorBidi"/>
          <w:sz w:val="23"/>
          <w:szCs w:val="23"/>
        </w:rPr>
        <w:t xml:space="preserve">the practice of acknowledging </w:t>
      </w:r>
      <w:r w:rsidR="000704FF" w:rsidRPr="00FC15EF">
        <w:rPr>
          <w:rFonts w:asciiTheme="minorBidi" w:hAnsiTheme="minorBidi"/>
          <w:sz w:val="23"/>
          <w:szCs w:val="23"/>
        </w:rPr>
        <w:t>one's</w:t>
      </w:r>
      <w:r w:rsidR="00EA6891" w:rsidRPr="00FC15EF">
        <w:rPr>
          <w:rFonts w:asciiTheme="minorBidi" w:hAnsiTheme="minorBidi"/>
          <w:sz w:val="23"/>
          <w:szCs w:val="23"/>
        </w:rPr>
        <w:t xml:space="preserve"> own assumptions and experiences that may influence the research. To be aware of factors</w:t>
      </w:r>
      <w:r w:rsidR="000704FF" w:rsidRPr="00FC15EF">
        <w:rPr>
          <w:rFonts w:asciiTheme="minorBidi" w:hAnsiTheme="minorBidi"/>
          <w:sz w:val="23"/>
          <w:szCs w:val="23"/>
        </w:rPr>
        <w:t>,</w:t>
      </w:r>
      <w:r w:rsidR="00EA6891" w:rsidRPr="00FC15EF">
        <w:rPr>
          <w:rFonts w:asciiTheme="minorBidi" w:hAnsiTheme="minorBidi"/>
          <w:sz w:val="23"/>
          <w:szCs w:val="23"/>
        </w:rPr>
        <w:t xml:space="preserve"> such as being a student teacher and expecting a certain outcome </w:t>
      </w:r>
      <w:proofErr w:type="gramStart"/>
      <w:r w:rsidR="00EA6891" w:rsidRPr="00FC15EF">
        <w:rPr>
          <w:rFonts w:asciiTheme="minorBidi" w:hAnsiTheme="minorBidi"/>
          <w:sz w:val="23"/>
          <w:szCs w:val="23"/>
        </w:rPr>
        <w:t>due to</w:t>
      </w:r>
      <w:proofErr w:type="gramEnd"/>
      <w:r w:rsidR="00EA6891" w:rsidRPr="00FC15EF">
        <w:rPr>
          <w:rFonts w:asciiTheme="minorBidi" w:hAnsiTheme="minorBidi"/>
          <w:sz w:val="23"/>
          <w:szCs w:val="23"/>
        </w:rPr>
        <w:t xml:space="preserve"> </w:t>
      </w:r>
      <w:r w:rsidR="000704FF" w:rsidRPr="00FC15EF">
        <w:rPr>
          <w:rFonts w:asciiTheme="minorBidi" w:hAnsiTheme="minorBidi"/>
          <w:sz w:val="23"/>
          <w:szCs w:val="23"/>
        </w:rPr>
        <w:t>one's</w:t>
      </w:r>
      <w:r w:rsidR="00EA6891" w:rsidRPr="00FC15EF">
        <w:rPr>
          <w:rFonts w:asciiTheme="minorBidi" w:hAnsiTheme="minorBidi"/>
          <w:sz w:val="23"/>
          <w:szCs w:val="23"/>
        </w:rPr>
        <w:t xml:space="preserve"> own experiences</w:t>
      </w:r>
      <w:r w:rsidR="00213DA9" w:rsidRPr="00FC15EF">
        <w:rPr>
          <w:rFonts w:asciiTheme="minorBidi" w:hAnsiTheme="minorBidi"/>
          <w:sz w:val="23"/>
          <w:szCs w:val="23"/>
        </w:rPr>
        <w:t xml:space="preserve"> and unconscious bias</w:t>
      </w:r>
      <w:r w:rsidR="000704FF" w:rsidRPr="00FC15EF">
        <w:rPr>
          <w:rFonts w:asciiTheme="minorBidi" w:hAnsiTheme="minorBidi"/>
          <w:sz w:val="23"/>
          <w:szCs w:val="23"/>
        </w:rPr>
        <w:t xml:space="preserve">, the trustworthiness of the research may be stronger. </w:t>
      </w:r>
    </w:p>
    <w:p w14:paraId="618D1A8F" w14:textId="096B878A" w:rsidR="004963A8" w:rsidRPr="00FC15EF" w:rsidRDefault="007F1C3F" w:rsidP="00FC15EF">
      <w:pPr>
        <w:spacing w:line="360" w:lineRule="auto"/>
        <w:rPr>
          <w:rFonts w:asciiTheme="minorBidi" w:hAnsiTheme="minorBidi"/>
          <w:sz w:val="23"/>
          <w:szCs w:val="23"/>
        </w:rPr>
      </w:pPr>
      <w:r w:rsidRPr="00FC15EF">
        <w:rPr>
          <w:rFonts w:asciiTheme="minorBidi" w:hAnsiTheme="minorBidi"/>
          <w:sz w:val="23"/>
          <w:szCs w:val="23"/>
        </w:rPr>
        <w:t>Likert scale questionnaires, on the other hand, provide self-reported data on pupil experiences. These questionnaires, designed specifically for the research question, captured pupils' perceptions of their engagement level during the lesson and their experience with the mindfulness activity.</w:t>
      </w:r>
      <w:r w:rsidR="00584303" w:rsidRPr="00FC15EF">
        <w:rPr>
          <w:rFonts w:asciiTheme="minorBidi" w:hAnsiTheme="minorBidi"/>
          <w:sz w:val="23"/>
          <w:szCs w:val="23"/>
        </w:rPr>
        <w:t xml:space="preserve"> By triangulating the data from observations and questionnaires, the data’s credibility is strengthened (Cohen, 2018). Therefore, the results are more likely to be a true reflection of pupil engagement and the potential impact of mindfulness.</w:t>
      </w:r>
    </w:p>
    <w:p w14:paraId="2124E9D9" w14:textId="1F4CD4D1" w:rsidR="0020076F" w:rsidRPr="00FC15EF" w:rsidRDefault="00201285" w:rsidP="00FC15EF">
      <w:pPr>
        <w:spacing w:line="360" w:lineRule="auto"/>
        <w:rPr>
          <w:rFonts w:asciiTheme="minorBidi" w:hAnsiTheme="minorBidi"/>
          <w:sz w:val="23"/>
          <w:szCs w:val="23"/>
        </w:rPr>
      </w:pPr>
      <w:r w:rsidRPr="00FC15EF">
        <w:rPr>
          <w:rFonts w:asciiTheme="minorBidi" w:hAnsiTheme="minorBidi"/>
          <w:sz w:val="23"/>
          <w:szCs w:val="23"/>
        </w:rPr>
        <w:t xml:space="preserve">Appendix </w:t>
      </w:r>
      <w:r w:rsidR="00665C5F" w:rsidRPr="00FC15EF">
        <w:rPr>
          <w:rFonts w:asciiTheme="minorBidi" w:hAnsiTheme="minorBidi"/>
          <w:sz w:val="23"/>
          <w:szCs w:val="23"/>
        </w:rPr>
        <w:t>4 demonstrates the specific source used as the mindfulness exercise for pupils to complete prior to the second observation</w:t>
      </w:r>
      <w:r w:rsidR="006A4B01" w:rsidRPr="00FC15EF">
        <w:rPr>
          <w:rFonts w:asciiTheme="minorBidi" w:hAnsiTheme="minorBidi"/>
          <w:sz w:val="23"/>
          <w:szCs w:val="23"/>
        </w:rPr>
        <w:t xml:space="preserve"> for a rich description and transferability of findings to similar contexts if needed. </w:t>
      </w:r>
      <w:r w:rsidR="004D39A8" w:rsidRPr="00FC15EF">
        <w:rPr>
          <w:rFonts w:asciiTheme="minorBidi" w:hAnsiTheme="minorBidi"/>
          <w:sz w:val="23"/>
          <w:szCs w:val="23"/>
        </w:rPr>
        <w:t>Nevertheless, with such a small sample of pupils and short time frame of data collection, transferability</w:t>
      </w:r>
      <w:r w:rsidR="00EE303E" w:rsidRPr="00FC15EF">
        <w:rPr>
          <w:rFonts w:asciiTheme="minorBidi" w:hAnsiTheme="minorBidi"/>
          <w:sz w:val="23"/>
          <w:szCs w:val="23"/>
        </w:rPr>
        <w:t xml:space="preserve"> may be limited. </w:t>
      </w:r>
      <w:r w:rsidR="00DE042B" w:rsidRPr="00FC15EF">
        <w:rPr>
          <w:rFonts w:asciiTheme="minorBidi" w:hAnsiTheme="minorBidi"/>
          <w:sz w:val="23"/>
          <w:szCs w:val="23"/>
        </w:rPr>
        <w:t xml:space="preserve">Contextualisation </w:t>
      </w:r>
      <w:r w:rsidR="00E058EA" w:rsidRPr="00FC15EF">
        <w:rPr>
          <w:rFonts w:asciiTheme="minorBidi" w:hAnsiTheme="minorBidi"/>
          <w:sz w:val="23"/>
          <w:szCs w:val="23"/>
        </w:rPr>
        <w:t>should</w:t>
      </w:r>
      <w:r w:rsidR="00DE042B" w:rsidRPr="00FC15EF">
        <w:rPr>
          <w:rFonts w:asciiTheme="minorBidi" w:hAnsiTheme="minorBidi"/>
          <w:sz w:val="23"/>
          <w:szCs w:val="23"/>
        </w:rPr>
        <w:t xml:space="preserve"> be considered in this instance, as </w:t>
      </w:r>
      <w:r w:rsidR="001C48DE" w:rsidRPr="00FC15EF">
        <w:rPr>
          <w:rFonts w:asciiTheme="minorBidi" w:hAnsiTheme="minorBidi"/>
          <w:sz w:val="23"/>
          <w:szCs w:val="23"/>
        </w:rPr>
        <w:t xml:space="preserve">six </w:t>
      </w:r>
      <w:r w:rsidR="00DE042B" w:rsidRPr="00FC15EF">
        <w:rPr>
          <w:rFonts w:asciiTheme="minorBidi" w:hAnsiTheme="minorBidi"/>
          <w:sz w:val="23"/>
          <w:szCs w:val="23"/>
        </w:rPr>
        <w:t xml:space="preserve">pupils were aged six and seven, in a classroom environment </w:t>
      </w:r>
      <w:r w:rsidR="001C48DE" w:rsidRPr="00FC15EF">
        <w:rPr>
          <w:rFonts w:asciiTheme="minorBidi" w:hAnsiTheme="minorBidi"/>
          <w:sz w:val="23"/>
          <w:szCs w:val="23"/>
        </w:rPr>
        <w:t xml:space="preserve">with 22 other pupils </w:t>
      </w:r>
      <w:r w:rsidR="00DE042B" w:rsidRPr="00FC15EF">
        <w:rPr>
          <w:rFonts w:asciiTheme="minorBidi" w:hAnsiTheme="minorBidi"/>
          <w:sz w:val="23"/>
          <w:szCs w:val="23"/>
        </w:rPr>
        <w:t>in South Wales</w:t>
      </w:r>
      <w:r w:rsidR="001C48DE" w:rsidRPr="00FC15EF">
        <w:rPr>
          <w:rFonts w:asciiTheme="minorBidi" w:hAnsiTheme="minorBidi"/>
          <w:sz w:val="23"/>
          <w:szCs w:val="23"/>
        </w:rPr>
        <w:t xml:space="preserve">. </w:t>
      </w:r>
      <w:r w:rsidR="00E058EA" w:rsidRPr="00FC15EF">
        <w:rPr>
          <w:rFonts w:asciiTheme="minorBidi" w:hAnsiTheme="minorBidi"/>
          <w:sz w:val="23"/>
          <w:szCs w:val="23"/>
        </w:rPr>
        <w:t>It is important still to acknowledge that the small sample size makes it challenging to generalise findings to the wider population</w:t>
      </w:r>
      <w:r w:rsidR="000B69FB" w:rsidRPr="00FC15EF">
        <w:rPr>
          <w:rFonts w:asciiTheme="minorBidi" w:hAnsiTheme="minorBidi"/>
          <w:sz w:val="23"/>
          <w:szCs w:val="23"/>
        </w:rPr>
        <w:t xml:space="preserve"> or similar research conclusions in different environments</w:t>
      </w:r>
      <w:r w:rsidR="00E058EA" w:rsidRPr="00FC15EF">
        <w:rPr>
          <w:rFonts w:asciiTheme="minorBidi" w:hAnsiTheme="minorBidi"/>
          <w:sz w:val="23"/>
          <w:szCs w:val="23"/>
        </w:rPr>
        <w:t xml:space="preserve">. </w:t>
      </w:r>
      <w:r w:rsidR="001C48DE" w:rsidRPr="00FC15EF">
        <w:rPr>
          <w:rFonts w:asciiTheme="minorBidi" w:hAnsiTheme="minorBidi"/>
          <w:sz w:val="23"/>
          <w:szCs w:val="23"/>
        </w:rPr>
        <w:t>Using a standardised observation schedule (the Leuven Scale) minimises the influence of researcher bias and ensures consistency in data</w:t>
      </w:r>
      <w:r w:rsidR="0020076F" w:rsidRPr="00FC15EF">
        <w:rPr>
          <w:rFonts w:asciiTheme="minorBidi" w:hAnsiTheme="minorBidi"/>
          <w:sz w:val="23"/>
          <w:szCs w:val="23"/>
        </w:rPr>
        <w:t xml:space="preserve"> collection across both observation days, enriching the dependability</w:t>
      </w:r>
      <w:r w:rsidR="0025673A" w:rsidRPr="00FC15EF">
        <w:rPr>
          <w:rFonts w:asciiTheme="minorBidi" w:hAnsiTheme="minorBidi"/>
          <w:sz w:val="23"/>
          <w:szCs w:val="23"/>
        </w:rPr>
        <w:t xml:space="preserve"> (Bloomberg &amp; Volpe, 2019).</w:t>
      </w:r>
    </w:p>
    <w:p w14:paraId="253E9475" w14:textId="4E6C1A41" w:rsidR="00CD7291" w:rsidRPr="00FC15EF" w:rsidRDefault="00CD7291" w:rsidP="00FC15EF">
      <w:pPr>
        <w:spacing w:line="360" w:lineRule="auto"/>
        <w:rPr>
          <w:rFonts w:asciiTheme="minorBidi" w:hAnsiTheme="minorBidi"/>
          <w:sz w:val="23"/>
          <w:szCs w:val="23"/>
        </w:rPr>
      </w:pPr>
      <w:r w:rsidRPr="00FC15EF">
        <w:rPr>
          <w:rFonts w:asciiTheme="minorBidi" w:hAnsiTheme="minorBidi"/>
          <w:sz w:val="23"/>
          <w:szCs w:val="23"/>
        </w:rPr>
        <w:t>The data collected from both observations and questionnaires will be analysed quantitatively.</w:t>
      </w:r>
      <w:r w:rsidR="00A0091E" w:rsidRPr="00FC15EF">
        <w:rPr>
          <w:rFonts w:asciiTheme="minorBidi" w:hAnsiTheme="minorBidi"/>
          <w:sz w:val="23"/>
          <w:szCs w:val="23"/>
        </w:rPr>
        <w:t xml:space="preserve"> The data from the Leuven Scale will be used to calculate the frequency of observed engaged and disengaged </w:t>
      </w:r>
      <w:r w:rsidR="00C25D77" w:rsidRPr="00FC15EF">
        <w:rPr>
          <w:rFonts w:asciiTheme="minorBidi" w:hAnsiTheme="minorBidi"/>
          <w:sz w:val="23"/>
          <w:szCs w:val="23"/>
        </w:rPr>
        <w:t>behaviours</w:t>
      </w:r>
      <w:r w:rsidR="00A0091E" w:rsidRPr="00FC15EF">
        <w:rPr>
          <w:rFonts w:asciiTheme="minorBidi" w:hAnsiTheme="minorBidi"/>
          <w:sz w:val="23"/>
          <w:szCs w:val="23"/>
        </w:rPr>
        <w:t xml:space="preserve"> for each pupil during the lesson on both observation days (without mindfulness and with mindfulness) on average. </w:t>
      </w:r>
      <w:r w:rsidR="00C25D77" w:rsidRPr="00FC15EF">
        <w:rPr>
          <w:rFonts w:asciiTheme="minorBidi" w:hAnsiTheme="minorBidi"/>
          <w:sz w:val="23"/>
          <w:szCs w:val="23"/>
        </w:rPr>
        <w:t xml:space="preserve">The average score </w:t>
      </w:r>
      <w:r w:rsidR="0062202F" w:rsidRPr="00FC15EF">
        <w:rPr>
          <w:rFonts w:asciiTheme="minorBidi" w:hAnsiTheme="minorBidi"/>
          <w:sz w:val="23"/>
          <w:szCs w:val="23"/>
        </w:rPr>
        <w:t>was</w:t>
      </w:r>
      <w:r w:rsidR="00C25D77" w:rsidRPr="00FC15EF">
        <w:rPr>
          <w:rFonts w:asciiTheme="minorBidi" w:hAnsiTheme="minorBidi"/>
          <w:sz w:val="23"/>
          <w:szCs w:val="23"/>
        </w:rPr>
        <w:t xml:space="preserve"> calculate</w:t>
      </w:r>
      <w:r w:rsidR="0062202F" w:rsidRPr="00FC15EF">
        <w:rPr>
          <w:rFonts w:asciiTheme="minorBidi" w:hAnsiTheme="minorBidi"/>
          <w:sz w:val="23"/>
          <w:szCs w:val="23"/>
        </w:rPr>
        <w:t xml:space="preserve">d to provide insights into potential shifts in self-reported engagement levels after the mindfulness activity. </w:t>
      </w:r>
    </w:p>
    <w:p w14:paraId="370F6518" w14:textId="77777777" w:rsidR="00C86D58" w:rsidRPr="00FC15EF" w:rsidRDefault="00C86D58" w:rsidP="00FC15EF">
      <w:pPr>
        <w:spacing w:line="360" w:lineRule="auto"/>
        <w:rPr>
          <w:rFonts w:asciiTheme="minorBidi" w:hAnsiTheme="minorBidi"/>
          <w:sz w:val="23"/>
          <w:szCs w:val="23"/>
        </w:rPr>
      </w:pPr>
    </w:p>
    <w:p w14:paraId="2488F74F" w14:textId="67129830" w:rsidR="008B17F1" w:rsidRPr="00677FDD" w:rsidRDefault="008B17F1" w:rsidP="00FC15EF">
      <w:pPr>
        <w:spacing w:line="360" w:lineRule="auto"/>
        <w:rPr>
          <w:rFonts w:asciiTheme="minorBidi" w:eastAsia="Times New Roman" w:hAnsiTheme="minorBidi"/>
          <w:b/>
          <w:bCs/>
          <w:kern w:val="0"/>
          <w:sz w:val="23"/>
          <w:szCs w:val="23"/>
          <w:u w:val="single"/>
          <w:lang w:eastAsia="en-GB"/>
          <w14:ligatures w14:val="none"/>
        </w:rPr>
      </w:pPr>
      <w:r w:rsidRPr="00677FDD">
        <w:rPr>
          <w:rFonts w:asciiTheme="minorBidi" w:eastAsia="Times New Roman" w:hAnsiTheme="minorBidi"/>
          <w:b/>
          <w:bCs/>
          <w:kern w:val="0"/>
          <w:sz w:val="23"/>
          <w:szCs w:val="23"/>
          <w:u w:val="single"/>
          <w:lang w:eastAsia="en-GB"/>
          <w14:ligatures w14:val="none"/>
        </w:rPr>
        <w:t>Ethical considerations</w:t>
      </w:r>
    </w:p>
    <w:p w14:paraId="6BE21A8B" w14:textId="21C5AA87" w:rsidR="006D6ABE" w:rsidRDefault="00206177" w:rsidP="00206177">
      <w:pPr>
        <w:spacing w:after="0" w:line="360" w:lineRule="auto"/>
        <w:rPr>
          <w:rFonts w:asciiTheme="minorBidi" w:hAnsiTheme="minorBidi"/>
          <w:sz w:val="23"/>
          <w:szCs w:val="23"/>
        </w:rPr>
      </w:pPr>
      <w:r w:rsidRPr="00206177">
        <w:rPr>
          <w:rFonts w:asciiTheme="minorBidi" w:hAnsiTheme="minorBidi"/>
          <w:sz w:val="23"/>
          <w:szCs w:val="23"/>
        </w:rPr>
        <w:lastRenderedPageBreak/>
        <w:t>This study with year 2 students prioritised ethical issues as indicated by the British Educational Research Association (BERA, 2018). As a researcher, I recognised that my background may influence how I interpret student participation (Punch, 2016). As a result, transparency was crucial. Before approaching students, parental approval was acquired</w:t>
      </w:r>
      <w:r w:rsidR="002C7F26">
        <w:rPr>
          <w:rFonts w:asciiTheme="minorBidi" w:hAnsiTheme="minorBidi"/>
          <w:sz w:val="23"/>
          <w:szCs w:val="23"/>
        </w:rPr>
        <w:t xml:space="preserve"> (Appendix 9)</w:t>
      </w:r>
      <w:r w:rsidRPr="00206177">
        <w:rPr>
          <w:rFonts w:asciiTheme="minorBidi" w:hAnsiTheme="minorBidi"/>
          <w:sz w:val="23"/>
          <w:szCs w:val="23"/>
        </w:rPr>
        <w:t>, and the pupils supplied their assent after understanding the research objectives (described in a child-friendly information sheet</w:t>
      </w:r>
      <w:r w:rsidR="002C7F26">
        <w:rPr>
          <w:rFonts w:asciiTheme="minorBidi" w:hAnsiTheme="minorBidi"/>
          <w:sz w:val="23"/>
          <w:szCs w:val="23"/>
        </w:rPr>
        <w:t>, Appendix 8</w:t>
      </w:r>
      <w:r w:rsidRPr="00206177">
        <w:rPr>
          <w:rFonts w:asciiTheme="minorBidi" w:hAnsiTheme="minorBidi"/>
          <w:sz w:val="23"/>
          <w:szCs w:val="23"/>
        </w:rPr>
        <w:t xml:space="preserve">) and their right to withdraw at any time with no consequences. Confidentiality was </w:t>
      </w:r>
      <w:r w:rsidR="006D6ABE">
        <w:rPr>
          <w:rFonts w:asciiTheme="minorBidi" w:hAnsiTheme="minorBidi"/>
          <w:sz w:val="23"/>
          <w:szCs w:val="23"/>
        </w:rPr>
        <w:t>important</w:t>
      </w:r>
      <w:r>
        <w:rPr>
          <w:rFonts w:asciiTheme="minorBidi" w:hAnsiTheme="minorBidi"/>
          <w:sz w:val="23"/>
          <w:szCs w:val="23"/>
        </w:rPr>
        <w:t>, so t</w:t>
      </w:r>
      <w:r w:rsidRPr="00206177">
        <w:rPr>
          <w:rFonts w:asciiTheme="minorBidi" w:hAnsiTheme="minorBidi"/>
          <w:sz w:val="23"/>
          <w:szCs w:val="23"/>
        </w:rPr>
        <w:t xml:space="preserve">hroughout observations and questionnaires, all </w:t>
      </w:r>
      <w:r w:rsidR="006D6ABE">
        <w:rPr>
          <w:rFonts w:asciiTheme="minorBidi" w:hAnsiTheme="minorBidi"/>
          <w:sz w:val="23"/>
          <w:szCs w:val="23"/>
        </w:rPr>
        <w:t>data-gathering</w:t>
      </w:r>
      <w:r w:rsidRPr="00206177">
        <w:rPr>
          <w:rFonts w:asciiTheme="minorBidi" w:hAnsiTheme="minorBidi"/>
          <w:sz w:val="23"/>
          <w:szCs w:val="23"/>
        </w:rPr>
        <w:t xml:space="preserve"> </w:t>
      </w:r>
      <w:proofErr w:type="gramStart"/>
      <w:r w:rsidRPr="00206177">
        <w:rPr>
          <w:rFonts w:asciiTheme="minorBidi" w:hAnsiTheme="minorBidi"/>
          <w:sz w:val="23"/>
          <w:szCs w:val="23"/>
        </w:rPr>
        <w:t>methods maintained</w:t>
      </w:r>
      <w:proofErr w:type="gramEnd"/>
      <w:r w:rsidRPr="00206177">
        <w:rPr>
          <w:rFonts w:asciiTheme="minorBidi" w:hAnsiTheme="minorBidi"/>
          <w:sz w:val="23"/>
          <w:szCs w:val="23"/>
        </w:rPr>
        <w:t xml:space="preserve"> anonymity by replacing identities with pseudonyms ("pupil 1," "pupil 2," etc.). Any documents containing initial data with names were blacked out prior to analysis (BERA, 2018). </w:t>
      </w:r>
      <w:r w:rsidRPr="00206177">
        <w:rPr>
          <w:rFonts w:asciiTheme="minorBidi" w:hAnsiTheme="minorBidi"/>
          <w:sz w:val="23"/>
          <w:szCs w:val="23"/>
        </w:rPr>
        <w:br/>
        <w:t xml:space="preserve">Providing a comfortable and safe atmosphere for students was essential. </w:t>
      </w:r>
      <w:r w:rsidR="006D6ABE">
        <w:rPr>
          <w:rFonts w:asciiTheme="minorBidi" w:hAnsiTheme="minorBidi"/>
          <w:sz w:val="23"/>
          <w:szCs w:val="23"/>
        </w:rPr>
        <w:t>Pupils</w:t>
      </w:r>
      <w:r w:rsidRPr="00206177">
        <w:rPr>
          <w:rFonts w:asciiTheme="minorBidi" w:hAnsiTheme="minorBidi"/>
          <w:sz w:val="23"/>
          <w:szCs w:val="23"/>
        </w:rPr>
        <w:t xml:space="preserve"> were assured that their honest responses were valuable and would not be shared with teachers or anyone else. 'Feelings fans' </w:t>
      </w:r>
      <w:r w:rsidR="002C7F26">
        <w:rPr>
          <w:rFonts w:asciiTheme="minorBidi" w:hAnsiTheme="minorBidi"/>
          <w:sz w:val="23"/>
          <w:szCs w:val="23"/>
        </w:rPr>
        <w:t xml:space="preserve">(Appendix 10) </w:t>
      </w:r>
      <w:r w:rsidRPr="00206177">
        <w:rPr>
          <w:rFonts w:asciiTheme="minorBidi" w:hAnsiTheme="minorBidi"/>
          <w:sz w:val="23"/>
          <w:szCs w:val="23"/>
        </w:rPr>
        <w:t xml:space="preserve">were offered to pupils at each part of the research and explained to pupils that they could use them at any time to indicate that they want to stop. Using a fan at any moment indicated a desire to end the observation or questioning, and their decision would be followed without question. Throughout the research procedure, participants were repeatedly reminded of the ability to withdraw. </w:t>
      </w:r>
      <w:r w:rsidR="006D6ABE" w:rsidRPr="00206177">
        <w:rPr>
          <w:rFonts w:asciiTheme="minorBidi" w:hAnsiTheme="minorBidi"/>
          <w:sz w:val="23"/>
          <w:szCs w:val="23"/>
        </w:rPr>
        <w:t xml:space="preserve">Prior to beginning, I also confirmed with the class teacher that the children were familiar with mindfulness practices </w:t>
      </w:r>
      <w:proofErr w:type="gramStart"/>
      <w:r w:rsidR="006D6ABE" w:rsidRPr="00206177">
        <w:rPr>
          <w:rFonts w:asciiTheme="minorBidi" w:hAnsiTheme="minorBidi"/>
          <w:sz w:val="23"/>
          <w:szCs w:val="23"/>
        </w:rPr>
        <w:t>in order to</w:t>
      </w:r>
      <w:proofErr w:type="gramEnd"/>
      <w:r w:rsidR="006D6ABE" w:rsidRPr="00206177">
        <w:rPr>
          <w:rFonts w:asciiTheme="minorBidi" w:hAnsiTheme="minorBidi"/>
          <w:sz w:val="23"/>
          <w:szCs w:val="23"/>
        </w:rPr>
        <w:t xml:space="preserve"> avoid introducing an unfamiliar topic that could cause students anxiety. </w:t>
      </w:r>
    </w:p>
    <w:p w14:paraId="49BA30F3" w14:textId="77777777" w:rsidR="006D6ABE" w:rsidRDefault="00206177" w:rsidP="006D6ABE">
      <w:pPr>
        <w:spacing w:after="0" w:line="360" w:lineRule="auto"/>
        <w:rPr>
          <w:rFonts w:asciiTheme="minorBidi" w:hAnsiTheme="minorBidi"/>
          <w:sz w:val="23"/>
          <w:szCs w:val="23"/>
        </w:rPr>
      </w:pPr>
      <w:r w:rsidRPr="00206177">
        <w:rPr>
          <w:rFonts w:asciiTheme="minorBidi" w:hAnsiTheme="minorBidi"/>
          <w:sz w:val="23"/>
          <w:szCs w:val="23"/>
        </w:rPr>
        <w:t>These safeguards protected informed consent, confidentiality, and student well-being, demonstrating a dedication to ethical research techniques.</w:t>
      </w:r>
      <w:r>
        <w:rPr>
          <w:rFonts w:asciiTheme="minorBidi" w:hAnsiTheme="minorBidi"/>
          <w:sz w:val="23"/>
          <w:szCs w:val="23"/>
        </w:rPr>
        <w:t xml:space="preserve"> </w:t>
      </w:r>
      <w:r w:rsidRPr="00206177">
        <w:rPr>
          <w:rFonts w:asciiTheme="minorBidi" w:hAnsiTheme="minorBidi"/>
          <w:sz w:val="23"/>
          <w:szCs w:val="23"/>
        </w:rPr>
        <w:t xml:space="preserve">Throughout the research, I understood the importance of time and when to conduct observations and questionnaires. The lesson observation blended well into the students' usual school day, but finding time to complete the surveys was difficult in a busy school environment. I was careful not to schedule this during the children's own time, such as playtime or lunchtime, so that they would not miss their breaks. I scheduled this at the end of the lesson, after they had finished their task. This was straightforward since students work in groups throughout the foundation phase, and their groups were prioritised to work first during the session so that their academic opportunities were not affected. </w:t>
      </w:r>
    </w:p>
    <w:p w14:paraId="55FFD5C6" w14:textId="77777777" w:rsidR="007E53B3" w:rsidRDefault="00206177" w:rsidP="007E53B3">
      <w:pPr>
        <w:spacing w:after="0" w:line="360" w:lineRule="auto"/>
        <w:rPr>
          <w:rFonts w:ascii="Arial" w:hAnsi="Arial" w:cs="Arial"/>
          <w:color w:val="0F1111"/>
          <w:sz w:val="42"/>
          <w:szCs w:val="42"/>
        </w:rPr>
      </w:pPr>
      <w:r w:rsidRPr="00206177">
        <w:rPr>
          <w:rFonts w:asciiTheme="minorBidi" w:hAnsiTheme="minorBidi"/>
          <w:sz w:val="23"/>
          <w:szCs w:val="23"/>
        </w:rPr>
        <w:t xml:space="preserve">During the questionnaires, I read the questions aloud to the students based on their attainment levels, but after each question, I reminded them that there were no right or wrong responses and that whatever answers they provided were extremely beneficial to my study and would not be shared with anyone else. When the research was finished, I </w:t>
      </w:r>
      <w:r w:rsidRPr="00206177">
        <w:rPr>
          <w:rFonts w:asciiTheme="minorBidi" w:hAnsiTheme="minorBidi"/>
          <w:sz w:val="23"/>
          <w:szCs w:val="23"/>
        </w:rPr>
        <w:lastRenderedPageBreak/>
        <w:t xml:space="preserve">debriefed the students and told them how impressed I was while observing them and how much their input would help me with my studies. I gave them 5 'dojo' points each once the research was concluded, making sure they didn't take it as a bribe, but rather as a thank you. </w:t>
      </w:r>
      <w:r w:rsidRPr="00206177">
        <w:rPr>
          <w:rFonts w:asciiTheme="minorBidi" w:hAnsiTheme="minorBidi"/>
          <w:sz w:val="23"/>
          <w:szCs w:val="23"/>
        </w:rPr>
        <w:br/>
      </w:r>
      <w:r w:rsidRPr="00206177">
        <w:rPr>
          <w:rFonts w:asciiTheme="minorBidi" w:hAnsiTheme="minorBidi"/>
          <w:sz w:val="23"/>
          <w:szCs w:val="23"/>
        </w:rPr>
        <w:br/>
      </w:r>
    </w:p>
    <w:p w14:paraId="6108C9CC" w14:textId="48FE11DB" w:rsidR="00B11F35" w:rsidRDefault="008B17F1" w:rsidP="007E53B3">
      <w:pPr>
        <w:spacing w:after="0" w:line="360" w:lineRule="auto"/>
        <w:rPr>
          <w:rFonts w:asciiTheme="minorBidi" w:eastAsia="Times New Roman" w:hAnsiTheme="minorBidi"/>
          <w:b/>
          <w:bCs/>
          <w:kern w:val="0"/>
          <w:sz w:val="23"/>
          <w:szCs w:val="23"/>
          <w:u w:val="single"/>
          <w:lang w:eastAsia="en-GB"/>
          <w14:ligatures w14:val="none"/>
        </w:rPr>
      </w:pPr>
      <w:r w:rsidRPr="00677FDD">
        <w:rPr>
          <w:rFonts w:asciiTheme="minorBidi" w:eastAsia="Times New Roman" w:hAnsiTheme="minorBidi"/>
          <w:b/>
          <w:bCs/>
          <w:kern w:val="0"/>
          <w:sz w:val="23"/>
          <w:szCs w:val="23"/>
          <w:u w:val="single"/>
          <w:lang w:eastAsia="en-GB"/>
          <w14:ligatures w14:val="none"/>
        </w:rPr>
        <w:t>Results / Analysis of results / Discussion</w:t>
      </w:r>
    </w:p>
    <w:p w14:paraId="2E07920F" w14:textId="77777777" w:rsidR="007E53B3" w:rsidRPr="007E53B3" w:rsidRDefault="007E53B3" w:rsidP="007E53B3">
      <w:pPr>
        <w:spacing w:after="0" w:line="360" w:lineRule="auto"/>
        <w:rPr>
          <w:rFonts w:ascii="Arial" w:hAnsi="Arial" w:cs="Arial"/>
          <w:color w:val="0F1111"/>
          <w:sz w:val="42"/>
          <w:szCs w:val="42"/>
        </w:rPr>
      </w:pPr>
    </w:p>
    <w:p w14:paraId="5631326B" w14:textId="25B77D7D" w:rsidR="00816F72" w:rsidRPr="00FC15EF" w:rsidRDefault="00816F72" w:rsidP="00DC16FF">
      <w:pPr>
        <w:spacing w:line="360" w:lineRule="auto"/>
        <w:rPr>
          <w:rFonts w:asciiTheme="minorBidi" w:hAnsiTheme="minorBidi"/>
          <w:sz w:val="23"/>
          <w:szCs w:val="23"/>
        </w:rPr>
      </w:pPr>
      <w:r w:rsidRPr="00FC15EF">
        <w:rPr>
          <w:rFonts w:asciiTheme="minorBidi" w:hAnsiTheme="minorBidi"/>
          <w:sz w:val="23"/>
          <w:szCs w:val="23"/>
        </w:rPr>
        <w:t xml:space="preserve">The data in this research was intended to understand groups of learners and whether mindfulness </w:t>
      </w:r>
      <w:proofErr w:type="gramStart"/>
      <w:r w:rsidRPr="00FC15EF">
        <w:rPr>
          <w:rFonts w:asciiTheme="minorBidi" w:hAnsiTheme="minorBidi"/>
          <w:sz w:val="23"/>
          <w:szCs w:val="23"/>
        </w:rPr>
        <w:t>had an effect on</w:t>
      </w:r>
      <w:proofErr w:type="gramEnd"/>
      <w:r w:rsidRPr="00FC15EF">
        <w:rPr>
          <w:rFonts w:asciiTheme="minorBidi" w:hAnsiTheme="minorBidi"/>
          <w:sz w:val="23"/>
          <w:szCs w:val="23"/>
        </w:rPr>
        <w:t xml:space="preserve"> engagement levels in the classroom. Trends were firstly identified in the observation data (Appendix 5) through a point system attributed to the pre-deciding factors that summarised engaged or disengaged behaviours, split into categories of verbal engagement, non-verbal engagement (body language) and on/off-task pupils. </w:t>
      </w:r>
    </w:p>
    <w:p w14:paraId="38682955" w14:textId="77777777" w:rsidR="00816F72" w:rsidRPr="00FC15EF" w:rsidRDefault="00816F72" w:rsidP="00FC15EF">
      <w:pPr>
        <w:spacing w:line="360" w:lineRule="auto"/>
        <w:rPr>
          <w:rFonts w:asciiTheme="minorBidi" w:hAnsiTheme="minorBidi"/>
          <w:sz w:val="23"/>
          <w:szCs w:val="23"/>
        </w:rPr>
      </w:pPr>
    </w:p>
    <w:p w14:paraId="0F068264" w14:textId="77777777" w:rsidR="00816F72" w:rsidRPr="00FC15EF" w:rsidRDefault="00816F72" w:rsidP="00FC15EF">
      <w:pPr>
        <w:spacing w:line="360" w:lineRule="auto"/>
        <w:rPr>
          <w:rFonts w:asciiTheme="minorBidi" w:hAnsiTheme="minorBidi"/>
          <w:sz w:val="23"/>
          <w:szCs w:val="23"/>
        </w:rPr>
      </w:pPr>
    </w:p>
    <w:p w14:paraId="07C4E802" w14:textId="77777777" w:rsidR="00816F72" w:rsidRPr="00FC15EF" w:rsidRDefault="00816F72" w:rsidP="00FC15EF">
      <w:pPr>
        <w:spacing w:line="360" w:lineRule="auto"/>
        <w:rPr>
          <w:rFonts w:asciiTheme="minorBidi" w:hAnsiTheme="minorBidi"/>
          <w:sz w:val="23"/>
          <w:szCs w:val="23"/>
        </w:rPr>
      </w:pPr>
      <w:r w:rsidRPr="00FC15EF">
        <w:rPr>
          <w:rFonts w:asciiTheme="minorBidi" w:hAnsiTheme="minorBidi"/>
          <w:noProof/>
          <w:sz w:val="23"/>
          <w:szCs w:val="23"/>
        </w:rPr>
        <w:drawing>
          <wp:anchor distT="0" distB="0" distL="114300" distR="114300" simplePos="0" relativeHeight="251664384" behindDoc="0" locked="0" layoutInCell="1" allowOverlap="1" wp14:anchorId="7BFF09DC" wp14:editId="6F97D532">
            <wp:simplePos x="0" y="0"/>
            <wp:positionH relativeFrom="margin">
              <wp:posOffset>-76200</wp:posOffset>
            </wp:positionH>
            <wp:positionV relativeFrom="paragraph">
              <wp:posOffset>-638175</wp:posOffset>
            </wp:positionV>
            <wp:extent cx="5731510" cy="2262505"/>
            <wp:effectExtent l="0" t="0" r="2540" b="4445"/>
            <wp:wrapNone/>
            <wp:docPr id="15440125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12595"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62505"/>
                    </a:xfrm>
                    <a:prstGeom prst="rect">
                      <a:avLst/>
                    </a:prstGeom>
                  </pic:spPr>
                </pic:pic>
              </a:graphicData>
            </a:graphic>
          </wp:anchor>
        </w:drawing>
      </w:r>
    </w:p>
    <w:p w14:paraId="2805589D" w14:textId="77777777" w:rsidR="00816F72" w:rsidRPr="00FC15EF" w:rsidRDefault="00816F72" w:rsidP="00FC15EF">
      <w:pPr>
        <w:spacing w:line="360" w:lineRule="auto"/>
        <w:rPr>
          <w:rFonts w:asciiTheme="minorBidi" w:hAnsiTheme="minorBidi"/>
          <w:sz w:val="23"/>
          <w:szCs w:val="23"/>
        </w:rPr>
      </w:pPr>
    </w:p>
    <w:p w14:paraId="7025483D" w14:textId="77777777" w:rsidR="00816F72" w:rsidRPr="00FC15EF" w:rsidRDefault="00816F72" w:rsidP="00FC15EF">
      <w:pPr>
        <w:spacing w:line="360" w:lineRule="auto"/>
        <w:rPr>
          <w:rFonts w:asciiTheme="minorBidi" w:hAnsiTheme="minorBidi"/>
          <w:sz w:val="23"/>
          <w:szCs w:val="23"/>
        </w:rPr>
      </w:pPr>
    </w:p>
    <w:p w14:paraId="615137C1" w14:textId="77777777" w:rsidR="00816F72" w:rsidRPr="00FC15EF" w:rsidRDefault="00816F72" w:rsidP="00FC15EF">
      <w:pPr>
        <w:spacing w:line="360" w:lineRule="auto"/>
        <w:rPr>
          <w:rFonts w:asciiTheme="minorBidi" w:hAnsiTheme="minorBidi"/>
          <w:sz w:val="23"/>
          <w:szCs w:val="23"/>
        </w:rPr>
      </w:pPr>
    </w:p>
    <w:p w14:paraId="03D4E107" w14:textId="77777777" w:rsidR="00816F72" w:rsidRPr="00FC15EF" w:rsidRDefault="00816F72" w:rsidP="00FC15EF">
      <w:pPr>
        <w:spacing w:line="360" w:lineRule="auto"/>
        <w:rPr>
          <w:rFonts w:asciiTheme="minorBidi" w:hAnsiTheme="minorBidi"/>
          <w:sz w:val="23"/>
          <w:szCs w:val="23"/>
        </w:rPr>
      </w:pPr>
    </w:p>
    <w:p w14:paraId="021939A9" w14:textId="77777777" w:rsidR="00816F72" w:rsidRDefault="00816F72" w:rsidP="00FC15EF">
      <w:pPr>
        <w:spacing w:line="360" w:lineRule="auto"/>
        <w:rPr>
          <w:rFonts w:asciiTheme="minorBidi" w:hAnsiTheme="minorBidi"/>
          <w:b/>
          <w:bCs/>
          <w:sz w:val="23"/>
          <w:szCs w:val="23"/>
        </w:rPr>
      </w:pPr>
      <w:r w:rsidRPr="00FC15EF">
        <w:rPr>
          <w:rFonts w:asciiTheme="minorBidi" w:hAnsiTheme="minorBidi"/>
          <w:b/>
          <w:bCs/>
          <w:sz w:val="23"/>
          <w:szCs w:val="23"/>
        </w:rPr>
        <w:t>Appendix 5, spreadsheet analysis of observation data</w:t>
      </w:r>
    </w:p>
    <w:p w14:paraId="710178B6" w14:textId="77777777" w:rsidR="00426AA4" w:rsidRPr="00FC15EF" w:rsidRDefault="00426AA4" w:rsidP="00FC15EF">
      <w:pPr>
        <w:spacing w:line="360" w:lineRule="auto"/>
        <w:rPr>
          <w:rFonts w:asciiTheme="minorBidi" w:hAnsiTheme="minorBidi"/>
          <w:b/>
          <w:bCs/>
          <w:sz w:val="23"/>
          <w:szCs w:val="23"/>
        </w:rPr>
      </w:pPr>
    </w:p>
    <w:p w14:paraId="4BD5B9DB" w14:textId="2673676F" w:rsidR="00816F72" w:rsidRPr="00FC15EF" w:rsidRDefault="00816F72" w:rsidP="001209CE">
      <w:pPr>
        <w:spacing w:after="0" w:line="360" w:lineRule="auto"/>
        <w:rPr>
          <w:rFonts w:asciiTheme="minorBidi" w:eastAsia="Times New Roman" w:hAnsiTheme="minorBidi"/>
          <w:kern w:val="0"/>
          <w:sz w:val="23"/>
          <w:szCs w:val="23"/>
          <w:lang w:eastAsia="en-GB"/>
          <w14:ligatures w14:val="none"/>
        </w:rPr>
      </w:pPr>
      <w:r w:rsidRPr="00CD6B73">
        <w:rPr>
          <w:rFonts w:asciiTheme="minorBidi" w:eastAsia="Times New Roman" w:hAnsiTheme="minorBidi"/>
          <w:kern w:val="0"/>
          <w:sz w:val="23"/>
          <w:szCs w:val="23"/>
          <w:lang w:eastAsia="en-GB"/>
          <w14:ligatures w14:val="none"/>
        </w:rPr>
        <w:t>Both engaged and disengaged behaviours were recorded based on predetermined criteria, with a checkmark placed in the appropriate box on the observation schedule. The frequencies were documented at specific intervals during the lesson. For instance, each instance when the teacher instructed the students to engage in various activities, such as discussing ideas with a partner, counting aloud as a class, doing arithmetic problems on their whiteboards, directing their attention, or behaving in a desired manner</w:t>
      </w:r>
      <w:r w:rsidR="003E0EA0">
        <w:rPr>
          <w:rFonts w:asciiTheme="minorBidi" w:eastAsia="Times New Roman" w:hAnsiTheme="minorBidi"/>
          <w:kern w:val="0"/>
          <w:sz w:val="23"/>
          <w:szCs w:val="23"/>
          <w:lang w:eastAsia="en-GB"/>
          <w14:ligatures w14:val="none"/>
        </w:rPr>
        <w:t xml:space="preserve"> </w:t>
      </w:r>
      <w:r w:rsidR="003E0EA0">
        <w:rPr>
          <w:rFonts w:asciiTheme="minorBidi" w:eastAsia="Times New Roman" w:hAnsiTheme="minorBidi"/>
          <w:kern w:val="0"/>
          <w:sz w:val="23"/>
          <w:szCs w:val="23"/>
          <w:lang w:eastAsia="en-GB"/>
          <w14:ligatures w14:val="none"/>
        </w:rPr>
        <w:lastRenderedPageBreak/>
        <w:t xml:space="preserve">was recorded. </w:t>
      </w:r>
      <w:r w:rsidRPr="00CD6B73">
        <w:rPr>
          <w:rFonts w:asciiTheme="minorBidi" w:eastAsia="Times New Roman" w:hAnsiTheme="minorBidi"/>
          <w:kern w:val="0"/>
          <w:sz w:val="23"/>
          <w:szCs w:val="23"/>
          <w:lang w:eastAsia="en-GB"/>
          <w14:ligatures w14:val="none"/>
        </w:rPr>
        <w:br/>
      </w:r>
      <w:r w:rsidR="00BF48E0" w:rsidRPr="00FC15EF">
        <w:rPr>
          <w:rFonts w:asciiTheme="minorBidi" w:eastAsia="Times New Roman" w:hAnsiTheme="minorBidi"/>
          <w:kern w:val="0"/>
          <w:sz w:val="23"/>
          <w:szCs w:val="23"/>
          <w:lang w:eastAsia="en-GB"/>
          <w14:ligatures w14:val="none"/>
        </w:rPr>
        <w:t xml:space="preserve">Following the adoption of mindfulness, verbal engagement improved from 9 to 16, representing a 7-point improvement. The level of interaction with body language increased by 14 points, from 28 to 32. The level of task participation grew by 13 points, from 25 to 38. The total score for engaged behaviours rose by 24 points, from 62 to 86. </w:t>
      </w:r>
      <w:r w:rsidR="003E0EA0">
        <w:rPr>
          <w:rFonts w:asciiTheme="minorBidi" w:eastAsia="Times New Roman" w:hAnsiTheme="minorBidi"/>
          <w:kern w:val="0"/>
          <w:sz w:val="23"/>
          <w:szCs w:val="23"/>
          <w:lang w:eastAsia="en-GB"/>
          <w14:ligatures w14:val="none"/>
        </w:rPr>
        <w:t>T</w:t>
      </w:r>
      <w:r w:rsidR="001209CE">
        <w:rPr>
          <w:rFonts w:asciiTheme="minorBidi" w:eastAsia="Times New Roman" w:hAnsiTheme="minorBidi"/>
          <w:kern w:val="0"/>
          <w:sz w:val="23"/>
          <w:szCs w:val="23"/>
          <w:lang w:eastAsia="en-GB"/>
          <w14:ligatures w14:val="none"/>
        </w:rPr>
        <w:t>his heightened engagement score reflects existing literature (</w:t>
      </w:r>
      <w:r w:rsidR="003E0EA0" w:rsidRPr="00FC15EF">
        <w:rPr>
          <w:rFonts w:asciiTheme="minorBidi" w:hAnsiTheme="minorBidi"/>
          <w:sz w:val="23"/>
          <w:szCs w:val="23"/>
        </w:rPr>
        <w:t>Flook et al.</w:t>
      </w:r>
      <w:r w:rsidR="001209CE">
        <w:rPr>
          <w:rFonts w:asciiTheme="minorBidi" w:hAnsiTheme="minorBidi"/>
          <w:sz w:val="23"/>
          <w:szCs w:val="23"/>
        </w:rPr>
        <w:t xml:space="preserve">, </w:t>
      </w:r>
      <w:r w:rsidR="003E0EA0" w:rsidRPr="00FC15EF">
        <w:rPr>
          <w:rFonts w:asciiTheme="minorBidi" w:hAnsiTheme="minorBidi"/>
          <w:sz w:val="23"/>
          <w:szCs w:val="23"/>
        </w:rPr>
        <w:t xml:space="preserve">2021) </w:t>
      </w:r>
      <w:r w:rsidR="001209CE">
        <w:rPr>
          <w:rFonts w:asciiTheme="minorBidi" w:hAnsiTheme="minorBidi"/>
          <w:sz w:val="23"/>
          <w:szCs w:val="23"/>
        </w:rPr>
        <w:t>supporting the theory</w:t>
      </w:r>
      <w:r w:rsidR="003E0EA0" w:rsidRPr="00FC15EF">
        <w:rPr>
          <w:rFonts w:asciiTheme="minorBidi" w:hAnsiTheme="minorBidi"/>
          <w:sz w:val="23"/>
          <w:szCs w:val="23"/>
        </w:rPr>
        <w:t xml:space="preserve"> that short-term mindfulness training improve</w:t>
      </w:r>
      <w:r w:rsidR="001209CE">
        <w:rPr>
          <w:rFonts w:asciiTheme="minorBidi" w:hAnsiTheme="minorBidi"/>
          <w:sz w:val="23"/>
          <w:szCs w:val="23"/>
        </w:rPr>
        <w:t>s</w:t>
      </w:r>
      <w:r w:rsidR="003E0EA0" w:rsidRPr="00FC15EF">
        <w:rPr>
          <w:rFonts w:asciiTheme="minorBidi" w:hAnsiTheme="minorBidi"/>
          <w:sz w:val="23"/>
          <w:szCs w:val="23"/>
        </w:rPr>
        <w:t xml:space="preserve"> student focus and attention in class.</w:t>
      </w:r>
      <w:r w:rsidRPr="00CD6B73">
        <w:rPr>
          <w:rFonts w:asciiTheme="minorBidi" w:eastAsia="Times New Roman" w:hAnsiTheme="minorBidi"/>
          <w:kern w:val="0"/>
          <w:sz w:val="23"/>
          <w:szCs w:val="23"/>
          <w:lang w:eastAsia="en-GB"/>
          <w14:ligatures w14:val="none"/>
        </w:rPr>
        <w:br/>
        <w:t xml:space="preserve">Regarding disengaged behaviours, there was a drop in both disengaged body language and off-task marks. However, verbal disengagement increased from zero to one. This could be attributed to the fact that the student was engaged in conversation with another individual about the topic at hand while seated on the carpet. The pupil may have been discussing the mathematical problem, but this occurred during a period when children were not instructed to communicate with their peers. </w:t>
      </w:r>
      <w:r w:rsidRPr="00CD6B73">
        <w:rPr>
          <w:rFonts w:asciiTheme="minorBidi" w:eastAsia="Times New Roman" w:hAnsiTheme="minorBidi"/>
          <w:kern w:val="0"/>
          <w:sz w:val="23"/>
          <w:szCs w:val="23"/>
          <w:lang w:eastAsia="en-GB"/>
          <w14:ligatures w14:val="none"/>
        </w:rPr>
        <w:br/>
        <w:t xml:space="preserve">The most prevalent body language actions indicating disengagement included doodling (unrelated to the lesson), turning away from the speaker, gazing into empty space, fidgeting, and avoiding eye contact. However, as previously </w:t>
      </w:r>
      <w:r w:rsidR="001209CE">
        <w:rPr>
          <w:rFonts w:asciiTheme="minorBidi" w:eastAsia="Times New Roman" w:hAnsiTheme="minorBidi"/>
          <w:kern w:val="0"/>
          <w:sz w:val="23"/>
          <w:szCs w:val="23"/>
          <w:lang w:eastAsia="en-GB"/>
          <w14:ligatures w14:val="none"/>
        </w:rPr>
        <w:t>mentioned</w:t>
      </w:r>
      <w:r w:rsidRPr="00CD6B73">
        <w:rPr>
          <w:rFonts w:asciiTheme="minorBidi" w:eastAsia="Times New Roman" w:hAnsiTheme="minorBidi"/>
          <w:kern w:val="0"/>
          <w:sz w:val="23"/>
          <w:szCs w:val="23"/>
          <w:lang w:eastAsia="en-GB"/>
          <w14:ligatures w14:val="none"/>
        </w:rPr>
        <w:t>, some of these traits, specifically the absence of eye contact and fidgeting, could be attributed to other circumstances</w:t>
      </w:r>
      <w:r w:rsidR="008821C6">
        <w:rPr>
          <w:rFonts w:asciiTheme="minorBidi" w:eastAsia="Times New Roman" w:hAnsiTheme="minorBidi"/>
          <w:kern w:val="0"/>
          <w:sz w:val="23"/>
          <w:szCs w:val="23"/>
          <w:lang w:eastAsia="en-GB"/>
          <w14:ligatures w14:val="none"/>
        </w:rPr>
        <w:t xml:space="preserve"> such as ADHD (Ramos et al., 2016)</w:t>
      </w:r>
      <w:r w:rsidRPr="00CD6B73">
        <w:rPr>
          <w:rFonts w:asciiTheme="minorBidi" w:eastAsia="Times New Roman" w:hAnsiTheme="minorBidi"/>
          <w:kern w:val="0"/>
          <w:sz w:val="23"/>
          <w:szCs w:val="23"/>
          <w:lang w:eastAsia="en-GB"/>
          <w14:ligatures w14:val="none"/>
        </w:rPr>
        <w:t xml:space="preserve">. However, the level of disengagement decreased by 6 points, from 20 to 14, following the mindfulness practice. This indicates that the activity had a beneficial effect on student involvement in this </w:t>
      </w:r>
      <w:proofErr w:type="gramStart"/>
      <w:r w:rsidRPr="00CD6B73">
        <w:rPr>
          <w:rFonts w:asciiTheme="minorBidi" w:eastAsia="Times New Roman" w:hAnsiTheme="minorBidi"/>
          <w:kern w:val="0"/>
          <w:sz w:val="23"/>
          <w:szCs w:val="23"/>
          <w:lang w:eastAsia="en-GB"/>
          <w14:ligatures w14:val="none"/>
        </w:rPr>
        <w:t>particular case</w:t>
      </w:r>
      <w:proofErr w:type="gramEnd"/>
      <w:r w:rsidRPr="00CD6B73">
        <w:rPr>
          <w:rFonts w:asciiTheme="minorBidi" w:eastAsia="Times New Roman" w:hAnsiTheme="minorBidi"/>
          <w:kern w:val="0"/>
          <w:sz w:val="23"/>
          <w:szCs w:val="23"/>
          <w:lang w:eastAsia="en-GB"/>
          <w14:ligatures w14:val="none"/>
        </w:rPr>
        <w:t xml:space="preserve">. </w:t>
      </w:r>
    </w:p>
    <w:p w14:paraId="6147DA7A"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p>
    <w:p w14:paraId="1C9564F2"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When analysing the data from the questionnaires, each score was </w:t>
      </w:r>
      <w:proofErr w:type="gramStart"/>
      <w:r w:rsidRPr="00FC15EF">
        <w:rPr>
          <w:rFonts w:asciiTheme="minorBidi" w:eastAsia="Times New Roman" w:hAnsiTheme="minorBidi"/>
          <w:kern w:val="0"/>
          <w:sz w:val="23"/>
          <w:szCs w:val="23"/>
          <w:lang w:eastAsia="en-GB"/>
          <w14:ligatures w14:val="none"/>
        </w:rPr>
        <w:t>obtained</w:t>
      </w:r>
      <w:proofErr w:type="gramEnd"/>
      <w:r w:rsidRPr="00FC15EF">
        <w:rPr>
          <w:rFonts w:asciiTheme="minorBidi" w:eastAsia="Times New Roman" w:hAnsiTheme="minorBidi"/>
          <w:kern w:val="0"/>
          <w:sz w:val="23"/>
          <w:szCs w:val="23"/>
          <w:lang w:eastAsia="en-GB"/>
          <w14:ligatures w14:val="none"/>
        </w:rPr>
        <w:t xml:space="preserve"> and an average created for each question on both questionnaires. The chart below allows for simultaneous visualisation of average self-reported engagement scores (Day 1 vs Day 2) for the same questions. By comparing the heights of the blue bars within the "Engagement in Lesson" section, you can see if engagement scores changed between Day 1 and Day 2.</w:t>
      </w:r>
    </w:p>
    <w:p w14:paraId="2A4E5D99"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p>
    <w:p w14:paraId="1B698D94"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The largest increase after the mindfulness activity was seen in the question regarding how easy they found the material to understand. The average score rose by 1.6 however this could be due to the content of the lesson fluctuating from the day before. However, both lessons were similar in content and new learning was presented again as it was also on the first day, which may negate any outside influences on content from </w:t>
      </w:r>
      <w:r w:rsidRPr="00FC15EF">
        <w:rPr>
          <w:rFonts w:asciiTheme="minorBidi" w:eastAsia="Times New Roman" w:hAnsiTheme="minorBidi"/>
          <w:kern w:val="0"/>
          <w:sz w:val="23"/>
          <w:szCs w:val="23"/>
          <w:lang w:eastAsia="en-GB"/>
          <w14:ligatures w14:val="none"/>
        </w:rPr>
        <w:lastRenderedPageBreak/>
        <w:t xml:space="preserve">negatively impacting the validity of the results. The pupils on both days reported that they did not feel that confident in that they understood the lesson well enough to help other pupils understand, however, they reported a higher average score after the mindfulness activity on day 2 for how fun the lesson was. This may indicate that they were engaged and enjoyed the lesson, but their confidence to explain concepts to someone else has only risen slightly. This could be due to other factors such as internal beliefs for mathematics skills or shyness rather than lack of engagement during the lesson. </w:t>
      </w:r>
    </w:p>
    <w:p w14:paraId="3B6915D2"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p>
    <w:p w14:paraId="4976F5D3" w14:textId="77777777" w:rsidR="00816F72" w:rsidRPr="00FC15EF" w:rsidRDefault="00816F72" w:rsidP="00FC15EF">
      <w:pPr>
        <w:spacing w:line="360" w:lineRule="auto"/>
        <w:rPr>
          <w:rFonts w:asciiTheme="minorBidi" w:hAnsiTheme="minorBidi"/>
          <w:sz w:val="23"/>
          <w:szCs w:val="23"/>
        </w:rPr>
      </w:pPr>
      <w:r w:rsidRPr="00FC15EF">
        <w:rPr>
          <w:rFonts w:asciiTheme="minorBidi" w:hAnsiTheme="minorBidi"/>
          <w:noProof/>
          <w:sz w:val="23"/>
          <w:szCs w:val="23"/>
        </w:rPr>
        <w:drawing>
          <wp:inline distT="0" distB="0" distL="0" distR="0" wp14:anchorId="2A857033" wp14:editId="5C2E1AD0">
            <wp:extent cx="3933825" cy="2266950"/>
            <wp:effectExtent l="0" t="0" r="9525" b="0"/>
            <wp:docPr id="1220164439" name="Chart 1">
              <a:extLst xmlns:a="http://schemas.openxmlformats.org/drawingml/2006/main">
                <a:ext uri="{FF2B5EF4-FFF2-40B4-BE49-F238E27FC236}">
                  <a16:creationId xmlns:a16="http://schemas.microsoft.com/office/drawing/2014/main" id="{03FDC47D-17AB-B275-C968-41A4D7FD5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C18600" w14:textId="77777777" w:rsidR="00816F72" w:rsidRPr="00FC15EF" w:rsidRDefault="00816F72" w:rsidP="00FC15EF">
      <w:pPr>
        <w:spacing w:line="360" w:lineRule="auto"/>
        <w:rPr>
          <w:rFonts w:asciiTheme="minorBidi" w:hAnsiTheme="minorBidi"/>
          <w:b/>
          <w:bCs/>
          <w:sz w:val="23"/>
          <w:szCs w:val="23"/>
        </w:rPr>
      </w:pPr>
      <w:r w:rsidRPr="00FC15EF">
        <w:rPr>
          <w:rFonts w:asciiTheme="minorBidi" w:hAnsiTheme="minorBidi"/>
          <w:b/>
          <w:bCs/>
          <w:sz w:val="23"/>
          <w:szCs w:val="23"/>
        </w:rPr>
        <w:t>Appendix 6 – Graph showing average scores on 1-4 Likert Scale from questionnaires.</w:t>
      </w:r>
    </w:p>
    <w:p w14:paraId="623EB2D9" w14:textId="77777777" w:rsidR="00816F72" w:rsidRPr="00FC15EF" w:rsidRDefault="00816F72" w:rsidP="00FC15EF">
      <w:pPr>
        <w:spacing w:line="360" w:lineRule="auto"/>
        <w:rPr>
          <w:rFonts w:asciiTheme="minorBidi" w:hAnsiTheme="minorBidi"/>
          <w:sz w:val="23"/>
          <w:szCs w:val="23"/>
        </w:rPr>
      </w:pPr>
    </w:p>
    <w:p w14:paraId="79421FF4" w14:textId="225B7311" w:rsidR="000A20FF" w:rsidRDefault="00816F72" w:rsidP="000A20FF">
      <w:r w:rsidRPr="00FC15EF">
        <w:rPr>
          <w:rFonts w:asciiTheme="minorBidi" w:hAnsiTheme="minorBidi"/>
          <w:sz w:val="23"/>
          <w:szCs w:val="23"/>
        </w:rPr>
        <w:t xml:space="preserve">Additionally, </w:t>
      </w:r>
      <w:r w:rsidRPr="00FC15EF">
        <w:rPr>
          <w:rFonts w:asciiTheme="minorBidi" w:eastAsia="Times New Roman" w:hAnsiTheme="minorBidi"/>
          <w:kern w:val="0"/>
          <w:sz w:val="23"/>
          <w:szCs w:val="23"/>
          <w:lang w:eastAsia="en-GB"/>
          <w14:ligatures w14:val="none"/>
        </w:rPr>
        <w:t xml:space="preserve">exploration of focus/mindfulness data collected only on Day 2 is displayed in the graph below for pupils self-reported experiences of feelings of calm and being ready to learn. The stacked bars offer valuable information into the experiences of students regarding their focus and awareness on the second day. These data demonstrate that students likely experienced the advantages of the mindfulness session, as they reported feeling calm, composed, and attentive to their breathing during the activity. This results in a more precise reflection compared to reporting the contrary, as it is apparent that the mindfulness activity had an impact before the learning started. </w:t>
      </w:r>
      <w:r w:rsidR="004A35A1">
        <w:rPr>
          <w:rFonts w:asciiTheme="minorBidi" w:eastAsia="Times New Roman" w:hAnsiTheme="minorBidi"/>
          <w:kern w:val="0"/>
          <w:sz w:val="23"/>
          <w:szCs w:val="23"/>
          <w:lang w:eastAsia="en-GB"/>
          <w14:ligatures w14:val="none"/>
        </w:rPr>
        <w:t>These findings compliment existing literature indicating that the emotiona</w:t>
      </w:r>
      <w:r w:rsidR="000A20FF">
        <w:rPr>
          <w:rFonts w:asciiTheme="minorBidi" w:eastAsia="Times New Roman" w:hAnsiTheme="minorBidi"/>
          <w:kern w:val="0"/>
          <w:sz w:val="23"/>
          <w:szCs w:val="23"/>
          <w:lang w:eastAsia="en-GB"/>
          <w14:ligatures w14:val="none"/>
        </w:rPr>
        <w:t>l wellbeing of pupils improves engagement in the classroom (</w:t>
      </w:r>
      <w:r w:rsidR="000A20FF" w:rsidRPr="00FC15EF">
        <w:rPr>
          <w:rFonts w:asciiTheme="minorBidi" w:hAnsiTheme="minorBidi"/>
          <w:sz w:val="23"/>
          <w:szCs w:val="23"/>
        </w:rPr>
        <w:t>Graziano et al.</w:t>
      </w:r>
      <w:r w:rsidR="000A20FF">
        <w:rPr>
          <w:rFonts w:asciiTheme="minorBidi" w:hAnsiTheme="minorBidi"/>
          <w:sz w:val="23"/>
          <w:szCs w:val="23"/>
        </w:rPr>
        <w:t xml:space="preserve">, </w:t>
      </w:r>
      <w:r w:rsidR="000A20FF" w:rsidRPr="00FC15EF">
        <w:rPr>
          <w:rFonts w:asciiTheme="minorBidi" w:hAnsiTheme="minorBidi"/>
          <w:sz w:val="23"/>
          <w:szCs w:val="23"/>
        </w:rPr>
        <w:t>2007</w:t>
      </w:r>
      <w:r w:rsidR="000A20FF">
        <w:rPr>
          <w:rFonts w:asciiTheme="minorBidi" w:hAnsiTheme="minorBidi"/>
          <w:sz w:val="23"/>
          <w:szCs w:val="23"/>
        </w:rPr>
        <w:t xml:space="preserve">; </w:t>
      </w:r>
      <w:r w:rsidR="000A20FF" w:rsidRPr="00FC15EF">
        <w:rPr>
          <w:rFonts w:asciiTheme="minorBidi" w:hAnsiTheme="minorBidi"/>
          <w:sz w:val="23"/>
          <w:szCs w:val="23"/>
        </w:rPr>
        <w:t>Flint et al.</w:t>
      </w:r>
      <w:r w:rsidR="000A20FF">
        <w:rPr>
          <w:rFonts w:asciiTheme="minorBidi" w:hAnsiTheme="minorBidi"/>
          <w:sz w:val="23"/>
          <w:szCs w:val="23"/>
        </w:rPr>
        <w:t>,</w:t>
      </w:r>
      <w:r w:rsidR="000A20FF" w:rsidRPr="00FC15EF">
        <w:rPr>
          <w:rFonts w:asciiTheme="minorBidi" w:hAnsiTheme="minorBidi"/>
          <w:sz w:val="23"/>
          <w:szCs w:val="23"/>
        </w:rPr>
        <w:t xml:space="preserve"> 2017</w:t>
      </w:r>
      <w:r w:rsidR="000A20FF">
        <w:rPr>
          <w:rFonts w:asciiTheme="minorBidi" w:hAnsiTheme="minorBidi"/>
          <w:sz w:val="23"/>
          <w:szCs w:val="23"/>
        </w:rPr>
        <w:t>).</w:t>
      </w:r>
    </w:p>
    <w:p w14:paraId="1A600A9F" w14:textId="78D0B9FD" w:rsidR="00816F72" w:rsidRPr="00FC15EF" w:rsidRDefault="00816F72" w:rsidP="00FC15EF">
      <w:pPr>
        <w:spacing w:line="360" w:lineRule="auto"/>
        <w:rPr>
          <w:rFonts w:asciiTheme="minorBidi" w:eastAsia="Times New Roman" w:hAnsiTheme="minorBidi"/>
          <w:kern w:val="0"/>
          <w:sz w:val="23"/>
          <w:szCs w:val="23"/>
          <w:lang w:eastAsia="en-GB"/>
          <w14:ligatures w14:val="none"/>
        </w:rPr>
      </w:pPr>
    </w:p>
    <w:p w14:paraId="71843CCB"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r w:rsidRPr="00FC15EF">
        <w:rPr>
          <w:rFonts w:asciiTheme="minorBidi" w:hAnsiTheme="minorBidi"/>
          <w:noProof/>
          <w:sz w:val="23"/>
          <w:szCs w:val="23"/>
        </w:rPr>
        <w:lastRenderedPageBreak/>
        <w:drawing>
          <wp:inline distT="0" distB="0" distL="0" distR="0" wp14:anchorId="6FC77693" wp14:editId="521CDD83">
            <wp:extent cx="4572000" cy="2743200"/>
            <wp:effectExtent l="0" t="0" r="0" b="0"/>
            <wp:docPr id="1764319785" name="Chart 1">
              <a:extLst xmlns:a="http://schemas.openxmlformats.org/drawingml/2006/main">
                <a:ext uri="{FF2B5EF4-FFF2-40B4-BE49-F238E27FC236}">
                  <a16:creationId xmlns:a16="http://schemas.microsoft.com/office/drawing/2014/main" id="{053578F6-A137-13B7-7722-E70023D8B0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1D1913" w14:textId="77777777" w:rsidR="00816F72" w:rsidRPr="00FC15EF" w:rsidRDefault="00816F72" w:rsidP="00FC15EF">
      <w:pPr>
        <w:spacing w:after="0" w:line="360" w:lineRule="auto"/>
        <w:rPr>
          <w:rFonts w:asciiTheme="minorBidi" w:eastAsia="Times New Roman" w:hAnsiTheme="minorBidi"/>
          <w:b/>
          <w:bCs/>
          <w:kern w:val="0"/>
          <w:sz w:val="23"/>
          <w:szCs w:val="23"/>
          <w:lang w:eastAsia="en-GB"/>
          <w14:ligatures w14:val="none"/>
        </w:rPr>
      </w:pPr>
      <w:r w:rsidRPr="00FC15EF">
        <w:rPr>
          <w:rFonts w:asciiTheme="minorBidi" w:eastAsia="Times New Roman" w:hAnsiTheme="minorBidi"/>
          <w:b/>
          <w:bCs/>
          <w:kern w:val="0"/>
          <w:sz w:val="23"/>
          <w:szCs w:val="23"/>
          <w:lang w:eastAsia="en-GB"/>
          <w14:ligatures w14:val="none"/>
        </w:rPr>
        <w:t xml:space="preserve">Appendix 7 – Self-reported average levels of calmness and readiness to learn following the mindfulness activity based on Likert Scale 1-4. </w:t>
      </w:r>
    </w:p>
    <w:p w14:paraId="6C57EC4E" w14:textId="77777777" w:rsidR="00816F72" w:rsidRPr="00FC15EF" w:rsidRDefault="00816F72" w:rsidP="00FC15EF">
      <w:pPr>
        <w:spacing w:after="0" w:line="360" w:lineRule="auto"/>
        <w:rPr>
          <w:rFonts w:asciiTheme="minorBidi" w:eastAsia="Times New Roman" w:hAnsiTheme="minorBidi"/>
          <w:kern w:val="0"/>
          <w:sz w:val="23"/>
          <w:szCs w:val="23"/>
          <w:lang w:eastAsia="en-GB"/>
          <w14:ligatures w14:val="none"/>
        </w:rPr>
      </w:pPr>
    </w:p>
    <w:p w14:paraId="05507E04" w14:textId="7070F309" w:rsidR="00816F72" w:rsidRPr="004C1458" w:rsidRDefault="00BF48E0" w:rsidP="004C1458">
      <w:pPr>
        <w:spacing w:after="0"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Although these findings indicate a positive influence of mindfulness activities on pupil engagement, it is important to </w:t>
      </w:r>
      <w:r w:rsidR="009D7184" w:rsidRPr="00FC15EF">
        <w:rPr>
          <w:rFonts w:asciiTheme="minorBidi" w:eastAsia="Times New Roman" w:hAnsiTheme="minorBidi"/>
          <w:kern w:val="0"/>
          <w:sz w:val="23"/>
          <w:szCs w:val="23"/>
          <w:lang w:eastAsia="en-GB"/>
          <w14:ligatures w14:val="none"/>
        </w:rPr>
        <w:t>maintain an awareness of the role of the researcher in the research process. Being known by the children, providing them with information about the research</w:t>
      </w:r>
      <w:r w:rsidRPr="00FC15EF">
        <w:rPr>
          <w:rFonts w:asciiTheme="minorBidi" w:eastAsia="Times New Roman" w:hAnsiTheme="minorBidi"/>
          <w:kern w:val="0"/>
          <w:sz w:val="23"/>
          <w:szCs w:val="23"/>
          <w:lang w:eastAsia="en-GB"/>
          <w14:ligatures w14:val="none"/>
        </w:rPr>
        <w:t xml:space="preserve"> </w:t>
      </w:r>
      <w:r w:rsidR="009D7184" w:rsidRPr="00FC15EF">
        <w:rPr>
          <w:rFonts w:asciiTheme="minorBidi" w:eastAsia="Times New Roman" w:hAnsiTheme="minorBidi"/>
          <w:kern w:val="0"/>
          <w:sz w:val="23"/>
          <w:szCs w:val="23"/>
          <w:lang w:eastAsia="en-GB"/>
          <w14:ligatures w14:val="none"/>
        </w:rPr>
        <w:t>and regaining assent multiple times throughout the study, pupils have an insight into what it is that is being observed</w:t>
      </w:r>
      <w:r w:rsidR="0066182D" w:rsidRPr="00FC15EF">
        <w:rPr>
          <w:rFonts w:asciiTheme="minorBidi" w:eastAsia="Times New Roman" w:hAnsiTheme="minorBidi"/>
          <w:kern w:val="0"/>
          <w:sz w:val="23"/>
          <w:szCs w:val="23"/>
          <w:lang w:eastAsia="en-GB"/>
          <w14:ligatures w14:val="none"/>
        </w:rPr>
        <w:t>, potentially impacting behaviour and engagement</w:t>
      </w:r>
      <w:r w:rsidR="009D7184" w:rsidRPr="00FC15EF">
        <w:rPr>
          <w:rFonts w:asciiTheme="minorBidi" w:eastAsia="Times New Roman" w:hAnsiTheme="minorBidi"/>
          <w:kern w:val="0"/>
          <w:sz w:val="23"/>
          <w:szCs w:val="23"/>
          <w:lang w:eastAsia="en-GB"/>
          <w14:ligatures w14:val="none"/>
        </w:rPr>
        <w:t xml:space="preserve">. </w:t>
      </w:r>
      <w:r w:rsidR="0066182D" w:rsidRPr="00FC15EF">
        <w:rPr>
          <w:rFonts w:asciiTheme="minorBidi" w:eastAsia="Times New Roman" w:hAnsiTheme="minorBidi"/>
          <w:kern w:val="0"/>
          <w:sz w:val="23"/>
          <w:szCs w:val="23"/>
          <w:lang w:eastAsia="en-GB"/>
          <w14:ligatures w14:val="none"/>
        </w:rPr>
        <w:t xml:space="preserve">Additionally, as the researcher, </w:t>
      </w:r>
      <w:r w:rsidR="00BC5C23" w:rsidRPr="00FC15EF">
        <w:rPr>
          <w:rFonts w:asciiTheme="minorBidi" w:eastAsia="Times New Roman" w:hAnsiTheme="minorBidi"/>
          <w:kern w:val="0"/>
          <w:sz w:val="23"/>
          <w:szCs w:val="23"/>
          <w:lang w:eastAsia="en-GB"/>
          <w14:ligatures w14:val="none"/>
        </w:rPr>
        <w:t>it is impossible to remain entirely objective whilst collecting data and expecting any certain outcome</w:t>
      </w:r>
      <w:r w:rsidR="00CF5105" w:rsidRPr="00FC15EF">
        <w:rPr>
          <w:rFonts w:asciiTheme="minorBidi" w:eastAsia="Times New Roman" w:hAnsiTheme="minorBidi"/>
          <w:kern w:val="0"/>
          <w:sz w:val="23"/>
          <w:szCs w:val="23"/>
          <w:lang w:eastAsia="en-GB"/>
          <w14:ligatures w14:val="none"/>
        </w:rPr>
        <w:t xml:space="preserve"> (Berger, 2015)</w:t>
      </w:r>
      <w:r w:rsidR="00BC5C23" w:rsidRPr="00FC15EF">
        <w:rPr>
          <w:rFonts w:asciiTheme="minorBidi" w:eastAsia="Times New Roman" w:hAnsiTheme="minorBidi"/>
          <w:kern w:val="0"/>
          <w:sz w:val="23"/>
          <w:szCs w:val="23"/>
          <w:lang w:eastAsia="en-GB"/>
          <w14:ligatures w14:val="none"/>
        </w:rPr>
        <w:t xml:space="preserve">. </w:t>
      </w:r>
    </w:p>
    <w:p w14:paraId="376AE175" w14:textId="77777777" w:rsidR="00816F72" w:rsidRPr="00FC15EF" w:rsidRDefault="00816F72" w:rsidP="00FC15EF">
      <w:pPr>
        <w:spacing w:line="360" w:lineRule="auto"/>
        <w:rPr>
          <w:rFonts w:asciiTheme="minorBidi" w:eastAsia="Times New Roman" w:hAnsiTheme="minorBidi"/>
          <w:b/>
          <w:bCs/>
          <w:kern w:val="0"/>
          <w:sz w:val="23"/>
          <w:szCs w:val="23"/>
          <w:lang w:eastAsia="en-GB"/>
          <w14:ligatures w14:val="none"/>
        </w:rPr>
      </w:pPr>
    </w:p>
    <w:p w14:paraId="747760A4" w14:textId="29880F79" w:rsidR="008B17F1" w:rsidRPr="00677FDD" w:rsidRDefault="008B17F1" w:rsidP="00FC15EF">
      <w:pPr>
        <w:spacing w:line="360" w:lineRule="auto"/>
        <w:rPr>
          <w:rFonts w:asciiTheme="minorBidi" w:eastAsia="Times New Roman" w:hAnsiTheme="minorBidi"/>
          <w:b/>
          <w:bCs/>
          <w:kern w:val="0"/>
          <w:sz w:val="23"/>
          <w:szCs w:val="23"/>
          <w:u w:val="single"/>
          <w:lang w:eastAsia="en-GB"/>
          <w14:ligatures w14:val="none"/>
        </w:rPr>
      </w:pPr>
      <w:r w:rsidRPr="00677FDD">
        <w:rPr>
          <w:rFonts w:asciiTheme="minorBidi" w:eastAsia="Times New Roman" w:hAnsiTheme="minorBidi"/>
          <w:b/>
          <w:bCs/>
          <w:kern w:val="0"/>
          <w:sz w:val="23"/>
          <w:szCs w:val="23"/>
          <w:u w:val="single"/>
          <w:lang w:eastAsia="en-GB"/>
          <w14:ligatures w14:val="none"/>
        </w:rPr>
        <w:t>Conclusions</w:t>
      </w:r>
      <w:r w:rsidR="0005586C" w:rsidRPr="00677FDD">
        <w:rPr>
          <w:rFonts w:asciiTheme="minorBidi" w:eastAsia="Times New Roman" w:hAnsiTheme="minorBidi"/>
          <w:b/>
          <w:bCs/>
          <w:kern w:val="0"/>
          <w:sz w:val="23"/>
          <w:szCs w:val="23"/>
          <w:u w:val="single"/>
          <w:lang w:eastAsia="en-GB"/>
          <w14:ligatures w14:val="none"/>
        </w:rPr>
        <w:t>/reflection</w:t>
      </w:r>
      <w:r w:rsidR="00294328" w:rsidRPr="00677FDD">
        <w:rPr>
          <w:rFonts w:asciiTheme="minorBidi" w:eastAsia="Times New Roman" w:hAnsiTheme="minorBidi"/>
          <w:b/>
          <w:bCs/>
          <w:kern w:val="0"/>
          <w:sz w:val="23"/>
          <w:szCs w:val="23"/>
          <w:u w:val="single"/>
          <w:lang w:eastAsia="en-GB"/>
          <w14:ligatures w14:val="none"/>
        </w:rPr>
        <w:t>/recommendations</w:t>
      </w:r>
    </w:p>
    <w:p w14:paraId="1DF299AC" w14:textId="77777777" w:rsidR="00294328" w:rsidRPr="00FC15EF" w:rsidRDefault="00294328"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This study investigated the potential of mindfulness activities improving engagement in year 2 pupils. By employing a combination of structured classroom observations and pupil-reported data from questionnaires, the research aimed to explore changes in engagement levels before and after the mindfulness intervention.</w:t>
      </w:r>
    </w:p>
    <w:p w14:paraId="74E6D5A5" w14:textId="6905A138" w:rsidR="00294328" w:rsidRPr="00FC15EF" w:rsidRDefault="00294328"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The findings from this study suggest that the mindfulness activity may have had a positive impact on pupil engagement in the lesson. Observation data indicated a potential increase in the frequency of observed engaged behaviours after the mindfulness activity</w:t>
      </w:r>
      <w:r w:rsidR="006444B1" w:rsidRPr="00FC15EF">
        <w:rPr>
          <w:rFonts w:asciiTheme="minorBidi" w:eastAsia="Times New Roman" w:hAnsiTheme="minorBidi"/>
          <w:kern w:val="0"/>
          <w:sz w:val="23"/>
          <w:szCs w:val="23"/>
          <w:lang w:eastAsia="en-GB"/>
          <w14:ligatures w14:val="none"/>
        </w:rPr>
        <w:t xml:space="preserve"> and </w:t>
      </w:r>
      <w:r w:rsidR="00FE5823" w:rsidRPr="00FC15EF">
        <w:rPr>
          <w:rFonts w:asciiTheme="minorBidi" w:eastAsia="Times New Roman" w:hAnsiTheme="minorBidi"/>
          <w:kern w:val="0"/>
          <w:sz w:val="23"/>
          <w:szCs w:val="23"/>
          <w:lang w:eastAsia="en-GB"/>
          <w14:ligatures w14:val="none"/>
        </w:rPr>
        <w:t xml:space="preserve">the validity </w:t>
      </w:r>
      <w:r w:rsidR="006444B1" w:rsidRPr="00FC15EF">
        <w:rPr>
          <w:rFonts w:asciiTheme="minorBidi" w:eastAsia="Times New Roman" w:hAnsiTheme="minorBidi"/>
          <w:kern w:val="0"/>
          <w:sz w:val="23"/>
          <w:szCs w:val="23"/>
          <w:lang w:eastAsia="en-GB"/>
          <w14:ligatures w14:val="none"/>
        </w:rPr>
        <w:t xml:space="preserve">of the Leuven Scale </w:t>
      </w:r>
      <w:r w:rsidR="00FE5823" w:rsidRPr="00FC15EF">
        <w:rPr>
          <w:rFonts w:asciiTheme="minorBidi" w:eastAsia="Times New Roman" w:hAnsiTheme="minorBidi"/>
          <w:kern w:val="0"/>
          <w:sz w:val="23"/>
          <w:szCs w:val="23"/>
          <w:lang w:eastAsia="en-GB"/>
          <w14:ligatures w14:val="none"/>
        </w:rPr>
        <w:t>is well-known and robust to measure student engagement, making it a valid choice for this specific research objective.</w:t>
      </w:r>
      <w:r w:rsidRPr="00FC15EF">
        <w:rPr>
          <w:rFonts w:asciiTheme="minorBidi" w:eastAsia="Times New Roman" w:hAnsiTheme="minorBidi"/>
          <w:kern w:val="0"/>
          <w:sz w:val="23"/>
          <w:szCs w:val="23"/>
          <w:lang w:eastAsia="en-GB"/>
          <w14:ligatures w14:val="none"/>
        </w:rPr>
        <w:t xml:space="preserve"> Additionally, pupil responses on the questionnaires suggested a possible shift towards more positive self-reported engagement following the intervention.</w:t>
      </w:r>
      <w:r w:rsidR="005817C1" w:rsidRPr="00FC15EF">
        <w:rPr>
          <w:rFonts w:asciiTheme="minorBidi" w:eastAsia="Times New Roman" w:hAnsiTheme="minorBidi"/>
          <w:kern w:val="0"/>
          <w:sz w:val="23"/>
          <w:szCs w:val="23"/>
          <w:lang w:eastAsia="en-GB"/>
          <w14:ligatures w14:val="none"/>
        </w:rPr>
        <w:t xml:space="preserve"> </w:t>
      </w:r>
      <w:r w:rsidR="003C01E6">
        <w:rPr>
          <w:rFonts w:asciiTheme="minorBidi" w:eastAsia="Times New Roman" w:hAnsiTheme="minorBidi"/>
          <w:kern w:val="0"/>
          <w:sz w:val="23"/>
          <w:szCs w:val="23"/>
          <w:lang w:eastAsia="en-GB"/>
          <w14:ligatures w14:val="none"/>
        </w:rPr>
        <w:t xml:space="preserve">They also </w:t>
      </w:r>
      <w:r w:rsidR="003C01E6">
        <w:rPr>
          <w:rFonts w:asciiTheme="minorBidi" w:eastAsia="Times New Roman" w:hAnsiTheme="minorBidi"/>
          <w:kern w:val="0"/>
          <w:sz w:val="23"/>
          <w:szCs w:val="23"/>
          <w:lang w:eastAsia="en-GB"/>
          <w14:ligatures w14:val="none"/>
        </w:rPr>
        <w:lastRenderedPageBreak/>
        <w:t xml:space="preserve">reported finding the material easier to understand, however </w:t>
      </w:r>
      <w:r w:rsidR="007F1F02">
        <w:rPr>
          <w:rFonts w:asciiTheme="minorBidi" w:eastAsia="Times New Roman" w:hAnsiTheme="minorBidi"/>
          <w:kern w:val="0"/>
          <w:sz w:val="23"/>
          <w:szCs w:val="23"/>
          <w:lang w:eastAsia="en-GB"/>
          <w14:ligatures w14:val="none"/>
        </w:rPr>
        <w:t xml:space="preserve">although the lesson that followed the mindfulness activity was the same topic as the day before, content similarity may need consideration in further research. </w:t>
      </w:r>
      <w:r w:rsidR="003A4F6B" w:rsidRPr="00FC15EF">
        <w:rPr>
          <w:rFonts w:asciiTheme="minorBidi" w:eastAsia="Times New Roman" w:hAnsiTheme="minorBidi"/>
          <w:kern w:val="0"/>
          <w:sz w:val="23"/>
          <w:szCs w:val="23"/>
          <w:lang w:eastAsia="en-GB"/>
          <w14:ligatures w14:val="none"/>
        </w:rPr>
        <w:t>However, in future research perhaps p</w:t>
      </w:r>
      <w:r w:rsidR="006444B1" w:rsidRPr="00FC15EF">
        <w:rPr>
          <w:rFonts w:asciiTheme="minorBidi" w:hAnsiTheme="minorBidi"/>
          <w:sz w:val="23"/>
          <w:szCs w:val="23"/>
        </w:rPr>
        <w:t>iloting the questionnaires with a small group beforehand can help refine them for clarity and ensure they effectively capture pupil experiences.</w:t>
      </w:r>
    </w:p>
    <w:p w14:paraId="3211DE7B" w14:textId="4847BB8B" w:rsidR="00294328" w:rsidRPr="00FC15EF" w:rsidRDefault="00294328"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However, it is important to acknowledge the limitations of this study. The relatively small sample size necessitates caution when interpreting the results. Future research with a larger sample could provide more robust evidence for the effectiveness of mindfulness in promoting engagement. Additionally, exploring different mindfulness activities and their impact on engagement across various subjects and age groups would be valuable avenues for further research.</w:t>
      </w:r>
    </w:p>
    <w:p w14:paraId="2EF63CC6" w14:textId="7290E634" w:rsidR="0005586C" w:rsidRPr="00FC15EF" w:rsidRDefault="00294328"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Despite these limitations, this study contributes to the growing body of research on mindfulness interventions in educational settings. The potential benefits of mindfulness for improving pupil engagement warrant further exploration. By incorporating mindfulness practices into the classroom routine, educators may be able to create a more focused and positive learning environment for their pupils.</w:t>
      </w:r>
    </w:p>
    <w:p w14:paraId="1B283D5C" w14:textId="791878BA" w:rsidR="003E272E" w:rsidRPr="00FC15EF" w:rsidRDefault="003E272E" w:rsidP="00FC15EF">
      <w:pPr>
        <w:spacing w:line="360" w:lineRule="auto"/>
        <w:rPr>
          <w:rFonts w:asciiTheme="minorBidi" w:eastAsia="Times New Roman" w:hAnsiTheme="minorBidi"/>
          <w:kern w:val="0"/>
          <w:sz w:val="23"/>
          <w:szCs w:val="23"/>
          <w:lang w:eastAsia="en-GB"/>
          <w14:ligatures w14:val="none"/>
        </w:rPr>
      </w:pPr>
      <w:r w:rsidRPr="00FC15EF">
        <w:rPr>
          <w:rFonts w:asciiTheme="minorBidi" w:eastAsia="Times New Roman" w:hAnsiTheme="minorBidi"/>
          <w:kern w:val="0"/>
          <w:sz w:val="23"/>
          <w:szCs w:val="23"/>
          <w:lang w:eastAsia="en-GB"/>
          <w14:ligatures w14:val="none"/>
        </w:rPr>
        <w:t xml:space="preserve">Based on these findings, perhaps future strategies in my own practice can include mindfulness integration </w:t>
      </w:r>
      <w:r w:rsidR="00276AA3" w:rsidRPr="00FC15EF">
        <w:rPr>
          <w:rFonts w:asciiTheme="minorBidi" w:eastAsia="Times New Roman" w:hAnsiTheme="minorBidi"/>
          <w:kern w:val="0"/>
          <w:sz w:val="23"/>
          <w:szCs w:val="23"/>
          <w:lang w:eastAsia="en-GB"/>
          <w14:ligatures w14:val="none"/>
        </w:rPr>
        <w:t xml:space="preserve">such as guided breathing as part of a regular classroom routine, rather than a one-time intervention. </w:t>
      </w:r>
    </w:p>
    <w:p w14:paraId="40BB2B06" w14:textId="77777777" w:rsidR="00E82A51" w:rsidRPr="00294328" w:rsidRDefault="00E82A51" w:rsidP="00294328">
      <w:pPr>
        <w:spacing w:line="360" w:lineRule="auto"/>
        <w:rPr>
          <w:rFonts w:ascii="Arial" w:eastAsia="Times New Roman" w:hAnsi="Arial" w:cs="Arial"/>
          <w:kern w:val="0"/>
          <w:sz w:val="24"/>
          <w:szCs w:val="24"/>
          <w:lang w:eastAsia="en-GB"/>
          <w14:ligatures w14:val="none"/>
        </w:rPr>
      </w:pPr>
    </w:p>
    <w:p w14:paraId="243F00AA" w14:textId="33DEB351" w:rsidR="00677FDD" w:rsidRDefault="009E7B8A" w:rsidP="00AC356B">
      <w:pPr>
        <w:spacing w:line="360" w:lineRule="auto"/>
        <w:rPr>
          <w:rFonts w:asciiTheme="minorBidi" w:hAnsiTheme="minorBidi"/>
          <w:b/>
          <w:bCs/>
          <w:sz w:val="23"/>
          <w:szCs w:val="23"/>
        </w:rPr>
      </w:pPr>
      <w:r>
        <w:rPr>
          <w:rFonts w:asciiTheme="minorBidi" w:hAnsiTheme="minorBidi"/>
          <w:b/>
          <w:bCs/>
          <w:sz w:val="23"/>
          <w:szCs w:val="23"/>
        </w:rPr>
        <w:t xml:space="preserve">Word count: </w:t>
      </w:r>
      <w:r w:rsidR="00561049">
        <w:rPr>
          <w:rFonts w:asciiTheme="minorBidi" w:hAnsiTheme="minorBidi"/>
          <w:b/>
          <w:bCs/>
          <w:sz w:val="23"/>
          <w:szCs w:val="23"/>
        </w:rPr>
        <w:t>4760</w:t>
      </w:r>
    </w:p>
    <w:p w14:paraId="59DD15A7" w14:textId="77777777" w:rsidR="009E7B8A" w:rsidRDefault="009E7B8A" w:rsidP="00AC356B">
      <w:pPr>
        <w:spacing w:line="360" w:lineRule="auto"/>
        <w:rPr>
          <w:rFonts w:asciiTheme="minorBidi" w:hAnsiTheme="minorBidi"/>
          <w:b/>
          <w:bCs/>
          <w:sz w:val="23"/>
          <w:szCs w:val="23"/>
        </w:rPr>
      </w:pPr>
    </w:p>
    <w:p w14:paraId="0BE26B40" w14:textId="615FDC3D" w:rsidR="009E7B8A" w:rsidRDefault="009E7B8A" w:rsidP="00AC356B">
      <w:pPr>
        <w:spacing w:line="360" w:lineRule="auto"/>
        <w:rPr>
          <w:rFonts w:asciiTheme="minorBidi" w:hAnsiTheme="minorBidi"/>
          <w:b/>
          <w:bCs/>
          <w:sz w:val="23"/>
          <w:szCs w:val="23"/>
          <w:u w:val="single"/>
        </w:rPr>
      </w:pPr>
      <w:r w:rsidRPr="00BC7A75">
        <w:rPr>
          <w:rFonts w:asciiTheme="minorBidi" w:hAnsiTheme="minorBidi"/>
          <w:b/>
          <w:bCs/>
          <w:sz w:val="23"/>
          <w:szCs w:val="23"/>
          <w:u w:val="single"/>
        </w:rPr>
        <w:t>References</w:t>
      </w:r>
    </w:p>
    <w:p w14:paraId="3B1F3503" w14:textId="77777777" w:rsidR="00BC7A75" w:rsidRPr="00BC7A75" w:rsidRDefault="00BC7A75" w:rsidP="00AC356B">
      <w:pPr>
        <w:spacing w:line="360" w:lineRule="auto"/>
        <w:rPr>
          <w:rFonts w:asciiTheme="minorBidi" w:hAnsiTheme="minorBidi"/>
          <w:sz w:val="23"/>
          <w:szCs w:val="23"/>
        </w:rPr>
      </w:pPr>
    </w:p>
    <w:p w14:paraId="72B13558" w14:textId="77777777" w:rsidR="00A32887" w:rsidRPr="009A348C" w:rsidRDefault="00A32887" w:rsidP="00A32887">
      <w:pPr>
        <w:spacing w:line="360" w:lineRule="auto"/>
        <w:rPr>
          <w:rStyle w:val="anchor-text"/>
          <w:rFonts w:asciiTheme="minorBidi" w:hAnsiTheme="minorBidi"/>
          <w:color w:val="1F1F1F"/>
          <w:sz w:val="23"/>
          <w:szCs w:val="23"/>
        </w:rPr>
      </w:pPr>
      <w:r w:rsidRPr="009A348C">
        <w:rPr>
          <w:rFonts w:asciiTheme="minorBidi" w:hAnsiTheme="minorBidi"/>
          <w:sz w:val="23"/>
          <w:szCs w:val="23"/>
        </w:rPr>
        <w:t xml:space="preserve">Ahmed. S.K, (2024) ‘The pillars of trustworthiness in qualitative research’ </w:t>
      </w:r>
      <w:r w:rsidRPr="009A348C">
        <w:rPr>
          <w:rFonts w:asciiTheme="minorBidi" w:hAnsiTheme="minorBidi"/>
          <w:i/>
          <w:iCs/>
          <w:sz w:val="23"/>
          <w:szCs w:val="23"/>
        </w:rPr>
        <w:t xml:space="preserve">Journal of Medicine, Surgery and Public Health, </w:t>
      </w:r>
      <w:r w:rsidRPr="009A348C">
        <w:rPr>
          <w:rFonts w:asciiTheme="minorBidi" w:hAnsiTheme="minorBidi"/>
          <w:sz w:val="23"/>
          <w:szCs w:val="23"/>
        </w:rPr>
        <w:t xml:space="preserve">(Vol. 2) Available at DOI: </w:t>
      </w:r>
      <w:hyperlink r:id="rId15" w:history="1">
        <w:r w:rsidRPr="009A348C">
          <w:rPr>
            <w:rStyle w:val="Hyperlink"/>
            <w:rFonts w:asciiTheme="minorBidi" w:hAnsiTheme="minorBidi"/>
            <w:sz w:val="23"/>
            <w:szCs w:val="23"/>
          </w:rPr>
          <w:t>https://doi.org/10.1016/j.glmedi.2024.100051</w:t>
        </w:r>
      </w:hyperlink>
    </w:p>
    <w:p w14:paraId="135869FB" w14:textId="77777777" w:rsidR="00A32887" w:rsidRPr="009A348C" w:rsidRDefault="00A32887" w:rsidP="00A32887">
      <w:pPr>
        <w:spacing w:line="360" w:lineRule="auto"/>
        <w:rPr>
          <w:rStyle w:val="anchor-text"/>
          <w:rFonts w:asciiTheme="minorBidi" w:hAnsiTheme="minorBidi"/>
          <w:color w:val="1F1F1F"/>
          <w:sz w:val="23"/>
          <w:szCs w:val="23"/>
        </w:rPr>
      </w:pPr>
    </w:p>
    <w:p w14:paraId="41E68326"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American Heart Association (2021) </w:t>
      </w:r>
      <w:r w:rsidRPr="009A348C">
        <w:rPr>
          <w:rFonts w:asciiTheme="minorBidi" w:hAnsiTheme="minorBidi"/>
          <w:i/>
          <w:iCs/>
          <w:sz w:val="23"/>
          <w:szCs w:val="23"/>
        </w:rPr>
        <w:t xml:space="preserve">Kids Heart Challenge – Mindfulness Series – Part 1 _ Finger Breathing. </w:t>
      </w:r>
      <w:r w:rsidRPr="009A348C">
        <w:rPr>
          <w:rFonts w:asciiTheme="minorBidi" w:hAnsiTheme="minorBidi"/>
          <w:sz w:val="23"/>
          <w:szCs w:val="23"/>
        </w:rPr>
        <w:t xml:space="preserve">Available at: </w:t>
      </w:r>
      <w:hyperlink r:id="rId16" w:history="1">
        <w:r w:rsidRPr="009A348C">
          <w:rPr>
            <w:rStyle w:val="Hyperlink"/>
            <w:rFonts w:asciiTheme="minorBidi" w:hAnsiTheme="minorBidi"/>
            <w:sz w:val="23"/>
            <w:szCs w:val="23"/>
          </w:rPr>
          <w:t>https://www.youtube.com/watch?v=l2y5vWc5wxQ</w:t>
        </w:r>
      </w:hyperlink>
      <w:r w:rsidRPr="009A348C">
        <w:rPr>
          <w:rFonts w:asciiTheme="minorBidi" w:hAnsiTheme="minorBidi"/>
          <w:sz w:val="23"/>
          <w:szCs w:val="23"/>
        </w:rPr>
        <w:t xml:space="preserve"> (Accessed April 2024). </w:t>
      </w:r>
    </w:p>
    <w:p w14:paraId="43420ECA" w14:textId="77777777" w:rsidR="00A32887" w:rsidRPr="009A348C" w:rsidRDefault="00A32887" w:rsidP="00A32887">
      <w:pPr>
        <w:spacing w:line="360" w:lineRule="auto"/>
        <w:rPr>
          <w:rFonts w:asciiTheme="minorBidi" w:hAnsiTheme="minorBidi"/>
          <w:sz w:val="23"/>
          <w:szCs w:val="23"/>
        </w:rPr>
      </w:pPr>
    </w:p>
    <w:p w14:paraId="583E27E2"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Berger, R. (2015) ‘Now I see it, now I don’t: Researcher’s position and reflexivity in qualitative research.’ </w:t>
      </w:r>
      <w:r w:rsidRPr="009A348C">
        <w:rPr>
          <w:rFonts w:asciiTheme="minorBidi" w:hAnsiTheme="minorBidi"/>
          <w:i/>
          <w:iCs/>
          <w:sz w:val="23"/>
          <w:szCs w:val="23"/>
        </w:rPr>
        <w:t>Qualitative Research</w:t>
      </w:r>
      <w:r w:rsidRPr="009A348C">
        <w:rPr>
          <w:rFonts w:asciiTheme="minorBidi" w:hAnsiTheme="minorBidi"/>
          <w:sz w:val="23"/>
          <w:szCs w:val="23"/>
        </w:rPr>
        <w:t>, 15(2), 219– 234. Available at DOI: doi.10.1177/1468794112468475</w:t>
      </w:r>
    </w:p>
    <w:p w14:paraId="638CF466" w14:textId="77777777" w:rsidR="00A32887" w:rsidRPr="009A348C" w:rsidRDefault="00A32887" w:rsidP="00A32887">
      <w:pPr>
        <w:spacing w:line="360" w:lineRule="auto"/>
        <w:rPr>
          <w:rFonts w:asciiTheme="minorBidi" w:hAnsiTheme="minorBidi"/>
          <w:sz w:val="23"/>
          <w:szCs w:val="23"/>
        </w:rPr>
      </w:pPr>
    </w:p>
    <w:p w14:paraId="3188CB17"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Bloomberg. L.D, Volpe. M, (2019) </w:t>
      </w:r>
      <w:r w:rsidRPr="009A348C">
        <w:rPr>
          <w:rFonts w:asciiTheme="minorBidi" w:hAnsiTheme="minorBidi"/>
          <w:i/>
          <w:iCs/>
          <w:sz w:val="23"/>
          <w:szCs w:val="23"/>
        </w:rPr>
        <w:t xml:space="preserve">Ensuring trustworthiness in qualitative data, </w:t>
      </w:r>
      <w:r w:rsidRPr="009A348C">
        <w:rPr>
          <w:rFonts w:asciiTheme="minorBidi" w:hAnsiTheme="minorBidi"/>
          <w:sz w:val="23"/>
          <w:szCs w:val="23"/>
        </w:rPr>
        <w:t>(2</w:t>
      </w:r>
      <w:r w:rsidRPr="009A348C">
        <w:rPr>
          <w:rFonts w:asciiTheme="minorBidi" w:hAnsiTheme="minorBidi"/>
          <w:sz w:val="23"/>
          <w:szCs w:val="23"/>
          <w:vertAlign w:val="superscript"/>
        </w:rPr>
        <w:t>nd</w:t>
      </w:r>
      <w:r w:rsidRPr="009A348C">
        <w:rPr>
          <w:rFonts w:asciiTheme="minorBidi" w:hAnsiTheme="minorBidi"/>
          <w:sz w:val="23"/>
          <w:szCs w:val="23"/>
        </w:rPr>
        <w:t xml:space="preserve"> ed.) London: SAGE Publications.   </w:t>
      </w:r>
    </w:p>
    <w:p w14:paraId="67E4099E" w14:textId="77777777" w:rsidR="00A32887" w:rsidRPr="009A348C" w:rsidRDefault="00A32887" w:rsidP="00A32887">
      <w:pPr>
        <w:spacing w:line="360" w:lineRule="auto"/>
        <w:rPr>
          <w:rFonts w:asciiTheme="minorBidi" w:hAnsiTheme="minorBidi"/>
          <w:sz w:val="23"/>
          <w:szCs w:val="23"/>
        </w:rPr>
      </w:pPr>
    </w:p>
    <w:p w14:paraId="3251F18E"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British Educational Research Association [BERA]. (2024). </w:t>
      </w:r>
      <w:r w:rsidRPr="009A348C">
        <w:rPr>
          <w:rFonts w:asciiTheme="minorBidi" w:hAnsiTheme="minorBidi"/>
          <w:i/>
          <w:iCs/>
          <w:sz w:val="23"/>
          <w:szCs w:val="23"/>
        </w:rPr>
        <w:t>Ethical Guidelines for Educational Research,</w:t>
      </w:r>
      <w:r w:rsidRPr="009A348C">
        <w:rPr>
          <w:rFonts w:asciiTheme="minorBidi" w:hAnsiTheme="minorBidi"/>
          <w:sz w:val="23"/>
          <w:szCs w:val="23"/>
        </w:rPr>
        <w:t xml:space="preserve"> (5th ed.). Available </w:t>
      </w:r>
      <w:proofErr w:type="gramStart"/>
      <w:r w:rsidRPr="009A348C">
        <w:rPr>
          <w:rFonts w:asciiTheme="minorBidi" w:hAnsiTheme="minorBidi"/>
          <w:sz w:val="23"/>
          <w:szCs w:val="23"/>
        </w:rPr>
        <w:t>at :</w:t>
      </w:r>
      <w:proofErr w:type="gramEnd"/>
      <w:r w:rsidRPr="009A348C">
        <w:rPr>
          <w:rFonts w:asciiTheme="minorBidi" w:hAnsiTheme="minorBidi"/>
          <w:sz w:val="23"/>
          <w:szCs w:val="23"/>
        </w:rPr>
        <w:t xml:space="preserve"> </w:t>
      </w:r>
      <w:hyperlink r:id="rId17" w:history="1">
        <w:r w:rsidRPr="009A348C">
          <w:rPr>
            <w:rStyle w:val="Hyperlink"/>
            <w:rFonts w:asciiTheme="minorBidi" w:hAnsiTheme="minorBidi"/>
            <w:sz w:val="23"/>
            <w:szCs w:val="23"/>
          </w:rPr>
          <w:t>www.bera.ac.uk/publication/ethicalguidelines-for-educational-research-2024</w:t>
        </w:r>
      </w:hyperlink>
      <w:r w:rsidRPr="009A348C">
        <w:rPr>
          <w:rFonts w:asciiTheme="minorBidi" w:hAnsiTheme="minorBidi"/>
          <w:sz w:val="23"/>
          <w:szCs w:val="23"/>
        </w:rPr>
        <w:t>. (Accessed April 2024)</w:t>
      </w:r>
    </w:p>
    <w:p w14:paraId="0CAC916E" w14:textId="77777777" w:rsidR="00A32887" w:rsidRPr="009A348C" w:rsidRDefault="00A32887" w:rsidP="00A32887">
      <w:pPr>
        <w:spacing w:line="360" w:lineRule="auto"/>
        <w:rPr>
          <w:rFonts w:asciiTheme="minorBidi" w:hAnsiTheme="minorBidi"/>
          <w:sz w:val="23"/>
          <w:szCs w:val="23"/>
        </w:rPr>
      </w:pPr>
    </w:p>
    <w:p w14:paraId="5353EF51" w14:textId="77777777" w:rsidR="00A32887" w:rsidRPr="009A348C" w:rsidRDefault="00A32887" w:rsidP="00A32887">
      <w:pPr>
        <w:spacing w:line="360" w:lineRule="auto"/>
        <w:rPr>
          <w:rFonts w:asciiTheme="minorBidi" w:hAnsiTheme="minorBidi"/>
          <w:sz w:val="23"/>
          <w:szCs w:val="23"/>
          <w:lang w:eastAsia="en-GB"/>
        </w:rPr>
      </w:pPr>
      <w:r w:rsidRPr="009A348C">
        <w:rPr>
          <w:rFonts w:asciiTheme="minorBidi" w:hAnsiTheme="minorBidi"/>
          <w:sz w:val="23"/>
          <w:szCs w:val="23"/>
        </w:rPr>
        <w:t xml:space="preserve">Clark, A. (2005) ‘Ways of seeing: using the Mosaic approach to listen to young children’s perspectives’, in Clark, A., </w:t>
      </w:r>
      <w:proofErr w:type="spellStart"/>
      <w:r w:rsidRPr="009A348C">
        <w:rPr>
          <w:rFonts w:asciiTheme="minorBidi" w:hAnsiTheme="minorBidi"/>
          <w:sz w:val="23"/>
          <w:szCs w:val="23"/>
        </w:rPr>
        <w:t>Kjørholt</w:t>
      </w:r>
      <w:proofErr w:type="spellEnd"/>
      <w:r w:rsidRPr="009A348C">
        <w:rPr>
          <w:rFonts w:asciiTheme="minorBidi" w:hAnsiTheme="minorBidi"/>
          <w:sz w:val="23"/>
          <w:szCs w:val="23"/>
        </w:rPr>
        <w:t xml:space="preserve"> and Moss, P. (eds.) </w:t>
      </w:r>
      <w:r w:rsidRPr="009A348C">
        <w:rPr>
          <w:rFonts w:asciiTheme="minorBidi" w:hAnsiTheme="minorBidi"/>
          <w:i/>
          <w:iCs/>
          <w:sz w:val="23"/>
          <w:szCs w:val="23"/>
        </w:rPr>
        <w:t>Beyond Listening. Children’s perspectives on early childhood services.</w:t>
      </w:r>
      <w:r w:rsidRPr="009A348C">
        <w:rPr>
          <w:rFonts w:asciiTheme="minorBidi" w:hAnsiTheme="minorBidi"/>
          <w:sz w:val="23"/>
          <w:szCs w:val="23"/>
        </w:rPr>
        <w:t xml:space="preserve"> Bristol: Policy Press, pp. 29–49.</w:t>
      </w:r>
    </w:p>
    <w:p w14:paraId="5610E5C5" w14:textId="77777777" w:rsidR="00A32887" w:rsidRPr="009A348C" w:rsidRDefault="00A32887" w:rsidP="00A32887">
      <w:pPr>
        <w:spacing w:line="360" w:lineRule="auto"/>
        <w:rPr>
          <w:rFonts w:asciiTheme="minorBidi" w:hAnsiTheme="minorBidi"/>
          <w:sz w:val="23"/>
          <w:szCs w:val="23"/>
        </w:rPr>
      </w:pPr>
    </w:p>
    <w:p w14:paraId="614B8D42"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Clark, A. (2005) ‘Listening to and involving young children: a review of research and practice’, </w:t>
      </w:r>
      <w:r w:rsidRPr="009A348C">
        <w:rPr>
          <w:rFonts w:asciiTheme="minorBidi" w:hAnsiTheme="minorBidi"/>
          <w:i/>
          <w:iCs/>
          <w:sz w:val="23"/>
          <w:szCs w:val="23"/>
        </w:rPr>
        <w:t>Early Child Development and Care</w:t>
      </w:r>
      <w:r w:rsidRPr="009A348C">
        <w:rPr>
          <w:rFonts w:asciiTheme="minorBidi" w:hAnsiTheme="minorBidi"/>
          <w:sz w:val="23"/>
          <w:szCs w:val="23"/>
        </w:rPr>
        <w:t>, 175:6, 489-505. Available at DOI: 10.1080/03004430500131288</w:t>
      </w:r>
    </w:p>
    <w:p w14:paraId="2A76FCE3" w14:textId="77777777" w:rsidR="00A32887" w:rsidRPr="009A348C" w:rsidRDefault="00A32887" w:rsidP="00A32887">
      <w:pPr>
        <w:spacing w:line="360" w:lineRule="auto"/>
        <w:rPr>
          <w:rFonts w:asciiTheme="minorBidi" w:hAnsiTheme="minorBidi"/>
          <w:sz w:val="23"/>
          <w:szCs w:val="23"/>
        </w:rPr>
      </w:pPr>
    </w:p>
    <w:p w14:paraId="31D05720" w14:textId="77777777" w:rsidR="00A32887" w:rsidRPr="009A348C" w:rsidRDefault="00A32887" w:rsidP="00A32887">
      <w:pPr>
        <w:pStyle w:val="NormalWeb"/>
        <w:shd w:val="clear" w:color="auto" w:fill="FFFFFF"/>
        <w:spacing w:line="360" w:lineRule="auto"/>
        <w:rPr>
          <w:rFonts w:asciiTheme="minorBidi" w:hAnsiTheme="minorBidi" w:cstheme="minorBidi"/>
          <w:sz w:val="23"/>
          <w:szCs w:val="23"/>
        </w:rPr>
      </w:pPr>
      <w:proofErr w:type="spellStart"/>
      <w:r w:rsidRPr="009A348C">
        <w:rPr>
          <w:rFonts w:asciiTheme="minorBidi" w:hAnsiTheme="minorBidi" w:cstheme="minorBidi"/>
          <w:sz w:val="23"/>
          <w:szCs w:val="23"/>
        </w:rPr>
        <w:t>Cohen.L</w:t>
      </w:r>
      <w:proofErr w:type="spellEnd"/>
      <w:r w:rsidRPr="009A348C">
        <w:rPr>
          <w:rFonts w:asciiTheme="minorBidi" w:hAnsiTheme="minorBidi" w:cstheme="minorBidi"/>
          <w:sz w:val="23"/>
          <w:szCs w:val="23"/>
        </w:rPr>
        <w:t xml:space="preserve">, Manion, L. &amp; </w:t>
      </w:r>
      <w:proofErr w:type="spellStart"/>
      <w:r w:rsidRPr="009A348C">
        <w:rPr>
          <w:rFonts w:asciiTheme="minorBidi" w:hAnsiTheme="minorBidi" w:cstheme="minorBidi"/>
          <w:sz w:val="23"/>
          <w:szCs w:val="23"/>
        </w:rPr>
        <w:t>Morriosn</w:t>
      </w:r>
      <w:proofErr w:type="spellEnd"/>
      <w:r w:rsidRPr="009A348C">
        <w:rPr>
          <w:rFonts w:asciiTheme="minorBidi" w:hAnsiTheme="minorBidi" w:cstheme="minorBidi"/>
          <w:sz w:val="23"/>
          <w:szCs w:val="23"/>
        </w:rPr>
        <w:t>, K. (2007) ‘Research Methods in Education’, (6</w:t>
      </w:r>
      <w:r w:rsidRPr="009A348C">
        <w:rPr>
          <w:rFonts w:asciiTheme="minorBidi" w:hAnsiTheme="minorBidi" w:cstheme="minorBidi"/>
          <w:sz w:val="23"/>
          <w:szCs w:val="23"/>
          <w:vertAlign w:val="superscript"/>
        </w:rPr>
        <w:t>th</w:t>
      </w:r>
      <w:r w:rsidRPr="009A348C">
        <w:rPr>
          <w:rFonts w:asciiTheme="minorBidi" w:hAnsiTheme="minorBidi" w:cstheme="minorBidi"/>
          <w:sz w:val="23"/>
          <w:szCs w:val="23"/>
        </w:rPr>
        <w:t xml:space="preserve"> ed.), USA: Routledge. Available at: </w:t>
      </w:r>
      <w:hyperlink r:id="rId18" w:history="1">
        <w:r w:rsidRPr="009A348C">
          <w:rPr>
            <w:rStyle w:val="Hyperlink"/>
            <w:rFonts w:asciiTheme="minorBidi" w:hAnsiTheme="minorBidi" w:cstheme="minorBidi"/>
            <w:sz w:val="23"/>
            <w:szCs w:val="23"/>
          </w:rPr>
          <w:t>https://islmblogblog.files.wordpress.com/2016/05/rme-edu-helpline-blogspot-com.pdf</w:t>
        </w:r>
      </w:hyperlink>
      <w:r w:rsidRPr="009A348C">
        <w:rPr>
          <w:rFonts w:asciiTheme="minorBidi" w:hAnsiTheme="minorBidi" w:cstheme="minorBidi"/>
          <w:sz w:val="23"/>
          <w:szCs w:val="23"/>
        </w:rPr>
        <w:t>. (Accessed: April 2024)</w:t>
      </w:r>
    </w:p>
    <w:p w14:paraId="20AB251E" w14:textId="77777777" w:rsidR="00A32887" w:rsidRPr="009A348C" w:rsidRDefault="00A32887" w:rsidP="00A32887">
      <w:pPr>
        <w:pStyle w:val="NormalWeb"/>
        <w:shd w:val="clear" w:color="auto" w:fill="FFFFFF"/>
        <w:spacing w:line="360" w:lineRule="auto"/>
        <w:rPr>
          <w:rFonts w:asciiTheme="minorBidi" w:hAnsiTheme="minorBidi" w:cstheme="minorBidi"/>
          <w:sz w:val="23"/>
          <w:szCs w:val="23"/>
        </w:rPr>
      </w:pPr>
    </w:p>
    <w:p w14:paraId="60BBB61B" w14:textId="77777777" w:rsidR="00A32887" w:rsidRPr="009A348C" w:rsidRDefault="00A32887" w:rsidP="00A32887">
      <w:pPr>
        <w:shd w:val="clear" w:color="auto" w:fill="FFFFFF"/>
        <w:spacing w:before="100" w:beforeAutospacing="1" w:after="0" w:line="360" w:lineRule="auto"/>
        <w:rPr>
          <w:rFonts w:asciiTheme="minorBidi" w:eastAsia="Times New Roman" w:hAnsiTheme="minorBidi"/>
          <w:color w:val="1F1F1F"/>
          <w:kern w:val="0"/>
          <w:sz w:val="23"/>
          <w:szCs w:val="23"/>
          <w:lang w:eastAsia="en-GB"/>
          <w14:ligatures w14:val="none"/>
        </w:rPr>
      </w:pPr>
      <w:r w:rsidRPr="009A348C">
        <w:rPr>
          <w:rFonts w:asciiTheme="minorBidi" w:eastAsia="Times New Roman" w:hAnsiTheme="minorBidi"/>
          <w:color w:val="1F1F1F"/>
          <w:kern w:val="0"/>
          <w:sz w:val="23"/>
          <w:szCs w:val="23"/>
          <w:lang w:eastAsia="en-GB"/>
          <w14:ligatures w14:val="none"/>
        </w:rPr>
        <w:t xml:space="preserve">Creswell, J. W. (2014). </w:t>
      </w:r>
      <w:r w:rsidRPr="009A348C">
        <w:rPr>
          <w:rFonts w:asciiTheme="minorBidi" w:eastAsia="Times New Roman" w:hAnsiTheme="minorBidi"/>
          <w:i/>
          <w:iCs/>
          <w:color w:val="1F1F1F"/>
          <w:kern w:val="0"/>
          <w:sz w:val="23"/>
          <w:szCs w:val="23"/>
          <w:lang w:eastAsia="en-GB"/>
          <w14:ligatures w14:val="none"/>
        </w:rPr>
        <w:t xml:space="preserve">Research design: Qualitative, quantitative, and mixed methods </w:t>
      </w:r>
      <w:proofErr w:type="gramStart"/>
      <w:r w:rsidRPr="009A348C">
        <w:rPr>
          <w:rFonts w:asciiTheme="minorBidi" w:eastAsia="Times New Roman" w:hAnsiTheme="minorBidi"/>
          <w:i/>
          <w:iCs/>
          <w:color w:val="1F1F1F"/>
          <w:kern w:val="0"/>
          <w:sz w:val="23"/>
          <w:szCs w:val="23"/>
          <w:lang w:eastAsia="en-GB"/>
          <w14:ligatures w14:val="none"/>
        </w:rPr>
        <w:t>approaches</w:t>
      </w:r>
      <w:proofErr w:type="gramEnd"/>
      <w:r w:rsidRPr="009A348C">
        <w:rPr>
          <w:rFonts w:asciiTheme="minorBidi" w:eastAsia="Times New Roman" w:hAnsiTheme="minorBidi"/>
          <w:color w:val="1F1F1F"/>
          <w:kern w:val="0"/>
          <w:sz w:val="23"/>
          <w:szCs w:val="23"/>
          <w:lang w:eastAsia="en-GB"/>
          <w14:ligatures w14:val="none"/>
        </w:rPr>
        <w:t>, (4th ed.). London: Sage publications.</w:t>
      </w:r>
    </w:p>
    <w:p w14:paraId="1C460B38" w14:textId="77777777" w:rsidR="00A32887" w:rsidRPr="009A348C" w:rsidRDefault="00A32887" w:rsidP="00A32887">
      <w:pPr>
        <w:spacing w:line="360" w:lineRule="auto"/>
        <w:rPr>
          <w:rFonts w:asciiTheme="minorBidi" w:hAnsiTheme="minorBidi"/>
          <w:sz w:val="23"/>
          <w:szCs w:val="23"/>
        </w:rPr>
      </w:pPr>
    </w:p>
    <w:p w14:paraId="46291BEA" w14:textId="77777777" w:rsidR="00A32887" w:rsidRPr="009A348C" w:rsidRDefault="00A32887" w:rsidP="00A32887">
      <w:pPr>
        <w:spacing w:line="360" w:lineRule="auto"/>
        <w:rPr>
          <w:rFonts w:asciiTheme="minorBidi" w:hAnsiTheme="minorBidi"/>
          <w:b/>
          <w:bCs/>
          <w:sz w:val="23"/>
          <w:szCs w:val="23"/>
        </w:rPr>
      </w:pPr>
      <w:r w:rsidRPr="009A348C">
        <w:rPr>
          <w:rFonts w:asciiTheme="minorBidi" w:hAnsiTheme="minorBidi"/>
          <w:b/>
          <w:bCs/>
          <w:sz w:val="23"/>
          <w:szCs w:val="23"/>
        </w:rPr>
        <w:lastRenderedPageBreak/>
        <w:t xml:space="preserve">Donaldson, G. (2015) </w:t>
      </w:r>
      <w:r w:rsidRPr="009A348C">
        <w:rPr>
          <w:rFonts w:asciiTheme="minorBidi" w:hAnsiTheme="minorBidi"/>
          <w:b/>
          <w:bCs/>
          <w:i/>
          <w:iCs/>
          <w:sz w:val="23"/>
          <w:szCs w:val="23"/>
        </w:rPr>
        <w:t xml:space="preserve">Successful Futures, </w:t>
      </w:r>
      <w:r w:rsidRPr="009A348C">
        <w:rPr>
          <w:rFonts w:asciiTheme="minorBidi" w:hAnsiTheme="minorBidi"/>
          <w:b/>
          <w:bCs/>
          <w:sz w:val="23"/>
          <w:szCs w:val="23"/>
        </w:rPr>
        <w:t>Gov. Wales. Available at:</w:t>
      </w:r>
      <w:r w:rsidRPr="009A348C">
        <w:rPr>
          <w:rFonts w:asciiTheme="minorBidi" w:hAnsiTheme="minorBidi"/>
          <w:sz w:val="23"/>
          <w:szCs w:val="23"/>
        </w:rPr>
        <w:t xml:space="preserve"> </w:t>
      </w:r>
      <w:hyperlink r:id="rId19" w:history="1">
        <w:r w:rsidRPr="009A348C">
          <w:rPr>
            <w:rStyle w:val="Hyperlink"/>
            <w:rFonts w:asciiTheme="minorBidi" w:hAnsiTheme="minorBidi"/>
            <w:sz w:val="23"/>
            <w:szCs w:val="23"/>
            <w:shd w:val="clear" w:color="auto" w:fill="FFFFFF"/>
          </w:rPr>
          <w:t>https://www.gov.wales/sites/default/files/publications/2018-03/successful-futures.pdf</w:t>
        </w:r>
      </w:hyperlink>
      <w:r w:rsidRPr="009A348C">
        <w:rPr>
          <w:rFonts w:asciiTheme="minorBidi" w:hAnsiTheme="minorBidi"/>
          <w:b/>
          <w:bCs/>
          <w:sz w:val="23"/>
          <w:szCs w:val="23"/>
        </w:rPr>
        <w:t xml:space="preserve"> [Accessed: April 2024]. </w:t>
      </w:r>
    </w:p>
    <w:p w14:paraId="3220BF2B" w14:textId="77777777" w:rsidR="00A32887" w:rsidRPr="009A348C" w:rsidRDefault="00A32887" w:rsidP="00A32887">
      <w:pPr>
        <w:spacing w:line="360" w:lineRule="auto"/>
        <w:rPr>
          <w:rFonts w:asciiTheme="minorBidi" w:hAnsiTheme="minorBidi"/>
          <w:b/>
          <w:bCs/>
          <w:sz w:val="23"/>
          <w:szCs w:val="23"/>
        </w:rPr>
      </w:pPr>
    </w:p>
    <w:p w14:paraId="2D52A253" w14:textId="77777777" w:rsidR="00A32887" w:rsidRPr="009A348C" w:rsidRDefault="00A32887" w:rsidP="00A32887">
      <w:pPr>
        <w:spacing w:line="360" w:lineRule="auto"/>
        <w:rPr>
          <w:rFonts w:asciiTheme="minorBidi" w:hAnsiTheme="minorBidi"/>
          <w:color w:val="222222"/>
          <w:sz w:val="23"/>
          <w:szCs w:val="23"/>
          <w:shd w:val="clear" w:color="auto" w:fill="FFFFFF"/>
        </w:rPr>
      </w:pPr>
      <w:proofErr w:type="spellStart"/>
      <w:r w:rsidRPr="009A348C">
        <w:rPr>
          <w:rFonts w:asciiTheme="minorBidi" w:hAnsiTheme="minorBidi"/>
          <w:color w:val="222222"/>
          <w:sz w:val="23"/>
          <w:szCs w:val="23"/>
          <w:shd w:val="clear" w:color="auto" w:fill="FFFFFF"/>
          <w:lang w:val="da-DK"/>
        </w:rPr>
        <w:t>Espil</w:t>
      </w:r>
      <w:proofErr w:type="spellEnd"/>
      <w:r w:rsidRPr="009A348C">
        <w:rPr>
          <w:rFonts w:asciiTheme="minorBidi" w:hAnsiTheme="minorBidi"/>
          <w:color w:val="222222"/>
          <w:sz w:val="23"/>
          <w:szCs w:val="23"/>
          <w:shd w:val="clear" w:color="auto" w:fill="FFFFFF"/>
          <w:lang w:val="da-DK"/>
        </w:rPr>
        <w:t xml:space="preserve">, F.M., </w:t>
      </w:r>
      <w:proofErr w:type="spellStart"/>
      <w:r w:rsidRPr="009A348C">
        <w:rPr>
          <w:rFonts w:asciiTheme="minorBidi" w:hAnsiTheme="minorBidi"/>
          <w:color w:val="222222"/>
          <w:sz w:val="23"/>
          <w:szCs w:val="23"/>
          <w:shd w:val="clear" w:color="auto" w:fill="FFFFFF"/>
          <w:lang w:val="da-DK"/>
        </w:rPr>
        <w:t>Rettger</w:t>
      </w:r>
      <w:proofErr w:type="spellEnd"/>
      <w:r w:rsidRPr="009A348C">
        <w:rPr>
          <w:rFonts w:asciiTheme="minorBidi" w:hAnsiTheme="minorBidi"/>
          <w:color w:val="222222"/>
          <w:sz w:val="23"/>
          <w:szCs w:val="23"/>
          <w:shd w:val="clear" w:color="auto" w:fill="FFFFFF"/>
          <w:lang w:val="da-DK"/>
        </w:rPr>
        <w:t xml:space="preserve">, J.P., </w:t>
      </w:r>
      <w:proofErr w:type="spellStart"/>
      <w:r w:rsidRPr="009A348C">
        <w:rPr>
          <w:rFonts w:asciiTheme="minorBidi" w:hAnsiTheme="minorBidi"/>
          <w:color w:val="222222"/>
          <w:sz w:val="23"/>
          <w:szCs w:val="23"/>
          <w:shd w:val="clear" w:color="auto" w:fill="FFFFFF"/>
          <w:lang w:val="da-DK"/>
        </w:rPr>
        <w:t>Weems</w:t>
      </w:r>
      <w:proofErr w:type="spellEnd"/>
      <w:r w:rsidRPr="009A348C">
        <w:rPr>
          <w:rFonts w:asciiTheme="minorBidi" w:hAnsiTheme="minorBidi"/>
          <w:color w:val="222222"/>
          <w:sz w:val="23"/>
          <w:szCs w:val="23"/>
          <w:shd w:val="clear" w:color="auto" w:fill="FFFFFF"/>
          <w:lang w:val="da-DK"/>
        </w:rPr>
        <w:t>, C.F. </w:t>
      </w:r>
      <w:r w:rsidRPr="009A348C">
        <w:rPr>
          <w:rFonts w:asciiTheme="minorBidi" w:hAnsiTheme="minorBidi"/>
          <w:i/>
          <w:iCs/>
          <w:color w:val="222222"/>
          <w:sz w:val="23"/>
          <w:szCs w:val="23"/>
          <w:shd w:val="clear" w:color="auto" w:fill="FFFFFF"/>
          <w:lang w:val="da-DK"/>
        </w:rPr>
        <w:t>et al.</w:t>
      </w:r>
      <w:r w:rsidRPr="009A348C">
        <w:rPr>
          <w:rFonts w:asciiTheme="minorBidi" w:hAnsiTheme="minorBidi"/>
          <w:color w:val="222222"/>
          <w:sz w:val="23"/>
          <w:szCs w:val="23"/>
          <w:shd w:val="clear" w:color="auto" w:fill="FFFFFF"/>
          <w:lang w:val="da-DK"/>
        </w:rPr>
        <w:t> </w:t>
      </w:r>
      <w:r w:rsidRPr="009A348C">
        <w:rPr>
          <w:rFonts w:asciiTheme="minorBidi" w:hAnsiTheme="minorBidi"/>
          <w:color w:val="222222"/>
          <w:sz w:val="23"/>
          <w:szCs w:val="23"/>
          <w:shd w:val="clear" w:color="auto" w:fill="FFFFFF"/>
        </w:rPr>
        <w:t>(2021) ‘Measuring the Fidelity of a School-Based Yoga and Mindfulness Curriculum for Youth: A Transdisciplinary Feasibility Study.’ </w:t>
      </w:r>
      <w:r w:rsidRPr="009A348C">
        <w:rPr>
          <w:rFonts w:asciiTheme="minorBidi" w:hAnsiTheme="minorBidi"/>
          <w:i/>
          <w:iCs/>
          <w:color w:val="222222"/>
          <w:sz w:val="23"/>
          <w:szCs w:val="23"/>
          <w:shd w:val="clear" w:color="auto" w:fill="FFFFFF"/>
        </w:rPr>
        <w:t>Child Youth Care Forum</w:t>
      </w:r>
      <w:r w:rsidRPr="009A348C">
        <w:rPr>
          <w:rFonts w:asciiTheme="minorBidi" w:hAnsiTheme="minorBidi"/>
          <w:color w:val="222222"/>
          <w:sz w:val="23"/>
          <w:szCs w:val="23"/>
          <w:shd w:val="clear" w:color="auto" w:fill="FFFFFF"/>
        </w:rPr>
        <w:t> </w:t>
      </w:r>
      <w:r w:rsidRPr="009A348C">
        <w:rPr>
          <w:rFonts w:asciiTheme="minorBidi" w:hAnsiTheme="minorBidi"/>
          <w:b/>
          <w:bCs/>
          <w:color w:val="222222"/>
          <w:sz w:val="23"/>
          <w:szCs w:val="23"/>
          <w:shd w:val="clear" w:color="auto" w:fill="FFFFFF"/>
        </w:rPr>
        <w:t>50</w:t>
      </w:r>
      <w:r w:rsidRPr="009A348C">
        <w:rPr>
          <w:rFonts w:asciiTheme="minorBidi" w:hAnsiTheme="minorBidi"/>
          <w:color w:val="222222"/>
          <w:sz w:val="23"/>
          <w:szCs w:val="23"/>
          <w:shd w:val="clear" w:color="auto" w:fill="FFFFFF"/>
        </w:rPr>
        <w:t xml:space="preserve">, 57–75. Available at DOI: </w:t>
      </w:r>
      <w:hyperlink r:id="rId20" w:history="1">
        <w:r w:rsidRPr="009A348C">
          <w:rPr>
            <w:rStyle w:val="Hyperlink"/>
            <w:rFonts w:asciiTheme="minorBidi" w:hAnsiTheme="minorBidi"/>
            <w:sz w:val="23"/>
            <w:szCs w:val="23"/>
            <w:shd w:val="clear" w:color="auto" w:fill="FFFFFF"/>
          </w:rPr>
          <w:t>https://doi.org/10.1007/s10566-020-09558-1</w:t>
        </w:r>
      </w:hyperlink>
      <w:r w:rsidRPr="009A348C">
        <w:rPr>
          <w:rFonts w:asciiTheme="minorBidi" w:hAnsiTheme="minorBidi"/>
          <w:color w:val="222222"/>
          <w:sz w:val="23"/>
          <w:szCs w:val="23"/>
          <w:shd w:val="clear" w:color="auto" w:fill="FFFFFF"/>
        </w:rPr>
        <w:t xml:space="preserve"> </w:t>
      </w:r>
    </w:p>
    <w:p w14:paraId="562A0B7D" w14:textId="77777777" w:rsidR="00A32887" w:rsidRPr="009A348C" w:rsidRDefault="00A32887" w:rsidP="00A32887">
      <w:pPr>
        <w:spacing w:line="360" w:lineRule="auto"/>
        <w:rPr>
          <w:rFonts w:asciiTheme="minorBidi" w:hAnsiTheme="minorBidi"/>
          <w:color w:val="222222"/>
          <w:sz w:val="23"/>
          <w:szCs w:val="23"/>
          <w:shd w:val="clear" w:color="auto" w:fill="FFFFFF"/>
        </w:rPr>
      </w:pPr>
    </w:p>
    <w:p w14:paraId="2607A33D" w14:textId="77777777" w:rsidR="00A32887" w:rsidRPr="009A348C" w:rsidRDefault="00A32887" w:rsidP="00A32887">
      <w:pPr>
        <w:rPr>
          <w:rFonts w:asciiTheme="minorBidi" w:hAnsiTheme="minorBidi"/>
          <w:color w:val="222222"/>
          <w:sz w:val="23"/>
          <w:szCs w:val="23"/>
          <w:shd w:val="clear" w:color="auto" w:fill="FFFFFF"/>
        </w:rPr>
      </w:pPr>
      <w:r w:rsidRPr="009A348C">
        <w:rPr>
          <w:rFonts w:asciiTheme="minorBidi" w:hAnsiTheme="minorBidi"/>
          <w:color w:val="222222"/>
          <w:sz w:val="23"/>
          <w:szCs w:val="23"/>
          <w:shd w:val="clear" w:color="auto" w:fill="FFFFFF"/>
        </w:rPr>
        <w:t xml:space="preserve">Felver, J.C., Celis-de Hoyos, C.E., </w:t>
      </w:r>
      <w:proofErr w:type="spellStart"/>
      <w:r w:rsidRPr="009A348C">
        <w:rPr>
          <w:rFonts w:asciiTheme="minorBidi" w:hAnsiTheme="minorBidi"/>
          <w:color w:val="222222"/>
          <w:sz w:val="23"/>
          <w:szCs w:val="23"/>
          <w:shd w:val="clear" w:color="auto" w:fill="FFFFFF"/>
        </w:rPr>
        <w:t>Tezanos</w:t>
      </w:r>
      <w:proofErr w:type="spellEnd"/>
      <w:r w:rsidRPr="009A348C">
        <w:rPr>
          <w:rFonts w:asciiTheme="minorBidi" w:hAnsiTheme="minorBidi"/>
          <w:color w:val="222222"/>
          <w:sz w:val="23"/>
          <w:szCs w:val="23"/>
          <w:shd w:val="clear" w:color="auto" w:fill="FFFFFF"/>
        </w:rPr>
        <w:t>, K. </w:t>
      </w:r>
      <w:r w:rsidRPr="009A348C">
        <w:rPr>
          <w:rFonts w:asciiTheme="minorBidi" w:hAnsiTheme="minorBidi"/>
          <w:i/>
          <w:iCs/>
          <w:color w:val="222222"/>
          <w:sz w:val="23"/>
          <w:szCs w:val="23"/>
          <w:shd w:val="clear" w:color="auto" w:fill="FFFFFF"/>
        </w:rPr>
        <w:t xml:space="preserve">et al. </w:t>
      </w:r>
      <w:r w:rsidRPr="009A348C">
        <w:rPr>
          <w:rFonts w:asciiTheme="minorBidi" w:hAnsiTheme="minorBidi"/>
          <w:color w:val="222222"/>
          <w:sz w:val="23"/>
          <w:szCs w:val="23"/>
          <w:shd w:val="clear" w:color="auto" w:fill="FFFFFF"/>
        </w:rPr>
        <w:t>(2015</w:t>
      </w:r>
      <w:proofErr w:type="gramStart"/>
      <w:r w:rsidRPr="009A348C">
        <w:rPr>
          <w:rFonts w:asciiTheme="minorBidi" w:hAnsiTheme="minorBidi"/>
          <w:color w:val="222222"/>
          <w:sz w:val="23"/>
          <w:szCs w:val="23"/>
          <w:shd w:val="clear" w:color="auto" w:fill="FFFFFF"/>
        </w:rPr>
        <w:t>)  ‘</w:t>
      </w:r>
      <w:proofErr w:type="gramEnd"/>
      <w:r w:rsidRPr="009A348C">
        <w:rPr>
          <w:rFonts w:asciiTheme="minorBidi" w:hAnsiTheme="minorBidi"/>
          <w:color w:val="222222"/>
          <w:sz w:val="23"/>
          <w:szCs w:val="23"/>
          <w:shd w:val="clear" w:color="auto" w:fill="FFFFFF"/>
        </w:rPr>
        <w:t>A Systematic Review of Mindfulness-Based Interventions for Youth in School Settings.’ </w:t>
      </w:r>
      <w:r w:rsidRPr="009A348C">
        <w:rPr>
          <w:rFonts w:asciiTheme="minorBidi" w:hAnsiTheme="minorBidi"/>
          <w:i/>
          <w:iCs/>
          <w:color w:val="222222"/>
          <w:sz w:val="23"/>
          <w:szCs w:val="23"/>
          <w:shd w:val="clear" w:color="auto" w:fill="FFFFFF"/>
        </w:rPr>
        <w:t>Mindfulness</w:t>
      </w:r>
      <w:r w:rsidRPr="009A348C">
        <w:rPr>
          <w:rFonts w:asciiTheme="minorBidi" w:hAnsiTheme="minorBidi"/>
          <w:color w:val="222222"/>
          <w:sz w:val="23"/>
          <w:szCs w:val="23"/>
          <w:shd w:val="clear" w:color="auto" w:fill="FFFFFF"/>
        </w:rPr>
        <w:t> </w:t>
      </w:r>
      <w:r w:rsidRPr="009A348C">
        <w:rPr>
          <w:rFonts w:asciiTheme="minorBidi" w:hAnsiTheme="minorBidi"/>
          <w:b/>
          <w:bCs/>
          <w:color w:val="222222"/>
          <w:sz w:val="23"/>
          <w:szCs w:val="23"/>
          <w:shd w:val="clear" w:color="auto" w:fill="FFFFFF"/>
        </w:rPr>
        <w:t>7</w:t>
      </w:r>
      <w:r w:rsidRPr="009A348C">
        <w:rPr>
          <w:rFonts w:asciiTheme="minorBidi" w:hAnsiTheme="minorBidi"/>
          <w:color w:val="222222"/>
          <w:sz w:val="23"/>
          <w:szCs w:val="23"/>
          <w:shd w:val="clear" w:color="auto" w:fill="FFFFFF"/>
        </w:rPr>
        <w:t xml:space="preserve">, 34–45. Available at: DOI: </w:t>
      </w:r>
      <w:hyperlink r:id="rId21" w:history="1">
        <w:r w:rsidRPr="009A348C">
          <w:rPr>
            <w:rStyle w:val="Hyperlink"/>
            <w:rFonts w:asciiTheme="minorBidi" w:hAnsiTheme="minorBidi"/>
            <w:sz w:val="23"/>
            <w:szCs w:val="23"/>
            <w:shd w:val="clear" w:color="auto" w:fill="FFFFFF"/>
          </w:rPr>
          <w:t>https://doi.org/10.1007/s12671-015-0389-4</w:t>
        </w:r>
      </w:hyperlink>
    </w:p>
    <w:p w14:paraId="0E0E130F" w14:textId="77777777" w:rsidR="00A32887" w:rsidRPr="009A348C" w:rsidRDefault="00A32887" w:rsidP="00A32887">
      <w:pPr>
        <w:rPr>
          <w:rFonts w:asciiTheme="minorBidi" w:hAnsiTheme="minorBidi"/>
          <w:color w:val="222222"/>
          <w:sz w:val="23"/>
          <w:szCs w:val="23"/>
          <w:shd w:val="clear" w:color="auto" w:fill="FFFFFF"/>
        </w:rPr>
      </w:pPr>
    </w:p>
    <w:p w14:paraId="4CFDED42" w14:textId="77777777" w:rsidR="00A32887" w:rsidRPr="009A348C" w:rsidRDefault="00A32887" w:rsidP="00A32887">
      <w:pPr>
        <w:spacing w:after="0" w:line="240" w:lineRule="auto"/>
        <w:rPr>
          <w:rFonts w:asciiTheme="minorBidi" w:eastAsia="Times New Roman" w:hAnsiTheme="minorBidi"/>
          <w:color w:val="333333"/>
          <w:kern w:val="0"/>
          <w:sz w:val="23"/>
          <w:szCs w:val="23"/>
          <w:lang w:eastAsia="en-GB"/>
          <w14:ligatures w14:val="none"/>
        </w:rPr>
      </w:pPr>
      <w:r w:rsidRPr="009A348C">
        <w:rPr>
          <w:rFonts w:asciiTheme="minorBidi" w:eastAsia="Times New Roman" w:hAnsiTheme="minorBidi"/>
          <w:color w:val="333333"/>
          <w:kern w:val="0"/>
          <w:sz w:val="23"/>
          <w:szCs w:val="23"/>
          <w:lang w:eastAsia="en-GB"/>
          <w14:ligatures w14:val="none"/>
        </w:rPr>
        <w:t xml:space="preserve">Felver, J. C., &amp; Singh, N. N. (2020). ‘Mindfulness in the classroom: An evidence-based program to reduce disruptive </w:t>
      </w:r>
      <w:proofErr w:type="spellStart"/>
      <w:r w:rsidRPr="009A348C">
        <w:rPr>
          <w:rFonts w:asciiTheme="minorBidi" w:eastAsia="Times New Roman" w:hAnsiTheme="minorBidi"/>
          <w:color w:val="333333"/>
          <w:kern w:val="0"/>
          <w:sz w:val="23"/>
          <w:szCs w:val="23"/>
          <w:lang w:eastAsia="en-GB"/>
          <w14:ligatures w14:val="none"/>
        </w:rPr>
        <w:t>behavior</w:t>
      </w:r>
      <w:proofErr w:type="spellEnd"/>
      <w:r w:rsidRPr="009A348C">
        <w:rPr>
          <w:rFonts w:asciiTheme="minorBidi" w:eastAsia="Times New Roman" w:hAnsiTheme="minorBidi"/>
          <w:color w:val="333333"/>
          <w:kern w:val="0"/>
          <w:sz w:val="23"/>
          <w:szCs w:val="23"/>
          <w:lang w:eastAsia="en-GB"/>
          <w14:ligatures w14:val="none"/>
        </w:rPr>
        <w:t xml:space="preserve"> and increase academic engagement</w:t>
      </w:r>
      <w:r w:rsidRPr="009A348C">
        <w:rPr>
          <w:rFonts w:asciiTheme="minorBidi" w:eastAsia="Times New Roman" w:hAnsiTheme="minorBidi"/>
          <w:i/>
          <w:iCs/>
          <w:color w:val="333333"/>
          <w:kern w:val="0"/>
          <w:sz w:val="23"/>
          <w:szCs w:val="23"/>
          <w:lang w:eastAsia="en-GB"/>
          <w14:ligatures w14:val="none"/>
        </w:rPr>
        <w:t>.’</w:t>
      </w:r>
      <w:r w:rsidRPr="009A348C">
        <w:rPr>
          <w:rFonts w:asciiTheme="minorBidi" w:eastAsia="Times New Roman" w:hAnsiTheme="minorBidi"/>
          <w:color w:val="333333"/>
          <w:kern w:val="0"/>
          <w:sz w:val="23"/>
          <w:szCs w:val="23"/>
          <w:lang w:eastAsia="en-GB"/>
          <w14:ligatures w14:val="none"/>
        </w:rPr>
        <w:t xml:space="preserve"> New Harbinger Publications, Inc. </w:t>
      </w:r>
    </w:p>
    <w:p w14:paraId="4483C967" w14:textId="77777777" w:rsidR="00A32887" w:rsidRPr="009A348C" w:rsidRDefault="00A32887" w:rsidP="00A32887">
      <w:pPr>
        <w:rPr>
          <w:rFonts w:asciiTheme="minorBidi" w:hAnsiTheme="minorBidi"/>
          <w:color w:val="222222"/>
          <w:sz w:val="23"/>
          <w:szCs w:val="23"/>
          <w:shd w:val="clear" w:color="auto" w:fill="FFFFFF"/>
        </w:rPr>
      </w:pPr>
    </w:p>
    <w:p w14:paraId="0ED258C0" w14:textId="77777777" w:rsidR="00A32887" w:rsidRPr="009A348C" w:rsidRDefault="00A32887" w:rsidP="00A32887">
      <w:pPr>
        <w:rPr>
          <w:rFonts w:asciiTheme="minorBidi" w:hAnsiTheme="minorBidi"/>
          <w:sz w:val="23"/>
          <w:szCs w:val="23"/>
        </w:rPr>
      </w:pPr>
      <w:r w:rsidRPr="009A348C">
        <w:rPr>
          <w:rFonts w:asciiTheme="minorBidi" w:hAnsiTheme="minorBidi"/>
          <w:sz w:val="23"/>
          <w:szCs w:val="23"/>
        </w:rPr>
        <w:t xml:space="preserve">Flook, L., Hirshberg, M. J., Gustafson, L., </w:t>
      </w:r>
      <w:r w:rsidRPr="009A348C">
        <w:rPr>
          <w:rFonts w:asciiTheme="minorBidi" w:hAnsiTheme="minorBidi"/>
          <w:i/>
          <w:iCs/>
          <w:sz w:val="23"/>
          <w:szCs w:val="23"/>
        </w:rPr>
        <w:t>et al.</w:t>
      </w:r>
      <w:r w:rsidRPr="009A348C">
        <w:rPr>
          <w:rFonts w:asciiTheme="minorBidi" w:hAnsiTheme="minorBidi"/>
          <w:sz w:val="23"/>
          <w:szCs w:val="23"/>
        </w:rPr>
        <w:t xml:space="preserve"> (2024). ‘Mindfulness training enhances students’ executive functioning and social emotional skills.’ </w:t>
      </w:r>
      <w:r w:rsidRPr="009A348C">
        <w:rPr>
          <w:rFonts w:asciiTheme="minorBidi" w:hAnsiTheme="minorBidi"/>
          <w:i/>
          <w:iCs/>
          <w:sz w:val="23"/>
          <w:szCs w:val="23"/>
        </w:rPr>
        <w:t>Applied Developmental Science</w:t>
      </w:r>
      <w:r w:rsidRPr="009A348C">
        <w:rPr>
          <w:rFonts w:asciiTheme="minorBidi" w:hAnsiTheme="minorBidi"/>
          <w:sz w:val="23"/>
          <w:szCs w:val="23"/>
        </w:rPr>
        <w:t xml:space="preserve">, 1–20. Available at DOI: </w:t>
      </w:r>
      <w:hyperlink r:id="rId22" w:history="1">
        <w:r w:rsidRPr="009A348C">
          <w:rPr>
            <w:rStyle w:val="Hyperlink"/>
            <w:rFonts w:asciiTheme="minorBidi" w:hAnsiTheme="minorBidi"/>
            <w:sz w:val="23"/>
            <w:szCs w:val="23"/>
          </w:rPr>
          <w:t>https://doi.org/10.1080/10888691.2023.2297026</w:t>
        </w:r>
      </w:hyperlink>
    </w:p>
    <w:p w14:paraId="36A3798B" w14:textId="77777777" w:rsidR="00A32887" w:rsidRPr="009A348C" w:rsidRDefault="00A32887" w:rsidP="00A32887">
      <w:pPr>
        <w:rPr>
          <w:rFonts w:asciiTheme="minorBidi" w:hAnsiTheme="minorBidi"/>
          <w:sz w:val="23"/>
          <w:szCs w:val="23"/>
        </w:rPr>
      </w:pPr>
    </w:p>
    <w:p w14:paraId="387AA163" w14:textId="77777777" w:rsidR="00A32887" w:rsidRPr="009A348C" w:rsidRDefault="00A32887" w:rsidP="00A32887">
      <w:pPr>
        <w:pStyle w:val="NormalWeb"/>
        <w:shd w:val="clear" w:color="auto" w:fill="FFFFFF"/>
        <w:spacing w:line="360" w:lineRule="auto"/>
        <w:rPr>
          <w:rFonts w:asciiTheme="minorBidi" w:hAnsiTheme="minorBidi" w:cstheme="minorBidi"/>
          <w:sz w:val="23"/>
          <w:szCs w:val="23"/>
        </w:rPr>
      </w:pPr>
      <w:proofErr w:type="spellStart"/>
      <w:r w:rsidRPr="009A348C">
        <w:rPr>
          <w:rFonts w:asciiTheme="minorBidi" w:hAnsiTheme="minorBidi" w:cstheme="minorBidi"/>
          <w:sz w:val="23"/>
          <w:szCs w:val="23"/>
        </w:rPr>
        <w:t>Gary.A</w:t>
      </w:r>
      <w:proofErr w:type="spellEnd"/>
      <w:r w:rsidRPr="009A348C">
        <w:rPr>
          <w:rFonts w:asciiTheme="minorBidi" w:hAnsiTheme="minorBidi" w:cstheme="minorBidi"/>
          <w:sz w:val="23"/>
          <w:szCs w:val="23"/>
        </w:rPr>
        <w:t xml:space="preserve">, </w:t>
      </w:r>
      <w:proofErr w:type="spellStart"/>
      <w:r w:rsidRPr="009A348C">
        <w:rPr>
          <w:rFonts w:asciiTheme="minorBidi" w:hAnsiTheme="minorBidi" w:cstheme="minorBidi"/>
          <w:sz w:val="23"/>
          <w:szCs w:val="23"/>
        </w:rPr>
        <w:t>Holmes.D</w:t>
      </w:r>
      <w:proofErr w:type="spellEnd"/>
      <w:r w:rsidRPr="009A348C">
        <w:rPr>
          <w:rFonts w:asciiTheme="minorBidi" w:hAnsiTheme="minorBidi" w:cstheme="minorBidi"/>
          <w:sz w:val="23"/>
          <w:szCs w:val="23"/>
        </w:rPr>
        <w:t>, (2020) ‘Researcher Positionality - A Consideration of Its Influence and Place in Qualitative Research - A New Researcher Guide</w:t>
      </w:r>
      <w:r w:rsidRPr="009A348C">
        <w:rPr>
          <w:rFonts w:asciiTheme="minorBidi" w:hAnsiTheme="minorBidi" w:cstheme="minorBidi"/>
          <w:i/>
          <w:iCs/>
          <w:sz w:val="23"/>
          <w:szCs w:val="23"/>
        </w:rPr>
        <w:t>.’</w:t>
      </w:r>
      <w:r w:rsidRPr="009A348C">
        <w:rPr>
          <w:rFonts w:asciiTheme="minorBidi" w:hAnsiTheme="minorBidi" w:cstheme="minorBidi"/>
          <w:sz w:val="23"/>
          <w:szCs w:val="23"/>
        </w:rPr>
        <w:t xml:space="preserve"> </w:t>
      </w:r>
      <w:proofErr w:type="spellStart"/>
      <w:r w:rsidRPr="009A348C">
        <w:rPr>
          <w:rFonts w:asciiTheme="minorBidi" w:hAnsiTheme="minorBidi" w:cstheme="minorBidi"/>
          <w:i/>
          <w:iCs/>
          <w:sz w:val="23"/>
          <w:szCs w:val="23"/>
        </w:rPr>
        <w:t>Shanlax</w:t>
      </w:r>
      <w:proofErr w:type="spellEnd"/>
      <w:r w:rsidRPr="009A348C">
        <w:rPr>
          <w:rFonts w:asciiTheme="minorBidi" w:hAnsiTheme="minorBidi" w:cstheme="minorBidi"/>
          <w:i/>
          <w:iCs/>
          <w:sz w:val="23"/>
          <w:szCs w:val="23"/>
        </w:rPr>
        <w:t xml:space="preserve"> International Journal of Education</w:t>
      </w:r>
      <w:r w:rsidRPr="009A348C">
        <w:rPr>
          <w:rFonts w:asciiTheme="minorBidi" w:hAnsiTheme="minorBidi" w:cstheme="minorBidi"/>
          <w:sz w:val="23"/>
          <w:szCs w:val="23"/>
        </w:rPr>
        <w:t xml:space="preserve">, vol. 8, no. 4, 2020, pp. 1-10. Available at DOI: https://doi.org/10.34293/ </w:t>
      </w:r>
      <w:proofErr w:type="gramStart"/>
      <w:r w:rsidRPr="009A348C">
        <w:rPr>
          <w:rFonts w:asciiTheme="minorBidi" w:hAnsiTheme="minorBidi" w:cstheme="minorBidi"/>
          <w:sz w:val="23"/>
          <w:szCs w:val="23"/>
        </w:rPr>
        <w:t>education.v</w:t>
      </w:r>
      <w:proofErr w:type="gramEnd"/>
      <w:r w:rsidRPr="009A348C">
        <w:rPr>
          <w:rFonts w:asciiTheme="minorBidi" w:hAnsiTheme="minorBidi" w:cstheme="minorBidi"/>
          <w:sz w:val="23"/>
          <w:szCs w:val="23"/>
        </w:rPr>
        <w:t>8i4.3232</w:t>
      </w:r>
    </w:p>
    <w:p w14:paraId="538E2F47" w14:textId="77777777" w:rsidR="00A32887" w:rsidRPr="009A348C" w:rsidRDefault="00A32887" w:rsidP="00A32887">
      <w:pPr>
        <w:pStyle w:val="NormalWeb"/>
        <w:shd w:val="clear" w:color="auto" w:fill="FFFFFF"/>
        <w:spacing w:line="360" w:lineRule="auto"/>
        <w:rPr>
          <w:rFonts w:asciiTheme="minorBidi" w:hAnsiTheme="minorBidi" w:cstheme="minorBidi"/>
          <w:sz w:val="23"/>
          <w:szCs w:val="23"/>
        </w:rPr>
      </w:pPr>
    </w:p>
    <w:p w14:paraId="10B8883E" w14:textId="77777777" w:rsidR="00A32887" w:rsidRPr="009A348C" w:rsidRDefault="00A32887" w:rsidP="00A32887">
      <w:pPr>
        <w:pStyle w:val="NormalWeb"/>
        <w:shd w:val="clear" w:color="auto" w:fill="FFFFFF"/>
        <w:spacing w:line="360" w:lineRule="auto"/>
        <w:rPr>
          <w:rFonts w:asciiTheme="minorBidi" w:hAnsiTheme="minorBidi" w:cstheme="minorBidi"/>
          <w:color w:val="222222"/>
          <w:sz w:val="23"/>
          <w:szCs w:val="23"/>
          <w:shd w:val="clear" w:color="auto" w:fill="FFFFFF"/>
        </w:rPr>
      </w:pPr>
      <w:r w:rsidRPr="009A348C">
        <w:rPr>
          <w:rFonts w:asciiTheme="minorBidi" w:hAnsiTheme="minorBidi" w:cstheme="minorBidi"/>
          <w:color w:val="222222"/>
          <w:sz w:val="23"/>
          <w:szCs w:val="23"/>
          <w:shd w:val="clear" w:color="auto" w:fill="FFFFFF"/>
        </w:rPr>
        <w:t xml:space="preserve">Gerring, J. (2007) </w:t>
      </w:r>
      <w:r w:rsidRPr="009A348C">
        <w:rPr>
          <w:rFonts w:asciiTheme="minorBidi" w:hAnsiTheme="minorBidi" w:cstheme="minorBidi"/>
          <w:i/>
          <w:iCs/>
          <w:color w:val="222222"/>
          <w:sz w:val="23"/>
          <w:szCs w:val="23"/>
          <w:shd w:val="clear" w:color="auto" w:fill="FFFFFF"/>
        </w:rPr>
        <w:t xml:space="preserve">Case study research: principles and practices. </w:t>
      </w:r>
      <w:r w:rsidRPr="009A348C">
        <w:rPr>
          <w:rFonts w:asciiTheme="minorBidi" w:hAnsiTheme="minorBidi" w:cstheme="minorBidi"/>
          <w:color w:val="222222"/>
          <w:sz w:val="23"/>
          <w:szCs w:val="23"/>
          <w:shd w:val="clear" w:color="auto" w:fill="FFFFFF"/>
        </w:rPr>
        <w:t xml:space="preserve">Cambridge: Cambridge university press. </w:t>
      </w:r>
    </w:p>
    <w:p w14:paraId="124F7703" w14:textId="77777777" w:rsidR="00A32887" w:rsidRPr="009A348C" w:rsidRDefault="00A32887" w:rsidP="00A32887">
      <w:pPr>
        <w:rPr>
          <w:rFonts w:asciiTheme="minorBidi" w:hAnsiTheme="minorBidi"/>
          <w:color w:val="222222"/>
          <w:sz w:val="23"/>
          <w:szCs w:val="23"/>
          <w:shd w:val="clear" w:color="auto" w:fill="FFFFFF"/>
        </w:rPr>
      </w:pPr>
    </w:p>
    <w:p w14:paraId="0D956251" w14:textId="77777777" w:rsidR="00A32887" w:rsidRPr="009A348C" w:rsidRDefault="00A32887" w:rsidP="00A32887">
      <w:pPr>
        <w:shd w:val="clear" w:color="auto" w:fill="FFFFFF"/>
        <w:rPr>
          <w:rStyle w:val="doi"/>
          <w:rFonts w:asciiTheme="minorBidi" w:hAnsiTheme="minorBidi"/>
          <w:color w:val="212121"/>
          <w:sz w:val="23"/>
          <w:szCs w:val="23"/>
          <w:shd w:val="clear" w:color="auto" w:fill="FFFFFF"/>
        </w:rPr>
      </w:pPr>
      <w:proofErr w:type="spellStart"/>
      <w:r w:rsidRPr="009A348C">
        <w:rPr>
          <w:rFonts w:asciiTheme="minorBidi" w:hAnsiTheme="minorBidi"/>
          <w:color w:val="222222"/>
          <w:sz w:val="23"/>
          <w:szCs w:val="23"/>
          <w:shd w:val="clear" w:color="auto" w:fill="FFFFFF"/>
        </w:rPr>
        <w:t>Grazino</w:t>
      </w:r>
      <w:proofErr w:type="spellEnd"/>
      <w:r w:rsidRPr="009A348C">
        <w:rPr>
          <w:rFonts w:asciiTheme="minorBidi" w:hAnsiTheme="minorBidi"/>
          <w:color w:val="222222"/>
          <w:sz w:val="23"/>
          <w:szCs w:val="23"/>
          <w:shd w:val="clear" w:color="auto" w:fill="FFFFFF"/>
        </w:rPr>
        <w:t xml:space="preserve">, A.P, Reavis, R.D, Keane, S.P &amp; Calkins, S.D (2007) ‘The role of emotion regulation and children’s early academic success.’ </w:t>
      </w:r>
      <w:r w:rsidRPr="009A348C">
        <w:rPr>
          <w:rFonts w:asciiTheme="minorBidi" w:hAnsiTheme="minorBidi"/>
          <w:i/>
          <w:iCs/>
          <w:color w:val="212121"/>
          <w:sz w:val="23"/>
          <w:szCs w:val="23"/>
          <w:shd w:val="clear" w:color="auto" w:fill="FFFFFF"/>
        </w:rPr>
        <w:t xml:space="preserve">Journal of School Psychology, </w:t>
      </w:r>
      <w:r w:rsidRPr="009A348C">
        <w:rPr>
          <w:rFonts w:asciiTheme="minorBidi" w:hAnsiTheme="minorBidi"/>
          <w:color w:val="212121"/>
          <w:sz w:val="23"/>
          <w:szCs w:val="23"/>
        </w:rPr>
        <w:t>45(1): 3–19. Available at DOI:</w:t>
      </w:r>
      <w:r w:rsidRPr="009A348C">
        <w:rPr>
          <w:rStyle w:val="doi"/>
          <w:rFonts w:asciiTheme="minorBidi" w:hAnsiTheme="minorBidi"/>
          <w:color w:val="212121"/>
          <w:sz w:val="23"/>
          <w:szCs w:val="23"/>
          <w:shd w:val="clear" w:color="auto" w:fill="FFFFFF"/>
        </w:rPr>
        <w:t> </w:t>
      </w:r>
      <w:hyperlink r:id="rId23" w:tgtFrame="_blank" w:history="1">
        <w:r w:rsidRPr="009A348C">
          <w:rPr>
            <w:rStyle w:val="Hyperlink"/>
            <w:rFonts w:asciiTheme="minorBidi" w:hAnsiTheme="minorBidi"/>
            <w:color w:val="205493"/>
            <w:sz w:val="23"/>
            <w:szCs w:val="23"/>
          </w:rPr>
          <w:t>10.1016/j.jsp.2006.09.002</w:t>
        </w:r>
      </w:hyperlink>
    </w:p>
    <w:p w14:paraId="36E9880E" w14:textId="77777777" w:rsidR="00A32887" w:rsidRPr="009A348C" w:rsidRDefault="00A32887" w:rsidP="00A32887">
      <w:pPr>
        <w:spacing w:line="360" w:lineRule="auto"/>
        <w:rPr>
          <w:rFonts w:asciiTheme="minorBidi" w:hAnsiTheme="minorBidi"/>
          <w:sz w:val="23"/>
          <w:szCs w:val="23"/>
        </w:rPr>
      </w:pPr>
    </w:p>
    <w:p w14:paraId="381557A1" w14:textId="77777777" w:rsidR="00A32887" w:rsidRPr="009A348C" w:rsidRDefault="00A32887" w:rsidP="00A32887">
      <w:pPr>
        <w:shd w:val="clear" w:color="auto" w:fill="FFFFFF"/>
        <w:spacing w:after="0" w:line="240" w:lineRule="auto"/>
        <w:rPr>
          <w:rFonts w:asciiTheme="minorBidi" w:eastAsia="Times New Roman" w:hAnsiTheme="minorBidi"/>
          <w:color w:val="333333"/>
          <w:kern w:val="0"/>
          <w:sz w:val="23"/>
          <w:szCs w:val="23"/>
          <w:lang w:eastAsia="en-GB"/>
          <w14:ligatures w14:val="none"/>
        </w:rPr>
      </w:pPr>
      <w:proofErr w:type="spellStart"/>
      <w:r w:rsidRPr="009A348C">
        <w:rPr>
          <w:rFonts w:asciiTheme="minorBidi" w:eastAsia="Times New Roman" w:hAnsiTheme="minorBidi"/>
          <w:color w:val="333333"/>
          <w:kern w:val="0"/>
          <w:sz w:val="23"/>
          <w:szCs w:val="23"/>
          <w:lang w:eastAsia="en-GB"/>
          <w14:ligatures w14:val="none"/>
        </w:rPr>
        <w:lastRenderedPageBreak/>
        <w:t>Kuyken</w:t>
      </w:r>
      <w:proofErr w:type="spellEnd"/>
      <w:r w:rsidRPr="009A348C">
        <w:rPr>
          <w:rFonts w:asciiTheme="minorBidi" w:eastAsia="Times New Roman" w:hAnsiTheme="minorBidi"/>
          <w:color w:val="333333"/>
          <w:kern w:val="0"/>
          <w:sz w:val="23"/>
          <w:szCs w:val="23"/>
          <w:lang w:eastAsia="en-GB"/>
          <w14:ligatures w14:val="none"/>
        </w:rPr>
        <w:t> W, Ball S, Crane C</w:t>
      </w:r>
      <w:r w:rsidRPr="009A348C">
        <w:rPr>
          <w:rFonts w:asciiTheme="minorBidi" w:eastAsia="Times New Roman" w:hAnsiTheme="minorBidi"/>
          <w:i/>
          <w:iCs/>
          <w:color w:val="333333"/>
          <w:kern w:val="0"/>
          <w:sz w:val="23"/>
          <w:szCs w:val="23"/>
          <w:lang w:eastAsia="en-GB"/>
          <w14:ligatures w14:val="none"/>
        </w:rPr>
        <w:t xml:space="preserve">, et al </w:t>
      </w:r>
      <w:r w:rsidRPr="009A348C">
        <w:rPr>
          <w:rFonts w:asciiTheme="minorBidi" w:eastAsia="Times New Roman" w:hAnsiTheme="minorBidi"/>
          <w:color w:val="333333"/>
          <w:kern w:val="0"/>
          <w:sz w:val="23"/>
          <w:szCs w:val="23"/>
          <w:lang w:eastAsia="en-GB"/>
          <w14:ligatures w14:val="none"/>
        </w:rPr>
        <w:t>(2022), ‘Effectiveness and cost-effectiveness of universal school-based mindfulness training compared with normal school provision in reducing risk of mental health problems and promoting well-being in adolescence: the MYRIAD cluster randomised controlled trial’,</w:t>
      </w:r>
    </w:p>
    <w:p w14:paraId="25CF8D76" w14:textId="77777777" w:rsidR="00A32887" w:rsidRPr="009A348C" w:rsidRDefault="00A32887" w:rsidP="00A32887">
      <w:pPr>
        <w:shd w:val="clear" w:color="auto" w:fill="FFFFFF"/>
        <w:spacing w:after="0" w:line="240" w:lineRule="auto"/>
        <w:rPr>
          <w:rFonts w:asciiTheme="minorBidi" w:eastAsia="Times New Roman" w:hAnsiTheme="minorBidi"/>
          <w:color w:val="333333"/>
          <w:kern w:val="0"/>
          <w:sz w:val="23"/>
          <w:szCs w:val="23"/>
          <w:lang w:eastAsia="en-GB"/>
          <w14:ligatures w14:val="none"/>
        </w:rPr>
      </w:pPr>
      <w:r w:rsidRPr="009A348C">
        <w:rPr>
          <w:rFonts w:asciiTheme="minorBidi" w:eastAsia="Times New Roman" w:hAnsiTheme="minorBidi"/>
          <w:i/>
          <w:iCs/>
          <w:color w:val="333333"/>
          <w:kern w:val="0"/>
          <w:sz w:val="23"/>
          <w:szCs w:val="23"/>
          <w:lang w:eastAsia="en-GB"/>
          <w14:ligatures w14:val="none"/>
        </w:rPr>
        <w:t>BMJ Ment Health </w:t>
      </w:r>
      <w:proofErr w:type="gramStart"/>
      <w:r w:rsidRPr="009A348C">
        <w:rPr>
          <w:rFonts w:asciiTheme="minorBidi" w:eastAsia="Times New Roman" w:hAnsiTheme="minorBidi"/>
          <w:color w:val="333333"/>
          <w:kern w:val="0"/>
          <w:sz w:val="23"/>
          <w:szCs w:val="23"/>
          <w:lang w:eastAsia="en-GB"/>
          <w14:ligatures w14:val="none"/>
        </w:rPr>
        <w:t>2022;</w:t>
      </w:r>
      <w:r w:rsidRPr="009A348C">
        <w:rPr>
          <w:rFonts w:asciiTheme="minorBidi" w:eastAsia="Times New Roman" w:hAnsiTheme="minorBidi"/>
          <w:b/>
          <w:bCs/>
          <w:color w:val="333333"/>
          <w:kern w:val="0"/>
          <w:sz w:val="23"/>
          <w:szCs w:val="23"/>
          <w:lang w:eastAsia="en-GB"/>
          <w14:ligatures w14:val="none"/>
        </w:rPr>
        <w:t>25:</w:t>
      </w:r>
      <w:r w:rsidRPr="009A348C">
        <w:rPr>
          <w:rFonts w:asciiTheme="minorBidi" w:eastAsia="Times New Roman" w:hAnsiTheme="minorBidi"/>
          <w:color w:val="333333"/>
          <w:kern w:val="0"/>
          <w:sz w:val="23"/>
          <w:szCs w:val="23"/>
          <w:lang w:eastAsia="en-GB"/>
          <w14:ligatures w14:val="none"/>
        </w:rPr>
        <w:t>99</w:t>
      </w:r>
      <w:proofErr w:type="gramEnd"/>
      <w:r w:rsidRPr="009A348C">
        <w:rPr>
          <w:rFonts w:asciiTheme="minorBidi" w:eastAsia="Times New Roman" w:hAnsiTheme="minorBidi"/>
          <w:color w:val="333333"/>
          <w:kern w:val="0"/>
          <w:sz w:val="23"/>
          <w:szCs w:val="23"/>
          <w:lang w:eastAsia="en-GB"/>
          <w14:ligatures w14:val="none"/>
        </w:rPr>
        <w:t xml:space="preserve">-109. Available at DOI: </w:t>
      </w:r>
      <w:r w:rsidRPr="009A348C">
        <w:rPr>
          <w:rFonts w:asciiTheme="minorBidi" w:hAnsiTheme="minorBidi"/>
          <w:color w:val="212121"/>
          <w:sz w:val="23"/>
          <w:szCs w:val="23"/>
          <w:shd w:val="clear" w:color="auto" w:fill="FFFFFF"/>
        </w:rPr>
        <w:t>10.1136/ebmental-2021-300396.</w:t>
      </w:r>
    </w:p>
    <w:p w14:paraId="2672B6C5" w14:textId="77777777" w:rsidR="00A32887" w:rsidRPr="009A348C" w:rsidRDefault="00A32887" w:rsidP="00A32887">
      <w:pPr>
        <w:spacing w:line="360" w:lineRule="auto"/>
        <w:rPr>
          <w:rFonts w:asciiTheme="minorBidi" w:hAnsiTheme="minorBidi"/>
          <w:sz w:val="23"/>
          <w:szCs w:val="23"/>
        </w:rPr>
      </w:pPr>
    </w:p>
    <w:p w14:paraId="19DA614F" w14:textId="77777777" w:rsidR="00A32887" w:rsidRPr="009A348C" w:rsidRDefault="00A32887" w:rsidP="00A32887">
      <w:pPr>
        <w:shd w:val="clear" w:color="auto" w:fill="FFFFFF"/>
        <w:spacing w:line="360" w:lineRule="auto"/>
        <w:rPr>
          <w:rFonts w:asciiTheme="minorBidi" w:hAnsiTheme="minorBidi"/>
          <w:color w:val="222222"/>
          <w:sz w:val="23"/>
          <w:szCs w:val="23"/>
          <w:shd w:val="clear" w:color="auto" w:fill="FFFFFF"/>
        </w:rPr>
      </w:pPr>
      <w:r w:rsidRPr="009A348C">
        <w:rPr>
          <w:rFonts w:asciiTheme="minorBidi" w:hAnsiTheme="minorBidi"/>
          <w:color w:val="222222"/>
          <w:sz w:val="23"/>
          <w:szCs w:val="23"/>
          <w:shd w:val="clear" w:color="auto" w:fill="FFFFFF"/>
        </w:rPr>
        <w:t>Lawson HA, Lawson MA. (2020) ‘Student Engagement and Disengagement as a Collective Action Problem.’ </w:t>
      </w:r>
      <w:r w:rsidRPr="009A348C">
        <w:rPr>
          <w:rStyle w:val="Emphasis"/>
          <w:rFonts w:asciiTheme="minorBidi" w:hAnsiTheme="minorBidi"/>
          <w:color w:val="222222"/>
          <w:sz w:val="23"/>
          <w:szCs w:val="23"/>
          <w:shd w:val="clear" w:color="auto" w:fill="FFFFFF"/>
        </w:rPr>
        <w:t>Education Sciences</w:t>
      </w:r>
      <w:r w:rsidRPr="009A348C">
        <w:rPr>
          <w:rFonts w:asciiTheme="minorBidi" w:hAnsiTheme="minorBidi"/>
          <w:color w:val="222222"/>
          <w:sz w:val="23"/>
          <w:szCs w:val="23"/>
          <w:shd w:val="clear" w:color="auto" w:fill="FFFFFF"/>
        </w:rPr>
        <w:t xml:space="preserve">. 2020; 10(8):212. Available at: </w:t>
      </w:r>
      <w:hyperlink r:id="rId24" w:history="1">
        <w:r w:rsidRPr="009A348C">
          <w:rPr>
            <w:rStyle w:val="Hyperlink"/>
            <w:rFonts w:asciiTheme="minorBidi" w:hAnsiTheme="minorBidi"/>
            <w:sz w:val="23"/>
            <w:szCs w:val="23"/>
            <w:shd w:val="clear" w:color="auto" w:fill="FFFFFF"/>
          </w:rPr>
          <w:t>https://doi.org/10.3390/educsci10080212</w:t>
        </w:r>
      </w:hyperlink>
      <w:r w:rsidRPr="009A348C">
        <w:rPr>
          <w:rFonts w:asciiTheme="minorBidi" w:hAnsiTheme="minorBidi"/>
          <w:color w:val="222222"/>
          <w:sz w:val="23"/>
          <w:szCs w:val="23"/>
          <w:shd w:val="clear" w:color="auto" w:fill="FFFFFF"/>
        </w:rPr>
        <w:t xml:space="preserve"> (Accessed April 2024) </w:t>
      </w:r>
    </w:p>
    <w:p w14:paraId="69D3E0F3" w14:textId="77777777" w:rsidR="00A32887" w:rsidRPr="009A348C" w:rsidRDefault="00A32887" w:rsidP="00A32887">
      <w:pPr>
        <w:spacing w:line="360" w:lineRule="auto"/>
        <w:rPr>
          <w:rFonts w:asciiTheme="minorBidi" w:hAnsiTheme="minorBidi"/>
          <w:sz w:val="23"/>
          <w:szCs w:val="23"/>
        </w:rPr>
      </w:pPr>
    </w:p>
    <w:p w14:paraId="0069AE89" w14:textId="77777777" w:rsidR="00A32887" w:rsidRPr="009A348C" w:rsidRDefault="00A32887" w:rsidP="00A32887">
      <w:pPr>
        <w:rPr>
          <w:rFonts w:asciiTheme="minorBidi" w:eastAsia="Times New Roman" w:hAnsiTheme="minorBidi"/>
          <w:color w:val="000000"/>
          <w:kern w:val="0"/>
          <w:sz w:val="23"/>
          <w:szCs w:val="23"/>
          <w:lang w:eastAsia="en-GB"/>
          <w14:ligatures w14:val="none"/>
        </w:rPr>
      </w:pPr>
      <w:r w:rsidRPr="009A348C">
        <w:rPr>
          <w:rFonts w:asciiTheme="minorBidi" w:hAnsiTheme="minorBidi"/>
          <w:color w:val="333333"/>
          <w:sz w:val="23"/>
          <w:szCs w:val="23"/>
          <w:shd w:val="clear" w:color="auto" w:fill="FFFFFF"/>
        </w:rPr>
        <w:t>Merriam, S. B. (1988). </w:t>
      </w:r>
      <w:r w:rsidRPr="009A348C">
        <w:rPr>
          <w:rStyle w:val="Emphasis"/>
          <w:rFonts w:asciiTheme="minorBidi" w:hAnsiTheme="minorBidi"/>
          <w:color w:val="333333"/>
          <w:sz w:val="23"/>
          <w:szCs w:val="23"/>
          <w:shd w:val="clear" w:color="auto" w:fill="FFFFFF"/>
        </w:rPr>
        <w:t>Case study research in education: A qualitative approach.</w:t>
      </w:r>
      <w:r w:rsidRPr="009A348C">
        <w:rPr>
          <w:rFonts w:asciiTheme="minorBidi" w:hAnsiTheme="minorBidi"/>
          <w:color w:val="333333"/>
          <w:sz w:val="23"/>
          <w:szCs w:val="23"/>
          <w:shd w:val="clear" w:color="auto" w:fill="FFFFFF"/>
        </w:rPr>
        <w:t> </w:t>
      </w:r>
      <w:r w:rsidRPr="009A348C">
        <w:rPr>
          <w:rFonts w:asciiTheme="minorBidi" w:eastAsia="Times New Roman" w:hAnsiTheme="minorBidi"/>
          <w:color w:val="000000"/>
          <w:kern w:val="0"/>
          <w:sz w:val="23"/>
          <w:szCs w:val="23"/>
          <w:lang w:eastAsia="en-GB"/>
          <w14:ligatures w14:val="none"/>
        </w:rPr>
        <w:t xml:space="preserve">San </w:t>
      </w:r>
      <w:proofErr w:type="gramStart"/>
      <w:r w:rsidRPr="009A348C">
        <w:rPr>
          <w:rFonts w:asciiTheme="minorBidi" w:eastAsia="Times New Roman" w:hAnsiTheme="minorBidi"/>
          <w:color w:val="000000"/>
          <w:kern w:val="0"/>
          <w:sz w:val="23"/>
          <w:szCs w:val="23"/>
          <w:lang w:eastAsia="en-GB"/>
          <w14:ligatures w14:val="none"/>
        </w:rPr>
        <w:t>Francisco,  CA</w:t>
      </w:r>
      <w:proofErr w:type="gramEnd"/>
      <w:r w:rsidRPr="009A348C">
        <w:rPr>
          <w:rFonts w:asciiTheme="minorBidi" w:eastAsia="Times New Roman" w:hAnsiTheme="minorBidi"/>
          <w:color w:val="000000"/>
          <w:kern w:val="0"/>
          <w:sz w:val="23"/>
          <w:szCs w:val="23"/>
          <w:lang w:eastAsia="en-GB"/>
          <w14:ligatures w14:val="none"/>
        </w:rPr>
        <w:t xml:space="preserve">,  US: </w:t>
      </w:r>
      <w:r w:rsidRPr="009A348C">
        <w:rPr>
          <w:rFonts w:asciiTheme="minorBidi" w:hAnsiTheme="minorBidi"/>
          <w:color w:val="333333"/>
          <w:sz w:val="23"/>
          <w:szCs w:val="23"/>
          <w:shd w:val="clear" w:color="auto" w:fill="FFFFFF"/>
        </w:rPr>
        <w:t>Jossey-Bass.</w:t>
      </w:r>
    </w:p>
    <w:p w14:paraId="71597297" w14:textId="77777777" w:rsidR="00A32887" w:rsidRPr="009A348C" w:rsidRDefault="00A32887" w:rsidP="00A32887">
      <w:pPr>
        <w:spacing w:line="360" w:lineRule="auto"/>
        <w:rPr>
          <w:rFonts w:asciiTheme="minorBidi" w:hAnsiTheme="minorBidi"/>
          <w:sz w:val="23"/>
          <w:szCs w:val="23"/>
        </w:rPr>
      </w:pPr>
    </w:p>
    <w:p w14:paraId="0F8E0D3C" w14:textId="77777777" w:rsidR="00A32887" w:rsidRPr="009A348C" w:rsidRDefault="00A32887" w:rsidP="00A32887">
      <w:pPr>
        <w:spacing w:line="360" w:lineRule="auto"/>
        <w:rPr>
          <w:rFonts w:asciiTheme="minorBidi" w:hAnsiTheme="minorBidi"/>
          <w:sz w:val="23"/>
          <w:szCs w:val="23"/>
        </w:rPr>
      </w:pPr>
      <w:r w:rsidRPr="009A348C">
        <w:rPr>
          <w:rStyle w:val="Strong"/>
          <w:rFonts w:asciiTheme="minorBidi" w:hAnsiTheme="minorBidi"/>
          <w:sz w:val="23"/>
          <w:szCs w:val="23"/>
        </w:rPr>
        <w:t>Mindfulness</w:t>
      </w:r>
      <w:r w:rsidRPr="009A348C">
        <w:rPr>
          <w:rFonts w:asciiTheme="minorBidi" w:hAnsiTheme="minorBidi"/>
          <w:sz w:val="23"/>
          <w:szCs w:val="23"/>
        </w:rPr>
        <w:t xml:space="preserve">. (n.d.). In </w:t>
      </w:r>
      <w:r w:rsidRPr="009A348C">
        <w:rPr>
          <w:rStyle w:val="Strong"/>
          <w:rFonts w:asciiTheme="minorBidi" w:hAnsiTheme="minorBidi"/>
          <w:b w:val="0"/>
          <w:bCs w:val="0"/>
          <w:sz w:val="23"/>
          <w:szCs w:val="23"/>
        </w:rPr>
        <w:t>Oxford Languages</w:t>
      </w:r>
      <w:r w:rsidRPr="009A348C">
        <w:rPr>
          <w:rFonts w:asciiTheme="minorBidi" w:hAnsiTheme="minorBidi"/>
          <w:sz w:val="23"/>
          <w:szCs w:val="23"/>
        </w:rPr>
        <w:t xml:space="preserve">. Accessed May 3, 2024, Google Search: </w:t>
      </w:r>
      <w:hyperlink r:id="rId25" w:history="1">
        <w:r w:rsidRPr="009A348C">
          <w:rPr>
            <w:rStyle w:val="Hyperlink"/>
            <w:rFonts w:asciiTheme="minorBidi" w:hAnsiTheme="minorBidi"/>
            <w:sz w:val="23"/>
            <w:szCs w:val="23"/>
          </w:rPr>
          <w:t>https://www.google.com/search?q=mindfulness+definition&amp;oq=mindfulness+de&amp;gs_lcrp=EgZjaHJvbWUqBwgAEAAYgAQyBwgAEAAYgAQyBwgBEAAYgAQyBggCEEUYOTIMCAMQABgUGIcCGIAEMgcIBBAAGIAEMgcIBRAAGIAEMgYIBhBFGDwyBggHEEUYPagCALACAA&amp;sourceid=chrome&amp;ie=UTF-8</w:t>
        </w:r>
      </w:hyperlink>
      <w:r w:rsidRPr="009A348C">
        <w:rPr>
          <w:rFonts w:asciiTheme="minorBidi" w:hAnsiTheme="minorBidi"/>
          <w:sz w:val="23"/>
          <w:szCs w:val="23"/>
        </w:rPr>
        <w:t>,  (Oxford Languages via Google)</w:t>
      </w:r>
    </w:p>
    <w:p w14:paraId="579E7AC1" w14:textId="77777777" w:rsidR="00A32887" w:rsidRPr="009A348C" w:rsidRDefault="00A32887" w:rsidP="00A32887">
      <w:pPr>
        <w:spacing w:line="360" w:lineRule="auto"/>
        <w:rPr>
          <w:rFonts w:asciiTheme="minorBidi" w:hAnsiTheme="minorBidi"/>
          <w:b/>
          <w:bCs/>
          <w:sz w:val="23"/>
          <w:szCs w:val="23"/>
        </w:rPr>
      </w:pPr>
    </w:p>
    <w:p w14:paraId="75D834A6" w14:textId="77777777" w:rsidR="00A32887" w:rsidRPr="009A348C" w:rsidRDefault="00A32887" w:rsidP="00A32887">
      <w:pPr>
        <w:spacing w:line="360" w:lineRule="auto"/>
        <w:rPr>
          <w:rStyle w:val="Hyperlink"/>
          <w:rFonts w:asciiTheme="minorBidi" w:hAnsiTheme="minorBidi"/>
          <w:sz w:val="23"/>
          <w:szCs w:val="23"/>
          <w:shd w:val="clear" w:color="auto" w:fill="FFFFFF"/>
        </w:rPr>
      </w:pPr>
      <w:r w:rsidRPr="009A348C">
        <w:rPr>
          <w:rFonts w:asciiTheme="minorBidi" w:hAnsiTheme="minorBidi"/>
          <w:color w:val="1F1F1F"/>
          <w:sz w:val="23"/>
          <w:szCs w:val="23"/>
          <w:shd w:val="clear" w:color="auto" w:fill="FFFFFF"/>
        </w:rPr>
        <w:t xml:space="preserve">National </w:t>
      </w:r>
      <w:proofErr w:type="spellStart"/>
      <w:r w:rsidRPr="009A348C">
        <w:rPr>
          <w:rFonts w:asciiTheme="minorBidi" w:hAnsiTheme="minorBidi"/>
          <w:color w:val="1F1F1F"/>
          <w:sz w:val="23"/>
          <w:szCs w:val="23"/>
          <w:shd w:val="clear" w:color="auto" w:fill="FFFFFF"/>
        </w:rPr>
        <w:t>Center</w:t>
      </w:r>
      <w:proofErr w:type="spellEnd"/>
      <w:r w:rsidRPr="009A348C">
        <w:rPr>
          <w:rFonts w:asciiTheme="minorBidi" w:hAnsiTheme="minorBidi"/>
          <w:color w:val="1F1F1F"/>
          <w:sz w:val="23"/>
          <w:szCs w:val="23"/>
          <w:shd w:val="clear" w:color="auto" w:fill="FFFFFF"/>
        </w:rPr>
        <w:t xml:space="preserve"> for Complementary and Integrative Health. (2022) </w:t>
      </w:r>
      <w:r w:rsidRPr="009A348C">
        <w:rPr>
          <w:rFonts w:asciiTheme="minorBidi" w:hAnsiTheme="minorBidi"/>
          <w:i/>
          <w:iCs/>
          <w:color w:val="1F1F1F"/>
          <w:sz w:val="23"/>
          <w:szCs w:val="23"/>
          <w:shd w:val="clear" w:color="auto" w:fill="FFFFFF"/>
        </w:rPr>
        <w:t>Mindfulness: An introduction</w:t>
      </w:r>
      <w:r w:rsidRPr="009A348C">
        <w:rPr>
          <w:rFonts w:asciiTheme="minorBidi" w:hAnsiTheme="minorBidi"/>
          <w:color w:val="1F1F1F"/>
          <w:sz w:val="23"/>
          <w:szCs w:val="23"/>
          <w:shd w:val="clear" w:color="auto" w:fill="FFFFFF"/>
        </w:rPr>
        <w:t xml:space="preserve">. National Institutes of Health (.gov) Available at: </w:t>
      </w:r>
      <w:hyperlink r:id="rId26" w:tgtFrame="_blank" w:history="1">
        <w:r w:rsidRPr="009A348C">
          <w:rPr>
            <w:rStyle w:val="Hyperlink"/>
            <w:rFonts w:asciiTheme="minorBidi" w:hAnsiTheme="minorBidi"/>
            <w:sz w:val="23"/>
            <w:szCs w:val="23"/>
            <w:shd w:val="clear" w:color="auto" w:fill="FFFFFF"/>
          </w:rPr>
          <w:t>https://www.nccih.nih.gov/</w:t>
        </w:r>
      </w:hyperlink>
      <w:r w:rsidRPr="009A348C">
        <w:rPr>
          <w:rStyle w:val="Hyperlink"/>
          <w:rFonts w:asciiTheme="minorBidi" w:hAnsiTheme="minorBidi"/>
          <w:sz w:val="23"/>
          <w:szCs w:val="23"/>
          <w:shd w:val="clear" w:color="auto" w:fill="FFFFFF"/>
        </w:rPr>
        <w:t xml:space="preserve"> </w:t>
      </w:r>
    </w:p>
    <w:p w14:paraId="0268ABC9" w14:textId="77777777" w:rsidR="00A32887" w:rsidRPr="009A348C" w:rsidRDefault="00A32887" w:rsidP="00A32887">
      <w:pPr>
        <w:rPr>
          <w:rFonts w:asciiTheme="minorBidi" w:hAnsiTheme="minorBidi"/>
          <w:sz w:val="23"/>
          <w:szCs w:val="23"/>
        </w:rPr>
      </w:pPr>
    </w:p>
    <w:p w14:paraId="0492EBA8" w14:textId="77777777" w:rsidR="00A32887" w:rsidRPr="009A348C" w:rsidRDefault="00A32887" w:rsidP="00A32887">
      <w:pPr>
        <w:pStyle w:val="NormalWeb"/>
        <w:shd w:val="clear" w:color="auto" w:fill="FFFFFF"/>
        <w:spacing w:line="360" w:lineRule="auto"/>
        <w:rPr>
          <w:rFonts w:asciiTheme="minorBidi" w:eastAsiaTheme="majorEastAsia" w:hAnsiTheme="minorBidi" w:cstheme="minorBidi"/>
          <w:color w:val="006ACC"/>
          <w:sz w:val="23"/>
          <w:szCs w:val="23"/>
          <w:u w:val="single"/>
          <w:shd w:val="clear" w:color="auto" w:fill="FFFFFF"/>
        </w:rPr>
      </w:pPr>
      <w:r w:rsidRPr="009A348C">
        <w:rPr>
          <w:rFonts w:asciiTheme="minorBidi" w:hAnsiTheme="minorBidi" w:cstheme="minorBidi"/>
          <w:color w:val="333333"/>
          <w:sz w:val="23"/>
          <w:szCs w:val="23"/>
          <w:shd w:val="clear" w:color="auto" w:fill="FFFFFF"/>
        </w:rPr>
        <w:t>Patton, K., &amp; Winter, K. (2023). ‘Researcher positionality in eliciting young children’s perspectives.’ </w:t>
      </w:r>
      <w:r w:rsidRPr="009A348C">
        <w:rPr>
          <w:rFonts w:asciiTheme="minorBidi" w:hAnsiTheme="minorBidi" w:cstheme="minorBidi"/>
          <w:i/>
          <w:iCs/>
          <w:color w:val="333333"/>
          <w:sz w:val="23"/>
          <w:szCs w:val="23"/>
          <w:shd w:val="clear" w:color="auto" w:fill="FFFFFF"/>
        </w:rPr>
        <w:t>Journal of Early Childhood Research</w:t>
      </w:r>
      <w:r w:rsidRPr="009A348C">
        <w:rPr>
          <w:rFonts w:asciiTheme="minorBidi" w:hAnsiTheme="minorBidi" w:cstheme="minorBidi"/>
          <w:color w:val="333333"/>
          <w:sz w:val="23"/>
          <w:szCs w:val="23"/>
          <w:shd w:val="clear" w:color="auto" w:fill="FFFFFF"/>
        </w:rPr>
        <w:t>, </w:t>
      </w:r>
      <w:r w:rsidRPr="009A348C">
        <w:rPr>
          <w:rFonts w:asciiTheme="minorBidi" w:hAnsiTheme="minorBidi" w:cstheme="minorBidi"/>
          <w:i/>
          <w:iCs/>
          <w:color w:val="333333"/>
          <w:sz w:val="23"/>
          <w:szCs w:val="23"/>
          <w:shd w:val="clear" w:color="auto" w:fill="FFFFFF"/>
        </w:rPr>
        <w:t>21</w:t>
      </w:r>
      <w:r w:rsidRPr="009A348C">
        <w:rPr>
          <w:rFonts w:asciiTheme="minorBidi" w:hAnsiTheme="minorBidi" w:cstheme="minorBidi"/>
          <w:color w:val="333333"/>
          <w:sz w:val="23"/>
          <w:szCs w:val="23"/>
          <w:shd w:val="clear" w:color="auto" w:fill="FFFFFF"/>
        </w:rPr>
        <w:t xml:space="preserve">(3), 303-313. Available at DOI: </w:t>
      </w:r>
      <w:hyperlink r:id="rId27" w:history="1">
        <w:r w:rsidRPr="009A348C">
          <w:rPr>
            <w:rStyle w:val="Hyperlink"/>
            <w:rFonts w:asciiTheme="minorBidi" w:eastAsiaTheme="majorEastAsia" w:hAnsiTheme="minorBidi" w:cstheme="minorBidi"/>
            <w:sz w:val="23"/>
            <w:szCs w:val="23"/>
            <w:shd w:val="clear" w:color="auto" w:fill="FFFFFF"/>
          </w:rPr>
          <w:t>https://doi.org/10.1177/1476718X221145484</w:t>
        </w:r>
      </w:hyperlink>
    </w:p>
    <w:p w14:paraId="136730E7" w14:textId="77777777" w:rsidR="00A32887" w:rsidRPr="009A348C" w:rsidRDefault="00A32887" w:rsidP="00A32887">
      <w:pPr>
        <w:spacing w:line="360" w:lineRule="auto"/>
        <w:rPr>
          <w:rFonts w:asciiTheme="minorBidi" w:hAnsiTheme="minorBidi"/>
          <w:sz w:val="23"/>
          <w:szCs w:val="23"/>
        </w:rPr>
      </w:pPr>
    </w:p>
    <w:p w14:paraId="78CBC01C"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Punch. K.F, (2009) </w:t>
      </w:r>
      <w:r w:rsidRPr="009A348C">
        <w:rPr>
          <w:rFonts w:asciiTheme="minorBidi" w:hAnsiTheme="minorBidi"/>
          <w:i/>
          <w:iCs/>
          <w:sz w:val="23"/>
          <w:szCs w:val="23"/>
        </w:rPr>
        <w:t>Introduction to Research Methods in Education</w:t>
      </w:r>
      <w:r w:rsidRPr="009A348C">
        <w:rPr>
          <w:rFonts w:asciiTheme="minorBidi" w:hAnsiTheme="minorBidi"/>
          <w:sz w:val="23"/>
          <w:szCs w:val="23"/>
        </w:rPr>
        <w:t>, (1</w:t>
      </w:r>
      <w:r w:rsidRPr="009A348C">
        <w:rPr>
          <w:rFonts w:asciiTheme="minorBidi" w:hAnsiTheme="minorBidi"/>
          <w:sz w:val="23"/>
          <w:szCs w:val="23"/>
          <w:vertAlign w:val="superscript"/>
        </w:rPr>
        <w:t>st</w:t>
      </w:r>
      <w:r w:rsidRPr="009A348C">
        <w:rPr>
          <w:rFonts w:asciiTheme="minorBidi" w:hAnsiTheme="minorBidi"/>
          <w:sz w:val="23"/>
          <w:szCs w:val="23"/>
        </w:rPr>
        <w:t xml:space="preserve"> ed.) London: SAGE Publications. </w:t>
      </w:r>
    </w:p>
    <w:p w14:paraId="3B95D797" w14:textId="77777777" w:rsidR="00A32887" w:rsidRPr="009A348C" w:rsidRDefault="00A32887" w:rsidP="00A32887">
      <w:pPr>
        <w:spacing w:line="360" w:lineRule="auto"/>
        <w:rPr>
          <w:rFonts w:asciiTheme="minorBidi" w:hAnsiTheme="minorBidi"/>
          <w:sz w:val="23"/>
          <w:szCs w:val="23"/>
        </w:rPr>
      </w:pPr>
    </w:p>
    <w:p w14:paraId="7E7C7CD1" w14:textId="77777777" w:rsidR="00A32887" w:rsidRPr="009A348C" w:rsidRDefault="00A32887" w:rsidP="00A32887">
      <w:pPr>
        <w:spacing w:line="360" w:lineRule="auto"/>
        <w:rPr>
          <w:rFonts w:asciiTheme="minorBidi" w:hAnsiTheme="minorBidi"/>
          <w:color w:val="222222"/>
          <w:sz w:val="23"/>
          <w:szCs w:val="23"/>
          <w:shd w:val="clear" w:color="auto" w:fill="FFFFFF"/>
        </w:rPr>
      </w:pPr>
      <w:r w:rsidRPr="00A32887">
        <w:rPr>
          <w:rFonts w:asciiTheme="minorBidi" w:hAnsiTheme="minorBidi"/>
          <w:color w:val="222222"/>
          <w:sz w:val="23"/>
          <w:szCs w:val="23"/>
          <w:shd w:val="clear" w:color="auto" w:fill="FFFFFF"/>
        </w:rPr>
        <w:t xml:space="preserve">Ramos, M.C., </w:t>
      </w:r>
      <w:proofErr w:type="spellStart"/>
      <w:r w:rsidRPr="00A32887">
        <w:rPr>
          <w:rFonts w:asciiTheme="minorBidi" w:hAnsiTheme="minorBidi"/>
          <w:color w:val="222222"/>
          <w:sz w:val="23"/>
          <w:szCs w:val="23"/>
          <w:shd w:val="clear" w:color="auto" w:fill="FFFFFF"/>
        </w:rPr>
        <w:t>Macphee</w:t>
      </w:r>
      <w:proofErr w:type="spellEnd"/>
      <w:r w:rsidRPr="00A32887">
        <w:rPr>
          <w:rFonts w:asciiTheme="minorBidi" w:hAnsiTheme="minorBidi"/>
          <w:color w:val="222222"/>
          <w:sz w:val="23"/>
          <w:szCs w:val="23"/>
          <w:shd w:val="clear" w:color="auto" w:fill="FFFFFF"/>
        </w:rPr>
        <w:t>, F.L., Merrill, B.M. </w:t>
      </w:r>
      <w:r w:rsidRPr="00A32887">
        <w:rPr>
          <w:rFonts w:asciiTheme="minorBidi" w:hAnsiTheme="minorBidi"/>
          <w:i/>
          <w:iCs/>
          <w:color w:val="222222"/>
          <w:sz w:val="23"/>
          <w:szCs w:val="23"/>
          <w:shd w:val="clear" w:color="auto" w:fill="FFFFFF"/>
        </w:rPr>
        <w:t>et al.</w:t>
      </w:r>
      <w:r w:rsidRPr="00A32887">
        <w:rPr>
          <w:rFonts w:asciiTheme="minorBidi" w:hAnsiTheme="minorBidi"/>
          <w:color w:val="222222"/>
          <w:sz w:val="23"/>
          <w:szCs w:val="23"/>
          <w:shd w:val="clear" w:color="auto" w:fill="FFFFFF"/>
        </w:rPr>
        <w:t> </w:t>
      </w:r>
      <w:r w:rsidRPr="009A348C">
        <w:rPr>
          <w:rFonts w:asciiTheme="minorBidi" w:hAnsiTheme="minorBidi"/>
          <w:color w:val="222222"/>
          <w:sz w:val="23"/>
          <w:szCs w:val="23"/>
          <w:shd w:val="clear" w:color="auto" w:fill="FFFFFF"/>
        </w:rPr>
        <w:t xml:space="preserve">(2022) ‘Mindfulness as an Adjunct to </w:t>
      </w:r>
      <w:proofErr w:type="spellStart"/>
      <w:r w:rsidRPr="009A348C">
        <w:rPr>
          <w:rFonts w:asciiTheme="minorBidi" w:hAnsiTheme="minorBidi"/>
          <w:color w:val="222222"/>
          <w:sz w:val="23"/>
          <w:szCs w:val="23"/>
          <w:shd w:val="clear" w:color="auto" w:fill="FFFFFF"/>
        </w:rPr>
        <w:t>Behavior</w:t>
      </w:r>
      <w:proofErr w:type="spellEnd"/>
      <w:r w:rsidRPr="009A348C">
        <w:rPr>
          <w:rFonts w:asciiTheme="minorBidi" w:hAnsiTheme="minorBidi"/>
          <w:color w:val="222222"/>
          <w:sz w:val="23"/>
          <w:szCs w:val="23"/>
          <w:shd w:val="clear" w:color="auto" w:fill="FFFFFF"/>
        </w:rPr>
        <w:t xml:space="preserve"> Modification for Elementary-aged Children with ADHD.’ </w:t>
      </w:r>
      <w:r w:rsidRPr="009A348C">
        <w:rPr>
          <w:rFonts w:asciiTheme="minorBidi" w:hAnsiTheme="minorBidi"/>
          <w:i/>
          <w:iCs/>
          <w:color w:val="222222"/>
          <w:sz w:val="23"/>
          <w:szCs w:val="23"/>
          <w:shd w:val="clear" w:color="auto" w:fill="FFFFFF"/>
        </w:rPr>
        <w:t xml:space="preserve">Res Child </w:t>
      </w:r>
      <w:proofErr w:type="spellStart"/>
      <w:r w:rsidRPr="009A348C">
        <w:rPr>
          <w:rFonts w:asciiTheme="minorBidi" w:hAnsiTheme="minorBidi"/>
          <w:i/>
          <w:iCs/>
          <w:color w:val="222222"/>
          <w:sz w:val="23"/>
          <w:szCs w:val="23"/>
          <w:shd w:val="clear" w:color="auto" w:fill="FFFFFF"/>
        </w:rPr>
        <w:t>Adolesc</w:t>
      </w:r>
      <w:proofErr w:type="spellEnd"/>
      <w:r w:rsidRPr="009A348C">
        <w:rPr>
          <w:rFonts w:asciiTheme="minorBidi" w:hAnsiTheme="minorBidi"/>
          <w:i/>
          <w:iCs/>
          <w:color w:val="222222"/>
          <w:sz w:val="23"/>
          <w:szCs w:val="23"/>
          <w:shd w:val="clear" w:color="auto" w:fill="FFFFFF"/>
        </w:rPr>
        <w:t xml:space="preserve"> </w:t>
      </w:r>
      <w:proofErr w:type="spellStart"/>
      <w:r w:rsidRPr="009A348C">
        <w:rPr>
          <w:rFonts w:asciiTheme="minorBidi" w:hAnsiTheme="minorBidi"/>
          <w:i/>
          <w:iCs/>
          <w:color w:val="222222"/>
          <w:sz w:val="23"/>
          <w:szCs w:val="23"/>
          <w:shd w:val="clear" w:color="auto" w:fill="FFFFFF"/>
        </w:rPr>
        <w:lastRenderedPageBreak/>
        <w:t>Psychopathol</w:t>
      </w:r>
      <w:proofErr w:type="spellEnd"/>
      <w:r w:rsidRPr="009A348C">
        <w:rPr>
          <w:rFonts w:asciiTheme="minorBidi" w:hAnsiTheme="minorBidi"/>
          <w:color w:val="222222"/>
          <w:sz w:val="23"/>
          <w:szCs w:val="23"/>
          <w:shd w:val="clear" w:color="auto" w:fill="FFFFFF"/>
        </w:rPr>
        <w:t> </w:t>
      </w:r>
      <w:r w:rsidRPr="009A348C">
        <w:rPr>
          <w:rFonts w:asciiTheme="minorBidi" w:hAnsiTheme="minorBidi"/>
          <w:b/>
          <w:bCs/>
          <w:color w:val="222222"/>
          <w:sz w:val="23"/>
          <w:szCs w:val="23"/>
          <w:shd w:val="clear" w:color="auto" w:fill="FFFFFF"/>
        </w:rPr>
        <w:t>50</w:t>
      </w:r>
      <w:r w:rsidRPr="009A348C">
        <w:rPr>
          <w:rFonts w:asciiTheme="minorBidi" w:hAnsiTheme="minorBidi"/>
          <w:color w:val="222222"/>
          <w:sz w:val="23"/>
          <w:szCs w:val="23"/>
          <w:shd w:val="clear" w:color="auto" w:fill="FFFFFF"/>
        </w:rPr>
        <w:t xml:space="preserve">, 1573–1588 (2022). Available at DOI: </w:t>
      </w:r>
      <w:hyperlink r:id="rId28" w:history="1">
        <w:r w:rsidRPr="009A348C">
          <w:rPr>
            <w:rStyle w:val="Hyperlink"/>
            <w:rFonts w:asciiTheme="minorBidi" w:hAnsiTheme="minorBidi"/>
            <w:sz w:val="23"/>
            <w:szCs w:val="23"/>
            <w:shd w:val="clear" w:color="auto" w:fill="FFFFFF"/>
          </w:rPr>
          <w:t>https://doi.org/10.1007/s10802-022-00947-9</w:t>
        </w:r>
      </w:hyperlink>
    </w:p>
    <w:p w14:paraId="08CD4A47" w14:textId="77777777" w:rsidR="00A32887" w:rsidRPr="009A348C" w:rsidRDefault="00A32887" w:rsidP="00A32887">
      <w:pPr>
        <w:rPr>
          <w:rFonts w:asciiTheme="minorBidi" w:hAnsiTheme="minorBidi"/>
          <w:sz w:val="23"/>
          <w:szCs w:val="23"/>
        </w:rPr>
      </w:pPr>
    </w:p>
    <w:p w14:paraId="46A72C15" w14:textId="77777777" w:rsidR="00A32887" w:rsidRPr="009A348C" w:rsidRDefault="00A32887" w:rsidP="00A32887">
      <w:pPr>
        <w:rPr>
          <w:rFonts w:asciiTheme="minorBidi" w:hAnsiTheme="minorBidi"/>
          <w:sz w:val="23"/>
          <w:szCs w:val="23"/>
        </w:rPr>
      </w:pPr>
      <w:r w:rsidRPr="009A348C">
        <w:rPr>
          <w:rFonts w:asciiTheme="minorBidi" w:hAnsiTheme="minorBidi"/>
          <w:color w:val="222222"/>
          <w:sz w:val="23"/>
          <w:szCs w:val="23"/>
          <w:shd w:val="clear" w:color="auto" w:fill="FFFFFF"/>
        </w:rPr>
        <w:t>Segal, S.C., Vyas, S.S. &amp; Monson, C.M. (2021) ‘A Systematic Review of Mindfulness-Based Interventions in Low-Income Schools.’ </w:t>
      </w:r>
      <w:r w:rsidRPr="009A348C">
        <w:rPr>
          <w:rFonts w:asciiTheme="minorBidi" w:hAnsiTheme="minorBidi"/>
          <w:i/>
          <w:iCs/>
          <w:color w:val="222222"/>
          <w:sz w:val="23"/>
          <w:szCs w:val="23"/>
          <w:shd w:val="clear" w:color="auto" w:fill="FFFFFF"/>
        </w:rPr>
        <w:t>Mindfulness</w:t>
      </w:r>
      <w:r w:rsidRPr="009A348C">
        <w:rPr>
          <w:rFonts w:asciiTheme="minorBidi" w:hAnsiTheme="minorBidi"/>
          <w:color w:val="222222"/>
          <w:sz w:val="23"/>
          <w:szCs w:val="23"/>
          <w:shd w:val="clear" w:color="auto" w:fill="FFFFFF"/>
        </w:rPr>
        <w:t> </w:t>
      </w:r>
      <w:r w:rsidRPr="009A348C">
        <w:rPr>
          <w:rFonts w:asciiTheme="minorBidi" w:hAnsiTheme="minorBidi"/>
          <w:b/>
          <w:bCs/>
          <w:color w:val="222222"/>
          <w:sz w:val="23"/>
          <w:szCs w:val="23"/>
          <w:shd w:val="clear" w:color="auto" w:fill="FFFFFF"/>
        </w:rPr>
        <w:t>12</w:t>
      </w:r>
      <w:r w:rsidRPr="009A348C">
        <w:rPr>
          <w:rFonts w:asciiTheme="minorBidi" w:hAnsiTheme="minorBidi"/>
          <w:color w:val="222222"/>
          <w:sz w:val="23"/>
          <w:szCs w:val="23"/>
          <w:shd w:val="clear" w:color="auto" w:fill="FFFFFF"/>
        </w:rPr>
        <w:t>, 1316–1331. Available at: DOI: https://doi.org/10.1007/s12671-020-01571-8</w:t>
      </w:r>
    </w:p>
    <w:p w14:paraId="1652F481" w14:textId="77777777" w:rsidR="00A32887" w:rsidRPr="009A348C" w:rsidRDefault="00A32887" w:rsidP="00A32887">
      <w:pPr>
        <w:shd w:val="clear" w:color="auto" w:fill="FFFFFF"/>
        <w:spacing w:before="100" w:beforeAutospacing="1" w:after="0" w:line="360" w:lineRule="auto"/>
        <w:rPr>
          <w:rFonts w:asciiTheme="minorBidi" w:eastAsia="Times New Roman" w:hAnsiTheme="minorBidi"/>
          <w:color w:val="1F1F1F"/>
          <w:kern w:val="0"/>
          <w:sz w:val="23"/>
          <w:szCs w:val="23"/>
          <w:lang w:eastAsia="en-GB"/>
          <w14:ligatures w14:val="none"/>
        </w:rPr>
      </w:pPr>
    </w:p>
    <w:p w14:paraId="077AA84C" w14:textId="77777777" w:rsidR="00A32887" w:rsidRPr="009A348C" w:rsidRDefault="00A32887" w:rsidP="00A32887">
      <w:pPr>
        <w:rPr>
          <w:rFonts w:asciiTheme="minorBidi" w:hAnsiTheme="minorBidi"/>
          <w:sz w:val="23"/>
          <w:szCs w:val="23"/>
        </w:rPr>
      </w:pPr>
      <w:r w:rsidRPr="009A348C">
        <w:rPr>
          <w:rFonts w:asciiTheme="minorBidi" w:eastAsia="Times New Roman" w:hAnsiTheme="minorBidi"/>
          <w:color w:val="1F1F1F"/>
          <w:kern w:val="0"/>
          <w:sz w:val="23"/>
          <w:szCs w:val="23"/>
          <w:lang w:eastAsia="en-GB"/>
          <w14:ligatures w14:val="none"/>
        </w:rPr>
        <w:t xml:space="preserve">Stake, R. E. (1995). </w:t>
      </w:r>
      <w:r w:rsidRPr="009A348C">
        <w:rPr>
          <w:rFonts w:asciiTheme="minorBidi" w:eastAsia="Times New Roman" w:hAnsiTheme="minorBidi"/>
          <w:i/>
          <w:iCs/>
          <w:color w:val="1F1F1F"/>
          <w:kern w:val="0"/>
          <w:sz w:val="23"/>
          <w:szCs w:val="23"/>
          <w:lang w:eastAsia="en-GB"/>
          <w14:ligatures w14:val="none"/>
        </w:rPr>
        <w:t>The art of case study research</w:t>
      </w:r>
      <w:r w:rsidRPr="009A348C">
        <w:rPr>
          <w:rFonts w:asciiTheme="minorBidi" w:eastAsia="Times New Roman" w:hAnsiTheme="minorBidi"/>
          <w:color w:val="1F1F1F"/>
          <w:kern w:val="0"/>
          <w:sz w:val="23"/>
          <w:szCs w:val="23"/>
          <w:lang w:eastAsia="en-GB"/>
          <w14:ligatures w14:val="none"/>
        </w:rPr>
        <w:t>. London: Sage Publications.</w:t>
      </w:r>
    </w:p>
    <w:p w14:paraId="07971E44" w14:textId="77777777" w:rsidR="00A32887" w:rsidRPr="009A348C" w:rsidRDefault="00A32887" w:rsidP="00A32887">
      <w:pPr>
        <w:rPr>
          <w:rFonts w:asciiTheme="minorBidi" w:hAnsiTheme="minorBidi"/>
          <w:color w:val="222222"/>
          <w:sz w:val="23"/>
          <w:szCs w:val="23"/>
          <w:shd w:val="clear" w:color="auto" w:fill="FFFFFF"/>
        </w:rPr>
      </w:pPr>
    </w:p>
    <w:p w14:paraId="4B70C216" w14:textId="77777777" w:rsidR="00A32887" w:rsidRPr="009A348C" w:rsidRDefault="00A32887" w:rsidP="00A32887">
      <w:pPr>
        <w:spacing w:line="360" w:lineRule="auto"/>
        <w:rPr>
          <w:rFonts w:asciiTheme="minorBidi" w:hAnsiTheme="minorBidi"/>
          <w:sz w:val="23"/>
          <w:szCs w:val="23"/>
        </w:rPr>
      </w:pPr>
      <w:r w:rsidRPr="009A348C">
        <w:rPr>
          <w:rFonts w:asciiTheme="minorBidi" w:hAnsiTheme="minorBidi"/>
          <w:sz w:val="23"/>
          <w:szCs w:val="23"/>
        </w:rPr>
        <w:t xml:space="preserve">Welsh Government Website Education Wales. (n.d.). </w:t>
      </w:r>
      <w:r w:rsidRPr="009A348C">
        <w:rPr>
          <w:rFonts w:asciiTheme="minorBidi" w:hAnsiTheme="minorBidi"/>
          <w:i/>
          <w:iCs/>
          <w:sz w:val="23"/>
          <w:szCs w:val="23"/>
        </w:rPr>
        <w:t>Curriculum for Wales: continuing the journey</w:t>
      </w:r>
      <w:r w:rsidRPr="009A348C">
        <w:rPr>
          <w:rFonts w:asciiTheme="minorBidi" w:hAnsiTheme="minorBidi"/>
          <w:sz w:val="23"/>
          <w:szCs w:val="23"/>
        </w:rPr>
        <w:t xml:space="preserve">. Available at : </w:t>
      </w:r>
      <w:hyperlink r:id="rId29" w:tgtFrame="_blank" w:history="1">
        <w:r w:rsidRPr="009A348C">
          <w:rPr>
            <w:rStyle w:val="Hyperlink"/>
            <w:rFonts w:asciiTheme="minorBidi" w:hAnsiTheme="minorBidi"/>
            <w:sz w:val="23"/>
            <w:szCs w:val="23"/>
          </w:rPr>
          <w:t>https://hwb.gov.wales/curriculum-for-wales/curriculum-for-wales-continuing-the-journey/</w:t>
        </w:r>
      </w:hyperlink>
    </w:p>
    <w:p w14:paraId="3FD2A65A" w14:textId="77777777" w:rsidR="00A32887" w:rsidRPr="009A348C" w:rsidRDefault="00A32887" w:rsidP="00A32887">
      <w:pPr>
        <w:shd w:val="clear" w:color="auto" w:fill="FFFFFF"/>
        <w:spacing w:before="100" w:beforeAutospacing="1" w:after="0" w:line="360" w:lineRule="auto"/>
        <w:rPr>
          <w:rFonts w:asciiTheme="minorBidi" w:eastAsia="Times New Roman" w:hAnsiTheme="minorBidi"/>
          <w:color w:val="1F1F1F"/>
          <w:kern w:val="0"/>
          <w:sz w:val="23"/>
          <w:szCs w:val="23"/>
          <w:lang w:eastAsia="en-GB"/>
          <w14:ligatures w14:val="none"/>
        </w:rPr>
      </w:pPr>
      <w:r w:rsidRPr="009A348C">
        <w:rPr>
          <w:rFonts w:asciiTheme="minorBidi" w:eastAsia="Times New Roman" w:hAnsiTheme="minorBidi"/>
          <w:color w:val="1F1F1F"/>
          <w:kern w:val="0"/>
          <w:sz w:val="23"/>
          <w:szCs w:val="23"/>
          <w:lang w:eastAsia="en-GB"/>
          <w14:ligatures w14:val="none"/>
        </w:rPr>
        <w:t>Yazan (2015) ‘</w:t>
      </w:r>
      <w:r w:rsidRPr="009A348C">
        <w:rPr>
          <w:rFonts w:asciiTheme="minorBidi" w:hAnsiTheme="minorBidi"/>
          <w:sz w:val="23"/>
          <w:szCs w:val="23"/>
        </w:rPr>
        <w:t xml:space="preserve">Three Approaches to Case Study Methods in Education: Yin, Merriam, and Stake’. </w:t>
      </w:r>
      <w:r w:rsidRPr="009A348C">
        <w:rPr>
          <w:rFonts w:asciiTheme="minorBidi" w:hAnsiTheme="minorBidi"/>
          <w:i/>
          <w:iCs/>
          <w:sz w:val="23"/>
          <w:szCs w:val="23"/>
        </w:rPr>
        <w:t>The Qualitative Report</w:t>
      </w:r>
      <w:r w:rsidRPr="009A348C">
        <w:rPr>
          <w:rFonts w:asciiTheme="minorBidi" w:hAnsiTheme="minorBidi"/>
          <w:sz w:val="23"/>
          <w:szCs w:val="23"/>
        </w:rPr>
        <w:t xml:space="preserve">, 20(2), 134-152. Available at: </w:t>
      </w:r>
      <w:hyperlink r:id="rId30" w:history="1">
        <w:r w:rsidRPr="009A348C">
          <w:rPr>
            <w:rStyle w:val="Hyperlink"/>
            <w:rFonts w:asciiTheme="minorBidi" w:hAnsiTheme="minorBidi"/>
            <w:sz w:val="23"/>
            <w:szCs w:val="23"/>
          </w:rPr>
          <w:t>http://nsuworks.nova.edu/tqr/vol20/iss2/12</w:t>
        </w:r>
      </w:hyperlink>
      <w:r w:rsidRPr="009A348C">
        <w:rPr>
          <w:rFonts w:asciiTheme="minorBidi" w:hAnsiTheme="minorBidi"/>
          <w:sz w:val="23"/>
          <w:szCs w:val="23"/>
        </w:rPr>
        <w:t xml:space="preserve"> (Accessed: 5.4.24)</w:t>
      </w:r>
    </w:p>
    <w:p w14:paraId="0F4494CD" w14:textId="77777777" w:rsidR="00A32887" w:rsidRPr="009A348C" w:rsidRDefault="00A32887" w:rsidP="00A32887">
      <w:pPr>
        <w:rPr>
          <w:rFonts w:asciiTheme="minorBidi" w:hAnsiTheme="minorBidi"/>
          <w:sz w:val="23"/>
          <w:szCs w:val="23"/>
        </w:rPr>
      </w:pPr>
    </w:p>
    <w:p w14:paraId="1B4E513F" w14:textId="1A029196" w:rsidR="00A53A8F" w:rsidRPr="0099180C" w:rsidRDefault="00A32887" w:rsidP="0099180C">
      <w:pPr>
        <w:spacing w:line="360" w:lineRule="auto"/>
        <w:rPr>
          <w:rFonts w:asciiTheme="minorBidi" w:hAnsiTheme="minorBidi"/>
          <w:b/>
          <w:bCs/>
          <w:sz w:val="23"/>
          <w:szCs w:val="23"/>
        </w:rPr>
      </w:pPr>
      <w:r w:rsidRPr="009A348C">
        <w:rPr>
          <w:rFonts w:asciiTheme="minorBidi" w:eastAsia="Times New Roman" w:hAnsiTheme="minorBidi"/>
          <w:color w:val="1F1F1F"/>
          <w:kern w:val="0"/>
          <w:sz w:val="23"/>
          <w:szCs w:val="23"/>
          <w:lang w:eastAsia="en-GB"/>
          <w14:ligatures w14:val="none"/>
        </w:rPr>
        <w:t xml:space="preserve">Yin, R. K. (2018). </w:t>
      </w:r>
      <w:r w:rsidRPr="009A348C">
        <w:rPr>
          <w:rFonts w:asciiTheme="minorBidi" w:eastAsia="Times New Roman" w:hAnsiTheme="minorBidi"/>
          <w:i/>
          <w:iCs/>
          <w:color w:val="1F1F1F"/>
          <w:kern w:val="0"/>
          <w:sz w:val="23"/>
          <w:szCs w:val="23"/>
          <w:lang w:eastAsia="en-GB"/>
          <w14:ligatures w14:val="none"/>
        </w:rPr>
        <w:t>Case study research and application: Design and methods,</w:t>
      </w:r>
      <w:r w:rsidRPr="009A348C">
        <w:rPr>
          <w:rFonts w:asciiTheme="minorBidi" w:eastAsia="Times New Roman" w:hAnsiTheme="minorBidi"/>
          <w:color w:val="1F1F1F"/>
          <w:kern w:val="0"/>
          <w:sz w:val="23"/>
          <w:szCs w:val="23"/>
          <w:lang w:eastAsia="en-GB"/>
          <w14:ligatures w14:val="none"/>
        </w:rPr>
        <w:t xml:space="preserve"> (6th ed.). London: Sage publications.</w:t>
      </w:r>
    </w:p>
    <w:sectPr w:rsidR="00A53A8F" w:rsidRPr="0099180C" w:rsidSect="00027684">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93EB5" w14:textId="77777777" w:rsidR="00027684" w:rsidRDefault="00027684" w:rsidP="005D7BFE">
      <w:pPr>
        <w:spacing w:after="0" w:line="240" w:lineRule="auto"/>
      </w:pPr>
      <w:r>
        <w:separator/>
      </w:r>
    </w:p>
  </w:endnote>
  <w:endnote w:type="continuationSeparator" w:id="0">
    <w:p w14:paraId="6B67CF9A" w14:textId="77777777" w:rsidR="00027684" w:rsidRDefault="00027684" w:rsidP="005D7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EB489" w14:textId="77777777" w:rsidR="005D7BFE" w:rsidRDefault="005D7BFE">
    <w:pPr>
      <w:pStyle w:val="Footer"/>
    </w:pPr>
  </w:p>
  <w:p w14:paraId="7992D193" w14:textId="77777777" w:rsidR="005D7BFE" w:rsidRDefault="005D7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3BDFF" w14:textId="77777777" w:rsidR="00027684" w:rsidRDefault="00027684" w:rsidP="005D7BFE">
      <w:pPr>
        <w:spacing w:after="0" w:line="240" w:lineRule="auto"/>
      </w:pPr>
      <w:r>
        <w:separator/>
      </w:r>
    </w:p>
  </w:footnote>
  <w:footnote w:type="continuationSeparator" w:id="0">
    <w:p w14:paraId="52628F24" w14:textId="77777777" w:rsidR="00027684" w:rsidRDefault="00027684" w:rsidP="005D7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E2218"/>
    <w:multiLevelType w:val="multilevel"/>
    <w:tmpl w:val="4D5E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50642"/>
    <w:multiLevelType w:val="multilevel"/>
    <w:tmpl w:val="5F0E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C5474"/>
    <w:multiLevelType w:val="multilevel"/>
    <w:tmpl w:val="6E18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13980"/>
    <w:multiLevelType w:val="multilevel"/>
    <w:tmpl w:val="3A10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362B1"/>
    <w:multiLevelType w:val="hybridMultilevel"/>
    <w:tmpl w:val="7480CFFC"/>
    <w:lvl w:ilvl="0" w:tplc="5530A04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21976"/>
    <w:multiLevelType w:val="multilevel"/>
    <w:tmpl w:val="1730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705B2"/>
    <w:multiLevelType w:val="multilevel"/>
    <w:tmpl w:val="7B92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13C04"/>
    <w:multiLevelType w:val="multilevel"/>
    <w:tmpl w:val="3414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9F0AB0"/>
    <w:multiLevelType w:val="multilevel"/>
    <w:tmpl w:val="6526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66CCF"/>
    <w:multiLevelType w:val="multilevel"/>
    <w:tmpl w:val="3B7E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4113D"/>
    <w:multiLevelType w:val="multilevel"/>
    <w:tmpl w:val="0A06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8510F3"/>
    <w:multiLevelType w:val="multilevel"/>
    <w:tmpl w:val="FB22E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7F6414"/>
    <w:multiLevelType w:val="multilevel"/>
    <w:tmpl w:val="4AF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E78B7"/>
    <w:multiLevelType w:val="multilevel"/>
    <w:tmpl w:val="C246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B3984"/>
    <w:multiLevelType w:val="multilevel"/>
    <w:tmpl w:val="6636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D6C5D"/>
    <w:multiLevelType w:val="multilevel"/>
    <w:tmpl w:val="F1FE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E2A03"/>
    <w:multiLevelType w:val="multilevel"/>
    <w:tmpl w:val="D156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E758E"/>
    <w:multiLevelType w:val="multilevel"/>
    <w:tmpl w:val="597E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21AAB"/>
    <w:multiLevelType w:val="multilevel"/>
    <w:tmpl w:val="8518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DC3FBA"/>
    <w:multiLevelType w:val="multilevel"/>
    <w:tmpl w:val="FB88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175EEF"/>
    <w:multiLevelType w:val="multilevel"/>
    <w:tmpl w:val="9358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44236B"/>
    <w:multiLevelType w:val="multilevel"/>
    <w:tmpl w:val="DF8C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716806"/>
    <w:multiLevelType w:val="multilevel"/>
    <w:tmpl w:val="1178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342CB"/>
    <w:multiLevelType w:val="multilevel"/>
    <w:tmpl w:val="7184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A38A5"/>
    <w:multiLevelType w:val="multilevel"/>
    <w:tmpl w:val="98F4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DD71F6"/>
    <w:multiLevelType w:val="multilevel"/>
    <w:tmpl w:val="994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A7234D"/>
    <w:multiLevelType w:val="multilevel"/>
    <w:tmpl w:val="F998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A1785"/>
    <w:multiLevelType w:val="multilevel"/>
    <w:tmpl w:val="DD46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7B3DAF"/>
    <w:multiLevelType w:val="hybridMultilevel"/>
    <w:tmpl w:val="A5F07FB8"/>
    <w:lvl w:ilvl="0" w:tplc="450A0C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8C40EB"/>
    <w:multiLevelType w:val="multilevel"/>
    <w:tmpl w:val="850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209C2"/>
    <w:multiLevelType w:val="multilevel"/>
    <w:tmpl w:val="332A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D3374C"/>
    <w:multiLevelType w:val="multilevel"/>
    <w:tmpl w:val="50C2B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2A42D9"/>
    <w:multiLevelType w:val="multilevel"/>
    <w:tmpl w:val="74DE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FA7915"/>
    <w:multiLevelType w:val="multilevel"/>
    <w:tmpl w:val="CE34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4902C7"/>
    <w:multiLevelType w:val="multilevel"/>
    <w:tmpl w:val="64F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5922E1"/>
    <w:multiLevelType w:val="multilevel"/>
    <w:tmpl w:val="AC38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970C2D"/>
    <w:multiLevelType w:val="multilevel"/>
    <w:tmpl w:val="875C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CB1901"/>
    <w:multiLevelType w:val="hybridMultilevel"/>
    <w:tmpl w:val="76204EC6"/>
    <w:lvl w:ilvl="0" w:tplc="0D025A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7A4C5A"/>
    <w:multiLevelType w:val="multilevel"/>
    <w:tmpl w:val="C89E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B06959"/>
    <w:multiLevelType w:val="hybridMultilevel"/>
    <w:tmpl w:val="7916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753279">
    <w:abstractNumId w:val="18"/>
  </w:num>
  <w:num w:numId="2" w16cid:durableId="571309148">
    <w:abstractNumId w:val="24"/>
  </w:num>
  <w:num w:numId="3" w16cid:durableId="1297181776">
    <w:abstractNumId w:val="39"/>
  </w:num>
  <w:num w:numId="4" w16cid:durableId="704721261">
    <w:abstractNumId w:val="3"/>
  </w:num>
  <w:num w:numId="5" w16cid:durableId="1246761491">
    <w:abstractNumId w:val="1"/>
  </w:num>
  <w:num w:numId="6" w16cid:durableId="617444182">
    <w:abstractNumId w:val="5"/>
  </w:num>
  <w:num w:numId="7" w16cid:durableId="1289584625">
    <w:abstractNumId w:val="34"/>
  </w:num>
  <w:num w:numId="8" w16cid:durableId="494763987">
    <w:abstractNumId w:val="6"/>
  </w:num>
  <w:num w:numId="9" w16cid:durableId="82410311">
    <w:abstractNumId w:val="32"/>
  </w:num>
  <w:num w:numId="10" w16cid:durableId="2106732567">
    <w:abstractNumId w:val="2"/>
  </w:num>
  <w:num w:numId="11" w16cid:durableId="1581908394">
    <w:abstractNumId w:val="29"/>
  </w:num>
  <w:num w:numId="12" w16cid:durableId="1617056687">
    <w:abstractNumId w:val="9"/>
  </w:num>
  <w:num w:numId="13" w16cid:durableId="1146973449">
    <w:abstractNumId w:val="16"/>
  </w:num>
  <w:num w:numId="14" w16cid:durableId="402682733">
    <w:abstractNumId w:val="7"/>
  </w:num>
  <w:num w:numId="15" w16cid:durableId="1425490295">
    <w:abstractNumId w:val="25"/>
  </w:num>
  <w:num w:numId="16" w16cid:durableId="2000767993">
    <w:abstractNumId w:val="33"/>
  </w:num>
  <w:num w:numId="17" w16cid:durableId="600262445">
    <w:abstractNumId w:val="30"/>
  </w:num>
  <w:num w:numId="18" w16cid:durableId="2121215073">
    <w:abstractNumId w:val="14"/>
  </w:num>
  <w:num w:numId="19" w16cid:durableId="294138872">
    <w:abstractNumId w:val="26"/>
  </w:num>
  <w:num w:numId="20" w16cid:durableId="1951162507">
    <w:abstractNumId w:val="36"/>
  </w:num>
  <w:num w:numId="21" w16cid:durableId="46757483">
    <w:abstractNumId w:val="0"/>
  </w:num>
  <w:num w:numId="22" w16cid:durableId="1945192460">
    <w:abstractNumId w:val="21"/>
  </w:num>
  <w:num w:numId="23" w16cid:durableId="1249925451">
    <w:abstractNumId w:val="15"/>
  </w:num>
  <w:num w:numId="24" w16cid:durableId="684785992">
    <w:abstractNumId w:val="31"/>
  </w:num>
  <w:num w:numId="25" w16cid:durableId="2120831251">
    <w:abstractNumId w:val="19"/>
  </w:num>
  <w:num w:numId="26" w16cid:durableId="1333144959">
    <w:abstractNumId w:val="35"/>
  </w:num>
  <w:num w:numId="27" w16cid:durableId="1573586519">
    <w:abstractNumId w:val="8"/>
  </w:num>
  <w:num w:numId="28" w16cid:durableId="125973532">
    <w:abstractNumId w:val="23"/>
  </w:num>
  <w:num w:numId="29" w16cid:durableId="141166193">
    <w:abstractNumId w:val="27"/>
  </w:num>
  <w:num w:numId="30" w16cid:durableId="2145075774">
    <w:abstractNumId w:val="20"/>
  </w:num>
  <w:num w:numId="31" w16cid:durableId="1772429585">
    <w:abstractNumId w:val="17"/>
  </w:num>
  <w:num w:numId="32" w16cid:durableId="2111309972">
    <w:abstractNumId w:val="12"/>
  </w:num>
  <w:num w:numId="33" w16cid:durableId="1324092170">
    <w:abstractNumId w:val="38"/>
  </w:num>
  <w:num w:numId="34" w16cid:durableId="613053020">
    <w:abstractNumId w:val="11"/>
  </w:num>
  <w:num w:numId="35" w16cid:durableId="914166505">
    <w:abstractNumId w:val="4"/>
  </w:num>
  <w:num w:numId="36" w16cid:durableId="1471053638">
    <w:abstractNumId w:val="37"/>
  </w:num>
  <w:num w:numId="37" w16cid:durableId="991177237">
    <w:abstractNumId w:val="28"/>
  </w:num>
  <w:num w:numId="38" w16cid:durableId="1946618427">
    <w:abstractNumId w:val="22"/>
  </w:num>
  <w:num w:numId="39" w16cid:durableId="1521772087">
    <w:abstractNumId w:val="10"/>
  </w:num>
  <w:num w:numId="40" w16cid:durableId="6658649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28A"/>
    <w:rsid w:val="000050A5"/>
    <w:rsid w:val="0000722C"/>
    <w:rsid w:val="0001121C"/>
    <w:rsid w:val="00013C3A"/>
    <w:rsid w:val="0002210F"/>
    <w:rsid w:val="0002220C"/>
    <w:rsid w:val="00022C5F"/>
    <w:rsid w:val="00023E1C"/>
    <w:rsid w:val="00023E2E"/>
    <w:rsid w:val="0002721A"/>
    <w:rsid w:val="00027684"/>
    <w:rsid w:val="0003631B"/>
    <w:rsid w:val="00045592"/>
    <w:rsid w:val="000520A8"/>
    <w:rsid w:val="0005212E"/>
    <w:rsid w:val="0005285B"/>
    <w:rsid w:val="000537D0"/>
    <w:rsid w:val="0005385A"/>
    <w:rsid w:val="0005586C"/>
    <w:rsid w:val="00056E79"/>
    <w:rsid w:val="0006158D"/>
    <w:rsid w:val="00062039"/>
    <w:rsid w:val="00062695"/>
    <w:rsid w:val="000636DD"/>
    <w:rsid w:val="00064BB7"/>
    <w:rsid w:val="000704FF"/>
    <w:rsid w:val="000723BB"/>
    <w:rsid w:val="00073EB4"/>
    <w:rsid w:val="00082E66"/>
    <w:rsid w:val="000852CD"/>
    <w:rsid w:val="00091FD7"/>
    <w:rsid w:val="000938CF"/>
    <w:rsid w:val="00093B72"/>
    <w:rsid w:val="00096D26"/>
    <w:rsid w:val="000A20FF"/>
    <w:rsid w:val="000A5427"/>
    <w:rsid w:val="000A59E5"/>
    <w:rsid w:val="000A639B"/>
    <w:rsid w:val="000B1B2E"/>
    <w:rsid w:val="000B69FB"/>
    <w:rsid w:val="000D0CBB"/>
    <w:rsid w:val="000D4B11"/>
    <w:rsid w:val="000D585D"/>
    <w:rsid w:val="000D7097"/>
    <w:rsid w:val="000E077C"/>
    <w:rsid w:val="000E40B6"/>
    <w:rsid w:val="000F0593"/>
    <w:rsid w:val="000F503E"/>
    <w:rsid w:val="000F62D3"/>
    <w:rsid w:val="000F63CC"/>
    <w:rsid w:val="00101F22"/>
    <w:rsid w:val="00104A71"/>
    <w:rsid w:val="00107514"/>
    <w:rsid w:val="001078A7"/>
    <w:rsid w:val="0011609F"/>
    <w:rsid w:val="001209CE"/>
    <w:rsid w:val="001234E4"/>
    <w:rsid w:val="0012746D"/>
    <w:rsid w:val="00132DD6"/>
    <w:rsid w:val="00133325"/>
    <w:rsid w:val="001443D6"/>
    <w:rsid w:val="00144F0C"/>
    <w:rsid w:val="0014703E"/>
    <w:rsid w:val="00147805"/>
    <w:rsid w:val="001528D6"/>
    <w:rsid w:val="00153FA4"/>
    <w:rsid w:val="0016094D"/>
    <w:rsid w:val="00161D2B"/>
    <w:rsid w:val="0017363F"/>
    <w:rsid w:val="00176EB1"/>
    <w:rsid w:val="00180405"/>
    <w:rsid w:val="00192120"/>
    <w:rsid w:val="001931AB"/>
    <w:rsid w:val="00197C44"/>
    <w:rsid w:val="001A0898"/>
    <w:rsid w:val="001A13AD"/>
    <w:rsid w:val="001A1F69"/>
    <w:rsid w:val="001A47C1"/>
    <w:rsid w:val="001A6012"/>
    <w:rsid w:val="001B03F8"/>
    <w:rsid w:val="001C48DE"/>
    <w:rsid w:val="001D5523"/>
    <w:rsid w:val="001E0332"/>
    <w:rsid w:val="001E1232"/>
    <w:rsid w:val="001F563E"/>
    <w:rsid w:val="001F5F57"/>
    <w:rsid w:val="0020076F"/>
    <w:rsid w:val="00201285"/>
    <w:rsid w:val="00202A4A"/>
    <w:rsid w:val="00206177"/>
    <w:rsid w:val="00211324"/>
    <w:rsid w:val="00213DA9"/>
    <w:rsid w:val="002162E3"/>
    <w:rsid w:val="00236724"/>
    <w:rsid w:val="00237F91"/>
    <w:rsid w:val="002436CD"/>
    <w:rsid w:val="00246A21"/>
    <w:rsid w:val="00250F5D"/>
    <w:rsid w:val="00251905"/>
    <w:rsid w:val="002525C8"/>
    <w:rsid w:val="0025673A"/>
    <w:rsid w:val="00261D1A"/>
    <w:rsid w:val="00265DFD"/>
    <w:rsid w:val="00274B11"/>
    <w:rsid w:val="00276AA3"/>
    <w:rsid w:val="002851D2"/>
    <w:rsid w:val="0028611B"/>
    <w:rsid w:val="00294328"/>
    <w:rsid w:val="00294625"/>
    <w:rsid w:val="00297610"/>
    <w:rsid w:val="002A22A8"/>
    <w:rsid w:val="002A258B"/>
    <w:rsid w:val="002A2E4F"/>
    <w:rsid w:val="002A7C82"/>
    <w:rsid w:val="002B2874"/>
    <w:rsid w:val="002B35DA"/>
    <w:rsid w:val="002B35FD"/>
    <w:rsid w:val="002B4133"/>
    <w:rsid w:val="002C7F26"/>
    <w:rsid w:val="002D146F"/>
    <w:rsid w:val="002D779F"/>
    <w:rsid w:val="002E537B"/>
    <w:rsid w:val="002E7B21"/>
    <w:rsid w:val="002F02AE"/>
    <w:rsid w:val="002F1F3F"/>
    <w:rsid w:val="003021EB"/>
    <w:rsid w:val="0030723E"/>
    <w:rsid w:val="00307948"/>
    <w:rsid w:val="003159F2"/>
    <w:rsid w:val="003257BD"/>
    <w:rsid w:val="00332551"/>
    <w:rsid w:val="003365B4"/>
    <w:rsid w:val="00341F88"/>
    <w:rsid w:val="00347A7E"/>
    <w:rsid w:val="003506CA"/>
    <w:rsid w:val="00354D94"/>
    <w:rsid w:val="00365A1D"/>
    <w:rsid w:val="00366AA2"/>
    <w:rsid w:val="003718D5"/>
    <w:rsid w:val="0037284D"/>
    <w:rsid w:val="003800FA"/>
    <w:rsid w:val="00384848"/>
    <w:rsid w:val="003857C6"/>
    <w:rsid w:val="00385867"/>
    <w:rsid w:val="003A2123"/>
    <w:rsid w:val="003A4F6B"/>
    <w:rsid w:val="003A5DB6"/>
    <w:rsid w:val="003B4F11"/>
    <w:rsid w:val="003B7167"/>
    <w:rsid w:val="003C01E6"/>
    <w:rsid w:val="003C6605"/>
    <w:rsid w:val="003D139A"/>
    <w:rsid w:val="003E0EA0"/>
    <w:rsid w:val="003E272E"/>
    <w:rsid w:val="003E4D3C"/>
    <w:rsid w:val="003F24B9"/>
    <w:rsid w:val="00400468"/>
    <w:rsid w:val="00401C8C"/>
    <w:rsid w:val="004056D4"/>
    <w:rsid w:val="00406EC5"/>
    <w:rsid w:val="00412CD9"/>
    <w:rsid w:val="00424FFD"/>
    <w:rsid w:val="00426AA4"/>
    <w:rsid w:val="00435BFC"/>
    <w:rsid w:val="004414D3"/>
    <w:rsid w:val="00450078"/>
    <w:rsid w:val="00451350"/>
    <w:rsid w:val="00452798"/>
    <w:rsid w:val="00453A52"/>
    <w:rsid w:val="00467390"/>
    <w:rsid w:val="00472DB2"/>
    <w:rsid w:val="00482A74"/>
    <w:rsid w:val="004947C4"/>
    <w:rsid w:val="004963A8"/>
    <w:rsid w:val="00496CDF"/>
    <w:rsid w:val="004A35A1"/>
    <w:rsid w:val="004A3F3D"/>
    <w:rsid w:val="004A740B"/>
    <w:rsid w:val="004A7599"/>
    <w:rsid w:val="004B2F03"/>
    <w:rsid w:val="004B4B48"/>
    <w:rsid w:val="004B4D01"/>
    <w:rsid w:val="004C107D"/>
    <w:rsid w:val="004C1458"/>
    <w:rsid w:val="004C6423"/>
    <w:rsid w:val="004C7000"/>
    <w:rsid w:val="004D39A8"/>
    <w:rsid w:val="004D479F"/>
    <w:rsid w:val="004D6D28"/>
    <w:rsid w:val="004E1B40"/>
    <w:rsid w:val="004E4668"/>
    <w:rsid w:val="004E485B"/>
    <w:rsid w:val="004F67E4"/>
    <w:rsid w:val="00510C1A"/>
    <w:rsid w:val="00511BC3"/>
    <w:rsid w:val="0051529D"/>
    <w:rsid w:val="005159A7"/>
    <w:rsid w:val="00516976"/>
    <w:rsid w:val="00520134"/>
    <w:rsid w:val="00526D5B"/>
    <w:rsid w:val="00534020"/>
    <w:rsid w:val="00536A95"/>
    <w:rsid w:val="005470CB"/>
    <w:rsid w:val="005502ED"/>
    <w:rsid w:val="00554903"/>
    <w:rsid w:val="00561049"/>
    <w:rsid w:val="00565268"/>
    <w:rsid w:val="005665C8"/>
    <w:rsid w:val="0057723D"/>
    <w:rsid w:val="00580A22"/>
    <w:rsid w:val="005817C1"/>
    <w:rsid w:val="00584303"/>
    <w:rsid w:val="0059511E"/>
    <w:rsid w:val="005A12D4"/>
    <w:rsid w:val="005A4B43"/>
    <w:rsid w:val="005A7175"/>
    <w:rsid w:val="005B4857"/>
    <w:rsid w:val="005B660D"/>
    <w:rsid w:val="005C5961"/>
    <w:rsid w:val="005C76B4"/>
    <w:rsid w:val="005D04E1"/>
    <w:rsid w:val="005D0EE3"/>
    <w:rsid w:val="005D7BFE"/>
    <w:rsid w:val="005E1BC0"/>
    <w:rsid w:val="005E7047"/>
    <w:rsid w:val="005F2610"/>
    <w:rsid w:val="005F4224"/>
    <w:rsid w:val="00606F92"/>
    <w:rsid w:val="00611D3D"/>
    <w:rsid w:val="00616DF6"/>
    <w:rsid w:val="0062202F"/>
    <w:rsid w:val="006223BB"/>
    <w:rsid w:val="00634800"/>
    <w:rsid w:val="006356BB"/>
    <w:rsid w:val="0063596B"/>
    <w:rsid w:val="006429C8"/>
    <w:rsid w:val="006444B1"/>
    <w:rsid w:val="0066006D"/>
    <w:rsid w:val="0066182D"/>
    <w:rsid w:val="006643C2"/>
    <w:rsid w:val="00665C5F"/>
    <w:rsid w:val="006711C8"/>
    <w:rsid w:val="00671B2C"/>
    <w:rsid w:val="00677FDD"/>
    <w:rsid w:val="006821E6"/>
    <w:rsid w:val="00685F16"/>
    <w:rsid w:val="00690FA1"/>
    <w:rsid w:val="00691FD0"/>
    <w:rsid w:val="00697C1E"/>
    <w:rsid w:val="006A211E"/>
    <w:rsid w:val="006A2D68"/>
    <w:rsid w:val="006A4B01"/>
    <w:rsid w:val="006A4E1E"/>
    <w:rsid w:val="006A79A5"/>
    <w:rsid w:val="006B2A4B"/>
    <w:rsid w:val="006B327F"/>
    <w:rsid w:val="006C286E"/>
    <w:rsid w:val="006C2DF8"/>
    <w:rsid w:val="006D348C"/>
    <w:rsid w:val="006D3638"/>
    <w:rsid w:val="006D5A70"/>
    <w:rsid w:val="006D6077"/>
    <w:rsid w:val="006D6ABE"/>
    <w:rsid w:val="006E091B"/>
    <w:rsid w:val="006E3DBF"/>
    <w:rsid w:val="006E655D"/>
    <w:rsid w:val="006F060A"/>
    <w:rsid w:val="006F1687"/>
    <w:rsid w:val="006F24DB"/>
    <w:rsid w:val="006F4AAE"/>
    <w:rsid w:val="006F73C9"/>
    <w:rsid w:val="00711C8C"/>
    <w:rsid w:val="00713F9D"/>
    <w:rsid w:val="007148C1"/>
    <w:rsid w:val="00715FAB"/>
    <w:rsid w:val="00723270"/>
    <w:rsid w:val="0072620B"/>
    <w:rsid w:val="00731924"/>
    <w:rsid w:val="00732D11"/>
    <w:rsid w:val="007347D1"/>
    <w:rsid w:val="007527E7"/>
    <w:rsid w:val="00752EF0"/>
    <w:rsid w:val="00761E71"/>
    <w:rsid w:val="007638DC"/>
    <w:rsid w:val="00763A8B"/>
    <w:rsid w:val="00764C73"/>
    <w:rsid w:val="007659E2"/>
    <w:rsid w:val="007761A5"/>
    <w:rsid w:val="00792796"/>
    <w:rsid w:val="007A2C84"/>
    <w:rsid w:val="007A33E6"/>
    <w:rsid w:val="007A6F59"/>
    <w:rsid w:val="007A73C1"/>
    <w:rsid w:val="007B415E"/>
    <w:rsid w:val="007C3FBD"/>
    <w:rsid w:val="007D4AD3"/>
    <w:rsid w:val="007D7CEB"/>
    <w:rsid w:val="007E48F2"/>
    <w:rsid w:val="007E53B3"/>
    <w:rsid w:val="007E7A84"/>
    <w:rsid w:val="007F1C3F"/>
    <w:rsid w:val="007F1F02"/>
    <w:rsid w:val="007F4700"/>
    <w:rsid w:val="007F4B70"/>
    <w:rsid w:val="007F7E4F"/>
    <w:rsid w:val="00807E7E"/>
    <w:rsid w:val="0081298A"/>
    <w:rsid w:val="00814D4E"/>
    <w:rsid w:val="00815473"/>
    <w:rsid w:val="008157AB"/>
    <w:rsid w:val="00816F72"/>
    <w:rsid w:val="00832E81"/>
    <w:rsid w:val="00836130"/>
    <w:rsid w:val="0084668E"/>
    <w:rsid w:val="00852894"/>
    <w:rsid w:val="008539A5"/>
    <w:rsid w:val="00856752"/>
    <w:rsid w:val="00856F60"/>
    <w:rsid w:val="00870BC9"/>
    <w:rsid w:val="0088213C"/>
    <w:rsid w:val="008821C6"/>
    <w:rsid w:val="0088290D"/>
    <w:rsid w:val="008829E3"/>
    <w:rsid w:val="00883717"/>
    <w:rsid w:val="008A5571"/>
    <w:rsid w:val="008B17F1"/>
    <w:rsid w:val="008B4F69"/>
    <w:rsid w:val="008B4FFD"/>
    <w:rsid w:val="008C3707"/>
    <w:rsid w:val="008D1820"/>
    <w:rsid w:val="008D5331"/>
    <w:rsid w:val="008D6385"/>
    <w:rsid w:val="008D64AD"/>
    <w:rsid w:val="008E25F0"/>
    <w:rsid w:val="008E2C04"/>
    <w:rsid w:val="008E7872"/>
    <w:rsid w:val="008F6198"/>
    <w:rsid w:val="008F7713"/>
    <w:rsid w:val="00903DD3"/>
    <w:rsid w:val="00904104"/>
    <w:rsid w:val="0092170C"/>
    <w:rsid w:val="00925A62"/>
    <w:rsid w:val="009638B5"/>
    <w:rsid w:val="00971A08"/>
    <w:rsid w:val="0097218A"/>
    <w:rsid w:val="00973F67"/>
    <w:rsid w:val="009750C4"/>
    <w:rsid w:val="009759D1"/>
    <w:rsid w:val="00975DB5"/>
    <w:rsid w:val="009774F6"/>
    <w:rsid w:val="00982582"/>
    <w:rsid w:val="00986792"/>
    <w:rsid w:val="0099180C"/>
    <w:rsid w:val="0099463E"/>
    <w:rsid w:val="009950BB"/>
    <w:rsid w:val="009A0F10"/>
    <w:rsid w:val="009A45DE"/>
    <w:rsid w:val="009A67EA"/>
    <w:rsid w:val="009A6824"/>
    <w:rsid w:val="009C5220"/>
    <w:rsid w:val="009D0450"/>
    <w:rsid w:val="009D3EC1"/>
    <w:rsid w:val="009D7184"/>
    <w:rsid w:val="009D7D1E"/>
    <w:rsid w:val="009E14B9"/>
    <w:rsid w:val="009E2157"/>
    <w:rsid w:val="009E2549"/>
    <w:rsid w:val="009E7B8A"/>
    <w:rsid w:val="009F0EC4"/>
    <w:rsid w:val="009F2F18"/>
    <w:rsid w:val="009F46EC"/>
    <w:rsid w:val="009F779A"/>
    <w:rsid w:val="00A0028A"/>
    <w:rsid w:val="00A0091E"/>
    <w:rsid w:val="00A00D85"/>
    <w:rsid w:val="00A00EAA"/>
    <w:rsid w:val="00A01463"/>
    <w:rsid w:val="00A0257D"/>
    <w:rsid w:val="00A03DED"/>
    <w:rsid w:val="00A11234"/>
    <w:rsid w:val="00A11665"/>
    <w:rsid w:val="00A135C6"/>
    <w:rsid w:val="00A2440C"/>
    <w:rsid w:val="00A247FC"/>
    <w:rsid w:val="00A25253"/>
    <w:rsid w:val="00A32887"/>
    <w:rsid w:val="00A35567"/>
    <w:rsid w:val="00A3655B"/>
    <w:rsid w:val="00A40833"/>
    <w:rsid w:val="00A40CE1"/>
    <w:rsid w:val="00A42567"/>
    <w:rsid w:val="00A507C7"/>
    <w:rsid w:val="00A50828"/>
    <w:rsid w:val="00A50931"/>
    <w:rsid w:val="00A50F5F"/>
    <w:rsid w:val="00A53A8F"/>
    <w:rsid w:val="00A578BD"/>
    <w:rsid w:val="00A64D42"/>
    <w:rsid w:val="00A72438"/>
    <w:rsid w:val="00A7367D"/>
    <w:rsid w:val="00A75AC9"/>
    <w:rsid w:val="00A76C24"/>
    <w:rsid w:val="00A812A6"/>
    <w:rsid w:val="00A814F3"/>
    <w:rsid w:val="00A8614A"/>
    <w:rsid w:val="00A91BCA"/>
    <w:rsid w:val="00A9427A"/>
    <w:rsid w:val="00A94940"/>
    <w:rsid w:val="00AA2192"/>
    <w:rsid w:val="00AA5EF9"/>
    <w:rsid w:val="00AB6FAC"/>
    <w:rsid w:val="00AB73DF"/>
    <w:rsid w:val="00AC356B"/>
    <w:rsid w:val="00AC71A4"/>
    <w:rsid w:val="00AD02BC"/>
    <w:rsid w:val="00AD0506"/>
    <w:rsid w:val="00AD4E1B"/>
    <w:rsid w:val="00AD5041"/>
    <w:rsid w:val="00AD5F02"/>
    <w:rsid w:val="00AD7B73"/>
    <w:rsid w:val="00AE642A"/>
    <w:rsid w:val="00B05A5C"/>
    <w:rsid w:val="00B06A71"/>
    <w:rsid w:val="00B072DE"/>
    <w:rsid w:val="00B11F35"/>
    <w:rsid w:val="00B1735F"/>
    <w:rsid w:val="00B17C1E"/>
    <w:rsid w:val="00B23601"/>
    <w:rsid w:val="00B2573D"/>
    <w:rsid w:val="00B33460"/>
    <w:rsid w:val="00B5219F"/>
    <w:rsid w:val="00B62810"/>
    <w:rsid w:val="00B63058"/>
    <w:rsid w:val="00B66475"/>
    <w:rsid w:val="00B71C9E"/>
    <w:rsid w:val="00B71DEA"/>
    <w:rsid w:val="00B7426A"/>
    <w:rsid w:val="00B82F34"/>
    <w:rsid w:val="00B863AA"/>
    <w:rsid w:val="00B952CA"/>
    <w:rsid w:val="00BA0658"/>
    <w:rsid w:val="00BA075B"/>
    <w:rsid w:val="00BA6010"/>
    <w:rsid w:val="00BB06D8"/>
    <w:rsid w:val="00BB7538"/>
    <w:rsid w:val="00BB7A72"/>
    <w:rsid w:val="00BC00B5"/>
    <w:rsid w:val="00BC5C23"/>
    <w:rsid w:val="00BC7A75"/>
    <w:rsid w:val="00BD184D"/>
    <w:rsid w:val="00BE1EC3"/>
    <w:rsid w:val="00BF48E0"/>
    <w:rsid w:val="00BF6A07"/>
    <w:rsid w:val="00C12036"/>
    <w:rsid w:val="00C149E9"/>
    <w:rsid w:val="00C16EC6"/>
    <w:rsid w:val="00C21B71"/>
    <w:rsid w:val="00C24C03"/>
    <w:rsid w:val="00C257E4"/>
    <w:rsid w:val="00C25D77"/>
    <w:rsid w:val="00C27729"/>
    <w:rsid w:val="00C278B0"/>
    <w:rsid w:val="00C34C40"/>
    <w:rsid w:val="00C4025D"/>
    <w:rsid w:val="00C41922"/>
    <w:rsid w:val="00C44820"/>
    <w:rsid w:val="00C455E7"/>
    <w:rsid w:val="00C46B62"/>
    <w:rsid w:val="00C50371"/>
    <w:rsid w:val="00C51BEF"/>
    <w:rsid w:val="00C52D73"/>
    <w:rsid w:val="00C54580"/>
    <w:rsid w:val="00C65D15"/>
    <w:rsid w:val="00C70011"/>
    <w:rsid w:val="00C721DA"/>
    <w:rsid w:val="00C72412"/>
    <w:rsid w:val="00C732BD"/>
    <w:rsid w:val="00C77249"/>
    <w:rsid w:val="00C83020"/>
    <w:rsid w:val="00C8412D"/>
    <w:rsid w:val="00C86D58"/>
    <w:rsid w:val="00C96E01"/>
    <w:rsid w:val="00CA1222"/>
    <w:rsid w:val="00CA1755"/>
    <w:rsid w:val="00CB0CF8"/>
    <w:rsid w:val="00CB1001"/>
    <w:rsid w:val="00CD0483"/>
    <w:rsid w:val="00CD0DE9"/>
    <w:rsid w:val="00CD1B41"/>
    <w:rsid w:val="00CD2EA5"/>
    <w:rsid w:val="00CD35D1"/>
    <w:rsid w:val="00CD6B73"/>
    <w:rsid w:val="00CD7291"/>
    <w:rsid w:val="00CE607C"/>
    <w:rsid w:val="00CF1BE7"/>
    <w:rsid w:val="00CF5105"/>
    <w:rsid w:val="00CF6C3E"/>
    <w:rsid w:val="00CF7B05"/>
    <w:rsid w:val="00D03FE8"/>
    <w:rsid w:val="00D05C7A"/>
    <w:rsid w:val="00D07331"/>
    <w:rsid w:val="00D07C40"/>
    <w:rsid w:val="00D11E16"/>
    <w:rsid w:val="00D15666"/>
    <w:rsid w:val="00D16E8B"/>
    <w:rsid w:val="00D2637D"/>
    <w:rsid w:val="00D2706F"/>
    <w:rsid w:val="00D314D8"/>
    <w:rsid w:val="00D32657"/>
    <w:rsid w:val="00D3458C"/>
    <w:rsid w:val="00D348FD"/>
    <w:rsid w:val="00D359B6"/>
    <w:rsid w:val="00D35ED9"/>
    <w:rsid w:val="00D41EBB"/>
    <w:rsid w:val="00D43D40"/>
    <w:rsid w:val="00D44B34"/>
    <w:rsid w:val="00D471A1"/>
    <w:rsid w:val="00D50793"/>
    <w:rsid w:val="00D5334D"/>
    <w:rsid w:val="00D61206"/>
    <w:rsid w:val="00D62431"/>
    <w:rsid w:val="00D64F34"/>
    <w:rsid w:val="00D679F0"/>
    <w:rsid w:val="00D70541"/>
    <w:rsid w:val="00D732EE"/>
    <w:rsid w:val="00D834F8"/>
    <w:rsid w:val="00D874CD"/>
    <w:rsid w:val="00D8754A"/>
    <w:rsid w:val="00DA23A3"/>
    <w:rsid w:val="00DA76B1"/>
    <w:rsid w:val="00DB21AC"/>
    <w:rsid w:val="00DB518A"/>
    <w:rsid w:val="00DB6787"/>
    <w:rsid w:val="00DC16FF"/>
    <w:rsid w:val="00DC19C2"/>
    <w:rsid w:val="00DC41D3"/>
    <w:rsid w:val="00DC4777"/>
    <w:rsid w:val="00DC54FF"/>
    <w:rsid w:val="00DC5C92"/>
    <w:rsid w:val="00DC727E"/>
    <w:rsid w:val="00DD05F6"/>
    <w:rsid w:val="00DD4BF5"/>
    <w:rsid w:val="00DE042B"/>
    <w:rsid w:val="00DE1C9A"/>
    <w:rsid w:val="00DF335F"/>
    <w:rsid w:val="00DF42C6"/>
    <w:rsid w:val="00DF49EC"/>
    <w:rsid w:val="00E04E86"/>
    <w:rsid w:val="00E058EA"/>
    <w:rsid w:val="00E11020"/>
    <w:rsid w:val="00E14432"/>
    <w:rsid w:val="00E24F96"/>
    <w:rsid w:val="00E30918"/>
    <w:rsid w:val="00E337D0"/>
    <w:rsid w:val="00E33EA5"/>
    <w:rsid w:val="00E36FE9"/>
    <w:rsid w:val="00E4339A"/>
    <w:rsid w:val="00E44896"/>
    <w:rsid w:val="00E45236"/>
    <w:rsid w:val="00E4655A"/>
    <w:rsid w:val="00E50940"/>
    <w:rsid w:val="00E50D14"/>
    <w:rsid w:val="00E50E46"/>
    <w:rsid w:val="00E5300E"/>
    <w:rsid w:val="00E54FCE"/>
    <w:rsid w:val="00E62471"/>
    <w:rsid w:val="00E82A51"/>
    <w:rsid w:val="00E84883"/>
    <w:rsid w:val="00E9637A"/>
    <w:rsid w:val="00E96555"/>
    <w:rsid w:val="00EA44B0"/>
    <w:rsid w:val="00EA6891"/>
    <w:rsid w:val="00EB4C3C"/>
    <w:rsid w:val="00EB57F4"/>
    <w:rsid w:val="00EB59F1"/>
    <w:rsid w:val="00EC1728"/>
    <w:rsid w:val="00EC289D"/>
    <w:rsid w:val="00ED6970"/>
    <w:rsid w:val="00EE303E"/>
    <w:rsid w:val="00EE5077"/>
    <w:rsid w:val="00EF393E"/>
    <w:rsid w:val="00EF60A4"/>
    <w:rsid w:val="00F01D65"/>
    <w:rsid w:val="00F0433E"/>
    <w:rsid w:val="00F15589"/>
    <w:rsid w:val="00F16AA3"/>
    <w:rsid w:val="00F1729C"/>
    <w:rsid w:val="00F228A2"/>
    <w:rsid w:val="00F37AE5"/>
    <w:rsid w:val="00F431D9"/>
    <w:rsid w:val="00F452AE"/>
    <w:rsid w:val="00F45BCD"/>
    <w:rsid w:val="00F45EE9"/>
    <w:rsid w:val="00F51B84"/>
    <w:rsid w:val="00F646E1"/>
    <w:rsid w:val="00F70D72"/>
    <w:rsid w:val="00F74C32"/>
    <w:rsid w:val="00F845F8"/>
    <w:rsid w:val="00F8467A"/>
    <w:rsid w:val="00F907FA"/>
    <w:rsid w:val="00F92F79"/>
    <w:rsid w:val="00F95DCF"/>
    <w:rsid w:val="00FA0934"/>
    <w:rsid w:val="00FA1D0D"/>
    <w:rsid w:val="00FA6B6B"/>
    <w:rsid w:val="00FA6BDB"/>
    <w:rsid w:val="00FB7C20"/>
    <w:rsid w:val="00FC15EF"/>
    <w:rsid w:val="00FC1FB7"/>
    <w:rsid w:val="00FC4AE1"/>
    <w:rsid w:val="00FC4CE6"/>
    <w:rsid w:val="00FE5823"/>
    <w:rsid w:val="00FE7B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E46CA"/>
  <w15:chartTrackingRefBased/>
  <w15:docId w15:val="{05C82CAF-E176-4488-9E2A-D1F0C458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D01"/>
  </w:style>
  <w:style w:type="paragraph" w:styleId="Heading1">
    <w:name w:val="heading 1"/>
    <w:basedOn w:val="Normal"/>
    <w:next w:val="Normal"/>
    <w:link w:val="Heading1Char"/>
    <w:uiPriority w:val="9"/>
    <w:qFormat/>
    <w:rsid w:val="00A002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02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02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02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02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02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2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2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2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2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02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02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02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02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0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28A"/>
    <w:rPr>
      <w:rFonts w:eastAsiaTheme="majorEastAsia" w:cstheme="majorBidi"/>
      <w:color w:val="272727" w:themeColor="text1" w:themeTint="D8"/>
    </w:rPr>
  </w:style>
  <w:style w:type="paragraph" w:styleId="Title">
    <w:name w:val="Title"/>
    <w:basedOn w:val="Normal"/>
    <w:next w:val="Normal"/>
    <w:link w:val="TitleChar"/>
    <w:uiPriority w:val="10"/>
    <w:qFormat/>
    <w:rsid w:val="00A00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2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28A"/>
    <w:pPr>
      <w:spacing w:before="160"/>
      <w:jc w:val="center"/>
    </w:pPr>
    <w:rPr>
      <w:i/>
      <w:iCs/>
      <w:color w:val="404040" w:themeColor="text1" w:themeTint="BF"/>
    </w:rPr>
  </w:style>
  <w:style w:type="character" w:customStyle="1" w:styleId="QuoteChar">
    <w:name w:val="Quote Char"/>
    <w:basedOn w:val="DefaultParagraphFont"/>
    <w:link w:val="Quote"/>
    <w:uiPriority w:val="29"/>
    <w:rsid w:val="00A0028A"/>
    <w:rPr>
      <w:i/>
      <w:iCs/>
      <w:color w:val="404040" w:themeColor="text1" w:themeTint="BF"/>
    </w:rPr>
  </w:style>
  <w:style w:type="paragraph" w:styleId="ListParagraph">
    <w:name w:val="List Paragraph"/>
    <w:basedOn w:val="Normal"/>
    <w:uiPriority w:val="34"/>
    <w:qFormat/>
    <w:rsid w:val="00A0028A"/>
    <w:pPr>
      <w:ind w:left="720"/>
      <w:contextualSpacing/>
    </w:pPr>
  </w:style>
  <w:style w:type="character" w:styleId="IntenseEmphasis">
    <w:name w:val="Intense Emphasis"/>
    <w:basedOn w:val="DefaultParagraphFont"/>
    <w:uiPriority w:val="21"/>
    <w:qFormat/>
    <w:rsid w:val="00A0028A"/>
    <w:rPr>
      <w:i/>
      <w:iCs/>
      <w:color w:val="2F5496" w:themeColor="accent1" w:themeShade="BF"/>
    </w:rPr>
  </w:style>
  <w:style w:type="paragraph" w:styleId="IntenseQuote">
    <w:name w:val="Intense Quote"/>
    <w:basedOn w:val="Normal"/>
    <w:next w:val="Normal"/>
    <w:link w:val="IntenseQuoteChar"/>
    <w:uiPriority w:val="30"/>
    <w:qFormat/>
    <w:rsid w:val="00A002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028A"/>
    <w:rPr>
      <w:i/>
      <w:iCs/>
      <w:color w:val="2F5496" w:themeColor="accent1" w:themeShade="BF"/>
    </w:rPr>
  </w:style>
  <w:style w:type="character" w:styleId="IntenseReference">
    <w:name w:val="Intense Reference"/>
    <w:basedOn w:val="DefaultParagraphFont"/>
    <w:uiPriority w:val="32"/>
    <w:qFormat/>
    <w:rsid w:val="00A0028A"/>
    <w:rPr>
      <w:b/>
      <w:bCs/>
      <w:smallCaps/>
      <w:color w:val="2F5496" w:themeColor="accent1" w:themeShade="BF"/>
      <w:spacing w:val="5"/>
    </w:rPr>
  </w:style>
  <w:style w:type="paragraph" w:styleId="NormalWeb">
    <w:name w:val="Normal (Web)"/>
    <w:basedOn w:val="Normal"/>
    <w:uiPriority w:val="99"/>
    <w:unhideWhenUsed/>
    <w:rsid w:val="00A002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0028A"/>
    <w:rPr>
      <w:b/>
      <w:bCs/>
    </w:rPr>
  </w:style>
  <w:style w:type="character" w:styleId="Hyperlink">
    <w:name w:val="Hyperlink"/>
    <w:basedOn w:val="DefaultParagraphFont"/>
    <w:uiPriority w:val="99"/>
    <w:unhideWhenUsed/>
    <w:rsid w:val="00A0028A"/>
    <w:rPr>
      <w:color w:val="0000FF"/>
      <w:u w:val="single"/>
    </w:rPr>
  </w:style>
  <w:style w:type="character" w:styleId="UnresolvedMention">
    <w:name w:val="Unresolved Mention"/>
    <w:basedOn w:val="DefaultParagraphFont"/>
    <w:uiPriority w:val="99"/>
    <w:semiHidden/>
    <w:unhideWhenUsed/>
    <w:rsid w:val="00C41922"/>
    <w:rPr>
      <w:color w:val="605E5C"/>
      <w:shd w:val="clear" w:color="auto" w:fill="E1DFDD"/>
    </w:rPr>
  </w:style>
  <w:style w:type="character" w:customStyle="1" w:styleId="highwire-citation-authors">
    <w:name w:val="highwire-citation-authors"/>
    <w:basedOn w:val="DefaultParagraphFont"/>
    <w:rsid w:val="00B62810"/>
  </w:style>
  <w:style w:type="character" w:customStyle="1" w:styleId="highwire-citation-author">
    <w:name w:val="highwire-citation-author"/>
    <w:basedOn w:val="DefaultParagraphFont"/>
    <w:rsid w:val="00B62810"/>
  </w:style>
  <w:style w:type="character" w:customStyle="1" w:styleId="nlm-surname">
    <w:name w:val="nlm-surname"/>
    <w:basedOn w:val="DefaultParagraphFont"/>
    <w:rsid w:val="00B62810"/>
  </w:style>
  <w:style w:type="character" w:customStyle="1" w:styleId="citation-et">
    <w:name w:val="citation-et"/>
    <w:basedOn w:val="DefaultParagraphFont"/>
    <w:rsid w:val="00B62810"/>
  </w:style>
  <w:style w:type="character" w:customStyle="1" w:styleId="highwire-cite-metadata-journal">
    <w:name w:val="highwire-cite-metadata-journal"/>
    <w:basedOn w:val="DefaultParagraphFont"/>
    <w:rsid w:val="00B62810"/>
  </w:style>
  <w:style w:type="character" w:customStyle="1" w:styleId="highwire-cite-metadata-year">
    <w:name w:val="highwire-cite-metadata-year"/>
    <w:basedOn w:val="DefaultParagraphFont"/>
    <w:rsid w:val="00B62810"/>
  </w:style>
  <w:style w:type="character" w:customStyle="1" w:styleId="highwire-cite-metadata-volume">
    <w:name w:val="highwire-cite-metadata-volume"/>
    <w:basedOn w:val="DefaultParagraphFont"/>
    <w:rsid w:val="00B62810"/>
  </w:style>
  <w:style w:type="character" w:customStyle="1" w:styleId="highwire-cite-metadata-pages">
    <w:name w:val="highwire-cite-metadata-pages"/>
    <w:basedOn w:val="DefaultParagraphFont"/>
    <w:rsid w:val="00B62810"/>
  </w:style>
  <w:style w:type="character" w:customStyle="1" w:styleId="fn">
    <w:name w:val="fn"/>
    <w:basedOn w:val="DefaultParagraphFont"/>
    <w:rsid w:val="008D64AD"/>
  </w:style>
  <w:style w:type="character" w:customStyle="1" w:styleId="Subtitle1">
    <w:name w:val="Subtitle1"/>
    <w:basedOn w:val="DefaultParagraphFont"/>
    <w:rsid w:val="008D64AD"/>
  </w:style>
  <w:style w:type="character" w:customStyle="1" w:styleId="citation-0">
    <w:name w:val="citation-0"/>
    <w:basedOn w:val="DefaultParagraphFont"/>
    <w:rsid w:val="00A9427A"/>
  </w:style>
  <w:style w:type="character" w:customStyle="1" w:styleId="inlineblock">
    <w:name w:val="inlineblock"/>
    <w:basedOn w:val="DefaultParagraphFont"/>
    <w:rsid w:val="00294625"/>
  </w:style>
  <w:style w:type="character" w:styleId="Emphasis">
    <w:name w:val="Emphasis"/>
    <w:basedOn w:val="DefaultParagraphFont"/>
    <w:uiPriority w:val="20"/>
    <w:qFormat/>
    <w:rsid w:val="00294625"/>
    <w:rPr>
      <w:i/>
      <w:iCs/>
    </w:rPr>
  </w:style>
  <w:style w:type="paragraph" w:styleId="Header">
    <w:name w:val="header"/>
    <w:basedOn w:val="Normal"/>
    <w:link w:val="HeaderChar"/>
    <w:uiPriority w:val="99"/>
    <w:unhideWhenUsed/>
    <w:rsid w:val="005D7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BFE"/>
  </w:style>
  <w:style w:type="paragraph" w:styleId="Footer">
    <w:name w:val="footer"/>
    <w:basedOn w:val="Normal"/>
    <w:link w:val="FooterChar"/>
    <w:uiPriority w:val="99"/>
    <w:unhideWhenUsed/>
    <w:rsid w:val="005D7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BFE"/>
  </w:style>
  <w:style w:type="character" w:customStyle="1" w:styleId="a-size-extra-large">
    <w:name w:val="a-size-extra-large"/>
    <w:basedOn w:val="DefaultParagraphFont"/>
    <w:rsid w:val="00E33EA5"/>
  </w:style>
  <w:style w:type="character" w:customStyle="1" w:styleId="a-size-large">
    <w:name w:val="a-size-large"/>
    <w:basedOn w:val="DefaultParagraphFont"/>
    <w:rsid w:val="00E33EA5"/>
  </w:style>
  <w:style w:type="character" w:customStyle="1" w:styleId="aranob">
    <w:name w:val="aranob"/>
    <w:basedOn w:val="DefaultParagraphFont"/>
    <w:rsid w:val="00BD184D"/>
  </w:style>
  <w:style w:type="character" w:customStyle="1" w:styleId="anchor-text">
    <w:name w:val="anchor-text"/>
    <w:basedOn w:val="DefaultParagraphFont"/>
    <w:rsid w:val="00A32887"/>
  </w:style>
  <w:style w:type="character" w:customStyle="1" w:styleId="doi">
    <w:name w:val="doi"/>
    <w:basedOn w:val="DefaultParagraphFont"/>
    <w:rsid w:val="00A32887"/>
  </w:style>
  <w:style w:type="character" w:styleId="FollowedHyperlink">
    <w:name w:val="FollowedHyperlink"/>
    <w:basedOn w:val="DefaultParagraphFont"/>
    <w:uiPriority w:val="99"/>
    <w:semiHidden/>
    <w:unhideWhenUsed/>
    <w:rsid w:val="00A32887"/>
    <w:rPr>
      <w:color w:val="954F72" w:themeColor="followedHyperlink"/>
      <w:u w:val="single"/>
    </w:rPr>
  </w:style>
  <w:style w:type="character" w:customStyle="1" w:styleId="first-token">
    <w:name w:val="first-token"/>
    <w:basedOn w:val="DefaultParagraphFont"/>
    <w:rsid w:val="00561049"/>
  </w:style>
  <w:style w:type="paragraph" w:styleId="NoSpacing">
    <w:name w:val="No Spacing"/>
    <w:link w:val="NoSpacingChar"/>
    <w:uiPriority w:val="1"/>
    <w:qFormat/>
    <w:rsid w:val="00DB518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B518A"/>
    <w:rPr>
      <w:rFonts w:eastAsiaTheme="minorEastAsia"/>
      <w:kern w:val="0"/>
      <w:lang w:eastAsia="en-GB"/>
      <w14:ligatures w14:val="none"/>
    </w:rPr>
  </w:style>
  <w:style w:type="character" w:styleId="BookTitle">
    <w:name w:val="Book Title"/>
    <w:basedOn w:val="DefaultParagraphFont"/>
    <w:uiPriority w:val="33"/>
    <w:qFormat/>
    <w:rsid w:val="00761E7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3774">
      <w:bodyDiv w:val="1"/>
      <w:marLeft w:val="0"/>
      <w:marRight w:val="0"/>
      <w:marTop w:val="0"/>
      <w:marBottom w:val="0"/>
      <w:divBdr>
        <w:top w:val="none" w:sz="0" w:space="0" w:color="auto"/>
        <w:left w:val="none" w:sz="0" w:space="0" w:color="auto"/>
        <w:bottom w:val="none" w:sz="0" w:space="0" w:color="auto"/>
        <w:right w:val="none" w:sz="0" w:space="0" w:color="auto"/>
      </w:divBdr>
    </w:div>
    <w:div w:id="132991397">
      <w:bodyDiv w:val="1"/>
      <w:marLeft w:val="0"/>
      <w:marRight w:val="0"/>
      <w:marTop w:val="0"/>
      <w:marBottom w:val="0"/>
      <w:divBdr>
        <w:top w:val="none" w:sz="0" w:space="0" w:color="auto"/>
        <w:left w:val="none" w:sz="0" w:space="0" w:color="auto"/>
        <w:bottom w:val="none" w:sz="0" w:space="0" w:color="auto"/>
        <w:right w:val="none" w:sz="0" w:space="0" w:color="auto"/>
      </w:divBdr>
    </w:div>
    <w:div w:id="160505328">
      <w:bodyDiv w:val="1"/>
      <w:marLeft w:val="0"/>
      <w:marRight w:val="0"/>
      <w:marTop w:val="0"/>
      <w:marBottom w:val="0"/>
      <w:divBdr>
        <w:top w:val="none" w:sz="0" w:space="0" w:color="auto"/>
        <w:left w:val="none" w:sz="0" w:space="0" w:color="auto"/>
        <w:bottom w:val="none" w:sz="0" w:space="0" w:color="auto"/>
        <w:right w:val="none" w:sz="0" w:space="0" w:color="auto"/>
      </w:divBdr>
    </w:div>
    <w:div w:id="176162156">
      <w:bodyDiv w:val="1"/>
      <w:marLeft w:val="0"/>
      <w:marRight w:val="0"/>
      <w:marTop w:val="0"/>
      <w:marBottom w:val="0"/>
      <w:divBdr>
        <w:top w:val="none" w:sz="0" w:space="0" w:color="auto"/>
        <w:left w:val="none" w:sz="0" w:space="0" w:color="auto"/>
        <w:bottom w:val="none" w:sz="0" w:space="0" w:color="auto"/>
        <w:right w:val="none" w:sz="0" w:space="0" w:color="auto"/>
      </w:divBdr>
    </w:div>
    <w:div w:id="190806057">
      <w:bodyDiv w:val="1"/>
      <w:marLeft w:val="0"/>
      <w:marRight w:val="0"/>
      <w:marTop w:val="0"/>
      <w:marBottom w:val="0"/>
      <w:divBdr>
        <w:top w:val="none" w:sz="0" w:space="0" w:color="auto"/>
        <w:left w:val="none" w:sz="0" w:space="0" w:color="auto"/>
        <w:bottom w:val="none" w:sz="0" w:space="0" w:color="auto"/>
        <w:right w:val="none" w:sz="0" w:space="0" w:color="auto"/>
      </w:divBdr>
    </w:div>
    <w:div w:id="222523134">
      <w:bodyDiv w:val="1"/>
      <w:marLeft w:val="0"/>
      <w:marRight w:val="0"/>
      <w:marTop w:val="0"/>
      <w:marBottom w:val="0"/>
      <w:divBdr>
        <w:top w:val="none" w:sz="0" w:space="0" w:color="auto"/>
        <w:left w:val="none" w:sz="0" w:space="0" w:color="auto"/>
        <w:bottom w:val="none" w:sz="0" w:space="0" w:color="auto"/>
        <w:right w:val="none" w:sz="0" w:space="0" w:color="auto"/>
      </w:divBdr>
    </w:div>
    <w:div w:id="254411592">
      <w:bodyDiv w:val="1"/>
      <w:marLeft w:val="0"/>
      <w:marRight w:val="0"/>
      <w:marTop w:val="0"/>
      <w:marBottom w:val="0"/>
      <w:divBdr>
        <w:top w:val="none" w:sz="0" w:space="0" w:color="auto"/>
        <w:left w:val="none" w:sz="0" w:space="0" w:color="auto"/>
        <w:bottom w:val="none" w:sz="0" w:space="0" w:color="auto"/>
        <w:right w:val="none" w:sz="0" w:space="0" w:color="auto"/>
      </w:divBdr>
    </w:div>
    <w:div w:id="261689651">
      <w:bodyDiv w:val="1"/>
      <w:marLeft w:val="0"/>
      <w:marRight w:val="0"/>
      <w:marTop w:val="0"/>
      <w:marBottom w:val="0"/>
      <w:divBdr>
        <w:top w:val="none" w:sz="0" w:space="0" w:color="auto"/>
        <w:left w:val="none" w:sz="0" w:space="0" w:color="auto"/>
        <w:bottom w:val="none" w:sz="0" w:space="0" w:color="auto"/>
        <w:right w:val="none" w:sz="0" w:space="0" w:color="auto"/>
      </w:divBdr>
    </w:div>
    <w:div w:id="289285254">
      <w:bodyDiv w:val="1"/>
      <w:marLeft w:val="0"/>
      <w:marRight w:val="0"/>
      <w:marTop w:val="0"/>
      <w:marBottom w:val="0"/>
      <w:divBdr>
        <w:top w:val="none" w:sz="0" w:space="0" w:color="auto"/>
        <w:left w:val="none" w:sz="0" w:space="0" w:color="auto"/>
        <w:bottom w:val="none" w:sz="0" w:space="0" w:color="auto"/>
        <w:right w:val="none" w:sz="0" w:space="0" w:color="auto"/>
      </w:divBdr>
    </w:div>
    <w:div w:id="292290752">
      <w:bodyDiv w:val="1"/>
      <w:marLeft w:val="0"/>
      <w:marRight w:val="0"/>
      <w:marTop w:val="0"/>
      <w:marBottom w:val="0"/>
      <w:divBdr>
        <w:top w:val="none" w:sz="0" w:space="0" w:color="auto"/>
        <w:left w:val="none" w:sz="0" w:space="0" w:color="auto"/>
        <w:bottom w:val="none" w:sz="0" w:space="0" w:color="auto"/>
        <w:right w:val="none" w:sz="0" w:space="0" w:color="auto"/>
      </w:divBdr>
    </w:div>
    <w:div w:id="320085640">
      <w:bodyDiv w:val="1"/>
      <w:marLeft w:val="0"/>
      <w:marRight w:val="0"/>
      <w:marTop w:val="0"/>
      <w:marBottom w:val="0"/>
      <w:divBdr>
        <w:top w:val="none" w:sz="0" w:space="0" w:color="auto"/>
        <w:left w:val="none" w:sz="0" w:space="0" w:color="auto"/>
        <w:bottom w:val="none" w:sz="0" w:space="0" w:color="auto"/>
        <w:right w:val="none" w:sz="0" w:space="0" w:color="auto"/>
      </w:divBdr>
      <w:divsChild>
        <w:div w:id="1769305650">
          <w:marLeft w:val="0"/>
          <w:marRight w:val="0"/>
          <w:marTop w:val="0"/>
          <w:marBottom w:val="0"/>
          <w:divBdr>
            <w:top w:val="none" w:sz="0" w:space="0" w:color="auto"/>
            <w:left w:val="none" w:sz="0" w:space="0" w:color="auto"/>
            <w:bottom w:val="none" w:sz="0" w:space="0" w:color="auto"/>
            <w:right w:val="none" w:sz="0" w:space="0" w:color="auto"/>
          </w:divBdr>
          <w:divsChild>
            <w:div w:id="483938518">
              <w:marLeft w:val="0"/>
              <w:marRight w:val="0"/>
              <w:marTop w:val="0"/>
              <w:marBottom w:val="0"/>
              <w:divBdr>
                <w:top w:val="none" w:sz="0" w:space="0" w:color="auto"/>
                <w:left w:val="none" w:sz="0" w:space="0" w:color="auto"/>
                <w:bottom w:val="none" w:sz="0" w:space="0" w:color="auto"/>
                <w:right w:val="none" w:sz="0" w:space="0" w:color="auto"/>
              </w:divBdr>
            </w:div>
            <w:div w:id="1125656628">
              <w:marLeft w:val="0"/>
              <w:marRight w:val="0"/>
              <w:marTop w:val="0"/>
              <w:marBottom w:val="0"/>
              <w:divBdr>
                <w:top w:val="none" w:sz="0" w:space="0" w:color="auto"/>
                <w:left w:val="none" w:sz="0" w:space="0" w:color="auto"/>
                <w:bottom w:val="none" w:sz="0" w:space="0" w:color="auto"/>
                <w:right w:val="none" w:sz="0" w:space="0" w:color="auto"/>
              </w:divBdr>
            </w:div>
          </w:divsChild>
        </w:div>
        <w:div w:id="1848212211">
          <w:marLeft w:val="0"/>
          <w:marRight w:val="0"/>
          <w:marTop w:val="75"/>
          <w:marBottom w:val="225"/>
          <w:divBdr>
            <w:top w:val="none" w:sz="0" w:space="0" w:color="auto"/>
            <w:left w:val="none" w:sz="0" w:space="0" w:color="auto"/>
            <w:bottom w:val="none" w:sz="0" w:space="0" w:color="auto"/>
            <w:right w:val="none" w:sz="0" w:space="0" w:color="auto"/>
          </w:divBdr>
          <w:divsChild>
            <w:div w:id="690959079">
              <w:marLeft w:val="0"/>
              <w:marRight w:val="0"/>
              <w:marTop w:val="0"/>
              <w:marBottom w:val="0"/>
              <w:divBdr>
                <w:top w:val="none" w:sz="0" w:space="0" w:color="auto"/>
                <w:left w:val="none" w:sz="0" w:space="0" w:color="auto"/>
                <w:bottom w:val="none" w:sz="0" w:space="0" w:color="auto"/>
                <w:right w:val="none" w:sz="0" w:space="0" w:color="auto"/>
              </w:divBdr>
              <w:divsChild>
                <w:div w:id="1809396816">
                  <w:marLeft w:val="0"/>
                  <w:marRight w:val="0"/>
                  <w:marTop w:val="0"/>
                  <w:marBottom w:val="0"/>
                  <w:divBdr>
                    <w:top w:val="none" w:sz="0" w:space="0" w:color="auto"/>
                    <w:left w:val="none" w:sz="0" w:space="0" w:color="auto"/>
                    <w:bottom w:val="none" w:sz="0" w:space="0" w:color="auto"/>
                    <w:right w:val="none" w:sz="0" w:space="0" w:color="auto"/>
                  </w:divBdr>
                  <w:divsChild>
                    <w:div w:id="95255727">
                      <w:marLeft w:val="0"/>
                      <w:marRight w:val="0"/>
                      <w:marTop w:val="0"/>
                      <w:marBottom w:val="0"/>
                      <w:divBdr>
                        <w:top w:val="none" w:sz="0" w:space="0" w:color="auto"/>
                        <w:left w:val="none" w:sz="0" w:space="0" w:color="auto"/>
                        <w:bottom w:val="none" w:sz="0" w:space="0" w:color="auto"/>
                        <w:right w:val="none" w:sz="0" w:space="0" w:color="auto"/>
                      </w:divBdr>
                    </w:div>
                    <w:div w:id="1938823569">
                      <w:marLeft w:val="195"/>
                      <w:marRight w:val="0"/>
                      <w:marTop w:val="0"/>
                      <w:marBottom w:val="0"/>
                      <w:divBdr>
                        <w:top w:val="none" w:sz="0" w:space="0" w:color="auto"/>
                        <w:left w:val="none" w:sz="0" w:space="0" w:color="auto"/>
                        <w:bottom w:val="none" w:sz="0" w:space="0" w:color="auto"/>
                        <w:right w:val="none" w:sz="0" w:space="0" w:color="auto"/>
                      </w:divBdr>
                    </w:div>
                  </w:divsChild>
                </w:div>
                <w:div w:id="538586140">
                  <w:marLeft w:val="0"/>
                  <w:marRight w:val="0"/>
                  <w:marTop w:val="0"/>
                  <w:marBottom w:val="0"/>
                  <w:divBdr>
                    <w:top w:val="none" w:sz="0" w:space="0" w:color="auto"/>
                    <w:left w:val="none" w:sz="0" w:space="0" w:color="auto"/>
                    <w:bottom w:val="none" w:sz="0" w:space="0" w:color="auto"/>
                    <w:right w:val="none" w:sz="0" w:space="0" w:color="auto"/>
                  </w:divBdr>
                  <w:divsChild>
                    <w:div w:id="1984653710">
                      <w:marLeft w:val="0"/>
                      <w:marRight w:val="0"/>
                      <w:marTop w:val="0"/>
                      <w:marBottom w:val="0"/>
                      <w:divBdr>
                        <w:top w:val="none" w:sz="0" w:space="0" w:color="auto"/>
                        <w:left w:val="none" w:sz="0" w:space="0" w:color="auto"/>
                        <w:bottom w:val="none" w:sz="0" w:space="0" w:color="auto"/>
                        <w:right w:val="none" w:sz="0" w:space="0" w:color="auto"/>
                      </w:divBdr>
                    </w:div>
                    <w:div w:id="475487239">
                      <w:marLeft w:val="195"/>
                      <w:marRight w:val="0"/>
                      <w:marTop w:val="0"/>
                      <w:marBottom w:val="0"/>
                      <w:divBdr>
                        <w:top w:val="none" w:sz="0" w:space="0" w:color="auto"/>
                        <w:left w:val="none" w:sz="0" w:space="0" w:color="auto"/>
                        <w:bottom w:val="none" w:sz="0" w:space="0" w:color="auto"/>
                        <w:right w:val="none" w:sz="0" w:space="0" w:color="auto"/>
                      </w:divBdr>
                    </w:div>
                  </w:divsChild>
                </w:div>
                <w:div w:id="987246082">
                  <w:marLeft w:val="0"/>
                  <w:marRight w:val="0"/>
                  <w:marTop w:val="0"/>
                  <w:marBottom w:val="0"/>
                  <w:divBdr>
                    <w:top w:val="none" w:sz="0" w:space="0" w:color="auto"/>
                    <w:left w:val="none" w:sz="0" w:space="0" w:color="auto"/>
                    <w:bottom w:val="none" w:sz="0" w:space="0" w:color="auto"/>
                    <w:right w:val="none" w:sz="0" w:space="0" w:color="auto"/>
                  </w:divBdr>
                  <w:divsChild>
                    <w:div w:id="1359312877">
                      <w:marLeft w:val="0"/>
                      <w:marRight w:val="0"/>
                      <w:marTop w:val="0"/>
                      <w:marBottom w:val="0"/>
                      <w:divBdr>
                        <w:top w:val="none" w:sz="0" w:space="0" w:color="auto"/>
                        <w:left w:val="none" w:sz="0" w:space="0" w:color="auto"/>
                        <w:bottom w:val="none" w:sz="0" w:space="0" w:color="auto"/>
                        <w:right w:val="none" w:sz="0" w:space="0" w:color="auto"/>
                      </w:divBdr>
                    </w:div>
                    <w:div w:id="2068409717">
                      <w:marLeft w:val="19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3851">
          <w:marLeft w:val="0"/>
          <w:marRight w:val="0"/>
          <w:marTop w:val="0"/>
          <w:marBottom w:val="150"/>
          <w:divBdr>
            <w:top w:val="none" w:sz="0" w:space="0" w:color="auto"/>
            <w:left w:val="none" w:sz="0" w:space="0" w:color="auto"/>
            <w:bottom w:val="none" w:sz="0" w:space="0" w:color="auto"/>
            <w:right w:val="none" w:sz="0" w:space="0" w:color="auto"/>
          </w:divBdr>
        </w:div>
      </w:divsChild>
    </w:div>
    <w:div w:id="347215532">
      <w:bodyDiv w:val="1"/>
      <w:marLeft w:val="0"/>
      <w:marRight w:val="0"/>
      <w:marTop w:val="0"/>
      <w:marBottom w:val="0"/>
      <w:divBdr>
        <w:top w:val="none" w:sz="0" w:space="0" w:color="auto"/>
        <w:left w:val="none" w:sz="0" w:space="0" w:color="auto"/>
        <w:bottom w:val="none" w:sz="0" w:space="0" w:color="auto"/>
        <w:right w:val="none" w:sz="0" w:space="0" w:color="auto"/>
      </w:divBdr>
    </w:div>
    <w:div w:id="358747181">
      <w:bodyDiv w:val="1"/>
      <w:marLeft w:val="0"/>
      <w:marRight w:val="0"/>
      <w:marTop w:val="0"/>
      <w:marBottom w:val="0"/>
      <w:divBdr>
        <w:top w:val="none" w:sz="0" w:space="0" w:color="auto"/>
        <w:left w:val="none" w:sz="0" w:space="0" w:color="auto"/>
        <w:bottom w:val="none" w:sz="0" w:space="0" w:color="auto"/>
        <w:right w:val="none" w:sz="0" w:space="0" w:color="auto"/>
      </w:divBdr>
    </w:div>
    <w:div w:id="432480177">
      <w:bodyDiv w:val="1"/>
      <w:marLeft w:val="0"/>
      <w:marRight w:val="0"/>
      <w:marTop w:val="0"/>
      <w:marBottom w:val="0"/>
      <w:divBdr>
        <w:top w:val="none" w:sz="0" w:space="0" w:color="auto"/>
        <w:left w:val="none" w:sz="0" w:space="0" w:color="auto"/>
        <w:bottom w:val="none" w:sz="0" w:space="0" w:color="auto"/>
        <w:right w:val="none" w:sz="0" w:space="0" w:color="auto"/>
      </w:divBdr>
      <w:divsChild>
        <w:div w:id="1421219651">
          <w:marLeft w:val="0"/>
          <w:marRight w:val="0"/>
          <w:marTop w:val="0"/>
          <w:marBottom w:val="0"/>
          <w:divBdr>
            <w:top w:val="none" w:sz="0" w:space="0" w:color="auto"/>
            <w:left w:val="none" w:sz="0" w:space="0" w:color="auto"/>
            <w:bottom w:val="none" w:sz="0" w:space="0" w:color="auto"/>
            <w:right w:val="none" w:sz="0" w:space="0" w:color="auto"/>
          </w:divBdr>
        </w:div>
        <w:div w:id="1754741096">
          <w:marLeft w:val="0"/>
          <w:marRight w:val="0"/>
          <w:marTop w:val="0"/>
          <w:marBottom w:val="0"/>
          <w:divBdr>
            <w:top w:val="none" w:sz="0" w:space="0" w:color="auto"/>
            <w:left w:val="none" w:sz="0" w:space="0" w:color="auto"/>
            <w:bottom w:val="none" w:sz="0" w:space="0" w:color="auto"/>
            <w:right w:val="none" w:sz="0" w:space="0" w:color="auto"/>
          </w:divBdr>
        </w:div>
        <w:div w:id="1512336612">
          <w:marLeft w:val="0"/>
          <w:marRight w:val="0"/>
          <w:marTop w:val="0"/>
          <w:marBottom w:val="0"/>
          <w:divBdr>
            <w:top w:val="none" w:sz="0" w:space="0" w:color="auto"/>
            <w:left w:val="none" w:sz="0" w:space="0" w:color="auto"/>
            <w:bottom w:val="none" w:sz="0" w:space="0" w:color="auto"/>
            <w:right w:val="none" w:sz="0" w:space="0" w:color="auto"/>
          </w:divBdr>
        </w:div>
      </w:divsChild>
    </w:div>
    <w:div w:id="454524352">
      <w:bodyDiv w:val="1"/>
      <w:marLeft w:val="0"/>
      <w:marRight w:val="0"/>
      <w:marTop w:val="0"/>
      <w:marBottom w:val="0"/>
      <w:divBdr>
        <w:top w:val="none" w:sz="0" w:space="0" w:color="auto"/>
        <w:left w:val="none" w:sz="0" w:space="0" w:color="auto"/>
        <w:bottom w:val="none" w:sz="0" w:space="0" w:color="auto"/>
        <w:right w:val="none" w:sz="0" w:space="0" w:color="auto"/>
      </w:divBdr>
    </w:div>
    <w:div w:id="503665013">
      <w:bodyDiv w:val="1"/>
      <w:marLeft w:val="0"/>
      <w:marRight w:val="0"/>
      <w:marTop w:val="0"/>
      <w:marBottom w:val="0"/>
      <w:divBdr>
        <w:top w:val="none" w:sz="0" w:space="0" w:color="auto"/>
        <w:left w:val="none" w:sz="0" w:space="0" w:color="auto"/>
        <w:bottom w:val="none" w:sz="0" w:space="0" w:color="auto"/>
        <w:right w:val="none" w:sz="0" w:space="0" w:color="auto"/>
      </w:divBdr>
      <w:divsChild>
        <w:div w:id="1408069354">
          <w:marLeft w:val="0"/>
          <w:marRight w:val="0"/>
          <w:marTop w:val="0"/>
          <w:marBottom w:val="0"/>
          <w:divBdr>
            <w:top w:val="none" w:sz="0" w:space="0" w:color="auto"/>
            <w:left w:val="none" w:sz="0" w:space="0" w:color="auto"/>
            <w:bottom w:val="none" w:sz="0" w:space="0" w:color="auto"/>
            <w:right w:val="none" w:sz="0" w:space="0" w:color="auto"/>
          </w:divBdr>
        </w:div>
      </w:divsChild>
    </w:div>
    <w:div w:id="521821318">
      <w:bodyDiv w:val="1"/>
      <w:marLeft w:val="0"/>
      <w:marRight w:val="0"/>
      <w:marTop w:val="0"/>
      <w:marBottom w:val="0"/>
      <w:divBdr>
        <w:top w:val="none" w:sz="0" w:space="0" w:color="auto"/>
        <w:left w:val="none" w:sz="0" w:space="0" w:color="auto"/>
        <w:bottom w:val="none" w:sz="0" w:space="0" w:color="auto"/>
        <w:right w:val="none" w:sz="0" w:space="0" w:color="auto"/>
      </w:divBdr>
    </w:div>
    <w:div w:id="681977029">
      <w:bodyDiv w:val="1"/>
      <w:marLeft w:val="0"/>
      <w:marRight w:val="0"/>
      <w:marTop w:val="0"/>
      <w:marBottom w:val="0"/>
      <w:divBdr>
        <w:top w:val="none" w:sz="0" w:space="0" w:color="auto"/>
        <w:left w:val="none" w:sz="0" w:space="0" w:color="auto"/>
        <w:bottom w:val="none" w:sz="0" w:space="0" w:color="auto"/>
        <w:right w:val="none" w:sz="0" w:space="0" w:color="auto"/>
      </w:divBdr>
    </w:div>
    <w:div w:id="694889506">
      <w:bodyDiv w:val="1"/>
      <w:marLeft w:val="0"/>
      <w:marRight w:val="0"/>
      <w:marTop w:val="0"/>
      <w:marBottom w:val="0"/>
      <w:divBdr>
        <w:top w:val="none" w:sz="0" w:space="0" w:color="auto"/>
        <w:left w:val="none" w:sz="0" w:space="0" w:color="auto"/>
        <w:bottom w:val="none" w:sz="0" w:space="0" w:color="auto"/>
        <w:right w:val="none" w:sz="0" w:space="0" w:color="auto"/>
      </w:divBdr>
    </w:div>
    <w:div w:id="703408446">
      <w:bodyDiv w:val="1"/>
      <w:marLeft w:val="0"/>
      <w:marRight w:val="0"/>
      <w:marTop w:val="0"/>
      <w:marBottom w:val="0"/>
      <w:divBdr>
        <w:top w:val="none" w:sz="0" w:space="0" w:color="auto"/>
        <w:left w:val="none" w:sz="0" w:space="0" w:color="auto"/>
        <w:bottom w:val="none" w:sz="0" w:space="0" w:color="auto"/>
        <w:right w:val="none" w:sz="0" w:space="0" w:color="auto"/>
      </w:divBdr>
    </w:div>
    <w:div w:id="705251490">
      <w:bodyDiv w:val="1"/>
      <w:marLeft w:val="0"/>
      <w:marRight w:val="0"/>
      <w:marTop w:val="0"/>
      <w:marBottom w:val="0"/>
      <w:divBdr>
        <w:top w:val="none" w:sz="0" w:space="0" w:color="auto"/>
        <w:left w:val="none" w:sz="0" w:space="0" w:color="auto"/>
        <w:bottom w:val="none" w:sz="0" w:space="0" w:color="auto"/>
        <w:right w:val="none" w:sz="0" w:space="0" w:color="auto"/>
      </w:divBdr>
    </w:div>
    <w:div w:id="714279666">
      <w:bodyDiv w:val="1"/>
      <w:marLeft w:val="0"/>
      <w:marRight w:val="0"/>
      <w:marTop w:val="0"/>
      <w:marBottom w:val="0"/>
      <w:divBdr>
        <w:top w:val="none" w:sz="0" w:space="0" w:color="auto"/>
        <w:left w:val="none" w:sz="0" w:space="0" w:color="auto"/>
        <w:bottom w:val="none" w:sz="0" w:space="0" w:color="auto"/>
        <w:right w:val="none" w:sz="0" w:space="0" w:color="auto"/>
      </w:divBdr>
    </w:div>
    <w:div w:id="752236284">
      <w:bodyDiv w:val="1"/>
      <w:marLeft w:val="0"/>
      <w:marRight w:val="0"/>
      <w:marTop w:val="0"/>
      <w:marBottom w:val="0"/>
      <w:divBdr>
        <w:top w:val="none" w:sz="0" w:space="0" w:color="auto"/>
        <w:left w:val="none" w:sz="0" w:space="0" w:color="auto"/>
        <w:bottom w:val="none" w:sz="0" w:space="0" w:color="auto"/>
        <w:right w:val="none" w:sz="0" w:space="0" w:color="auto"/>
      </w:divBdr>
    </w:div>
    <w:div w:id="783579353">
      <w:bodyDiv w:val="1"/>
      <w:marLeft w:val="0"/>
      <w:marRight w:val="0"/>
      <w:marTop w:val="0"/>
      <w:marBottom w:val="0"/>
      <w:divBdr>
        <w:top w:val="none" w:sz="0" w:space="0" w:color="auto"/>
        <w:left w:val="none" w:sz="0" w:space="0" w:color="auto"/>
        <w:bottom w:val="none" w:sz="0" w:space="0" w:color="auto"/>
        <w:right w:val="none" w:sz="0" w:space="0" w:color="auto"/>
      </w:divBdr>
    </w:div>
    <w:div w:id="831262541">
      <w:bodyDiv w:val="1"/>
      <w:marLeft w:val="0"/>
      <w:marRight w:val="0"/>
      <w:marTop w:val="0"/>
      <w:marBottom w:val="0"/>
      <w:divBdr>
        <w:top w:val="none" w:sz="0" w:space="0" w:color="auto"/>
        <w:left w:val="none" w:sz="0" w:space="0" w:color="auto"/>
        <w:bottom w:val="none" w:sz="0" w:space="0" w:color="auto"/>
        <w:right w:val="none" w:sz="0" w:space="0" w:color="auto"/>
      </w:divBdr>
    </w:div>
    <w:div w:id="835539064">
      <w:bodyDiv w:val="1"/>
      <w:marLeft w:val="0"/>
      <w:marRight w:val="0"/>
      <w:marTop w:val="0"/>
      <w:marBottom w:val="0"/>
      <w:divBdr>
        <w:top w:val="none" w:sz="0" w:space="0" w:color="auto"/>
        <w:left w:val="none" w:sz="0" w:space="0" w:color="auto"/>
        <w:bottom w:val="none" w:sz="0" w:space="0" w:color="auto"/>
        <w:right w:val="none" w:sz="0" w:space="0" w:color="auto"/>
      </w:divBdr>
    </w:div>
    <w:div w:id="838738890">
      <w:bodyDiv w:val="1"/>
      <w:marLeft w:val="0"/>
      <w:marRight w:val="0"/>
      <w:marTop w:val="0"/>
      <w:marBottom w:val="0"/>
      <w:divBdr>
        <w:top w:val="none" w:sz="0" w:space="0" w:color="auto"/>
        <w:left w:val="none" w:sz="0" w:space="0" w:color="auto"/>
        <w:bottom w:val="none" w:sz="0" w:space="0" w:color="auto"/>
        <w:right w:val="none" w:sz="0" w:space="0" w:color="auto"/>
      </w:divBdr>
    </w:div>
    <w:div w:id="858396707">
      <w:bodyDiv w:val="1"/>
      <w:marLeft w:val="0"/>
      <w:marRight w:val="0"/>
      <w:marTop w:val="0"/>
      <w:marBottom w:val="0"/>
      <w:divBdr>
        <w:top w:val="none" w:sz="0" w:space="0" w:color="auto"/>
        <w:left w:val="none" w:sz="0" w:space="0" w:color="auto"/>
        <w:bottom w:val="none" w:sz="0" w:space="0" w:color="auto"/>
        <w:right w:val="none" w:sz="0" w:space="0" w:color="auto"/>
      </w:divBdr>
    </w:div>
    <w:div w:id="913584372">
      <w:bodyDiv w:val="1"/>
      <w:marLeft w:val="0"/>
      <w:marRight w:val="0"/>
      <w:marTop w:val="0"/>
      <w:marBottom w:val="0"/>
      <w:divBdr>
        <w:top w:val="none" w:sz="0" w:space="0" w:color="auto"/>
        <w:left w:val="none" w:sz="0" w:space="0" w:color="auto"/>
        <w:bottom w:val="none" w:sz="0" w:space="0" w:color="auto"/>
        <w:right w:val="none" w:sz="0" w:space="0" w:color="auto"/>
      </w:divBdr>
    </w:div>
    <w:div w:id="914244563">
      <w:bodyDiv w:val="1"/>
      <w:marLeft w:val="0"/>
      <w:marRight w:val="0"/>
      <w:marTop w:val="0"/>
      <w:marBottom w:val="0"/>
      <w:divBdr>
        <w:top w:val="none" w:sz="0" w:space="0" w:color="auto"/>
        <w:left w:val="none" w:sz="0" w:space="0" w:color="auto"/>
        <w:bottom w:val="none" w:sz="0" w:space="0" w:color="auto"/>
        <w:right w:val="none" w:sz="0" w:space="0" w:color="auto"/>
      </w:divBdr>
    </w:div>
    <w:div w:id="918559101">
      <w:bodyDiv w:val="1"/>
      <w:marLeft w:val="0"/>
      <w:marRight w:val="0"/>
      <w:marTop w:val="0"/>
      <w:marBottom w:val="0"/>
      <w:divBdr>
        <w:top w:val="none" w:sz="0" w:space="0" w:color="auto"/>
        <w:left w:val="none" w:sz="0" w:space="0" w:color="auto"/>
        <w:bottom w:val="none" w:sz="0" w:space="0" w:color="auto"/>
        <w:right w:val="none" w:sz="0" w:space="0" w:color="auto"/>
      </w:divBdr>
    </w:div>
    <w:div w:id="943810266">
      <w:bodyDiv w:val="1"/>
      <w:marLeft w:val="0"/>
      <w:marRight w:val="0"/>
      <w:marTop w:val="0"/>
      <w:marBottom w:val="0"/>
      <w:divBdr>
        <w:top w:val="none" w:sz="0" w:space="0" w:color="auto"/>
        <w:left w:val="none" w:sz="0" w:space="0" w:color="auto"/>
        <w:bottom w:val="none" w:sz="0" w:space="0" w:color="auto"/>
        <w:right w:val="none" w:sz="0" w:space="0" w:color="auto"/>
      </w:divBdr>
    </w:div>
    <w:div w:id="1030301253">
      <w:bodyDiv w:val="1"/>
      <w:marLeft w:val="0"/>
      <w:marRight w:val="0"/>
      <w:marTop w:val="0"/>
      <w:marBottom w:val="0"/>
      <w:divBdr>
        <w:top w:val="none" w:sz="0" w:space="0" w:color="auto"/>
        <w:left w:val="none" w:sz="0" w:space="0" w:color="auto"/>
        <w:bottom w:val="none" w:sz="0" w:space="0" w:color="auto"/>
        <w:right w:val="none" w:sz="0" w:space="0" w:color="auto"/>
      </w:divBdr>
    </w:div>
    <w:div w:id="1043598516">
      <w:bodyDiv w:val="1"/>
      <w:marLeft w:val="0"/>
      <w:marRight w:val="0"/>
      <w:marTop w:val="0"/>
      <w:marBottom w:val="0"/>
      <w:divBdr>
        <w:top w:val="none" w:sz="0" w:space="0" w:color="auto"/>
        <w:left w:val="none" w:sz="0" w:space="0" w:color="auto"/>
        <w:bottom w:val="none" w:sz="0" w:space="0" w:color="auto"/>
        <w:right w:val="none" w:sz="0" w:space="0" w:color="auto"/>
      </w:divBdr>
    </w:div>
    <w:div w:id="1044716542">
      <w:bodyDiv w:val="1"/>
      <w:marLeft w:val="0"/>
      <w:marRight w:val="0"/>
      <w:marTop w:val="0"/>
      <w:marBottom w:val="0"/>
      <w:divBdr>
        <w:top w:val="none" w:sz="0" w:space="0" w:color="auto"/>
        <w:left w:val="none" w:sz="0" w:space="0" w:color="auto"/>
        <w:bottom w:val="none" w:sz="0" w:space="0" w:color="auto"/>
        <w:right w:val="none" w:sz="0" w:space="0" w:color="auto"/>
      </w:divBdr>
    </w:div>
    <w:div w:id="1116754625">
      <w:bodyDiv w:val="1"/>
      <w:marLeft w:val="0"/>
      <w:marRight w:val="0"/>
      <w:marTop w:val="0"/>
      <w:marBottom w:val="0"/>
      <w:divBdr>
        <w:top w:val="none" w:sz="0" w:space="0" w:color="auto"/>
        <w:left w:val="none" w:sz="0" w:space="0" w:color="auto"/>
        <w:bottom w:val="none" w:sz="0" w:space="0" w:color="auto"/>
        <w:right w:val="none" w:sz="0" w:space="0" w:color="auto"/>
      </w:divBdr>
    </w:div>
    <w:div w:id="1189875194">
      <w:bodyDiv w:val="1"/>
      <w:marLeft w:val="0"/>
      <w:marRight w:val="0"/>
      <w:marTop w:val="0"/>
      <w:marBottom w:val="0"/>
      <w:divBdr>
        <w:top w:val="none" w:sz="0" w:space="0" w:color="auto"/>
        <w:left w:val="none" w:sz="0" w:space="0" w:color="auto"/>
        <w:bottom w:val="none" w:sz="0" w:space="0" w:color="auto"/>
        <w:right w:val="none" w:sz="0" w:space="0" w:color="auto"/>
      </w:divBdr>
    </w:div>
    <w:div w:id="1201361963">
      <w:bodyDiv w:val="1"/>
      <w:marLeft w:val="0"/>
      <w:marRight w:val="0"/>
      <w:marTop w:val="0"/>
      <w:marBottom w:val="0"/>
      <w:divBdr>
        <w:top w:val="none" w:sz="0" w:space="0" w:color="auto"/>
        <w:left w:val="none" w:sz="0" w:space="0" w:color="auto"/>
        <w:bottom w:val="none" w:sz="0" w:space="0" w:color="auto"/>
        <w:right w:val="none" w:sz="0" w:space="0" w:color="auto"/>
      </w:divBdr>
    </w:div>
    <w:div w:id="1202404099">
      <w:bodyDiv w:val="1"/>
      <w:marLeft w:val="0"/>
      <w:marRight w:val="0"/>
      <w:marTop w:val="0"/>
      <w:marBottom w:val="0"/>
      <w:divBdr>
        <w:top w:val="none" w:sz="0" w:space="0" w:color="auto"/>
        <w:left w:val="none" w:sz="0" w:space="0" w:color="auto"/>
        <w:bottom w:val="none" w:sz="0" w:space="0" w:color="auto"/>
        <w:right w:val="none" w:sz="0" w:space="0" w:color="auto"/>
      </w:divBdr>
    </w:div>
    <w:div w:id="1218861146">
      <w:bodyDiv w:val="1"/>
      <w:marLeft w:val="0"/>
      <w:marRight w:val="0"/>
      <w:marTop w:val="0"/>
      <w:marBottom w:val="0"/>
      <w:divBdr>
        <w:top w:val="none" w:sz="0" w:space="0" w:color="auto"/>
        <w:left w:val="none" w:sz="0" w:space="0" w:color="auto"/>
        <w:bottom w:val="none" w:sz="0" w:space="0" w:color="auto"/>
        <w:right w:val="none" w:sz="0" w:space="0" w:color="auto"/>
      </w:divBdr>
    </w:div>
    <w:div w:id="1235503957">
      <w:bodyDiv w:val="1"/>
      <w:marLeft w:val="0"/>
      <w:marRight w:val="0"/>
      <w:marTop w:val="0"/>
      <w:marBottom w:val="0"/>
      <w:divBdr>
        <w:top w:val="none" w:sz="0" w:space="0" w:color="auto"/>
        <w:left w:val="none" w:sz="0" w:space="0" w:color="auto"/>
        <w:bottom w:val="none" w:sz="0" w:space="0" w:color="auto"/>
        <w:right w:val="none" w:sz="0" w:space="0" w:color="auto"/>
      </w:divBdr>
    </w:div>
    <w:div w:id="1414006434">
      <w:bodyDiv w:val="1"/>
      <w:marLeft w:val="0"/>
      <w:marRight w:val="0"/>
      <w:marTop w:val="0"/>
      <w:marBottom w:val="0"/>
      <w:divBdr>
        <w:top w:val="none" w:sz="0" w:space="0" w:color="auto"/>
        <w:left w:val="none" w:sz="0" w:space="0" w:color="auto"/>
        <w:bottom w:val="none" w:sz="0" w:space="0" w:color="auto"/>
        <w:right w:val="none" w:sz="0" w:space="0" w:color="auto"/>
      </w:divBdr>
    </w:div>
    <w:div w:id="1434860164">
      <w:bodyDiv w:val="1"/>
      <w:marLeft w:val="0"/>
      <w:marRight w:val="0"/>
      <w:marTop w:val="0"/>
      <w:marBottom w:val="0"/>
      <w:divBdr>
        <w:top w:val="none" w:sz="0" w:space="0" w:color="auto"/>
        <w:left w:val="none" w:sz="0" w:space="0" w:color="auto"/>
        <w:bottom w:val="none" w:sz="0" w:space="0" w:color="auto"/>
        <w:right w:val="none" w:sz="0" w:space="0" w:color="auto"/>
      </w:divBdr>
    </w:div>
    <w:div w:id="1441142689">
      <w:bodyDiv w:val="1"/>
      <w:marLeft w:val="0"/>
      <w:marRight w:val="0"/>
      <w:marTop w:val="0"/>
      <w:marBottom w:val="0"/>
      <w:divBdr>
        <w:top w:val="none" w:sz="0" w:space="0" w:color="auto"/>
        <w:left w:val="none" w:sz="0" w:space="0" w:color="auto"/>
        <w:bottom w:val="none" w:sz="0" w:space="0" w:color="auto"/>
        <w:right w:val="none" w:sz="0" w:space="0" w:color="auto"/>
      </w:divBdr>
    </w:div>
    <w:div w:id="1466892962">
      <w:bodyDiv w:val="1"/>
      <w:marLeft w:val="0"/>
      <w:marRight w:val="0"/>
      <w:marTop w:val="0"/>
      <w:marBottom w:val="0"/>
      <w:divBdr>
        <w:top w:val="none" w:sz="0" w:space="0" w:color="auto"/>
        <w:left w:val="none" w:sz="0" w:space="0" w:color="auto"/>
        <w:bottom w:val="none" w:sz="0" w:space="0" w:color="auto"/>
        <w:right w:val="none" w:sz="0" w:space="0" w:color="auto"/>
      </w:divBdr>
    </w:div>
    <w:div w:id="1519808397">
      <w:bodyDiv w:val="1"/>
      <w:marLeft w:val="0"/>
      <w:marRight w:val="0"/>
      <w:marTop w:val="0"/>
      <w:marBottom w:val="0"/>
      <w:divBdr>
        <w:top w:val="none" w:sz="0" w:space="0" w:color="auto"/>
        <w:left w:val="none" w:sz="0" w:space="0" w:color="auto"/>
        <w:bottom w:val="none" w:sz="0" w:space="0" w:color="auto"/>
        <w:right w:val="none" w:sz="0" w:space="0" w:color="auto"/>
      </w:divBdr>
    </w:div>
    <w:div w:id="1523086020">
      <w:bodyDiv w:val="1"/>
      <w:marLeft w:val="0"/>
      <w:marRight w:val="0"/>
      <w:marTop w:val="0"/>
      <w:marBottom w:val="0"/>
      <w:divBdr>
        <w:top w:val="none" w:sz="0" w:space="0" w:color="auto"/>
        <w:left w:val="none" w:sz="0" w:space="0" w:color="auto"/>
        <w:bottom w:val="none" w:sz="0" w:space="0" w:color="auto"/>
        <w:right w:val="none" w:sz="0" w:space="0" w:color="auto"/>
      </w:divBdr>
    </w:div>
    <w:div w:id="1556501639">
      <w:bodyDiv w:val="1"/>
      <w:marLeft w:val="0"/>
      <w:marRight w:val="0"/>
      <w:marTop w:val="0"/>
      <w:marBottom w:val="0"/>
      <w:divBdr>
        <w:top w:val="none" w:sz="0" w:space="0" w:color="auto"/>
        <w:left w:val="none" w:sz="0" w:space="0" w:color="auto"/>
        <w:bottom w:val="none" w:sz="0" w:space="0" w:color="auto"/>
        <w:right w:val="none" w:sz="0" w:space="0" w:color="auto"/>
      </w:divBdr>
      <w:divsChild>
        <w:div w:id="327370925">
          <w:marLeft w:val="0"/>
          <w:marRight w:val="180"/>
          <w:marTop w:val="0"/>
          <w:marBottom w:val="0"/>
          <w:divBdr>
            <w:top w:val="none" w:sz="0" w:space="0" w:color="auto"/>
            <w:left w:val="none" w:sz="0" w:space="0" w:color="auto"/>
            <w:bottom w:val="none" w:sz="0" w:space="0" w:color="auto"/>
            <w:right w:val="none" w:sz="0" w:space="0" w:color="auto"/>
          </w:divBdr>
        </w:div>
        <w:div w:id="637950828">
          <w:marLeft w:val="0"/>
          <w:marRight w:val="0"/>
          <w:marTop w:val="0"/>
          <w:marBottom w:val="30"/>
          <w:divBdr>
            <w:top w:val="none" w:sz="0" w:space="0" w:color="auto"/>
            <w:left w:val="none" w:sz="0" w:space="0" w:color="auto"/>
            <w:bottom w:val="none" w:sz="0" w:space="0" w:color="auto"/>
            <w:right w:val="none" w:sz="0" w:space="0" w:color="auto"/>
          </w:divBdr>
          <w:divsChild>
            <w:div w:id="1116633319">
              <w:marLeft w:val="0"/>
              <w:marRight w:val="0"/>
              <w:marTop w:val="48"/>
              <w:marBottom w:val="48"/>
              <w:divBdr>
                <w:top w:val="none" w:sz="0" w:space="0" w:color="auto"/>
                <w:left w:val="none" w:sz="0" w:space="0" w:color="auto"/>
                <w:bottom w:val="none" w:sz="0" w:space="0" w:color="auto"/>
                <w:right w:val="none" w:sz="0" w:space="0" w:color="auto"/>
              </w:divBdr>
            </w:div>
            <w:div w:id="1511287316">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711417558">
      <w:bodyDiv w:val="1"/>
      <w:marLeft w:val="0"/>
      <w:marRight w:val="0"/>
      <w:marTop w:val="0"/>
      <w:marBottom w:val="0"/>
      <w:divBdr>
        <w:top w:val="none" w:sz="0" w:space="0" w:color="auto"/>
        <w:left w:val="none" w:sz="0" w:space="0" w:color="auto"/>
        <w:bottom w:val="none" w:sz="0" w:space="0" w:color="auto"/>
        <w:right w:val="none" w:sz="0" w:space="0" w:color="auto"/>
      </w:divBdr>
    </w:div>
    <w:div w:id="1719014812">
      <w:bodyDiv w:val="1"/>
      <w:marLeft w:val="0"/>
      <w:marRight w:val="0"/>
      <w:marTop w:val="0"/>
      <w:marBottom w:val="0"/>
      <w:divBdr>
        <w:top w:val="none" w:sz="0" w:space="0" w:color="auto"/>
        <w:left w:val="none" w:sz="0" w:space="0" w:color="auto"/>
        <w:bottom w:val="none" w:sz="0" w:space="0" w:color="auto"/>
        <w:right w:val="none" w:sz="0" w:space="0" w:color="auto"/>
      </w:divBdr>
    </w:div>
    <w:div w:id="1723357924">
      <w:bodyDiv w:val="1"/>
      <w:marLeft w:val="0"/>
      <w:marRight w:val="0"/>
      <w:marTop w:val="0"/>
      <w:marBottom w:val="0"/>
      <w:divBdr>
        <w:top w:val="none" w:sz="0" w:space="0" w:color="auto"/>
        <w:left w:val="none" w:sz="0" w:space="0" w:color="auto"/>
        <w:bottom w:val="none" w:sz="0" w:space="0" w:color="auto"/>
        <w:right w:val="none" w:sz="0" w:space="0" w:color="auto"/>
      </w:divBdr>
    </w:div>
    <w:div w:id="1770542097">
      <w:bodyDiv w:val="1"/>
      <w:marLeft w:val="0"/>
      <w:marRight w:val="0"/>
      <w:marTop w:val="0"/>
      <w:marBottom w:val="0"/>
      <w:divBdr>
        <w:top w:val="none" w:sz="0" w:space="0" w:color="auto"/>
        <w:left w:val="none" w:sz="0" w:space="0" w:color="auto"/>
        <w:bottom w:val="none" w:sz="0" w:space="0" w:color="auto"/>
        <w:right w:val="none" w:sz="0" w:space="0" w:color="auto"/>
      </w:divBdr>
    </w:div>
    <w:div w:id="1855532777">
      <w:bodyDiv w:val="1"/>
      <w:marLeft w:val="0"/>
      <w:marRight w:val="0"/>
      <w:marTop w:val="0"/>
      <w:marBottom w:val="0"/>
      <w:divBdr>
        <w:top w:val="none" w:sz="0" w:space="0" w:color="auto"/>
        <w:left w:val="none" w:sz="0" w:space="0" w:color="auto"/>
        <w:bottom w:val="none" w:sz="0" w:space="0" w:color="auto"/>
        <w:right w:val="none" w:sz="0" w:space="0" w:color="auto"/>
      </w:divBdr>
    </w:div>
    <w:div w:id="1872914196">
      <w:bodyDiv w:val="1"/>
      <w:marLeft w:val="0"/>
      <w:marRight w:val="0"/>
      <w:marTop w:val="0"/>
      <w:marBottom w:val="0"/>
      <w:divBdr>
        <w:top w:val="none" w:sz="0" w:space="0" w:color="auto"/>
        <w:left w:val="none" w:sz="0" w:space="0" w:color="auto"/>
        <w:bottom w:val="none" w:sz="0" w:space="0" w:color="auto"/>
        <w:right w:val="none" w:sz="0" w:space="0" w:color="auto"/>
      </w:divBdr>
    </w:div>
    <w:div w:id="1897011176">
      <w:bodyDiv w:val="1"/>
      <w:marLeft w:val="0"/>
      <w:marRight w:val="0"/>
      <w:marTop w:val="0"/>
      <w:marBottom w:val="0"/>
      <w:divBdr>
        <w:top w:val="none" w:sz="0" w:space="0" w:color="auto"/>
        <w:left w:val="none" w:sz="0" w:space="0" w:color="auto"/>
        <w:bottom w:val="none" w:sz="0" w:space="0" w:color="auto"/>
        <w:right w:val="none" w:sz="0" w:space="0" w:color="auto"/>
      </w:divBdr>
    </w:div>
    <w:div w:id="1902279329">
      <w:bodyDiv w:val="1"/>
      <w:marLeft w:val="0"/>
      <w:marRight w:val="0"/>
      <w:marTop w:val="0"/>
      <w:marBottom w:val="0"/>
      <w:divBdr>
        <w:top w:val="none" w:sz="0" w:space="0" w:color="auto"/>
        <w:left w:val="none" w:sz="0" w:space="0" w:color="auto"/>
        <w:bottom w:val="none" w:sz="0" w:space="0" w:color="auto"/>
        <w:right w:val="none" w:sz="0" w:space="0" w:color="auto"/>
      </w:divBdr>
    </w:div>
    <w:div w:id="1968310870">
      <w:bodyDiv w:val="1"/>
      <w:marLeft w:val="0"/>
      <w:marRight w:val="0"/>
      <w:marTop w:val="0"/>
      <w:marBottom w:val="0"/>
      <w:divBdr>
        <w:top w:val="none" w:sz="0" w:space="0" w:color="auto"/>
        <w:left w:val="none" w:sz="0" w:space="0" w:color="auto"/>
        <w:bottom w:val="none" w:sz="0" w:space="0" w:color="auto"/>
        <w:right w:val="none" w:sz="0" w:space="0" w:color="auto"/>
      </w:divBdr>
    </w:div>
    <w:div w:id="2031946995">
      <w:bodyDiv w:val="1"/>
      <w:marLeft w:val="0"/>
      <w:marRight w:val="0"/>
      <w:marTop w:val="0"/>
      <w:marBottom w:val="0"/>
      <w:divBdr>
        <w:top w:val="none" w:sz="0" w:space="0" w:color="auto"/>
        <w:left w:val="none" w:sz="0" w:space="0" w:color="auto"/>
        <w:bottom w:val="none" w:sz="0" w:space="0" w:color="auto"/>
        <w:right w:val="none" w:sz="0" w:space="0" w:color="auto"/>
      </w:divBdr>
    </w:div>
    <w:div w:id="2094232997">
      <w:bodyDiv w:val="1"/>
      <w:marLeft w:val="0"/>
      <w:marRight w:val="0"/>
      <w:marTop w:val="0"/>
      <w:marBottom w:val="0"/>
      <w:divBdr>
        <w:top w:val="none" w:sz="0" w:space="0" w:color="auto"/>
        <w:left w:val="none" w:sz="0" w:space="0" w:color="auto"/>
        <w:bottom w:val="none" w:sz="0" w:space="0" w:color="auto"/>
        <w:right w:val="none" w:sz="0" w:space="0" w:color="auto"/>
      </w:divBdr>
    </w:div>
    <w:div w:id="2109422740">
      <w:bodyDiv w:val="1"/>
      <w:marLeft w:val="0"/>
      <w:marRight w:val="0"/>
      <w:marTop w:val="0"/>
      <w:marBottom w:val="0"/>
      <w:divBdr>
        <w:top w:val="none" w:sz="0" w:space="0" w:color="auto"/>
        <w:left w:val="none" w:sz="0" w:space="0" w:color="auto"/>
        <w:bottom w:val="none" w:sz="0" w:space="0" w:color="auto"/>
        <w:right w:val="none" w:sz="0" w:space="0" w:color="auto"/>
      </w:divBdr>
    </w:div>
    <w:div w:id="2117483474">
      <w:bodyDiv w:val="1"/>
      <w:marLeft w:val="0"/>
      <w:marRight w:val="0"/>
      <w:marTop w:val="0"/>
      <w:marBottom w:val="0"/>
      <w:divBdr>
        <w:top w:val="none" w:sz="0" w:space="0" w:color="auto"/>
        <w:left w:val="none" w:sz="0" w:space="0" w:color="auto"/>
        <w:bottom w:val="none" w:sz="0" w:space="0" w:color="auto"/>
        <w:right w:val="none" w:sz="0" w:space="0" w:color="auto"/>
      </w:divBdr>
    </w:div>
    <w:div w:id="214199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islmblogblog.files.wordpress.com/2016/05/rme-edu-helpline-blogspot-com.pdf" TargetMode="External"/><Relationship Id="rId26" Type="http://schemas.openxmlformats.org/officeDocument/2006/relationships/hyperlink" Target="https://www.nccih.nih.gov/" TargetMode="External"/><Relationship Id="rId3" Type="http://schemas.openxmlformats.org/officeDocument/2006/relationships/settings" Target="settings.xml"/><Relationship Id="rId21" Type="http://schemas.openxmlformats.org/officeDocument/2006/relationships/hyperlink" Target="https://doi.org/10.1007/s12671-015-0389-4"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www.bera.ac.uk/publication/ethicalguidelines-for-educational-research-2024" TargetMode="External"/><Relationship Id="rId25" Type="http://schemas.openxmlformats.org/officeDocument/2006/relationships/hyperlink" Target="https://www.google.com/search?q=mindfulness+definition&amp;oq=mindfulness+de&amp;gs_lcrp=EgZjaHJvbWUqBwgAEAAYgAQyBwgAEAAYgAQyBwgBEAAYgAQyBggCEEUYOTIMCAMQABgUGIcCGIAEMgcIBBAAGIAEMgcIBRAAGIAEMgYIBhBFGDwyBggHEEUYPagCALACAA&amp;sourceid=chrome&amp;ie=UTF-8"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l2y5vWc5wxQ" TargetMode="External"/><Relationship Id="rId20" Type="http://schemas.openxmlformats.org/officeDocument/2006/relationships/hyperlink" Target="https://doi.org/10.1007/s10566-020-09558-1" TargetMode="External"/><Relationship Id="rId29" Type="http://schemas.openxmlformats.org/officeDocument/2006/relationships/hyperlink" Target="https://hwb.gov.wales/curriculum-for-wales/curriculum-for-wales-continuing-the-journe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sca_esv=bef7a8396144dd68&amp;sxsrf=ACQVn08HddDWzR0Kw6uLQd-mgYdlXDE2vw:1714733151517&amp;q=sensations&amp;si=AKbGX_pt4UlL1m2gNC94R_NJDj6SOGWqTtzANhODFVOKcIxpJUj7isjTFMvjP4fnfSpo29DkFY8NyI6dVCgo7fuMPEKooghLv1AzYz2qjwmaEYTWSE6FMBw%3D&amp;expnd=1&amp;sa=X&amp;sqi=2&amp;ved=2ahUKEwiiwoXjpvGFAxXxUUEAHR6pA1kQyecJegQIEBAR" TargetMode="External"/><Relationship Id="rId24" Type="http://schemas.openxmlformats.org/officeDocument/2006/relationships/hyperlink" Target="https://doi.org/10.3390/educsci1008021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glmedi.2024.100051" TargetMode="External"/><Relationship Id="rId23" Type="http://schemas.openxmlformats.org/officeDocument/2006/relationships/hyperlink" Target="https://doi.org/10.1016%2Fj.jsp.2006.09.002" TargetMode="External"/><Relationship Id="rId28" Type="http://schemas.openxmlformats.org/officeDocument/2006/relationships/hyperlink" Target="https://doi.org/10.1007/s10802-022-00947-9" TargetMode="External"/><Relationship Id="rId10" Type="http://schemas.openxmlformats.org/officeDocument/2006/relationships/hyperlink" Target="https://www.google.com/search?sca_esv=bef7a8396144dd68&amp;sxsrf=ACQVn08HddDWzR0Kw6uLQd-mgYdlXDE2vw:1714733151517&amp;q=acknowledging&amp;si=AKbGX_rpiB5SI0gaPs4Uz3xaG0X4g_24ouTqRLKOarg3afGNc-ZShDyYZlMhRRyXfpf4YZCb2hqg1Y-w1_oflml0embf2-UZwn7cQaZ73Mz3GxHmze0nLxo%3D&amp;expnd=1&amp;sa=X&amp;sqi=2&amp;ved=2ahUKEwiiwoXjpvGFAxXxUUEAHR6pA1kQyecJegQIEBAQ" TargetMode="External"/><Relationship Id="rId19" Type="http://schemas.openxmlformats.org/officeDocument/2006/relationships/hyperlink" Target="https://www.gov.wales/sites/default/files/publications/2018-03/successful-futures.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search?sca_esv=bef7a8396144dd68&amp;sxsrf=ACQVn08HddDWzR0Kw6uLQd-mgYdlXDE2vw:1714733151517&amp;q=calmly&amp;si=AKbGX_qMqBjhUm3ZRWjCp4_5aZjJ09L8LrRuxQWvGT6n-tHZO-1SxUL2E8JHRE9OXkfjZ_dyF9vTPh5oQHCztwkAPBh0x3X-wg%3D%3D&amp;expnd=1&amp;sa=X&amp;sqi=2&amp;ved=2ahUKEwiiwoXjpvGFAxXxUUEAHR6pA1kQyecJegQIEBAP" TargetMode="External"/><Relationship Id="rId14" Type="http://schemas.openxmlformats.org/officeDocument/2006/relationships/chart" Target="charts/chart2.xml"/><Relationship Id="rId22" Type="http://schemas.openxmlformats.org/officeDocument/2006/relationships/hyperlink" Target="https://doi.org/10.1080/10888691.2023.2297026" TargetMode="External"/><Relationship Id="rId27" Type="http://schemas.openxmlformats.org/officeDocument/2006/relationships/hyperlink" Target="https://doi.org/10.1177/1476718X221145484" TargetMode="External"/><Relationship Id="rId30" Type="http://schemas.openxmlformats.org/officeDocument/2006/relationships/hyperlink" Target="http://nsuworks.nova.edu/tqr/vol20/iss2/12" TargetMode="Externa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48638d6a12f9689/PGCE/7004%20-%206010/Research%20Documents/Data%20Analysis/Questionnair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148638d6a12f9689/PGCE/7004%20-%206010/Research%20Documents/Data%20Analysis/Questionnaire%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'can you create the first option'!$B$1</c:f>
              <c:strCache>
                <c:ptCount val="1"/>
                <c:pt idx="0">
                  <c:v>Day 1 (Avg. Score)</c:v>
                </c:pt>
              </c:strCache>
            </c:strRef>
          </c:tx>
          <c:spPr>
            <a:solidFill>
              <a:schemeClr val="accent1"/>
            </a:solidFill>
            <a:ln>
              <a:noFill/>
            </a:ln>
            <a:effectLst/>
          </c:spPr>
          <c:invertIfNegative val="0"/>
          <c:cat>
            <c:strRef>
              <c:f>'can you create the first option'!$A$2:$A$8</c:f>
              <c:strCache>
                <c:ptCount val="7"/>
                <c:pt idx="0">
                  <c:v>Engagement in Lesson Questions</c:v>
                </c:pt>
                <c:pt idx="1">
                  <c:v>Question 1 (Did you learn something new today?)</c:v>
                </c:pt>
                <c:pt idx="2">
                  <c:v>Question 2 (Did you use your brain a lot in the lesson?)</c:v>
                </c:pt>
                <c:pt idx="3">
                  <c:v>Question 3 (Was the lesson fun?)</c:v>
                </c:pt>
                <c:pt idx="4">
                  <c:v>Question 4 (Do you feel like you could help others understand what you learned?)</c:v>
                </c:pt>
                <c:pt idx="5">
                  <c:v>Question 5 (How actively did you participate?)</c:v>
                </c:pt>
                <c:pt idx="6">
                  <c:v>Question 6 (Did you find it easy to understand?)</c:v>
                </c:pt>
              </c:strCache>
            </c:strRef>
          </c:cat>
          <c:val>
            <c:numRef>
              <c:f>'can you create the first option'!$B$2:$B$8</c:f>
              <c:numCache>
                <c:formatCode>General</c:formatCode>
                <c:ptCount val="7"/>
                <c:pt idx="1">
                  <c:v>3.2</c:v>
                </c:pt>
                <c:pt idx="2">
                  <c:v>3.5</c:v>
                </c:pt>
                <c:pt idx="3">
                  <c:v>3.7</c:v>
                </c:pt>
                <c:pt idx="4">
                  <c:v>2.8</c:v>
                </c:pt>
                <c:pt idx="5">
                  <c:v>2.8</c:v>
                </c:pt>
                <c:pt idx="6">
                  <c:v>2.2000000000000002</c:v>
                </c:pt>
              </c:numCache>
            </c:numRef>
          </c:val>
          <c:extLst>
            <c:ext xmlns:c16="http://schemas.microsoft.com/office/drawing/2014/chart" uri="{C3380CC4-5D6E-409C-BE32-E72D297353CC}">
              <c16:uniqueId val="{00000000-6EE2-4FF9-8B02-E7BE73FB7E82}"/>
            </c:ext>
          </c:extLst>
        </c:ser>
        <c:ser>
          <c:idx val="1"/>
          <c:order val="1"/>
          <c:tx>
            <c:strRef>
              <c:f>'can you create the first option'!$C$1</c:f>
              <c:strCache>
                <c:ptCount val="1"/>
                <c:pt idx="0">
                  <c:v>Day 2 (Avg. Score)</c:v>
                </c:pt>
              </c:strCache>
            </c:strRef>
          </c:tx>
          <c:spPr>
            <a:solidFill>
              <a:schemeClr val="accent2"/>
            </a:solidFill>
            <a:ln>
              <a:noFill/>
            </a:ln>
            <a:effectLst/>
          </c:spPr>
          <c:invertIfNegative val="0"/>
          <c:cat>
            <c:strRef>
              <c:f>'can you create the first option'!$A$2:$A$8</c:f>
              <c:strCache>
                <c:ptCount val="7"/>
                <c:pt idx="0">
                  <c:v>Engagement in Lesson Questions</c:v>
                </c:pt>
                <c:pt idx="1">
                  <c:v>Question 1 (Did you learn something new today?)</c:v>
                </c:pt>
                <c:pt idx="2">
                  <c:v>Question 2 (Did you use your brain a lot in the lesson?)</c:v>
                </c:pt>
                <c:pt idx="3">
                  <c:v>Question 3 (Was the lesson fun?)</c:v>
                </c:pt>
                <c:pt idx="4">
                  <c:v>Question 4 (Do you feel like you could help others understand what you learned?)</c:v>
                </c:pt>
                <c:pt idx="5">
                  <c:v>Question 5 (How actively did you participate?)</c:v>
                </c:pt>
                <c:pt idx="6">
                  <c:v>Question 6 (Did you find it easy to understand?)</c:v>
                </c:pt>
              </c:strCache>
            </c:strRef>
          </c:cat>
          <c:val>
            <c:numRef>
              <c:f>'can you create the first option'!$C$2:$C$8</c:f>
              <c:numCache>
                <c:formatCode>General</c:formatCode>
                <c:ptCount val="7"/>
                <c:pt idx="1">
                  <c:v>3.6</c:v>
                </c:pt>
                <c:pt idx="2">
                  <c:v>3.8</c:v>
                </c:pt>
                <c:pt idx="3">
                  <c:v>4</c:v>
                </c:pt>
                <c:pt idx="4">
                  <c:v>2.8</c:v>
                </c:pt>
                <c:pt idx="5">
                  <c:v>3.2</c:v>
                </c:pt>
                <c:pt idx="6">
                  <c:v>3.8</c:v>
                </c:pt>
              </c:numCache>
            </c:numRef>
          </c:val>
          <c:extLst>
            <c:ext xmlns:c16="http://schemas.microsoft.com/office/drawing/2014/chart" uri="{C3380CC4-5D6E-409C-BE32-E72D297353CC}">
              <c16:uniqueId val="{00000001-6EE2-4FF9-8B02-E7BE73FB7E82}"/>
            </c:ext>
          </c:extLst>
        </c:ser>
        <c:dLbls>
          <c:showLegendKey val="0"/>
          <c:showVal val="0"/>
          <c:showCatName val="0"/>
          <c:showSerName val="0"/>
          <c:showPercent val="0"/>
          <c:showBubbleSize val="0"/>
        </c:dLbls>
        <c:gapWidth val="219"/>
        <c:overlap val="-27"/>
        <c:axId val="118430223"/>
        <c:axId val="118421583"/>
      </c:barChart>
      <c:catAx>
        <c:axId val="118430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21583"/>
        <c:crosses val="autoZero"/>
        <c:auto val="1"/>
        <c:lblAlgn val="ctr"/>
        <c:lblOffset val="100"/>
        <c:noMultiLvlLbl val="0"/>
      </c:catAx>
      <c:valAx>
        <c:axId val="118421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30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spPr>
            <a:solidFill>
              <a:schemeClr val="accent1"/>
            </a:solidFill>
            <a:ln>
              <a:noFill/>
            </a:ln>
            <a:effectLst/>
            <a:sp3d/>
          </c:spPr>
          <c:invertIfNegative val="0"/>
          <c:cat>
            <c:strRef>
              <c:f>'can you create the first option'!$A$9:$A$15</c:f>
              <c:strCache>
                <c:ptCount val="7"/>
                <c:pt idx="0">
                  <c:v>Focus &amp; Mindfulness (Day 2 only)</c:v>
                </c:pt>
                <c:pt idx="1">
                  <c:v>How well did you focus on your breathing during the mindfulness activity?</c:v>
                </c:pt>
                <c:pt idx="2">
                  <c:v>How calm did you feel during the mindfulness activity?</c:v>
                </c:pt>
                <c:pt idx="3">
                  <c:v>How quiet and still were you during the mindfulness activity?</c:v>
                </c:pt>
                <c:pt idx="4">
                  <c:v>How well did you listen to the instructions for the mindfulness activity?</c:v>
                </c:pt>
                <c:pt idx="5">
                  <c:v>Do you feel more ready to learn after doing the mindfulness activity?</c:v>
                </c:pt>
                <c:pt idx="6">
                  <c:v>Did the mindful activity help you understand the topic better?</c:v>
                </c:pt>
              </c:strCache>
            </c:strRef>
          </c:cat>
          <c:val>
            <c:numRef>
              <c:f>'can you create the first option'!$B$9:$B$15</c:f>
              <c:numCache>
                <c:formatCode>General</c:formatCode>
                <c:ptCount val="7"/>
              </c:numCache>
            </c:numRef>
          </c:val>
          <c:extLst>
            <c:ext xmlns:c16="http://schemas.microsoft.com/office/drawing/2014/chart" uri="{C3380CC4-5D6E-409C-BE32-E72D297353CC}">
              <c16:uniqueId val="{00000000-AC9F-4407-A0EF-B56A78B43A44}"/>
            </c:ext>
          </c:extLst>
        </c:ser>
        <c:ser>
          <c:idx val="1"/>
          <c:order val="1"/>
          <c:spPr>
            <a:solidFill>
              <a:schemeClr val="accent2"/>
            </a:solidFill>
            <a:ln>
              <a:noFill/>
            </a:ln>
            <a:effectLst/>
            <a:sp3d/>
          </c:spPr>
          <c:invertIfNegative val="0"/>
          <c:cat>
            <c:strRef>
              <c:f>'can you create the first option'!$A$9:$A$15</c:f>
              <c:strCache>
                <c:ptCount val="7"/>
                <c:pt idx="0">
                  <c:v>Focus &amp; Mindfulness (Day 2 only)</c:v>
                </c:pt>
                <c:pt idx="1">
                  <c:v>How well did you focus on your breathing during the mindfulness activity?</c:v>
                </c:pt>
                <c:pt idx="2">
                  <c:v>How calm did you feel during the mindfulness activity?</c:v>
                </c:pt>
                <c:pt idx="3">
                  <c:v>How quiet and still were you during the mindfulness activity?</c:v>
                </c:pt>
                <c:pt idx="4">
                  <c:v>How well did you listen to the instructions for the mindfulness activity?</c:v>
                </c:pt>
                <c:pt idx="5">
                  <c:v>Do you feel more ready to learn after doing the mindfulness activity?</c:v>
                </c:pt>
                <c:pt idx="6">
                  <c:v>Did the mindful activity help you understand the topic better?</c:v>
                </c:pt>
              </c:strCache>
            </c:strRef>
          </c:cat>
          <c:val>
            <c:numRef>
              <c:f>'can you create the first option'!$C$9:$C$15</c:f>
              <c:numCache>
                <c:formatCode>General</c:formatCode>
                <c:ptCount val="7"/>
                <c:pt idx="1">
                  <c:v>4</c:v>
                </c:pt>
                <c:pt idx="2">
                  <c:v>3.2</c:v>
                </c:pt>
                <c:pt idx="3">
                  <c:v>3</c:v>
                </c:pt>
                <c:pt idx="4">
                  <c:v>3.8</c:v>
                </c:pt>
                <c:pt idx="5">
                  <c:v>3.3</c:v>
                </c:pt>
                <c:pt idx="6">
                  <c:v>3.8</c:v>
                </c:pt>
              </c:numCache>
            </c:numRef>
          </c:val>
          <c:extLst>
            <c:ext xmlns:c16="http://schemas.microsoft.com/office/drawing/2014/chart" uri="{C3380CC4-5D6E-409C-BE32-E72D297353CC}">
              <c16:uniqueId val="{00000001-AC9F-4407-A0EF-B56A78B43A44}"/>
            </c:ext>
          </c:extLst>
        </c:ser>
        <c:dLbls>
          <c:showLegendKey val="0"/>
          <c:showVal val="0"/>
          <c:showCatName val="0"/>
          <c:showSerName val="0"/>
          <c:showPercent val="0"/>
          <c:showBubbleSize val="0"/>
        </c:dLbls>
        <c:gapWidth val="150"/>
        <c:shape val="box"/>
        <c:axId val="27517887"/>
        <c:axId val="27515967"/>
        <c:axId val="0"/>
      </c:bar3DChart>
      <c:catAx>
        <c:axId val="2751788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15967"/>
        <c:crosses val="autoZero"/>
        <c:auto val="1"/>
        <c:lblAlgn val="ctr"/>
        <c:lblOffset val="100"/>
        <c:noMultiLvlLbl val="0"/>
      </c:catAx>
      <c:valAx>
        <c:axId val="275159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17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6315</Words>
  <Characters>36001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conduct and critically evaluate a close-to-practice research project focusing on the model of the transformative teacher in developing practice that has a positive impact on the learner.</dc:title>
  <dc:subject>2312417 Elizabeth Lyle</dc:subject>
  <dc:creator>Liz Lyle</dc:creator>
  <cp:keywords/>
  <dc:description/>
  <cp:lastModifiedBy>Liz Lyle</cp:lastModifiedBy>
  <cp:revision>606</cp:revision>
  <dcterms:created xsi:type="dcterms:W3CDTF">2024-03-11T12:24:00Z</dcterms:created>
  <dcterms:modified xsi:type="dcterms:W3CDTF">2024-05-04T10:18:00Z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3b4c40851f4bfb281cd6cea5b147e550aef63682bf33b47f96c8e65ee9b30091</vt:lpwstr>
  </property>
</Properties>
</file>