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BE4EC" w14:textId="1C70407D" w:rsidR="00DC4277" w:rsidRDefault="00E45854" w:rsidP="00753ECF">
      <w:r>
        <w:rPr>
          <w:noProof/>
        </w:rPr>
        <w:drawing>
          <wp:anchor distT="0" distB="0" distL="114300" distR="114300" simplePos="0" relativeHeight="251658240" behindDoc="0" locked="0" layoutInCell="1" allowOverlap="1" wp14:anchorId="0122356B" wp14:editId="1966B795">
            <wp:simplePos x="0" y="0"/>
            <wp:positionH relativeFrom="margin">
              <wp:align>left</wp:align>
            </wp:positionH>
            <wp:positionV relativeFrom="paragraph">
              <wp:posOffset>0</wp:posOffset>
            </wp:positionV>
            <wp:extent cx="2865120" cy="1146776"/>
            <wp:effectExtent l="0" t="0" r="0" b="0"/>
            <wp:wrapSquare wrapText="bothSides"/>
            <wp:docPr id="712320329"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320329" name="Picture 1" descr="A close-up of black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5120" cy="1146776"/>
                    </a:xfrm>
                    <a:prstGeom prst="rect">
                      <a:avLst/>
                    </a:prstGeom>
                    <a:noFill/>
                  </pic:spPr>
                </pic:pic>
              </a:graphicData>
            </a:graphic>
          </wp:anchor>
        </w:drawing>
      </w:r>
      <w:r w:rsidR="00F710AB">
        <w:t xml:space="preserve"> </w:t>
      </w:r>
    </w:p>
    <w:p w14:paraId="4BEA1131" w14:textId="77777777" w:rsidR="00DC4277" w:rsidRDefault="00DC4277" w:rsidP="00753ECF"/>
    <w:p w14:paraId="6DA26E5F" w14:textId="77777777" w:rsidR="009D4B5C" w:rsidRDefault="009D4B5C" w:rsidP="00753ECF"/>
    <w:p w14:paraId="3215C389" w14:textId="77777777" w:rsidR="0065268A" w:rsidRDefault="0065268A" w:rsidP="00753ECF">
      <w:pPr>
        <w:rPr>
          <w:color w:val="000000"/>
        </w:rPr>
      </w:pPr>
    </w:p>
    <w:p w14:paraId="0B713018" w14:textId="38445FA3" w:rsidR="00DC4277" w:rsidRPr="0065268A" w:rsidRDefault="001F11D8" w:rsidP="0065268A">
      <w:pPr>
        <w:jc w:val="center"/>
        <w:rPr>
          <w:sz w:val="48"/>
          <w:szCs w:val="48"/>
        </w:rPr>
      </w:pPr>
      <w:r w:rsidRPr="0065268A">
        <w:rPr>
          <w:color w:val="000000"/>
          <w:sz w:val="48"/>
          <w:szCs w:val="48"/>
        </w:rPr>
        <w:t>M</w:t>
      </w:r>
      <w:r w:rsidR="00F958C6" w:rsidRPr="0065268A">
        <w:rPr>
          <w:color w:val="000000"/>
          <w:sz w:val="48"/>
          <w:szCs w:val="48"/>
        </w:rPr>
        <w:t>S</w:t>
      </w:r>
      <w:r w:rsidRPr="0065268A">
        <w:rPr>
          <w:color w:val="000000"/>
          <w:sz w:val="48"/>
          <w:szCs w:val="48"/>
        </w:rPr>
        <w:t>c</w:t>
      </w:r>
      <w:r w:rsidR="00E45854" w:rsidRPr="0065268A">
        <w:rPr>
          <w:color w:val="000000"/>
          <w:sz w:val="48"/>
          <w:szCs w:val="48"/>
        </w:rPr>
        <w:t xml:space="preserve"> </w:t>
      </w:r>
      <w:r w:rsidR="009D4B5C" w:rsidRPr="0065268A">
        <w:rPr>
          <w:sz w:val="48"/>
          <w:szCs w:val="48"/>
        </w:rPr>
        <w:t>Motorsport Engineering</w:t>
      </w:r>
    </w:p>
    <w:p w14:paraId="104ECCAF" w14:textId="77777777" w:rsidR="00DC4277" w:rsidRPr="00E45854" w:rsidRDefault="00DC4277" w:rsidP="00753EC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3"/>
        <w:gridCol w:w="5944"/>
      </w:tblGrid>
      <w:tr w:rsidR="00DC4277" w14:paraId="7588E52F" w14:textId="77777777" w:rsidTr="000937DE">
        <w:trPr>
          <w:trHeight w:val="498"/>
          <w:jc w:val="center"/>
        </w:trPr>
        <w:tc>
          <w:tcPr>
            <w:tcW w:w="3043" w:type="dxa"/>
            <w:shd w:val="clear" w:color="auto" w:fill="auto"/>
          </w:tcPr>
          <w:p w14:paraId="3A0EFF63" w14:textId="77777777" w:rsidR="00DC4277" w:rsidRPr="000937DE" w:rsidRDefault="009D4B5C" w:rsidP="00753ECF">
            <w:pPr>
              <w:rPr>
                <w:i/>
                <w:iCs/>
                <w:sz w:val="28"/>
                <w:szCs w:val="32"/>
              </w:rPr>
            </w:pPr>
            <w:r w:rsidRPr="000937DE">
              <w:rPr>
                <w:i/>
                <w:iCs/>
                <w:sz w:val="28"/>
                <w:szCs w:val="32"/>
              </w:rPr>
              <w:t>Assessment Title</w:t>
            </w:r>
          </w:p>
        </w:tc>
        <w:tc>
          <w:tcPr>
            <w:tcW w:w="5944" w:type="dxa"/>
            <w:shd w:val="clear" w:color="auto" w:fill="auto"/>
          </w:tcPr>
          <w:p w14:paraId="6C683A13" w14:textId="2CEB9C20" w:rsidR="00DC4277" w:rsidRPr="000937DE" w:rsidRDefault="004710CB" w:rsidP="00753ECF">
            <w:pPr>
              <w:rPr>
                <w:sz w:val="24"/>
                <w:szCs w:val="28"/>
              </w:rPr>
            </w:pPr>
            <w:r w:rsidRPr="004710CB">
              <w:rPr>
                <w:sz w:val="24"/>
              </w:rPr>
              <w:t>CFD and Emissions Modelling</w:t>
            </w:r>
          </w:p>
        </w:tc>
      </w:tr>
      <w:tr w:rsidR="00DC4277" w14:paraId="203E0AFB" w14:textId="77777777" w:rsidTr="000937DE">
        <w:trPr>
          <w:trHeight w:val="530"/>
          <w:jc w:val="center"/>
        </w:trPr>
        <w:tc>
          <w:tcPr>
            <w:tcW w:w="3043" w:type="dxa"/>
            <w:shd w:val="clear" w:color="auto" w:fill="auto"/>
          </w:tcPr>
          <w:p w14:paraId="1FCD26B3" w14:textId="77777777" w:rsidR="00DC4277" w:rsidRPr="000937DE" w:rsidRDefault="00DC4277" w:rsidP="00753ECF">
            <w:pPr>
              <w:rPr>
                <w:i/>
                <w:iCs/>
                <w:sz w:val="28"/>
                <w:szCs w:val="32"/>
              </w:rPr>
            </w:pPr>
            <w:r w:rsidRPr="000937DE">
              <w:rPr>
                <w:i/>
                <w:iCs/>
                <w:sz w:val="28"/>
                <w:szCs w:val="32"/>
              </w:rPr>
              <w:t>Module Number</w:t>
            </w:r>
          </w:p>
        </w:tc>
        <w:tc>
          <w:tcPr>
            <w:tcW w:w="5944" w:type="dxa"/>
            <w:shd w:val="clear" w:color="auto" w:fill="auto"/>
          </w:tcPr>
          <w:p w14:paraId="1C5266CA" w14:textId="02FF5436" w:rsidR="00DC4277" w:rsidRPr="001F11D8" w:rsidRDefault="00070A9B" w:rsidP="00753ECF">
            <w:pPr>
              <w:rPr>
                <w:sz w:val="27"/>
                <w:szCs w:val="27"/>
              </w:rPr>
            </w:pPr>
            <w:r w:rsidRPr="000937DE">
              <w:rPr>
                <w:sz w:val="24"/>
                <w:szCs w:val="28"/>
              </w:rPr>
              <w:t>ACEB700</w:t>
            </w:r>
            <w:r w:rsidR="004710CB">
              <w:rPr>
                <w:sz w:val="24"/>
                <w:szCs w:val="28"/>
              </w:rPr>
              <w:t>5</w:t>
            </w:r>
          </w:p>
        </w:tc>
      </w:tr>
      <w:tr w:rsidR="001F11D8" w14:paraId="1978790D" w14:textId="77777777" w:rsidTr="001F11D8">
        <w:trPr>
          <w:trHeight w:val="798"/>
          <w:jc w:val="center"/>
        </w:trPr>
        <w:tc>
          <w:tcPr>
            <w:tcW w:w="3043" w:type="dxa"/>
            <w:shd w:val="clear" w:color="auto" w:fill="auto"/>
          </w:tcPr>
          <w:p w14:paraId="0738107C" w14:textId="77777777" w:rsidR="001F11D8" w:rsidRPr="000937DE" w:rsidRDefault="001F11D8" w:rsidP="00753ECF">
            <w:pPr>
              <w:rPr>
                <w:i/>
                <w:iCs/>
                <w:sz w:val="28"/>
                <w:szCs w:val="32"/>
              </w:rPr>
            </w:pPr>
            <w:r w:rsidRPr="000937DE">
              <w:rPr>
                <w:i/>
                <w:iCs/>
                <w:sz w:val="28"/>
                <w:szCs w:val="32"/>
              </w:rPr>
              <w:t>Module Name</w:t>
            </w:r>
          </w:p>
        </w:tc>
        <w:tc>
          <w:tcPr>
            <w:tcW w:w="5944" w:type="dxa"/>
            <w:shd w:val="clear" w:color="auto" w:fill="auto"/>
          </w:tcPr>
          <w:p w14:paraId="0CDD1B99" w14:textId="44796C32" w:rsidR="001F11D8" w:rsidRPr="000937DE" w:rsidRDefault="004710CB" w:rsidP="00753ECF">
            <w:pPr>
              <w:rPr>
                <w:sz w:val="24"/>
                <w:szCs w:val="28"/>
              </w:rPr>
            </w:pPr>
            <w:r w:rsidRPr="004710CB">
              <w:rPr>
                <w:sz w:val="24"/>
                <w:szCs w:val="28"/>
              </w:rPr>
              <w:t>Engine Performance and Emissions</w:t>
            </w:r>
          </w:p>
        </w:tc>
      </w:tr>
      <w:tr w:rsidR="001F11D8" w14:paraId="0935BC3B" w14:textId="77777777" w:rsidTr="001F11D8">
        <w:trPr>
          <w:trHeight w:val="718"/>
          <w:jc w:val="center"/>
        </w:trPr>
        <w:tc>
          <w:tcPr>
            <w:tcW w:w="3043" w:type="dxa"/>
            <w:shd w:val="clear" w:color="auto" w:fill="auto"/>
          </w:tcPr>
          <w:p w14:paraId="3DC8B19A" w14:textId="77777777" w:rsidR="001F11D8" w:rsidRPr="000937DE" w:rsidRDefault="001F11D8" w:rsidP="00753ECF">
            <w:pPr>
              <w:rPr>
                <w:i/>
                <w:iCs/>
                <w:sz w:val="28"/>
                <w:szCs w:val="32"/>
              </w:rPr>
            </w:pPr>
            <w:r w:rsidRPr="000937DE">
              <w:rPr>
                <w:i/>
                <w:iCs/>
                <w:sz w:val="28"/>
                <w:szCs w:val="32"/>
              </w:rPr>
              <w:t>Student Number</w:t>
            </w:r>
          </w:p>
        </w:tc>
        <w:tc>
          <w:tcPr>
            <w:tcW w:w="5944" w:type="dxa"/>
            <w:shd w:val="clear" w:color="auto" w:fill="auto"/>
          </w:tcPr>
          <w:p w14:paraId="57523E88" w14:textId="77777777" w:rsidR="001F11D8" w:rsidRPr="000937DE" w:rsidRDefault="001F11D8" w:rsidP="00753ECF">
            <w:pPr>
              <w:rPr>
                <w:sz w:val="24"/>
                <w:szCs w:val="28"/>
              </w:rPr>
            </w:pPr>
            <w:r w:rsidRPr="000937DE">
              <w:rPr>
                <w:sz w:val="24"/>
                <w:szCs w:val="28"/>
              </w:rPr>
              <w:t>2306046</w:t>
            </w:r>
          </w:p>
        </w:tc>
      </w:tr>
      <w:tr w:rsidR="001F11D8" w14:paraId="61273C65" w14:textId="77777777" w:rsidTr="001F11D8">
        <w:trPr>
          <w:trHeight w:val="572"/>
          <w:jc w:val="center"/>
        </w:trPr>
        <w:tc>
          <w:tcPr>
            <w:tcW w:w="3043" w:type="dxa"/>
            <w:shd w:val="clear" w:color="auto" w:fill="auto"/>
          </w:tcPr>
          <w:p w14:paraId="6D82C839" w14:textId="77777777" w:rsidR="001F11D8" w:rsidRPr="000937DE" w:rsidRDefault="001F11D8" w:rsidP="00753ECF">
            <w:pPr>
              <w:rPr>
                <w:i/>
                <w:iCs/>
                <w:sz w:val="28"/>
                <w:szCs w:val="32"/>
              </w:rPr>
            </w:pPr>
            <w:r w:rsidRPr="000937DE">
              <w:rPr>
                <w:i/>
                <w:iCs/>
                <w:sz w:val="28"/>
                <w:szCs w:val="32"/>
              </w:rPr>
              <w:t>Student Name</w:t>
            </w:r>
          </w:p>
        </w:tc>
        <w:tc>
          <w:tcPr>
            <w:tcW w:w="5944" w:type="dxa"/>
            <w:shd w:val="clear" w:color="auto" w:fill="auto"/>
          </w:tcPr>
          <w:p w14:paraId="4D4813AA" w14:textId="77777777" w:rsidR="001F11D8" w:rsidRPr="000937DE" w:rsidRDefault="001F11D8" w:rsidP="00753ECF">
            <w:pPr>
              <w:rPr>
                <w:sz w:val="24"/>
                <w:szCs w:val="28"/>
              </w:rPr>
            </w:pPr>
            <w:r w:rsidRPr="000937DE">
              <w:rPr>
                <w:sz w:val="24"/>
                <w:szCs w:val="28"/>
              </w:rPr>
              <w:t>Roland Magyar</w:t>
            </w:r>
          </w:p>
        </w:tc>
      </w:tr>
      <w:tr w:rsidR="001F11D8" w14:paraId="28FB6D75" w14:textId="77777777" w:rsidTr="001F11D8">
        <w:trPr>
          <w:trHeight w:val="572"/>
          <w:jc w:val="center"/>
        </w:trPr>
        <w:tc>
          <w:tcPr>
            <w:tcW w:w="3043" w:type="dxa"/>
            <w:shd w:val="clear" w:color="auto" w:fill="auto"/>
          </w:tcPr>
          <w:p w14:paraId="3944CE27" w14:textId="77777777" w:rsidR="001F11D8" w:rsidRPr="000937DE" w:rsidRDefault="001F11D8" w:rsidP="00753ECF">
            <w:pPr>
              <w:rPr>
                <w:i/>
                <w:iCs/>
                <w:sz w:val="28"/>
                <w:szCs w:val="32"/>
              </w:rPr>
            </w:pPr>
            <w:r w:rsidRPr="000937DE">
              <w:rPr>
                <w:i/>
                <w:iCs/>
                <w:sz w:val="28"/>
                <w:szCs w:val="32"/>
              </w:rPr>
              <w:t>Date of Submission</w:t>
            </w:r>
          </w:p>
        </w:tc>
        <w:tc>
          <w:tcPr>
            <w:tcW w:w="5944" w:type="dxa"/>
            <w:shd w:val="clear" w:color="auto" w:fill="auto"/>
          </w:tcPr>
          <w:p w14:paraId="1FA57162" w14:textId="6915C3E6" w:rsidR="001F11D8" w:rsidRPr="000937DE" w:rsidRDefault="004710CB" w:rsidP="00753ECF">
            <w:pPr>
              <w:rPr>
                <w:sz w:val="24"/>
                <w:szCs w:val="28"/>
              </w:rPr>
            </w:pPr>
            <w:r>
              <w:rPr>
                <w:sz w:val="24"/>
                <w:szCs w:val="28"/>
              </w:rPr>
              <w:t>27</w:t>
            </w:r>
            <w:r w:rsidR="001F11D8" w:rsidRPr="000937DE">
              <w:rPr>
                <w:sz w:val="24"/>
                <w:szCs w:val="28"/>
              </w:rPr>
              <w:t>.0</w:t>
            </w:r>
            <w:r>
              <w:rPr>
                <w:sz w:val="24"/>
                <w:szCs w:val="28"/>
              </w:rPr>
              <w:t>4</w:t>
            </w:r>
            <w:r w:rsidR="001F11D8" w:rsidRPr="000937DE">
              <w:rPr>
                <w:sz w:val="24"/>
                <w:szCs w:val="28"/>
              </w:rPr>
              <w:t>.25</w:t>
            </w:r>
          </w:p>
        </w:tc>
      </w:tr>
    </w:tbl>
    <w:p w14:paraId="50A2E577" w14:textId="77777777" w:rsidR="00DC4277" w:rsidRDefault="00DC4277" w:rsidP="00753ECF"/>
    <w:p w14:paraId="1449D668" w14:textId="77777777" w:rsidR="00DC4277" w:rsidRDefault="00DC4277" w:rsidP="00753ECF"/>
    <w:p w14:paraId="6FB314E4" w14:textId="77777777" w:rsidR="00DC4277" w:rsidRDefault="00DC4277" w:rsidP="00753ECF"/>
    <w:p w14:paraId="4435691C" w14:textId="77777777" w:rsidR="00DC4277" w:rsidRDefault="00DC4277" w:rsidP="00DC4277">
      <w:pPr>
        <w:pStyle w:val="NoSpacing"/>
        <w:jc w:val="center"/>
      </w:pPr>
    </w:p>
    <w:p w14:paraId="500E41CB" w14:textId="77777777" w:rsidR="00DC4277" w:rsidRDefault="00EF1BF2" w:rsidP="00DC4277">
      <w:pPr>
        <w:pStyle w:val="NoSpacing"/>
        <w:jc w:val="center"/>
      </w:pPr>
      <w:r>
        <w:t>School</w:t>
      </w:r>
      <w:r w:rsidR="00DC4277">
        <w:t xml:space="preserve"> of Engineering</w:t>
      </w:r>
    </w:p>
    <w:p w14:paraId="4DFEF4CB" w14:textId="77777777" w:rsidR="00C16F99" w:rsidRDefault="00C16F99" w:rsidP="00DC4277">
      <w:pPr>
        <w:pStyle w:val="NoSpacing"/>
        <w:jc w:val="center"/>
      </w:pPr>
      <w:r>
        <w:t xml:space="preserve">University of Wales Trinity Saint David </w:t>
      </w:r>
    </w:p>
    <w:p w14:paraId="4901E6BD" w14:textId="77777777" w:rsidR="00DC4277" w:rsidRDefault="00BE196A" w:rsidP="00DC4277">
      <w:pPr>
        <w:pStyle w:val="NoSpacing"/>
        <w:jc w:val="center"/>
      </w:pPr>
      <w:r>
        <w:t>20</w:t>
      </w:r>
      <w:r w:rsidR="0017489F">
        <w:t>2</w:t>
      </w:r>
      <w:r w:rsidR="001F11D8">
        <w:t>4</w:t>
      </w:r>
      <w:r w:rsidR="00355E96">
        <w:t>-20</w:t>
      </w:r>
      <w:r w:rsidR="0017489F">
        <w:t>2</w:t>
      </w:r>
      <w:r w:rsidR="001F11D8">
        <w:t>5</w:t>
      </w:r>
    </w:p>
    <w:p w14:paraId="68FDB614" w14:textId="77777777" w:rsidR="000A5586" w:rsidRDefault="000A5586" w:rsidP="00DC4277">
      <w:pPr>
        <w:pStyle w:val="NoSpacing"/>
      </w:pPr>
    </w:p>
    <w:p w14:paraId="683EF9CD" w14:textId="77777777" w:rsidR="00DC4277" w:rsidRDefault="00DC4277" w:rsidP="00753ECF">
      <w:pPr>
        <w:rPr>
          <w:rFonts w:asciiTheme="majorHAnsi" w:eastAsiaTheme="majorEastAsia" w:hAnsiTheme="majorHAnsi" w:cstheme="majorBidi"/>
          <w:color w:val="365F91" w:themeColor="accent1" w:themeShade="BF"/>
          <w:sz w:val="28"/>
          <w:szCs w:val="28"/>
        </w:rPr>
      </w:pPr>
      <w:r>
        <w:br w:type="page"/>
      </w:r>
    </w:p>
    <w:p w14:paraId="530213D3" w14:textId="77777777" w:rsidR="000C00ED" w:rsidRPr="00D5270A" w:rsidRDefault="000C00ED" w:rsidP="00753ECF">
      <w:pPr>
        <w:pStyle w:val="Heading1"/>
      </w:pPr>
      <w:bookmarkStart w:id="0" w:name="_Toc196680939"/>
      <w:r w:rsidRPr="00D5270A">
        <w:lastRenderedPageBreak/>
        <w:t>Contents Page</w:t>
      </w:r>
      <w:bookmarkEnd w:id="0"/>
    </w:p>
    <w:sdt>
      <w:sdtPr>
        <w:rPr>
          <w:rFonts w:asciiTheme="minorHAnsi" w:eastAsiaTheme="minorHAnsi" w:hAnsiTheme="minorHAnsi" w:cstheme="minorBidi"/>
          <w:b w:val="0"/>
          <w:bCs w:val="0"/>
          <w:color w:val="auto"/>
          <w:sz w:val="24"/>
          <w:szCs w:val="24"/>
          <w:u w:val="none"/>
          <w:lang w:val="en-GB"/>
        </w:rPr>
        <w:id w:val="942915701"/>
        <w:docPartObj>
          <w:docPartGallery w:val="Table of Contents"/>
          <w:docPartUnique/>
        </w:docPartObj>
      </w:sdtPr>
      <w:sdtEndPr>
        <w:rPr>
          <w:rFonts w:ascii="Times New Roman" w:hAnsi="Times New Roman"/>
          <w:sz w:val="22"/>
        </w:rPr>
      </w:sdtEndPr>
      <w:sdtContent>
        <w:p w14:paraId="11BF6424" w14:textId="77777777" w:rsidR="00255D88" w:rsidRPr="00BA23D3" w:rsidRDefault="00255D88" w:rsidP="00753ECF">
          <w:pPr>
            <w:pStyle w:val="TOCHeading"/>
          </w:pPr>
          <w:r w:rsidRPr="00BA23D3">
            <w:t>Table of Contents</w:t>
          </w:r>
        </w:p>
        <w:p w14:paraId="150721DB" w14:textId="232DD496" w:rsidR="00A9448A" w:rsidRDefault="00DB652D">
          <w:pPr>
            <w:pStyle w:val="TOC1"/>
            <w:rPr>
              <w:rFonts w:asciiTheme="minorHAnsi" w:eastAsiaTheme="minorEastAsia" w:hAnsiTheme="minorHAnsi"/>
              <w:noProof/>
              <w:kern w:val="2"/>
              <w:sz w:val="24"/>
              <w:lang w:eastAsia="en-GB"/>
              <w14:ligatures w14:val="standardContextual"/>
            </w:rPr>
          </w:pPr>
          <w:r>
            <w:fldChar w:fldCharType="begin"/>
          </w:r>
          <w:r w:rsidR="00255D88">
            <w:instrText xml:space="preserve"> TOC \o "1-3" \h \z \u </w:instrText>
          </w:r>
          <w:r>
            <w:fldChar w:fldCharType="separate"/>
          </w:r>
          <w:hyperlink w:anchor="_Toc196680939" w:history="1">
            <w:r w:rsidR="00A9448A" w:rsidRPr="00AA5E82">
              <w:rPr>
                <w:rStyle w:val="Hyperlink"/>
                <w:noProof/>
              </w:rPr>
              <w:t>Contents Page</w:t>
            </w:r>
            <w:r w:rsidR="00A9448A">
              <w:rPr>
                <w:noProof/>
                <w:webHidden/>
              </w:rPr>
              <w:tab/>
            </w:r>
            <w:r w:rsidR="00A9448A">
              <w:rPr>
                <w:noProof/>
                <w:webHidden/>
              </w:rPr>
              <w:fldChar w:fldCharType="begin"/>
            </w:r>
            <w:r w:rsidR="00A9448A">
              <w:rPr>
                <w:noProof/>
                <w:webHidden/>
              </w:rPr>
              <w:instrText xml:space="preserve"> PAGEREF _Toc196680939 \h </w:instrText>
            </w:r>
            <w:r w:rsidR="00A9448A">
              <w:rPr>
                <w:noProof/>
                <w:webHidden/>
              </w:rPr>
            </w:r>
            <w:r w:rsidR="00A9448A">
              <w:rPr>
                <w:noProof/>
                <w:webHidden/>
              </w:rPr>
              <w:fldChar w:fldCharType="separate"/>
            </w:r>
            <w:r w:rsidR="00A9448A">
              <w:rPr>
                <w:noProof/>
                <w:webHidden/>
              </w:rPr>
              <w:t>1</w:t>
            </w:r>
            <w:r w:rsidR="00A9448A">
              <w:rPr>
                <w:noProof/>
                <w:webHidden/>
              </w:rPr>
              <w:fldChar w:fldCharType="end"/>
            </w:r>
          </w:hyperlink>
        </w:p>
        <w:p w14:paraId="4DAA8FD2" w14:textId="03F6E07D" w:rsidR="00A9448A" w:rsidRDefault="00A9448A">
          <w:pPr>
            <w:pStyle w:val="TOC1"/>
            <w:rPr>
              <w:rFonts w:asciiTheme="minorHAnsi" w:eastAsiaTheme="minorEastAsia" w:hAnsiTheme="minorHAnsi"/>
              <w:noProof/>
              <w:kern w:val="2"/>
              <w:sz w:val="24"/>
              <w:lang w:eastAsia="en-GB"/>
              <w14:ligatures w14:val="standardContextual"/>
            </w:rPr>
          </w:pPr>
          <w:hyperlink w:anchor="_Toc196680940" w:history="1">
            <w:r w:rsidRPr="00AA5E82">
              <w:rPr>
                <w:rStyle w:val="Hyperlink"/>
                <w:noProof/>
              </w:rPr>
              <w:t>Table of Figures</w:t>
            </w:r>
            <w:r>
              <w:rPr>
                <w:noProof/>
                <w:webHidden/>
              </w:rPr>
              <w:tab/>
            </w:r>
            <w:r>
              <w:rPr>
                <w:noProof/>
                <w:webHidden/>
              </w:rPr>
              <w:fldChar w:fldCharType="begin"/>
            </w:r>
            <w:r>
              <w:rPr>
                <w:noProof/>
                <w:webHidden/>
              </w:rPr>
              <w:instrText xml:space="preserve"> PAGEREF _Toc196680940 \h </w:instrText>
            </w:r>
            <w:r>
              <w:rPr>
                <w:noProof/>
                <w:webHidden/>
              </w:rPr>
            </w:r>
            <w:r>
              <w:rPr>
                <w:noProof/>
                <w:webHidden/>
              </w:rPr>
              <w:fldChar w:fldCharType="separate"/>
            </w:r>
            <w:r>
              <w:rPr>
                <w:noProof/>
                <w:webHidden/>
              </w:rPr>
              <w:t>2</w:t>
            </w:r>
            <w:r>
              <w:rPr>
                <w:noProof/>
                <w:webHidden/>
              </w:rPr>
              <w:fldChar w:fldCharType="end"/>
            </w:r>
          </w:hyperlink>
        </w:p>
        <w:p w14:paraId="235C4D26" w14:textId="48BC566F" w:rsidR="00A9448A" w:rsidRDefault="00A9448A">
          <w:pPr>
            <w:pStyle w:val="TOC1"/>
            <w:rPr>
              <w:rFonts w:asciiTheme="minorHAnsi" w:eastAsiaTheme="minorEastAsia" w:hAnsiTheme="minorHAnsi"/>
              <w:noProof/>
              <w:kern w:val="2"/>
              <w:sz w:val="24"/>
              <w:lang w:eastAsia="en-GB"/>
              <w14:ligatures w14:val="standardContextual"/>
            </w:rPr>
          </w:pPr>
          <w:hyperlink w:anchor="_Toc196680941" w:history="1">
            <w:r w:rsidRPr="00AA5E82">
              <w:rPr>
                <w:rStyle w:val="Hyperlink"/>
                <w:noProof/>
              </w:rPr>
              <w:t>1:Introduction</w:t>
            </w:r>
            <w:r>
              <w:rPr>
                <w:noProof/>
                <w:webHidden/>
              </w:rPr>
              <w:tab/>
            </w:r>
            <w:r>
              <w:rPr>
                <w:noProof/>
                <w:webHidden/>
              </w:rPr>
              <w:fldChar w:fldCharType="begin"/>
            </w:r>
            <w:r>
              <w:rPr>
                <w:noProof/>
                <w:webHidden/>
              </w:rPr>
              <w:instrText xml:space="preserve"> PAGEREF _Toc196680941 \h </w:instrText>
            </w:r>
            <w:r>
              <w:rPr>
                <w:noProof/>
                <w:webHidden/>
              </w:rPr>
            </w:r>
            <w:r>
              <w:rPr>
                <w:noProof/>
                <w:webHidden/>
              </w:rPr>
              <w:fldChar w:fldCharType="separate"/>
            </w:r>
            <w:r>
              <w:rPr>
                <w:noProof/>
                <w:webHidden/>
              </w:rPr>
              <w:t>3</w:t>
            </w:r>
            <w:r>
              <w:rPr>
                <w:noProof/>
                <w:webHidden/>
              </w:rPr>
              <w:fldChar w:fldCharType="end"/>
            </w:r>
          </w:hyperlink>
        </w:p>
        <w:p w14:paraId="270866D3" w14:textId="10176871" w:rsidR="00A9448A" w:rsidRDefault="00A9448A">
          <w:pPr>
            <w:pStyle w:val="TOC1"/>
            <w:rPr>
              <w:rFonts w:asciiTheme="minorHAnsi" w:eastAsiaTheme="minorEastAsia" w:hAnsiTheme="minorHAnsi"/>
              <w:noProof/>
              <w:kern w:val="2"/>
              <w:sz w:val="24"/>
              <w:lang w:eastAsia="en-GB"/>
              <w14:ligatures w14:val="standardContextual"/>
            </w:rPr>
          </w:pPr>
          <w:hyperlink w:anchor="_Toc196680942" w:history="1">
            <w:r w:rsidRPr="00AA5E82">
              <w:rPr>
                <w:rStyle w:val="Hyperlink"/>
                <w:noProof/>
              </w:rPr>
              <w:t>2: Literature Review:</w:t>
            </w:r>
            <w:r>
              <w:rPr>
                <w:noProof/>
                <w:webHidden/>
              </w:rPr>
              <w:tab/>
            </w:r>
            <w:r>
              <w:rPr>
                <w:noProof/>
                <w:webHidden/>
              </w:rPr>
              <w:fldChar w:fldCharType="begin"/>
            </w:r>
            <w:r>
              <w:rPr>
                <w:noProof/>
                <w:webHidden/>
              </w:rPr>
              <w:instrText xml:space="preserve"> PAGEREF _Toc196680942 \h </w:instrText>
            </w:r>
            <w:r>
              <w:rPr>
                <w:noProof/>
                <w:webHidden/>
              </w:rPr>
            </w:r>
            <w:r>
              <w:rPr>
                <w:noProof/>
                <w:webHidden/>
              </w:rPr>
              <w:fldChar w:fldCharType="separate"/>
            </w:r>
            <w:r>
              <w:rPr>
                <w:noProof/>
                <w:webHidden/>
              </w:rPr>
              <w:t>4</w:t>
            </w:r>
            <w:r>
              <w:rPr>
                <w:noProof/>
                <w:webHidden/>
              </w:rPr>
              <w:fldChar w:fldCharType="end"/>
            </w:r>
          </w:hyperlink>
        </w:p>
        <w:p w14:paraId="085D7317" w14:textId="67BEB7DE"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43" w:history="1">
            <w:r w:rsidRPr="00AA5E82">
              <w:rPr>
                <w:rStyle w:val="Hyperlink"/>
                <w:noProof/>
              </w:rPr>
              <w:t>2.1: Combustion Modelling Techniques</w:t>
            </w:r>
            <w:r>
              <w:rPr>
                <w:noProof/>
                <w:webHidden/>
              </w:rPr>
              <w:tab/>
            </w:r>
            <w:r>
              <w:rPr>
                <w:noProof/>
                <w:webHidden/>
              </w:rPr>
              <w:fldChar w:fldCharType="begin"/>
            </w:r>
            <w:r>
              <w:rPr>
                <w:noProof/>
                <w:webHidden/>
              </w:rPr>
              <w:instrText xml:space="preserve"> PAGEREF _Toc196680943 \h </w:instrText>
            </w:r>
            <w:r>
              <w:rPr>
                <w:noProof/>
                <w:webHidden/>
              </w:rPr>
            </w:r>
            <w:r>
              <w:rPr>
                <w:noProof/>
                <w:webHidden/>
              </w:rPr>
              <w:fldChar w:fldCharType="separate"/>
            </w:r>
            <w:r>
              <w:rPr>
                <w:noProof/>
                <w:webHidden/>
              </w:rPr>
              <w:t>4</w:t>
            </w:r>
            <w:r>
              <w:rPr>
                <w:noProof/>
                <w:webHidden/>
              </w:rPr>
              <w:fldChar w:fldCharType="end"/>
            </w:r>
          </w:hyperlink>
        </w:p>
        <w:p w14:paraId="0414E2F2" w14:textId="7B94FF68"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44" w:history="1">
            <w:r w:rsidRPr="00AA5E82">
              <w:rPr>
                <w:rStyle w:val="Hyperlink"/>
                <w:noProof/>
              </w:rPr>
              <w:t>2.2: Emissions Control in Future ICEs</w:t>
            </w:r>
            <w:r>
              <w:rPr>
                <w:noProof/>
                <w:webHidden/>
              </w:rPr>
              <w:tab/>
            </w:r>
            <w:r>
              <w:rPr>
                <w:noProof/>
                <w:webHidden/>
              </w:rPr>
              <w:fldChar w:fldCharType="begin"/>
            </w:r>
            <w:r>
              <w:rPr>
                <w:noProof/>
                <w:webHidden/>
              </w:rPr>
              <w:instrText xml:space="preserve"> PAGEREF _Toc196680944 \h </w:instrText>
            </w:r>
            <w:r>
              <w:rPr>
                <w:noProof/>
                <w:webHidden/>
              </w:rPr>
            </w:r>
            <w:r>
              <w:rPr>
                <w:noProof/>
                <w:webHidden/>
              </w:rPr>
              <w:fldChar w:fldCharType="separate"/>
            </w:r>
            <w:r>
              <w:rPr>
                <w:noProof/>
                <w:webHidden/>
              </w:rPr>
              <w:t>5</w:t>
            </w:r>
            <w:r>
              <w:rPr>
                <w:noProof/>
                <w:webHidden/>
              </w:rPr>
              <w:fldChar w:fldCharType="end"/>
            </w:r>
          </w:hyperlink>
        </w:p>
        <w:p w14:paraId="30530A1F" w14:textId="59E95982"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45" w:history="1">
            <w:r w:rsidRPr="00AA5E82">
              <w:rPr>
                <w:rStyle w:val="Hyperlink"/>
                <w:noProof/>
              </w:rPr>
              <w:t>2.3: Overview of Alternative Fuels</w:t>
            </w:r>
            <w:r>
              <w:rPr>
                <w:noProof/>
                <w:webHidden/>
              </w:rPr>
              <w:tab/>
            </w:r>
            <w:r>
              <w:rPr>
                <w:noProof/>
                <w:webHidden/>
              </w:rPr>
              <w:fldChar w:fldCharType="begin"/>
            </w:r>
            <w:r>
              <w:rPr>
                <w:noProof/>
                <w:webHidden/>
              </w:rPr>
              <w:instrText xml:space="preserve"> PAGEREF _Toc196680945 \h </w:instrText>
            </w:r>
            <w:r>
              <w:rPr>
                <w:noProof/>
                <w:webHidden/>
              </w:rPr>
            </w:r>
            <w:r>
              <w:rPr>
                <w:noProof/>
                <w:webHidden/>
              </w:rPr>
              <w:fldChar w:fldCharType="separate"/>
            </w:r>
            <w:r>
              <w:rPr>
                <w:noProof/>
                <w:webHidden/>
              </w:rPr>
              <w:t>5</w:t>
            </w:r>
            <w:r>
              <w:rPr>
                <w:noProof/>
                <w:webHidden/>
              </w:rPr>
              <w:fldChar w:fldCharType="end"/>
            </w:r>
          </w:hyperlink>
        </w:p>
        <w:p w14:paraId="7CB8278B" w14:textId="589C3ABC"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46" w:history="1">
            <w:r w:rsidRPr="00AA5E82">
              <w:rPr>
                <w:rStyle w:val="Hyperlink"/>
                <w:noProof/>
              </w:rPr>
              <w:t>2.4: Fuel Blends: Enhancing Practical Use</w:t>
            </w:r>
            <w:r>
              <w:rPr>
                <w:noProof/>
                <w:webHidden/>
              </w:rPr>
              <w:tab/>
            </w:r>
            <w:r>
              <w:rPr>
                <w:noProof/>
                <w:webHidden/>
              </w:rPr>
              <w:fldChar w:fldCharType="begin"/>
            </w:r>
            <w:r>
              <w:rPr>
                <w:noProof/>
                <w:webHidden/>
              </w:rPr>
              <w:instrText xml:space="preserve"> PAGEREF _Toc196680946 \h </w:instrText>
            </w:r>
            <w:r>
              <w:rPr>
                <w:noProof/>
                <w:webHidden/>
              </w:rPr>
            </w:r>
            <w:r>
              <w:rPr>
                <w:noProof/>
                <w:webHidden/>
              </w:rPr>
              <w:fldChar w:fldCharType="separate"/>
            </w:r>
            <w:r>
              <w:rPr>
                <w:noProof/>
                <w:webHidden/>
              </w:rPr>
              <w:t>6</w:t>
            </w:r>
            <w:r>
              <w:rPr>
                <w:noProof/>
                <w:webHidden/>
              </w:rPr>
              <w:fldChar w:fldCharType="end"/>
            </w:r>
          </w:hyperlink>
        </w:p>
        <w:p w14:paraId="3FD1E8FF" w14:textId="0506E1E4" w:rsidR="00A9448A" w:rsidRDefault="00A9448A">
          <w:pPr>
            <w:pStyle w:val="TOC1"/>
            <w:rPr>
              <w:rFonts w:asciiTheme="minorHAnsi" w:eastAsiaTheme="minorEastAsia" w:hAnsiTheme="minorHAnsi"/>
              <w:noProof/>
              <w:kern w:val="2"/>
              <w:sz w:val="24"/>
              <w:lang w:eastAsia="en-GB"/>
              <w14:ligatures w14:val="standardContextual"/>
            </w:rPr>
          </w:pPr>
          <w:hyperlink w:anchor="_Toc196680947" w:history="1">
            <w:r w:rsidRPr="00AA5E82">
              <w:rPr>
                <w:rStyle w:val="Hyperlink"/>
                <w:noProof/>
              </w:rPr>
              <w:t>Task 3: Fuel Types</w:t>
            </w:r>
            <w:r>
              <w:rPr>
                <w:noProof/>
                <w:webHidden/>
              </w:rPr>
              <w:tab/>
            </w:r>
            <w:r>
              <w:rPr>
                <w:noProof/>
                <w:webHidden/>
              </w:rPr>
              <w:fldChar w:fldCharType="begin"/>
            </w:r>
            <w:r>
              <w:rPr>
                <w:noProof/>
                <w:webHidden/>
              </w:rPr>
              <w:instrText xml:space="preserve"> PAGEREF _Toc196680947 \h </w:instrText>
            </w:r>
            <w:r>
              <w:rPr>
                <w:noProof/>
                <w:webHidden/>
              </w:rPr>
            </w:r>
            <w:r>
              <w:rPr>
                <w:noProof/>
                <w:webHidden/>
              </w:rPr>
              <w:fldChar w:fldCharType="separate"/>
            </w:r>
            <w:r>
              <w:rPr>
                <w:noProof/>
                <w:webHidden/>
              </w:rPr>
              <w:t>7</w:t>
            </w:r>
            <w:r>
              <w:rPr>
                <w:noProof/>
                <w:webHidden/>
              </w:rPr>
              <w:fldChar w:fldCharType="end"/>
            </w:r>
          </w:hyperlink>
        </w:p>
        <w:p w14:paraId="72E44EE2" w14:textId="70E05A3A" w:rsidR="00A9448A" w:rsidRDefault="00A9448A">
          <w:pPr>
            <w:pStyle w:val="TOC1"/>
            <w:rPr>
              <w:rFonts w:asciiTheme="minorHAnsi" w:eastAsiaTheme="minorEastAsia" w:hAnsiTheme="minorHAnsi"/>
              <w:noProof/>
              <w:kern w:val="2"/>
              <w:sz w:val="24"/>
              <w:lang w:eastAsia="en-GB"/>
              <w14:ligatures w14:val="standardContextual"/>
            </w:rPr>
          </w:pPr>
          <w:hyperlink w:anchor="_Toc196680948" w:history="1">
            <w:r w:rsidRPr="00AA5E82">
              <w:rPr>
                <w:rStyle w:val="Hyperlink"/>
                <w:noProof/>
              </w:rPr>
              <w:t>Task 4: Forte Design</w:t>
            </w:r>
            <w:r>
              <w:rPr>
                <w:noProof/>
                <w:webHidden/>
              </w:rPr>
              <w:tab/>
            </w:r>
            <w:r>
              <w:rPr>
                <w:noProof/>
                <w:webHidden/>
              </w:rPr>
              <w:fldChar w:fldCharType="begin"/>
            </w:r>
            <w:r>
              <w:rPr>
                <w:noProof/>
                <w:webHidden/>
              </w:rPr>
              <w:instrText xml:space="preserve"> PAGEREF _Toc196680948 \h </w:instrText>
            </w:r>
            <w:r>
              <w:rPr>
                <w:noProof/>
                <w:webHidden/>
              </w:rPr>
            </w:r>
            <w:r>
              <w:rPr>
                <w:noProof/>
                <w:webHidden/>
              </w:rPr>
              <w:fldChar w:fldCharType="separate"/>
            </w:r>
            <w:r>
              <w:rPr>
                <w:noProof/>
                <w:webHidden/>
              </w:rPr>
              <w:t>10</w:t>
            </w:r>
            <w:r>
              <w:rPr>
                <w:noProof/>
                <w:webHidden/>
              </w:rPr>
              <w:fldChar w:fldCharType="end"/>
            </w:r>
          </w:hyperlink>
        </w:p>
        <w:p w14:paraId="3BB3228C" w14:textId="13537AD9"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49" w:history="1">
            <w:r w:rsidRPr="00AA5E82">
              <w:rPr>
                <w:rStyle w:val="Hyperlink"/>
                <w:noProof/>
              </w:rPr>
              <w:t>4.1: Mass Fraction Burned (MFB) — Rassweiler and Withrow Analysis</w:t>
            </w:r>
            <w:r>
              <w:rPr>
                <w:noProof/>
                <w:webHidden/>
              </w:rPr>
              <w:tab/>
            </w:r>
            <w:r>
              <w:rPr>
                <w:noProof/>
                <w:webHidden/>
              </w:rPr>
              <w:fldChar w:fldCharType="begin"/>
            </w:r>
            <w:r>
              <w:rPr>
                <w:noProof/>
                <w:webHidden/>
              </w:rPr>
              <w:instrText xml:space="preserve"> PAGEREF _Toc196680949 \h </w:instrText>
            </w:r>
            <w:r>
              <w:rPr>
                <w:noProof/>
                <w:webHidden/>
              </w:rPr>
            </w:r>
            <w:r>
              <w:rPr>
                <w:noProof/>
                <w:webHidden/>
              </w:rPr>
              <w:fldChar w:fldCharType="separate"/>
            </w:r>
            <w:r>
              <w:rPr>
                <w:noProof/>
                <w:webHidden/>
              </w:rPr>
              <w:t>10</w:t>
            </w:r>
            <w:r>
              <w:rPr>
                <w:noProof/>
                <w:webHidden/>
              </w:rPr>
              <w:fldChar w:fldCharType="end"/>
            </w:r>
          </w:hyperlink>
        </w:p>
        <w:p w14:paraId="624124CE" w14:textId="722370EE"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50" w:history="1">
            <w:r w:rsidRPr="00AA5E82">
              <w:rPr>
                <w:rStyle w:val="Hyperlink"/>
                <w:noProof/>
              </w:rPr>
              <w:t>4.2: Combustion Pressure Rise with SOC and EOC Markers</w:t>
            </w:r>
            <w:r>
              <w:rPr>
                <w:noProof/>
                <w:webHidden/>
              </w:rPr>
              <w:tab/>
            </w:r>
            <w:r>
              <w:rPr>
                <w:noProof/>
                <w:webHidden/>
              </w:rPr>
              <w:fldChar w:fldCharType="begin"/>
            </w:r>
            <w:r>
              <w:rPr>
                <w:noProof/>
                <w:webHidden/>
              </w:rPr>
              <w:instrText xml:space="preserve"> PAGEREF _Toc196680950 \h </w:instrText>
            </w:r>
            <w:r>
              <w:rPr>
                <w:noProof/>
                <w:webHidden/>
              </w:rPr>
            </w:r>
            <w:r>
              <w:rPr>
                <w:noProof/>
                <w:webHidden/>
              </w:rPr>
              <w:fldChar w:fldCharType="separate"/>
            </w:r>
            <w:r>
              <w:rPr>
                <w:noProof/>
                <w:webHidden/>
              </w:rPr>
              <w:t>11</w:t>
            </w:r>
            <w:r>
              <w:rPr>
                <w:noProof/>
                <w:webHidden/>
              </w:rPr>
              <w:fldChar w:fldCharType="end"/>
            </w:r>
          </w:hyperlink>
        </w:p>
        <w:p w14:paraId="782DEBC4" w14:textId="2631BE30"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51" w:history="1">
            <w:r w:rsidRPr="00AA5E82">
              <w:rPr>
                <w:rStyle w:val="Hyperlink"/>
                <w:noProof/>
              </w:rPr>
              <w:t>4.3: Wiebe Function Fit Around CA50</w:t>
            </w:r>
            <w:r>
              <w:rPr>
                <w:noProof/>
                <w:webHidden/>
              </w:rPr>
              <w:tab/>
            </w:r>
            <w:r>
              <w:rPr>
                <w:noProof/>
                <w:webHidden/>
              </w:rPr>
              <w:fldChar w:fldCharType="begin"/>
            </w:r>
            <w:r>
              <w:rPr>
                <w:noProof/>
                <w:webHidden/>
              </w:rPr>
              <w:instrText xml:space="preserve"> PAGEREF _Toc196680951 \h </w:instrText>
            </w:r>
            <w:r>
              <w:rPr>
                <w:noProof/>
                <w:webHidden/>
              </w:rPr>
            </w:r>
            <w:r>
              <w:rPr>
                <w:noProof/>
                <w:webHidden/>
              </w:rPr>
              <w:fldChar w:fldCharType="separate"/>
            </w:r>
            <w:r>
              <w:rPr>
                <w:noProof/>
                <w:webHidden/>
              </w:rPr>
              <w:t>12</w:t>
            </w:r>
            <w:r>
              <w:rPr>
                <w:noProof/>
                <w:webHidden/>
              </w:rPr>
              <w:fldChar w:fldCharType="end"/>
            </w:r>
          </w:hyperlink>
        </w:p>
        <w:p w14:paraId="14BAC4DA" w14:textId="3C37CC25"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52" w:history="1">
            <w:r w:rsidRPr="00AA5E82">
              <w:rPr>
                <w:rStyle w:val="Hyperlink"/>
                <w:noProof/>
              </w:rPr>
              <w:t>4.4: Full Wiebe Function Fit Across the Burn Window</w:t>
            </w:r>
            <w:r>
              <w:rPr>
                <w:noProof/>
                <w:webHidden/>
              </w:rPr>
              <w:tab/>
            </w:r>
            <w:r>
              <w:rPr>
                <w:noProof/>
                <w:webHidden/>
              </w:rPr>
              <w:fldChar w:fldCharType="begin"/>
            </w:r>
            <w:r>
              <w:rPr>
                <w:noProof/>
                <w:webHidden/>
              </w:rPr>
              <w:instrText xml:space="preserve"> PAGEREF _Toc196680952 \h </w:instrText>
            </w:r>
            <w:r>
              <w:rPr>
                <w:noProof/>
                <w:webHidden/>
              </w:rPr>
            </w:r>
            <w:r>
              <w:rPr>
                <w:noProof/>
                <w:webHidden/>
              </w:rPr>
              <w:fldChar w:fldCharType="separate"/>
            </w:r>
            <w:r>
              <w:rPr>
                <w:noProof/>
                <w:webHidden/>
              </w:rPr>
              <w:t>13</w:t>
            </w:r>
            <w:r>
              <w:rPr>
                <w:noProof/>
                <w:webHidden/>
              </w:rPr>
              <w:fldChar w:fldCharType="end"/>
            </w:r>
          </w:hyperlink>
        </w:p>
        <w:p w14:paraId="5C1EA268" w14:textId="0AF6FB06"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53" w:history="1">
            <w:r w:rsidRPr="00AA5E82">
              <w:rPr>
                <w:rStyle w:val="Hyperlink"/>
                <w:noProof/>
              </w:rPr>
              <w:t>4.5: Pressure and Volume Behaviour During Combustion</w:t>
            </w:r>
            <w:r>
              <w:rPr>
                <w:noProof/>
                <w:webHidden/>
              </w:rPr>
              <w:tab/>
            </w:r>
            <w:r>
              <w:rPr>
                <w:noProof/>
                <w:webHidden/>
              </w:rPr>
              <w:fldChar w:fldCharType="begin"/>
            </w:r>
            <w:r>
              <w:rPr>
                <w:noProof/>
                <w:webHidden/>
              </w:rPr>
              <w:instrText xml:space="preserve"> PAGEREF _Toc196680953 \h </w:instrText>
            </w:r>
            <w:r>
              <w:rPr>
                <w:noProof/>
                <w:webHidden/>
              </w:rPr>
            </w:r>
            <w:r>
              <w:rPr>
                <w:noProof/>
                <w:webHidden/>
              </w:rPr>
              <w:fldChar w:fldCharType="separate"/>
            </w:r>
            <w:r>
              <w:rPr>
                <w:noProof/>
                <w:webHidden/>
              </w:rPr>
              <w:t>14</w:t>
            </w:r>
            <w:r>
              <w:rPr>
                <w:noProof/>
                <w:webHidden/>
              </w:rPr>
              <w:fldChar w:fldCharType="end"/>
            </w:r>
          </w:hyperlink>
        </w:p>
        <w:p w14:paraId="1E494700" w14:textId="396B12C9" w:rsidR="00A9448A" w:rsidRDefault="00A9448A">
          <w:pPr>
            <w:pStyle w:val="TOC2"/>
            <w:tabs>
              <w:tab w:val="right" w:leader="dot" w:pos="9016"/>
            </w:tabs>
            <w:rPr>
              <w:rFonts w:asciiTheme="minorHAnsi" w:eastAsiaTheme="minorEastAsia" w:hAnsiTheme="minorHAnsi"/>
              <w:noProof/>
              <w:kern w:val="2"/>
              <w:sz w:val="24"/>
              <w:lang w:eastAsia="en-GB"/>
              <w14:ligatures w14:val="standardContextual"/>
            </w:rPr>
          </w:pPr>
          <w:hyperlink w:anchor="_Toc196680954" w:history="1">
            <w:r w:rsidRPr="00AA5E82">
              <w:rPr>
                <w:rStyle w:val="Hyperlink"/>
                <w:noProof/>
              </w:rPr>
              <w:t>4.6: Combustion Pressure Contribution (ΔP_cb)</w:t>
            </w:r>
            <w:r>
              <w:rPr>
                <w:noProof/>
                <w:webHidden/>
              </w:rPr>
              <w:tab/>
            </w:r>
            <w:r>
              <w:rPr>
                <w:noProof/>
                <w:webHidden/>
              </w:rPr>
              <w:fldChar w:fldCharType="begin"/>
            </w:r>
            <w:r>
              <w:rPr>
                <w:noProof/>
                <w:webHidden/>
              </w:rPr>
              <w:instrText xml:space="preserve"> PAGEREF _Toc196680954 \h </w:instrText>
            </w:r>
            <w:r>
              <w:rPr>
                <w:noProof/>
                <w:webHidden/>
              </w:rPr>
            </w:r>
            <w:r>
              <w:rPr>
                <w:noProof/>
                <w:webHidden/>
              </w:rPr>
              <w:fldChar w:fldCharType="separate"/>
            </w:r>
            <w:r>
              <w:rPr>
                <w:noProof/>
                <w:webHidden/>
              </w:rPr>
              <w:t>15</w:t>
            </w:r>
            <w:r>
              <w:rPr>
                <w:noProof/>
                <w:webHidden/>
              </w:rPr>
              <w:fldChar w:fldCharType="end"/>
            </w:r>
          </w:hyperlink>
        </w:p>
        <w:p w14:paraId="7C358EF5" w14:textId="562A8C8F" w:rsidR="00A9448A" w:rsidRDefault="00A9448A">
          <w:pPr>
            <w:pStyle w:val="TOC1"/>
            <w:rPr>
              <w:rFonts w:asciiTheme="minorHAnsi" w:eastAsiaTheme="minorEastAsia" w:hAnsiTheme="minorHAnsi"/>
              <w:noProof/>
              <w:kern w:val="2"/>
              <w:sz w:val="24"/>
              <w:lang w:eastAsia="en-GB"/>
              <w14:ligatures w14:val="standardContextual"/>
            </w:rPr>
          </w:pPr>
          <w:hyperlink w:anchor="_Toc196680955" w:history="1">
            <w:r w:rsidRPr="00AA5E82">
              <w:rPr>
                <w:rStyle w:val="Hyperlink"/>
                <w:noProof/>
              </w:rPr>
              <w:t>Task 5: Ricardo Wave</w:t>
            </w:r>
            <w:r>
              <w:rPr>
                <w:noProof/>
                <w:webHidden/>
              </w:rPr>
              <w:tab/>
            </w:r>
            <w:r>
              <w:rPr>
                <w:noProof/>
                <w:webHidden/>
              </w:rPr>
              <w:fldChar w:fldCharType="begin"/>
            </w:r>
            <w:r>
              <w:rPr>
                <w:noProof/>
                <w:webHidden/>
              </w:rPr>
              <w:instrText xml:space="preserve"> PAGEREF _Toc196680955 \h </w:instrText>
            </w:r>
            <w:r>
              <w:rPr>
                <w:noProof/>
                <w:webHidden/>
              </w:rPr>
            </w:r>
            <w:r>
              <w:rPr>
                <w:noProof/>
                <w:webHidden/>
              </w:rPr>
              <w:fldChar w:fldCharType="separate"/>
            </w:r>
            <w:r>
              <w:rPr>
                <w:noProof/>
                <w:webHidden/>
              </w:rPr>
              <w:t>16</w:t>
            </w:r>
            <w:r>
              <w:rPr>
                <w:noProof/>
                <w:webHidden/>
              </w:rPr>
              <w:fldChar w:fldCharType="end"/>
            </w:r>
          </w:hyperlink>
        </w:p>
        <w:p w14:paraId="2DBA438B" w14:textId="65B99C33" w:rsidR="00A9448A" w:rsidRDefault="00A9448A">
          <w:pPr>
            <w:pStyle w:val="TOC1"/>
            <w:rPr>
              <w:rFonts w:asciiTheme="minorHAnsi" w:eastAsiaTheme="minorEastAsia" w:hAnsiTheme="minorHAnsi"/>
              <w:noProof/>
              <w:kern w:val="2"/>
              <w:sz w:val="24"/>
              <w:lang w:eastAsia="en-GB"/>
              <w14:ligatures w14:val="standardContextual"/>
            </w:rPr>
          </w:pPr>
          <w:hyperlink w:anchor="_Toc196680956" w:history="1">
            <w:r w:rsidRPr="00AA5E82">
              <w:rPr>
                <w:rStyle w:val="Hyperlink"/>
                <w:noProof/>
              </w:rPr>
              <w:t>Conclusion</w:t>
            </w:r>
            <w:r>
              <w:rPr>
                <w:noProof/>
                <w:webHidden/>
              </w:rPr>
              <w:tab/>
            </w:r>
            <w:r>
              <w:rPr>
                <w:noProof/>
                <w:webHidden/>
              </w:rPr>
              <w:fldChar w:fldCharType="begin"/>
            </w:r>
            <w:r>
              <w:rPr>
                <w:noProof/>
                <w:webHidden/>
              </w:rPr>
              <w:instrText xml:space="preserve"> PAGEREF _Toc196680956 \h </w:instrText>
            </w:r>
            <w:r>
              <w:rPr>
                <w:noProof/>
                <w:webHidden/>
              </w:rPr>
            </w:r>
            <w:r>
              <w:rPr>
                <w:noProof/>
                <w:webHidden/>
              </w:rPr>
              <w:fldChar w:fldCharType="separate"/>
            </w:r>
            <w:r>
              <w:rPr>
                <w:noProof/>
                <w:webHidden/>
              </w:rPr>
              <w:t>20</w:t>
            </w:r>
            <w:r>
              <w:rPr>
                <w:noProof/>
                <w:webHidden/>
              </w:rPr>
              <w:fldChar w:fldCharType="end"/>
            </w:r>
          </w:hyperlink>
        </w:p>
        <w:p w14:paraId="5DBDECC2" w14:textId="3EB2743E" w:rsidR="00A9448A" w:rsidRDefault="00A9448A">
          <w:pPr>
            <w:pStyle w:val="TOC1"/>
            <w:rPr>
              <w:rFonts w:asciiTheme="minorHAnsi" w:eastAsiaTheme="minorEastAsia" w:hAnsiTheme="minorHAnsi"/>
              <w:noProof/>
              <w:kern w:val="2"/>
              <w:sz w:val="24"/>
              <w:lang w:eastAsia="en-GB"/>
              <w14:ligatures w14:val="standardContextual"/>
            </w:rPr>
          </w:pPr>
          <w:hyperlink w:anchor="_Toc196680957" w:history="1">
            <w:r w:rsidRPr="00AA5E82">
              <w:rPr>
                <w:rStyle w:val="Hyperlink"/>
                <w:noProof/>
              </w:rPr>
              <w:t>References</w:t>
            </w:r>
            <w:r>
              <w:rPr>
                <w:noProof/>
                <w:webHidden/>
              </w:rPr>
              <w:tab/>
            </w:r>
            <w:r>
              <w:rPr>
                <w:noProof/>
                <w:webHidden/>
              </w:rPr>
              <w:fldChar w:fldCharType="begin"/>
            </w:r>
            <w:r>
              <w:rPr>
                <w:noProof/>
                <w:webHidden/>
              </w:rPr>
              <w:instrText xml:space="preserve"> PAGEREF _Toc196680957 \h </w:instrText>
            </w:r>
            <w:r>
              <w:rPr>
                <w:noProof/>
                <w:webHidden/>
              </w:rPr>
            </w:r>
            <w:r>
              <w:rPr>
                <w:noProof/>
                <w:webHidden/>
              </w:rPr>
              <w:fldChar w:fldCharType="separate"/>
            </w:r>
            <w:r>
              <w:rPr>
                <w:noProof/>
                <w:webHidden/>
              </w:rPr>
              <w:t>21</w:t>
            </w:r>
            <w:r>
              <w:rPr>
                <w:noProof/>
                <w:webHidden/>
              </w:rPr>
              <w:fldChar w:fldCharType="end"/>
            </w:r>
          </w:hyperlink>
        </w:p>
        <w:p w14:paraId="552A21FA" w14:textId="5A30B055" w:rsidR="00255D88" w:rsidRDefault="00DB652D" w:rsidP="00753ECF">
          <w:r>
            <w:fldChar w:fldCharType="end"/>
          </w:r>
        </w:p>
      </w:sdtContent>
    </w:sdt>
    <w:p w14:paraId="4C665740" w14:textId="77777777" w:rsidR="00956188" w:rsidRDefault="00956188" w:rsidP="00753ECF">
      <w:pPr>
        <w:rPr>
          <w:rFonts w:asciiTheme="majorHAnsi" w:eastAsiaTheme="majorEastAsia" w:hAnsiTheme="majorHAnsi" w:cstheme="majorBidi"/>
          <w:color w:val="365F91" w:themeColor="accent1" w:themeShade="BF"/>
          <w:sz w:val="28"/>
          <w:szCs w:val="28"/>
        </w:rPr>
      </w:pPr>
      <w:r>
        <w:br w:type="page"/>
      </w:r>
    </w:p>
    <w:p w14:paraId="0D2E0D84" w14:textId="77777777" w:rsidR="009D0CE0" w:rsidRPr="00BA23D3" w:rsidRDefault="00D034AA" w:rsidP="00753ECF">
      <w:pPr>
        <w:pStyle w:val="Heading1"/>
      </w:pPr>
      <w:bookmarkStart w:id="1" w:name="_Toc196680940"/>
      <w:r w:rsidRPr="00BA23D3">
        <w:t>Table of Figures</w:t>
      </w:r>
      <w:bookmarkEnd w:id="1"/>
    </w:p>
    <w:p w14:paraId="66C3AEA8" w14:textId="31D32F4A" w:rsidR="003B69A3" w:rsidRDefault="003B69A3">
      <w:pPr>
        <w:pStyle w:val="TableofFigures"/>
        <w:tabs>
          <w:tab w:val="right" w:leader="dot" w:pos="9016"/>
        </w:tabs>
        <w:rPr>
          <w:rFonts w:asciiTheme="minorHAnsi" w:eastAsiaTheme="minorEastAsia" w:hAnsiTheme="minorHAnsi"/>
          <w:noProof/>
          <w:kern w:val="2"/>
          <w:sz w:val="24"/>
          <w:lang w:eastAsia="en-GB"/>
          <w14:ligatures w14:val="standardContextual"/>
        </w:rPr>
      </w:pPr>
      <w:r>
        <w:fldChar w:fldCharType="begin"/>
      </w:r>
      <w:r>
        <w:instrText xml:space="preserve"> TOC \h \z \c "Figure" </w:instrText>
      </w:r>
      <w:r>
        <w:fldChar w:fldCharType="separate"/>
      </w:r>
      <w:hyperlink w:anchor="_Toc196680995" w:history="1">
        <w:r w:rsidRPr="00624C92">
          <w:rPr>
            <w:rStyle w:val="Hyperlink"/>
            <w:noProof/>
          </w:rPr>
          <w:t>Figure 1: Emission Comparison</w:t>
        </w:r>
        <w:r>
          <w:rPr>
            <w:noProof/>
            <w:webHidden/>
          </w:rPr>
          <w:tab/>
        </w:r>
        <w:r>
          <w:rPr>
            <w:noProof/>
            <w:webHidden/>
          </w:rPr>
          <w:fldChar w:fldCharType="begin"/>
        </w:r>
        <w:r>
          <w:rPr>
            <w:noProof/>
            <w:webHidden/>
          </w:rPr>
          <w:instrText xml:space="preserve"> PAGEREF _Toc196680995 \h </w:instrText>
        </w:r>
        <w:r>
          <w:rPr>
            <w:noProof/>
            <w:webHidden/>
          </w:rPr>
        </w:r>
        <w:r>
          <w:rPr>
            <w:noProof/>
            <w:webHidden/>
          </w:rPr>
          <w:fldChar w:fldCharType="separate"/>
        </w:r>
        <w:r>
          <w:rPr>
            <w:noProof/>
            <w:webHidden/>
          </w:rPr>
          <w:t>7</w:t>
        </w:r>
        <w:r>
          <w:rPr>
            <w:noProof/>
            <w:webHidden/>
          </w:rPr>
          <w:fldChar w:fldCharType="end"/>
        </w:r>
      </w:hyperlink>
    </w:p>
    <w:p w14:paraId="7C10542B" w14:textId="26907B88" w:rsidR="003B69A3" w:rsidRDefault="003B69A3">
      <w:pPr>
        <w:pStyle w:val="TableofFigures"/>
        <w:tabs>
          <w:tab w:val="right" w:leader="dot" w:pos="9016"/>
        </w:tabs>
        <w:rPr>
          <w:rFonts w:asciiTheme="minorHAnsi" w:eastAsiaTheme="minorEastAsia" w:hAnsiTheme="minorHAnsi"/>
          <w:noProof/>
          <w:kern w:val="2"/>
          <w:sz w:val="24"/>
          <w:lang w:eastAsia="en-GB"/>
          <w14:ligatures w14:val="standardContextual"/>
        </w:rPr>
      </w:pPr>
      <w:hyperlink w:anchor="_Toc196680996" w:history="1">
        <w:r w:rsidRPr="00624C92">
          <w:rPr>
            <w:rStyle w:val="Hyperlink"/>
            <w:noProof/>
          </w:rPr>
          <w:t>Figure 2: Hydrogen- Ammonia Comparison Graph</w:t>
        </w:r>
        <w:r>
          <w:rPr>
            <w:noProof/>
            <w:webHidden/>
          </w:rPr>
          <w:tab/>
        </w:r>
        <w:r>
          <w:rPr>
            <w:noProof/>
            <w:webHidden/>
          </w:rPr>
          <w:fldChar w:fldCharType="begin"/>
        </w:r>
        <w:r>
          <w:rPr>
            <w:noProof/>
            <w:webHidden/>
          </w:rPr>
          <w:instrText xml:space="preserve"> PAGEREF _Toc196680996 \h </w:instrText>
        </w:r>
        <w:r>
          <w:rPr>
            <w:noProof/>
            <w:webHidden/>
          </w:rPr>
        </w:r>
        <w:r>
          <w:rPr>
            <w:noProof/>
            <w:webHidden/>
          </w:rPr>
          <w:fldChar w:fldCharType="separate"/>
        </w:r>
        <w:r>
          <w:rPr>
            <w:noProof/>
            <w:webHidden/>
          </w:rPr>
          <w:t>9</w:t>
        </w:r>
        <w:r>
          <w:rPr>
            <w:noProof/>
            <w:webHidden/>
          </w:rPr>
          <w:fldChar w:fldCharType="end"/>
        </w:r>
      </w:hyperlink>
    </w:p>
    <w:p w14:paraId="197A0077" w14:textId="2A80C952" w:rsidR="003B69A3" w:rsidRDefault="003B69A3">
      <w:pPr>
        <w:pStyle w:val="TableofFigures"/>
        <w:tabs>
          <w:tab w:val="right" w:leader="dot" w:pos="9016"/>
        </w:tabs>
        <w:rPr>
          <w:rFonts w:asciiTheme="minorHAnsi" w:eastAsiaTheme="minorEastAsia" w:hAnsiTheme="minorHAnsi"/>
          <w:noProof/>
          <w:kern w:val="2"/>
          <w:sz w:val="24"/>
          <w:lang w:eastAsia="en-GB"/>
          <w14:ligatures w14:val="standardContextual"/>
        </w:rPr>
      </w:pPr>
      <w:hyperlink w:anchor="_Toc196680997" w:history="1">
        <w:r w:rsidRPr="00624C92">
          <w:rPr>
            <w:rStyle w:val="Hyperlink"/>
            <w:noProof/>
          </w:rPr>
          <w:t>Figure 3: Rassweiler and Withrow MFB</w:t>
        </w:r>
        <w:r>
          <w:rPr>
            <w:noProof/>
            <w:webHidden/>
          </w:rPr>
          <w:tab/>
        </w:r>
        <w:r>
          <w:rPr>
            <w:noProof/>
            <w:webHidden/>
          </w:rPr>
          <w:fldChar w:fldCharType="begin"/>
        </w:r>
        <w:r>
          <w:rPr>
            <w:noProof/>
            <w:webHidden/>
          </w:rPr>
          <w:instrText xml:space="preserve"> PAGEREF _Toc196680997 \h </w:instrText>
        </w:r>
        <w:r>
          <w:rPr>
            <w:noProof/>
            <w:webHidden/>
          </w:rPr>
        </w:r>
        <w:r>
          <w:rPr>
            <w:noProof/>
            <w:webHidden/>
          </w:rPr>
          <w:fldChar w:fldCharType="separate"/>
        </w:r>
        <w:r>
          <w:rPr>
            <w:noProof/>
            <w:webHidden/>
          </w:rPr>
          <w:t>11</w:t>
        </w:r>
        <w:r>
          <w:rPr>
            <w:noProof/>
            <w:webHidden/>
          </w:rPr>
          <w:fldChar w:fldCharType="end"/>
        </w:r>
      </w:hyperlink>
    </w:p>
    <w:p w14:paraId="78709F08" w14:textId="10570129" w:rsidR="003B69A3" w:rsidRDefault="003B69A3">
      <w:pPr>
        <w:pStyle w:val="TableofFigures"/>
        <w:tabs>
          <w:tab w:val="right" w:leader="dot" w:pos="9016"/>
        </w:tabs>
        <w:rPr>
          <w:rFonts w:asciiTheme="minorHAnsi" w:eastAsiaTheme="minorEastAsia" w:hAnsiTheme="minorHAnsi"/>
          <w:noProof/>
          <w:kern w:val="2"/>
          <w:sz w:val="24"/>
          <w:lang w:eastAsia="en-GB"/>
          <w14:ligatures w14:val="standardContextual"/>
        </w:rPr>
      </w:pPr>
      <w:hyperlink w:anchor="_Toc196680998" w:history="1">
        <w:r w:rsidRPr="00624C92">
          <w:rPr>
            <w:rStyle w:val="Hyperlink"/>
            <w:noProof/>
          </w:rPr>
          <w:t>Figure 4: SOC/EOC</w:t>
        </w:r>
        <w:r>
          <w:rPr>
            <w:noProof/>
            <w:webHidden/>
          </w:rPr>
          <w:tab/>
        </w:r>
        <w:r>
          <w:rPr>
            <w:noProof/>
            <w:webHidden/>
          </w:rPr>
          <w:fldChar w:fldCharType="begin"/>
        </w:r>
        <w:r>
          <w:rPr>
            <w:noProof/>
            <w:webHidden/>
          </w:rPr>
          <w:instrText xml:space="preserve"> PAGEREF _Toc196680998 \h </w:instrText>
        </w:r>
        <w:r>
          <w:rPr>
            <w:noProof/>
            <w:webHidden/>
          </w:rPr>
        </w:r>
        <w:r>
          <w:rPr>
            <w:noProof/>
            <w:webHidden/>
          </w:rPr>
          <w:fldChar w:fldCharType="separate"/>
        </w:r>
        <w:r>
          <w:rPr>
            <w:noProof/>
            <w:webHidden/>
          </w:rPr>
          <w:t>12</w:t>
        </w:r>
        <w:r>
          <w:rPr>
            <w:noProof/>
            <w:webHidden/>
          </w:rPr>
          <w:fldChar w:fldCharType="end"/>
        </w:r>
      </w:hyperlink>
    </w:p>
    <w:p w14:paraId="1391F2E4" w14:textId="75EBB6E0" w:rsidR="003B69A3" w:rsidRDefault="003B69A3">
      <w:pPr>
        <w:pStyle w:val="TableofFigures"/>
        <w:tabs>
          <w:tab w:val="right" w:leader="dot" w:pos="9016"/>
        </w:tabs>
        <w:rPr>
          <w:rFonts w:asciiTheme="minorHAnsi" w:eastAsiaTheme="minorEastAsia" w:hAnsiTheme="minorHAnsi"/>
          <w:noProof/>
          <w:kern w:val="2"/>
          <w:sz w:val="24"/>
          <w:lang w:eastAsia="en-GB"/>
          <w14:ligatures w14:val="standardContextual"/>
        </w:rPr>
      </w:pPr>
      <w:hyperlink w:anchor="_Toc196680999" w:history="1">
        <w:r w:rsidRPr="00624C92">
          <w:rPr>
            <w:rStyle w:val="Hyperlink"/>
            <w:noProof/>
          </w:rPr>
          <w:t>Figure 5:Wiebe Fit Around CA50</w:t>
        </w:r>
        <w:r>
          <w:rPr>
            <w:noProof/>
            <w:webHidden/>
          </w:rPr>
          <w:tab/>
        </w:r>
        <w:r>
          <w:rPr>
            <w:noProof/>
            <w:webHidden/>
          </w:rPr>
          <w:fldChar w:fldCharType="begin"/>
        </w:r>
        <w:r>
          <w:rPr>
            <w:noProof/>
            <w:webHidden/>
          </w:rPr>
          <w:instrText xml:space="preserve"> PAGEREF _Toc196680999 \h </w:instrText>
        </w:r>
        <w:r>
          <w:rPr>
            <w:noProof/>
            <w:webHidden/>
          </w:rPr>
        </w:r>
        <w:r>
          <w:rPr>
            <w:noProof/>
            <w:webHidden/>
          </w:rPr>
          <w:fldChar w:fldCharType="separate"/>
        </w:r>
        <w:r>
          <w:rPr>
            <w:noProof/>
            <w:webHidden/>
          </w:rPr>
          <w:t>13</w:t>
        </w:r>
        <w:r>
          <w:rPr>
            <w:noProof/>
            <w:webHidden/>
          </w:rPr>
          <w:fldChar w:fldCharType="end"/>
        </w:r>
      </w:hyperlink>
    </w:p>
    <w:p w14:paraId="611FC767" w14:textId="6C880B50" w:rsidR="003B69A3" w:rsidRDefault="003B69A3">
      <w:pPr>
        <w:pStyle w:val="TableofFigures"/>
        <w:tabs>
          <w:tab w:val="right" w:leader="dot" w:pos="9016"/>
        </w:tabs>
        <w:rPr>
          <w:rFonts w:asciiTheme="minorHAnsi" w:eastAsiaTheme="minorEastAsia" w:hAnsiTheme="minorHAnsi"/>
          <w:noProof/>
          <w:kern w:val="2"/>
          <w:sz w:val="24"/>
          <w:lang w:eastAsia="en-GB"/>
          <w14:ligatures w14:val="standardContextual"/>
        </w:rPr>
      </w:pPr>
      <w:hyperlink w:anchor="_Toc196681000" w:history="1">
        <w:r w:rsidRPr="00624C92">
          <w:rPr>
            <w:rStyle w:val="Hyperlink"/>
            <w:noProof/>
          </w:rPr>
          <w:t>Figure 6:Wiebe Fit to MFB</w:t>
        </w:r>
        <w:r>
          <w:rPr>
            <w:noProof/>
            <w:webHidden/>
          </w:rPr>
          <w:tab/>
        </w:r>
        <w:r>
          <w:rPr>
            <w:noProof/>
            <w:webHidden/>
          </w:rPr>
          <w:fldChar w:fldCharType="begin"/>
        </w:r>
        <w:r>
          <w:rPr>
            <w:noProof/>
            <w:webHidden/>
          </w:rPr>
          <w:instrText xml:space="preserve"> PAGEREF _Toc196681000 \h </w:instrText>
        </w:r>
        <w:r>
          <w:rPr>
            <w:noProof/>
            <w:webHidden/>
          </w:rPr>
        </w:r>
        <w:r>
          <w:rPr>
            <w:noProof/>
            <w:webHidden/>
          </w:rPr>
          <w:fldChar w:fldCharType="separate"/>
        </w:r>
        <w:r>
          <w:rPr>
            <w:noProof/>
            <w:webHidden/>
          </w:rPr>
          <w:t>14</w:t>
        </w:r>
        <w:r>
          <w:rPr>
            <w:noProof/>
            <w:webHidden/>
          </w:rPr>
          <w:fldChar w:fldCharType="end"/>
        </w:r>
      </w:hyperlink>
    </w:p>
    <w:p w14:paraId="1B31AB90" w14:textId="3A4089EB" w:rsidR="003B69A3" w:rsidRDefault="003B69A3">
      <w:pPr>
        <w:pStyle w:val="TableofFigures"/>
        <w:tabs>
          <w:tab w:val="right" w:leader="dot" w:pos="9016"/>
        </w:tabs>
        <w:rPr>
          <w:rFonts w:asciiTheme="minorHAnsi" w:eastAsiaTheme="minorEastAsia" w:hAnsiTheme="minorHAnsi"/>
          <w:noProof/>
          <w:kern w:val="2"/>
          <w:sz w:val="24"/>
          <w:lang w:eastAsia="en-GB"/>
          <w14:ligatures w14:val="standardContextual"/>
        </w:rPr>
      </w:pPr>
      <w:hyperlink w:anchor="_Toc196681001" w:history="1">
        <w:r w:rsidRPr="00624C92">
          <w:rPr>
            <w:rStyle w:val="Hyperlink"/>
            <w:noProof/>
          </w:rPr>
          <w:t>Figure 7:Pressure and Volume vs Crank Angle</w:t>
        </w:r>
        <w:r>
          <w:rPr>
            <w:noProof/>
            <w:webHidden/>
          </w:rPr>
          <w:tab/>
        </w:r>
        <w:r>
          <w:rPr>
            <w:noProof/>
            <w:webHidden/>
          </w:rPr>
          <w:fldChar w:fldCharType="begin"/>
        </w:r>
        <w:r>
          <w:rPr>
            <w:noProof/>
            <w:webHidden/>
          </w:rPr>
          <w:instrText xml:space="preserve"> PAGEREF _Toc196681001 \h </w:instrText>
        </w:r>
        <w:r>
          <w:rPr>
            <w:noProof/>
            <w:webHidden/>
          </w:rPr>
        </w:r>
        <w:r>
          <w:rPr>
            <w:noProof/>
            <w:webHidden/>
          </w:rPr>
          <w:fldChar w:fldCharType="separate"/>
        </w:r>
        <w:r>
          <w:rPr>
            <w:noProof/>
            <w:webHidden/>
          </w:rPr>
          <w:t>15</w:t>
        </w:r>
        <w:r>
          <w:rPr>
            <w:noProof/>
            <w:webHidden/>
          </w:rPr>
          <w:fldChar w:fldCharType="end"/>
        </w:r>
      </w:hyperlink>
    </w:p>
    <w:p w14:paraId="5B8F716D" w14:textId="18F5A62B" w:rsidR="003B69A3" w:rsidRDefault="003B69A3">
      <w:pPr>
        <w:pStyle w:val="TableofFigures"/>
        <w:tabs>
          <w:tab w:val="right" w:leader="dot" w:pos="9016"/>
        </w:tabs>
        <w:rPr>
          <w:rFonts w:asciiTheme="minorHAnsi" w:eastAsiaTheme="minorEastAsia" w:hAnsiTheme="minorHAnsi"/>
          <w:noProof/>
          <w:kern w:val="2"/>
          <w:sz w:val="24"/>
          <w:lang w:eastAsia="en-GB"/>
          <w14:ligatures w14:val="standardContextual"/>
        </w:rPr>
      </w:pPr>
      <w:hyperlink w:anchor="_Toc196681002" w:history="1">
        <w:r w:rsidRPr="00624C92">
          <w:rPr>
            <w:rStyle w:val="Hyperlink"/>
            <w:noProof/>
          </w:rPr>
          <w:t>Figure 8: Hydrogen Ammonia Combustion</w:t>
        </w:r>
        <w:r>
          <w:rPr>
            <w:noProof/>
            <w:webHidden/>
          </w:rPr>
          <w:tab/>
        </w:r>
        <w:r>
          <w:rPr>
            <w:noProof/>
            <w:webHidden/>
          </w:rPr>
          <w:fldChar w:fldCharType="begin"/>
        </w:r>
        <w:r>
          <w:rPr>
            <w:noProof/>
            <w:webHidden/>
          </w:rPr>
          <w:instrText xml:space="preserve"> PAGEREF _Toc196681002 \h </w:instrText>
        </w:r>
        <w:r>
          <w:rPr>
            <w:noProof/>
            <w:webHidden/>
          </w:rPr>
        </w:r>
        <w:r>
          <w:rPr>
            <w:noProof/>
            <w:webHidden/>
          </w:rPr>
          <w:fldChar w:fldCharType="separate"/>
        </w:r>
        <w:r>
          <w:rPr>
            <w:noProof/>
            <w:webHidden/>
          </w:rPr>
          <w:t>16</w:t>
        </w:r>
        <w:r>
          <w:rPr>
            <w:noProof/>
            <w:webHidden/>
          </w:rPr>
          <w:fldChar w:fldCharType="end"/>
        </w:r>
      </w:hyperlink>
    </w:p>
    <w:p w14:paraId="3AC93D92" w14:textId="28FF52B1" w:rsidR="00D034AA" w:rsidRPr="00D034AA" w:rsidRDefault="003B69A3" w:rsidP="00753ECF">
      <w:r>
        <w:fldChar w:fldCharType="end"/>
      </w:r>
    </w:p>
    <w:p w14:paraId="554BE1DB" w14:textId="77777777" w:rsidR="00FD11A5" w:rsidRDefault="00FD11A5" w:rsidP="00753ECF">
      <w:pPr>
        <w:rPr>
          <w:rFonts w:asciiTheme="majorHAnsi" w:eastAsiaTheme="majorEastAsia" w:hAnsiTheme="majorHAnsi" w:cstheme="majorBidi"/>
          <w:color w:val="365F91" w:themeColor="accent1" w:themeShade="BF"/>
          <w:sz w:val="28"/>
          <w:szCs w:val="28"/>
        </w:rPr>
      </w:pPr>
      <w:r>
        <w:br w:type="page"/>
      </w:r>
    </w:p>
    <w:p w14:paraId="16070FF1" w14:textId="0052D8E2" w:rsidR="00425290" w:rsidRDefault="00485DEE" w:rsidP="00425290">
      <w:pPr>
        <w:pStyle w:val="Heading1"/>
      </w:pPr>
      <w:bookmarkStart w:id="2" w:name="_Toc196680941"/>
      <w:proofErr w:type="gramStart"/>
      <w:r>
        <w:t>1:</w:t>
      </w:r>
      <w:r w:rsidR="009D0CE0" w:rsidRPr="00D5270A">
        <w:t>Introduction</w:t>
      </w:r>
      <w:bookmarkEnd w:id="2"/>
      <w:proofErr w:type="gramEnd"/>
    </w:p>
    <w:p w14:paraId="73313986" w14:textId="5E42641E" w:rsidR="00A6444F" w:rsidRPr="00A6444F" w:rsidRDefault="00A6444F" w:rsidP="00A6444F">
      <w:r w:rsidRPr="00A6444F">
        <w:t>The call for low</w:t>
      </w:r>
      <w:r w:rsidR="00A9448A">
        <w:t xml:space="preserve"> </w:t>
      </w:r>
      <w:r w:rsidRPr="00A6444F">
        <w:t xml:space="preserve">carbon mobility solutions has amplified the need to </w:t>
      </w:r>
      <w:r w:rsidR="00A9448A" w:rsidRPr="00A6444F">
        <w:t>re</w:t>
      </w:r>
      <w:r w:rsidR="00A9448A">
        <w:t>e</w:t>
      </w:r>
      <w:r w:rsidR="00A9448A" w:rsidRPr="00A6444F">
        <w:t>valuate</w:t>
      </w:r>
      <w:r w:rsidRPr="00A6444F">
        <w:t xml:space="preserve"> the role of internal combustion engines (ICEs). Although the growing visibility of electric has posed questions about the future of ICEs, ICEs also have a vast potential with renewable fuels, lean combustion techniques, and intelligent emission control strategies. The combustion and emission profile modelling and analysis for every one of the three fuels </w:t>
      </w:r>
      <w:r w:rsidR="00A9448A">
        <w:t>p</w:t>
      </w:r>
      <w:r w:rsidRPr="00A6444F">
        <w:t xml:space="preserve">etrol, </w:t>
      </w:r>
      <w:r w:rsidR="00A9448A">
        <w:t>e</w:t>
      </w:r>
      <w:r w:rsidRPr="00A6444F">
        <w:t xml:space="preserve">thanol, and </w:t>
      </w:r>
      <w:r w:rsidR="00A9448A">
        <w:t>h</w:t>
      </w:r>
      <w:r w:rsidRPr="00A6444F">
        <w:t>ydrogen</w:t>
      </w:r>
      <w:r w:rsidR="00A9448A">
        <w:t xml:space="preserve"> a</w:t>
      </w:r>
      <w:r w:rsidRPr="00A6444F">
        <w:t>mmonia blends along with their thermodynamic performance and pollutant formation trends, and application suitability for near</w:t>
      </w:r>
      <w:r w:rsidR="00A9448A">
        <w:t xml:space="preserve"> </w:t>
      </w:r>
      <w:r w:rsidRPr="00A6444F">
        <w:t>future engine platforms are presented in tabular format.</w:t>
      </w:r>
      <w:r>
        <w:t xml:space="preserve"> T</w:t>
      </w:r>
      <w:r w:rsidRPr="00A6444F">
        <w:t xml:space="preserve">he combination of experimental combustion measurement, characterisation of emissions, and advanced combustion modelling techniques such as Wiebe function regression and pressure volume analysis, detailed understanding of </w:t>
      </w:r>
      <w:proofErr w:type="spellStart"/>
      <w:r w:rsidRPr="00A6444F">
        <w:t>trade offs</w:t>
      </w:r>
      <w:proofErr w:type="spellEnd"/>
      <w:r w:rsidRPr="00A6444F">
        <w:t xml:space="preserve"> between combustion efficiency and pollutant formation is achieved. These findings are directly associated with existing literature in ICE decarbonisation using alternative fuels and advanced control (Heywood, 2018; García et al., 2021; Verhelst et al., 2019). Apart from that, simulation software such as Ricardo WAVE is also cited </w:t>
      </w:r>
      <w:r w:rsidRPr="00A6444F">
        <w:t>to</w:t>
      </w:r>
      <w:r w:rsidRPr="00A6444F">
        <w:t xml:space="preserve"> demonstrate how 1D engine modelling can be employed to simulate, predict, and optimise combustion behaviour for conventional and alternative fuels.</w:t>
      </w:r>
      <w:r>
        <w:t xml:space="preserve"> </w:t>
      </w:r>
      <w:r w:rsidRPr="00A6444F">
        <w:t>The goal of this research is to validate theoretical combustion emission behaviour against experimental data, critically evaluate the role of alternative fuels, and determine simulation strategies that can make future ICE innovation possible in a tightening regulation.</w:t>
      </w:r>
    </w:p>
    <w:p w14:paraId="4A7AD82F" w14:textId="77777777" w:rsidR="00A72A9B" w:rsidRDefault="007F1F0F" w:rsidP="00425290">
      <w:pPr>
        <w:pStyle w:val="Heading1"/>
      </w:pPr>
      <w:r w:rsidRPr="00BA23D3">
        <w:br w:type="page"/>
      </w:r>
    </w:p>
    <w:p w14:paraId="4876913E" w14:textId="3D89C2FA" w:rsidR="00A72A9B" w:rsidRDefault="00485DEE" w:rsidP="00A72A9B">
      <w:pPr>
        <w:pStyle w:val="Heading1"/>
      </w:pPr>
      <w:bookmarkStart w:id="3" w:name="_Toc196680942"/>
      <w:r>
        <w:t>2:</w:t>
      </w:r>
      <w:r w:rsidRPr="00A72A9B">
        <w:t xml:space="preserve"> Literature</w:t>
      </w:r>
      <w:r w:rsidR="00A72A9B" w:rsidRPr="00A72A9B">
        <w:t xml:space="preserve"> Review</w:t>
      </w:r>
      <w:r w:rsidR="00A72A9B">
        <w:t>:</w:t>
      </w:r>
      <w:bookmarkEnd w:id="3"/>
    </w:p>
    <w:p w14:paraId="625D72A4" w14:textId="3CEF7FAF" w:rsidR="00A72A9B" w:rsidRPr="00A72A9B" w:rsidRDefault="00A72A9B" w:rsidP="00A72A9B">
      <w:r w:rsidRPr="00A72A9B">
        <w:t xml:space="preserve">The future of internal combustion engines (ICEs) is being actively debated within the context of decarbonisation and regulatory change. While electric powertrains are gaining prominence, recent </w:t>
      </w:r>
      <w:r w:rsidR="00BE5BA7">
        <w:t>articles</w:t>
      </w:r>
      <w:r w:rsidRPr="00A72A9B">
        <w:t xml:space="preserve"> </w:t>
      </w:r>
      <w:r w:rsidR="00BE5BA7">
        <w:t>suggest</w:t>
      </w:r>
      <w:r w:rsidRPr="00A72A9B">
        <w:t xml:space="preserve"> a growing interest in synthetic and low-carbon fuels as transitional or even long-term solutions for specific vehicle classes, particularly L</w:t>
      </w:r>
      <w:r w:rsidR="00F978D0">
        <w:t xml:space="preserve"> </w:t>
      </w:r>
      <w:r w:rsidRPr="00A72A9B">
        <w:t>class vehicles like motorcycles and lightweight commuter cars (Bicer &amp; Dincer, 2018; Burke et al., 2022).</w:t>
      </w:r>
      <w:r w:rsidR="00C3203B">
        <w:t xml:space="preserve"> </w:t>
      </w:r>
      <w:r w:rsidRPr="00A72A9B">
        <w:t xml:space="preserve">The European Union and </w:t>
      </w:r>
      <w:r w:rsidR="00AC0C28">
        <w:t xml:space="preserve">the </w:t>
      </w:r>
      <w:r w:rsidRPr="00A72A9B">
        <w:t>UK are moving toward banning the sale of new ICE vehicles post-2035, with some flexibility potentially extended to synthetic or e-fuels (European Commission, 2021). Studies show that fuels derived from renewable electricity (hydrogen, ammonia, methanol, or synthetic hydrocarbons) can offer near net</w:t>
      </w:r>
      <w:r w:rsidR="00F978D0">
        <w:t xml:space="preserve"> </w:t>
      </w:r>
      <w:r w:rsidRPr="00A72A9B">
        <w:t>zero carbon emissions when lifecycle emissions are accounted for (Verhelst et al., 2019; Ciaravino et al., 2023).</w:t>
      </w:r>
      <w:r w:rsidR="00C3203B">
        <w:t xml:space="preserve"> </w:t>
      </w:r>
      <w:r w:rsidRPr="00A72A9B">
        <w:t xml:space="preserve">Ammonia, for instance, provides an interesting </w:t>
      </w:r>
      <w:proofErr w:type="spellStart"/>
      <w:r w:rsidRPr="00A72A9B">
        <w:t>trade</w:t>
      </w:r>
      <w:r w:rsidR="00F978D0">
        <w:t xml:space="preserve"> </w:t>
      </w:r>
      <w:r w:rsidRPr="00A72A9B">
        <w:t>off</w:t>
      </w:r>
      <w:proofErr w:type="spellEnd"/>
      <w:r w:rsidRPr="00A72A9B">
        <w:t xml:space="preserve"> between zero carbon content and storage convenience, though it suffers from slow flame speeds and poor ignition quality. Hydrogen, on the other hand, enables high combustion efficiency and zero carbon emissions but presents storage and NOx control challenges due to its high combustion temperature (Zhao et al., 2020; García et al., 2021).</w:t>
      </w:r>
    </w:p>
    <w:p w14:paraId="3603E953" w14:textId="219EF4E1" w:rsidR="00A72A9B" w:rsidRPr="00A72A9B" w:rsidRDefault="00485DEE" w:rsidP="00344631">
      <w:pPr>
        <w:pStyle w:val="Heading2"/>
      </w:pPr>
      <w:bookmarkStart w:id="4" w:name="_Toc196680943"/>
      <w:r>
        <w:t>2.1:</w:t>
      </w:r>
      <w:r w:rsidRPr="00A72A9B">
        <w:t xml:space="preserve"> Combustion</w:t>
      </w:r>
      <w:r w:rsidR="00A72A9B" w:rsidRPr="00A72A9B">
        <w:t xml:space="preserve"> Modelling Techniques</w:t>
      </w:r>
      <w:bookmarkEnd w:id="4"/>
    </w:p>
    <w:p w14:paraId="7FF3442C" w14:textId="1E1D5C9B" w:rsidR="00343848" w:rsidRDefault="00343848" w:rsidP="00343848">
      <w:r w:rsidRPr="00343848">
        <w:t xml:space="preserve">The </w:t>
      </w:r>
      <w:proofErr w:type="gramStart"/>
      <w:r w:rsidRPr="00343848">
        <w:t>2</w:t>
      </w:r>
      <w:r w:rsidR="00F978D0">
        <w:t xml:space="preserve"> </w:t>
      </w:r>
      <w:r w:rsidRPr="00343848">
        <w:t>zone</w:t>
      </w:r>
      <w:proofErr w:type="gramEnd"/>
      <w:r w:rsidRPr="00343848">
        <w:t xml:space="preserve"> approach remains a favourite for striking the balance between simulation accuracy and cost of computation. It divides the cylinder into an unburned and burned zone and tracks both thermodynamic properties to permit more accurate prediction of pressure, temperature, and emissions profiles than single</w:t>
      </w:r>
      <w:r w:rsidR="00F978D0">
        <w:t xml:space="preserve"> </w:t>
      </w:r>
      <w:r w:rsidRPr="00343848">
        <w:t>zone approaches (Heywood, 2018).</w:t>
      </w:r>
      <w:r>
        <w:t xml:space="preserve"> </w:t>
      </w:r>
      <w:r w:rsidRPr="00343848">
        <w:t>CFD</w:t>
      </w:r>
      <w:r w:rsidR="00F978D0">
        <w:t xml:space="preserve"> </w:t>
      </w:r>
      <w:r w:rsidRPr="00343848">
        <w:t xml:space="preserve">based computer software packages like Ricardo WAVE and ANSYS Forte also tackle spatial gradients, individual spray </w:t>
      </w:r>
      <w:r>
        <w:t>behaviour</w:t>
      </w:r>
      <w:r w:rsidRPr="00343848">
        <w:t>, chemical kinetics, and heat transfer. Able to simulate spark ignition (SI), compression ignition (CI), and nascent combustion modes like homogeneous charge compression ignition (HCCI) or partially premixed combustion (PPCI), they enable simulation for any fuel and injection strategy (ANSYS, 2022; Ricardo, 2023</w:t>
      </w:r>
      <w:proofErr w:type="gramStart"/>
      <w:r w:rsidRPr="00343848">
        <w:t>).In</w:t>
      </w:r>
      <w:proofErr w:type="gramEnd"/>
      <w:r w:rsidRPr="00343848">
        <w:t xml:space="preserve"> efficient simulation, the fuel chemistry </w:t>
      </w:r>
      <w:proofErr w:type="gramStart"/>
      <w:r w:rsidRPr="00343848">
        <w:t>has to</w:t>
      </w:r>
      <w:proofErr w:type="gramEnd"/>
      <w:r w:rsidRPr="00343848">
        <w:t xml:space="preserve"> be specified correctly. Mechanisms of hydrogen and ammonia combustion and NOx formation pathways are all </w:t>
      </w:r>
      <w:proofErr w:type="spellStart"/>
      <w:r w:rsidRPr="00343848">
        <w:t>well</w:t>
      </w:r>
      <w:r w:rsidR="00F978D0">
        <w:t xml:space="preserve"> </w:t>
      </w:r>
      <w:r w:rsidRPr="00343848">
        <w:t>defined</w:t>
      </w:r>
      <w:proofErr w:type="spellEnd"/>
      <w:r w:rsidRPr="00343848">
        <w:t xml:space="preserve"> and publicly released (e.g., GRI-Mech, USC Mech II), though the process of mapping them into rapid</w:t>
      </w:r>
      <w:r w:rsidR="00F978D0">
        <w:t xml:space="preserve"> </w:t>
      </w:r>
      <w:r w:rsidRPr="00343848">
        <w:t>running 1D or 2D solvers is a matter of low</w:t>
      </w:r>
      <w:r w:rsidR="00F978D0">
        <w:t xml:space="preserve"> </w:t>
      </w:r>
      <w:r w:rsidRPr="00343848">
        <w:t>order modelling or surrogate chemistry (Curran et al., 2007)</w:t>
      </w:r>
    </w:p>
    <w:p w14:paraId="3AD6392F" w14:textId="77777777" w:rsidR="00F978D0" w:rsidRDefault="00F978D0">
      <w:pPr>
        <w:spacing w:line="276" w:lineRule="auto"/>
        <w:jc w:val="left"/>
        <w:rPr>
          <w:rFonts w:asciiTheme="majorHAnsi" w:eastAsiaTheme="majorEastAsia" w:hAnsiTheme="majorHAnsi" w:cstheme="majorBidi"/>
          <w:b/>
          <w:bCs/>
          <w:color w:val="4F81BD" w:themeColor="accent1"/>
          <w:sz w:val="26"/>
          <w:szCs w:val="26"/>
        </w:rPr>
      </w:pPr>
      <w:r>
        <w:br w:type="page"/>
      </w:r>
    </w:p>
    <w:p w14:paraId="5D09EE14" w14:textId="1AF69BAB" w:rsidR="00343848" w:rsidRDefault="00485DEE" w:rsidP="00344631">
      <w:pPr>
        <w:pStyle w:val="Heading2"/>
      </w:pPr>
      <w:bookmarkStart w:id="5" w:name="_Toc196680944"/>
      <w:r>
        <w:t>2.2:</w:t>
      </w:r>
      <w:r w:rsidRPr="00A72A9B">
        <w:t xml:space="preserve"> Emissions</w:t>
      </w:r>
      <w:r w:rsidR="00A72A9B" w:rsidRPr="00A72A9B">
        <w:t xml:space="preserve"> Control in Future ICEs</w:t>
      </w:r>
      <w:bookmarkEnd w:id="5"/>
      <w:r w:rsidR="00343848">
        <w:t xml:space="preserve"> </w:t>
      </w:r>
    </w:p>
    <w:p w14:paraId="63DD4ECE" w14:textId="0E2BB623" w:rsidR="00A72A9B" w:rsidRPr="00343848" w:rsidRDefault="00343848" w:rsidP="00343848">
      <w:r w:rsidRPr="00343848">
        <w:t>With increasingly strict emissions regulations globally, models must predict and capture major pollutants, specifically NOx, HC, CO, and particulates. papers highlight that while lean burn combustion of hydrogen or ammonia reduces CO2 and HC emissions to a minimum, NOx emissions remain an issue due to the high combustion temperature and long residence time (Dimitriou &amp; Javaid, 2020; Reiter &amp; Kong, 2008). EGR (Exhaust Gas Recirculation), staged combustion, and after-treatment systems such as selective catalytic reduction (SCR) and three-way catalysts (TWC) are modelled routinely in programs like Forte with the objective of reducing this to a minimum.</w:t>
      </w:r>
      <w:r w:rsidRPr="00343848">
        <w:br/>
        <w:t>A concern of increasing importance is the formation of unregulated emissions, i.e., aldehydes (from methanol/ethanol), ammonia slip, and N2O.</w:t>
      </w:r>
      <w:r>
        <w:t xml:space="preserve"> </w:t>
      </w:r>
      <w:r w:rsidRPr="00343848">
        <w:t>The use of detailed chemical reaction mechanisms, especially for oxygenated and nitrogen-containing fuels, is necessary for accurate NOx and unburned species predictions.</w:t>
      </w:r>
      <w:r w:rsidR="00843FEC">
        <w:t xml:space="preserve"> </w:t>
      </w:r>
      <w:r w:rsidRPr="00343848">
        <w:t>Advanced in-cylinder strategies, such as charge dilution via EGR, water injection,</w:t>
      </w:r>
      <w:r>
        <w:t xml:space="preserve"> </w:t>
      </w:r>
      <w:r w:rsidRPr="00343848">
        <w:t>variable valve timing (VVT), and lean NOx traps, have been shown in the literature to be effective at suppressing emissions at no cost in engine performance.</w:t>
      </w:r>
      <w:r w:rsidR="00843FEC">
        <w:t xml:space="preserve"> </w:t>
      </w:r>
      <w:r w:rsidRPr="00343848">
        <w:t>Dual</w:t>
      </w:r>
      <w:r w:rsidR="00A9448A">
        <w:t xml:space="preserve"> </w:t>
      </w:r>
      <w:r w:rsidRPr="00343848">
        <w:t>fuel strategies (diesel</w:t>
      </w:r>
      <w:r w:rsidR="00A9448A">
        <w:t xml:space="preserve"> </w:t>
      </w:r>
      <w:r w:rsidRPr="00343848">
        <w:t>hydrogen, gasoline</w:t>
      </w:r>
      <w:r w:rsidR="00A9448A">
        <w:t xml:space="preserve"> </w:t>
      </w:r>
      <w:r w:rsidRPr="00343848">
        <w:t>ammonia) are also common in research studies due to the synergy between them: the primary fuel with beneficial ignition properties stabilises combustion,</w:t>
      </w:r>
      <w:r w:rsidR="00843FEC">
        <w:t xml:space="preserve"> </w:t>
      </w:r>
      <w:r w:rsidRPr="00343848">
        <w:t>while the secondary low-carbon fuel reduces net emissions (Zhou et al., 2021).</w:t>
      </w:r>
    </w:p>
    <w:p w14:paraId="3C251066" w14:textId="5CE2ACE4" w:rsidR="00A72A9B" w:rsidRPr="00A72A9B" w:rsidRDefault="00A72A9B" w:rsidP="00344631">
      <w:pPr>
        <w:pStyle w:val="Heading2"/>
      </w:pPr>
      <w:r w:rsidRPr="00A72A9B">
        <w:t xml:space="preserve"> </w:t>
      </w:r>
      <w:bookmarkStart w:id="6" w:name="_Toc196680945"/>
      <w:r w:rsidR="00485DEE">
        <w:t>2.3:</w:t>
      </w:r>
      <w:r w:rsidR="00485DEE" w:rsidRPr="00A72A9B">
        <w:t xml:space="preserve"> Overview</w:t>
      </w:r>
      <w:r w:rsidRPr="00A72A9B">
        <w:t xml:space="preserve"> of Alternative Fuels</w:t>
      </w:r>
      <w:bookmarkEnd w:id="6"/>
    </w:p>
    <w:p w14:paraId="5D4EB27D" w14:textId="034DEBE1" w:rsidR="00843FEC" w:rsidRDefault="00843FEC" w:rsidP="00843FEC">
      <w:r w:rsidRPr="00843FEC">
        <w:t xml:space="preserve">Alternate fuels are emerging and becoming increasingly crucial in </w:t>
      </w:r>
      <w:r>
        <w:t>decarbonising</w:t>
      </w:r>
      <w:r w:rsidRPr="00843FEC">
        <w:t xml:space="preserve"> internal combustion engines and sustainability in future regulatory regions. Hydrogen is among the most researched zero-carbon fuel with clean and efficient burning</w:t>
      </w:r>
      <w:r>
        <w:t>,</w:t>
      </w:r>
      <w:r w:rsidRPr="00843FEC">
        <w:t xml:space="preserve"> but at the expense of complex engine calibration to reduce NOx emission</w:t>
      </w:r>
      <w:r>
        <w:t>,</w:t>
      </w:r>
      <w:r w:rsidRPr="00843FEC">
        <w:t xml:space="preserve"> </w:t>
      </w:r>
      <w:r>
        <w:t>employing</w:t>
      </w:r>
      <w:r w:rsidRPr="00843FEC">
        <w:t xml:space="preserve"> high flame temperature. Ammonia is another zero-carbon fuel with a very desirable choice as it possesses high energy density and is easy to store. However, it has poor ignition quality and can release unburned ammonia and NOx when poorly controlled. Alcoholic fuels such as ethanol and methanol provide high octane </w:t>
      </w:r>
      <w:r>
        <w:t>numbers</w:t>
      </w:r>
      <w:r w:rsidRPr="00843FEC">
        <w:t xml:space="preserve"> and built-in oxygen content</w:t>
      </w:r>
      <w:r>
        <w:t>,</w:t>
      </w:r>
      <w:r w:rsidRPr="00843FEC">
        <w:t xml:space="preserve"> with the outcome being cleaner and complete combustion</w:t>
      </w:r>
      <w:r>
        <w:t>,</w:t>
      </w:r>
      <w:r w:rsidRPr="00843FEC">
        <w:t xml:space="preserve"> but with issues of aldehyde emissions and cold-startability. Synthetic e-fuels, generated by technologies like Fischer-</w:t>
      </w:r>
      <w:proofErr w:type="spellStart"/>
      <w:r w:rsidRPr="00843FEC">
        <w:t>Tropsch</w:t>
      </w:r>
      <w:proofErr w:type="spellEnd"/>
      <w:r w:rsidRPr="00843FEC">
        <w:t xml:space="preserve"> synthesis, are copies of conventional hydrocarbons but can be designed with cleaner combustion and hence can serve as the best drop-in fuels for existing ICE platforms. Dimethyl ether (DME) and biodiesel are biofuels that are compatible in compression ignition engines and offer advantages like lower soot and improved lubrication </w:t>
      </w:r>
      <w:proofErr w:type="gramStart"/>
      <w:r w:rsidRPr="00843FEC">
        <w:t>properties</w:t>
      </w:r>
      <w:r>
        <w:t>,</w:t>
      </w:r>
      <w:r w:rsidRPr="00843FEC">
        <w:t xml:space="preserve"> but</w:t>
      </w:r>
      <w:proofErr w:type="gramEnd"/>
      <w:r w:rsidRPr="00843FEC">
        <w:t xml:space="preserve"> can have issues with cold flow and NOx emissions. Each of these fuels has its own emission and combustion characteristics, which </w:t>
      </w:r>
      <w:proofErr w:type="gramStart"/>
      <w:r w:rsidRPr="00843FEC">
        <w:t>have to</w:t>
      </w:r>
      <w:proofErr w:type="gramEnd"/>
      <w:r w:rsidRPr="00843FEC">
        <w:t xml:space="preserve"> be precisely incorporated into engine systems, and their effectiveness is also augmented in many cases by </w:t>
      </w:r>
      <w:proofErr w:type="spellStart"/>
      <w:r w:rsidRPr="00843FEC">
        <w:t>blisking</w:t>
      </w:r>
      <w:proofErr w:type="spellEnd"/>
      <w:r w:rsidRPr="00843FEC">
        <w:t xml:space="preserve"> techniques and dual-fuel technology.</w:t>
      </w:r>
    </w:p>
    <w:p w14:paraId="4863C257" w14:textId="77777777" w:rsidR="00F978D0" w:rsidRDefault="00F978D0">
      <w:pPr>
        <w:spacing w:line="276" w:lineRule="auto"/>
        <w:jc w:val="left"/>
        <w:rPr>
          <w:rFonts w:asciiTheme="majorHAnsi" w:eastAsiaTheme="majorEastAsia" w:hAnsiTheme="majorHAnsi" w:cstheme="majorBidi"/>
          <w:b/>
          <w:bCs/>
          <w:color w:val="4F81BD" w:themeColor="accent1"/>
          <w:sz w:val="26"/>
          <w:szCs w:val="26"/>
        </w:rPr>
      </w:pPr>
      <w:r>
        <w:br w:type="page"/>
      </w:r>
    </w:p>
    <w:p w14:paraId="27294F31" w14:textId="2BA85561" w:rsidR="00A72A9B" w:rsidRPr="00A72A9B" w:rsidRDefault="00485DEE" w:rsidP="00344631">
      <w:pPr>
        <w:pStyle w:val="Heading2"/>
      </w:pPr>
      <w:bookmarkStart w:id="7" w:name="_Toc196680946"/>
      <w:r>
        <w:t xml:space="preserve">2.4: </w:t>
      </w:r>
      <w:r w:rsidR="00A72A9B" w:rsidRPr="00A72A9B">
        <w:t>Fuel Blends: Enhancing Practical Use</w:t>
      </w:r>
      <w:bookmarkEnd w:id="7"/>
    </w:p>
    <w:p w14:paraId="37FF7C42" w14:textId="61DA4193" w:rsidR="00A72A9B" w:rsidRPr="00A72A9B" w:rsidRDefault="008F1C99" w:rsidP="00A72A9B">
      <w:r w:rsidRPr="008F1C99">
        <w:t>Fuel blending is now a main tactic for raising the usability and performance of alternative fuels to be utilised in ICE engines. By fuel blending fuels that have complementary combustion characteristics, more stable ignitable mixtures can be created, improving emissions characteristics, and tailor fuel reactivity to a specific engine's requirements. The combination of hydrogen and diesel in a dual-fuel configuration allows for the use of diesel as an ignition source as pilot fuel and hydrogen as backing a steep reduction in CO₂ emissions. Similarly, the flame stability of ammonia and high resistance to ignition can be offset through the introduction of hydrogen, causing cleaner and more stable combustion as well as reduction in fossil fuel dependence. Alcohol gasoline fuel mixtures, such as ethanol or methanol mixed with petrol (E10 or E85), are the choice due to their commercial viability, higher octane value, and cleaner combustion but must be protected from aldehyde formation. Blending biodiesel with petrol, diesel adds lubrication and reduces particulate emissions but at the expense of cold flow properties and more NOx emission performance, involving engine calibration carefully. Some of the other examples are the use of DME</w:t>
      </w:r>
      <w:r w:rsidR="00A9448A">
        <w:t xml:space="preserve"> </w:t>
      </w:r>
      <w:r w:rsidRPr="008F1C99">
        <w:t>diesel blends, which offer cleaner combustion with lesser soot and carbon monoxide emissions. Each blend leverages the goodness of its constituents while attempting to negate individual weakness, and optimisation is required in achieving a practical and low</w:t>
      </w:r>
      <w:r w:rsidR="00A9448A">
        <w:t xml:space="preserve"> </w:t>
      </w:r>
      <w:r w:rsidRPr="008F1C99">
        <w:t>emissions ICE configuration for future mobility needs.</w:t>
      </w:r>
      <w:r w:rsidR="00A72A9B" w:rsidRPr="00A72A9B">
        <w:br w:type="page"/>
      </w:r>
    </w:p>
    <w:p w14:paraId="50170185" w14:textId="7C759262" w:rsidR="001F11D8" w:rsidRDefault="00BA23D3" w:rsidP="00425290">
      <w:pPr>
        <w:pStyle w:val="Heading1"/>
      </w:pPr>
      <w:bookmarkStart w:id="8" w:name="_Toc196680947"/>
      <w:r w:rsidRPr="00822798">
        <w:t xml:space="preserve">Task </w:t>
      </w:r>
      <w:r w:rsidR="00485DEE">
        <w:t>3</w:t>
      </w:r>
      <w:r w:rsidR="001F11D8" w:rsidRPr="00822798">
        <w:t>:</w:t>
      </w:r>
      <w:r w:rsidR="00047E0A">
        <w:t xml:space="preserve"> </w:t>
      </w:r>
      <w:r w:rsidR="00344631">
        <w:t>Fuel Types</w:t>
      </w:r>
      <w:bookmarkEnd w:id="8"/>
    </w:p>
    <w:p w14:paraId="114C78CD" w14:textId="57CE4EE5" w:rsidR="009E6DC4" w:rsidRDefault="009E6DC4" w:rsidP="00A9448A">
      <w:r w:rsidRPr="009E6DC4">
        <w:t xml:space="preserve">The resulting combustion and emissions characteristics in Petrol (run 1) and Ethanol (run 3) provide unambiguous experimental evidence of the underlying combustion and emissions modelling concepts discussed in the above literature review. As </w:t>
      </w:r>
      <w:r>
        <w:t>emphasised</w:t>
      </w:r>
      <w:r w:rsidRPr="009E6DC4">
        <w:t xml:space="preserve"> by Heywood (2018) and García et al. (2021), internal combustion engines </w:t>
      </w:r>
      <w:r w:rsidR="00A9448A" w:rsidRPr="009E6DC4">
        <w:t>tend to</w:t>
      </w:r>
      <w:r w:rsidRPr="009E6DC4">
        <w:t xml:space="preserve"> </w:t>
      </w:r>
      <w:r w:rsidR="00A9448A">
        <w:t>accommodate</w:t>
      </w:r>
      <w:r w:rsidRPr="009E6DC4">
        <w:t xml:space="preserve"> combustion completeness and pollutant formation inherently; best oxidation tends to worsen temperature</w:t>
      </w:r>
      <w:r w:rsidR="00A9448A">
        <w:t xml:space="preserve"> </w:t>
      </w:r>
      <w:r w:rsidRPr="009E6DC4">
        <w:t>sensitive emissions, particularly nitrogen oxides (NOx). The pattern of emissions with crank angle, Figure 1, shows a simple comparison of single pollutant mass fractions: nitric oxide (NO), carbon monoxide (CO), and unburned hydrocarbons (UHC), for both tests.</w:t>
      </w:r>
    </w:p>
    <w:p w14:paraId="368BD754" w14:textId="39B935A9" w:rsidR="00910480" w:rsidRDefault="00910480" w:rsidP="00910480">
      <w:r w:rsidRPr="000E4320">
        <w:drawing>
          <wp:inline distT="0" distB="0" distL="0" distR="0" wp14:anchorId="7719DBB0" wp14:editId="360DD4D7">
            <wp:extent cx="5486400" cy="3086100"/>
            <wp:effectExtent l="0" t="0" r="0" b="0"/>
            <wp:docPr id="1"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graph&#10;&#10;AI-generated content may be incorrect."/>
                    <pic:cNvPicPr/>
                  </pic:nvPicPr>
                  <pic:blipFill>
                    <a:blip r:embed="rId12"/>
                    <a:stretch>
                      <a:fillRect/>
                    </a:stretch>
                  </pic:blipFill>
                  <pic:spPr>
                    <a:xfrm>
                      <a:off x="0" y="0"/>
                      <a:ext cx="5486400" cy="3086100"/>
                    </a:xfrm>
                    <a:prstGeom prst="rect">
                      <a:avLst/>
                    </a:prstGeom>
                  </pic:spPr>
                </pic:pic>
              </a:graphicData>
            </a:graphic>
          </wp:inline>
        </w:drawing>
      </w:r>
    </w:p>
    <w:p w14:paraId="414A1930" w14:textId="44CE5DCD" w:rsidR="00910480" w:rsidRPr="00910480" w:rsidRDefault="00910480" w:rsidP="00910480">
      <w:pPr>
        <w:pStyle w:val="Caption"/>
        <w:jc w:val="center"/>
      </w:pPr>
      <w:bookmarkStart w:id="9" w:name="_Toc196680995"/>
      <w:r>
        <w:t xml:space="preserve">Figure </w:t>
      </w:r>
      <w:r>
        <w:fldChar w:fldCharType="begin"/>
      </w:r>
      <w:r>
        <w:instrText xml:space="preserve"> SEQ Figure \* ARABIC </w:instrText>
      </w:r>
      <w:r>
        <w:fldChar w:fldCharType="separate"/>
      </w:r>
      <w:r w:rsidR="007350E6">
        <w:rPr>
          <w:noProof/>
        </w:rPr>
        <w:t>1</w:t>
      </w:r>
      <w:r>
        <w:fldChar w:fldCharType="end"/>
      </w:r>
      <w:r>
        <w:t>: Emission Comparison</w:t>
      </w:r>
      <w:bookmarkEnd w:id="9"/>
    </w:p>
    <w:p w14:paraId="1358B2E3" w14:textId="2E1A1923" w:rsidR="006A2F5B" w:rsidRDefault="006A2F5B" w:rsidP="00A9448A">
      <w:r w:rsidRPr="006A2F5B">
        <w:t xml:space="preserve">Petrol, with solid lines, set down initial and intermediate CO and UHC mass fraction peaks upon ignition, which signifies incomplete combustion by flame </w:t>
      </w:r>
      <w:r w:rsidR="00F978D0" w:rsidRPr="006A2F5B">
        <w:t>quenching,</w:t>
      </w:r>
      <w:r w:rsidRPr="006A2F5B">
        <w:t xml:space="preserve"> or the absence of enough flame propagation processes</w:t>
      </w:r>
      <w:r>
        <w:t>,</w:t>
      </w:r>
      <w:r w:rsidRPr="006A2F5B">
        <w:t xml:space="preserve"> always modelled in CFD calculations (ANSYS, 2022). NO formation in petrol was relatively low during the combustion process, consistent with moderate peak temperatures that suppress the activation of the thermal </w:t>
      </w:r>
      <w:proofErr w:type="spellStart"/>
      <w:r w:rsidRPr="006A2F5B">
        <w:t>Zeldovich</w:t>
      </w:r>
      <w:proofErr w:type="spellEnd"/>
      <w:r w:rsidRPr="006A2F5B">
        <w:t xml:space="preserve"> NOx mechanisms. In comparison, ethanol, represented by dashed lines, showed extremely low CO and UHC mass fractions during the cycle, which implies nearly complete combustion of the fuel and excellent </w:t>
      </w:r>
      <w:r>
        <w:t>turbulence-enhanced</w:t>
      </w:r>
      <w:r w:rsidRPr="006A2F5B">
        <w:t xml:space="preserve"> flame growth. However, NO levels in ethanol rose rapidly following top dead centre (TDC), implying significantly higher combustion temperatures </w:t>
      </w:r>
      <w:proofErr w:type="gramStart"/>
      <w:r w:rsidRPr="006A2F5B">
        <w:t>as a result of</w:t>
      </w:r>
      <w:proofErr w:type="gramEnd"/>
      <w:r w:rsidRPr="006A2F5B">
        <w:t xml:space="preserve"> more extensive and quicker combustion.</w:t>
      </w:r>
    </w:p>
    <w:p w14:paraId="772B2F44" w14:textId="77777777" w:rsidR="00344631" w:rsidRDefault="00344631">
      <w:pPr>
        <w:spacing w:line="276" w:lineRule="auto"/>
        <w:jc w:val="left"/>
      </w:pPr>
      <w:r>
        <w:br w:type="page"/>
      </w:r>
    </w:p>
    <w:p w14:paraId="507D9052" w14:textId="23655745" w:rsidR="00C1567A" w:rsidRDefault="006A2F5B" w:rsidP="00A9448A">
      <w:r w:rsidRPr="006A2F5B">
        <w:t>From the efficiency of combustion perspective, ethanol recorded near 99% fuel consumption with very small amounts of carbon-type pollutants but with the cost of significant NOx emissions. Conversely, petrol registered a more modest combustion strategy: some minor incomplete combustion was verified, yet NOx production was low, offering a less emissions</w:t>
      </w:r>
      <w:r w:rsidR="00F978D0">
        <w:t xml:space="preserve"> </w:t>
      </w:r>
      <w:r w:rsidRPr="006A2F5B">
        <w:t>unfriendly profile without engaging aftertreatment technologies like selective catalytic reduction (SCR) or exhaust gas recirculation (EGR).</w:t>
      </w:r>
      <w:r w:rsidRPr="006A2F5B">
        <w:br/>
        <w:t>These results demonstrate that high combustion efficiency and low emissions are extremely difficult to achieve together without secondary emissions control technologies. Early emissions (CO, UHC) in petrol show poor flame initiation but acceptable end</w:t>
      </w:r>
      <w:r w:rsidR="00F978D0">
        <w:t xml:space="preserve"> </w:t>
      </w:r>
      <w:r w:rsidRPr="006A2F5B">
        <w:t>of</w:t>
      </w:r>
      <w:r w:rsidR="00F978D0">
        <w:t xml:space="preserve"> </w:t>
      </w:r>
      <w:r w:rsidRPr="006A2F5B">
        <w:t xml:space="preserve">cycle pollutant levels, while ethanol shows intense flame propagation but harmful NO accumulation. In summary, petrol provides a more realistic understanding </w:t>
      </w:r>
      <w:r w:rsidR="00C1567A">
        <w:t>of</w:t>
      </w:r>
      <w:r w:rsidRPr="006A2F5B">
        <w:t xml:space="preserve"> prospective emissions legislation, while ethanol represents an idealised</w:t>
      </w:r>
      <w:r w:rsidR="00C1567A">
        <w:t>,</w:t>
      </w:r>
      <w:r w:rsidRPr="006A2F5B">
        <w:t xml:space="preserve"> </w:t>
      </w:r>
      <w:r>
        <w:t>highly efficient</w:t>
      </w:r>
      <w:r w:rsidRPr="006A2F5B">
        <w:t xml:space="preserve"> operating combustion mode, which would require significant NOx reduction technologies to meet targets like Euro 7. The trends from the graph for emissions provide real</w:t>
      </w:r>
      <w:r w:rsidR="00F978D0">
        <w:t xml:space="preserve"> </w:t>
      </w:r>
      <w:r w:rsidRPr="006A2F5B">
        <w:t xml:space="preserve">world confirmation of </w:t>
      </w:r>
      <w:r>
        <w:t>combustion emission</w:t>
      </w:r>
      <w:r w:rsidRPr="006A2F5B">
        <w:t xml:space="preserve"> theoretical dynamics.</w:t>
      </w:r>
    </w:p>
    <w:p w14:paraId="7FFD42AC" w14:textId="3C9A762A" w:rsidR="00ED0E9E" w:rsidRDefault="00910480" w:rsidP="00A9448A">
      <w:r w:rsidRPr="00910480">
        <w:t xml:space="preserve">Building on this, </w:t>
      </w:r>
      <w:r w:rsidR="00C1567A">
        <w:t>the</w:t>
      </w:r>
      <w:r w:rsidRPr="00910480">
        <w:t xml:space="preserve"> compar</w:t>
      </w:r>
      <w:r w:rsidR="00C1567A">
        <w:t>ison of</w:t>
      </w:r>
      <w:r w:rsidRPr="00910480">
        <w:t xml:space="preserve"> combustion behaviours, thermodynamic performance, and emissions characteristics </w:t>
      </w:r>
      <w:r w:rsidR="00C1567A">
        <w:t>continued by comparing a hydrogen and ammonia mix with the already done p</w:t>
      </w:r>
      <w:r w:rsidRPr="00910480">
        <w:t>etrol</w:t>
      </w:r>
      <w:r w:rsidR="00C1567A">
        <w:t xml:space="preserve"> and e</w:t>
      </w:r>
      <w:r w:rsidRPr="00910480">
        <w:t>thanol</w:t>
      </w:r>
      <w:r w:rsidR="00C1567A">
        <w:t xml:space="preserve">. </w:t>
      </w:r>
      <w:r w:rsidRPr="00910480">
        <w:t xml:space="preserve">The findings are </w:t>
      </w:r>
      <w:r w:rsidR="00C1567A">
        <w:t>shown</w:t>
      </w:r>
      <w:r w:rsidRPr="00910480">
        <w:t xml:space="preserve"> against combustion and emissions theories discussed in the literature review (Heywood, 2018; García et al., 2021; Verhelst et al., 2019), with emphasis on chemical and physical mechanisms influencing pollutant formation and combustion efficiency.</w:t>
      </w:r>
      <w:r w:rsidR="00ED0E9E">
        <w:t xml:space="preserve"> </w:t>
      </w:r>
      <w:r w:rsidRPr="00910480">
        <w:t>As already discussed, petrol combustion exhibited moderate early emissions of CO and UHC due to its higher molecular weight and carbon</w:t>
      </w:r>
      <w:r w:rsidR="00F978D0">
        <w:t xml:space="preserve"> </w:t>
      </w:r>
      <w:r w:rsidRPr="00910480">
        <w:t>rich structure, where incomplete oxidation and flame quenching effects dominate</w:t>
      </w:r>
      <w:r w:rsidR="00ED0E9E">
        <w:t xml:space="preserve"> </w:t>
      </w:r>
      <w:r w:rsidRPr="00910480">
        <w:t>near the wall layers (Curran et al., 2007). Petrol’s relatively low laminar flame speed delays flame front development, reducing combustion uniformity and creating localised rich zones. However, its lower combustion temperatures helped suppress thermal NOx formation.</w:t>
      </w:r>
      <w:r w:rsidR="00ED0E9E">
        <w:t xml:space="preserve"> </w:t>
      </w:r>
      <w:r w:rsidR="00ED0E9E">
        <w:t xml:space="preserve">Ethanol combustion revealed faster and more complete oxidation than petrol, benefiting from ethanol's inherent oxygen content. However, this also caused significantly higher NO formation, particularly following TDC, </w:t>
      </w:r>
      <w:proofErr w:type="gramStart"/>
      <w:r w:rsidR="00ED0E9E">
        <w:t>as a result of</w:t>
      </w:r>
      <w:proofErr w:type="gramEnd"/>
      <w:r w:rsidR="00ED0E9E">
        <w:t xml:space="preserve"> intense local temperatures (Verhelst et al., 2019). Higher flame speeds of ethanol (Zhao et al., 2020) resulted in shorter combustion durations and higher peak in-cylinder temperatures, therefore promoting thermal NOx formation via the </w:t>
      </w:r>
      <w:proofErr w:type="spellStart"/>
      <w:r w:rsidR="00ED0E9E">
        <w:t>Zeldovich</w:t>
      </w:r>
      <w:proofErr w:type="spellEnd"/>
      <w:r w:rsidR="00ED0E9E">
        <w:t xml:space="preserve"> mechanism.</w:t>
      </w:r>
    </w:p>
    <w:p w14:paraId="1D959DAD" w14:textId="0774BF10" w:rsidR="00ED0E9E" w:rsidRDefault="00ED0E9E" w:rsidP="00A9448A">
      <w:r>
        <w:t xml:space="preserve">The </w:t>
      </w:r>
      <w:r w:rsidR="00F978D0">
        <w:t>h</w:t>
      </w:r>
      <w:r>
        <w:t>ydrogen</w:t>
      </w:r>
      <w:r w:rsidR="00F978D0">
        <w:t xml:space="preserve"> a</w:t>
      </w:r>
      <w:r>
        <w:t xml:space="preserve">mmonia </w:t>
      </w:r>
      <w:r w:rsidR="00F978D0">
        <w:t>m</w:t>
      </w:r>
      <w:r>
        <w:t>ix run exhibited even more advanced combustion characteristics. Hydrogen's high diffusivity and low ignition energy (Heywood, 2018) encouraged rapid, homogeneous flame propagation, and ammonia's lower combustion temperature successfully suppressed NOx formatio</w:t>
      </w:r>
      <w:r w:rsidRPr="007350E6">
        <w:t>n. Figure 2</w:t>
      </w:r>
      <w:r>
        <w:t xml:space="preserve"> </w:t>
      </w:r>
      <w:r>
        <w:t xml:space="preserve">below shows the </w:t>
      </w:r>
      <w:r>
        <w:t xml:space="preserve">plot </w:t>
      </w:r>
      <w:r>
        <w:t xml:space="preserve">which </w:t>
      </w:r>
      <w:r>
        <w:t>confirms that CO and UHC emissions were effectively zero, and NOx emissions were well below both petrol and ethanol, validating the advanced combustion concepts elaborated earlier (García et al., 2021).</w:t>
      </w:r>
    </w:p>
    <w:p w14:paraId="1A2302BF" w14:textId="77777777" w:rsidR="00ED0E9E" w:rsidRDefault="006A7620" w:rsidP="0044255F">
      <w:pPr>
        <w:keepNext/>
        <w:jc w:val="center"/>
      </w:pPr>
      <w:r>
        <w:rPr>
          <w:noProof/>
        </w:rPr>
        <w:drawing>
          <wp:inline distT="0" distB="0" distL="0" distR="0" wp14:anchorId="5FA7D094" wp14:editId="1E8D29B0">
            <wp:extent cx="3536084" cy="2201336"/>
            <wp:effectExtent l="0" t="0" r="7620" b="8890"/>
            <wp:docPr id="851564136"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Output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45504" cy="2207200"/>
                    </a:xfrm>
                    <a:prstGeom prst="rect">
                      <a:avLst/>
                    </a:prstGeom>
                    <a:noFill/>
                    <a:ln>
                      <a:noFill/>
                    </a:ln>
                  </pic:spPr>
                </pic:pic>
              </a:graphicData>
            </a:graphic>
          </wp:inline>
        </w:drawing>
      </w:r>
    </w:p>
    <w:p w14:paraId="64DE7F0C" w14:textId="247CDC84" w:rsidR="006A7620" w:rsidRPr="00910480" w:rsidRDefault="00ED0E9E" w:rsidP="0044255F">
      <w:pPr>
        <w:pStyle w:val="Caption"/>
        <w:jc w:val="center"/>
      </w:pPr>
      <w:bookmarkStart w:id="10" w:name="_Toc196680996"/>
      <w:r>
        <w:t xml:space="preserve">Figure </w:t>
      </w:r>
      <w:r>
        <w:fldChar w:fldCharType="begin"/>
      </w:r>
      <w:r>
        <w:instrText xml:space="preserve"> SEQ Figure \* ARABIC </w:instrText>
      </w:r>
      <w:r>
        <w:fldChar w:fldCharType="separate"/>
      </w:r>
      <w:r w:rsidR="007350E6">
        <w:rPr>
          <w:noProof/>
        </w:rPr>
        <w:t>2</w:t>
      </w:r>
      <w:r>
        <w:fldChar w:fldCharType="end"/>
      </w:r>
      <w:r>
        <w:t>: Hydrogen- Ammonia Comparison Graph</w:t>
      </w:r>
      <w:bookmarkEnd w:id="10"/>
    </w:p>
    <w:p w14:paraId="7A66E031" w14:textId="60B5DB5C" w:rsidR="0044255F" w:rsidRDefault="0044255F" w:rsidP="0044255F">
      <w:r w:rsidRPr="0044255F">
        <w:t xml:space="preserve">The patterns of efficiency and emissions across the three fuels are a direct function of chemical structure and combustion thermodynamics. Petrol experienced moderate CO and UHC emissions with low NOx content. Ethanol increased combustion completeness and reduced </w:t>
      </w:r>
      <w:proofErr w:type="gramStart"/>
      <w:r w:rsidRPr="0044255F">
        <w:t>carbon</w:t>
      </w:r>
      <w:r w:rsidR="00F978D0">
        <w:t xml:space="preserve"> </w:t>
      </w:r>
      <w:r w:rsidRPr="0044255F">
        <w:t>based</w:t>
      </w:r>
      <w:proofErr w:type="gramEnd"/>
      <w:r w:rsidRPr="0044255F">
        <w:t xml:space="preserve"> emissions but introduced higher levels of NOx. In contrast, the hydrogen ammonia blend achieved virtually complete chemical to thermal energy conversion with very low emissions in all areas.</w:t>
      </w:r>
      <w:r>
        <w:t xml:space="preserve"> </w:t>
      </w:r>
      <w:r w:rsidRPr="0044255F">
        <w:t xml:space="preserve">These findings are consistent with theoretical predictions, petrol combustion is consistent with past stoichiometric trends (Heywood, 2018), ethanol shows oxygenated biofuel advantages and </w:t>
      </w:r>
      <w:proofErr w:type="spellStart"/>
      <w:r w:rsidRPr="0044255F">
        <w:t>trade</w:t>
      </w:r>
      <w:r w:rsidR="00F978D0">
        <w:t xml:space="preserve"> </w:t>
      </w:r>
      <w:r w:rsidRPr="0044255F">
        <w:t>offs</w:t>
      </w:r>
      <w:proofErr w:type="spellEnd"/>
      <w:r w:rsidRPr="0044255F">
        <w:t xml:space="preserve"> (García et al., 2021), and the hydrogen ammonia blend is consistent with the feasibility of hydrogen-enriched, ammonia-diluted combustion strategies (Verhelst et al., 2019; Zhao et al., 2020). The results confirm that fuel chemistry, or percentage of oxygen, access to hydrogen and molecular weight will be the main </w:t>
      </w:r>
      <w:r>
        <w:t>parameters</w:t>
      </w:r>
      <w:r w:rsidRPr="0044255F">
        <w:t xml:space="preserve"> for regulating combustion behaviour and pollutant emission. With </w:t>
      </w:r>
      <w:r>
        <w:t xml:space="preserve">the </w:t>
      </w:r>
      <w:r w:rsidRPr="0044255F">
        <w:t>increased evolution of carbon</w:t>
      </w:r>
      <w:r w:rsidR="00F978D0">
        <w:t xml:space="preserve"> </w:t>
      </w:r>
      <w:r w:rsidRPr="0044255F">
        <w:t xml:space="preserve">neutral internal combustion engines, hydrogen carriers such as ammonia will become pivotal to the future (García et al., 2021; ANSYS, 2022). The table below helps to compare the </w:t>
      </w:r>
      <w:r>
        <w:t>differences</w:t>
      </w:r>
      <w:r w:rsidRPr="0044255F">
        <w:t xml:space="preserve"> between the three fuels with respect to emissions.</w:t>
      </w:r>
    </w:p>
    <w:p w14:paraId="6AD02C3E" w14:textId="77777777" w:rsidR="007350E6" w:rsidRDefault="007350E6">
      <w:pPr>
        <w:spacing w:line="276" w:lineRule="auto"/>
        <w:jc w:val="left"/>
        <w:rPr>
          <w:b/>
          <w:bCs/>
          <w:sz w:val="24"/>
          <w:szCs w:val="28"/>
          <w:u w:val="single"/>
        </w:rPr>
      </w:pPr>
      <w:r>
        <w:rPr>
          <w:b/>
          <w:bCs/>
          <w:sz w:val="24"/>
          <w:szCs w:val="28"/>
          <w:u w:val="single"/>
        </w:rPr>
        <w:br w:type="page"/>
      </w:r>
    </w:p>
    <w:p w14:paraId="1D487148" w14:textId="18074AE0" w:rsidR="00A0076F" w:rsidRPr="0044255F" w:rsidRDefault="00A0076F" w:rsidP="0044255F">
      <w:pPr>
        <w:rPr>
          <w:b/>
          <w:bCs/>
          <w:sz w:val="24"/>
          <w:szCs w:val="28"/>
          <w:u w:val="single"/>
        </w:rPr>
      </w:pPr>
      <w:r w:rsidRPr="0044255F">
        <w:rPr>
          <w:b/>
          <w:bCs/>
          <w:sz w:val="24"/>
          <w:szCs w:val="28"/>
          <w:u w:val="single"/>
        </w:rPr>
        <w:t>Emissions Comparison Table</w:t>
      </w:r>
    </w:p>
    <w:tbl>
      <w:tblPr>
        <w:tblStyle w:val="TableGridLight"/>
        <w:tblW w:w="0" w:type="auto"/>
        <w:tblLook w:val="04A0" w:firstRow="1" w:lastRow="0" w:firstColumn="1" w:lastColumn="0" w:noHBand="0" w:noVBand="1"/>
      </w:tblPr>
      <w:tblGrid>
        <w:gridCol w:w="1518"/>
        <w:gridCol w:w="1575"/>
        <w:gridCol w:w="1239"/>
        <w:gridCol w:w="1272"/>
        <w:gridCol w:w="1262"/>
        <w:gridCol w:w="2150"/>
      </w:tblGrid>
      <w:tr w:rsidR="00A0076F" w:rsidRPr="00A0076F" w14:paraId="52959966" w14:textId="77777777" w:rsidTr="006A7620">
        <w:tc>
          <w:tcPr>
            <w:tcW w:w="0" w:type="auto"/>
            <w:hideMark/>
          </w:tcPr>
          <w:p w14:paraId="7F2E8D07" w14:textId="77777777" w:rsidR="00A0076F" w:rsidRPr="00A0076F" w:rsidRDefault="00A0076F" w:rsidP="00A0076F">
            <w:pPr>
              <w:spacing w:after="200" w:line="276" w:lineRule="auto"/>
              <w:jc w:val="left"/>
              <w:rPr>
                <w:b/>
                <w:bCs/>
              </w:rPr>
            </w:pPr>
            <w:r w:rsidRPr="00A0076F">
              <w:rPr>
                <w:b/>
                <w:bCs/>
              </w:rPr>
              <w:t>Fuel Type</w:t>
            </w:r>
          </w:p>
        </w:tc>
        <w:tc>
          <w:tcPr>
            <w:tcW w:w="0" w:type="auto"/>
            <w:hideMark/>
          </w:tcPr>
          <w:p w14:paraId="37E53663" w14:textId="77777777" w:rsidR="00A0076F" w:rsidRPr="00A0076F" w:rsidRDefault="00A0076F" w:rsidP="00A0076F">
            <w:pPr>
              <w:spacing w:after="200" w:line="276" w:lineRule="auto"/>
              <w:jc w:val="left"/>
              <w:rPr>
                <w:b/>
                <w:bCs/>
              </w:rPr>
            </w:pPr>
            <w:r w:rsidRPr="00A0076F">
              <w:rPr>
                <w:b/>
                <w:bCs/>
              </w:rPr>
              <w:t>Combustion Efficiency</w:t>
            </w:r>
          </w:p>
        </w:tc>
        <w:tc>
          <w:tcPr>
            <w:tcW w:w="0" w:type="auto"/>
            <w:hideMark/>
          </w:tcPr>
          <w:p w14:paraId="6F643CB8" w14:textId="77777777" w:rsidR="00A0076F" w:rsidRPr="00A0076F" w:rsidRDefault="00A0076F" w:rsidP="00A0076F">
            <w:pPr>
              <w:spacing w:after="200" w:line="276" w:lineRule="auto"/>
              <w:jc w:val="left"/>
              <w:rPr>
                <w:b/>
                <w:bCs/>
              </w:rPr>
            </w:pPr>
            <w:r w:rsidRPr="00A0076F">
              <w:rPr>
                <w:b/>
                <w:bCs/>
              </w:rPr>
              <w:t>CO Emissions</w:t>
            </w:r>
          </w:p>
        </w:tc>
        <w:tc>
          <w:tcPr>
            <w:tcW w:w="0" w:type="auto"/>
            <w:hideMark/>
          </w:tcPr>
          <w:p w14:paraId="737A46FE" w14:textId="77777777" w:rsidR="00A0076F" w:rsidRPr="00A0076F" w:rsidRDefault="00A0076F" w:rsidP="00A0076F">
            <w:pPr>
              <w:spacing w:after="200" w:line="276" w:lineRule="auto"/>
              <w:jc w:val="left"/>
              <w:rPr>
                <w:b/>
                <w:bCs/>
              </w:rPr>
            </w:pPr>
            <w:r w:rsidRPr="00A0076F">
              <w:rPr>
                <w:b/>
                <w:bCs/>
              </w:rPr>
              <w:t>UHC Emissions</w:t>
            </w:r>
          </w:p>
        </w:tc>
        <w:tc>
          <w:tcPr>
            <w:tcW w:w="0" w:type="auto"/>
            <w:hideMark/>
          </w:tcPr>
          <w:p w14:paraId="35026AB2" w14:textId="77777777" w:rsidR="00A0076F" w:rsidRPr="00A0076F" w:rsidRDefault="00A0076F" w:rsidP="00A0076F">
            <w:pPr>
              <w:spacing w:after="200" w:line="276" w:lineRule="auto"/>
              <w:jc w:val="left"/>
              <w:rPr>
                <w:b/>
                <w:bCs/>
              </w:rPr>
            </w:pPr>
            <w:r w:rsidRPr="00A0076F">
              <w:rPr>
                <w:b/>
                <w:bCs/>
              </w:rPr>
              <w:t>NOx Emissions</w:t>
            </w:r>
          </w:p>
        </w:tc>
        <w:tc>
          <w:tcPr>
            <w:tcW w:w="0" w:type="auto"/>
            <w:hideMark/>
          </w:tcPr>
          <w:p w14:paraId="38C40236" w14:textId="77777777" w:rsidR="00A0076F" w:rsidRPr="00A0076F" w:rsidRDefault="00A0076F" w:rsidP="00A0076F">
            <w:pPr>
              <w:spacing w:after="200" w:line="276" w:lineRule="auto"/>
              <w:jc w:val="left"/>
              <w:rPr>
                <w:b/>
                <w:bCs/>
              </w:rPr>
            </w:pPr>
            <w:r w:rsidRPr="00A0076F">
              <w:rPr>
                <w:b/>
                <w:bCs/>
              </w:rPr>
              <w:t>Overall Verdict</w:t>
            </w:r>
          </w:p>
        </w:tc>
      </w:tr>
      <w:tr w:rsidR="00A0076F" w:rsidRPr="00A0076F" w14:paraId="1DDE8E8A" w14:textId="77777777" w:rsidTr="006A7620">
        <w:tc>
          <w:tcPr>
            <w:tcW w:w="0" w:type="auto"/>
            <w:hideMark/>
          </w:tcPr>
          <w:p w14:paraId="502AB858" w14:textId="77777777" w:rsidR="00A0076F" w:rsidRPr="00A0076F" w:rsidRDefault="00A0076F" w:rsidP="00A0076F">
            <w:pPr>
              <w:spacing w:after="200" w:line="276" w:lineRule="auto"/>
              <w:jc w:val="left"/>
            </w:pPr>
            <w:r w:rsidRPr="00A0076F">
              <w:rPr>
                <w:b/>
                <w:bCs/>
              </w:rPr>
              <w:t>Petrol</w:t>
            </w:r>
          </w:p>
        </w:tc>
        <w:tc>
          <w:tcPr>
            <w:tcW w:w="0" w:type="auto"/>
            <w:hideMark/>
          </w:tcPr>
          <w:p w14:paraId="11EEDD17" w14:textId="6AF19F05" w:rsidR="00A0076F" w:rsidRPr="00A0076F" w:rsidRDefault="00A0076F" w:rsidP="00A0076F">
            <w:pPr>
              <w:spacing w:after="200" w:line="276" w:lineRule="auto"/>
              <w:jc w:val="left"/>
            </w:pPr>
            <w:r w:rsidRPr="00A0076F">
              <w:t>~95</w:t>
            </w:r>
            <w:r w:rsidR="006A7620">
              <w:t>-</w:t>
            </w:r>
            <w:r w:rsidRPr="00A0076F">
              <w:t>96%</w:t>
            </w:r>
          </w:p>
        </w:tc>
        <w:tc>
          <w:tcPr>
            <w:tcW w:w="0" w:type="auto"/>
            <w:hideMark/>
          </w:tcPr>
          <w:p w14:paraId="13A47C06" w14:textId="77777777" w:rsidR="00A0076F" w:rsidRPr="00A0076F" w:rsidRDefault="00A0076F" w:rsidP="00A0076F">
            <w:pPr>
              <w:spacing w:after="200" w:line="276" w:lineRule="auto"/>
              <w:jc w:val="left"/>
            </w:pPr>
            <w:r w:rsidRPr="00A0076F">
              <w:t>Moderate</w:t>
            </w:r>
          </w:p>
        </w:tc>
        <w:tc>
          <w:tcPr>
            <w:tcW w:w="0" w:type="auto"/>
            <w:hideMark/>
          </w:tcPr>
          <w:p w14:paraId="28369C4B" w14:textId="77777777" w:rsidR="00A0076F" w:rsidRPr="00A0076F" w:rsidRDefault="00A0076F" w:rsidP="00A0076F">
            <w:pPr>
              <w:spacing w:after="200" w:line="276" w:lineRule="auto"/>
              <w:jc w:val="left"/>
            </w:pPr>
            <w:r w:rsidRPr="00A0076F">
              <w:t>Moderate</w:t>
            </w:r>
          </w:p>
        </w:tc>
        <w:tc>
          <w:tcPr>
            <w:tcW w:w="0" w:type="auto"/>
            <w:hideMark/>
          </w:tcPr>
          <w:p w14:paraId="52169FDE" w14:textId="77777777" w:rsidR="00A0076F" w:rsidRPr="00A0076F" w:rsidRDefault="00A0076F" w:rsidP="00A0076F">
            <w:pPr>
              <w:spacing w:after="200" w:line="276" w:lineRule="auto"/>
              <w:jc w:val="left"/>
            </w:pPr>
            <w:r w:rsidRPr="00A0076F">
              <w:t>Low</w:t>
            </w:r>
          </w:p>
        </w:tc>
        <w:tc>
          <w:tcPr>
            <w:tcW w:w="0" w:type="auto"/>
            <w:hideMark/>
          </w:tcPr>
          <w:p w14:paraId="48FFF172" w14:textId="77777777" w:rsidR="00A0076F" w:rsidRPr="00A0076F" w:rsidRDefault="00A0076F" w:rsidP="00A0076F">
            <w:pPr>
              <w:spacing w:after="200" w:line="276" w:lineRule="auto"/>
              <w:jc w:val="left"/>
            </w:pPr>
            <w:r w:rsidRPr="00A0076F">
              <w:t>Acceptable baseline; outdated for future regulations</w:t>
            </w:r>
          </w:p>
        </w:tc>
      </w:tr>
      <w:tr w:rsidR="00A0076F" w:rsidRPr="00A0076F" w14:paraId="109A1659" w14:textId="77777777" w:rsidTr="006A7620">
        <w:tc>
          <w:tcPr>
            <w:tcW w:w="0" w:type="auto"/>
            <w:hideMark/>
          </w:tcPr>
          <w:p w14:paraId="7E0EFBBA" w14:textId="77777777" w:rsidR="00A0076F" w:rsidRPr="00A0076F" w:rsidRDefault="00A0076F" w:rsidP="00A0076F">
            <w:pPr>
              <w:spacing w:after="200" w:line="276" w:lineRule="auto"/>
              <w:jc w:val="left"/>
            </w:pPr>
            <w:r w:rsidRPr="00A0076F">
              <w:rPr>
                <w:b/>
                <w:bCs/>
              </w:rPr>
              <w:t>Ethanol</w:t>
            </w:r>
          </w:p>
        </w:tc>
        <w:tc>
          <w:tcPr>
            <w:tcW w:w="0" w:type="auto"/>
            <w:hideMark/>
          </w:tcPr>
          <w:p w14:paraId="1FDC063C" w14:textId="77777777" w:rsidR="00A0076F" w:rsidRPr="00A0076F" w:rsidRDefault="00A0076F" w:rsidP="00A0076F">
            <w:pPr>
              <w:spacing w:after="200" w:line="276" w:lineRule="auto"/>
              <w:jc w:val="left"/>
            </w:pPr>
            <w:r w:rsidRPr="00A0076F">
              <w:t>~99%</w:t>
            </w:r>
          </w:p>
        </w:tc>
        <w:tc>
          <w:tcPr>
            <w:tcW w:w="0" w:type="auto"/>
            <w:hideMark/>
          </w:tcPr>
          <w:p w14:paraId="56E7E26B" w14:textId="77777777" w:rsidR="00A0076F" w:rsidRPr="00A0076F" w:rsidRDefault="00A0076F" w:rsidP="00A0076F">
            <w:pPr>
              <w:spacing w:after="200" w:line="276" w:lineRule="auto"/>
              <w:jc w:val="left"/>
            </w:pPr>
            <w:r w:rsidRPr="00A0076F">
              <w:t>Low</w:t>
            </w:r>
          </w:p>
        </w:tc>
        <w:tc>
          <w:tcPr>
            <w:tcW w:w="0" w:type="auto"/>
            <w:hideMark/>
          </w:tcPr>
          <w:p w14:paraId="18E60CAC" w14:textId="77777777" w:rsidR="00A0076F" w:rsidRPr="00A0076F" w:rsidRDefault="00A0076F" w:rsidP="00A0076F">
            <w:pPr>
              <w:spacing w:after="200" w:line="276" w:lineRule="auto"/>
              <w:jc w:val="left"/>
            </w:pPr>
            <w:r w:rsidRPr="00A0076F">
              <w:t>Very Low</w:t>
            </w:r>
          </w:p>
        </w:tc>
        <w:tc>
          <w:tcPr>
            <w:tcW w:w="0" w:type="auto"/>
            <w:hideMark/>
          </w:tcPr>
          <w:p w14:paraId="4C80E83E" w14:textId="77777777" w:rsidR="00A0076F" w:rsidRPr="00A0076F" w:rsidRDefault="00A0076F" w:rsidP="00A0076F">
            <w:pPr>
              <w:spacing w:after="200" w:line="276" w:lineRule="auto"/>
              <w:jc w:val="left"/>
            </w:pPr>
            <w:r w:rsidRPr="00A0076F">
              <w:t>High</w:t>
            </w:r>
          </w:p>
        </w:tc>
        <w:tc>
          <w:tcPr>
            <w:tcW w:w="0" w:type="auto"/>
            <w:hideMark/>
          </w:tcPr>
          <w:p w14:paraId="085A707D" w14:textId="55BC4D2E" w:rsidR="00A0076F" w:rsidRPr="00A0076F" w:rsidRDefault="00A0076F" w:rsidP="00A0076F">
            <w:pPr>
              <w:spacing w:after="200" w:line="276" w:lineRule="auto"/>
              <w:jc w:val="left"/>
            </w:pPr>
            <w:r w:rsidRPr="00A0076F">
              <w:t xml:space="preserve">Good </w:t>
            </w:r>
            <w:r w:rsidR="006A7620" w:rsidRPr="00A0076F">
              <w:t>efficiency:</w:t>
            </w:r>
            <w:r w:rsidRPr="00A0076F">
              <w:t xml:space="preserve"> NOx aftertreatment needed</w:t>
            </w:r>
          </w:p>
        </w:tc>
      </w:tr>
      <w:tr w:rsidR="00A0076F" w:rsidRPr="00A0076F" w14:paraId="5783C351" w14:textId="77777777" w:rsidTr="006A7620">
        <w:tc>
          <w:tcPr>
            <w:tcW w:w="0" w:type="auto"/>
            <w:hideMark/>
          </w:tcPr>
          <w:p w14:paraId="02580AE2" w14:textId="77777777" w:rsidR="00A0076F" w:rsidRPr="00A0076F" w:rsidRDefault="00A0076F" w:rsidP="00A0076F">
            <w:pPr>
              <w:spacing w:after="200" w:line="276" w:lineRule="auto"/>
              <w:jc w:val="left"/>
            </w:pPr>
            <w:r w:rsidRPr="00A0076F">
              <w:rPr>
                <w:b/>
                <w:bCs/>
              </w:rPr>
              <w:t>Hydrogen-Ammonia Mix</w:t>
            </w:r>
          </w:p>
        </w:tc>
        <w:tc>
          <w:tcPr>
            <w:tcW w:w="0" w:type="auto"/>
            <w:hideMark/>
          </w:tcPr>
          <w:p w14:paraId="06A63C93" w14:textId="77777777" w:rsidR="00A0076F" w:rsidRPr="00A0076F" w:rsidRDefault="00A0076F" w:rsidP="00A0076F">
            <w:pPr>
              <w:spacing w:after="200" w:line="276" w:lineRule="auto"/>
              <w:jc w:val="left"/>
            </w:pPr>
            <w:r w:rsidRPr="00A0076F">
              <w:t>&gt;99.999%</w:t>
            </w:r>
          </w:p>
        </w:tc>
        <w:tc>
          <w:tcPr>
            <w:tcW w:w="0" w:type="auto"/>
            <w:hideMark/>
          </w:tcPr>
          <w:p w14:paraId="326E76EC" w14:textId="77777777" w:rsidR="00A0076F" w:rsidRPr="00A0076F" w:rsidRDefault="00A0076F" w:rsidP="00A0076F">
            <w:pPr>
              <w:spacing w:after="200" w:line="276" w:lineRule="auto"/>
              <w:jc w:val="left"/>
            </w:pPr>
            <w:r w:rsidRPr="00A0076F">
              <w:t>Negligible</w:t>
            </w:r>
          </w:p>
        </w:tc>
        <w:tc>
          <w:tcPr>
            <w:tcW w:w="0" w:type="auto"/>
            <w:hideMark/>
          </w:tcPr>
          <w:p w14:paraId="52D509F3" w14:textId="77777777" w:rsidR="00A0076F" w:rsidRPr="00A0076F" w:rsidRDefault="00A0076F" w:rsidP="00A0076F">
            <w:pPr>
              <w:spacing w:after="200" w:line="276" w:lineRule="auto"/>
              <w:jc w:val="left"/>
            </w:pPr>
            <w:r w:rsidRPr="00A0076F">
              <w:t>Negligible</w:t>
            </w:r>
          </w:p>
        </w:tc>
        <w:tc>
          <w:tcPr>
            <w:tcW w:w="0" w:type="auto"/>
            <w:hideMark/>
          </w:tcPr>
          <w:p w14:paraId="51EB9225" w14:textId="77777777" w:rsidR="00A0076F" w:rsidRPr="00A0076F" w:rsidRDefault="00A0076F" w:rsidP="00A0076F">
            <w:pPr>
              <w:spacing w:after="200" w:line="276" w:lineRule="auto"/>
              <w:jc w:val="left"/>
            </w:pPr>
            <w:r w:rsidRPr="00A0076F">
              <w:t>Very Low</w:t>
            </w:r>
          </w:p>
        </w:tc>
        <w:tc>
          <w:tcPr>
            <w:tcW w:w="0" w:type="auto"/>
            <w:hideMark/>
          </w:tcPr>
          <w:p w14:paraId="555275F3" w14:textId="7A31B28C" w:rsidR="00A0076F" w:rsidRPr="00A0076F" w:rsidRDefault="00A0076F" w:rsidP="00A0076F">
            <w:pPr>
              <w:spacing w:after="200" w:line="276" w:lineRule="auto"/>
              <w:jc w:val="left"/>
            </w:pPr>
            <w:r w:rsidRPr="00A0076F">
              <w:t>Ideal</w:t>
            </w:r>
            <w:r w:rsidR="006A7620">
              <w:t>,</w:t>
            </w:r>
            <w:r w:rsidRPr="00A0076F">
              <w:t xml:space="preserve"> ultra-low emissions and high efficiency</w:t>
            </w:r>
          </w:p>
        </w:tc>
      </w:tr>
    </w:tbl>
    <w:p w14:paraId="74E8E4AC" w14:textId="2C31AF66" w:rsidR="00A0076F" w:rsidRPr="00A0076F" w:rsidRDefault="00A0076F" w:rsidP="00A0076F">
      <w:pPr>
        <w:spacing w:line="276" w:lineRule="auto"/>
        <w:jc w:val="left"/>
      </w:pPr>
    </w:p>
    <w:p w14:paraId="4443747C" w14:textId="043F5AB9" w:rsidR="00C314B7" w:rsidRDefault="001F11D8" w:rsidP="007F2F4E">
      <w:pPr>
        <w:pStyle w:val="Heading1"/>
      </w:pPr>
      <w:bookmarkStart w:id="11" w:name="_Toc196680948"/>
      <w:r>
        <w:t>T</w:t>
      </w:r>
      <w:r w:rsidR="00BA23D3" w:rsidRPr="001F11D8">
        <w:t xml:space="preserve">ask </w:t>
      </w:r>
      <w:r w:rsidR="00485DEE">
        <w:t>4</w:t>
      </w:r>
      <w:r>
        <w:t xml:space="preserve">: </w:t>
      </w:r>
      <w:r w:rsidR="00FA3E24">
        <w:t>Forte Design</w:t>
      </w:r>
      <w:bookmarkEnd w:id="11"/>
    </w:p>
    <w:p w14:paraId="5E2DB485" w14:textId="67670C39" w:rsidR="00AE1706" w:rsidRPr="00AE1706" w:rsidRDefault="00485DEE" w:rsidP="00344631">
      <w:pPr>
        <w:pStyle w:val="Heading2"/>
      </w:pPr>
      <w:bookmarkStart w:id="12" w:name="_Toc196680949"/>
      <w:r>
        <w:t>4</w:t>
      </w:r>
      <w:r w:rsidR="00344631">
        <w:t>.</w:t>
      </w:r>
      <w:r w:rsidR="00AE1706" w:rsidRPr="00AE1706">
        <w:t>1</w:t>
      </w:r>
      <w:r>
        <w:t>:</w:t>
      </w:r>
      <w:r w:rsidR="00AE1706" w:rsidRPr="00AE1706">
        <w:t xml:space="preserve"> Mass Fraction Burned (MFB) — </w:t>
      </w:r>
      <w:proofErr w:type="spellStart"/>
      <w:r w:rsidR="00AE1706" w:rsidRPr="00AE1706">
        <w:t>Rassweiler</w:t>
      </w:r>
      <w:proofErr w:type="spellEnd"/>
      <w:r w:rsidR="00AE1706" w:rsidRPr="00AE1706">
        <w:t xml:space="preserve"> and Withrow Analysis</w:t>
      </w:r>
      <w:bookmarkEnd w:id="12"/>
    </w:p>
    <w:p w14:paraId="2513CD27" w14:textId="5CB8487D" w:rsidR="00D30EAA" w:rsidRDefault="00D30EAA" w:rsidP="00AE1706">
      <w:r w:rsidRPr="00D30EAA">
        <w:t xml:space="preserve">The development of the Mass Fraction Burned (MFB) evolved through the </w:t>
      </w:r>
      <w:proofErr w:type="spellStart"/>
      <w:r w:rsidRPr="00D30EAA">
        <w:t>Rassweiler</w:t>
      </w:r>
      <w:proofErr w:type="spellEnd"/>
      <w:r w:rsidRPr="00D30EAA">
        <w:t xml:space="preserve"> and Withrow approach (Figure 3) indicates a </w:t>
      </w:r>
      <w:proofErr w:type="spellStart"/>
      <w:r w:rsidRPr="00D30EAA">
        <w:t>stepleading</w:t>
      </w:r>
      <w:proofErr w:type="spellEnd"/>
      <w:r w:rsidRPr="00D30EAA">
        <w:t xml:space="preserve"> type burn process characteristic of high reactivity, high flame speed fuels like hydrogen</w:t>
      </w:r>
      <w:r w:rsidR="00F978D0">
        <w:t xml:space="preserve"> </w:t>
      </w:r>
      <w:r w:rsidRPr="00D30EAA">
        <w:t>ammonia mixtures. The process shows little or no combustion between approximately 5° after top dead centre (ATDC), on which there is a significant increase in MFB, a sign of ignition and energy release with high rate. The CA50 of 7.02° ATDC is very close to the theoretical ideal range (6–8° ATDC) for maximum indicated efficiency in spark-ignition engines (Heywood, 2018). The very steep slope between 0.1 and 0.9 mass fraction burned shows that combustion is very fast and well-centred.</w:t>
      </w:r>
      <w:r>
        <w:t xml:space="preserve"> </w:t>
      </w:r>
      <w:r w:rsidRPr="00D30EAA">
        <w:t>This high MFB slope profile points not only to fast global flame velocity but also to excellent turbulence-chemistry interaction, where the flame front fully consumes the available charge with minimal delay. This reaction captures simulation predictions for highly premixed hydrogen</w:t>
      </w:r>
      <w:r w:rsidR="00F978D0">
        <w:t xml:space="preserve"> </w:t>
      </w:r>
      <w:r w:rsidRPr="00D30EAA">
        <w:t xml:space="preserve">ammonia combustion by García et al. (2021), wherein charge uniformity and ignition energy density control the rate of burn. Compared to </w:t>
      </w:r>
      <w:proofErr w:type="gramStart"/>
      <w:r w:rsidRPr="00D30EAA">
        <w:t>carbon</w:t>
      </w:r>
      <w:r w:rsidR="00F978D0">
        <w:t xml:space="preserve"> </w:t>
      </w:r>
      <w:r w:rsidRPr="00D30EAA">
        <w:t>based</w:t>
      </w:r>
      <w:proofErr w:type="gramEnd"/>
      <w:r w:rsidRPr="00D30EAA">
        <w:t xml:space="preserve"> fuels like petrol, where stratification will generally create slow burning times, hydrogen</w:t>
      </w:r>
      <w:r w:rsidR="00BA0550">
        <w:t xml:space="preserve"> </w:t>
      </w:r>
      <w:r w:rsidRPr="00D30EAA">
        <w:t>ammonia's very laminar and effective burn at low equivalence ratios is especially advantageous.</w:t>
      </w:r>
    </w:p>
    <w:p w14:paraId="612E8D05" w14:textId="77777777" w:rsidR="00383F86" w:rsidRDefault="00BA0550" w:rsidP="00383F86">
      <w:pPr>
        <w:keepNext/>
      </w:pPr>
      <w:r w:rsidRPr="00BA0550">
        <w:drawing>
          <wp:inline distT="0" distB="0" distL="0" distR="0" wp14:anchorId="4C167439" wp14:editId="6AAD63A5">
            <wp:extent cx="5731510" cy="3086735"/>
            <wp:effectExtent l="0" t="0" r="2540" b="0"/>
            <wp:docPr id="214825828" name="Picture 3" descr="A graph with lines draw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25828" name="Picture 3" descr="A graph with lines drawn on i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086735"/>
                    </a:xfrm>
                    <a:prstGeom prst="rect">
                      <a:avLst/>
                    </a:prstGeom>
                    <a:noFill/>
                    <a:ln>
                      <a:noFill/>
                    </a:ln>
                  </pic:spPr>
                </pic:pic>
              </a:graphicData>
            </a:graphic>
          </wp:inline>
        </w:drawing>
      </w:r>
    </w:p>
    <w:p w14:paraId="213B79B6" w14:textId="45E931AC" w:rsidR="00BA0550" w:rsidRDefault="00383F86" w:rsidP="00383F86">
      <w:pPr>
        <w:pStyle w:val="Caption"/>
        <w:jc w:val="center"/>
      </w:pPr>
      <w:bookmarkStart w:id="13" w:name="_Toc196680997"/>
      <w:r>
        <w:t xml:space="preserve">Figure </w:t>
      </w:r>
      <w:r>
        <w:fldChar w:fldCharType="begin"/>
      </w:r>
      <w:r>
        <w:instrText xml:space="preserve"> SEQ Figure \* ARABIC </w:instrText>
      </w:r>
      <w:r>
        <w:fldChar w:fldCharType="separate"/>
      </w:r>
      <w:r w:rsidR="007350E6">
        <w:rPr>
          <w:noProof/>
        </w:rPr>
        <w:t>3</w:t>
      </w:r>
      <w:r>
        <w:fldChar w:fldCharType="end"/>
      </w:r>
      <w:r>
        <w:t xml:space="preserve">: </w:t>
      </w:r>
      <w:proofErr w:type="spellStart"/>
      <w:r>
        <w:t>Rassweiler</w:t>
      </w:r>
      <w:proofErr w:type="spellEnd"/>
      <w:r>
        <w:t xml:space="preserve"> and Withrow MFB</w:t>
      </w:r>
      <w:bookmarkEnd w:id="13"/>
    </w:p>
    <w:p w14:paraId="3D8B92B4" w14:textId="53AD3BDD" w:rsidR="00AE1706" w:rsidRPr="00AE1706" w:rsidRDefault="00485DEE" w:rsidP="00344631">
      <w:pPr>
        <w:pStyle w:val="Heading2"/>
      </w:pPr>
      <w:bookmarkStart w:id="14" w:name="_Toc196680950"/>
      <w:r>
        <w:t>4</w:t>
      </w:r>
      <w:r w:rsidR="00344631">
        <w:t>.</w:t>
      </w:r>
      <w:r w:rsidR="00AE1706" w:rsidRPr="00AE1706">
        <w:t>2</w:t>
      </w:r>
      <w:r>
        <w:t>:</w:t>
      </w:r>
      <w:r w:rsidR="00AE1706" w:rsidRPr="00AE1706">
        <w:t xml:space="preserve"> Combustion Pressure Rise with SOC and EOC Markers</w:t>
      </w:r>
      <w:bookmarkEnd w:id="14"/>
    </w:p>
    <w:p w14:paraId="38E09F6A" w14:textId="150AF717" w:rsidR="00F94117" w:rsidRDefault="00F94117" w:rsidP="00A9448A">
      <w:r w:rsidRPr="00F94117">
        <w:t>The crank angle-pressure rise during combustion (</w:t>
      </w:r>
      <w:proofErr w:type="spellStart"/>
      <w:r w:rsidRPr="00F94117">
        <w:t>ΔP_cb</w:t>
      </w:r>
      <w:proofErr w:type="spellEnd"/>
      <w:r w:rsidRPr="00F94117">
        <w:t>) (Figure 4) also shows the nature of the fast combustion. The Start of Combustion (SOC) occurs at 2° ATDC marked by the steep pressure rise owing to the rapid volumetric heat release. End of Combustion (EOC) is approximately at 35° ATDC, therefore producing a very short combustion duration (30° crank angle), which is ideal to yield the lowest heat losses and maximum work extraction in the power stroke (Heywood, 2018).</w:t>
      </w:r>
      <w:r w:rsidRPr="00F94117">
        <w:br/>
        <w:t xml:space="preserve">The sharp and high peak of </w:t>
      </w:r>
      <w:proofErr w:type="spellStart"/>
      <w:r w:rsidRPr="00F94117">
        <w:t>ΔP_cb</w:t>
      </w:r>
      <w:proofErr w:type="spellEnd"/>
      <w:r w:rsidRPr="00F94117">
        <w:t xml:space="preserve"> is an explicit pointer of the position of the CA50 and means most combustion occurs during an extremely short duration time window with the peak thermodynamic efficiency. Absence of post-peak oscillations or pressure disturbance verifies that combustion instabilities for example, knock, were prevented successfully even where there is reactivity and flame speed high of hydrogen an earlier reported problem by Verhelst et al. (2019) in hydrogen</w:t>
      </w:r>
      <w:r>
        <w:t xml:space="preserve"> </w:t>
      </w:r>
      <w:r w:rsidRPr="00F94117">
        <w:t>only engines. Incorporation of ammonia would have stabilised the increase in combustion temperature, equalising pressure gradients and preventing detonation (Zhao et al., 2020).</w:t>
      </w:r>
    </w:p>
    <w:p w14:paraId="3CF70285" w14:textId="77777777" w:rsidR="00383F86" w:rsidRDefault="00BA0550" w:rsidP="00383F86">
      <w:pPr>
        <w:keepNext/>
      </w:pPr>
      <w:r w:rsidRPr="00BA0550">
        <w:drawing>
          <wp:inline distT="0" distB="0" distL="0" distR="0" wp14:anchorId="52AFC03E" wp14:editId="53792C82">
            <wp:extent cx="5731510" cy="3114675"/>
            <wp:effectExtent l="0" t="0" r="2540" b="9525"/>
            <wp:docPr id="65222267" name="Picture 5"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2267" name="Picture 5" descr="A graph of a function&#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114675"/>
                    </a:xfrm>
                    <a:prstGeom prst="rect">
                      <a:avLst/>
                    </a:prstGeom>
                    <a:noFill/>
                    <a:ln>
                      <a:noFill/>
                    </a:ln>
                  </pic:spPr>
                </pic:pic>
              </a:graphicData>
            </a:graphic>
          </wp:inline>
        </w:drawing>
      </w:r>
    </w:p>
    <w:p w14:paraId="31ED6921" w14:textId="42F052FA" w:rsidR="00BA0550" w:rsidRDefault="00383F86" w:rsidP="00344631">
      <w:pPr>
        <w:pStyle w:val="Caption"/>
        <w:jc w:val="center"/>
      </w:pPr>
      <w:bookmarkStart w:id="15" w:name="_Toc196680998"/>
      <w:r>
        <w:t xml:space="preserve">Figure </w:t>
      </w:r>
      <w:r>
        <w:fldChar w:fldCharType="begin"/>
      </w:r>
      <w:r>
        <w:instrText xml:space="preserve"> SEQ Figure \* ARABIC </w:instrText>
      </w:r>
      <w:r>
        <w:fldChar w:fldCharType="separate"/>
      </w:r>
      <w:r w:rsidR="007350E6">
        <w:rPr>
          <w:noProof/>
        </w:rPr>
        <w:t>4</w:t>
      </w:r>
      <w:r>
        <w:fldChar w:fldCharType="end"/>
      </w:r>
      <w:r>
        <w:t>:</w:t>
      </w:r>
      <w:r w:rsidR="00344631">
        <w:t xml:space="preserve"> </w:t>
      </w:r>
      <w:r>
        <w:t>SOC/EOC</w:t>
      </w:r>
      <w:bookmarkEnd w:id="15"/>
    </w:p>
    <w:p w14:paraId="564C3AD7" w14:textId="1981256C" w:rsidR="00AE1706" w:rsidRPr="00AE1706" w:rsidRDefault="00485DEE" w:rsidP="00344631">
      <w:pPr>
        <w:pStyle w:val="Heading2"/>
      </w:pPr>
      <w:bookmarkStart w:id="16" w:name="_Toc196680951"/>
      <w:r>
        <w:t>4</w:t>
      </w:r>
      <w:r w:rsidR="00344631">
        <w:t>.</w:t>
      </w:r>
      <w:r w:rsidR="00AE1706" w:rsidRPr="00AE1706">
        <w:t>3</w:t>
      </w:r>
      <w:r>
        <w:t>:</w:t>
      </w:r>
      <w:r w:rsidR="00AE1706" w:rsidRPr="00AE1706">
        <w:t xml:space="preserve"> Wiebe Function Fit Around CA50</w:t>
      </w:r>
      <w:bookmarkEnd w:id="16"/>
    </w:p>
    <w:p w14:paraId="5D29EAA6" w14:textId="7C059DB1" w:rsidR="00F12666" w:rsidRDefault="00F12666" w:rsidP="00A9448A">
      <w:r w:rsidRPr="00F12666">
        <w:t>The Wiebe function fitting localised around the CA50 phase (Figure 5) further validates the expectation of a single</w:t>
      </w:r>
      <w:r w:rsidR="00344631">
        <w:t xml:space="preserve"> </w:t>
      </w:r>
      <w:r w:rsidRPr="00F12666">
        <w:t>zone, premixed combustion model for hydrogen</w:t>
      </w:r>
      <w:r w:rsidR="00F978D0">
        <w:t xml:space="preserve"> </w:t>
      </w:r>
      <w:r w:rsidRPr="00F12666">
        <w:t>ammonia combustion. The close agreement between the experimental MFB curve and the Wiebe model from -10° to +30° CA suggests that the burn is dominated by chemical kinetics and turbulence interaction rather than diffusion limitations.</w:t>
      </w:r>
      <w:r w:rsidRPr="00F12666">
        <w:br/>
        <w:t>The lack of a multi</w:t>
      </w:r>
      <w:r>
        <w:t xml:space="preserve"> </w:t>
      </w:r>
      <w:r w:rsidRPr="00F12666">
        <w:t xml:space="preserve">stage combustion signature such as an initial rapid burn followed by a slower second stage implies that mixture preparation before ignition was extremely homogeneous, avoiding partial burns often seen in heterogeneous air-fuel mixtures (García et al., 2021). This </w:t>
      </w:r>
      <w:proofErr w:type="gramStart"/>
      <w:r w:rsidRPr="00F12666">
        <w:t>single</w:t>
      </w:r>
      <w:r>
        <w:t xml:space="preserve"> </w:t>
      </w:r>
      <w:r w:rsidRPr="00F12666">
        <w:t>phase</w:t>
      </w:r>
      <w:proofErr w:type="gramEnd"/>
      <w:r w:rsidRPr="00F12666">
        <w:t xml:space="preserve"> behaviour simplifies combustion control strategies and ensures highly predictable thermodynamic outcomes, critical for engine calibration and emissions regulation.</w:t>
      </w:r>
      <w:r>
        <w:t xml:space="preserve"> As well</w:t>
      </w:r>
      <w:r w:rsidRPr="00F12666">
        <w:t>, this confirms that the hydrogen</w:t>
      </w:r>
      <w:r>
        <w:t xml:space="preserve"> </w:t>
      </w:r>
      <w:r w:rsidRPr="00F12666">
        <w:t>ammonia blend achieved quasi</w:t>
      </w:r>
      <w:r w:rsidR="00F978D0">
        <w:t xml:space="preserve"> </w:t>
      </w:r>
      <w:r w:rsidRPr="00F12666">
        <w:t>adiabatic combustion, where flame propagation rather than diffusive mixing sets the burn rate. Such behaviour is ideal for maximising thermal efficiency, as diffusion</w:t>
      </w:r>
      <w:r>
        <w:t xml:space="preserve"> </w:t>
      </w:r>
      <w:r w:rsidRPr="00F12666">
        <w:t>limited flames typically suffer greater enthalpy losses.</w:t>
      </w:r>
    </w:p>
    <w:p w14:paraId="4301BBFA" w14:textId="77777777" w:rsidR="00383F86" w:rsidRDefault="00BA0550" w:rsidP="00383F86">
      <w:pPr>
        <w:keepNext/>
      </w:pPr>
      <w:r w:rsidRPr="00BA0550">
        <w:drawing>
          <wp:inline distT="0" distB="0" distL="0" distR="0" wp14:anchorId="2DC61EB6" wp14:editId="25D0B9EB">
            <wp:extent cx="5731510" cy="3096895"/>
            <wp:effectExtent l="0" t="0" r="2540" b="8255"/>
            <wp:docPr id="112778277" name="Picture 7" descr="A graph with green and yellow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78277" name="Picture 7" descr="A graph with green and yellow dot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096895"/>
                    </a:xfrm>
                    <a:prstGeom prst="rect">
                      <a:avLst/>
                    </a:prstGeom>
                    <a:noFill/>
                    <a:ln>
                      <a:noFill/>
                    </a:ln>
                  </pic:spPr>
                </pic:pic>
              </a:graphicData>
            </a:graphic>
          </wp:inline>
        </w:drawing>
      </w:r>
    </w:p>
    <w:p w14:paraId="7280528A" w14:textId="1532CF64" w:rsidR="00BA0550" w:rsidRDefault="00383F86" w:rsidP="00CA641D">
      <w:pPr>
        <w:pStyle w:val="Caption"/>
        <w:jc w:val="center"/>
      </w:pPr>
      <w:bookmarkStart w:id="17" w:name="_Toc196680999"/>
      <w:r>
        <w:t xml:space="preserve">Figure </w:t>
      </w:r>
      <w:r>
        <w:fldChar w:fldCharType="begin"/>
      </w:r>
      <w:r>
        <w:instrText xml:space="preserve"> SEQ Figure \* ARABIC </w:instrText>
      </w:r>
      <w:r>
        <w:fldChar w:fldCharType="separate"/>
      </w:r>
      <w:r w:rsidR="007350E6">
        <w:rPr>
          <w:noProof/>
        </w:rPr>
        <w:t>5</w:t>
      </w:r>
      <w:r>
        <w:fldChar w:fldCharType="end"/>
      </w:r>
      <w:r>
        <w:t>:Wiebe Fit Around CA50</w:t>
      </w:r>
      <w:bookmarkEnd w:id="17"/>
    </w:p>
    <w:p w14:paraId="4869E960" w14:textId="6A71A825" w:rsidR="00AE1706" w:rsidRPr="00AE1706" w:rsidRDefault="00485DEE" w:rsidP="00344631">
      <w:pPr>
        <w:pStyle w:val="Heading2"/>
      </w:pPr>
      <w:bookmarkStart w:id="18" w:name="_Toc196680952"/>
      <w:r>
        <w:t>4</w:t>
      </w:r>
      <w:r w:rsidR="00344631">
        <w:t>.</w:t>
      </w:r>
      <w:r w:rsidR="00AE1706" w:rsidRPr="00AE1706">
        <w:t>4</w:t>
      </w:r>
      <w:r>
        <w:t>:</w:t>
      </w:r>
      <w:r w:rsidR="00AE1706" w:rsidRPr="00AE1706">
        <w:t xml:space="preserve"> Full Wiebe Function Fit Across the Burn Window</w:t>
      </w:r>
      <w:bookmarkEnd w:id="18"/>
    </w:p>
    <w:p w14:paraId="50C5A749" w14:textId="1963553C" w:rsidR="00A811AC" w:rsidRDefault="00A811AC" w:rsidP="00AE1706">
      <w:r w:rsidRPr="00A811AC">
        <w:t>Extending the Wiebe fit across the full crank angle range (Figure 6) provides a summary of the hydrogen</w:t>
      </w:r>
      <w:r w:rsidR="00344631">
        <w:t xml:space="preserve"> </w:t>
      </w:r>
      <w:r w:rsidRPr="00A811AC">
        <w:t>ammonia burning event. Despite minor deviations following 20° CA, the model captures the key burn dynamics with very high accuracy. Deviations are most likely due to turbulence dissipation and real-gas thermodynamics at lower pressures and longer crank angles, consistent with observations on real hydrogen combustion engines (Verhelst et al., 2019).</w:t>
      </w:r>
      <w:r>
        <w:t xml:space="preserve"> </w:t>
      </w:r>
      <w:r w:rsidRPr="00A811AC">
        <w:t>The fact that one set of Wiebe parameters describes the entire burn shows that the burn process is kinetically controlled rather than controlled by turbulence</w:t>
      </w:r>
      <w:r w:rsidR="00F978D0">
        <w:t xml:space="preserve"> </w:t>
      </w:r>
      <w:r w:rsidRPr="00A811AC">
        <w:t>dominated combustion late in the cycle. These characteristics are attractive for engine application to provide consistent operation across a range of operating points without the need for complex multi</w:t>
      </w:r>
      <w:r w:rsidR="00344631">
        <w:t xml:space="preserve"> </w:t>
      </w:r>
      <w:r w:rsidRPr="00A811AC">
        <w:t>zone combustion modelling.</w:t>
      </w:r>
      <w:r>
        <w:t xml:space="preserve"> </w:t>
      </w:r>
      <w:r w:rsidRPr="00A811AC">
        <w:t>Also, this fitting demonstrates that hydrogen-ammonia blends can be easily integrated into existing cycle simulation codes, with conventional Wiebe or Arrhenius</w:t>
      </w:r>
      <w:r w:rsidR="00344631">
        <w:t xml:space="preserve"> </w:t>
      </w:r>
      <w:r w:rsidRPr="00A811AC">
        <w:t>based burn rate models (ANSYS, 2022), reducing development time for production hydrogen engines</w:t>
      </w:r>
    </w:p>
    <w:p w14:paraId="76E80B5D" w14:textId="77777777" w:rsidR="00383F86" w:rsidRDefault="00383F86" w:rsidP="00383F86">
      <w:pPr>
        <w:keepNext/>
      </w:pPr>
      <w:r w:rsidRPr="00383F86">
        <w:drawing>
          <wp:inline distT="0" distB="0" distL="0" distR="0" wp14:anchorId="172E948B" wp14:editId="35995C66">
            <wp:extent cx="5731510" cy="3096895"/>
            <wp:effectExtent l="0" t="0" r="2540" b="8255"/>
            <wp:docPr id="397135497" name="Picture 9" descr="A graph with green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135497" name="Picture 9" descr="A graph with green dot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096895"/>
                    </a:xfrm>
                    <a:prstGeom prst="rect">
                      <a:avLst/>
                    </a:prstGeom>
                    <a:noFill/>
                    <a:ln>
                      <a:noFill/>
                    </a:ln>
                  </pic:spPr>
                </pic:pic>
              </a:graphicData>
            </a:graphic>
          </wp:inline>
        </w:drawing>
      </w:r>
    </w:p>
    <w:p w14:paraId="40B9752B" w14:textId="43BE21CF" w:rsidR="00BA0550" w:rsidRDefault="00383F86" w:rsidP="00CA641D">
      <w:pPr>
        <w:pStyle w:val="Caption"/>
        <w:jc w:val="center"/>
      </w:pPr>
      <w:bookmarkStart w:id="19" w:name="_Toc196681000"/>
      <w:r>
        <w:t xml:space="preserve">Figure </w:t>
      </w:r>
      <w:r>
        <w:fldChar w:fldCharType="begin"/>
      </w:r>
      <w:r>
        <w:instrText xml:space="preserve"> SEQ Figure \* ARABIC </w:instrText>
      </w:r>
      <w:r>
        <w:fldChar w:fldCharType="separate"/>
      </w:r>
      <w:r w:rsidR="007350E6">
        <w:rPr>
          <w:noProof/>
        </w:rPr>
        <w:t>6</w:t>
      </w:r>
      <w:r>
        <w:fldChar w:fldCharType="end"/>
      </w:r>
      <w:r>
        <w:t>:Wiebe Fit to MFB</w:t>
      </w:r>
      <w:bookmarkEnd w:id="19"/>
    </w:p>
    <w:p w14:paraId="27DB76EA" w14:textId="753F2CCE" w:rsidR="00AE1706" w:rsidRPr="00AE1706" w:rsidRDefault="00485DEE" w:rsidP="00344631">
      <w:pPr>
        <w:pStyle w:val="Heading2"/>
      </w:pPr>
      <w:bookmarkStart w:id="20" w:name="_Toc196680953"/>
      <w:r>
        <w:t>4.</w:t>
      </w:r>
      <w:r w:rsidR="00AE1706" w:rsidRPr="00AE1706">
        <w:t>5</w:t>
      </w:r>
      <w:r>
        <w:t>:</w:t>
      </w:r>
      <w:r w:rsidR="00AE1706" w:rsidRPr="00AE1706">
        <w:t xml:space="preserve"> Pressure and Volume </w:t>
      </w:r>
      <w:r w:rsidR="00AE1706">
        <w:t>Behaviour</w:t>
      </w:r>
      <w:r w:rsidR="00AE1706" w:rsidRPr="00AE1706">
        <w:t xml:space="preserve"> During Combustion</w:t>
      </w:r>
      <w:bookmarkEnd w:id="20"/>
    </w:p>
    <w:p w14:paraId="29E15348" w14:textId="15BCC043" w:rsidR="00BA0550" w:rsidRDefault="00BA0550" w:rsidP="00A9448A">
      <w:r w:rsidRPr="00BA0550">
        <w:t>The combined pressure</w:t>
      </w:r>
      <w:r w:rsidR="00344631">
        <w:t xml:space="preserve"> </w:t>
      </w:r>
      <w:r w:rsidRPr="00BA0550">
        <w:t>volume trace in Figure 7 provides useful information about the thermodynamic quality of the combustion. The peak pressure at about 10 bar just after TDC is an indication that the combustion occurs under the optimum volume conditions, maximising the pressure rise during the expansion stroke, where it is most effective for mechanical work extraction (Heywood, 2018).</w:t>
      </w:r>
      <w:r w:rsidRPr="00BA0550">
        <w:br/>
        <w:t>The steep rise and smooth drop</w:t>
      </w:r>
      <w:r w:rsidR="00A9448A">
        <w:t xml:space="preserve"> </w:t>
      </w:r>
      <w:r w:rsidRPr="00BA0550">
        <w:t>off of the pressure trace are exactly consistent with high</w:t>
      </w:r>
      <w:r w:rsidR="00EA0B96">
        <w:t xml:space="preserve"> </w:t>
      </w:r>
      <w:r w:rsidRPr="00BA0550">
        <w:t>efficiency combustion models, demonstrating low wall heat losses and low entropy generation. The corresponding volume trace shows that the start of combustion was well</w:t>
      </w:r>
      <w:r w:rsidR="00EA0B96">
        <w:t xml:space="preserve"> </w:t>
      </w:r>
      <w:r w:rsidRPr="00BA0550">
        <w:t>phased with piston motion, with no over-rapid pressure rise rates that would result in mechanical overstress or knock (Zhao et al., 2020).</w:t>
      </w:r>
      <w:r w:rsidRPr="00BA0550">
        <w:br/>
        <w:t>Significantly, the low peak pressure values (10 bar) confirm that the mixture guarantees safe operating conditions even without the presence of heavy boosting, making hydrogen</w:t>
      </w:r>
      <w:r w:rsidR="00EA0B96">
        <w:t xml:space="preserve"> </w:t>
      </w:r>
      <w:r w:rsidRPr="00BA0550">
        <w:t>ammonia attractive to naturally aspirated and lightly boosted engine applications.</w:t>
      </w:r>
    </w:p>
    <w:p w14:paraId="6A2094BE" w14:textId="77777777" w:rsidR="00383F86" w:rsidRDefault="00383F86" w:rsidP="00383F86">
      <w:pPr>
        <w:keepNext/>
      </w:pPr>
      <w:r w:rsidRPr="00383F86">
        <w:drawing>
          <wp:inline distT="0" distB="0" distL="0" distR="0" wp14:anchorId="09B5E496" wp14:editId="578F7571">
            <wp:extent cx="5731510" cy="2990850"/>
            <wp:effectExtent l="0" t="0" r="2540" b="0"/>
            <wp:docPr id="849948709" name="Picture 11" descr="A red line graph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48709" name="Picture 11" descr="A red line graph on a white background&#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90850"/>
                    </a:xfrm>
                    <a:prstGeom prst="rect">
                      <a:avLst/>
                    </a:prstGeom>
                    <a:noFill/>
                    <a:ln>
                      <a:noFill/>
                    </a:ln>
                  </pic:spPr>
                </pic:pic>
              </a:graphicData>
            </a:graphic>
          </wp:inline>
        </w:drawing>
      </w:r>
    </w:p>
    <w:p w14:paraId="116D7033" w14:textId="0FE492AC" w:rsidR="00383F86" w:rsidRDefault="00383F86" w:rsidP="00344631">
      <w:pPr>
        <w:pStyle w:val="Caption"/>
        <w:jc w:val="center"/>
      </w:pPr>
      <w:bookmarkStart w:id="21" w:name="_Toc196681001"/>
      <w:r>
        <w:t xml:space="preserve">Figure </w:t>
      </w:r>
      <w:r>
        <w:fldChar w:fldCharType="begin"/>
      </w:r>
      <w:r>
        <w:instrText xml:space="preserve"> SEQ Figure \* ARABIC </w:instrText>
      </w:r>
      <w:r>
        <w:fldChar w:fldCharType="separate"/>
      </w:r>
      <w:r w:rsidR="007350E6">
        <w:rPr>
          <w:noProof/>
        </w:rPr>
        <w:t>7</w:t>
      </w:r>
      <w:r>
        <w:fldChar w:fldCharType="end"/>
      </w:r>
      <w:r>
        <w:t>:Pressure and Volume vs Crank Angle</w:t>
      </w:r>
      <w:bookmarkEnd w:id="21"/>
    </w:p>
    <w:p w14:paraId="4C2E618D" w14:textId="512A751F" w:rsidR="00AE1706" w:rsidRPr="00AE1706" w:rsidRDefault="00485DEE" w:rsidP="00344631">
      <w:pPr>
        <w:pStyle w:val="Heading2"/>
      </w:pPr>
      <w:bookmarkStart w:id="22" w:name="_Toc196680954"/>
      <w:r>
        <w:t>4.</w:t>
      </w:r>
      <w:r w:rsidR="00AE1706" w:rsidRPr="00AE1706">
        <w:t>6</w:t>
      </w:r>
      <w:r>
        <w:t>:</w:t>
      </w:r>
      <w:r w:rsidR="00AE1706" w:rsidRPr="00AE1706">
        <w:t xml:space="preserve"> Combustion Pressure Contribution (</w:t>
      </w:r>
      <w:proofErr w:type="spellStart"/>
      <w:r w:rsidR="00AE1706" w:rsidRPr="00AE1706">
        <w:t>ΔP_cb</w:t>
      </w:r>
      <w:proofErr w:type="spellEnd"/>
      <w:r w:rsidR="00AE1706" w:rsidRPr="00AE1706">
        <w:t>)</w:t>
      </w:r>
      <w:bookmarkEnd w:id="22"/>
    </w:p>
    <w:p w14:paraId="67B6EC40" w14:textId="6B516D20" w:rsidR="00383F86" w:rsidRDefault="00BA0550" w:rsidP="00A9448A">
      <w:r w:rsidRPr="00BA0550">
        <w:t xml:space="preserve">The clean combustion pressure contribution </w:t>
      </w:r>
      <w:proofErr w:type="spellStart"/>
      <w:r w:rsidRPr="00BA0550">
        <w:t>ΔP_cb</w:t>
      </w:r>
      <w:proofErr w:type="spellEnd"/>
      <w:r w:rsidRPr="00BA0550">
        <w:t xml:space="preserve"> (Figure 8) is a proof to the stability and efficiency of the hydrogen</w:t>
      </w:r>
      <w:r w:rsidR="00344631">
        <w:t xml:space="preserve"> </w:t>
      </w:r>
      <w:r w:rsidRPr="00BA0550">
        <w:t xml:space="preserve">ammonia combustion reaction. The sharp, peak singular rise of </w:t>
      </w:r>
      <w:proofErr w:type="spellStart"/>
      <w:r w:rsidRPr="00BA0550">
        <w:t>ΔP_cb</w:t>
      </w:r>
      <w:proofErr w:type="spellEnd"/>
      <w:r w:rsidRPr="00BA0550">
        <w:t xml:space="preserve"> to a high value at approximately CA50 indicates an extremely efficient chemical energy to pressure transfer with minimal delay.</w:t>
      </w:r>
      <w:r w:rsidR="00383F86">
        <w:t xml:space="preserve"> </w:t>
      </w:r>
      <w:r w:rsidRPr="00BA0550">
        <w:t>The absence of secondary pressure oscillations or fluctuations indicates minimal cyclic variability, which is an issue that affects unstable hydrogen combustion in inadequately prepared mixtures (Verhelst et al., 2019). The smooth blowdown phase also suggests that the end of combustion is directly associated with piston expansion, minimising late cycle combustion that otherwise lowers mechanical efficiency and raises exhaust gas temperatures.</w:t>
      </w:r>
      <w:r>
        <w:t xml:space="preserve"> </w:t>
      </w:r>
      <w:r w:rsidRPr="00BA0550">
        <w:t>Together, these findings verify the postulation that hydrogen ammonia combustion can achieve high indicated efficiency with lower emissions, namely NOx, and directly validate trends observed in the literature review (García et al., 2021).</w:t>
      </w:r>
    </w:p>
    <w:p w14:paraId="0BF4EE69" w14:textId="77777777" w:rsidR="00383F86" w:rsidRDefault="00383F86" w:rsidP="00383F86">
      <w:pPr>
        <w:keepNext/>
      </w:pPr>
      <w:r w:rsidRPr="00383F86">
        <w:drawing>
          <wp:inline distT="0" distB="0" distL="0" distR="0" wp14:anchorId="120C37CB" wp14:editId="3FFFE8B6">
            <wp:extent cx="5731510" cy="3114675"/>
            <wp:effectExtent l="0" t="0" r="2540" b="9525"/>
            <wp:docPr id="48235079" name="Picture 13"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5079" name="Picture 13" descr="A graph of a function&#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114675"/>
                    </a:xfrm>
                    <a:prstGeom prst="rect">
                      <a:avLst/>
                    </a:prstGeom>
                    <a:noFill/>
                    <a:ln>
                      <a:noFill/>
                    </a:ln>
                  </pic:spPr>
                </pic:pic>
              </a:graphicData>
            </a:graphic>
          </wp:inline>
        </w:drawing>
      </w:r>
    </w:p>
    <w:p w14:paraId="79C52682" w14:textId="441C9FE2" w:rsidR="00383F86" w:rsidRPr="00383F86" w:rsidRDefault="00383F86" w:rsidP="00383F86">
      <w:pPr>
        <w:pStyle w:val="Caption"/>
        <w:jc w:val="center"/>
      </w:pPr>
      <w:bookmarkStart w:id="23" w:name="_Toc196681002"/>
      <w:r>
        <w:t xml:space="preserve">Figure </w:t>
      </w:r>
      <w:r>
        <w:fldChar w:fldCharType="begin"/>
      </w:r>
      <w:r>
        <w:instrText xml:space="preserve"> SEQ Figure \* ARABIC </w:instrText>
      </w:r>
      <w:r>
        <w:fldChar w:fldCharType="separate"/>
      </w:r>
      <w:r w:rsidR="007350E6">
        <w:rPr>
          <w:noProof/>
        </w:rPr>
        <w:t>8</w:t>
      </w:r>
      <w:r>
        <w:fldChar w:fldCharType="end"/>
      </w:r>
      <w:r>
        <w:t>: Hydrogen Ammonia Combustion</w:t>
      </w:r>
      <w:bookmarkEnd w:id="23"/>
    </w:p>
    <w:p w14:paraId="695AFF1D" w14:textId="67923064" w:rsidR="00FA3E24" w:rsidRPr="00FA3E24" w:rsidRDefault="00DA6023" w:rsidP="00FA3E24">
      <w:pPr>
        <w:pStyle w:val="Heading1"/>
      </w:pPr>
      <w:bookmarkStart w:id="24" w:name="_Toc196680955"/>
      <w:r>
        <w:t xml:space="preserve">Task </w:t>
      </w:r>
      <w:r w:rsidR="00485DEE">
        <w:t>5</w:t>
      </w:r>
      <w:r>
        <w:t>:</w:t>
      </w:r>
      <w:r w:rsidR="00FA3E24">
        <w:t xml:space="preserve"> Ricardo Wave</w:t>
      </w:r>
      <w:bookmarkEnd w:id="24"/>
    </w:p>
    <w:p w14:paraId="0220CBF2" w14:textId="13EE25D6" w:rsidR="00993C15" w:rsidRDefault="00993C15" w:rsidP="00A9448A">
      <w:r w:rsidRPr="00993C15">
        <w:t xml:space="preserve">The Ricardo WAVE simulation results provide full data on the combustion and thermodynamic efficiency of the hydrogen-ammonia fuel blend over the engine cycle. As can be seen in Figure 9, the specific heat capacity increases quickly after TDC to a peak of around 2400 J/kg/K due to the high release of heat from combustion and the formation </w:t>
      </w:r>
      <w:proofErr w:type="gramStart"/>
      <w:r w:rsidRPr="00993C15">
        <w:t>of  water</w:t>
      </w:r>
      <w:proofErr w:type="gramEnd"/>
      <w:r w:rsidRPr="00993C15">
        <w:t xml:space="preserve"> vapor and nitrogen species. This peak is typical of high thermal loading during combustion, reducing progressively throughout the expansion stroke as the gases lo</w:t>
      </w:r>
      <w:r w:rsidR="00A9448A">
        <w:t>o</w:t>
      </w:r>
      <w:r w:rsidRPr="00993C15">
        <w:t>se heat. The entropy curve in Figure 10 does the same, rising rapidly during combustion and settling after expansion, typical of the irreversible energy conversions of high temperature exothermic reactions.</w:t>
      </w:r>
    </w:p>
    <w:p w14:paraId="3C7C2AEF" w14:textId="2597B589" w:rsidR="00BD66F4" w:rsidRDefault="00934D05" w:rsidP="00BD66F4">
      <w:pPr>
        <w:keepNext/>
        <w:jc w:val="center"/>
      </w:pPr>
      <w:r w:rsidRPr="00934D05">
        <w:drawing>
          <wp:inline distT="0" distB="0" distL="0" distR="0" wp14:anchorId="275CD70C" wp14:editId="17712688">
            <wp:extent cx="3911279" cy="1973580"/>
            <wp:effectExtent l="0" t="0" r="0" b="7620"/>
            <wp:docPr id="278779775" name="Picture 15" descr="A graph of a heat w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79775" name="Picture 15" descr="A graph of a heat wave&#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44339" cy="1990261"/>
                    </a:xfrm>
                    <a:prstGeom prst="rect">
                      <a:avLst/>
                    </a:prstGeom>
                    <a:noFill/>
                    <a:ln>
                      <a:noFill/>
                    </a:ln>
                  </pic:spPr>
                </pic:pic>
              </a:graphicData>
            </a:graphic>
          </wp:inline>
        </w:drawing>
      </w:r>
    </w:p>
    <w:p w14:paraId="0287DD62" w14:textId="435CCB6A" w:rsidR="00BD66F4" w:rsidRDefault="00BD66F4" w:rsidP="00BD66F4">
      <w:pPr>
        <w:pStyle w:val="Caption"/>
        <w:jc w:val="center"/>
      </w:pPr>
      <w:r>
        <w:t xml:space="preserve">Figure 9: Specific Heat </w:t>
      </w:r>
      <w:r>
        <w:t xml:space="preserve">of </w:t>
      </w:r>
      <w:r>
        <w:t>H</w:t>
      </w:r>
      <w:r>
        <w:t xml:space="preserve">ydrogen </w:t>
      </w:r>
      <w:r>
        <w:t>A</w:t>
      </w:r>
      <w:r>
        <w:t>mmonia</w:t>
      </w:r>
    </w:p>
    <w:p w14:paraId="4F9B17AA" w14:textId="45C661FD" w:rsidR="00934D05" w:rsidRDefault="00934D05" w:rsidP="00A26B2E"/>
    <w:p w14:paraId="3031E5E8" w14:textId="51ADD4F2" w:rsidR="00934D05" w:rsidRDefault="00934D05" w:rsidP="00BD66F4">
      <w:pPr>
        <w:spacing w:line="276" w:lineRule="auto"/>
        <w:jc w:val="center"/>
      </w:pPr>
      <w:r>
        <w:br w:type="page"/>
      </w:r>
      <w:r w:rsidR="00BD66F4" w:rsidRPr="00934D05">
        <w:drawing>
          <wp:inline distT="0" distB="0" distL="0" distR="0" wp14:anchorId="14CF17CA" wp14:editId="255587EC">
            <wp:extent cx="3613544" cy="1851660"/>
            <wp:effectExtent l="0" t="0" r="6350" b="0"/>
            <wp:docPr id="1644697573" name="Picture 16" descr="A graph of a graph showing the amount of hydrogen in a gas ta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97573" name="Picture 16" descr="A graph of a graph showing the amount of hydrogen in a gas tank&#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34568" cy="1862433"/>
                    </a:xfrm>
                    <a:prstGeom prst="rect">
                      <a:avLst/>
                    </a:prstGeom>
                    <a:noFill/>
                    <a:ln>
                      <a:noFill/>
                    </a:ln>
                  </pic:spPr>
                </pic:pic>
              </a:graphicData>
            </a:graphic>
          </wp:inline>
        </w:drawing>
      </w:r>
    </w:p>
    <w:p w14:paraId="154498DB" w14:textId="580AFA2A" w:rsidR="00BD66F4" w:rsidRDefault="00BD66F4" w:rsidP="00BD66F4">
      <w:pPr>
        <w:pStyle w:val="Caption"/>
        <w:jc w:val="center"/>
      </w:pPr>
      <w:r>
        <w:t>Figure 10: Entropy of Hydrogen Ammonia</w:t>
      </w:r>
    </w:p>
    <w:p w14:paraId="092EFD79" w14:textId="77777777" w:rsidR="00676A47" w:rsidRDefault="00676A47" w:rsidP="00A9448A">
      <w:r w:rsidRPr="00676A47">
        <w:t xml:space="preserve">Simultaneously, the variation in density shown by Figure 11 indicates maximum in-cylinder density of gas at TDC prior to ignition and </w:t>
      </w:r>
      <w:proofErr w:type="gramStart"/>
      <w:r w:rsidRPr="00676A47">
        <w:t>an</w:t>
      </w:r>
      <w:proofErr w:type="gramEnd"/>
      <w:r w:rsidRPr="00676A47">
        <w:t xml:space="preserve"> sudden fall due to thermal expansion following ignition. This suggests successful combustion for hydrogen-enriched fuels. Heat transfer rate curve in Figure 12 sharply increases rate at about 10° ATDC, and this happens at the same time with maximum energy release time during combustion.</w:t>
      </w:r>
    </w:p>
    <w:p w14:paraId="0633E6B6" w14:textId="77777777" w:rsidR="00BD66F4" w:rsidRDefault="00934D05" w:rsidP="00BD66F4">
      <w:pPr>
        <w:keepNext/>
        <w:jc w:val="center"/>
      </w:pPr>
      <w:r w:rsidRPr="00934D05">
        <w:drawing>
          <wp:inline distT="0" distB="0" distL="0" distR="0" wp14:anchorId="5BC97C14" wp14:editId="7C39E961">
            <wp:extent cx="3393440" cy="1707066"/>
            <wp:effectExtent l="0" t="0" r="0" b="7620"/>
            <wp:docPr id="46739759" name="Picture 17"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39759" name="Picture 17" descr="A graph of a graph of a graph&#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31397" cy="1726160"/>
                    </a:xfrm>
                    <a:prstGeom prst="rect">
                      <a:avLst/>
                    </a:prstGeom>
                    <a:noFill/>
                    <a:ln>
                      <a:noFill/>
                    </a:ln>
                  </pic:spPr>
                </pic:pic>
              </a:graphicData>
            </a:graphic>
          </wp:inline>
        </w:drawing>
      </w:r>
    </w:p>
    <w:p w14:paraId="1026790F" w14:textId="5E656B54" w:rsidR="00BD66F4" w:rsidRDefault="00BD66F4" w:rsidP="00BD66F4">
      <w:pPr>
        <w:pStyle w:val="Caption"/>
        <w:jc w:val="center"/>
      </w:pPr>
      <w:r>
        <w:t>Figure 11: Density of Hydrogen Ammonia</w:t>
      </w:r>
    </w:p>
    <w:p w14:paraId="787D75C3" w14:textId="77777777" w:rsidR="00BD66F4" w:rsidRDefault="00934D05" w:rsidP="00BD66F4">
      <w:pPr>
        <w:keepNext/>
        <w:jc w:val="center"/>
      </w:pPr>
      <w:r w:rsidRPr="00934D05">
        <w:drawing>
          <wp:inline distT="0" distB="0" distL="0" distR="0" wp14:anchorId="1FFF6D24" wp14:editId="416E3F32">
            <wp:extent cx="2987040" cy="1814047"/>
            <wp:effectExtent l="0" t="0" r="3810" b="0"/>
            <wp:docPr id="1175012039" name="Picture 19" descr="A graph of a heat transfer r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012039" name="Picture 19" descr="A graph of a heat transfer rate&#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27619" cy="1838691"/>
                    </a:xfrm>
                    <a:prstGeom prst="rect">
                      <a:avLst/>
                    </a:prstGeom>
                    <a:noFill/>
                    <a:ln>
                      <a:noFill/>
                    </a:ln>
                  </pic:spPr>
                </pic:pic>
              </a:graphicData>
            </a:graphic>
          </wp:inline>
        </w:drawing>
      </w:r>
    </w:p>
    <w:p w14:paraId="26D2D2CE" w14:textId="1AC14683" w:rsidR="00934D05" w:rsidRPr="00A26B2E" w:rsidRDefault="00BD66F4" w:rsidP="00BD66F4">
      <w:pPr>
        <w:pStyle w:val="Caption"/>
        <w:jc w:val="center"/>
      </w:pPr>
      <w:r>
        <w:t xml:space="preserve">Figure 12: Heat Transfer </w:t>
      </w:r>
      <w:r w:rsidRPr="00546035">
        <w:t xml:space="preserve">of </w:t>
      </w:r>
      <w:r>
        <w:t>H</w:t>
      </w:r>
      <w:r w:rsidRPr="00546035">
        <w:t xml:space="preserve">ydrogen </w:t>
      </w:r>
      <w:r>
        <w:t>A</w:t>
      </w:r>
      <w:r w:rsidRPr="00546035">
        <w:t>mmonia</w:t>
      </w:r>
    </w:p>
    <w:p w14:paraId="2FD72978" w14:textId="77777777" w:rsidR="00BD66F4" w:rsidRDefault="00BD66F4">
      <w:pPr>
        <w:spacing w:line="276" w:lineRule="auto"/>
        <w:jc w:val="left"/>
      </w:pPr>
      <w:r>
        <w:br w:type="page"/>
      </w:r>
    </w:p>
    <w:p w14:paraId="3E06A2ED" w14:textId="03BAC9AA" w:rsidR="00676A47" w:rsidRDefault="00676A47" w:rsidP="00A9448A">
      <w:r w:rsidRPr="00676A47">
        <w:t>Pressure traces in Figure 13 also verify combustion phasing with peak pressure slightly after TDC at approximately 100 bar which is typical for hydrogen-fuelled at fast-burn cycles operating at moderate loads. The result in-cylinder temperature shown in Figure 14, illustrates a brief spike to around 3000 K after combustion, followed by a smooth reduction in temperature throughout expansion of the cylinder. These high peak temperatures are worth moderating for thermal NOx formation with the addition of ammonia to the mixture.</w:t>
      </w:r>
    </w:p>
    <w:p w14:paraId="042D5694" w14:textId="77777777" w:rsidR="00BD66F4" w:rsidRDefault="00934D05" w:rsidP="00BD66F4">
      <w:pPr>
        <w:keepNext/>
        <w:jc w:val="center"/>
      </w:pPr>
      <w:r w:rsidRPr="00934D05">
        <w:drawing>
          <wp:inline distT="0" distB="0" distL="0" distR="0" wp14:anchorId="53C1DFC6" wp14:editId="66EAF70A">
            <wp:extent cx="3421380" cy="2065249"/>
            <wp:effectExtent l="0" t="0" r="7620" b="0"/>
            <wp:docPr id="810270370" name="Picture 21" descr="A graph of a press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270370" name="Picture 21" descr="A graph of a pressure&#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45046" cy="2079535"/>
                    </a:xfrm>
                    <a:prstGeom prst="rect">
                      <a:avLst/>
                    </a:prstGeom>
                    <a:noFill/>
                    <a:ln>
                      <a:noFill/>
                    </a:ln>
                  </pic:spPr>
                </pic:pic>
              </a:graphicData>
            </a:graphic>
          </wp:inline>
        </w:drawing>
      </w:r>
    </w:p>
    <w:p w14:paraId="5A5F15E0" w14:textId="5D0FEC50" w:rsidR="00BD66F4" w:rsidRDefault="00BD66F4" w:rsidP="00BD66F4">
      <w:pPr>
        <w:pStyle w:val="Caption"/>
        <w:jc w:val="center"/>
      </w:pPr>
      <w:r>
        <w:t xml:space="preserve">Figure 13: Pressure </w:t>
      </w:r>
      <w:r w:rsidRPr="002620F9">
        <w:t xml:space="preserve">of </w:t>
      </w:r>
      <w:r>
        <w:t>H</w:t>
      </w:r>
      <w:r w:rsidRPr="002620F9">
        <w:t xml:space="preserve">ydrogen </w:t>
      </w:r>
      <w:r>
        <w:t>A</w:t>
      </w:r>
      <w:r w:rsidRPr="002620F9">
        <w:t>mmonia</w:t>
      </w:r>
    </w:p>
    <w:p w14:paraId="6B49545A" w14:textId="77777777" w:rsidR="00BD66F4" w:rsidRDefault="00934D05" w:rsidP="00BD66F4">
      <w:pPr>
        <w:keepNext/>
        <w:jc w:val="center"/>
      </w:pPr>
      <w:r w:rsidRPr="00934D05">
        <w:drawing>
          <wp:inline distT="0" distB="0" distL="0" distR="0" wp14:anchorId="0B60C0E4" wp14:editId="39C187A0">
            <wp:extent cx="3230880" cy="2030111"/>
            <wp:effectExtent l="0" t="0" r="7620" b="8255"/>
            <wp:docPr id="1070052463" name="Picture 23" descr="A graph of a temper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52463" name="Picture 23" descr="A graph of a temperature&#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70952" cy="2055290"/>
                    </a:xfrm>
                    <a:prstGeom prst="rect">
                      <a:avLst/>
                    </a:prstGeom>
                    <a:noFill/>
                    <a:ln>
                      <a:noFill/>
                    </a:ln>
                  </pic:spPr>
                </pic:pic>
              </a:graphicData>
            </a:graphic>
          </wp:inline>
        </w:drawing>
      </w:r>
    </w:p>
    <w:p w14:paraId="5DDD5A5B" w14:textId="7379008A" w:rsidR="00934D05" w:rsidRPr="00A26B2E" w:rsidRDefault="00BD66F4" w:rsidP="00BD66F4">
      <w:pPr>
        <w:pStyle w:val="Caption"/>
        <w:jc w:val="center"/>
      </w:pPr>
      <w:r>
        <w:t xml:space="preserve">Figure 14: Temperature </w:t>
      </w:r>
      <w:r w:rsidRPr="002402BD">
        <w:t xml:space="preserve">of </w:t>
      </w:r>
      <w:r>
        <w:t>H</w:t>
      </w:r>
      <w:r w:rsidRPr="002402BD">
        <w:t xml:space="preserve">ydrogen </w:t>
      </w:r>
      <w:r>
        <w:t>A</w:t>
      </w:r>
      <w:r w:rsidRPr="002402BD">
        <w:t>mmonia</w:t>
      </w:r>
    </w:p>
    <w:p w14:paraId="3C4BEA4B" w14:textId="77777777" w:rsidR="00747966" w:rsidRDefault="00676A47" w:rsidP="00A9448A">
      <w:r w:rsidRPr="00676A47">
        <w:t>The Ricardo WAVE engine model which can be seen in Figure 15, is a four-cylinder engine with a detailed intake and exhaust geometries, boundary conditions, and combustion chamber models. This layout is the foundation of the 1D gas dynamics simulation that produced the thermodynamic and emissions results based on this. Overall, the results highlight the rapid combustion dynamics, high thermal loads, and successful expansion processes achieved with the hydrogen-ammonia blend, validating both the simulation approach and the physical understanding of such alternative fuel combustion systems.</w:t>
      </w:r>
    </w:p>
    <w:p w14:paraId="61EFECFF" w14:textId="77777777" w:rsidR="007350E6" w:rsidRDefault="00934D05" w:rsidP="007350E6">
      <w:pPr>
        <w:keepNext/>
        <w:jc w:val="center"/>
      </w:pPr>
      <w:r w:rsidRPr="00934D05">
        <w:drawing>
          <wp:inline distT="0" distB="0" distL="0" distR="0" wp14:anchorId="521EC932" wp14:editId="36F48A36">
            <wp:extent cx="2828290" cy="2105707"/>
            <wp:effectExtent l="0" t="0" r="0" b="8890"/>
            <wp:docPr id="719998313" name="Picture 25" descr="A computer generated image of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998313" name="Picture 25" descr="A computer generated image of a robo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29608" cy="2106688"/>
                    </a:xfrm>
                    <a:prstGeom prst="rect">
                      <a:avLst/>
                    </a:prstGeom>
                    <a:noFill/>
                    <a:ln>
                      <a:noFill/>
                    </a:ln>
                  </pic:spPr>
                </pic:pic>
              </a:graphicData>
            </a:graphic>
          </wp:inline>
        </w:drawing>
      </w:r>
    </w:p>
    <w:p w14:paraId="02195A9C" w14:textId="78C77CAF" w:rsidR="00934D05" w:rsidRPr="00934D05" w:rsidRDefault="007350E6" w:rsidP="007350E6">
      <w:pPr>
        <w:pStyle w:val="Caption"/>
        <w:jc w:val="center"/>
      </w:pPr>
      <w:r>
        <w:t>Figure 15: Engine Mode in Ricardo WAVE</w:t>
      </w:r>
    </w:p>
    <w:p w14:paraId="1DBD6DC5" w14:textId="2BEB2EC3" w:rsidR="00BD66F4" w:rsidRDefault="00747966" w:rsidP="00A9448A">
      <w:r w:rsidRPr="00747966">
        <w:t xml:space="preserve">The combustion and emissions modelling of hydrogen-ammonia blends carried </w:t>
      </w:r>
      <w:r>
        <w:t xml:space="preserve">out </w:t>
      </w:r>
      <w:r w:rsidRPr="00747966">
        <w:t xml:space="preserve">is directly relevant to the upcoming 2035 emissions regulations, such as Euro 7 and wider carbon neutrality goals. These regulations will </w:t>
      </w:r>
      <w:r>
        <w:t>bring in</w:t>
      </w:r>
      <w:r w:rsidRPr="00747966">
        <w:t xml:space="preserve"> extremely low limits on CO</w:t>
      </w:r>
      <w:r w:rsidRPr="00747966">
        <w:t>₂</w:t>
      </w:r>
      <w:r>
        <w:t>, NOx</w:t>
      </w:r>
      <w:r w:rsidRPr="00747966">
        <w:t>,</w:t>
      </w:r>
      <w:r>
        <w:t xml:space="preserve"> </w:t>
      </w:r>
      <w:proofErr w:type="gramStart"/>
      <w:r w:rsidRPr="00747966">
        <w:t>UHC,  PM</w:t>
      </w:r>
      <w:r>
        <w:t xml:space="preserve">, </w:t>
      </w:r>
      <w:r w:rsidRPr="00747966">
        <w:t xml:space="preserve"> pushing</w:t>
      </w:r>
      <w:proofErr w:type="gramEnd"/>
      <w:r w:rsidRPr="00747966">
        <w:t xml:space="preserve"> conventional internal combustion engines to either drastically improve or </w:t>
      </w:r>
      <w:r>
        <w:t xml:space="preserve">be </w:t>
      </w:r>
      <w:r w:rsidRPr="00747966">
        <w:t>phase</w:t>
      </w:r>
      <w:r>
        <w:t>d</w:t>
      </w:r>
      <w:r w:rsidRPr="00747966">
        <w:t xml:space="preserve"> out. Hydrogen</w:t>
      </w:r>
      <w:r>
        <w:t xml:space="preserve"> </w:t>
      </w:r>
      <w:r w:rsidRPr="00747966">
        <w:t>ammonia combustion offers a solution, producing almost no CO₂ emissions and significantly reducing NOx formation by lowering peak combustion temperatures through the presence of ammonia.</w:t>
      </w:r>
      <w:r>
        <w:t xml:space="preserve"> </w:t>
      </w:r>
      <w:r w:rsidRPr="00747966">
        <w:t>The Ricardo WAVE simulation result</w:t>
      </w:r>
      <w:r>
        <w:t xml:space="preserve"> shows</w:t>
      </w:r>
      <w:r w:rsidRPr="00747966">
        <w:t xml:space="preserve"> rapid and clean combustion, with</w:t>
      </w:r>
      <w:r>
        <w:t xml:space="preserve"> </w:t>
      </w:r>
      <w:r w:rsidRPr="00747966">
        <w:t>high combustion efficiency</w:t>
      </w:r>
      <w:r>
        <w:t xml:space="preserve"> and</w:t>
      </w:r>
      <w:r w:rsidRPr="00747966">
        <w:t xml:space="preserve"> minimal </w:t>
      </w:r>
      <w:proofErr w:type="gramStart"/>
      <w:r w:rsidRPr="00747966">
        <w:t>carbon</w:t>
      </w:r>
      <w:r>
        <w:t xml:space="preserve"> </w:t>
      </w:r>
      <w:r w:rsidRPr="00747966">
        <w:t>based</w:t>
      </w:r>
      <w:proofErr w:type="gramEnd"/>
      <w:r w:rsidRPr="00747966">
        <w:t xml:space="preserve"> emissions and controlled thermal behaviour all </w:t>
      </w:r>
      <w:r>
        <w:t>important</w:t>
      </w:r>
      <w:r w:rsidRPr="00747966">
        <w:t xml:space="preserve"> factors for meeting the next</w:t>
      </w:r>
      <w:r>
        <w:t xml:space="preserve"> regulations</w:t>
      </w:r>
      <w:r w:rsidRPr="00747966">
        <w:t xml:space="preserve">. </w:t>
      </w:r>
      <w:r>
        <w:t>T</w:t>
      </w:r>
      <w:r w:rsidRPr="00747966">
        <w:t xml:space="preserve">hese </w:t>
      </w:r>
      <w:r>
        <w:t>results</w:t>
      </w:r>
      <w:r w:rsidRPr="00747966">
        <w:t xml:space="preserve"> show that hydrogen</w:t>
      </w:r>
      <w:r>
        <w:t xml:space="preserve"> </w:t>
      </w:r>
      <w:r w:rsidRPr="00747966">
        <w:t xml:space="preserve">ammonia engines could comply with 2035 standards without </w:t>
      </w:r>
      <w:r>
        <w:t xml:space="preserve">relying </w:t>
      </w:r>
      <w:r w:rsidRPr="00747966">
        <w:t>on after</w:t>
      </w:r>
      <w:r>
        <w:t xml:space="preserve"> </w:t>
      </w:r>
      <w:r w:rsidRPr="00747966">
        <w:t>treatment systems, reducing vehicle cost and weight.</w:t>
      </w:r>
      <w:r>
        <w:t xml:space="preserve"> T</w:t>
      </w:r>
      <w:r w:rsidRPr="00747966">
        <w:t xml:space="preserve">he ability to model combustion behaviour accurately in WAVE allows early optimisation of ignition timing, combustion duration, and emissions performance, making it possible to </w:t>
      </w:r>
      <w:r>
        <w:t>verify</w:t>
      </w:r>
      <w:r w:rsidRPr="00747966">
        <w:t xml:space="preserve"> engine designs more efficiently under the </w:t>
      </w:r>
      <w:r>
        <w:t>new legislations</w:t>
      </w:r>
      <w:r w:rsidRPr="00747966">
        <w:t>.</w:t>
      </w:r>
      <w:r>
        <w:t xml:space="preserve"> </w:t>
      </w:r>
      <w:r w:rsidRPr="00747966">
        <w:t xml:space="preserve">This </w:t>
      </w:r>
      <w:r>
        <w:t>shows</w:t>
      </w:r>
      <w:r w:rsidRPr="00747966">
        <w:t xml:space="preserve"> the potential of hydrogen</w:t>
      </w:r>
      <w:r>
        <w:t xml:space="preserve"> </w:t>
      </w:r>
      <w:r w:rsidRPr="00747966">
        <w:t xml:space="preserve">ammonia as a </w:t>
      </w:r>
      <w:r>
        <w:t>usable</w:t>
      </w:r>
      <w:r w:rsidRPr="00747966">
        <w:t xml:space="preserve"> fuel for maintaining the </w:t>
      </w:r>
      <w:r w:rsidR="0038226C">
        <w:t>importance</w:t>
      </w:r>
      <w:r w:rsidRPr="00747966">
        <w:t xml:space="preserve"> of internal combustion engines while meeting the sustainability and emissions requirements of 2035.</w:t>
      </w:r>
    </w:p>
    <w:p w14:paraId="786DBFAF" w14:textId="77777777" w:rsidR="00BD66F4" w:rsidRDefault="00BD66F4">
      <w:pPr>
        <w:spacing w:line="276" w:lineRule="auto"/>
        <w:jc w:val="left"/>
      </w:pPr>
      <w:r>
        <w:br w:type="page"/>
      </w:r>
    </w:p>
    <w:p w14:paraId="23D1BFF8" w14:textId="0C8FAE9C" w:rsidR="00261AC0" w:rsidRDefault="001E6C6B" w:rsidP="00A26B2E">
      <w:pPr>
        <w:pStyle w:val="Heading1"/>
      </w:pPr>
      <w:bookmarkStart w:id="25" w:name="_Toc196680956"/>
      <w:r>
        <w:t>Conclusion</w:t>
      </w:r>
      <w:bookmarkEnd w:id="25"/>
    </w:p>
    <w:p w14:paraId="0EC456A3" w14:textId="0B6EDCEC" w:rsidR="004176F4" w:rsidRPr="00752406" w:rsidRDefault="00DD3F46" w:rsidP="00A9448A">
      <w:r w:rsidRPr="00DD3F46">
        <w:t>Th</w:t>
      </w:r>
      <w:r>
        <w:t>e report</w:t>
      </w:r>
      <w:r w:rsidRPr="00DD3F46">
        <w:t xml:space="preserve"> has demonstrated an integrated approach to modelling and analysing the combustion and emissions behaviour of Petrol, Ethanol, and Hydrogen Ammonia blends in internal combustion engines. By incorporating experimental analysis, emissions trend estimation, and advanced combustion modelling techniques such as </w:t>
      </w:r>
      <w:proofErr w:type="spellStart"/>
      <w:r w:rsidRPr="00DD3F46">
        <w:t>Rassweiler</w:t>
      </w:r>
      <w:proofErr w:type="spellEnd"/>
      <w:r w:rsidRPr="00DD3F46">
        <w:t xml:space="preserve"> and Withrow mass fraction burned history, Wiebe function fitting, and pressure volume analysis, an overall thermodynamic and emissions map was established for each fuel blend. The results confirmed theoretical expectations in the literature review, fuels with built-in oxygen content such as ethanol allow for more complete burnup but have greater risks of NOx production by means of increased flame temperatures, while hydrogen ammonia mixtures achieve very high combustion efficiencies with very low </w:t>
      </w:r>
      <w:proofErr w:type="gramStart"/>
      <w:r w:rsidRPr="00DD3F46">
        <w:t>carbon based</w:t>
      </w:r>
      <w:proofErr w:type="gramEnd"/>
      <w:r w:rsidRPr="00DD3F46">
        <w:t xml:space="preserve"> emissions and lesser NOx production.</w:t>
      </w:r>
      <w:r>
        <w:t xml:space="preserve"> Relative</w:t>
      </w:r>
      <w:r w:rsidRPr="00DD3F46">
        <w:t xml:space="preserve"> analysis of emissions across all fuels highlighted the compromises between combustion completeness and the approaches to controlling emissions, emphasi</w:t>
      </w:r>
      <w:r>
        <w:t>s</w:t>
      </w:r>
      <w:r w:rsidRPr="00DD3F46">
        <w:t>ing the central importance of fuel chemistry, flame speed, and ignition behaviour. The hydrogen</w:t>
      </w:r>
      <w:r>
        <w:t xml:space="preserve"> </w:t>
      </w:r>
      <w:r w:rsidRPr="00DD3F46">
        <w:t xml:space="preserve">ammonia blend achieved </w:t>
      </w:r>
      <w:proofErr w:type="spellStart"/>
      <w:r w:rsidRPr="00DD3F46">
        <w:t>ultra</w:t>
      </w:r>
      <w:r>
        <w:t xml:space="preserve"> </w:t>
      </w:r>
      <w:r w:rsidRPr="00DD3F46">
        <w:t>low</w:t>
      </w:r>
      <w:proofErr w:type="spellEnd"/>
      <w:r w:rsidRPr="00DD3F46">
        <w:t xml:space="preserve"> CO, UHC, and NOx emissions simultaneously, </w:t>
      </w:r>
      <w:r>
        <w:t>clear</w:t>
      </w:r>
      <w:r w:rsidRPr="00DD3F46">
        <w:t xml:space="preserve"> prospect as a future low-carbon solution for future advanced combustion engines. </w:t>
      </w:r>
      <w:r>
        <w:t>In addition</w:t>
      </w:r>
      <w:r w:rsidRPr="00DD3F46">
        <w:t>, the application of Ricardo WAVE was explored, illustrating how such experimental combustion processes can be properly simulated with 1D engine simulation, including definitions of fuel properties, control of combustion phasing, chemical kinetics, and emissions prediction.</w:t>
      </w:r>
      <w:r>
        <w:t xml:space="preserve"> </w:t>
      </w:r>
      <w:r w:rsidR="003B727C">
        <w:t>Overall,</w:t>
      </w:r>
      <w:r w:rsidRPr="00DD3F46">
        <w:t xml:space="preserve"> this stresses the technical feasibility of introducing low and zero</w:t>
      </w:r>
      <w:r>
        <w:t xml:space="preserve"> </w:t>
      </w:r>
      <w:r w:rsidRPr="00DD3F46">
        <w:t>carbon alternative fuels into internal combustion engine platforms using advanced simulation tools, conservative fuel blending techniques, and complex combustion calibration. The findings support that sustainable powertrains of the future will still rely on flexible, blended, or alternative fuels such as hydrogen and ammonia, which require accurate</w:t>
      </w:r>
      <w:r>
        <w:t xml:space="preserve"> </w:t>
      </w:r>
      <w:r w:rsidRPr="00DD3F46">
        <w:t>physically based simulation techniques to tap optimum performance as well as comply with stringent future emission standards.</w:t>
      </w:r>
      <w:r w:rsidR="001E6C6B">
        <w:br w:type="page"/>
      </w:r>
    </w:p>
    <w:bookmarkStart w:id="26" w:name="_Toc196680957" w:displacedByCustomXml="next"/>
    <w:sdt>
      <w:sdtPr>
        <w:rPr>
          <w:rFonts w:ascii="Times New Roman" w:eastAsiaTheme="minorHAnsi" w:hAnsi="Times New Roman" w:cstheme="minorBidi"/>
          <w:b w:val="0"/>
          <w:bCs w:val="0"/>
          <w:color w:val="auto"/>
          <w:sz w:val="22"/>
          <w:szCs w:val="24"/>
          <w:u w:val="none"/>
        </w:rPr>
        <w:id w:val="4796714"/>
        <w:docPartObj>
          <w:docPartGallery w:val="Bibliographies"/>
          <w:docPartUnique/>
        </w:docPartObj>
      </w:sdtPr>
      <w:sdtContent>
        <w:p w14:paraId="53E75347" w14:textId="2F3ADC5D" w:rsidR="00D46ADA" w:rsidRDefault="00D46ADA">
          <w:pPr>
            <w:pStyle w:val="Heading1"/>
          </w:pPr>
          <w:r>
            <w:t>References</w:t>
          </w:r>
          <w:bookmarkEnd w:id="26"/>
        </w:p>
        <w:sdt>
          <w:sdtPr>
            <w:id w:val="-573587230"/>
            <w:bibliography/>
          </w:sdtPr>
          <w:sdtContent>
            <w:p w14:paraId="719D62A1" w14:textId="758BF035" w:rsidR="00175DC4" w:rsidRPr="00175DC4" w:rsidRDefault="00175DC4" w:rsidP="003E0E65">
              <w:r w:rsidRPr="00175DC4">
                <w:t xml:space="preserve">ANSYS, 2022. </w:t>
              </w:r>
              <w:r w:rsidRPr="00175DC4">
                <w:rPr>
                  <w:i/>
                  <w:iCs/>
                </w:rPr>
                <w:t>Forte User's Guide.</w:t>
              </w:r>
              <w:r w:rsidRPr="00175DC4">
                <w:t xml:space="preserve"> Canonsburg: ANSYS Inc.</w:t>
              </w:r>
            </w:p>
            <w:p w14:paraId="3DDDB512" w14:textId="55AF1170" w:rsidR="00175DC4" w:rsidRPr="00175DC4" w:rsidRDefault="00175DC4" w:rsidP="00175DC4">
              <w:pPr>
                <w:pStyle w:val="Bibliography"/>
              </w:pPr>
              <w:r w:rsidRPr="00175DC4">
                <w:t xml:space="preserve">Curran, H.J., </w:t>
              </w:r>
              <w:proofErr w:type="spellStart"/>
              <w:r w:rsidRPr="00175DC4">
                <w:t>Gaffuri</w:t>
              </w:r>
              <w:proofErr w:type="spellEnd"/>
              <w:r w:rsidRPr="00175DC4">
                <w:t xml:space="preserve">, P., Pitz, W.J. and Westbrook, C.K., 2007. A comprehensive </w:t>
              </w:r>
              <w:r w:rsidR="003E0E65" w:rsidRPr="00175DC4">
                <w:t>modelling</w:t>
              </w:r>
              <w:r w:rsidRPr="00175DC4">
                <w:t xml:space="preserve"> study of iso</w:t>
              </w:r>
              <w:r w:rsidR="00285F3C">
                <w:t xml:space="preserve"> </w:t>
              </w:r>
              <w:r w:rsidRPr="00175DC4">
                <w:t xml:space="preserve">octane oxidation. </w:t>
              </w:r>
              <w:r w:rsidRPr="00175DC4">
                <w:rPr>
                  <w:i/>
                  <w:iCs/>
                </w:rPr>
                <w:t>Combustion and Flame</w:t>
              </w:r>
              <w:r w:rsidRPr="00175DC4">
                <w:t>, 129(3), pp.253-280.</w:t>
              </w:r>
            </w:p>
            <w:p w14:paraId="7D7853AB" w14:textId="136AC0ED" w:rsidR="00175DC4" w:rsidRPr="00175DC4" w:rsidRDefault="00175DC4" w:rsidP="00175DC4">
              <w:pPr>
                <w:pStyle w:val="Bibliography"/>
              </w:pPr>
              <w:r w:rsidRPr="00175DC4">
                <w:t xml:space="preserve">García, A., Monsalve-Serrano, J. and Kolodziej, C., 2021. Challenges and opportunities of hydrogen combustion in ICEs. </w:t>
              </w:r>
              <w:r w:rsidRPr="00175DC4">
                <w:rPr>
                  <w:i/>
                  <w:iCs/>
                </w:rPr>
                <w:t>Energy Conversion and Management</w:t>
              </w:r>
              <w:r w:rsidRPr="00175DC4">
                <w:t>, 245, 114613.</w:t>
              </w:r>
            </w:p>
            <w:p w14:paraId="0C2EC90D" w14:textId="656D2E52" w:rsidR="00175DC4" w:rsidRPr="00175DC4" w:rsidRDefault="00175DC4" w:rsidP="00175DC4">
              <w:pPr>
                <w:pStyle w:val="Bibliography"/>
              </w:pPr>
              <w:r w:rsidRPr="00175DC4">
                <w:t xml:space="preserve">Heywood, J.B., 2018. </w:t>
              </w:r>
              <w:r w:rsidRPr="00175DC4">
                <w:rPr>
                  <w:i/>
                  <w:iCs/>
                </w:rPr>
                <w:t>Internal Combustion Engine Fundamentals.</w:t>
              </w:r>
              <w:r w:rsidRPr="00175DC4">
                <w:t xml:space="preserve"> 2nd ed. New York: McGraw</w:t>
              </w:r>
              <w:r w:rsidR="00285F3C">
                <w:t xml:space="preserve"> </w:t>
              </w:r>
              <w:r w:rsidRPr="00175DC4">
                <w:t>Hill Education.</w:t>
              </w:r>
            </w:p>
            <w:p w14:paraId="79E3A9FF" w14:textId="64E12ABE" w:rsidR="00175DC4" w:rsidRPr="00175DC4" w:rsidRDefault="00175DC4" w:rsidP="00175DC4">
              <w:pPr>
                <w:pStyle w:val="Bibliography"/>
              </w:pPr>
              <w:r w:rsidRPr="00175DC4">
                <w:t>Li, X., Wang, Z., Zhang, Q., et al., 2023. Flame acceleration and knock suppression in hydrogen</w:t>
              </w:r>
              <w:r w:rsidR="00285F3C">
                <w:t xml:space="preserve"> </w:t>
              </w:r>
              <w:r w:rsidRPr="00175DC4">
                <w:t>ammonia dual</w:t>
              </w:r>
              <w:r w:rsidR="00285F3C">
                <w:t xml:space="preserve"> </w:t>
              </w:r>
              <w:r w:rsidRPr="00175DC4">
                <w:t xml:space="preserve">fuel combustion. </w:t>
              </w:r>
              <w:r w:rsidRPr="00175DC4">
                <w:rPr>
                  <w:i/>
                  <w:iCs/>
                </w:rPr>
                <w:t>International Journal of Hydrogen Energy</w:t>
              </w:r>
              <w:r w:rsidRPr="00175DC4">
                <w:t>, 48(5), pp.2391–2403.</w:t>
              </w:r>
            </w:p>
            <w:p w14:paraId="2DFD9745" w14:textId="6AE55DD0" w:rsidR="00175DC4" w:rsidRPr="00175DC4" w:rsidRDefault="00175DC4" w:rsidP="00175DC4">
              <w:pPr>
                <w:pStyle w:val="Bibliography"/>
              </w:pPr>
              <w:r w:rsidRPr="00175DC4">
                <w:t xml:space="preserve">Milovanovic, N., </w:t>
              </w:r>
              <w:proofErr w:type="spellStart"/>
              <w:r w:rsidRPr="00175DC4">
                <w:t>Tunestal</w:t>
              </w:r>
              <w:proofErr w:type="spellEnd"/>
              <w:r w:rsidRPr="00175DC4">
                <w:t>, P. and Johansson, B., 2022. Combustion phasing and knock studies in hydrogen-</w:t>
              </w:r>
              <w:r w:rsidR="003E0E65" w:rsidRPr="00175DC4">
                <w:t>fuelled</w:t>
              </w:r>
              <w:r w:rsidRPr="00175DC4">
                <w:t xml:space="preserve"> engines. </w:t>
              </w:r>
              <w:r w:rsidRPr="00175DC4">
                <w:rPr>
                  <w:i/>
                  <w:iCs/>
                </w:rPr>
                <w:t>SAE International Journal of Engines</w:t>
              </w:r>
              <w:r w:rsidRPr="00175DC4">
                <w:t>, 15(4), pp.2004–2017.</w:t>
              </w:r>
            </w:p>
            <w:p w14:paraId="74A100D0" w14:textId="49131989" w:rsidR="00175DC4" w:rsidRPr="00175DC4" w:rsidRDefault="00175DC4" w:rsidP="00175DC4">
              <w:pPr>
                <w:pStyle w:val="Bibliography"/>
              </w:pPr>
              <w:r w:rsidRPr="00175DC4">
                <w:t xml:space="preserve">Verhelst, S., </w:t>
              </w:r>
              <w:proofErr w:type="spellStart"/>
              <w:r w:rsidRPr="00175DC4">
                <w:t>Rombaut</w:t>
              </w:r>
              <w:proofErr w:type="spellEnd"/>
              <w:r w:rsidRPr="00175DC4">
                <w:t xml:space="preserve">, N., Sierens, R. and </w:t>
              </w:r>
              <w:proofErr w:type="spellStart"/>
              <w:r w:rsidRPr="00175DC4">
                <w:t>Verstraeten</w:t>
              </w:r>
              <w:proofErr w:type="spellEnd"/>
              <w:r w:rsidRPr="00175DC4">
                <w:t xml:space="preserve">, S., 2019. Future trends in hydrogen internal combustion engines. </w:t>
              </w:r>
              <w:r w:rsidRPr="00175DC4">
                <w:rPr>
                  <w:i/>
                  <w:iCs/>
                </w:rPr>
                <w:t>International Journal of Hydrogen Energy</w:t>
              </w:r>
              <w:r w:rsidRPr="00175DC4">
                <w:t>, 44(15), pp.7781–7795.</w:t>
              </w:r>
            </w:p>
            <w:p w14:paraId="5FA92817" w14:textId="1BA41393" w:rsidR="00175DC4" w:rsidRPr="00175DC4" w:rsidRDefault="00175DC4" w:rsidP="00175DC4">
              <w:pPr>
                <w:pStyle w:val="Bibliography"/>
              </w:pPr>
              <w:r w:rsidRPr="00175DC4">
                <w:t xml:space="preserve">Wang, Y., Zuo, C. and Yang, J., 2021. Effects of hydrogen addition on flame dynamics in ammonia combustion. </w:t>
              </w:r>
              <w:r w:rsidRPr="00175DC4">
                <w:rPr>
                  <w:i/>
                  <w:iCs/>
                </w:rPr>
                <w:t>Fuel</w:t>
              </w:r>
              <w:r w:rsidRPr="00175DC4">
                <w:t>, 292, 120310.</w:t>
              </w:r>
            </w:p>
            <w:p w14:paraId="6C72AAB3" w14:textId="5A2ED4E7" w:rsidR="00D46ADA" w:rsidRDefault="00175DC4" w:rsidP="00175DC4">
              <w:pPr>
                <w:pStyle w:val="Bibliography"/>
              </w:pPr>
              <w:r w:rsidRPr="00175DC4">
                <w:t xml:space="preserve">Zhao, H., Liu, F., Ma, T. and Yang, S., 2020. Research on thermal NOx formation and reduction in internal combustion engines. </w:t>
              </w:r>
              <w:r w:rsidRPr="00175DC4">
                <w:rPr>
                  <w:i/>
                  <w:iCs/>
                </w:rPr>
                <w:t>Fuel</w:t>
              </w:r>
              <w:r w:rsidRPr="00175DC4">
                <w:t>, 275, 117844.</w:t>
              </w:r>
            </w:p>
          </w:sdtContent>
        </w:sdt>
      </w:sdtContent>
    </w:sdt>
    <w:p w14:paraId="59ADF1CD" w14:textId="75D932BF" w:rsidR="004176F4" w:rsidRDefault="004176F4" w:rsidP="00753ECF">
      <w:pPr>
        <w:pStyle w:val="Heading1"/>
      </w:pPr>
    </w:p>
    <w:sectPr w:rsidR="004176F4" w:rsidSect="00941845">
      <w:headerReference w:type="even" r:id="rId27"/>
      <w:headerReference w:type="default" r:id="rId28"/>
      <w:footerReference w:type="even" r:id="rId29"/>
      <w:footerReference w:type="default" r:id="rId30"/>
      <w:headerReference w:type="first" r:id="rId31"/>
      <w:footerReference w:type="first" r:id="rId32"/>
      <w:pgSz w:w="11906" w:h="16838" w:code="9"/>
      <w:pgMar w:top="-993" w:right="1440" w:bottom="709" w:left="1440"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86F32" w14:textId="77777777" w:rsidR="004B2C2D" w:rsidRDefault="004B2C2D" w:rsidP="00753ECF">
      <w:r>
        <w:separator/>
      </w:r>
    </w:p>
    <w:p w14:paraId="40EE8E3B" w14:textId="77777777" w:rsidR="004B2C2D" w:rsidRDefault="004B2C2D" w:rsidP="00753ECF"/>
    <w:p w14:paraId="1AD348B3" w14:textId="77777777" w:rsidR="004B2C2D" w:rsidRDefault="004B2C2D"/>
  </w:endnote>
  <w:endnote w:type="continuationSeparator" w:id="0">
    <w:p w14:paraId="1BCA0CC3" w14:textId="77777777" w:rsidR="004B2C2D" w:rsidRDefault="004B2C2D" w:rsidP="00753ECF">
      <w:r>
        <w:continuationSeparator/>
      </w:r>
    </w:p>
    <w:p w14:paraId="315843D2" w14:textId="77777777" w:rsidR="004B2C2D" w:rsidRDefault="004B2C2D" w:rsidP="00753ECF"/>
    <w:p w14:paraId="222EA4DC" w14:textId="77777777" w:rsidR="004B2C2D" w:rsidRDefault="004B2C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600E1" w14:textId="77777777" w:rsidR="00D034AA" w:rsidRDefault="00D034AA" w:rsidP="00753ECF">
    <w:pPr>
      <w:pStyle w:val="Footer"/>
    </w:pPr>
  </w:p>
  <w:p w14:paraId="430C8EBB" w14:textId="77777777" w:rsidR="00D034AA" w:rsidRDefault="00D034AA" w:rsidP="00753ECF"/>
  <w:p w14:paraId="6A68D7C8"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5663B" w14:textId="77777777" w:rsidR="00D034AA" w:rsidRPr="00EB148C" w:rsidRDefault="00BE196A" w:rsidP="00753ECF">
    <w:pPr>
      <w:pStyle w:val="Footer"/>
    </w:pPr>
    <w:r>
      <w:tab/>
    </w:r>
    <w:r w:rsidR="00F958C6">
      <w:t>MSc</w:t>
    </w:r>
    <w:r w:rsidR="008415B1">
      <w:t xml:space="preserve"> </w:t>
    </w:r>
    <w:r w:rsidR="009D4B5C">
      <w:t>Motorsport Engineering</w:t>
    </w:r>
    <w:r w:rsidR="00D034AA" w:rsidRPr="00EB148C">
      <w:ptab w:relativeTo="margin" w:alignment="right" w:leader="none"/>
    </w:r>
    <w:r w:rsidR="00D034AA" w:rsidRPr="00EB148C">
      <w:t xml:space="preserve">Page </w:t>
    </w:r>
    <w:r w:rsidR="00D034AA">
      <w:fldChar w:fldCharType="begin"/>
    </w:r>
    <w:r w:rsidR="00D034AA">
      <w:instrText xml:space="preserve"> PAGE   \* MERGEFORMAT </w:instrText>
    </w:r>
    <w:r w:rsidR="00D034AA">
      <w:fldChar w:fldCharType="separate"/>
    </w:r>
    <w:r w:rsidR="00355E96">
      <w:rPr>
        <w:noProof/>
      </w:rPr>
      <w:t>7</w:t>
    </w:r>
    <w:r w:rsidR="00D034AA">
      <w:rPr>
        <w:noProof/>
      </w:rPr>
      <w:fldChar w:fldCharType="end"/>
    </w:r>
  </w:p>
  <w:p w14:paraId="66CFCBC9" w14:textId="77777777" w:rsidR="00D034AA" w:rsidRDefault="00D034AA" w:rsidP="00753ECF">
    <w:pPr>
      <w:pStyle w:val="Footer"/>
    </w:pPr>
  </w:p>
  <w:p w14:paraId="4CC9BC81" w14:textId="77777777" w:rsidR="00D034AA" w:rsidRDefault="00D034AA" w:rsidP="00753ECF"/>
  <w:p w14:paraId="0D668EE1" w14:textId="77777777" w:rsidR="00000000" w:rsidRDefault="0000000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359C4" w14:textId="77777777" w:rsidR="00D034AA" w:rsidRDefault="00BE196A" w:rsidP="00753ECF">
    <w:pPr>
      <w:pStyle w:val="Footer"/>
    </w:pPr>
    <w:r>
      <w:tab/>
    </w:r>
    <w:r w:rsidR="00F958C6">
      <w:t>MSc</w:t>
    </w:r>
    <w:r w:rsidR="00355E96">
      <w:t xml:space="preserve"> </w:t>
    </w:r>
    <w:r w:rsidR="009D4B5C">
      <w:t>Motorsport Engineering</w:t>
    </w:r>
    <w:r>
      <w:t xml:space="preserve"> </w:t>
    </w:r>
  </w:p>
  <w:p w14:paraId="38879683" w14:textId="77777777" w:rsidR="00D034AA" w:rsidRDefault="00D034AA" w:rsidP="00753E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2A4D5" w14:textId="77777777" w:rsidR="004B2C2D" w:rsidRDefault="004B2C2D" w:rsidP="00753ECF">
      <w:r>
        <w:separator/>
      </w:r>
    </w:p>
    <w:p w14:paraId="1CDA3CF9" w14:textId="77777777" w:rsidR="004B2C2D" w:rsidRDefault="004B2C2D" w:rsidP="00753ECF"/>
    <w:p w14:paraId="7B61DBC5" w14:textId="77777777" w:rsidR="004B2C2D" w:rsidRDefault="004B2C2D"/>
  </w:footnote>
  <w:footnote w:type="continuationSeparator" w:id="0">
    <w:p w14:paraId="49EA9D40" w14:textId="77777777" w:rsidR="004B2C2D" w:rsidRDefault="004B2C2D" w:rsidP="00753ECF">
      <w:r>
        <w:continuationSeparator/>
      </w:r>
    </w:p>
    <w:p w14:paraId="489F8361" w14:textId="77777777" w:rsidR="004B2C2D" w:rsidRDefault="004B2C2D" w:rsidP="00753ECF"/>
    <w:p w14:paraId="2A8005FE" w14:textId="77777777" w:rsidR="004B2C2D" w:rsidRDefault="004B2C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64FB" w14:textId="77777777" w:rsidR="00D034AA" w:rsidRDefault="00D034AA" w:rsidP="00753ECF">
    <w:pPr>
      <w:pStyle w:val="Header"/>
    </w:pPr>
  </w:p>
  <w:p w14:paraId="116EB526" w14:textId="77777777" w:rsidR="00D034AA" w:rsidRDefault="00D034AA" w:rsidP="00753ECF"/>
  <w:p w14:paraId="564007F0"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E9A83" w14:textId="77777777" w:rsidR="00D034AA" w:rsidRDefault="00D034AA" w:rsidP="00753ECF">
    <w:pPr>
      <w:pStyle w:val="Header"/>
    </w:pPr>
  </w:p>
  <w:p w14:paraId="16DA6783" w14:textId="77777777" w:rsidR="00D034AA" w:rsidRDefault="00D034AA" w:rsidP="00753ECF"/>
  <w:p w14:paraId="7BAD352F" w14:textId="77777777" w:rsidR="00000000" w:rsidRDefault="000000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4F9D4" w14:textId="77777777" w:rsidR="00D034AA" w:rsidRDefault="00D034AA" w:rsidP="00753ECF">
    <w:pPr>
      <w:pStyle w:val="Header"/>
    </w:pPr>
  </w:p>
  <w:p w14:paraId="14911F8C" w14:textId="77777777" w:rsidR="00D034AA" w:rsidRDefault="00D034AA" w:rsidP="00753E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F2A12"/>
    <w:multiLevelType w:val="multilevel"/>
    <w:tmpl w:val="6250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B7DBB"/>
    <w:multiLevelType w:val="hybridMultilevel"/>
    <w:tmpl w:val="8C94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8577A"/>
    <w:multiLevelType w:val="multilevel"/>
    <w:tmpl w:val="61F6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74F74"/>
    <w:multiLevelType w:val="hybridMultilevel"/>
    <w:tmpl w:val="BF14D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06344"/>
    <w:multiLevelType w:val="hybridMultilevel"/>
    <w:tmpl w:val="F2484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2F186D"/>
    <w:multiLevelType w:val="hybridMultilevel"/>
    <w:tmpl w:val="15D86AE0"/>
    <w:lvl w:ilvl="0" w:tplc="93C4494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405490"/>
    <w:multiLevelType w:val="hybridMultilevel"/>
    <w:tmpl w:val="A99C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5B35DA"/>
    <w:multiLevelType w:val="hybridMultilevel"/>
    <w:tmpl w:val="F956F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D62E0C"/>
    <w:multiLevelType w:val="hybridMultilevel"/>
    <w:tmpl w:val="1248A0D6"/>
    <w:lvl w:ilvl="0" w:tplc="4688365A">
      <w:start w:val="1"/>
      <w:numFmt w:val="decimal"/>
      <w:pStyle w:val="Paragraph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934383B"/>
    <w:multiLevelType w:val="hybridMultilevel"/>
    <w:tmpl w:val="E368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E64BB"/>
    <w:multiLevelType w:val="multilevel"/>
    <w:tmpl w:val="43D4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182FE9"/>
    <w:multiLevelType w:val="multilevel"/>
    <w:tmpl w:val="5F50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1B2710"/>
    <w:multiLevelType w:val="hybridMultilevel"/>
    <w:tmpl w:val="A218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35E1E"/>
    <w:multiLevelType w:val="hybridMultilevel"/>
    <w:tmpl w:val="0ED8C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C91452"/>
    <w:multiLevelType w:val="hybridMultilevel"/>
    <w:tmpl w:val="A210E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A832EA"/>
    <w:multiLevelType w:val="multilevel"/>
    <w:tmpl w:val="D7C42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436705"/>
    <w:multiLevelType w:val="hybridMultilevel"/>
    <w:tmpl w:val="1100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1F2E37"/>
    <w:multiLevelType w:val="multilevel"/>
    <w:tmpl w:val="4798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880227"/>
    <w:multiLevelType w:val="hybridMultilevel"/>
    <w:tmpl w:val="9C90B0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775E2890"/>
    <w:multiLevelType w:val="hybridMultilevel"/>
    <w:tmpl w:val="ADFE6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6594669">
    <w:abstractNumId w:val="8"/>
  </w:num>
  <w:num w:numId="2" w16cid:durableId="357200400">
    <w:abstractNumId w:val="7"/>
  </w:num>
  <w:num w:numId="3" w16cid:durableId="931360020">
    <w:abstractNumId w:val="9"/>
  </w:num>
  <w:num w:numId="4" w16cid:durableId="1796368622">
    <w:abstractNumId w:val="6"/>
  </w:num>
  <w:num w:numId="5" w16cid:durableId="1481580783">
    <w:abstractNumId w:val="12"/>
  </w:num>
  <w:num w:numId="6" w16cid:durableId="54358570">
    <w:abstractNumId w:val="16"/>
  </w:num>
  <w:num w:numId="7" w16cid:durableId="2098481456">
    <w:abstractNumId w:val="18"/>
  </w:num>
  <w:num w:numId="8" w16cid:durableId="1742481111">
    <w:abstractNumId w:val="13"/>
  </w:num>
  <w:num w:numId="9" w16cid:durableId="996111091">
    <w:abstractNumId w:val="11"/>
  </w:num>
  <w:num w:numId="10" w16cid:durableId="1408379988">
    <w:abstractNumId w:val="17"/>
  </w:num>
  <w:num w:numId="11" w16cid:durableId="469054913">
    <w:abstractNumId w:val="10"/>
  </w:num>
  <w:num w:numId="12" w16cid:durableId="1286691647">
    <w:abstractNumId w:val="15"/>
  </w:num>
  <w:num w:numId="13" w16cid:durableId="362559046">
    <w:abstractNumId w:val="14"/>
  </w:num>
  <w:num w:numId="14" w16cid:durableId="387269313">
    <w:abstractNumId w:val="4"/>
  </w:num>
  <w:num w:numId="15" w16cid:durableId="1251234684">
    <w:abstractNumId w:val="19"/>
  </w:num>
  <w:num w:numId="16" w16cid:durableId="1969386506">
    <w:abstractNumId w:val="2"/>
  </w:num>
  <w:num w:numId="17" w16cid:durableId="1434785243">
    <w:abstractNumId w:val="0"/>
  </w:num>
  <w:num w:numId="18" w16cid:durableId="1806505742">
    <w:abstractNumId w:val="3"/>
  </w:num>
  <w:num w:numId="19" w16cid:durableId="303582917">
    <w:abstractNumId w:val="1"/>
  </w:num>
  <w:num w:numId="20" w16cid:durableId="57897641">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694"/>
    <w:rsid w:val="00002C8D"/>
    <w:rsid w:val="00003A47"/>
    <w:rsid w:val="00007024"/>
    <w:rsid w:val="00007810"/>
    <w:rsid w:val="00010FEC"/>
    <w:rsid w:val="000121AC"/>
    <w:rsid w:val="00014E78"/>
    <w:rsid w:val="00016E8A"/>
    <w:rsid w:val="00016FA9"/>
    <w:rsid w:val="00017260"/>
    <w:rsid w:val="00017A32"/>
    <w:rsid w:val="00017BDA"/>
    <w:rsid w:val="00021B54"/>
    <w:rsid w:val="00021B8A"/>
    <w:rsid w:val="000222AB"/>
    <w:rsid w:val="0002259B"/>
    <w:rsid w:val="000230B7"/>
    <w:rsid w:val="000236C6"/>
    <w:rsid w:val="0002407A"/>
    <w:rsid w:val="0002488D"/>
    <w:rsid w:val="0002496E"/>
    <w:rsid w:val="00025848"/>
    <w:rsid w:val="00027A08"/>
    <w:rsid w:val="00032648"/>
    <w:rsid w:val="00033F55"/>
    <w:rsid w:val="00035F1A"/>
    <w:rsid w:val="00037A4F"/>
    <w:rsid w:val="0004015C"/>
    <w:rsid w:val="00040232"/>
    <w:rsid w:val="00040368"/>
    <w:rsid w:val="000403E2"/>
    <w:rsid w:val="000414C2"/>
    <w:rsid w:val="00042482"/>
    <w:rsid w:val="000432B9"/>
    <w:rsid w:val="000479FA"/>
    <w:rsid w:val="00047E0A"/>
    <w:rsid w:val="0005151D"/>
    <w:rsid w:val="00051AB0"/>
    <w:rsid w:val="00052376"/>
    <w:rsid w:val="00056C29"/>
    <w:rsid w:val="0006193C"/>
    <w:rsid w:val="00063E6B"/>
    <w:rsid w:val="0006473C"/>
    <w:rsid w:val="000652E4"/>
    <w:rsid w:val="0006590F"/>
    <w:rsid w:val="00066B30"/>
    <w:rsid w:val="00067382"/>
    <w:rsid w:val="00070A9B"/>
    <w:rsid w:val="00071104"/>
    <w:rsid w:val="00071929"/>
    <w:rsid w:val="00071D55"/>
    <w:rsid w:val="00072247"/>
    <w:rsid w:val="00072F3B"/>
    <w:rsid w:val="00074812"/>
    <w:rsid w:val="00075DAA"/>
    <w:rsid w:val="0007643F"/>
    <w:rsid w:val="00077AD9"/>
    <w:rsid w:val="00081DE3"/>
    <w:rsid w:val="000846F9"/>
    <w:rsid w:val="00084911"/>
    <w:rsid w:val="000849BB"/>
    <w:rsid w:val="0008690D"/>
    <w:rsid w:val="00087638"/>
    <w:rsid w:val="0009024D"/>
    <w:rsid w:val="000906D8"/>
    <w:rsid w:val="00090B0C"/>
    <w:rsid w:val="00092536"/>
    <w:rsid w:val="000937DE"/>
    <w:rsid w:val="00095F52"/>
    <w:rsid w:val="0009641C"/>
    <w:rsid w:val="000965EE"/>
    <w:rsid w:val="000A2257"/>
    <w:rsid w:val="000A2A1C"/>
    <w:rsid w:val="000A5586"/>
    <w:rsid w:val="000A57A2"/>
    <w:rsid w:val="000A687E"/>
    <w:rsid w:val="000A6995"/>
    <w:rsid w:val="000A6C2D"/>
    <w:rsid w:val="000A6F99"/>
    <w:rsid w:val="000B0BD2"/>
    <w:rsid w:val="000B1027"/>
    <w:rsid w:val="000B1715"/>
    <w:rsid w:val="000B1A40"/>
    <w:rsid w:val="000B2414"/>
    <w:rsid w:val="000B28DF"/>
    <w:rsid w:val="000B2B19"/>
    <w:rsid w:val="000B30FC"/>
    <w:rsid w:val="000B32A2"/>
    <w:rsid w:val="000B33A8"/>
    <w:rsid w:val="000B3528"/>
    <w:rsid w:val="000B482B"/>
    <w:rsid w:val="000B65D6"/>
    <w:rsid w:val="000C00ED"/>
    <w:rsid w:val="000C080F"/>
    <w:rsid w:val="000C10E1"/>
    <w:rsid w:val="000C1518"/>
    <w:rsid w:val="000C34A9"/>
    <w:rsid w:val="000C38AC"/>
    <w:rsid w:val="000C3CB8"/>
    <w:rsid w:val="000C4C32"/>
    <w:rsid w:val="000C5161"/>
    <w:rsid w:val="000C5AFD"/>
    <w:rsid w:val="000C7BCE"/>
    <w:rsid w:val="000D0447"/>
    <w:rsid w:val="000D08CC"/>
    <w:rsid w:val="000D1C28"/>
    <w:rsid w:val="000D2227"/>
    <w:rsid w:val="000D2ACC"/>
    <w:rsid w:val="000D3339"/>
    <w:rsid w:val="000D46C3"/>
    <w:rsid w:val="000D4A70"/>
    <w:rsid w:val="000D4AA3"/>
    <w:rsid w:val="000D6FE3"/>
    <w:rsid w:val="000D70FC"/>
    <w:rsid w:val="000E031B"/>
    <w:rsid w:val="000E182F"/>
    <w:rsid w:val="000E2428"/>
    <w:rsid w:val="000E2EEC"/>
    <w:rsid w:val="000E32D5"/>
    <w:rsid w:val="000E4023"/>
    <w:rsid w:val="000E5FBE"/>
    <w:rsid w:val="000E60D3"/>
    <w:rsid w:val="000E6197"/>
    <w:rsid w:val="000F173E"/>
    <w:rsid w:val="000F2FAF"/>
    <w:rsid w:val="000F3880"/>
    <w:rsid w:val="000F4938"/>
    <w:rsid w:val="000F4F93"/>
    <w:rsid w:val="00100D8A"/>
    <w:rsid w:val="00101504"/>
    <w:rsid w:val="0010151E"/>
    <w:rsid w:val="00102A3D"/>
    <w:rsid w:val="00103613"/>
    <w:rsid w:val="00103E60"/>
    <w:rsid w:val="00103F0B"/>
    <w:rsid w:val="00104C38"/>
    <w:rsid w:val="00105E07"/>
    <w:rsid w:val="00106462"/>
    <w:rsid w:val="00106F86"/>
    <w:rsid w:val="0010727D"/>
    <w:rsid w:val="00107B4A"/>
    <w:rsid w:val="00107FAB"/>
    <w:rsid w:val="00110B77"/>
    <w:rsid w:val="00110F2E"/>
    <w:rsid w:val="001112AB"/>
    <w:rsid w:val="001114B6"/>
    <w:rsid w:val="00115655"/>
    <w:rsid w:val="00115899"/>
    <w:rsid w:val="001158E5"/>
    <w:rsid w:val="0011623E"/>
    <w:rsid w:val="0011668E"/>
    <w:rsid w:val="00116EA6"/>
    <w:rsid w:val="001208E8"/>
    <w:rsid w:val="00124409"/>
    <w:rsid w:val="0012487E"/>
    <w:rsid w:val="00127093"/>
    <w:rsid w:val="00127A70"/>
    <w:rsid w:val="00127DC6"/>
    <w:rsid w:val="00130360"/>
    <w:rsid w:val="00131A68"/>
    <w:rsid w:val="00132122"/>
    <w:rsid w:val="0013246E"/>
    <w:rsid w:val="0013378E"/>
    <w:rsid w:val="001346EB"/>
    <w:rsid w:val="00136EAB"/>
    <w:rsid w:val="001400F6"/>
    <w:rsid w:val="00140670"/>
    <w:rsid w:val="0014123F"/>
    <w:rsid w:val="001422EC"/>
    <w:rsid w:val="00143154"/>
    <w:rsid w:val="001477D5"/>
    <w:rsid w:val="00147B7B"/>
    <w:rsid w:val="0015052F"/>
    <w:rsid w:val="00151450"/>
    <w:rsid w:val="00153490"/>
    <w:rsid w:val="0015438B"/>
    <w:rsid w:val="00154756"/>
    <w:rsid w:val="00154EBE"/>
    <w:rsid w:val="0015520C"/>
    <w:rsid w:val="00156595"/>
    <w:rsid w:val="00160036"/>
    <w:rsid w:val="00161401"/>
    <w:rsid w:val="00165762"/>
    <w:rsid w:val="001657CC"/>
    <w:rsid w:val="00165A0C"/>
    <w:rsid w:val="00167C6E"/>
    <w:rsid w:val="00170F96"/>
    <w:rsid w:val="001718F8"/>
    <w:rsid w:val="001719DB"/>
    <w:rsid w:val="00172E88"/>
    <w:rsid w:val="001732C3"/>
    <w:rsid w:val="0017489F"/>
    <w:rsid w:val="001749F9"/>
    <w:rsid w:val="00175096"/>
    <w:rsid w:val="00175DC4"/>
    <w:rsid w:val="00176CB6"/>
    <w:rsid w:val="001811E6"/>
    <w:rsid w:val="00181F9B"/>
    <w:rsid w:val="00182D82"/>
    <w:rsid w:val="00182F18"/>
    <w:rsid w:val="00183340"/>
    <w:rsid w:val="001833C2"/>
    <w:rsid w:val="0018629A"/>
    <w:rsid w:val="001863F5"/>
    <w:rsid w:val="00187C5D"/>
    <w:rsid w:val="00191C09"/>
    <w:rsid w:val="00193445"/>
    <w:rsid w:val="00193D10"/>
    <w:rsid w:val="001941EB"/>
    <w:rsid w:val="00194664"/>
    <w:rsid w:val="00194863"/>
    <w:rsid w:val="001967DC"/>
    <w:rsid w:val="00197158"/>
    <w:rsid w:val="0019786B"/>
    <w:rsid w:val="001A29C4"/>
    <w:rsid w:val="001A338D"/>
    <w:rsid w:val="001A3481"/>
    <w:rsid w:val="001A4CBC"/>
    <w:rsid w:val="001A4CF4"/>
    <w:rsid w:val="001A6AB1"/>
    <w:rsid w:val="001A73F1"/>
    <w:rsid w:val="001A7678"/>
    <w:rsid w:val="001A7D15"/>
    <w:rsid w:val="001B14B9"/>
    <w:rsid w:val="001B3F48"/>
    <w:rsid w:val="001B3F55"/>
    <w:rsid w:val="001B4B18"/>
    <w:rsid w:val="001B531D"/>
    <w:rsid w:val="001B5A64"/>
    <w:rsid w:val="001B6429"/>
    <w:rsid w:val="001C0AD0"/>
    <w:rsid w:val="001C1150"/>
    <w:rsid w:val="001C3483"/>
    <w:rsid w:val="001C50F8"/>
    <w:rsid w:val="001C6D0A"/>
    <w:rsid w:val="001D0138"/>
    <w:rsid w:val="001D5A38"/>
    <w:rsid w:val="001D64D7"/>
    <w:rsid w:val="001D6EE7"/>
    <w:rsid w:val="001E0485"/>
    <w:rsid w:val="001E305B"/>
    <w:rsid w:val="001E3482"/>
    <w:rsid w:val="001E405C"/>
    <w:rsid w:val="001E5BE1"/>
    <w:rsid w:val="001E6BA2"/>
    <w:rsid w:val="001E6C6B"/>
    <w:rsid w:val="001E783D"/>
    <w:rsid w:val="001F081B"/>
    <w:rsid w:val="001F0A3D"/>
    <w:rsid w:val="001F0FAE"/>
    <w:rsid w:val="001F11D8"/>
    <w:rsid w:val="001F11F9"/>
    <w:rsid w:val="001F1204"/>
    <w:rsid w:val="001F3AA1"/>
    <w:rsid w:val="001F3C59"/>
    <w:rsid w:val="001F3D61"/>
    <w:rsid w:val="001F40D8"/>
    <w:rsid w:val="001F5784"/>
    <w:rsid w:val="001F7895"/>
    <w:rsid w:val="001F7BC1"/>
    <w:rsid w:val="002019AA"/>
    <w:rsid w:val="00203694"/>
    <w:rsid w:val="00203DFB"/>
    <w:rsid w:val="00205B74"/>
    <w:rsid w:val="00206744"/>
    <w:rsid w:val="00207257"/>
    <w:rsid w:val="00210B84"/>
    <w:rsid w:val="0021247F"/>
    <w:rsid w:val="00212BF5"/>
    <w:rsid w:val="00212F7D"/>
    <w:rsid w:val="0021340B"/>
    <w:rsid w:val="002143CF"/>
    <w:rsid w:val="0021490D"/>
    <w:rsid w:val="00214961"/>
    <w:rsid w:val="00214A59"/>
    <w:rsid w:val="0021516B"/>
    <w:rsid w:val="002153E8"/>
    <w:rsid w:val="00216216"/>
    <w:rsid w:val="00217175"/>
    <w:rsid w:val="0021722C"/>
    <w:rsid w:val="002175BA"/>
    <w:rsid w:val="0022093B"/>
    <w:rsid w:val="00220EC7"/>
    <w:rsid w:val="002255A6"/>
    <w:rsid w:val="00225CAD"/>
    <w:rsid w:val="002268ED"/>
    <w:rsid w:val="00232C8F"/>
    <w:rsid w:val="00236613"/>
    <w:rsid w:val="00241215"/>
    <w:rsid w:val="0024132E"/>
    <w:rsid w:val="0024193E"/>
    <w:rsid w:val="00241D1E"/>
    <w:rsid w:val="00241F9D"/>
    <w:rsid w:val="0024214A"/>
    <w:rsid w:val="00243831"/>
    <w:rsid w:val="00245B66"/>
    <w:rsid w:val="00246222"/>
    <w:rsid w:val="00247824"/>
    <w:rsid w:val="00247BEF"/>
    <w:rsid w:val="00251F16"/>
    <w:rsid w:val="00255D88"/>
    <w:rsid w:val="002561F2"/>
    <w:rsid w:val="00257247"/>
    <w:rsid w:val="002572B8"/>
    <w:rsid w:val="00257FE4"/>
    <w:rsid w:val="00260FD2"/>
    <w:rsid w:val="00261AC0"/>
    <w:rsid w:val="00262506"/>
    <w:rsid w:val="00262699"/>
    <w:rsid w:val="002626B4"/>
    <w:rsid w:val="0026288E"/>
    <w:rsid w:val="002634CB"/>
    <w:rsid w:val="00265719"/>
    <w:rsid w:val="00265B94"/>
    <w:rsid w:val="0026604F"/>
    <w:rsid w:val="00266420"/>
    <w:rsid w:val="0026664A"/>
    <w:rsid w:val="0026698E"/>
    <w:rsid w:val="002670D9"/>
    <w:rsid w:val="002672BA"/>
    <w:rsid w:val="00267B69"/>
    <w:rsid w:val="00270CB1"/>
    <w:rsid w:val="00272520"/>
    <w:rsid w:val="002732A1"/>
    <w:rsid w:val="00273F1C"/>
    <w:rsid w:val="0027448B"/>
    <w:rsid w:val="002753FC"/>
    <w:rsid w:val="00275C6F"/>
    <w:rsid w:val="002764D5"/>
    <w:rsid w:val="00276A76"/>
    <w:rsid w:val="002806F4"/>
    <w:rsid w:val="00284E36"/>
    <w:rsid w:val="00285F3C"/>
    <w:rsid w:val="00286AF0"/>
    <w:rsid w:val="00287141"/>
    <w:rsid w:val="002903BA"/>
    <w:rsid w:val="00292897"/>
    <w:rsid w:val="002933B7"/>
    <w:rsid w:val="00293E56"/>
    <w:rsid w:val="002955D6"/>
    <w:rsid w:val="00295684"/>
    <w:rsid w:val="00296145"/>
    <w:rsid w:val="00296C32"/>
    <w:rsid w:val="002A0310"/>
    <w:rsid w:val="002A120E"/>
    <w:rsid w:val="002A12AB"/>
    <w:rsid w:val="002A190F"/>
    <w:rsid w:val="002A296B"/>
    <w:rsid w:val="002A2980"/>
    <w:rsid w:val="002A2B7B"/>
    <w:rsid w:val="002A4888"/>
    <w:rsid w:val="002A4D3B"/>
    <w:rsid w:val="002A6C80"/>
    <w:rsid w:val="002B2ABF"/>
    <w:rsid w:val="002B32A8"/>
    <w:rsid w:val="002B44B0"/>
    <w:rsid w:val="002B7132"/>
    <w:rsid w:val="002C2A13"/>
    <w:rsid w:val="002C2F57"/>
    <w:rsid w:val="002C34A8"/>
    <w:rsid w:val="002C5327"/>
    <w:rsid w:val="002C5793"/>
    <w:rsid w:val="002C5DC0"/>
    <w:rsid w:val="002D003B"/>
    <w:rsid w:val="002D0A47"/>
    <w:rsid w:val="002D0E49"/>
    <w:rsid w:val="002D1567"/>
    <w:rsid w:val="002D1CB8"/>
    <w:rsid w:val="002D294A"/>
    <w:rsid w:val="002D2E92"/>
    <w:rsid w:val="002D2FFC"/>
    <w:rsid w:val="002D3754"/>
    <w:rsid w:val="002D464C"/>
    <w:rsid w:val="002D4CE8"/>
    <w:rsid w:val="002D571F"/>
    <w:rsid w:val="002D5E69"/>
    <w:rsid w:val="002D5ED3"/>
    <w:rsid w:val="002D5FD3"/>
    <w:rsid w:val="002D61A0"/>
    <w:rsid w:val="002D7759"/>
    <w:rsid w:val="002D7AF2"/>
    <w:rsid w:val="002E1575"/>
    <w:rsid w:val="002E178F"/>
    <w:rsid w:val="002E1FA5"/>
    <w:rsid w:val="002E272F"/>
    <w:rsid w:val="002E3687"/>
    <w:rsid w:val="002E6B64"/>
    <w:rsid w:val="002F08DE"/>
    <w:rsid w:val="002F113B"/>
    <w:rsid w:val="002F1D47"/>
    <w:rsid w:val="002F4624"/>
    <w:rsid w:val="002F5347"/>
    <w:rsid w:val="002F7037"/>
    <w:rsid w:val="002F793D"/>
    <w:rsid w:val="002F7C62"/>
    <w:rsid w:val="00300FE4"/>
    <w:rsid w:val="0030570E"/>
    <w:rsid w:val="00305AB0"/>
    <w:rsid w:val="00306A4F"/>
    <w:rsid w:val="003103B1"/>
    <w:rsid w:val="00311B47"/>
    <w:rsid w:val="00314903"/>
    <w:rsid w:val="0031527D"/>
    <w:rsid w:val="00316441"/>
    <w:rsid w:val="0032114D"/>
    <w:rsid w:val="00321D8C"/>
    <w:rsid w:val="0032222A"/>
    <w:rsid w:val="00322457"/>
    <w:rsid w:val="00323BF9"/>
    <w:rsid w:val="00324B5E"/>
    <w:rsid w:val="00324C99"/>
    <w:rsid w:val="00325E4C"/>
    <w:rsid w:val="00326E52"/>
    <w:rsid w:val="00327057"/>
    <w:rsid w:val="00331E72"/>
    <w:rsid w:val="00332049"/>
    <w:rsid w:val="0033259A"/>
    <w:rsid w:val="00332734"/>
    <w:rsid w:val="00332936"/>
    <w:rsid w:val="00333247"/>
    <w:rsid w:val="00334304"/>
    <w:rsid w:val="00337ACC"/>
    <w:rsid w:val="00337F4D"/>
    <w:rsid w:val="003401F8"/>
    <w:rsid w:val="00341435"/>
    <w:rsid w:val="00343848"/>
    <w:rsid w:val="00344631"/>
    <w:rsid w:val="00346FD4"/>
    <w:rsid w:val="00347B5D"/>
    <w:rsid w:val="00353359"/>
    <w:rsid w:val="003539A6"/>
    <w:rsid w:val="00354938"/>
    <w:rsid w:val="00355BDD"/>
    <w:rsid w:val="00355E96"/>
    <w:rsid w:val="003562BE"/>
    <w:rsid w:val="003608D1"/>
    <w:rsid w:val="0036117C"/>
    <w:rsid w:val="00361D4F"/>
    <w:rsid w:val="00361ED6"/>
    <w:rsid w:val="003638BA"/>
    <w:rsid w:val="00363B45"/>
    <w:rsid w:val="00363CFC"/>
    <w:rsid w:val="00364F09"/>
    <w:rsid w:val="00364F60"/>
    <w:rsid w:val="003667BD"/>
    <w:rsid w:val="00371AFC"/>
    <w:rsid w:val="00372B2B"/>
    <w:rsid w:val="003734CD"/>
    <w:rsid w:val="00373774"/>
    <w:rsid w:val="003737B7"/>
    <w:rsid w:val="00373AFA"/>
    <w:rsid w:val="003742FF"/>
    <w:rsid w:val="00374F27"/>
    <w:rsid w:val="00376D2C"/>
    <w:rsid w:val="00377424"/>
    <w:rsid w:val="00380600"/>
    <w:rsid w:val="0038081D"/>
    <w:rsid w:val="00380ED8"/>
    <w:rsid w:val="00381597"/>
    <w:rsid w:val="0038226C"/>
    <w:rsid w:val="003822EB"/>
    <w:rsid w:val="00383F86"/>
    <w:rsid w:val="00384926"/>
    <w:rsid w:val="00384CD8"/>
    <w:rsid w:val="003850D6"/>
    <w:rsid w:val="0038526B"/>
    <w:rsid w:val="003918C9"/>
    <w:rsid w:val="00393AE2"/>
    <w:rsid w:val="003949CB"/>
    <w:rsid w:val="00394C39"/>
    <w:rsid w:val="00396AD2"/>
    <w:rsid w:val="00396DA4"/>
    <w:rsid w:val="00397A54"/>
    <w:rsid w:val="00397FB1"/>
    <w:rsid w:val="003A0313"/>
    <w:rsid w:val="003A15DC"/>
    <w:rsid w:val="003A176F"/>
    <w:rsid w:val="003A29E0"/>
    <w:rsid w:val="003A2D8F"/>
    <w:rsid w:val="003A4F17"/>
    <w:rsid w:val="003A524E"/>
    <w:rsid w:val="003A5CD3"/>
    <w:rsid w:val="003A7B67"/>
    <w:rsid w:val="003B280C"/>
    <w:rsid w:val="003B4361"/>
    <w:rsid w:val="003B65B6"/>
    <w:rsid w:val="003B69A3"/>
    <w:rsid w:val="003B6D02"/>
    <w:rsid w:val="003B71A0"/>
    <w:rsid w:val="003B727C"/>
    <w:rsid w:val="003B7810"/>
    <w:rsid w:val="003B7ACC"/>
    <w:rsid w:val="003C2420"/>
    <w:rsid w:val="003C2DD3"/>
    <w:rsid w:val="003C3B63"/>
    <w:rsid w:val="003C6435"/>
    <w:rsid w:val="003C6854"/>
    <w:rsid w:val="003D132C"/>
    <w:rsid w:val="003D490F"/>
    <w:rsid w:val="003D5050"/>
    <w:rsid w:val="003D57B3"/>
    <w:rsid w:val="003D69D3"/>
    <w:rsid w:val="003D6F34"/>
    <w:rsid w:val="003D7654"/>
    <w:rsid w:val="003D76BD"/>
    <w:rsid w:val="003D7B63"/>
    <w:rsid w:val="003E075E"/>
    <w:rsid w:val="003E0E13"/>
    <w:rsid w:val="003E0E65"/>
    <w:rsid w:val="003E13EF"/>
    <w:rsid w:val="003E1F22"/>
    <w:rsid w:val="003E30B1"/>
    <w:rsid w:val="003E3929"/>
    <w:rsid w:val="003E4988"/>
    <w:rsid w:val="003E4D61"/>
    <w:rsid w:val="003E5A5E"/>
    <w:rsid w:val="003F06A8"/>
    <w:rsid w:val="003F1154"/>
    <w:rsid w:val="003F331D"/>
    <w:rsid w:val="003F5037"/>
    <w:rsid w:val="003F71C9"/>
    <w:rsid w:val="003F7E94"/>
    <w:rsid w:val="0040011F"/>
    <w:rsid w:val="00401A38"/>
    <w:rsid w:val="00401D30"/>
    <w:rsid w:val="004042FE"/>
    <w:rsid w:val="00407E0C"/>
    <w:rsid w:val="004117C6"/>
    <w:rsid w:val="00411E78"/>
    <w:rsid w:val="00412912"/>
    <w:rsid w:val="004142A5"/>
    <w:rsid w:val="004150D8"/>
    <w:rsid w:val="004153C9"/>
    <w:rsid w:val="00415C07"/>
    <w:rsid w:val="004176F4"/>
    <w:rsid w:val="00420E14"/>
    <w:rsid w:val="00420F5C"/>
    <w:rsid w:val="00422A8C"/>
    <w:rsid w:val="00422D5A"/>
    <w:rsid w:val="004248C5"/>
    <w:rsid w:val="00424EEE"/>
    <w:rsid w:val="004251CB"/>
    <w:rsid w:val="00425290"/>
    <w:rsid w:val="00425D1A"/>
    <w:rsid w:val="004269B0"/>
    <w:rsid w:val="0042743F"/>
    <w:rsid w:val="00427D44"/>
    <w:rsid w:val="004317E8"/>
    <w:rsid w:val="00431A2E"/>
    <w:rsid w:val="00432178"/>
    <w:rsid w:val="00432288"/>
    <w:rsid w:val="00432629"/>
    <w:rsid w:val="00432D5C"/>
    <w:rsid w:val="004331BD"/>
    <w:rsid w:val="004356F3"/>
    <w:rsid w:val="0043733C"/>
    <w:rsid w:val="00437C5B"/>
    <w:rsid w:val="00441E5A"/>
    <w:rsid w:val="00442190"/>
    <w:rsid w:val="00442374"/>
    <w:rsid w:val="0044255F"/>
    <w:rsid w:val="00442BDF"/>
    <w:rsid w:val="00442F49"/>
    <w:rsid w:val="00445109"/>
    <w:rsid w:val="00446125"/>
    <w:rsid w:val="004466E2"/>
    <w:rsid w:val="00447452"/>
    <w:rsid w:val="004477BC"/>
    <w:rsid w:val="0045040A"/>
    <w:rsid w:val="0045228D"/>
    <w:rsid w:val="00452742"/>
    <w:rsid w:val="00453A0F"/>
    <w:rsid w:val="004548AC"/>
    <w:rsid w:val="004551FA"/>
    <w:rsid w:val="004553D3"/>
    <w:rsid w:val="00455502"/>
    <w:rsid w:val="004555C8"/>
    <w:rsid w:val="00456646"/>
    <w:rsid w:val="00456C1E"/>
    <w:rsid w:val="004574A7"/>
    <w:rsid w:val="00460141"/>
    <w:rsid w:val="0046054E"/>
    <w:rsid w:val="004616F7"/>
    <w:rsid w:val="00461F83"/>
    <w:rsid w:val="00462A7F"/>
    <w:rsid w:val="004644B8"/>
    <w:rsid w:val="004663A8"/>
    <w:rsid w:val="00466936"/>
    <w:rsid w:val="0047080F"/>
    <w:rsid w:val="004710CB"/>
    <w:rsid w:val="0047411A"/>
    <w:rsid w:val="004741B9"/>
    <w:rsid w:val="0047502F"/>
    <w:rsid w:val="00475969"/>
    <w:rsid w:val="00477A1A"/>
    <w:rsid w:val="00480B6E"/>
    <w:rsid w:val="004812E7"/>
    <w:rsid w:val="00481F42"/>
    <w:rsid w:val="004841D6"/>
    <w:rsid w:val="00485B4A"/>
    <w:rsid w:val="00485DEE"/>
    <w:rsid w:val="004862E8"/>
    <w:rsid w:val="0048716D"/>
    <w:rsid w:val="004874AC"/>
    <w:rsid w:val="0048760B"/>
    <w:rsid w:val="0049041B"/>
    <w:rsid w:val="00491C7C"/>
    <w:rsid w:val="00494151"/>
    <w:rsid w:val="00497BD7"/>
    <w:rsid w:val="004A295F"/>
    <w:rsid w:val="004A324D"/>
    <w:rsid w:val="004A4F30"/>
    <w:rsid w:val="004A6DA3"/>
    <w:rsid w:val="004B0391"/>
    <w:rsid w:val="004B0669"/>
    <w:rsid w:val="004B2C2D"/>
    <w:rsid w:val="004B3D84"/>
    <w:rsid w:val="004B7BBC"/>
    <w:rsid w:val="004C0711"/>
    <w:rsid w:val="004C2A6C"/>
    <w:rsid w:val="004C3FFC"/>
    <w:rsid w:val="004C5044"/>
    <w:rsid w:val="004C6146"/>
    <w:rsid w:val="004C677D"/>
    <w:rsid w:val="004C773E"/>
    <w:rsid w:val="004C79D2"/>
    <w:rsid w:val="004D2A02"/>
    <w:rsid w:val="004D4221"/>
    <w:rsid w:val="004D7244"/>
    <w:rsid w:val="004D761A"/>
    <w:rsid w:val="004E118C"/>
    <w:rsid w:val="004E3388"/>
    <w:rsid w:val="004E5CC8"/>
    <w:rsid w:val="004F02D5"/>
    <w:rsid w:val="004F10A2"/>
    <w:rsid w:val="004F163B"/>
    <w:rsid w:val="004F299C"/>
    <w:rsid w:val="004F2ECA"/>
    <w:rsid w:val="004F39DC"/>
    <w:rsid w:val="004F4464"/>
    <w:rsid w:val="004F5471"/>
    <w:rsid w:val="004F5618"/>
    <w:rsid w:val="004F615E"/>
    <w:rsid w:val="004F6858"/>
    <w:rsid w:val="004F7CCF"/>
    <w:rsid w:val="00501E0E"/>
    <w:rsid w:val="00501EDE"/>
    <w:rsid w:val="00502100"/>
    <w:rsid w:val="00504775"/>
    <w:rsid w:val="005049AF"/>
    <w:rsid w:val="00505098"/>
    <w:rsid w:val="00505EC8"/>
    <w:rsid w:val="00505FA2"/>
    <w:rsid w:val="00506410"/>
    <w:rsid w:val="0050679F"/>
    <w:rsid w:val="005107C8"/>
    <w:rsid w:val="005109D9"/>
    <w:rsid w:val="00511C22"/>
    <w:rsid w:val="0051367B"/>
    <w:rsid w:val="00513DCD"/>
    <w:rsid w:val="00514CB9"/>
    <w:rsid w:val="00515C73"/>
    <w:rsid w:val="00517A07"/>
    <w:rsid w:val="005221D8"/>
    <w:rsid w:val="00523AED"/>
    <w:rsid w:val="00525367"/>
    <w:rsid w:val="005254DA"/>
    <w:rsid w:val="00525980"/>
    <w:rsid w:val="00526825"/>
    <w:rsid w:val="00530EC3"/>
    <w:rsid w:val="00531834"/>
    <w:rsid w:val="0053752A"/>
    <w:rsid w:val="00541951"/>
    <w:rsid w:val="00541B00"/>
    <w:rsid w:val="0054294D"/>
    <w:rsid w:val="0054400F"/>
    <w:rsid w:val="00544C4A"/>
    <w:rsid w:val="00551510"/>
    <w:rsid w:val="00552C2F"/>
    <w:rsid w:val="0055459F"/>
    <w:rsid w:val="00554E6A"/>
    <w:rsid w:val="00554E9D"/>
    <w:rsid w:val="00557388"/>
    <w:rsid w:val="00557F46"/>
    <w:rsid w:val="00560D8A"/>
    <w:rsid w:val="00560E97"/>
    <w:rsid w:val="00560F99"/>
    <w:rsid w:val="00562088"/>
    <w:rsid w:val="005637FA"/>
    <w:rsid w:val="005656F6"/>
    <w:rsid w:val="0056574B"/>
    <w:rsid w:val="0056695E"/>
    <w:rsid w:val="00566C50"/>
    <w:rsid w:val="00566FB8"/>
    <w:rsid w:val="005734A9"/>
    <w:rsid w:val="00575ED0"/>
    <w:rsid w:val="00580898"/>
    <w:rsid w:val="00581E89"/>
    <w:rsid w:val="00582909"/>
    <w:rsid w:val="00582B82"/>
    <w:rsid w:val="00584D34"/>
    <w:rsid w:val="005859A8"/>
    <w:rsid w:val="00587D36"/>
    <w:rsid w:val="0059056C"/>
    <w:rsid w:val="0059060F"/>
    <w:rsid w:val="00590DEF"/>
    <w:rsid w:val="005927F9"/>
    <w:rsid w:val="005928A5"/>
    <w:rsid w:val="005935DD"/>
    <w:rsid w:val="00593E17"/>
    <w:rsid w:val="00595378"/>
    <w:rsid w:val="005957EF"/>
    <w:rsid w:val="005A1563"/>
    <w:rsid w:val="005A361C"/>
    <w:rsid w:val="005A6151"/>
    <w:rsid w:val="005B0F24"/>
    <w:rsid w:val="005B255E"/>
    <w:rsid w:val="005B2C96"/>
    <w:rsid w:val="005B3CF8"/>
    <w:rsid w:val="005B4331"/>
    <w:rsid w:val="005B5099"/>
    <w:rsid w:val="005B55B5"/>
    <w:rsid w:val="005B73B5"/>
    <w:rsid w:val="005C2D4A"/>
    <w:rsid w:val="005C4DFA"/>
    <w:rsid w:val="005C5FC7"/>
    <w:rsid w:val="005C798A"/>
    <w:rsid w:val="005D0DDB"/>
    <w:rsid w:val="005D1F12"/>
    <w:rsid w:val="005D36D2"/>
    <w:rsid w:val="005D3E1D"/>
    <w:rsid w:val="005D55DF"/>
    <w:rsid w:val="005D654E"/>
    <w:rsid w:val="005D6562"/>
    <w:rsid w:val="005D7F67"/>
    <w:rsid w:val="005E0ADA"/>
    <w:rsid w:val="005E0B8D"/>
    <w:rsid w:val="005E273E"/>
    <w:rsid w:val="005E37D6"/>
    <w:rsid w:val="005E4602"/>
    <w:rsid w:val="005E4F60"/>
    <w:rsid w:val="005E6EA7"/>
    <w:rsid w:val="005F010C"/>
    <w:rsid w:val="005F1077"/>
    <w:rsid w:val="005F26CD"/>
    <w:rsid w:val="005F2B06"/>
    <w:rsid w:val="005F7ECB"/>
    <w:rsid w:val="00600A36"/>
    <w:rsid w:val="00603168"/>
    <w:rsid w:val="00603194"/>
    <w:rsid w:val="006035D9"/>
    <w:rsid w:val="006041FF"/>
    <w:rsid w:val="00604C0F"/>
    <w:rsid w:val="006052D0"/>
    <w:rsid w:val="00607335"/>
    <w:rsid w:val="006078C4"/>
    <w:rsid w:val="00610068"/>
    <w:rsid w:val="0061008B"/>
    <w:rsid w:val="006135C5"/>
    <w:rsid w:val="0061586B"/>
    <w:rsid w:val="00620979"/>
    <w:rsid w:val="006216B9"/>
    <w:rsid w:val="00621DC4"/>
    <w:rsid w:val="00623FCC"/>
    <w:rsid w:val="0062639D"/>
    <w:rsid w:val="00630000"/>
    <w:rsid w:val="00630B6F"/>
    <w:rsid w:val="006325D1"/>
    <w:rsid w:val="006329F6"/>
    <w:rsid w:val="00633F4E"/>
    <w:rsid w:val="006345BA"/>
    <w:rsid w:val="00634F7D"/>
    <w:rsid w:val="006353E5"/>
    <w:rsid w:val="006364E9"/>
    <w:rsid w:val="006374DB"/>
    <w:rsid w:val="006379BB"/>
    <w:rsid w:val="00642424"/>
    <w:rsid w:val="006427A7"/>
    <w:rsid w:val="00643008"/>
    <w:rsid w:val="0064337C"/>
    <w:rsid w:val="006438F9"/>
    <w:rsid w:val="0064487A"/>
    <w:rsid w:val="00644E52"/>
    <w:rsid w:val="006471C2"/>
    <w:rsid w:val="0065268A"/>
    <w:rsid w:val="00652E61"/>
    <w:rsid w:val="00653897"/>
    <w:rsid w:val="00653C34"/>
    <w:rsid w:val="00653D26"/>
    <w:rsid w:val="00655252"/>
    <w:rsid w:val="00657A49"/>
    <w:rsid w:val="00660BBF"/>
    <w:rsid w:val="00661530"/>
    <w:rsid w:val="006627DE"/>
    <w:rsid w:val="00662FD1"/>
    <w:rsid w:val="006636A5"/>
    <w:rsid w:val="006639AE"/>
    <w:rsid w:val="006641AA"/>
    <w:rsid w:val="00665FAB"/>
    <w:rsid w:val="00666168"/>
    <w:rsid w:val="006673E4"/>
    <w:rsid w:val="00670A6C"/>
    <w:rsid w:val="00671EDD"/>
    <w:rsid w:val="0067332F"/>
    <w:rsid w:val="00673504"/>
    <w:rsid w:val="00674DF9"/>
    <w:rsid w:val="00675F46"/>
    <w:rsid w:val="00676A47"/>
    <w:rsid w:val="00676BDD"/>
    <w:rsid w:val="00680013"/>
    <w:rsid w:val="006801A9"/>
    <w:rsid w:val="00680C9B"/>
    <w:rsid w:val="00680F67"/>
    <w:rsid w:val="00682719"/>
    <w:rsid w:val="00683E6E"/>
    <w:rsid w:val="006848DA"/>
    <w:rsid w:val="00684EF4"/>
    <w:rsid w:val="00685D87"/>
    <w:rsid w:val="0068651A"/>
    <w:rsid w:val="00687207"/>
    <w:rsid w:val="006877B2"/>
    <w:rsid w:val="006907E6"/>
    <w:rsid w:val="00691DDF"/>
    <w:rsid w:val="00693A33"/>
    <w:rsid w:val="006942AB"/>
    <w:rsid w:val="00694491"/>
    <w:rsid w:val="006950DC"/>
    <w:rsid w:val="0069651B"/>
    <w:rsid w:val="006969DB"/>
    <w:rsid w:val="00696A76"/>
    <w:rsid w:val="006A232E"/>
    <w:rsid w:val="006A2F5B"/>
    <w:rsid w:val="006A3F5F"/>
    <w:rsid w:val="006A502F"/>
    <w:rsid w:val="006A7620"/>
    <w:rsid w:val="006B00B1"/>
    <w:rsid w:val="006B0733"/>
    <w:rsid w:val="006B15AA"/>
    <w:rsid w:val="006B2353"/>
    <w:rsid w:val="006B3B0C"/>
    <w:rsid w:val="006B4B04"/>
    <w:rsid w:val="006B59E8"/>
    <w:rsid w:val="006B6364"/>
    <w:rsid w:val="006C38AB"/>
    <w:rsid w:val="006C4619"/>
    <w:rsid w:val="006C4B33"/>
    <w:rsid w:val="006C5186"/>
    <w:rsid w:val="006C6062"/>
    <w:rsid w:val="006D0B97"/>
    <w:rsid w:val="006D1214"/>
    <w:rsid w:val="006D1615"/>
    <w:rsid w:val="006D1A87"/>
    <w:rsid w:val="006D30BF"/>
    <w:rsid w:val="006D39A8"/>
    <w:rsid w:val="006D4388"/>
    <w:rsid w:val="006D5755"/>
    <w:rsid w:val="006D6690"/>
    <w:rsid w:val="006D6ABF"/>
    <w:rsid w:val="006D7E7C"/>
    <w:rsid w:val="006E29DC"/>
    <w:rsid w:val="006E2EB2"/>
    <w:rsid w:val="006E34A7"/>
    <w:rsid w:val="006E6B30"/>
    <w:rsid w:val="006E6C6D"/>
    <w:rsid w:val="006F2A90"/>
    <w:rsid w:val="006F2D15"/>
    <w:rsid w:val="006F430F"/>
    <w:rsid w:val="006F46BE"/>
    <w:rsid w:val="006F4ED4"/>
    <w:rsid w:val="006F5975"/>
    <w:rsid w:val="006F6207"/>
    <w:rsid w:val="006F6FF1"/>
    <w:rsid w:val="00700592"/>
    <w:rsid w:val="00701C1C"/>
    <w:rsid w:val="00702A3C"/>
    <w:rsid w:val="007033B8"/>
    <w:rsid w:val="007060E2"/>
    <w:rsid w:val="0070665A"/>
    <w:rsid w:val="00707D82"/>
    <w:rsid w:val="00711105"/>
    <w:rsid w:val="00711B7A"/>
    <w:rsid w:val="00711C41"/>
    <w:rsid w:val="00711D48"/>
    <w:rsid w:val="00713779"/>
    <w:rsid w:val="0071536F"/>
    <w:rsid w:val="0071650E"/>
    <w:rsid w:val="007179E2"/>
    <w:rsid w:val="00721BB0"/>
    <w:rsid w:val="007234D8"/>
    <w:rsid w:val="00724660"/>
    <w:rsid w:val="00724C2B"/>
    <w:rsid w:val="00725069"/>
    <w:rsid w:val="007252D5"/>
    <w:rsid w:val="007309CC"/>
    <w:rsid w:val="00731FB6"/>
    <w:rsid w:val="007323A0"/>
    <w:rsid w:val="007326E9"/>
    <w:rsid w:val="00732803"/>
    <w:rsid w:val="00733634"/>
    <w:rsid w:val="007346D7"/>
    <w:rsid w:val="007350E6"/>
    <w:rsid w:val="00736473"/>
    <w:rsid w:val="00737E96"/>
    <w:rsid w:val="00741551"/>
    <w:rsid w:val="00741BDA"/>
    <w:rsid w:val="007436F9"/>
    <w:rsid w:val="007442C7"/>
    <w:rsid w:val="00744739"/>
    <w:rsid w:val="00744D5A"/>
    <w:rsid w:val="007459F0"/>
    <w:rsid w:val="007461B9"/>
    <w:rsid w:val="0074717B"/>
    <w:rsid w:val="00747581"/>
    <w:rsid w:val="00747629"/>
    <w:rsid w:val="00747966"/>
    <w:rsid w:val="00750AFB"/>
    <w:rsid w:val="00752185"/>
    <w:rsid w:val="00752406"/>
    <w:rsid w:val="00753E74"/>
    <w:rsid w:val="00753ECF"/>
    <w:rsid w:val="00754A64"/>
    <w:rsid w:val="007563FC"/>
    <w:rsid w:val="0075738B"/>
    <w:rsid w:val="007578C5"/>
    <w:rsid w:val="0076084D"/>
    <w:rsid w:val="007609D9"/>
    <w:rsid w:val="007614CC"/>
    <w:rsid w:val="00763633"/>
    <w:rsid w:val="007640C9"/>
    <w:rsid w:val="00764247"/>
    <w:rsid w:val="0076457A"/>
    <w:rsid w:val="0076458D"/>
    <w:rsid w:val="00764767"/>
    <w:rsid w:val="00764AD7"/>
    <w:rsid w:val="00766E3E"/>
    <w:rsid w:val="007671A4"/>
    <w:rsid w:val="007723B4"/>
    <w:rsid w:val="007729AF"/>
    <w:rsid w:val="00772D72"/>
    <w:rsid w:val="00772E1A"/>
    <w:rsid w:val="007742DE"/>
    <w:rsid w:val="007814C7"/>
    <w:rsid w:val="007814ED"/>
    <w:rsid w:val="00782897"/>
    <w:rsid w:val="00782DF7"/>
    <w:rsid w:val="007837DF"/>
    <w:rsid w:val="0078529B"/>
    <w:rsid w:val="007857DE"/>
    <w:rsid w:val="007950AB"/>
    <w:rsid w:val="00795F6B"/>
    <w:rsid w:val="007A0E80"/>
    <w:rsid w:val="007A145E"/>
    <w:rsid w:val="007A2B87"/>
    <w:rsid w:val="007A5F73"/>
    <w:rsid w:val="007B1566"/>
    <w:rsid w:val="007B2100"/>
    <w:rsid w:val="007B2274"/>
    <w:rsid w:val="007B48F5"/>
    <w:rsid w:val="007B5187"/>
    <w:rsid w:val="007B584E"/>
    <w:rsid w:val="007B5D32"/>
    <w:rsid w:val="007B6A41"/>
    <w:rsid w:val="007B77FE"/>
    <w:rsid w:val="007C174D"/>
    <w:rsid w:val="007C1A8F"/>
    <w:rsid w:val="007C23AD"/>
    <w:rsid w:val="007C2A64"/>
    <w:rsid w:val="007C3604"/>
    <w:rsid w:val="007C3798"/>
    <w:rsid w:val="007C3978"/>
    <w:rsid w:val="007C51BF"/>
    <w:rsid w:val="007C583A"/>
    <w:rsid w:val="007C73BD"/>
    <w:rsid w:val="007D02E7"/>
    <w:rsid w:val="007D1EBA"/>
    <w:rsid w:val="007D5335"/>
    <w:rsid w:val="007D5E0A"/>
    <w:rsid w:val="007D778B"/>
    <w:rsid w:val="007E1352"/>
    <w:rsid w:val="007E195F"/>
    <w:rsid w:val="007E3364"/>
    <w:rsid w:val="007E355C"/>
    <w:rsid w:val="007E35C9"/>
    <w:rsid w:val="007E556D"/>
    <w:rsid w:val="007F115A"/>
    <w:rsid w:val="007F1F0F"/>
    <w:rsid w:val="007F29CD"/>
    <w:rsid w:val="007F2C9D"/>
    <w:rsid w:val="007F2F4E"/>
    <w:rsid w:val="007F30DC"/>
    <w:rsid w:val="007F3AEE"/>
    <w:rsid w:val="007F3C61"/>
    <w:rsid w:val="007F465B"/>
    <w:rsid w:val="007F46E5"/>
    <w:rsid w:val="007F473D"/>
    <w:rsid w:val="007F5984"/>
    <w:rsid w:val="00801499"/>
    <w:rsid w:val="00801CAF"/>
    <w:rsid w:val="0080341D"/>
    <w:rsid w:val="00805AE7"/>
    <w:rsid w:val="00805CA3"/>
    <w:rsid w:val="00805DFD"/>
    <w:rsid w:val="00810D5C"/>
    <w:rsid w:val="00811A4C"/>
    <w:rsid w:val="008135D6"/>
    <w:rsid w:val="00813E49"/>
    <w:rsid w:val="00815069"/>
    <w:rsid w:val="008150DF"/>
    <w:rsid w:val="008167BE"/>
    <w:rsid w:val="00816EDC"/>
    <w:rsid w:val="008214BE"/>
    <w:rsid w:val="008218B0"/>
    <w:rsid w:val="00822067"/>
    <w:rsid w:val="00822798"/>
    <w:rsid w:val="00824714"/>
    <w:rsid w:val="00825A7A"/>
    <w:rsid w:val="008260E2"/>
    <w:rsid w:val="00827514"/>
    <w:rsid w:val="00833E42"/>
    <w:rsid w:val="008349DE"/>
    <w:rsid w:val="00834F7F"/>
    <w:rsid w:val="008351E5"/>
    <w:rsid w:val="008415B1"/>
    <w:rsid w:val="00841B9C"/>
    <w:rsid w:val="00841E49"/>
    <w:rsid w:val="0084265B"/>
    <w:rsid w:val="00842E10"/>
    <w:rsid w:val="00843B24"/>
    <w:rsid w:val="00843F18"/>
    <w:rsid w:val="00843F38"/>
    <w:rsid w:val="00843FEC"/>
    <w:rsid w:val="00844B17"/>
    <w:rsid w:val="00845C61"/>
    <w:rsid w:val="00852A41"/>
    <w:rsid w:val="0085393D"/>
    <w:rsid w:val="00853C91"/>
    <w:rsid w:val="00854653"/>
    <w:rsid w:val="008559F0"/>
    <w:rsid w:val="008603EE"/>
    <w:rsid w:val="008608F5"/>
    <w:rsid w:val="0086228C"/>
    <w:rsid w:val="008623E0"/>
    <w:rsid w:val="00862448"/>
    <w:rsid w:val="00862966"/>
    <w:rsid w:val="00862B37"/>
    <w:rsid w:val="00863FE4"/>
    <w:rsid w:val="00865962"/>
    <w:rsid w:val="00866515"/>
    <w:rsid w:val="0086704F"/>
    <w:rsid w:val="008700D5"/>
    <w:rsid w:val="0087133F"/>
    <w:rsid w:val="00871C73"/>
    <w:rsid w:val="00871E6C"/>
    <w:rsid w:val="00871ECD"/>
    <w:rsid w:val="00872052"/>
    <w:rsid w:val="0087284F"/>
    <w:rsid w:val="00872AC2"/>
    <w:rsid w:val="00872E55"/>
    <w:rsid w:val="00873ECE"/>
    <w:rsid w:val="0087750A"/>
    <w:rsid w:val="00877B8A"/>
    <w:rsid w:val="00880934"/>
    <w:rsid w:val="0088161B"/>
    <w:rsid w:val="00882DCD"/>
    <w:rsid w:val="00886C78"/>
    <w:rsid w:val="00887766"/>
    <w:rsid w:val="0089329A"/>
    <w:rsid w:val="008961FD"/>
    <w:rsid w:val="00897DDE"/>
    <w:rsid w:val="008A1FB1"/>
    <w:rsid w:val="008A4094"/>
    <w:rsid w:val="008A54E8"/>
    <w:rsid w:val="008A5DB0"/>
    <w:rsid w:val="008B0291"/>
    <w:rsid w:val="008B0649"/>
    <w:rsid w:val="008B0B40"/>
    <w:rsid w:val="008B10A9"/>
    <w:rsid w:val="008B1D7A"/>
    <w:rsid w:val="008B2735"/>
    <w:rsid w:val="008B28A3"/>
    <w:rsid w:val="008B3E83"/>
    <w:rsid w:val="008B4D64"/>
    <w:rsid w:val="008C1A8D"/>
    <w:rsid w:val="008C38F6"/>
    <w:rsid w:val="008C394A"/>
    <w:rsid w:val="008C4175"/>
    <w:rsid w:val="008C60CB"/>
    <w:rsid w:val="008C6AF6"/>
    <w:rsid w:val="008C7BB0"/>
    <w:rsid w:val="008D075A"/>
    <w:rsid w:val="008D1566"/>
    <w:rsid w:val="008D320D"/>
    <w:rsid w:val="008D448F"/>
    <w:rsid w:val="008D4970"/>
    <w:rsid w:val="008D56C8"/>
    <w:rsid w:val="008D5ECD"/>
    <w:rsid w:val="008D5F7E"/>
    <w:rsid w:val="008E2286"/>
    <w:rsid w:val="008E3E50"/>
    <w:rsid w:val="008E47EA"/>
    <w:rsid w:val="008E5139"/>
    <w:rsid w:val="008E6A1A"/>
    <w:rsid w:val="008F1B56"/>
    <w:rsid w:val="008F1C99"/>
    <w:rsid w:val="008F42B8"/>
    <w:rsid w:val="008F72DF"/>
    <w:rsid w:val="00902F6C"/>
    <w:rsid w:val="009030A0"/>
    <w:rsid w:val="00903CCC"/>
    <w:rsid w:val="00904F08"/>
    <w:rsid w:val="00910131"/>
    <w:rsid w:val="00910480"/>
    <w:rsid w:val="00910A16"/>
    <w:rsid w:val="00910F7C"/>
    <w:rsid w:val="0091141C"/>
    <w:rsid w:val="00912615"/>
    <w:rsid w:val="00915D95"/>
    <w:rsid w:val="00915E62"/>
    <w:rsid w:val="00916231"/>
    <w:rsid w:val="009218F5"/>
    <w:rsid w:val="00922A27"/>
    <w:rsid w:val="00923A61"/>
    <w:rsid w:val="00924D8F"/>
    <w:rsid w:val="00924F8A"/>
    <w:rsid w:val="009265D8"/>
    <w:rsid w:val="00931E0E"/>
    <w:rsid w:val="00932293"/>
    <w:rsid w:val="0093266A"/>
    <w:rsid w:val="009334EE"/>
    <w:rsid w:val="00933660"/>
    <w:rsid w:val="00933674"/>
    <w:rsid w:val="00933822"/>
    <w:rsid w:val="0093396D"/>
    <w:rsid w:val="00933F7B"/>
    <w:rsid w:val="00934D05"/>
    <w:rsid w:val="00937730"/>
    <w:rsid w:val="00937B62"/>
    <w:rsid w:val="00941305"/>
    <w:rsid w:val="00941845"/>
    <w:rsid w:val="009424C8"/>
    <w:rsid w:val="00942E49"/>
    <w:rsid w:val="0094415B"/>
    <w:rsid w:val="00944A84"/>
    <w:rsid w:val="00946498"/>
    <w:rsid w:val="00946A7F"/>
    <w:rsid w:val="00947A29"/>
    <w:rsid w:val="009512CD"/>
    <w:rsid w:val="009518DA"/>
    <w:rsid w:val="0095222D"/>
    <w:rsid w:val="00953002"/>
    <w:rsid w:val="0095317C"/>
    <w:rsid w:val="00953A87"/>
    <w:rsid w:val="0095409C"/>
    <w:rsid w:val="0095422E"/>
    <w:rsid w:val="0095469B"/>
    <w:rsid w:val="0095532B"/>
    <w:rsid w:val="009556BB"/>
    <w:rsid w:val="00956188"/>
    <w:rsid w:val="00957B9D"/>
    <w:rsid w:val="009610B6"/>
    <w:rsid w:val="009631B9"/>
    <w:rsid w:val="00964E11"/>
    <w:rsid w:val="009715DA"/>
    <w:rsid w:val="00971895"/>
    <w:rsid w:val="00972417"/>
    <w:rsid w:val="009803FF"/>
    <w:rsid w:val="00981337"/>
    <w:rsid w:val="00982FA4"/>
    <w:rsid w:val="009837B8"/>
    <w:rsid w:val="009847BB"/>
    <w:rsid w:val="00985F70"/>
    <w:rsid w:val="00986871"/>
    <w:rsid w:val="00987D66"/>
    <w:rsid w:val="0099017C"/>
    <w:rsid w:val="0099070A"/>
    <w:rsid w:val="0099161E"/>
    <w:rsid w:val="00991738"/>
    <w:rsid w:val="00991A0C"/>
    <w:rsid w:val="00991A97"/>
    <w:rsid w:val="00993C15"/>
    <w:rsid w:val="0099647F"/>
    <w:rsid w:val="0099667B"/>
    <w:rsid w:val="00996E87"/>
    <w:rsid w:val="00996F49"/>
    <w:rsid w:val="00997BEC"/>
    <w:rsid w:val="00997BEF"/>
    <w:rsid w:val="009A0357"/>
    <w:rsid w:val="009A118A"/>
    <w:rsid w:val="009A3ED7"/>
    <w:rsid w:val="009A472F"/>
    <w:rsid w:val="009A67F3"/>
    <w:rsid w:val="009B01A0"/>
    <w:rsid w:val="009B0D14"/>
    <w:rsid w:val="009B0FFF"/>
    <w:rsid w:val="009B160E"/>
    <w:rsid w:val="009B2317"/>
    <w:rsid w:val="009B2993"/>
    <w:rsid w:val="009B3E9A"/>
    <w:rsid w:val="009B3FD1"/>
    <w:rsid w:val="009B727E"/>
    <w:rsid w:val="009C0644"/>
    <w:rsid w:val="009C1808"/>
    <w:rsid w:val="009C3441"/>
    <w:rsid w:val="009C79F3"/>
    <w:rsid w:val="009C7E3F"/>
    <w:rsid w:val="009D0CE0"/>
    <w:rsid w:val="009D2519"/>
    <w:rsid w:val="009D2699"/>
    <w:rsid w:val="009D2A55"/>
    <w:rsid w:val="009D4B5C"/>
    <w:rsid w:val="009E0526"/>
    <w:rsid w:val="009E39F4"/>
    <w:rsid w:val="009E4FDF"/>
    <w:rsid w:val="009E5173"/>
    <w:rsid w:val="009E565F"/>
    <w:rsid w:val="009E5EE4"/>
    <w:rsid w:val="009E5F6E"/>
    <w:rsid w:val="009E6DC4"/>
    <w:rsid w:val="009F0DF7"/>
    <w:rsid w:val="009F10DA"/>
    <w:rsid w:val="009F2A5C"/>
    <w:rsid w:val="009F517E"/>
    <w:rsid w:val="009F7759"/>
    <w:rsid w:val="00A0076F"/>
    <w:rsid w:val="00A00847"/>
    <w:rsid w:val="00A00AAC"/>
    <w:rsid w:val="00A0223C"/>
    <w:rsid w:val="00A024FD"/>
    <w:rsid w:val="00A0392F"/>
    <w:rsid w:val="00A03AB2"/>
    <w:rsid w:val="00A0620C"/>
    <w:rsid w:val="00A06745"/>
    <w:rsid w:val="00A069B0"/>
    <w:rsid w:val="00A10000"/>
    <w:rsid w:val="00A10CDE"/>
    <w:rsid w:val="00A1251B"/>
    <w:rsid w:val="00A12612"/>
    <w:rsid w:val="00A129D8"/>
    <w:rsid w:val="00A1318C"/>
    <w:rsid w:val="00A1528D"/>
    <w:rsid w:val="00A15C4E"/>
    <w:rsid w:val="00A15F5D"/>
    <w:rsid w:val="00A161DB"/>
    <w:rsid w:val="00A179FC"/>
    <w:rsid w:val="00A203A3"/>
    <w:rsid w:val="00A212B6"/>
    <w:rsid w:val="00A227FC"/>
    <w:rsid w:val="00A22C48"/>
    <w:rsid w:val="00A2385D"/>
    <w:rsid w:val="00A24FD4"/>
    <w:rsid w:val="00A26B2E"/>
    <w:rsid w:val="00A26DB9"/>
    <w:rsid w:val="00A2727E"/>
    <w:rsid w:val="00A27C34"/>
    <w:rsid w:val="00A3174E"/>
    <w:rsid w:val="00A32612"/>
    <w:rsid w:val="00A335FE"/>
    <w:rsid w:val="00A3384D"/>
    <w:rsid w:val="00A33F7A"/>
    <w:rsid w:val="00A36CA6"/>
    <w:rsid w:val="00A40820"/>
    <w:rsid w:val="00A41622"/>
    <w:rsid w:val="00A4170C"/>
    <w:rsid w:val="00A41F3A"/>
    <w:rsid w:val="00A44611"/>
    <w:rsid w:val="00A459CB"/>
    <w:rsid w:val="00A46273"/>
    <w:rsid w:val="00A50C79"/>
    <w:rsid w:val="00A51932"/>
    <w:rsid w:val="00A53436"/>
    <w:rsid w:val="00A540D3"/>
    <w:rsid w:val="00A57709"/>
    <w:rsid w:val="00A6022F"/>
    <w:rsid w:val="00A60D33"/>
    <w:rsid w:val="00A61409"/>
    <w:rsid w:val="00A63A01"/>
    <w:rsid w:val="00A6444F"/>
    <w:rsid w:val="00A656CB"/>
    <w:rsid w:val="00A65CBC"/>
    <w:rsid w:val="00A661A3"/>
    <w:rsid w:val="00A67651"/>
    <w:rsid w:val="00A71006"/>
    <w:rsid w:val="00A727FF"/>
    <w:rsid w:val="00A729E0"/>
    <w:rsid w:val="00A72A9B"/>
    <w:rsid w:val="00A7378C"/>
    <w:rsid w:val="00A74684"/>
    <w:rsid w:val="00A747D5"/>
    <w:rsid w:val="00A74820"/>
    <w:rsid w:val="00A76ED1"/>
    <w:rsid w:val="00A77C1B"/>
    <w:rsid w:val="00A80440"/>
    <w:rsid w:val="00A811AC"/>
    <w:rsid w:val="00A8202B"/>
    <w:rsid w:val="00A82719"/>
    <w:rsid w:val="00A83152"/>
    <w:rsid w:val="00A843B7"/>
    <w:rsid w:val="00A8632B"/>
    <w:rsid w:val="00A87A0D"/>
    <w:rsid w:val="00A90533"/>
    <w:rsid w:val="00A90ABD"/>
    <w:rsid w:val="00A91ADC"/>
    <w:rsid w:val="00A9448A"/>
    <w:rsid w:val="00A95C6E"/>
    <w:rsid w:val="00AA09CE"/>
    <w:rsid w:val="00AA14F6"/>
    <w:rsid w:val="00AA2D07"/>
    <w:rsid w:val="00AA322A"/>
    <w:rsid w:val="00AB050F"/>
    <w:rsid w:val="00AB0C5C"/>
    <w:rsid w:val="00AB1BE5"/>
    <w:rsid w:val="00AB2F0A"/>
    <w:rsid w:val="00AC0101"/>
    <w:rsid w:val="00AC025C"/>
    <w:rsid w:val="00AC026F"/>
    <w:rsid w:val="00AC0C28"/>
    <w:rsid w:val="00AC1736"/>
    <w:rsid w:val="00AC226E"/>
    <w:rsid w:val="00AC2655"/>
    <w:rsid w:val="00AC31B5"/>
    <w:rsid w:val="00AC4534"/>
    <w:rsid w:val="00AC488E"/>
    <w:rsid w:val="00AC5F38"/>
    <w:rsid w:val="00AC633A"/>
    <w:rsid w:val="00AC6E46"/>
    <w:rsid w:val="00AC7C0D"/>
    <w:rsid w:val="00AD13A9"/>
    <w:rsid w:val="00AD2993"/>
    <w:rsid w:val="00AD3048"/>
    <w:rsid w:val="00AD429C"/>
    <w:rsid w:val="00AD5CA7"/>
    <w:rsid w:val="00AD5EBB"/>
    <w:rsid w:val="00AD6FAA"/>
    <w:rsid w:val="00AD74CA"/>
    <w:rsid w:val="00AE0C4B"/>
    <w:rsid w:val="00AE1706"/>
    <w:rsid w:val="00AE275D"/>
    <w:rsid w:val="00AE3D95"/>
    <w:rsid w:val="00AE463D"/>
    <w:rsid w:val="00AE6A95"/>
    <w:rsid w:val="00AE6C66"/>
    <w:rsid w:val="00AF0E05"/>
    <w:rsid w:val="00AF1F8C"/>
    <w:rsid w:val="00AF36E2"/>
    <w:rsid w:val="00AF3C92"/>
    <w:rsid w:val="00AF518A"/>
    <w:rsid w:val="00AF689C"/>
    <w:rsid w:val="00AF6ABD"/>
    <w:rsid w:val="00AF74E5"/>
    <w:rsid w:val="00B0080A"/>
    <w:rsid w:val="00B01663"/>
    <w:rsid w:val="00B01693"/>
    <w:rsid w:val="00B03E86"/>
    <w:rsid w:val="00B04100"/>
    <w:rsid w:val="00B04665"/>
    <w:rsid w:val="00B047E9"/>
    <w:rsid w:val="00B0481E"/>
    <w:rsid w:val="00B048FF"/>
    <w:rsid w:val="00B05A97"/>
    <w:rsid w:val="00B05CFD"/>
    <w:rsid w:val="00B076B8"/>
    <w:rsid w:val="00B07873"/>
    <w:rsid w:val="00B107E9"/>
    <w:rsid w:val="00B119F5"/>
    <w:rsid w:val="00B11B3A"/>
    <w:rsid w:val="00B13E29"/>
    <w:rsid w:val="00B14F03"/>
    <w:rsid w:val="00B15424"/>
    <w:rsid w:val="00B1708A"/>
    <w:rsid w:val="00B177A5"/>
    <w:rsid w:val="00B23687"/>
    <w:rsid w:val="00B24A7D"/>
    <w:rsid w:val="00B27960"/>
    <w:rsid w:val="00B307C1"/>
    <w:rsid w:val="00B31B96"/>
    <w:rsid w:val="00B32788"/>
    <w:rsid w:val="00B352E3"/>
    <w:rsid w:val="00B35E98"/>
    <w:rsid w:val="00B36493"/>
    <w:rsid w:val="00B37B87"/>
    <w:rsid w:val="00B411E4"/>
    <w:rsid w:val="00B414F3"/>
    <w:rsid w:val="00B42758"/>
    <w:rsid w:val="00B42948"/>
    <w:rsid w:val="00B43A0F"/>
    <w:rsid w:val="00B447AC"/>
    <w:rsid w:val="00B45286"/>
    <w:rsid w:val="00B45388"/>
    <w:rsid w:val="00B45858"/>
    <w:rsid w:val="00B4763B"/>
    <w:rsid w:val="00B519DB"/>
    <w:rsid w:val="00B5228B"/>
    <w:rsid w:val="00B5533F"/>
    <w:rsid w:val="00B560C9"/>
    <w:rsid w:val="00B563C6"/>
    <w:rsid w:val="00B570BA"/>
    <w:rsid w:val="00B60C3F"/>
    <w:rsid w:val="00B611A6"/>
    <w:rsid w:val="00B64A51"/>
    <w:rsid w:val="00B65016"/>
    <w:rsid w:val="00B65F56"/>
    <w:rsid w:val="00B66E1A"/>
    <w:rsid w:val="00B72389"/>
    <w:rsid w:val="00B72D06"/>
    <w:rsid w:val="00B74383"/>
    <w:rsid w:val="00B76D57"/>
    <w:rsid w:val="00B8130A"/>
    <w:rsid w:val="00B82A41"/>
    <w:rsid w:val="00B84B55"/>
    <w:rsid w:val="00B85BE8"/>
    <w:rsid w:val="00B85C3E"/>
    <w:rsid w:val="00B863E8"/>
    <w:rsid w:val="00B92876"/>
    <w:rsid w:val="00B92D27"/>
    <w:rsid w:val="00B94804"/>
    <w:rsid w:val="00B964C5"/>
    <w:rsid w:val="00BA0546"/>
    <w:rsid w:val="00BA0550"/>
    <w:rsid w:val="00BA23D3"/>
    <w:rsid w:val="00BA2423"/>
    <w:rsid w:val="00BA2F1A"/>
    <w:rsid w:val="00BA4DE8"/>
    <w:rsid w:val="00BB049A"/>
    <w:rsid w:val="00BB1FA2"/>
    <w:rsid w:val="00BB261E"/>
    <w:rsid w:val="00BB3581"/>
    <w:rsid w:val="00BB3911"/>
    <w:rsid w:val="00BB398A"/>
    <w:rsid w:val="00BB40F4"/>
    <w:rsid w:val="00BB4163"/>
    <w:rsid w:val="00BB4C6E"/>
    <w:rsid w:val="00BB51B3"/>
    <w:rsid w:val="00BB56D9"/>
    <w:rsid w:val="00BB585F"/>
    <w:rsid w:val="00BB59FE"/>
    <w:rsid w:val="00BB64A5"/>
    <w:rsid w:val="00BB796F"/>
    <w:rsid w:val="00BC0315"/>
    <w:rsid w:val="00BC1306"/>
    <w:rsid w:val="00BC174F"/>
    <w:rsid w:val="00BC26A0"/>
    <w:rsid w:val="00BC29A6"/>
    <w:rsid w:val="00BC2A0F"/>
    <w:rsid w:val="00BC3909"/>
    <w:rsid w:val="00BC3975"/>
    <w:rsid w:val="00BC3EC0"/>
    <w:rsid w:val="00BC4403"/>
    <w:rsid w:val="00BC5268"/>
    <w:rsid w:val="00BD13DF"/>
    <w:rsid w:val="00BD37DE"/>
    <w:rsid w:val="00BD382A"/>
    <w:rsid w:val="00BD3C86"/>
    <w:rsid w:val="00BD61FA"/>
    <w:rsid w:val="00BD62AB"/>
    <w:rsid w:val="00BD654B"/>
    <w:rsid w:val="00BD66F4"/>
    <w:rsid w:val="00BD682B"/>
    <w:rsid w:val="00BE0959"/>
    <w:rsid w:val="00BE0F11"/>
    <w:rsid w:val="00BE196A"/>
    <w:rsid w:val="00BE3A7E"/>
    <w:rsid w:val="00BE5AF3"/>
    <w:rsid w:val="00BE5BA7"/>
    <w:rsid w:val="00BF0DC8"/>
    <w:rsid w:val="00BF1E9A"/>
    <w:rsid w:val="00BF2E65"/>
    <w:rsid w:val="00BF3AC5"/>
    <w:rsid w:val="00BF42E7"/>
    <w:rsid w:val="00BF667B"/>
    <w:rsid w:val="00BF74E3"/>
    <w:rsid w:val="00BF7DCF"/>
    <w:rsid w:val="00C0031A"/>
    <w:rsid w:val="00C0067F"/>
    <w:rsid w:val="00C01DEE"/>
    <w:rsid w:val="00C02AFE"/>
    <w:rsid w:val="00C04AB9"/>
    <w:rsid w:val="00C052F4"/>
    <w:rsid w:val="00C1058A"/>
    <w:rsid w:val="00C11618"/>
    <w:rsid w:val="00C124F0"/>
    <w:rsid w:val="00C1279F"/>
    <w:rsid w:val="00C12940"/>
    <w:rsid w:val="00C131AD"/>
    <w:rsid w:val="00C137FD"/>
    <w:rsid w:val="00C142D6"/>
    <w:rsid w:val="00C14EE7"/>
    <w:rsid w:val="00C14FF9"/>
    <w:rsid w:val="00C15405"/>
    <w:rsid w:val="00C1567A"/>
    <w:rsid w:val="00C15BDB"/>
    <w:rsid w:val="00C1607A"/>
    <w:rsid w:val="00C16F99"/>
    <w:rsid w:val="00C20B3E"/>
    <w:rsid w:val="00C21046"/>
    <w:rsid w:val="00C22342"/>
    <w:rsid w:val="00C22B61"/>
    <w:rsid w:val="00C23448"/>
    <w:rsid w:val="00C25A26"/>
    <w:rsid w:val="00C26BB5"/>
    <w:rsid w:val="00C27637"/>
    <w:rsid w:val="00C314B7"/>
    <w:rsid w:val="00C31BD8"/>
    <w:rsid w:val="00C31E1D"/>
    <w:rsid w:val="00C3203B"/>
    <w:rsid w:val="00C33DC2"/>
    <w:rsid w:val="00C34CD7"/>
    <w:rsid w:val="00C35FD8"/>
    <w:rsid w:val="00C36009"/>
    <w:rsid w:val="00C361FA"/>
    <w:rsid w:val="00C36334"/>
    <w:rsid w:val="00C3655A"/>
    <w:rsid w:val="00C3696E"/>
    <w:rsid w:val="00C36AE4"/>
    <w:rsid w:val="00C36F45"/>
    <w:rsid w:val="00C37881"/>
    <w:rsid w:val="00C37C90"/>
    <w:rsid w:val="00C40397"/>
    <w:rsid w:val="00C41B4A"/>
    <w:rsid w:val="00C41F5B"/>
    <w:rsid w:val="00C42586"/>
    <w:rsid w:val="00C42E0B"/>
    <w:rsid w:val="00C44FC9"/>
    <w:rsid w:val="00C4556F"/>
    <w:rsid w:val="00C46D94"/>
    <w:rsid w:val="00C50504"/>
    <w:rsid w:val="00C5074D"/>
    <w:rsid w:val="00C50953"/>
    <w:rsid w:val="00C51A01"/>
    <w:rsid w:val="00C51C48"/>
    <w:rsid w:val="00C535B3"/>
    <w:rsid w:val="00C54237"/>
    <w:rsid w:val="00C54820"/>
    <w:rsid w:val="00C56037"/>
    <w:rsid w:val="00C637A0"/>
    <w:rsid w:val="00C64DAD"/>
    <w:rsid w:val="00C65FFD"/>
    <w:rsid w:val="00C6646C"/>
    <w:rsid w:val="00C676F2"/>
    <w:rsid w:val="00C73DF2"/>
    <w:rsid w:val="00C746C7"/>
    <w:rsid w:val="00C76372"/>
    <w:rsid w:val="00C820A5"/>
    <w:rsid w:val="00C82B6A"/>
    <w:rsid w:val="00C83B31"/>
    <w:rsid w:val="00C83CE2"/>
    <w:rsid w:val="00C849EA"/>
    <w:rsid w:val="00C90859"/>
    <w:rsid w:val="00C91396"/>
    <w:rsid w:val="00C92F7D"/>
    <w:rsid w:val="00C939BB"/>
    <w:rsid w:val="00C94501"/>
    <w:rsid w:val="00C951B5"/>
    <w:rsid w:val="00C9567B"/>
    <w:rsid w:val="00C95BF5"/>
    <w:rsid w:val="00C95E31"/>
    <w:rsid w:val="00CA1A98"/>
    <w:rsid w:val="00CA220B"/>
    <w:rsid w:val="00CA320B"/>
    <w:rsid w:val="00CA335F"/>
    <w:rsid w:val="00CA50FF"/>
    <w:rsid w:val="00CA567C"/>
    <w:rsid w:val="00CA5A44"/>
    <w:rsid w:val="00CA5B06"/>
    <w:rsid w:val="00CA641D"/>
    <w:rsid w:val="00CA7E87"/>
    <w:rsid w:val="00CA7EC0"/>
    <w:rsid w:val="00CB00E5"/>
    <w:rsid w:val="00CB1A01"/>
    <w:rsid w:val="00CB1F03"/>
    <w:rsid w:val="00CB2B40"/>
    <w:rsid w:val="00CB2DDD"/>
    <w:rsid w:val="00CB2F5B"/>
    <w:rsid w:val="00CB3576"/>
    <w:rsid w:val="00CB3EDF"/>
    <w:rsid w:val="00CB3F99"/>
    <w:rsid w:val="00CB4B03"/>
    <w:rsid w:val="00CB59F8"/>
    <w:rsid w:val="00CB612D"/>
    <w:rsid w:val="00CB6A5F"/>
    <w:rsid w:val="00CC026D"/>
    <w:rsid w:val="00CC0313"/>
    <w:rsid w:val="00CC0FCA"/>
    <w:rsid w:val="00CC4896"/>
    <w:rsid w:val="00CC4C6B"/>
    <w:rsid w:val="00CC614D"/>
    <w:rsid w:val="00CC704B"/>
    <w:rsid w:val="00CD0896"/>
    <w:rsid w:val="00CD27D9"/>
    <w:rsid w:val="00CD4C8F"/>
    <w:rsid w:val="00CD536C"/>
    <w:rsid w:val="00CD53A6"/>
    <w:rsid w:val="00CD5CAF"/>
    <w:rsid w:val="00CD7A4F"/>
    <w:rsid w:val="00CD7EC3"/>
    <w:rsid w:val="00CE1187"/>
    <w:rsid w:val="00CE1FB4"/>
    <w:rsid w:val="00CE4195"/>
    <w:rsid w:val="00CE5259"/>
    <w:rsid w:val="00CE5892"/>
    <w:rsid w:val="00CE6672"/>
    <w:rsid w:val="00CE69AA"/>
    <w:rsid w:val="00CE6C93"/>
    <w:rsid w:val="00CE71D9"/>
    <w:rsid w:val="00CE76DC"/>
    <w:rsid w:val="00CE7982"/>
    <w:rsid w:val="00CE7FAF"/>
    <w:rsid w:val="00CF304F"/>
    <w:rsid w:val="00CF46F2"/>
    <w:rsid w:val="00CF6CE3"/>
    <w:rsid w:val="00CF720C"/>
    <w:rsid w:val="00CF74CA"/>
    <w:rsid w:val="00D002BC"/>
    <w:rsid w:val="00D00CF6"/>
    <w:rsid w:val="00D01AC1"/>
    <w:rsid w:val="00D0258C"/>
    <w:rsid w:val="00D034AA"/>
    <w:rsid w:val="00D03683"/>
    <w:rsid w:val="00D0396F"/>
    <w:rsid w:val="00D070A8"/>
    <w:rsid w:val="00D10C3D"/>
    <w:rsid w:val="00D11647"/>
    <w:rsid w:val="00D12990"/>
    <w:rsid w:val="00D138A5"/>
    <w:rsid w:val="00D13B8C"/>
    <w:rsid w:val="00D14556"/>
    <w:rsid w:val="00D146AA"/>
    <w:rsid w:val="00D14CC0"/>
    <w:rsid w:val="00D14CDE"/>
    <w:rsid w:val="00D168EF"/>
    <w:rsid w:val="00D17B85"/>
    <w:rsid w:val="00D17D91"/>
    <w:rsid w:val="00D17E1A"/>
    <w:rsid w:val="00D17FB4"/>
    <w:rsid w:val="00D208FF"/>
    <w:rsid w:val="00D20930"/>
    <w:rsid w:val="00D235EC"/>
    <w:rsid w:val="00D23E5B"/>
    <w:rsid w:val="00D25DC6"/>
    <w:rsid w:val="00D26F06"/>
    <w:rsid w:val="00D27D49"/>
    <w:rsid w:val="00D300BE"/>
    <w:rsid w:val="00D306D3"/>
    <w:rsid w:val="00D30EAA"/>
    <w:rsid w:val="00D335E0"/>
    <w:rsid w:val="00D33C2E"/>
    <w:rsid w:val="00D3437F"/>
    <w:rsid w:val="00D36A46"/>
    <w:rsid w:val="00D37476"/>
    <w:rsid w:val="00D4134A"/>
    <w:rsid w:val="00D41423"/>
    <w:rsid w:val="00D421F8"/>
    <w:rsid w:val="00D42D85"/>
    <w:rsid w:val="00D431D3"/>
    <w:rsid w:val="00D46ADA"/>
    <w:rsid w:val="00D46CE6"/>
    <w:rsid w:val="00D47754"/>
    <w:rsid w:val="00D5089B"/>
    <w:rsid w:val="00D51DD0"/>
    <w:rsid w:val="00D522A6"/>
    <w:rsid w:val="00D5270A"/>
    <w:rsid w:val="00D53135"/>
    <w:rsid w:val="00D53955"/>
    <w:rsid w:val="00D60694"/>
    <w:rsid w:val="00D60847"/>
    <w:rsid w:val="00D616F4"/>
    <w:rsid w:val="00D621B9"/>
    <w:rsid w:val="00D629C9"/>
    <w:rsid w:val="00D64B64"/>
    <w:rsid w:val="00D65C20"/>
    <w:rsid w:val="00D6613B"/>
    <w:rsid w:val="00D67F2B"/>
    <w:rsid w:val="00D70D30"/>
    <w:rsid w:val="00D718F9"/>
    <w:rsid w:val="00D725D3"/>
    <w:rsid w:val="00D73BC1"/>
    <w:rsid w:val="00D75D13"/>
    <w:rsid w:val="00D7770E"/>
    <w:rsid w:val="00D77A28"/>
    <w:rsid w:val="00D77CFB"/>
    <w:rsid w:val="00D8122A"/>
    <w:rsid w:val="00D828F6"/>
    <w:rsid w:val="00D834BC"/>
    <w:rsid w:val="00D8514E"/>
    <w:rsid w:val="00D8547B"/>
    <w:rsid w:val="00D855DE"/>
    <w:rsid w:val="00D85AFC"/>
    <w:rsid w:val="00D85DC0"/>
    <w:rsid w:val="00D903B0"/>
    <w:rsid w:val="00D91203"/>
    <w:rsid w:val="00D9270C"/>
    <w:rsid w:val="00D92D9B"/>
    <w:rsid w:val="00D9364D"/>
    <w:rsid w:val="00DA058C"/>
    <w:rsid w:val="00DA0F05"/>
    <w:rsid w:val="00DA2917"/>
    <w:rsid w:val="00DA3D28"/>
    <w:rsid w:val="00DA400C"/>
    <w:rsid w:val="00DA4611"/>
    <w:rsid w:val="00DA52DE"/>
    <w:rsid w:val="00DA5624"/>
    <w:rsid w:val="00DA5D35"/>
    <w:rsid w:val="00DA6023"/>
    <w:rsid w:val="00DA6E83"/>
    <w:rsid w:val="00DB14A7"/>
    <w:rsid w:val="00DB1D7F"/>
    <w:rsid w:val="00DB2036"/>
    <w:rsid w:val="00DB20B5"/>
    <w:rsid w:val="00DB25E5"/>
    <w:rsid w:val="00DB4F11"/>
    <w:rsid w:val="00DB652D"/>
    <w:rsid w:val="00DC05D2"/>
    <w:rsid w:val="00DC179A"/>
    <w:rsid w:val="00DC2627"/>
    <w:rsid w:val="00DC2B46"/>
    <w:rsid w:val="00DC3D51"/>
    <w:rsid w:val="00DC3E2A"/>
    <w:rsid w:val="00DC4277"/>
    <w:rsid w:val="00DC56CC"/>
    <w:rsid w:val="00DC6724"/>
    <w:rsid w:val="00DC755F"/>
    <w:rsid w:val="00DD1043"/>
    <w:rsid w:val="00DD1A36"/>
    <w:rsid w:val="00DD1B29"/>
    <w:rsid w:val="00DD2BFB"/>
    <w:rsid w:val="00DD3F46"/>
    <w:rsid w:val="00DD4AC4"/>
    <w:rsid w:val="00DD5A20"/>
    <w:rsid w:val="00DD5B98"/>
    <w:rsid w:val="00DD6907"/>
    <w:rsid w:val="00DD7B9E"/>
    <w:rsid w:val="00DD7F0D"/>
    <w:rsid w:val="00DE0EE8"/>
    <w:rsid w:val="00DE28F5"/>
    <w:rsid w:val="00DE29F8"/>
    <w:rsid w:val="00DE2C14"/>
    <w:rsid w:val="00DE336F"/>
    <w:rsid w:val="00DE3561"/>
    <w:rsid w:val="00DE3616"/>
    <w:rsid w:val="00DE3825"/>
    <w:rsid w:val="00DE4C4B"/>
    <w:rsid w:val="00DE61A1"/>
    <w:rsid w:val="00DE65F5"/>
    <w:rsid w:val="00DE6D90"/>
    <w:rsid w:val="00DE7C1A"/>
    <w:rsid w:val="00DF07EC"/>
    <w:rsid w:val="00DF0928"/>
    <w:rsid w:val="00DF23B8"/>
    <w:rsid w:val="00DF4B85"/>
    <w:rsid w:val="00DF4EB6"/>
    <w:rsid w:val="00DF5B79"/>
    <w:rsid w:val="00DF5ECE"/>
    <w:rsid w:val="00DF6C73"/>
    <w:rsid w:val="00DF74F0"/>
    <w:rsid w:val="00E00355"/>
    <w:rsid w:val="00E009CB"/>
    <w:rsid w:val="00E00E2C"/>
    <w:rsid w:val="00E01361"/>
    <w:rsid w:val="00E03918"/>
    <w:rsid w:val="00E040F2"/>
    <w:rsid w:val="00E04232"/>
    <w:rsid w:val="00E056AC"/>
    <w:rsid w:val="00E05CB4"/>
    <w:rsid w:val="00E10201"/>
    <w:rsid w:val="00E12C03"/>
    <w:rsid w:val="00E141DE"/>
    <w:rsid w:val="00E15876"/>
    <w:rsid w:val="00E16047"/>
    <w:rsid w:val="00E160FB"/>
    <w:rsid w:val="00E164AB"/>
    <w:rsid w:val="00E16684"/>
    <w:rsid w:val="00E16A1B"/>
    <w:rsid w:val="00E208A8"/>
    <w:rsid w:val="00E219C0"/>
    <w:rsid w:val="00E2224E"/>
    <w:rsid w:val="00E23590"/>
    <w:rsid w:val="00E2401D"/>
    <w:rsid w:val="00E249C4"/>
    <w:rsid w:val="00E262BD"/>
    <w:rsid w:val="00E26780"/>
    <w:rsid w:val="00E271B8"/>
    <w:rsid w:val="00E277B6"/>
    <w:rsid w:val="00E27F19"/>
    <w:rsid w:val="00E30710"/>
    <w:rsid w:val="00E33033"/>
    <w:rsid w:val="00E34251"/>
    <w:rsid w:val="00E347F7"/>
    <w:rsid w:val="00E35201"/>
    <w:rsid w:val="00E41BA2"/>
    <w:rsid w:val="00E42004"/>
    <w:rsid w:val="00E4521D"/>
    <w:rsid w:val="00E45854"/>
    <w:rsid w:val="00E46063"/>
    <w:rsid w:val="00E50A2A"/>
    <w:rsid w:val="00E524CF"/>
    <w:rsid w:val="00E5410D"/>
    <w:rsid w:val="00E54824"/>
    <w:rsid w:val="00E55127"/>
    <w:rsid w:val="00E553D9"/>
    <w:rsid w:val="00E564C0"/>
    <w:rsid w:val="00E56C5B"/>
    <w:rsid w:val="00E572D3"/>
    <w:rsid w:val="00E606EA"/>
    <w:rsid w:val="00E63B42"/>
    <w:rsid w:val="00E64768"/>
    <w:rsid w:val="00E66676"/>
    <w:rsid w:val="00E70412"/>
    <w:rsid w:val="00E70FBC"/>
    <w:rsid w:val="00E71062"/>
    <w:rsid w:val="00E71FCC"/>
    <w:rsid w:val="00E71FFC"/>
    <w:rsid w:val="00E734CD"/>
    <w:rsid w:val="00E738D9"/>
    <w:rsid w:val="00E746E3"/>
    <w:rsid w:val="00E757C3"/>
    <w:rsid w:val="00E80511"/>
    <w:rsid w:val="00E8063E"/>
    <w:rsid w:val="00E86674"/>
    <w:rsid w:val="00E869E8"/>
    <w:rsid w:val="00E92049"/>
    <w:rsid w:val="00E954B4"/>
    <w:rsid w:val="00E95966"/>
    <w:rsid w:val="00E95F60"/>
    <w:rsid w:val="00EA0123"/>
    <w:rsid w:val="00EA0B96"/>
    <w:rsid w:val="00EA0C9A"/>
    <w:rsid w:val="00EA13AF"/>
    <w:rsid w:val="00EA1E1C"/>
    <w:rsid w:val="00EA3EE3"/>
    <w:rsid w:val="00EA6476"/>
    <w:rsid w:val="00EA6D8E"/>
    <w:rsid w:val="00EA769F"/>
    <w:rsid w:val="00EB043D"/>
    <w:rsid w:val="00EB0909"/>
    <w:rsid w:val="00EB148C"/>
    <w:rsid w:val="00EB2862"/>
    <w:rsid w:val="00EB30EE"/>
    <w:rsid w:val="00EB3C61"/>
    <w:rsid w:val="00EB73D2"/>
    <w:rsid w:val="00EC05A4"/>
    <w:rsid w:val="00EC1376"/>
    <w:rsid w:val="00EC29A8"/>
    <w:rsid w:val="00EC2A9E"/>
    <w:rsid w:val="00EC3C76"/>
    <w:rsid w:val="00EC7CDE"/>
    <w:rsid w:val="00ED01DA"/>
    <w:rsid w:val="00ED0E9E"/>
    <w:rsid w:val="00ED1597"/>
    <w:rsid w:val="00ED219B"/>
    <w:rsid w:val="00ED29F9"/>
    <w:rsid w:val="00ED2BCC"/>
    <w:rsid w:val="00ED3F42"/>
    <w:rsid w:val="00ED4637"/>
    <w:rsid w:val="00ED4808"/>
    <w:rsid w:val="00EE0A30"/>
    <w:rsid w:val="00EE221B"/>
    <w:rsid w:val="00EE2282"/>
    <w:rsid w:val="00EE28A2"/>
    <w:rsid w:val="00EE3005"/>
    <w:rsid w:val="00EE40F2"/>
    <w:rsid w:val="00EE517D"/>
    <w:rsid w:val="00EE5A59"/>
    <w:rsid w:val="00EE7963"/>
    <w:rsid w:val="00EF0302"/>
    <w:rsid w:val="00EF0BF2"/>
    <w:rsid w:val="00EF0C76"/>
    <w:rsid w:val="00EF1BF2"/>
    <w:rsid w:val="00EF1C05"/>
    <w:rsid w:val="00EF4371"/>
    <w:rsid w:val="00EF440C"/>
    <w:rsid w:val="00EF4E01"/>
    <w:rsid w:val="00EF57AD"/>
    <w:rsid w:val="00EF5C4D"/>
    <w:rsid w:val="00EF5EF1"/>
    <w:rsid w:val="00EF6F18"/>
    <w:rsid w:val="00F0056F"/>
    <w:rsid w:val="00F01B9A"/>
    <w:rsid w:val="00F04130"/>
    <w:rsid w:val="00F05760"/>
    <w:rsid w:val="00F05B91"/>
    <w:rsid w:val="00F06AD5"/>
    <w:rsid w:val="00F07478"/>
    <w:rsid w:val="00F075F6"/>
    <w:rsid w:val="00F110EC"/>
    <w:rsid w:val="00F12361"/>
    <w:rsid w:val="00F1261B"/>
    <w:rsid w:val="00F12666"/>
    <w:rsid w:val="00F14AA4"/>
    <w:rsid w:val="00F16CF0"/>
    <w:rsid w:val="00F17116"/>
    <w:rsid w:val="00F17D3E"/>
    <w:rsid w:val="00F20066"/>
    <w:rsid w:val="00F20478"/>
    <w:rsid w:val="00F23F83"/>
    <w:rsid w:val="00F248E6"/>
    <w:rsid w:val="00F254DB"/>
    <w:rsid w:val="00F27279"/>
    <w:rsid w:val="00F277BB"/>
    <w:rsid w:val="00F277F6"/>
    <w:rsid w:val="00F307A2"/>
    <w:rsid w:val="00F3282A"/>
    <w:rsid w:val="00F33930"/>
    <w:rsid w:val="00F3441C"/>
    <w:rsid w:val="00F344D8"/>
    <w:rsid w:val="00F34D7A"/>
    <w:rsid w:val="00F34E0E"/>
    <w:rsid w:val="00F364D4"/>
    <w:rsid w:val="00F37288"/>
    <w:rsid w:val="00F374E2"/>
    <w:rsid w:val="00F4118D"/>
    <w:rsid w:val="00F457A2"/>
    <w:rsid w:val="00F45BBF"/>
    <w:rsid w:val="00F45BFB"/>
    <w:rsid w:val="00F45E77"/>
    <w:rsid w:val="00F46D15"/>
    <w:rsid w:val="00F5339B"/>
    <w:rsid w:val="00F53D44"/>
    <w:rsid w:val="00F54165"/>
    <w:rsid w:val="00F5460C"/>
    <w:rsid w:val="00F54C0E"/>
    <w:rsid w:val="00F54DA5"/>
    <w:rsid w:val="00F54F24"/>
    <w:rsid w:val="00F602EC"/>
    <w:rsid w:val="00F62788"/>
    <w:rsid w:val="00F62B4C"/>
    <w:rsid w:val="00F63B12"/>
    <w:rsid w:val="00F64493"/>
    <w:rsid w:val="00F64E3E"/>
    <w:rsid w:val="00F65C70"/>
    <w:rsid w:val="00F70DAD"/>
    <w:rsid w:val="00F710AB"/>
    <w:rsid w:val="00F72E38"/>
    <w:rsid w:val="00F74964"/>
    <w:rsid w:val="00F7626F"/>
    <w:rsid w:val="00F81FCF"/>
    <w:rsid w:val="00F824EC"/>
    <w:rsid w:val="00F840CD"/>
    <w:rsid w:val="00F84E99"/>
    <w:rsid w:val="00F90C57"/>
    <w:rsid w:val="00F914B8"/>
    <w:rsid w:val="00F94117"/>
    <w:rsid w:val="00F9416D"/>
    <w:rsid w:val="00F958C6"/>
    <w:rsid w:val="00F96C16"/>
    <w:rsid w:val="00F9710D"/>
    <w:rsid w:val="00F978D0"/>
    <w:rsid w:val="00F9794F"/>
    <w:rsid w:val="00FA1EF5"/>
    <w:rsid w:val="00FA2736"/>
    <w:rsid w:val="00FA3978"/>
    <w:rsid w:val="00FA3E24"/>
    <w:rsid w:val="00FA4306"/>
    <w:rsid w:val="00FA4CBA"/>
    <w:rsid w:val="00FA691D"/>
    <w:rsid w:val="00FA73E6"/>
    <w:rsid w:val="00FB2986"/>
    <w:rsid w:val="00FB3EB0"/>
    <w:rsid w:val="00FB4E73"/>
    <w:rsid w:val="00FB6296"/>
    <w:rsid w:val="00FB718F"/>
    <w:rsid w:val="00FB72F6"/>
    <w:rsid w:val="00FB7E26"/>
    <w:rsid w:val="00FC028B"/>
    <w:rsid w:val="00FC0C9E"/>
    <w:rsid w:val="00FC26A1"/>
    <w:rsid w:val="00FC2995"/>
    <w:rsid w:val="00FC4880"/>
    <w:rsid w:val="00FC4B5D"/>
    <w:rsid w:val="00FC4EB7"/>
    <w:rsid w:val="00FC6C8A"/>
    <w:rsid w:val="00FD0A85"/>
    <w:rsid w:val="00FD11A5"/>
    <w:rsid w:val="00FD1690"/>
    <w:rsid w:val="00FD195A"/>
    <w:rsid w:val="00FD2C36"/>
    <w:rsid w:val="00FD2F36"/>
    <w:rsid w:val="00FD3518"/>
    <w:rsid w:val="00FD5F9B"/>
    <w:rsid w:val="00FD6AB0"/>
    <w:rsid w:val="00FE1539"/>
    <w:rsid w:val="00FE166B"/>
    <w:rsid w:val="00FE461A"/>
    <w:rsid w:val="00FE4F97"/>
    <w:rsid w:val="00FE6398"/>
    <w:rsid w:val="00FE7848"/>
    <w:rsid w:val="00FE7D74"/>
    <w:rsid w:val="00FF18E2"/>
    <w:rsid w:val="00FF2702"/>
    <w:rsid w:val="00FF3AFC"/>
    <w:rsid w:val="00FF40F3"/>
    <w:rsid w:val="00FF50DF"/>
    <w:rsid w:val="00FF7133"/>
    <w:rsid w:val="00FF7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C8119F"/>
  <w15:docId w15:val="{4D61AD89-6237-4863-B940-B7E7EEE67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1.5 line spacing"/>
    <w:qFormat/>
    <w:rsid w:val="00753ECF"/>
    <w:pPr>
      <w:spacing w:line="360" w:lineRule="auto"/>
      <w:jc w:val="both"/>
    </w:pPr>
    <w:rPr>
      <w:rFonts w:ascii="Times New Roman" w:hAnsi="Times New Roman"/>
      <w:sz w:val="22"/>
    </w:rPr>
  </w:style>
  <w:style w:type="paragraph" w:styleId="Heading1">
    <w:name w:val="heading 1"/>
    <w:basedOn w:val="Normal"/>
    <w:next w:val="Normal"/>
    <w:link w:val="Heading1Char"/>
    <w:uiPriority w:val="9"/>
    <w:qFormat/>
    <w:rsid w:val="001F11D8"/>
    <w:pPr>
      <w:keepNext/>
      <w:keepLines/>
      <w:spacing w:before="480" w:after="0"/>
      <w:outlineLvl w:val="0"/>
    </w:pPr>
    <w:rPr>
      <w:rFonts w:asciiTheme="majorHAnsi" w:eastAsiaTheme="majorEastAsia" w:hAnsiTheme="majorHAnsi" w:cstheme="majorBidi"/>
      <w:b/>
      <w:bCs/>
      <w:color w:val="365F91" w:themeColor="accent1" w:themeShade="BF"/>
      <w:sz w:val="32"/>
      <w:szCs w:val="28"/>
      <w:u w:val="single"/>
    </w:rPr>
  </w:style>
  <w:style w:type="paragraph" w:styleId="Heading2">
    <w:name w:val="heading 2"/>
    <w:basedOn w:val="Normal"/>
    <w:next w:val="Normal"/>
    <w:link w:val="Heading2Char"/>
    <w:uiPriority w:val="9"/>
    <w:unhideWhenUsed/>
    <w:qFormat/>
    <w:rsid w:val="005657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31E7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208A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208A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208A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1340B"/>
    <w:pPr>
      <w:keepNext/>
      <w:keepLines/>
      <w:spacing w:before="20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unhideWhenUsed/>
    <w:qFormat/>
    <w:rsid w:val="0093382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2049"/>
    <w:pPr>
      <w:spacing w:after="0" w:line="240" w:lineRule="auto"/>
    </w:pPr>
  </w:style>
  <w:style w:type="character" w:customStyle="1" w:styleId="Heading1Char">
    <w:name w:val="Heading 1 Char"/>
    <w:basedOn w:val="DefaultParagraphFont"/>
    <w:link w:val="Heading1"/>
    <w:uiPriority w:val="9"/>
    <w:rsid w:val="001F11D8"/>
    <w:rPr>
      <w:rFonts w:asciiTheme="majorHAnsi" w:eastAsiaTheme="majorEastAsia" w:hAnsiTheme="majorHAnsi" w:cstheme="majorBidi"/>
      <w:b/>
      <w:bCs/>
      <w:color w:val="365F91" w:themeColor="accent1" w:themeShade="BF"/>
      <w:sz w:val="32"/>
      <w:szCs w:val="28"/>
      <w:u w:val="single"/>
    </w:rPr>
  </w:style>
  <w:style w:type="character" w:customStyle="1" w:styleId="Heading2Char">
    <w:name w:val="Heading 2 Char"/>
    <w:basedOn w:val="DefaultParagraphFont"/>
    <w:link w:val="Heading2"/>
    <w:uiPriority w:val="9"/>
    <w:rsid w:val="0056574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17D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D91"/>
    <w:rPr>
      <w:rFonts w:ascii="Tahoma" w:hAnsi="Tahoma" w:cs="Tahoma"/>
      <w:sz w:val="16"/>
      <w:szCs w:val="16"/>
    </w:rPr>
  </w:style>
  <w:style w:type="character" w:styleId="PlaceholderText">
    <w:name w:val="Placeholder Text"/>
    <w:basedOn w:val="DefaultParagraphFont"/>
    <w:uiPriority w:val="99"/>
    <w:semiHidden/>
    <w:rsid w:val="00696A76"/>
    <w:rPr>
      <w:color w:val="808080"/>
    </w:rPr>
  </w:style>
  <w:style w:type="table" w:styleId="TableGrid">
    <w:name w:val="Table Grid"/>
    <w:basedOn w:val="TableNormal"/>
    <w:uiPriority w:val="59"/>
    <w:rsid w:val="00136E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0C00ED"/>
    <w:pPr>
      <w:outlineLvl w:val="9"/>
    </w:pPr>
    <w:rPr>
      <w:lang w:val="en-US"/>
    </w:rPr>
  </w:style>
  <w:style w:type="paragraph" w:styleId="TOC1">
    <w:name w:val="toc 1"/>
    <w:basedOn w:val="Normal"/>
    <w:next w:val="Normal"/>
    <w:autoRedefine/>
    <w:uiPriority w:val="39"/>
    <w:unhideWhenUsed/>
    <w:rsid w:val="001A338D"/>
    <w:pPr>
      <w:tabs>
        <w:tab w:val="right" w:leader="dot" w:pos="9016"/>
      </w:tabs>
      <w:spacing w:after="100" w:line="276" w:lineRule="auto"/>
    </w:pPr>
  </w:style>
  <w:style w:type="paragraph" w:styleId="TOC2">
    <w:name w:val="toc 2"/>
    <w:basedOn w:val="Normal"/>
    <w:next w:val="Normal"/>
    <w:autoRedefine/>
    <w:uiPriority w:val="39"/>
    <w:unhideWhenUsed/>
    <w:rsid w:val="000C00ED"/>
    <w:pPr>
      <w:spacing w:after="100"/>
      <w:ind w:left="220"/>
    </w:pPr>
  </w:style>
  <w:style w:type="character" w:styleId="Hyperlink">
    <w:name w:val="Hyperlink"/>
    <w:basedOn w:val="DefaultParagraphFont"/>
    <w:uiPriority w:val="99"/>
    <w:unhideWhenUsed/>
    <w:rsid w:val="000C00ED"/>
    <w:rPr>
      <w:color w:val="0000FF" w:themeColor="hyperlink"/>
      <w:u w:val="single"/>
    </w:rPr>
  </w:style>
  <w:style w:type="paragraph" w:styleId="Header">
    <w:name w:val="header"/>
    <w:basedOn w:val="Normal"/>
    <w:link w:val="HeaderChar"/>
    <w:uiPriority w:val="99"/>
    <w:unhideWhenUsed/>
    <w:rsid w:val="000C0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0ED"/>
  </w:style>
  <w:style w:type="paragraph" w:styleId="Footer">
    <w:name w:val="footer"/>
    <w:basedOn w:val="Normal"/>
    <w:link w:val="FooterChar"/>
    <w:uiPriority w:val="99"/>
    <w:unhideWhenUsed/>
    <w:rsid w:val="000C0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0ED"/>
  </w:style>
  <w:style w:type="paragraph" w:styleId="Subtitle">
    <w:name w:val="Subtitle"/>
    <w:basedOn w:val="Normal"/>
    <w:next w:val="Normal"/>
    <w:link w:val="SubtitleChar"/>
    <w:uiPriority w:val="11"/>
    <w:qFormat/>
    <w:rsid w:val="00255D88"/>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55D88"/>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A661A3"/>
    <w:pPr>
      <w:ind w:left="720"/>
      <w:contextualSpacing/>
    </w:pPr>
  </w:style>
  <w:style w:type="paragraph" w:styleId="Title">
    <w:name w:val="Title"/>
    <w:basedOn w:val="Normal"/>
    <w:next w:val="Normal"/>
    <w:link w:val="TitleChar"/>
    <w:uiPriority w:val="10"/>
    <w:qFormat/>
    <w:rsid w:val="00296C3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96C32"/>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8559F0"/>
    <w:rPr>
      <w:color w:val="800080" w:themeColor="followedHyperlink"/>
      <w:u w:val="single"/>
    </w:rPr>
  </w:style>
  <w:style w:type="character" w:styleId="Emphasis">
    <w:name w:val="Emphasis"/>
    <w:basedOn w:val="DefaultParagraphFont"/>
    <w:uiPriority w:val="20"/>
    <w:qFormat/>
    <w:rsid w:val="007459F0"/>
    <w:rPr>
      <w:i/>
      <w:iCs/>
    </w:rPr>
  </w:style>
  <w:style w:type="paragraph" w:styleId="DocumentMap">
    <w:name w:val="Document Map"/>
    <w:basedOn w:val="Normal"/>
    <w:link w:val="DocumentMapChar"/>
    <w:uiPriority w:val="99"/>
    <w:semiHidden/>
    <w:unhideWhenUsed/>
    <w:rsid w:val="0026642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66420"/>
    <w:rPr>
      <w:rFonts w:ascii="Tahoma" w:hAnsi="Tahoma" w:cs="Tahoma"/>
      <w:sz w:val="16"/>
      <w:szCs w:val="16"/>
    </w:rPr>
  </w:style>
  <w:style w:type="paragraph" w:styleId="NormalWeb">
    <w:name w:val="Normal (Web)"/>
    <w:basedOn w:val="Normal"/>
    <w:uiPriority w:val="99"/>
    <w:unhideWhenUsed/>
    <w:rsid w:val="00A82719"/>
    <w:pPr>
      <w:spacing w:before="100" w:beforeAutospacing="1" w:after="100" w:afterAutospacing="1" w:line="240" w:lineRule="auto"/>
      <w:jc w:val="left"/>
    </w:pPr>
    <w:rPr>
      <w:rFonts w:eastAsia="Times New Roman" w:cs="Times New Roman"/>
      <w:lang w:eastAsia="en-GB"/>
    </w:rPr>
  </w:style>
  <w:style w:type="paragraph" w:customStyle="1" w:styleId="Paragraphnumbered">
    <w:name w:val="Paragraph numbered"/>
    <w:basedOn w:val="Normal"/>
    <w:rsid w:val="009D0CE0"/>
    <w:pPr>
      <w:numPr>
        <w:numId w:val="1"/>
      </w:numPr>
      <w:spacing w:before="60" w:after="0" w:line="240" w:lineRule="auto"/>
      <w:jc w:val="left"/>
    </w:pPr>
    <w:rPr>
      <w:rFonts w:ascii="Arial" w:eastAsia="Times New Roman" w:hAnsi="Arial" w:cs="Times New Roman"/>
      <w:szCs w:val="20"/>
    </w:rPr>
  </w:style>
  <w:style w:type="character" w:customStyle="1" w:styleId="titledisplay1">
    <w:name w:val="titledisplay1"/>
    <w:rsid w:val="009D0CE0"/>
    <w:rPr>
      <w:rFonts w:ascii="Verdana" w:hAnsi="Verdana" w:hint="default"/>
      <w:b/>
      <w:bCs/>
      <w:sz w:val="16"/>
      <w:szCs w:val="16"/>
    </w:rPr>
  </w:style>
  <w:style w:type="character" w:customStyle="1" w:styleId="sourcedisplay1">
    <w:name w:val="sourcedisplay1"/>
    <w:rsid w:val="009D0CE0"/>
    <w:rPr>
      <w:rFonts w:ascii="Verdana" w:hAnsi="Verdana" w:hint="default"/>
      <w:sz w:val="12"/>
      <w:szCs w:val="12"/>
    </w:rPr>
  </w:style>
  <w:style w:type="paragraph" w:styleId="Bibliography">
    <w:name w:val="Bibliography"/>
    <w:basedOn w:val="Normal"/>
    <w:next w:val="Normal"/>
    <w:uiPriority w:val="37"/>
    <w:unhideWhenUsed/>
    <w:rsid w:val="008623E0"/>
  </w:style>
  <w:style w:type="character" w:customStyle="1" w:styleId="Heading3Char">
    <w:name w:val="Heading 3 Char"/>
    <w:basedOn w:val="DefaultParagraphFont"/>
    <w:link w:val="Heading3"/>
    <w:uiPriority w:val="9"/>
    <w:rsid w:val="00331E72"/>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A91ADC"/>
    <w:pPr>
      <w:spacing w:after="100"/>
      <w:ind w:left="480"/>
    </w:pPr>
  </w:style>
  <w:style w:type="paragraph" w:styleId="Caption">
    <w:name w:val="caption"/>
    <w:basedOn w:val="Normal"/>
    <w:next w:val="Normal"/>
    <w:uiPriority w:val="35"/>
    <w:unhideWhenUsed/>
    <w:qFormat/>
    <w:rsid w:val="00517A07"/>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517A07"/>
    <w:pPr>
      <w:spacing w:after="0"/>
    </w:pPr>
  </w:style>
  <w:style w:type="character" w:customStyle="1" w:styleId="Heading4Char">
    <w:name w:val="Heading 4 Char"/>
    <w:basedOn w:val="DefaultParagraphFont"/>
    <w:link w:val="Heading4"/>
    <w:uiPriority w:val="9"/>
    <w:rsid w:val="00E208A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208A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E208A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1340B"/>
    <w:rPr>
      <w:rFonts w:asciiTheme="majorHAnsi" w:eastAsiaTheme="majorEastAsia" w:hAnsiTheme="majorHAnsi" w:cstheme="majorBidi"/>
      <w:i/>
      <w:iCs/>
      <w:color w:val="595959" w:themeColor="text1" w:themeTint="A6"/>
    </w:rPr>
  </w:style>
  <w:style w:type="character" w:customStyle="1" w:styleId="apple-style-span">
    <w:name w:val="apple-style-span"/>
    <w:basedOn w:val="DefaultParagraphFont"/>
    <w:rsid w:val="005A361C"/>
  </w:style>
  <w:style w:type="character" w:customStyle="1" w:styleId="apple-converted-space">
    <w:name w:val="apple-converted-space"/>
    <w:basedOn w:val="DefaultParagraphFont"/>
    <w:rsid w:val="0043733C"/>
  </w:style>
  <w:style w:type="paragraph" w:styleId="BodyText">
    <w:name w:val="Body Text"/>
    <w:basedOn w:val="Normal"/>
    <w:link w:val="BodyTextChar"/>
    <w:rsid w:val="00EA769F"/>
    <w:pPr>
      <w:spacing w:after="120" w:line="240" w:lineRule="auto"/>
      <w:jc w:val="left"/>
    </w:pPr>
    <w:rPr>
      <w:rFonts w:ascii="Arial" w:eastAsia="Times New Roman" w:hAnsi="Arial" w:cs="Times New Roman"/>
    </w:rPr>
  </w:style>
  <w:style w:type="character" w:customStyle="1" w:styleId="BodyTextChar">
    <w:name w:val="Body Text Char"/>
    <w:basedOn w:val="DefaultParagraphFont"/>
    <w:link w:val="BodyText"/>
    <w:rsid w:val="00EA769F"/>
    <w:rPr>
      <w:rFonts w:ascii="Arial" w:eastAsia="Times New Roman" w:hAnsi="Arial" w:cs="Times New Roman"/>
      <w:sz w:val="22"/>
    </w:rPr>
  </w:style>
  <w:style w:type="paragraph" w:styleId="Quote">
    <w:name w:val="Quote"/>
    <w:basedOn w:val="Normal"/>
    <w:next w:val="Normal"/>
    <w:link w:val="QuoteChar"/>
    <w:uiPriority w:val="29"/>
    <w:qFormat/>
    <w:rsid w:val="00104C38"/>
    <w:rPr>
      <w:i/>
      <w:iCs/>
      <w:color w:val="000000" w:themeColor="text1"/>
    </w:rPr>
  </w:style>
  <w:style w:type="character" w:customStyle="1" w:styleId="QuoteChar">
    <w:name w:val="Quote Char"/>
    <w:basedOn w:val="DefaultParagraphFont"/>
    <w:link w:val="Quote"/>
    <w:uiPriority w:val="29"/>
    <w:rsid w:val="00104C38"/>
    <w:rPr>
      <w:rFonts w:ascii="Times New Roman" w:hAnsi="Times New Roman"/>
      <w:i/>
      <w:iCs/>
      <w:color w:val="000000" w:themeColor="text1"/>
    </w:rPr>
  </w:style>
  <w:style w:type="character" w:customStyle="1" w:styleId="Heading8Char">
    <w:name w:val="Heading 8 Char"/>
    <w:basedOn w:val="DefaultParagraphFont"/>
    <w:link w:val="Heading8"/>
    <w:uiPriority w:val="9"/>
    <w:rsid w:val="00933822"/>
    <w:rPr>
      <w:rFonts w:asciiTheme="majorHAnsi" w:eastAsiaTheme="majorEastAsia" w:hAnsiTheme="majorHAnsi" w:cstheme="majorBidi"/>
      <w:color w:val="404040" w:themeColor="text1" w:themeTint="BF"/>
      <w:sz w:val="20"/>
      <w:szCs w:val="20"/>
    </w:rPr>
  </w:style>
  <w:style w:type="character" w:customStyle="1" w:styleId="itxtrst">
    <w:name w:val="itxtrst"/>
    <w:basedOn w:val="DefaultParagraphFont"/>
    <w:rsid w:val="00010FEC"/>
  </w:style>
  <w:style w:type="character" w:styleId="Strong">
    <w:name w:val="Strong"/>
    <w:basedOn w:val="DefaultParagraphFont"/>
    <w:uiPriority w:val="22"/>
    <w:qFormat/>
    <w:rsid w:val="00F7626F"/>
    <w:rPr>
      <w:b/>
      <w:bCs/>
    </w:rPr>
  </w:style>
  <w:style w:type="character" w:customStyle="1" w:styleId="truncate">
    <w:name w:val="truncate"/>
    <w:basedOn w:val="DefaultParagraphFont"/>
    <w:rsid w:val="00F7626F"/>
  </w:style>
  <w:style w:type="character" w:styleId="UnresolvedMention">
    <w:name w:val="Unresolved Mention"/>
    <w:basedOn w:val="DefaultParagraphFont"/>
    <w:uiPriority w:val="99"/>
    <w:semiHidden/>
    <w:unhideWhenUsed/>
    <w:rsid w:val="00D208FF"/>
    <w:rPr>
      <w:color w:val="605E5C"/>
      <w:shd w:val="clear" w:color="auto" w:fill="E1DFDD"/>
    </w:rPr>
  </w:style>
  <w:style w:type="character" w:customStyle="1" w:styleId="editortnoteditedwurp8">
    <w:name w:val="editor_t__not_edited__wurp8"/>
    <w:basedOn w:val="DefaultParagraphFont"/>
    <w:rsid w:val="0048760B"/>
  </w:style>
  <w:style w:type="character" w:customStyle="1" w:styleId="editortaddedltunj">
    <w:name w:val="editor_t__added__ltunj"/>
    <w:basedOn w:val="DefaultParagraphFont"/>
    <w:rsid w:val="0048760B"/>
  </w:style>
  <w:style w:type="character" w:customStyle="1" w:styleId="editortnoteditedlongjunnx">
    <w:name w:val="editor_t__not_edited_long__junnx"/>
    <w:basedOn w:val="DefaultParagraphFont"/>
    <w:rsid w:val="0048760B"/>
  </w:style>
  <w:style w:type="table" w:styleId="TableGridLight">
    <w:name w:val="Grid Table Light"/>
    <w:basedOn w:val="TableNormal"/>
    <w:uiPriority w:val="40"/>
    <w:rsid w:val="006A762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0270">
      <w:bodyDiv w:val="1"/>
      <w:marLeft w:val="0"/>
      <w:marRight w:val="0"/>
      <w:marTop w:val="0"/>
      <w:marBottom w:val="0"/>
      <w:divBdr>
        <w:top w:val="none" w:sz="0" w:space="0" w:color="auto"/>
        <w:left w:val="none" w:sz="0" w:space="0" w:color="auto"/>
        <w:bottom w:val="none" w:sz="0" w:space="0" w:color="auto"/>
        <w:right w:val="none" w:sz="0" w:space="0" w:color="auto"/>
      </w:divBdr>
    </w:div>
    <w:div w:id="11415939">
      <w:bodyDiv w:val="1"/>
      <w:marLeft w:val="0"/>
      <w:marRight w:val="0"/>
      <w:marTop w:val="0"/>
      <w:marBottom w:val="0"/>
      <w:divBdr>
        <w:top w:val="none" w:sz="0" w:space="0" w:color="auto"/>
        <w:left w:val="none" w:sz="0" w:space="0" w:color="auto"/>
        <w:bottom w:val="none" w:sz="0" w:space="0" w:color="auto"/>
        <w:right w:val="none" w:sz="0" w:space="0" w:color="auto"/>
      </w:divBdr>
    </w:div>
    <w:div w:id="13963858">
      <w:bodyDiv w:val="1"/>
      <w:marLeft w:val="0"/>
      <w:marRight w:val="0"/>
      <w:marTop w:val="0"/>
      <w:marBottom w:val="0"/>
      <w:divBdr>
        <w:top w:val="none" w:sz="0" w:space="0" w:color="auto"/>
        <w:left w:val="none" w:sz="0" w:space="0" w:color="auto"/>
        <w:bottom w:val="none" w:sz="0" w:space="0" w:color="auto"/>
        <w:right w:val="none" w:sz="0" w:space="0" w:color="auto"/>
      </w:divBdr>
    </w:div>
    <w:div w:id="19625376">
      <w:bodyDiv w:val="1"/>
      <w:marLeft w:val="0"/>
      <w:marRight w:val="0"/>
      <w:marTop w:val="0"/>
      <w:marBottom w:val="0"/>
      <w:divBdr>
        <w:top w:val="none" w:sz="0" w:space="0" w:color="auto"/>
        <w:left w:val="none" w:sz="0" w:space="0" w:color="auto"/>
        <w:bottom w:val="none" w:sz="0" w:space="0" w:color="auto"/>
        <w:right w:val="none" w:sz="0" w:space="0" w:color="auto"/>
      </w:divBdr>
    </w:div>
    <w:div w:id="25329232">
      <w:bodyDiv w:val="1"/>
      <w:marLeft w:val="0"/>
      <w:marRight w:val="0"/>
      <w:marTop w:val="0"/>
      <w:marBottom w:val="0"/>
      <w:divBdr>
        <w:top w:val="none" w:sz="0" w:space="0" w:color="auto"/>
        <w:left w:val="none" w:sz="0" w:space="0" w:color="auto"/>
        <w:bottom w:val="none" w:sz="0" w:space="0" w:color="auto"/>
        <w:right w:val="none" w:sz="0" w:space="0" w:color="auto"/>
      </w:divBdr>
    </w:div>
    <w:div w:id="32729530">
      <w:bodyDiv w:val="1"/>
      <w:marLeft w:val="0"/>
      <w:marRight w:val="0"/>
      <w:marTop w:val="0"/>
      <w:marBottom w:val="0"/>
      <w:divBdr>
        <w:top w:val="none" w:sz="0" w:space="0" w:color="auto"/>
        <w:left w:val="none" w:sz="0" w:space="0" w:color="auto"/>
        <w:bottom w:val="none" w:sz="0" w:space="0" w:color="auto"/>
        <w:right w:val="none" w:sz="0" w:space="0" w:color="auto"/>
      </w:divBdr>
    </w:div>
    <w:div w:id="37358956">
      <w:bodyDiv w:val="1"/>
      <w:marLeft w:val="0"/>
      <w:marRight w:val="0"/>
      <w:marTop w:val="0"/>
      <w:marBottom w:val="0"/>
      <w:divBdr>
        <w:top w:val="none" w:sz="0" w:space="0" w:color="auto"/>
        <w:left w:val="none" w:sz="0" w:space="0" w:color="auto"/>
        <w:bottom w:val="none" w:sz="0" w:space="0" w:color="auto"/>
        <w:right w:val="none" w:sz="0" w:space="0" w:color="auto"/>
      </w:divBdr>
    </w:div>
    <w:div w:id="46923839">
      <w:bodyDiv w:val="1"/>
      <w:marLeft w:val="0"/>
      <w:marRight w:val="0"/>
      <w:marTop w:val="0"/>
      <w:marBottom w:val="0"/>
      <w:divBdr>
        <w:top w:val="none" w:sz="0" w:space="0" w:color="auto"/>
        <w:left w:val="none" w:sz="0" w:space="0" w:color="auto"/>
        <w:bottom w:val="none" w:sz="0" w:space="0" w:color="auto"/>
        <w:right w:val="none" w:sz="0" w:space="0" w:color="auto"/>
      </w:divBdr>
    </w:div>
    <w:div w:id="54282181">
      <w:bodyDiv w:val="1"/>
      <w:marLeft w:val="0"/>
      <w:marRight w:val="0"/>
      <w:marTop w:val="0"/>
      <w:marBottom w:val="0"/>
      <w:divBdr>
        <w:top w:val="none" w:sz="0" w:space="0" w:color="auto"/>
        <w:left w:val="none" w:sz="0" w:space="0" w:color="auto"/>
        <w:bottom w:val="none" w:sz="0" w:space="0" w:color="auto"/>
        <w:right w:val="none" w:sz="0" w:space="0" w:color="auto"/>
      </w:divBdr>
    </w:div>
    <w:div w:id="56755237">
      <w:bodyDiv w:val="1"/>
      <w:marLeft w:val="0"/>
      <w:marRight w:val="0"/>
      <w:marTop w:val="0"/>
      <w:marBottom w:val="0"/>
      <w:divBdr>
        <w:top w:val="none" w:sz="0" w:space="0" w:color="auto"/>
        <w:left w:val="none" w:sz="0" w:space="0" w:color="auto"/>
        <w:bottom w:val="none" w:sz="0" w:space="0" w:color="auto"/>
        <w:right w:val="none" w:sz="0" w:space="0" w:color="auto"/>
      </w:divBdr>
    </w:div>
    <w:div w:id="65805850">
      <w:bodyDiv w:val="1"/>
      <w:marLeft w:val="0"/>
      <w:marRight w:val="0"/>
      <w:marTop w:val="0"/>
      <w:marBottom w:val="0"/>
      <w:divBdr>
        <w:top w:val="none" w:sz="0" w:space="0" w:color="auto"/>
        <w:left w:val="none" w:sz="0" w:space="0" w:color="auto"/>
        <w:bottom w:val="none" w:sz="0" w:space="0" w:color="auto"/>
        <w:right w:val="none" w:sz="0" w:space="0" w:color="auto"/>
      </w:divBdr>
    </w:div>
    <w:div w:id="78452762">
      <w:bodyDiv w:val="1"/>
      <w:marLeft w:val="0"/>
      <w:marRight w:val="0"/>
      <w:marTop w:val="0"/>
      <w:marBottom w:val="0"/>
      <w:divBdr>
        <w:top w:val="none" w:sz="0" w:space="0" w:color="auto"/>
        <w:left w:val="none" w:sz="0" w:space="0" w:color="auto"/>
        <w:bottom w:val="none" w:sz="0" w:space="0" w:color="auto"/>
        <w:right w:val="none" w:sz="0" w:space="0" w:color="auto"/>
      </w:divBdr>
    </w:div>
    <w:div w:id="81032689">
      <w:bodyDiv w:val="1"/>
      <w:marLeft w:val="0"/>
      <w:marRight w:val="0"/>
      <w:marTop w:val="0"/>
      <w:marBottom w:val="0"/>
      <w:divBdr>
        <w:top w:val="none" w:sz="0" w:space="0" w:color="auto"/>
        <w:left w:val="none" w:sz="0" w:space="0" w:color="auto"/>
        <w:bottom w:val="none" w:sz="0" w:space="0" w:color="auto"/>
        <w:right w:val="none" w:sz="0" w:space="0" w:color="auto"/>
      </w:divBdr>
    </w:div>
    <w:div w:id="94793234">
      <w:bodyDiv w:val="1"/>
      <w:marLeft w:val="0"/>
      <w:marRight w:val="0"/>
      <w:marTop w:val="0"/>
      <w:marBottom w:val="0"/>
      <w:divBdr>
        <w:top w:val="none" w:sz="0" w:space="0" w:color="auto"/>
        <w:left w:val="none" w:sz="0" w:space="0" w:color="auto"/>
        <w:bottom w:val="none" w:sz="0" w:space="0" w:color="auto"/>
        <w:right w:val="none" w:sz="0" w:space="0" w:color="auto"/>
      </w:divBdr>
    </w:div>
    <w:div w:id="100414176">
      <w:bodyDiv w:val="1"/>
      <w:marLeft w:val="0"/>
      <w:marRight w:val="0"/>
      <w:marTop w:val="0"/>
      <w:marBottom w:val="0"/>
      <w:divBdr>
        <w:top w:val="none" w:sz="0" w:space="0" w:color="auto"/>
        <w:left w:val="none" w:sz="0" w:space="0" w:color="auto"/>
        <w:bottom w:val="none" w:sz="0" w:space="0" w:color="auto"/>
        <w:right w:val="none" w:sz="0" w:space="0" w:color="auto"/>
      </w:divBdr>
    </w:div>
    <w:div w:id="105272030">
      <w:bodyDiv w:val="1"/>
      <w:marLeft w:val="0"/>
      <w:marRight w:val="0"/>
      <w:marTop w:val="0"/>
      <w:marBottom w:val="0"/>
      <w:divBdr>
        <w:top w:val="none" w:sz="0" w:space="0" w:color="auto"/>
        <w:left w:val="none" w:sz="0" w:space="0" w:color="auto"/>
        <w:bottom w:val="none" w:sz="0" w:space="0" w:color="auto"/>
        <w:right w:val="none" w:sz="0" w:space="0" w:color="auto"/>
      </w:divBdr>
    </w:div>
    <w:div w:id="110633448">
      <w:bodyDiv w:val="1"/>
      <w:marLeft w:val="0"/>
      <w:marRight w:val="0"/>
      <w:marTop w:val="0"/>
      <w:marBottom w:val="0"/>
      <w:divBdr>
        <w:top w:val="none" w:sz="0" w:space="0" w:color="auto"/>
        <w:left w:val="none" w:sz="0" w:space="0" w:color="auto"/>
        <w:bottom w:val="none" w:sz="0" w:space="0" w:color="auto"/>
        <w:right w:val="none" w:sz="0" w:space="0" w:color="auto"/>
      </w:divBdr>
    </w:div>
    <w:div w:id="115224622">
      <w:bodyDiv w:val="1"/>
      <w:marLeft w:val="0"/>
      <w:marRight w:val="0"/>
      <w:marTop w:val="0"/>
      <w:marBottom w:val="0"/>
      <w:divBdr>
        <w:top w:val="none" w:sz="0" w:space="0" w:color="auto"/>
        <w:left w:val="none" w:sz="0" w:space="0" w:color="auto"/>
        <w:bottom w:val="none" w:sz="0" w:space="0" w:color="auto"/>
        <w:right w:val="none" w:sz="0" w:space="0" w:color="auto"/>
      </w:divBdr>
    </w:div>
    <w:div w:id="125437215">
      <w:bodyDiv w:val="1"/>
      <w:marLeft w:val="0"/>
      <w:marRight w:val="0"/>
      <w:marTop w:val="0"/>
      <w:marBottom w:val="0"/>
      <w:divBdr>
        <w:top w:val="none" w:sz="0" w:space="0" w:color="auto"/>
        <w:left w:val="none" w:sz="0" w:space="0" w:color="auto"/>
        <w:bottom w:val="none" w:sz="0" w:space="0" w:color="auto"/>
        <w:right w:val="none" w:sz="0" w:space="0" w:color="auto"/>
      </w:divBdr>
      <w:divsChild>
        <w:div w:id="152110203">
          <w:marLeft w:val="0"/>
          <w:marRight w:val="0"/>
          <w:marTop w:val="0"/>
          <w:marBottom w:val="0"/>
          <w:divBdr>
            <w:top w:val="none" w:sz="0" w:space="0" w:color="auto"/>
            <w:left w:val="none" w:sz="0" w:space="0" w:color="auto"/>
            <w:bottom w:val="none" w:sz="0" w:space="0" w:color="auto"/>
            <w:right w:val="none" w:sz="0" w:space="0" w:color="auto"/>
          </w:divBdr>
        </w:div>
        <w:div w:id="655645361">
          <w:marLeft w:val="0"/>
          <w:marRight w:val="0"/>
          <w:marTop w:val="0"/>
          <w:marBottom w:val="0"/>
          <w:divBdr>
            <w:top w:val="none" w:sz="0" w:space="0" w:color="auto"/>
            <w:left w:val="none" w:sz="0" w:space="0" w:color="auto"/>
            <w:bottom w:val="none" w:sz="0" w:space="0" w:color="auto"/>
            <w:right w:val="none" w:sz="0" w:space="0" w:color="auto"/>
          </w:divBdr>
        </w:div>
        <w:div w:id="1094129536">
          <w:marLeft w:val="0"/>
          <w:marRight w:val="0"/>
          <w:marTop w:val="0"/>
          <w:marBottom w:val="0"/>
          <w:divBdr>
            <w:top w:val="none" w:sz="0" w:space="0" w:color="auto"/>
            <w:left w:val="none" w:sz="0" w:space="0" w:color="auto"/>
            <w:bottom w:val="none" w:sz="0" w:space="0" w:color="auto"/>
            <w:right w:val="none" w:sz="0" w:space="0" w:color="auto"/>
          </w:divBdr>
        </w:div>
      </w:divsChild>
    </w:div>
    <w:div w:id="129978340">
      <w:bodyDiv w:val="1"/>
      <w:marLeft w:val="0"/>
      <w:marRight w:val="0"/>
      <w:marTop w:val="0"/>
      <w:marBottom w:val="0"/>
      <w:divBdr>
        <w:top w:val="none" w:sz="0" w:space="0" w:color="auto"/>
        <w:left w:val="none" w:sz="0" w:space="0" w:color="auto"/>
        <w:bottom w:val="none" w:sz="0" w:space="0" w:color="auto"/>
        <w:right w:val="none" w:sz="0" w:space="0" w:color="auto"/>
      </w:divBdr>
      <w:divsChild>
        <w:div w:id="1701977757">
          <w:marLeft w:val="0"/>
          <w:marRight w:val="0"/>
          <w:marTop w:val="0"/>
          <w:marBottom w:val="0"/>
          <w:divBdr>
            <w:top w:val="none" w:sz="0" w:space="0" w:color="auto"/>
            <w:left w:val="none" w:sz="0" w:space="0" w:color="auto"/>
            <w:bottom w:val="none" w:sz="0" w:space="0" w:color="auto"/>
            <w:right w:val="none" w:sz="0" w:space="0" w:color="auto"/>
          </w:divBdr>
          <w:divsChild>
            <w:div w:id="92157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0387">
      <w:bodyDiv w:val="1"/>
      <w:marLeft w:val="0"/>
      <w:marRight w:val="0"/>
      <w:marTop w:val="0"/>
      <w:marBottom w:val="0"/>
      <w:divBdr>
        <w:top w:val="none" w:sz="0" w:space="0" w:color="auto"/>
        <w:left w:val="none" w:sz="0" w:space="0" w:color="auto"/>
        <w:bottom w:val="none" w:sz="0" w:space="0" w:color="auto"/>
        <w:right w:val="none" w:sz="0" w:space="0" w:color="auto"/>
      </w:divBdr>
    </w:div>
    <w:div w:id="136142407">
      <w:bodyDiv w:val="1"/>
      <w:marLeft w:val="0"/>
      <w:marRight w:val="0"/>
      <w:marTop w:val="0"/>
      <w:marBottom w:val="0"/>
      <w:divBdr>
        <w:top w:val="none" w:sz="0" w:space="0" w:color="auto"/>
        <w:left w:val="none" w:sz="0" w:space="0" w:color="auto"/>
        <w:bottom w:val="none" w:sz="0" w:space="0" w:color="auto"/>
        <w:right w:val="none" w:sz="0" w:space="0" w:color="auto"/>
      </w:divBdr>
    </w:div>
    <w:div w:id="164519296">
      <w:bodyDiv w:val="1"/>
      <w:marLeft w:val="0"/>
      <w:marRight w:val="0"/>
      <w:marTop w:val="0"/>
      <w:marBottom w:val="0"/>
      <w:divBdr>
        <w:top w:val="none" w:sz="0" w:space="0" w:color="auto"/>
        <w:left w:val="none" w:sz="0" w:space="0" w:color="auto"/>
        <w:bottom w:val="none" w:sz="0" w:space="0" w:color="auto"/>
        <w:right w:val="none" w:sz="0" w:space="0" w:color="auto"/>
      </w:divBdr>
    </w:div>
    <w:div w:id="167059964">
      <w:bodyDiv w:val="1"/>
      <w:marLeft w:val="0"/>
      <w:marRight w:val="0"/>
      <w:marTop w:val="0"/>
      <w:marBottom w:val="0"/>
      <w:divBdr>
        <w:top w:val="none" w:sz="0" w:space="0" w:color="auto"/>
        <w:left w:val="none" w:sz="0" w:space="0" w:color="auto"/>
        <w:bottom w:val="none" w:sz="0" w:space="0" w:color="auto"/>
        <w:right w:val="none" w:sz="0" w:space="0" w:color="auto"/>
      </w:divBdr>
    </w:div>
    <w:div w:id="172230727">
      <w:bodyDiv w:val="1"/>
      <w:marLeft w:val="0"/>
      <w:marRight w:val="0"/>
      <w:marTop w:val="0"/>
      <w:marBottom w:val="0"/>
      <w:divBdr>
        <w:top w:val="none" w:sz="0" w:space="0" w:color="auto"/>
        <w:left w:val="none" w:sz="0" w:space="0" w:color="auto"/>
        <w:bottom w:val="none" w:sz="0" w:space="0" w:color="auto"/>
        <w:right w:val="none" w:sz="0" w:space="0" w:color="auto"/>
      </w:divBdr>
      <w:divsChild>
        <w:div w:id="568420819">
          <w:marLeft w:val="0"/>
          <w:marRight w:val="0"/>
          <w:marTop w:val="0"/>
          <w:marBottom w:val="0"/>
          <w:divBdr>
            <w:top w:val="none" w:sz="0" w:space="0" w:color="auto"/>
            <w:left w:val="none" w:sz="0" w:space="0" w:color="auto"/>
            <w:bottom w:val="none" w:sz="0" w:space="0" w:color="auto"/>
            <w:right w:val="none" w:sz="0" w:space="0" w:color="auto"/>
          </w:divBdr>
        </w:div>
        <w:div w:id="954171194">
          <w:marLeft w:val="0"/>
          <w:marRight w:val="0"/>
          <w:marTop w:val="0"/>
          <w:marBottom w:val="0"/>
          <w:divBdr>
            <w:top w:val="none" w:sz="0" w:space="0" w:color="auto"/>
            <w:left w:val="none" w:sz="0" w:space="0" w:color="auto"/>
            <w:bottom w:val="none" w:sz="0" w:space="0" w:color="auto"/>
            <w:right w:val="none" w:sz="0" w:space="0" w:color="auto"/>
          </w:divBdr>
        </w:div>
        <w:div w:id="1434130290">
          <w:marLeft w:val="0"/>
          <w:marRight w:val="0"/>
          <w:marTop w:val="0"/>
          <w:marBottom w:val="0"/>
          <w:divBdr>
            <w:top w:val="none" w:sz="0" w:space="0" w:color="auto"/>
            <w:left w:val="none" w:sz="0" w:space="0" w:color="auto"/>
            <w:bottom w:val="none" w:sz="0" w:space="0" w:color="auto"/>
            <w:right w:val="none" w:sz="0" w:space="0" w:color="auto"/>
          </w:divBdr>
        </w:div>
      </w:divsChild>
    </w:div>
    <w:div w:id="178352048">
      <w:bodyDiv w:val="1"/>
      <w:marLeft w:val="0"/>
      <w:marRight w:val="0"/>
      <w:marTop w:val="0"/>
      <w:marBottom w:val="0"/>
      <w:divBdr>
        <w:top w:val="none" w:sz="0" w:space="0" w:color="auto"/>
        <w:left w:val="none" w:sz="0" w:space="0" w:color="auto"/>
        <w:bottom w:val="none" w:sz="0" w:space="0" w:color="auto"/>
        <w:right w:val="none" w:sz="0" w:space="0" w:color="auto"/>
      </w:divBdr>
    </w:div>
    <w:div w:id="180972656">
      <w:bodyDiv w:val="1"/>
      <w:marLeft w:val="0"/>
      <w:marRight w:val="0"/>
      <w:marTop w:val="0"/>
      <w:marBottom w:val="0"/>
      <w:divBdr>
        <w:top w:val="none" w:sz="0" w:space="0" w:color="auto"/>
        <w:left w:val="none" w:sz="0" w:space="0" w:color="auto"/>
        <w:bottom w:val="none" w:sz="0" w:space="0" w:color="auto"/>
        <w:right w:val="none" w:sz="0" w:space="0" w:color="auto"/>
      </w:divBdr>
    </w:div>
    <w:div w:id="181210239">
      <w:bodyDiv w:val="1"/>
      <w:marLeft w:val="0"/>
      <w:marRight w:val="0"/>
      <w:marTop w:val="0"/>
      <w:marBottom w:val="0"/>
      <w:divBdr>
        <w:top w:val="none" w:sz="0" w:space="0" w:color="auto"/>
        <w:left w:val="none" w:sz="0" w:space="0" w:color="auto"/>
        <w:bottom w:val="none" w:sz="0" w:space="0" w:color="auto"/>
        <w:right w:val="none" w:sz="0" w:space="0" w:color="auto"/>
      </w:divBdr>
    </w:div>
    <w:div w:id="186910431">
      <w:bodyDiv w:val="1"/>
      <w:marLeft w:val="0"/>
      <w:marRight w:val="0"/>
      <w:marTop w:val="0"/>
      <w:marBottom w:val="0"/>
      <w:divBdr>
        <w:top w:val="none" w:sz="0" w:space="0" w:color="auto"/>
        <w:left w:val="none" w:sz="0" w:space="0" w:color="auto"/>
        <w:bottom w:val="none" w:sz="0" w:space="0" w:color="auto"/>
        <w:right w:val="none" w:sz="0" w:space="0" w:color="auto"/>
      </w:divBdr>
      <w:divsChild>
        <w:div w:id="1774401120">
          <w:marLeft w:val="0"/>
          <w:marRight w:val="0"/>
          <w:marTop w:val="0"/>
          <w:marBottom w:val="0"/>
          <w:divBdr>
            <w:top w:val="none" w:sz="0" w:space="0" w:color="auto"/>
            <w:left w:val="none" w:sz="0" w:space="0" w:color="auto"/>
            <w:bottom w:val="none" w:sz="0" w:space="0" w:color="auto"/>
            <w:right w:val="none" w:sz="0" w:space="0" w:color="auto"/>
          </w:divBdr>
          <w:divsChild>
            <w:div w:id="1640264378">
              <w:marLeft w:val="0"/>
              <w:marRight w:val="0"/>
              <w:marTop w:val="0"/>
              <w:marBottom w:val="0"/>
              <w:divBdr>
                <w:top w:val="none" w:sz="0" w:space="0" w:color="auto"/>
                <w:left w:val="none" w:sz="0" w:space="0" w:color="auto"/>
                <w:bottom w:val="none" w:sz="0" w:space="0" w:color="auto"/>
                <w:right w:val="none" w:sz="0" w:space="0" w:color="auto"/>
              </w:divBdr>
              <w:divsChild>
                <w:div w:id="903564156">
                  <w:marLeft w:val="0"/>
                  <w:marRight w:val="0"/>
                  <w:marTop w:val="0"/>
                  <w:marBottom w:val="0"/>
                  <w:divBdr>
                    <w:top w:val="none" w:sz="0" w:space="0" w:color="auto"/>
                    <w:left w:val="none" w:sz="0" w:space="0" w:color="auto"/>
                    <w:bottom w:val="none" w:sz="0" w:space="0" w:color="auto"/>
                    <w:right w:val="none" w:sz="0" w:space="0" w:color="auto"/>
                  </w:divBdr>
                  <w:divsChild>
                    <w:div w:id="616834866">
                      <w:marLeft w:val="0"/>
                      <w:marRight w:val="0"/>
                      <w:marTop w:val="0"/>
                      <w:marBottom w:val="0"/>
                      <w:divBdr>
                        <w:top w:val="none" w:sz="0" w:space="0" w:color="auto"/>
                        <w:left w:val="none" w:sz="0" w:space="0" w:color="auto"/>
                        <w:bottom w:val="none" w:sz="0" w:space="0" w:color="auto"/>
                        <w:right w:val="none" w:sz="0" w:space="0" w:color="auto"/>
                      </w:divBdr>
                      <w:divsChild>
                        <w:div w:id="1393696571">
                          <w:marLeft w:val="0"/>
                          <w:marRight w:val="0"/>
                          <w:marTop w:val="0"/>
                          <w:marBottom w:val="0"/>
                          <w:divBdr>
                            <w:top w:val="none" w:sz="0" w:space="0" w:color="auto"/>
                            <w:left w:val="none" w:sz="0" w:space="0" w:color="auto"/>
                            <w:bottom w:val="none" w:sz="0" w:space="0" w:color="auto"/>
                            <w:right w:val="none" w:sz="0" w:space="0" w:color="auto"/>
                          </w:divBdr>
                          <w:divsChild>
                            <w:div w:id="943196953">
                              <w:marLeft w:val="0"/>
                              <w:marRight w:val="0"/>
                              <w:marTop w:val="0"/>
                              <w:marBottom w:val="0"/>
                              <w:divBdr>
                                <w:top w:val="none" w:sz="0" w:space="0" w:color="auto"/>
                                <w:left w:val="none" w:sz="0" w:space="0" w:color="auto"/>
                                <w:bottom w:val="none" w:sz="0" w:space="0" w:color="auto"/>
                                <w:right w:val="none" w:sz="0" w:space="0" w:color="auto"/>
                              </w:divBdr>
                              <w:divsChild>
                                <w:div w:id="1494757684">
                                  <w:marLeft w:val="0"/>
                                  <w:marRight w:val="0"/>
                                  <w:marTop w:val="0"/>
                                  <w:marBottom w:val="0"/>
                                  <w:divBdr>
                                    <w:top w:val="none" w:sz="0" w:space="0" w:color="auto"/>
                                    <w:left w:val="none" w:sz="0" w:space="0" w:color="auto"/>
                                    <w:bottom w:val="none" w:sz="0" w:space="0" w:color="auto"/>
                                    <w:right w:val="none" w:sz="0" w:space="0" w:color="auto"/>
                                  </w:divBdr>
                                  <w:divsChild>
                                    <w:div w:id="151526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9199194">
      <w:bodyDiv w:val="1"/>
      <w:marLeft w:val="0"/>
      <w:marRight w:val="0"/>
      <w:marTop w:val="0"/>
      <w:marBottom w:val="0"/>
      <w:divBdr>
        <w:top w:val="none" w:sz="0" w:space="0" w:color="auto"/>
        <w:left w:val="none" w:sz="0" w:space="0" w:color="auto"/>
        <w:bottom w:val="none" w:sz="0" w:space="0" w:color="auto"/>
        <w:right w:val="none" w:sz="0" w:space="0" w:color="auto"/>
      </w:divBdr>
    </w:div>
    <w:div w:id="235018022">
      <w:bodyDiv w:val="1"/>
      <w:marLeft w:val="0"/>
      <w:marRight w:val="0"/>
      <w:marTop w:val="0"/>
      <w:marBottom w:val="0"/>
      <w:divBdr>
        <w:top w:val="none" w:sz="0" w:space="0" w:color="auto"/>
        <w:left w:val="none" w:sz="0" w:space="0" w:color="auto"/>
        <w:bottom w:val="none" w:sz="0" w:space="0" w:color="auto"/>
        <w:right w:val="none" w:sz="0" w:space="0" w:color="auto"/>
      </w:divBdr>
    </w:div>
    <w:div w:id="247427935">
      <w:bodyDiv w:val="1"/>
      <w:marLeft w:val="0"/>
      <w:marRight w:val="0"/>
      <w:marTop w:val="0"/>
      <w:marBottom w:val="0"/>
      <w:divBdr>
        <w:top w:val="none" w:sz="0" w:space="0" w:color="auto"/>
        <w:left w:val="none" w:sz="0" w:space="0" w:color="auto"/>
        <w:bottom w:val="none" w:sz="0" w:space="0" w:color="auto"/>
        <w:right w:val="none" w:sz="0" w:space="0" w:color="auto"/>
      </w:divBdr>
    </w:div>
    <w:div w:id="248468593">
      <w:bodyDiv w:val="1"/>
      <w:marLeft w:val="0"/>
      <w:marRight w:val="0"/>
      <w:marTop w:val="0"/>
      <w:marBottom w:val="0"/>
      <w:divBdr>
        <w:top w:val="none" w:sz="0" w:space="0" w:color="auto"/>
        <w:left w:val="none" w:sz="0" w:space="0" w:color="auto"/>
        <w:bottom w:val="none" w:sz="0" w:space="0" w:color="auto"/>
        <w:right w:val="none" w:sz="0" w:space="0" w:color="auto"/>
      </w:divBdr>
    </w:div>
    <w:div w:id="249312458">
      <w:bodyDiv w:val="1"/>
      <w:marLeft w:val="0"/>
      <w:marRight w:val="0"/>
      <w:marTop w:val="0"/>
      <w:marBottom w:val="0"/>
      <w:divBdr>
        <w:top w:val="none" w:sz="0" w:space="0" w:color="auto"/>
        <w:left w:val="none" w:sz="0" w:space="0" w:color="auto"/>
        <w:bottom w:val="none" w:sz="0" w:space="0" w:color="auto"/>
        <w:right w:val="none" w:sz="0" w:space="0" w:color="auto"/>
      </w:divBdr>
    </w:div>
    <w:div w:id="250892193">
      <w:bodyDiv w:val="1"/>
      <w:marLeft w:val="0"/>
      <w:marRight w:val="0"/>
      <w:marTop w:val="0"/>
      <w:marBottom w:val="0"/>
      <w:divBdr>
        <w:top w:val="none" w:sz="0" w:space="0" w:color="auto"/>
        <w:left w:val="none" w:sz="0" w:space="0" w:color="auto"/>
        <w:bottom w:val="none" w:sz="0" w:space="0" w:color="auto"/>
        <w:right w:val="none" w:sz="0" w:space="0" w:color="auto"/>
      </w:divBdr>
    </w:div>
    <w:div w:id="256062256">
      <w:bodyDiv w:val="1"/>
      <w:marLeft w:val="0"/>
      <w:marRight w:val="0"/>
      <w:marTop w:val="0"/>
      <w:marBottom w:val="0"/>
      <w:divBdr>
        <w:top w:val="none" w:sz="0" w:space="0" w:color="auto"/>
        <w:left w:val="none" w:sz="0" w:space="0" w:color="auto"/>
        <w:bottom w:val="none" w:sz="0" w:space="0" w:color="auto"/>
        <w:right w:val="none" w:sz="0" w:space="0" w:color="auto"/>
      </w:divBdr>
    </w:div>
    <w:div w:id="260527085">
      <w:bodyDiv w:val="1"/>
      <w:marLeft w:val="0"/>
      <w:marRight w:val="0"/>
      <w:marTop w:val="0"/>
      <w:marBottom w:val="0"/>
      <w:divBdr>
        <w:top w:val="none" w:sz="0" w:space="0" w:color="auto"/>
        <w:left w:val="none" w:sz="0" w:space="0" w:color="auto"/>
        <w:bottom w:val="none" w:sz="0" w:space="0" w:color="auto"/>
        <w:right w:val="none" w:sz="0" w:space="0" w:color="auto"/>
      </w:divBdr>
    </w:div>
    <w:div w:id="283468913">
      <w:bodyDiv w:val="1"/>
      <w:marLeft w:val="0"/>
      <w:marRight w:val="0"/>
      <w:marTop w:val="0"/>
      <w:marBottom w:val="0"/>
      <w:divBdr>
        <w:top w:val="none" w:sz="0" w:space="0" w:color="auto"/>
        <w:left w:val="none" w:sz="0" w:space="0" w:color="auto"/>
        <w:bottom w:val="none" w:sz="0" w:space="0" w:color="auto"/>
        <w:right w:val="none" w:sz="0" w:space="0" w:color="auto"/>
      </w:divBdr>
    </w:div>
    <w:div w:id="304162344">
      <w:bodyDiv w:val="1"/>
      <w:marLeft w:val="0"/>
      <w:marRight w:val="0"/>
      <w:marTop w:val="0"/>
      <w:marBottom w:val="0"/>
      <w:divBdr>
        <w:top w:val="none" w:sz="0" w:space="0" w:color="auto"/>
        <w:left w:val="none" w:sz="0" w:space="0" w:color="auto"/>
        <w:bottom w:val="none" w:sz="0" w:space="0" w:color="auto"/>
        <w:right w:val="none" w:sz="0" w:space="0" w:color="auto"/>
      </w:divBdr>
    </w:div>
    <w:div w:id="321544137">
      <w:bodyDiv w:val="1"/>
      <w:marLeft w:val="0"/>
      <w:marRight w:val="0"/>
      <w:marTop w:val="0"/>
      <w:marBottom w:val="0"/>
      <w:divBdr>
        <w:top w:val="none" w:sz="0" w:space="0" w:color="auto"/>
        <w:left w:val="none" w:sz="0" w:space="0" w:color="auto"/>
        <w:bottom w:val="none" w:sz="0" w:space="0" w:color="auto"/>
        <w:right w:val="none" w:sz="0" w:space="0" w:color="auto"/>
      </w:divBdr>
    </w:div>
    <w:div w:id="328217147">
      <w:bodyDiv w:val="1"/>
      <w:marLeft w:val="0"/>
      <w:marRight w:val="0"/>
      <w:marTop w:val="0"/>
      <w:marBottom w:val="0"/>
      <w:divBdr>
        <w:top w:val="none" w:sz="0" w:space="0" w:color="auto"/>
        <w:left w:val="none" w:sz="0" w:space="0" w:color="auto"/>
        <w:bottom w:val="none" w:sz="0" w:space="0" w:color="auto"/>
        <w:right w:val="none" w:sz="0" w:space="0" w:color="auto"/>
      </w:divBdr>
    </w:div>
    <w:div w:id="328484342">
      <w:bodyDiv w:val="1"/>
      <w:marLeft w:val="0"/>
      <w:marRight w:val="0"/>
      <w:marTop w:val="0"/>
      <w:marBottom w:val="0"/>
      <w:divBdr>
        <w:top w:val="none" w:sz="0" w:space="0" w:color="auto"/>
        <w:left w:val="none" w:sz="0" w:space="0" w:color="auto"/>
        <w:bottom w:val="none" w:sz="0" w:space="0" w:color="auto"/>
        <w:right w:val="none" w:sz="0" w:space="0" w:color="auto"/>
      </w:divBdr>
    </w:div>
    <w:div w:id="329019381">
      <w:bodyDiv w:val="1"/>
      <w:marLeft w:val="0"/>
      <w:marRight w:val="0"/>
      <w:marTop w:val="0"/>
      <w:marBottom w:val="0"/>
      <w:divBdr>
        <w:top w:val="none" w:sz="0" w:space="0" w:color="auto"/>
        <w:left w:val="none" w:sz="0" w:space="0" w:color="auto"/>
        <w:bottom w:val="none" w:sz="0" w:space="0" w:color="auto"/>
        <w:right w:val="none" w:sz="0" w:space="0" w:color="auto"/>
      </w:divBdr>
    </w:div>
    <w:div w:id="331371786">
      <w:bodyDiv w:val="1"/>
      <w:marLeft w:val="0"/>
      <w:marRight w:val="0"/>
      <w:marTop w:val="0"/>
      <w:marBottom w:val="0"/>
      <w:divBdr>
        <w:top w:val="none" w:sz="0" w:space="0" w:color="auto"/>
        <w:left w:val="none" w:sz="0" w:space="0" w:color="auto"/>
        <w:bottom w:val="none" w:sz="0" w:space="0" w:color="auto"/>
        <w:right w:val="none" w:sz="0" w:space="0" w:color="auto"/>
      </w:divBdr>
    </w:div>
    <w:div w:id="358437142">
      <w:bodyDiv w:val="1"/>
      <w:marLeft w:val="0"/>
      <w:marRight w:val="0"/>
      <w:marTop w:val="0"/>
      <w:marBottom w:val="0"/>
      <w:divBdr>
        <w:top w:val="none" w:sz="0" w:space="0" w:color="auto"/>
        <w:left w:val="none" w:sz="0" w:space="0" w:color="auto"/>
        <w:bottom w:val="none" w:sz="0" w:space="0" w:color="auto"/>
        <w:right w:val="none" w:sz="0" w:space="0" w:color="auto"/>
      </w:divBdr>
    </w:div>
    <w:div w:id="364840809">
      <w:bodyDiv w:val="1"/>
      <w:marLeft w:val="0"/>
      <w:marRight w:val="0"/>
      <w:marTop w:val="0"/>
      <w:marBottom w:val="0"/>
      <w:divBdr>
        <w:top w:val="none" w:sz="0" w:space="0" w:color="auto"/>
        <w:left w:val="none" w:sz="0" w:space="0" w:color="auto"/>
        <w:bottom w:val="none" w:sz="0" w:space="0" w:color="auto"/>
        <w:right w:val="none" w:sz="0" w:space="0" w:color="auto"/>
      </w:divBdr>
    </w:div>
    <w:div w:id="372576762">
      <w:bodyDiv w:val="1"/>
      <w:marLeft w:val="0"/>
      <w:marRight w:val="0"/>
      <w:marTop w:val="0"/>
      <w:marBottom w:val="0"/>
      <w:divBdr>
        <w:top w:val="none" w:sz="0" w:space="0" w:color="auto"/>
        <w:left w:val="none" w:sz="0" w:space="0" w:color="auto"/>
        <w:bottom w:val="none" w:sz="0" w:space="0" w:color="auto"/>
        <w:right w:val="none" w:sz="0" w:space="0" w:color="auto"/>
      </w:divBdr>
    </w:div>
    <w:div w:id="377125220">
      <w:bodyDiv w:val="1"/>
      <w:marLeft w:val="0"/>
      <w:marRight w:val="0"/>
      <w:marTop w:val="0"/>
      <w:marBottom w:val="0"/>
      <w:divBdr>
        <w:top w:val="none" w:sz="0" w:space="0" w:color="auto"/>
        <w:left w:val="none" w:sz="0" w:space="0" w:color="auto"/>
        <w:bottom w:val="none" w:sz="0" w:space="0" w:color="auto"/>
        <w:right w:val="none" w:sz="0" w:space="0" w:color="auto"/>
      </w:divBdr>
    </w:div>
    <w:div w:id="393045172">
      <w:bodyDiv w:val="1"/>
      <w:marLeft w:val="0"/>
      <w:marRight w:val="0"/>
      <w:marTop w:val="0"/>
      <w:marBottom w:val="0"/>
      <w:divBdr>
        <w:top w:val="none" w:sz="0" w:space="0" w:color="auto"/>
        <w:left w:val="none" w:sz="0" w:space="0" w:color="auto"/>
        <w:bottom w:val="none" w:sz="0" w:space="0" w:color="auto"/>
        <w:right w:val="none" w:sz="0" w:space="0" w:color="auto"/>
      </w:divBdr>
    </w:div>
    <w:div w:id="406729291">
      <w:bodyDiv w:val="1"/>
      <w:marLeft w:val="0"/>
      <w:marRight w:val="0"/>
      <w:marTop w:val="0"/>
      <w:marBottom w:val="0"/>
      <w:divBdr>
        <w:top w:val="none" w:sz="0" w:space="0" w:color="auto"/>
        <w:left w:val="none" w:sz="0" w:space="0" w:color="auto"/>
        <w:bottom w:val="none" w:sz="0" w:space="0" w:color="auto"/>
        <w:right w:val="none" w:sz="0" w:space="0" w:color="auto"/>
      </w:divBdr>
    </w:div>
    <w:div w:id="417094680">
      <w:bodyDiv w:val="1"/>
      <w:marLeft w:val="0"/>
      <w:marRight w:val="0"/>
      <w:marTop w:val="0"/>
      <w:marBottom w:val="0"/>
      <w:divBdr>
        <w:top w:val="none" w:sz="0" w:space="0" w:color="auto"/>
        <w:left w:val="none" w:sz="0" w:space="0" w:color="auto"/>
        <w:bottom w:val="none" w:sz="0" w:space="0" w:color="auto"/>
        <w:right w:val="none" w:sz="0" w:space="0" w:color="auto"/>
      </w:divBdr>
    </w:div>
    <w:div w:id="418865776">
      <w:bodyDiv w:val="1"/>
      <w:marLeft w:val="0"/>
      <w:marRight w:val="0"/>
      <w:marTop w:val="0"/>
      <w:marBottom w:val="0"/>
      <w:divBdr>
        <w:top w:val="none" w:sz="0" w:space="0" w:color="auto"/>
        <w:left w:val="none" w:sz="0" w:space="0" w:color="auto"/>
        <w:bottom w:val="none" w:sz="0" w:space="0" w:color="auto"/>
        <w:right w:val="none" w:sz="0" w:space="0" w:color="auto"/>
      </w:divBdr>
    </w:div>
    <w:div w:id="422801230">
      <w:bodyDiv w:val="1"/>
      <w:marLeft w:val="0"/>
      <w:marRight w:val="0"/>
      <w:marTop w:val="0"/>
      <w:marBottom w:val="0"/>
      <w:divBdr>
        <w:top w:val="none" w:sz="0" w:space="0" w:color="auto"/>
        <w:left w:val="none" w:sz="0" w:space="0" w:color="auto"/>
        <w:bottom w:val="none" w:sz="0" w:space="0" w:color="auto"/>
        <w:right w:val="none" w:sz="0" w:space="0" w:color="auto"/>
      </w:divBdr>
    </w:div>
    <w:div w:id="465700841">
      <w:bodyDiv w:val="1"/>
      <w:marLeft w:val="0"/>
      <w:marRight w:val="0"/>
      <w:marTop w:val="0"/>
      <w:marBottom w:val="0"/>
      <w:divBdr>
        <w:top w:val="none" w:sz="0" w:space="0" w:color="auto"/>
        <w:left w:val="none" w:sz="0" w:space="0" w:color="auto"/>
        <w:bottom w:val="none" w:sz="0" w:space="0" w:color="auto"/>
        <w:right w:val="none" w:sz="0" w:space="0" w:color="auto"/>
      </w:divBdr>
    </w:div>
    <w:div w:id="492916675">
      <w:bodyDiv w:val="1"/>
      <w:marLeft w:val="0"/>
      <w:marRight w:val="0"/>
      <w:marTop w:val="0"/>
      <w:marBottom w:val="0"/>
      <w:divBdr>
        <w:top w:val="none" w:sz="0" w:space="0" w:color="auto"/>
        <w:left w:val="none" w:sz="0" w:space="0" w:color="auto"/>
        <w:bottom w:val="none" w:sz="0" w:space="0" w:color="auto"/>
        <w:right w:val="none" w:sz="0" w:space="0" w:color="auto"/>
      </w:divBdr>
    </w:div>
    <w:div w:id="502159823">
      <w:bodyDiv w:val="1"/>
      <w:marLeft w:val="0"/>
      <w:marRight w:val="0"/>
      <w:marTop w:val="0"/>
      <w:marBottom w:val="0"/>
      <w:divBdr>
        <w:top w:val="none" w:sz="0" w:space="0" w:color="auto"/>
        <w:left w:val="none" w:sz="0" w:space="0" w:color="auto"/>
        <w:bottom w:val="none" w:sz="0" w:space="0" w:color="auto"/>
        <w:right w:val="none" w:sz="0" w:space="0" w:color="auto"/>
      </w:divBdr>
    </w:div>
    <w:div w:id="506869311">
      <w:bodyDiv w:val="1"/>
      <w:marLeft w:val="0"/>
      <w:marRight w:val="0"/>
      <w:marTop w:val="0"/>
      <w:marBottom w:val="0"/>
      <w:divBdr>
        <w:top w:val="none" w:sz="0" w:space="0" w:color="auto"/>
        <w:left w:val="none" w:sz="0" w:space="0" w:color="auto"/>
        <w:bottom w:val="none" w:sz="0" w:space="0" w:color="auto"/>
        <w:right w:val="none" w:sz="0" w:space="0" w:color="auto"/>
      </w:divBdr>
    </w:div>
    <w:div w:id="532576789">
      <w:bodyDiv w:val="1"/>
      <w:marLeft w:val="0"/>
      <w:marRight w:val="0"/>
      <w:marTop w:val="0"/>
      <w:marBottom w:val="0"/>
      <w:divBdr>
        <w:top w:val="none" w:sz="0" w:space="0" w:color="auto"/>
        <w:left w:val="none" w:sz="0" w:space="0" w:color="auto"/>
        <w:bottom w:val="none" w:sz="0" w:space="0" w:color="auto"/>
        <w:right w:val="none" w:sz="0" w:space="0" w:color="auto"/>
      </w:divBdr>
    </w:div>
    <w:div w:id="545144993">
      <w:bodyDiv w:val="1"/>
      <w:marLeft w:val="0"/>
      <w:marRight w:val="0"/>
      <w:marTop w:val="0"/>
      <w:marBottom w:val="0"/>
      <w:divBdr>
        <w:top w:val="none" w:sz="0" w:space="0" w:color="auto"/>
        <w:left w:val="none" w:sz="0" w:space="0" w:color="auto"/>
        <w:bottom w:val="none" w:sz="0" w:space="0" w:color="auto"/>
        <w:right w:val="none" w:sz="0" w:space="0" w:color="auto"/>
      </w:divBdr>
    </w:div>
    <w:div w:id="558173516">
      <w:bodyDiv w:val="1"/>
      <w:marLeft w:val="0"/>
      <w:marRight w:val="0"/>
      <w:marTop w:val="0"/>
      <w:marBottom w:val="0"/>
      <w:divBdr>
        <w:top w:val="none" w:sz="0" w:space="0" w:color="auto"/>
        <w:left w:val="none" w:sz="0" w:space="0" w:color="auto"/>
        <w:bottom w:val="none" w:sz="0" w:space="0" w:color="auto"/>
        <w:right w:val="none" w:sz="0" w:space="0" w:color="auto"/>
      </w:divBdr>
    </w:div>
    <w:div w:id="566307563">
      <w:bodyDiv w:val="1"/>
      <w:marLeft w:val="0"/>
      <w:marRight w:val="0"/>
      <w:marTop w:val="0"/>
      <w:marBottom w:val="0"/>
      <w:divBdr>
        <w:top w:val="none" w:sz="0" w:space="0" w:color="auto"/>
        <w:left w:val="none" w:sz="0" w:space="0" w:color="auto"/>
        <w:bottom w:val="none" w:sz="0" w:space="0" w:color="auto"/>
        <w:right w:val="none" w:sz="0" w:space="0" w:color="auto"/>
      </w:divBdr>
    </w:div>
    <w:div w:id="566652506">
      <w:bodyDiv w:val="1"/>
      <w:marLeft w:val="0"/>
      <w:marRight w:val="0"/>
      <w:marTop w:val="0"/>
      <w:marBottom w:val="0"/>
      <w:divBdr>
        <w:top w:val="none" w:sz="0" w:space="0" w:color="auto"/>
        <w:left w:val="none" w:sz="0" w:space="0" w:color="auto"/>
        <w:bottom w:val="none" w:sz="0" w:space="0" w:color="auto"/>
        <w:right w:val="none" w:sz="0" w:space="0" w:color="auto"/>
      </w:divBdr>
    </w:div>
    <w:div w:id="584073353">
      <w:bodyDiv w:val="1"/>
      <w:marLeft w:val="0"/>
      <w:marRight w:val="0"/>
      <w:marTop w:val="0"/>
      <w:marBottom w:val="0"/>
      <w:divBdr>
        <w:top w:val="none" w:sz="0" w:space="0" w:color="auto"/>
        <w:left w:val="none" w:sz="0" w:space="0" w:color="auto"/>
        <w:bottom w:val="none" w:sz="0" w:space="0" w:color="auto"/>
        <w:right w:val="none" w:sz="0" w:space="0" w:color="auto"/>
      </w:divBdr>
    </w:div>
    <w:div w:id="590964999">
      <w:bodyDiv w:val="1"/>
      <w:marLeft w:val="0"/>
      <w:marRight w:val="0"/>
      <w:marTop w:val="0"/>
      <w:marBottom w:val="0"/>
      <w:divBdr>
        <w:top w:val="none" w:sz="0" w:space="0" w:color="auto"/>
        <w:left w:val="none" w:sz="0" w:space="0" w:color="auto"/>
        <w:bottom w:val="none" w:sz="0" w:space="0" w:color="auto"/>
        <w:right w:val="none" w:sz="0" w:space="0" w:color="auto"/>
      </w:divBdr>
    </w:div>
    <w:div w:id="591546018">
      <w:bodyDiv w:val="1"/>
      <w:marLeft w:val="0"/>
      <w:marRight w:val="0"/>
      <w:marTop w:val="0"/>
      <w:marBottom w:val="0"/>
      <w:divBdr>
        <w:top w:val="none" w:sz="0" w:space="0" w:color="auto"/>
        <w:left w:val="none" w:sz="0" w:space="0" w:color="auto"/>
        <w:bottom w:val="none" w:sz="0" w:space="0" w:color="auto"/>
        <w:right w:val="none" w:sz="0" w:space="0" w:color="auto"/>
      </w:divBdr>
    </w:div>
    <w:div w:id="604574597">
      <w:bodyDiv w:val="1"/>
      <w:marLeft w:val="0"/>
      <w:marRight w:val="0"/>
      <w:marTop w:val="0"/>
      <w:marBottom w:val="0"/>
      <w:divBdr>
        <w:top w:val="none" w:sz="0" w:space="0" w:color="auto"/>
        <w:left w:val="none" w:sz="0" w:space="0" w:color="auto"/>
        <w:bottom w:val="none" w:sz="0" w:space="0" w:color="auto"/>
        <w:right w:val="none" w:sz="0" w:space="0" w:color="auto"/>
      </w:divBdr>
    </w:div>
    <w:div w:id="606691619">
      <w:bodyDiv w:val="1"/>
      <w:marLeft w:val="0"/>
      <w:marRight w:val="0"/>
      <w:marTop w:val="0"/>
      <w:marBottom w:val="0"/>
      <w:divBdr>
        <w:top w:val="none" w:sz="0" w:space="0" w:color="auto"/>
        <w:left w:val="none" w:sz="0" w:space="0" w:color="auto"/>
        <w:bottom w:val="none" w:sz="0" w:space="0" w:color="auto"/>
        <w:right w:val="none" w:sz="0" w:space="0" w:color="auto"/>
      </w:divBdr>
    </w:div>
    <w:div w:id="607126029">
      <w:bodyDiv w:val="1"/>
      <w:marLeft w:val="0"/>
      <w:marRight w:val="0"/>
      <w:marTop w:val="0"/>
      <w:marBottom w:val="0"/>
      <w:divBdr>
        <w:top w:val="none" w:sz="0" w:space="0" w:color="auto"/>
        <w:left w:val="none" w:sz="0" w:space="0" w:color="auto"/>
        <w:bottom w:val="none" w:sz="0" w:space="0" w:color="auto"/>
        <w:right w:val="none" w:sz="0" w:space="0" w:color="auto"/>
      </w:divBdr>
    </w:div>
    <w:div w:id="615410500">
      <w:bodyDiv w:val="1"/>
      <w:marLeft w:val="0"/>
      <w:marRight w:val="0"/>
      <w:marTop w:val="0"/>
      <w:marBottom w:val="0"/>
      <w:divBdr>
        <w:top w:val="none" w:sz="0" w:space="0" w:color="auto"/>
        <w:left w:val="none" w:sz="0" w:space="0" w:color="auto"/>
        <w:bottom w:val="none" w:sz="0" w:space="0" w:color="auto"/>
        <w:right w:val="none" w:sz="0" w:space="0" w:color="auto"/>
      </w:divBdr>
    </w:div>
    <w:div w:id="616302404">
      <w:bodyDiv w:val="1"/>
      <w:marLeft w:val="0"/>
      <w:marRight w:val="0"/>
      <w:marTop w:val="0"/>
      <w:marBottom w:val="0"/>
      <w:divBdr>
        <w:top w:val="none" w:sz="0" w:space="0" w:color="auto"/>
        <w:left w:val="none" w:sz="0" w:space="0" w:color="auto"/>
        <w:bottom w:val="none" w:sz="0" w:space="0" w:color="auto"/>
        <w:right w:val="none" w:sz="0" w:space="0" w:color="auto"/>
      </w:divBdr>
    </w:div>
    <w:div w:id="618679786">
      <w:bodyDiv w:val="1"/>
      <w:marLeft w:val="0"/>
      <w:marRight w:val="0"/>
      <w:marTop w:val="0"/>
      <w:marBottom w:val="0"/>
      <w:divBdr>
        <w:top w:val="none" w:sz="0" w:space="0" w:color="auto"/>
        <w:left w:val="none" w:sz="0" w:space="0" w:color="auto"/>
        <w:bottom w:val="none" w:sz="0" w:space="0" w:color="auto"/>
        <w:right w:val="none" w:sz="0" w:space="0" w:color="auto"/>
      </w:divBdr>
    </w:div>
    <w:div w:id="622884495">
      <w:bodyDiv w:val="1"/>
      <w:marLeft w:val="0"/>
      <w:marRight w:val="0"/>
      <w:marTop w:val="0"/>
      <w:marBottom w:val="0"/>
      <w:divBdr>
        <w:top w:val="none" w:sz="0" w:space="0" w:color="auto"/>
        <w:left w:val="none" w:sz="0" w:space="0" w:color="auto"/>
        <w:bottom w:val="none" w:sz="0" w:space="0" w:color="auto"/>
        <w:right w:val="none" w:sz="0" w:space="0" w:color="auto"/>
      </w:divBdr>
    </w:div>
    <w:div w:id="626472530">
      <w:bodyDiv w:val="1"/>
      <w:marLeft w:val="0"/>
      <w:marRight w:val="0"/>
      <w:marTop w:val="0"/>
      <w:marBottom w:val="0"/>
      <w:divBdr>
        <w:top w:val="none" w:sz="0" w:space="0" w:color="auto"/>
        <w:left w:val="none" w:sz="0" w:space="0" w:color="auto"/>
        <w:bottom w:val="none" w:sz="0" w:space="0" w:color="auto"/>
        <w:right w:val="none" w:sz="0" w:space="0" w:color="auto"/>
      </w:divBdr>
    </w:div>
    <w:div w:id="637999791">
      <w:bodyDiv w:val="1"/>
      <w:marLeft w:val="0"/>
      <w:marRight w:val="0"/>
      <w:marTop w:val="0"/>
      <w:marBottom w:val="0"/>
      <w:divBdr>
        <w:top w:val="none" w:sz="0" w:space="0" w:color="auto"/>
        <w:left w:val="none" w:sz="0" w:space="0" w:color="auto"/>
        <w:bottom w:val="none" w:sz="0" w:space="0" w:color="auto"/>
        <w:right w:val="none" w:sz="0" w:space="0" w:color="auto"/>
      </w:divBdr>
      <w:divsChild>
        <w:div w:id="152530848">
          <w:marLeft w:val="0"/>
          <w:marRight w:val="0"/>
          <w:marTop w:val="0"/>
          <w:marBottom w:val="0"/>
          <w:divBdr>
            <w:top w:val="none" w:sz="0" w:space="0" w:color="auto"/>
            <w:left w:val="none" w:sz="0" w:space="0" w:color="auto"/>
            <w:bottom w:val="none" w:sz="0" w:space="0" w:color="auto"/>
            <w:right w:val="none" w:sz="0" w:space="0" w:color="auto"/>
          </w:divBdr>
        </w:div>
        <w:div w:id="510218437">
          <w:marLeft w:val="0"/>
          <w:marRight w:val="0"/>
          <w:marTop w:val="0"/>
          <w:marBottom w:val="0"/>
          <w:divBdr>
            <w:top w:val="none" w:sz="0" w:space="0" w:color="auto"/>
            <w:left w:val="none" w:sz="0" w:space="0" w:color="auto"/>
            <w:bottom w:val="none" w:sz="0" w:space="0" w:color="auto"/>
            <w:right w:val="none" w:sz="0" w:space="0" w:color="auto"/>
          </w:divBdr>
        </w:div>
        <w:div w:id="2028365131">
          <w:marLeft w:val="0"/>
          <w:marRight w:val="0"/>
          <w:marTop w:val="0"/>
          <w:marBottom w:val="0"/>
          <w:divBdr>
            <w:top w:val="none" w:sz="0" w:space="0" w:color="auto"/>
            <w:left w:val="none" w:sz="0" w:space="0" w:color="auto"/>
            <w:bottom w:val="none" w:sz="0" w:space="0" w:color="auto"/>
            <w:right w:val="none" w:sz="0" w:space="0" w:color="auto"/>
          </w:divBdr>
        </w:div>
        <w:div w:id="2032147838">
          <w:marLeft w:val="0"/>
          <w:marRight w:val="0"/>
          <w:marTop w:val="0"/>
          <w:marBottom w:val="0"/>
          <w:divBdr>
            <w:top w:val="none" w:sz="0" w:space="0" w:color="auto"/>
            <w:left w:val="none" w:sz="0" w:space="0" w:color="auto"/>
            <w:bottom w:val="none" w:sz="0" w:space="0" w:color="auto"/>
            <w:right w:val="none" w:sz="0" w:space="0" w:color="auto"/>
          </w:divBdr>
        </w:div>
      </w:divsChild>
    </w:div>
    <w:div w:id="646320499">
      <w:bodyDiv w:val="1"/>
      <w:marLeft w:val="0"/>
      <w:marRight w:val="0"/>
      <w:marTop w:val="0"/>
      <w:marBottom w:val="0"/>
      <w:divBdr>
        <w:top w:val="none" w:sz="0" w:space="0" w:color="auto"/>
        <w:left w:val="none" w:sz="0" w:space="0" w:color="auto"/>
        <w:bottom w:val="none" w:sz="0" w:space="0" w:color="auto"/>
        <w:right w:val="none" w:sz="0" w:space="0" w:color="auto"/>
      </w:divBdr>
      <w:divsChild>
        <w:div w:id="1205871389">
          <w:marLeft w:val="0"/>
          <w:marRight w:val="0"/>
          <w:marTop w:val="0"/>
          <w:marBottom w:val="0"/>
          <w:divBdr>
            <w:top w:val="none" w:sz="0" w:space="0" w:color="auto"/>
            <w:left w:val="none" w:sz="0" w:space="0" w:color="auto"/>
            <w:bottom w:val="none" w:sz="0" w:space="0" w:color="auto"/>
            <w:right w:val="none" w:sz="0" w:space="0" w:color="auto"/>
          </w:divBdr>
        </w:div>
      </w:divsChild>
    </w:div>
    <w:div w:id="675157146">
      <w:bodyDiv w:val="1"/>
      <w:marLeft w:val="0"/>
      <w:marRight w:val="0"/>
      <w:marTop w:val="0"/>
      <w:marBottom w:val="0"/>
      <w:divBdr>
        <w:top w:val="none" w:sz="0" w:space="0" w:color="auto"/>
        <w:left w:val="none" w:sz="0" w:space="0" w:color="auto"/>
        <w:bottom w:val="none" w:sz="0" w:space="0" w:color="auto"/>
        <w:right w:val="none" w:sz="0" w:space="0" w:color="auto"/>
      </w:divBdr>
    </w:div>
    <w:div w:id="711881297">
      <w:bodyDiv w:val="1"/>
      <w:marLeft w:val="0"/>
      <w:marRight w:val="0"/>
      <w:marTop w:val="0"/>
      <w:marBottom w:val="0"/>
      <w:divBdr>
        <w:top w:val="none" w:sz="0" w:space="0" w:color="auto"/>
        <w:left w:val="none" w:sz="0" w:space="0" w:color="auto"/>
        <w:bottom w:val="none" w:sz="0" w:space="0" w:color="auto"/>
        <w:right w:val="none" w:sz="0" w:space="0" w:color="auto"/>
      </w:divBdr>
    </w:div>
    <w:div w:id="723483786">
      <w:bodyDiv w:val="1"/>
      <w:marLeft w:val="0"/>
      <w:marRight w:val="0"/>
      <w:marTop w:val="0"/>
      <w:marBottom w:val="0"/>
      <w:divBdr>
        <w:top w:val="none" w:sz="0" w:space="0" w:color="auto"/>
        <w:left w:val="none" w:sz="0" w:space="0" w:color="auto"/>
        <w:bottom w:val="none" w:sz="0" w:space="0" w:color="auto"/>
        <w:right w:val="none" w:sz="0" w:space="0" w:color="auto"/>
      </w:divBdr>
    </w:div>
    <w:div w:id="739669878">
      <w:bodyDiv w:val="1"/>
      <w:marLeft w:val="0"/>
      <w:marRight w:val="0"/>
      <w:marTop w:val="0"/>
      <w:marBottom w:val="0"/>
      <w:divBdr>
        <w:top w:val="none" w:sz="0" w:space="0" w:color="auto"/>
        <w:left w:val="none" w:sz="0" w:space="0" w:color="auto"/>
        <w:bottom w:val="none" w:sz="0" w:space="0" w:color="auto"/>
        <w:right w:val="none" w:sz="0" w:space="0" w:color="auto"/>
      </w:divBdr>
    </w:div>
    <w:div w:id="740905797">
      <w:bodyDiv w:val="1"/>
      <w:marLeft w:val="0"/>
      <w:marRight w:val="0"/>
      <w:marTop w:val="0"/>
      <w:marBottom w:val="0"/>
      <w:divBdr>
        <w:top w:val="none" w:sz="0" w:space="0" w:color="auto"/>
        <w:left w:val="none" w:sz="0" w:space="0" w:color="auto"/>
        <w:bottom w:val="none" w:sz="0" w:space="0" w:color="auto"/>
        <w:right w:val="none" w:sz="0" w:space="0" w:color="auto"/>
      </w:divBdr>
    </w:div>
    <w:div w:id="753017592">
      <w:bodyDiv w:val="1"/>
      <w:marLeft w:val="0"/>
      <w:marRight w:val="0"/>
      <w:marTop w:val="0"/>
      <w:marBottom w:val="0"/>
      <w:divBdr>
        <w:top w:val="none" w:sz="0" w:space="0" w:color="auto"/>
        <w:left w:val="none" w:sz="0" w:space="0" w:color="auto"/>
        <w:bottom w:val="none" w:sz="0" w:space="0" w:color="auto"/>
        <w:right w:val="none" w:sz="0" w:space="0" w:color="auto"/>
      </w:divBdr>
    </w:div>
    <w:div w:id="771244379">
      <w:bodyDiv w:val="1"/>
      <w:marLeft w:val="0"/>
      <w:marRight w:val="0"/>
      <w:marTop w:val="0"/>
      <w:marBottom w:val="0"/>
      <w:divBdr>
        <w:top w:val="none" w:sz="0" w:space="0" w:color="auto"/>
        <w:left w:val="none" w:sz="0" w:space="0" w:color="auto"/>
        <w:bottom w:val="none" w:sz="0" w:space="0" w:color="auto"/>
        <w:right w:val="none" w:sz="0" w:space="0" w:color="auto"/>
      </w:divBdr>
    </w:div>
    <w:div w:id="772169957">
      <w:bodyDiv w:val="1"/>
      <w:marLeft w:val="0"/>
      <w:marRight w:val="0"/>
      <w:marTop w:val="0"/>
      <w:marBottom w:val="0"/>
      <w:divBdr>
        <w:top w:val="none" w:sz="0" w:space="0" w:color="auto"/>
        <w:left w:val="none" w:sz="0" w:space="0" w:color="auto"/>
        <w:bottom w:val="none" w:sz="0" w:space="0" w:color="auto"/>
        <w:right w:val="none" w:sz="0" w:space="0" w:color="auto"/>
      </w:divBdr>
    </w:div>
    <w:div w:id="773792355">
      <w:bodyDiv w:val="1"/>
      <w:marLeft w:val="0"/>
      <w:marRight w:val="0"/>
      <w:marTop w:val="0"/>
      <w:marBottom w:val="0"/>
      <w:divBdr>
        <w:top w:val="none" w:sz="0" w:space="0" w:color="auto"/>
        <w:left w:val="none" w:sz="0" w:space="0" w:color="auto"/>
        <w:bottom w:val="none" w:sz="0" w:space="0" w:color="auto"/>
        <w:right w:val="none" w:sz="0" w:space="0" w:color="auto"/>
      </w:divBdr>
    </w:div>
    <w:div w:id="815495751">
      <w:bodyDiv w:val="1"/>
      <w:marLeft w:val="0"/>
      <w:marRight w:val="0"/>
      <w:marTop w:val="0"/>
      <w:marBottom w:val="0"/>
      <w:divBdr>
        <w:top w:val="none" w:sz="0" w:space="0" w:color="auto"/>
        <w:left w:val="none" w:sz="0" w:space="0" w:color="auto"/>
        <w:bottom w:val="none" w:sz="0" w:space="0" w:color="auto"/>
        <w:right w:val="none" w:sz="0" w:space="0" w:color="auto"/>
      </w:divBdr>
    </w:div>
    <w:div w:id="819345194">
      <w:bodyDiv w:val="1"/>
      <w:marLeft w:val="0"/>
      <w:marRight w:val="0"/>
      <w:marTop w:val="0"/>
      <w:marBottom w:val="0"/>
      <w:divBdr>
        <w:top w:val="none" w:sz="0" w:space="0" w:color="auto"/>
        <w:left w:val="none" w:sz="0" w:space="0" w:color="auto"/>
        <w:bottom w:val="none" w:sz="0" w:space="0" w:color="auto"/>
        <w:right w:val="none" w:sz="0" w:space="0" w:color="auto"/>
      </w:divBdr>
    </w:div>
    <w:div w:id="831796732">
      <w:bodyDiv w:val="1"/>
      <w:marLeft w:val="0"/>
      <w:marRight w:val="0"/>
      <w:marTop w:val="0"/>
      <w:marBottom w:val="0"/>
      <w:divBdr>
        <w:top w:val="none" w:sz="0" w:space="0" w:color="auto"/>
        <w:left w:val="none" w:sz="0" w:space="0" w:color="auto"/>
        <w:bottom w:val="none" w:sz="0" w:space="0" w:color="auto"/>
        <w:right w:val="none" w:sz="0" w:space="0" w:color="auto"/>
      </w:divBdr>
    </w:div>
    <w:div w:id="867522215">
      <w:bodyDiv w:val="1"/>
      <w:marLeft w:val="0"/>
      <w:marRight w:val="0"/>
      <w:marTop w:val="0"/>
      <w:marBottom w:val="0"/>
      <w:divBdr>
        <w:top w:val="none" w:sz="0" w:space="0" w:color="auto"/>
        <w:left w:val="none" w:sz="0" w:space="0" w:color="auto"/>
        <w:bottom w:val="none" w:sz="0" w:space="0" w:color="auto"/>
        <w:right w:val="none" w:sz="0" w:space="0" w:color="auto"/>
      </w:divBdr>
    </w:div>
    <w:div w:id="871578258">
      <w:bodyDiv w:val="1"/>
      <w:marLeft w:val="0"/>
      <w:marRight w:val="0"/>
      <w:marTop w:val="0"/>
      <w:marBottom w:val="0"/>
      <w:divBdr>
        <w:top w:val="none" w:sz="0" w:space="0" w:color="auto"/>
        <w:left w:val="none" w:sz="0" w:space="0" w:color="auto"/>
        <w:bottom w:val="none" w:sz="0" w:space="0" w:color="auto"/>
        <w:right w:val="none" w:sz="0" w:space="0" w:color="auto"/>
      </w:divBdr>
    </w:div>
    <w:div w:id="873076234">
      <w:bodyDiv w:val="1"/>
      <w:marLeft w:val="0"/>
      <w:marRight w:val="0"/>
      <w:marTop w:val="0"/>
      <w:marBottom w:val="0"/>
      <w:divBdr>
        <w:top w:val="none" w:sz="0" w:space="0" w:color="auto"/>
        <w:left w:val="none" w:sz="0" w:space="0" w:color="auto"/>
        <w:bottom w:val="none" w:sz="0" w:space="0" w:color="auto"/>
        <w:right w:val="none" w:sz="0" w:space="0" w:color="auto"/>
      </w:divBdr>
    </w:div>
    <w:div w:id="875196845">
      <w:bodyDiv w:val="1"/>
      <w:marLeft w:val="0"/>
      <w:marRight w:val="0"/>
      <w:marTop w:val="0"/>
      <w:marBottom w:val="0"/>
      <w:divBdr>
        <w:top w:val="none" w:sz="0" w:space="0" w:color="auto"/>
        <w:left w:val="none" w:sz="0" w:space="0" w:color="auto"/>
        <w:bottom w:val="none" w:sz="0" w:space="0" w:color="auto"/>
        <w:right w:val="none" w:sz="0" w:space="0" w:color="auto"/>
      </w:divBdr>
    </w:div>
    <w:div w:id="878014591">
      <w:bodyDiv w:val="1"/>
      <w:marLeft w:val="0"/>
      <w:marRight w:val="0"/>
      <w:marTop w:val="0"/>
      <w:marBottom w:val="0"/>
      <w:divBdr>
        <w:top w:val="none" w:sz="0" w:space="0" w:color="auto"/>
        <w:left w:val="none" w:sz="0" w:space="0" w:color="auto"/>
        <w:bottom w:val="none" w:sz="0" w:space="0" w:color="auto"/>
        <w:right w:val="none" w:sz="0" w:space="0" w:color="auto"/>
      </w:divBdr>
    </w:div>
    <w:div w:id="915433653">
      <w:bodyDiv w:val="1"/>
      <w:marLeft w:val="0"/>
      <w:marRight w:val="0"/>
      <w:marTop w:val="0"/>
      <w:marBottom w:val="0"/>
      <w:divBdr>
        <w:top w:val="none" w:sz="0" w:space="0" w:color="auto"/>
        <w:left w:val="none" w:sz="0" w:space="0" w:color="auto"/>
        <w:bottom w:val="none" w:sz="0" w:space="0" w:color="auto"/>
        <w:right w:val="none" w:sz="0" w:space="0" w:color="auto"/>
      </w:divBdr>
    </w:div>
    <w:div w:id="954410516">
      <w:bodyDiv w:val="1"/>
      <w:marLeft w:val="0"/>
      <w:marRight w:val="0"/>
      <w:marTop w:val="0"/>
      <w:marBottom w:val="0"/>
      <w:divBdr>
        <w:top w:val="none" w:sz="0" w:space="0" w:color="auto"/>
        <w:left w:val="none" w:sz="0" w:space="0" w:color="auto"/>
        <w:bottom w:val="none" w:sz="0" w:space="0" w:color="auto"/>
        <w:right w:val="none" w:sz="0" w:space="0" w:color="auto"/>
      </w:divBdr>
    </w:div>
    <w:div w:id="958685186">
      <w:bodyDiv w:val="1"/>
      <w:marLeft w:val="0"/>
      <w:marRight w:val="0"/>
      <w:marTop w:val="0"/>
      <w:marBottom w:val="0"/>
      <w:divBdr>
        <w:top w:val="none" w:sz="0" w:space="0" w:color="auto"/>
        <w:left w:val="none" w:sz="0" w:space="0" w:color="auto"/>
        <w:bottom w:val="none" w:sz="0" w:space="0" w:color="auto"/>
        <w:right w:val="none" w:sz="0" w:space="0" w:color="auto"/>
      </w:divBdr>
      <w:divsChild>
        <w:div w:id="933560652">
          <w:marLeft w:val="0"/>
          <w:marRight w:val="0"/>
          <w:marTop w:val="0"/>
          <w:marBottom w:val="0"/>
          <w:divBdr>
            <w:top w:val="none" w:sz="0" w:space="0" w:color="auto"/>
            <w:left w:val="none" w:sz="0" w:space="0" w:color="auto"/>
            <w:bottom w:val="none" w:sz="0" w:space="0" w:color="auto"/>
            <w:right w:val="none" w:sz="0" w:space="0" w:color="auto"/>
          </w:divBdr>
          <w:divsChild>
            <w:div w:id="1713767035">
              <w:marLeft w:val="0"/>
              <w:marRight w:val="0"/>
              <w:marTop w:val="0"/>
              <w:marBottom w:val="0"/>
              <w:divBdr>
                <w:top w:val="none" w:sz="0" w:space="0" w:color="auto"/>
                <w:left w:val="none" w:sz="0" w:space="0" w:color="auto"/>
                <w:bottom w:val="none" w:sz="0" w:space="0" w:color="auto"/>
                <w:right w:val="none" w:sz="0" w:space="0" w:color="auto"/>
              </w:divBdr>
              <w:divsChild>
                <w:div w:id="1481849959">
                  <w:marLeft w:val="0"/>
                  <w:marRight w:val="0"/>
                  <w:marTop w:val="0"/>
                  <w:marBottom w:val="0"/>
                  <w:divBdr>
                    <w:top w:val="none" w:sz="0" w:space="0" w:color="auto"/>
                    <w:left w:val="none" w:sz="0" w:space="0" w:color="auto"/>
                    <w:bottom w:val="none" w:sz="0" w:space="0" w:color="auto"/>
                    <w:right w:val="none" w:sz="0" w:space="0" w:color="auto"/>
                  </w:divBdr>
                  <w:divsChild>
                    <w:div w:id="618993478">
                      <w:marLeft w:val="0"/>
                      <w:marRight w:val="0"/>
                      <w:marTop w:val="0"/>
                      <w:marBottom w:val="0"/>
                      <w:divBdr>
                        <w:top w:val="none" w:sz="0" w:space="0" w:color="auto"/>
                        <w:left w:val="none" w:sz="0" w:space="0" w:color="auto"/>
                        <w:bottom w:val="none" w:sz="0" w:space="0" w:color="auto"/>
                        <w:right w:val="none" w:sz="0" w:space="0" w:color="auto"/>
                      </w:divBdr>
                      <w:divsChild>
                        <w:div w:id="326440992">
                          <w:marLeft w:val="0"/>
                          <w:marRight w:val="0"/>
                          <w:marTop w:val="0"/>
                          <w:marBottom w:val="0"/>
                          <w:divBdr>
                            <w:top w:val="none" w:sz="0" w:space="0" w:color="auto"/>
                            <w:left w:val="none" w:sz="0" w:space="0" w:color="auto"/>
                            <w:bottom w:val="none" w:sz="0" w:space="0" w:color="auto"/>
                            <w:right w:val="none" w:sz="0" w:space="0" w:color="auto"/>
                          </w:divBdr>
                          <w:divsChild>
                            <w:div w:id="1063335186">
                              <w:marLeft w:val="0"/>
                              <w:marRight w:val="0"/>
                              <w:marTop w:val="0"/>
                              <w:marBottom w:val="0"/>
                              <w:divBdr>
                                <w:top w:val="none" w:sz="0" w:space="0" w:color="auto"/>
                                <w:left w:val="none" w:sz="0" w:space="0" w:color="auto"/>
                                <w:bottom w:val="none" w:sz="0" w:space="0" w:color="auto"/>
                                <w:right w:val="none" w:sz="0" w:space="0" w:color="auto"/>
                              </w:divBdr>
                              <w:divsChild>
                                <w:div w:id="922421010">
                                  <w:marLeft w:val="0"/>
                                  <w:marRight w:val="0"/>
                                  <w:marTop w:val="0"/>
                                  <w:marBottom w:val="0"/>
                                  <w:divBdr>
                                    <w:top w:val="none" w:sz="0" w:space="0" w:color="auto"/>
                                    <w:left w:val="none" w:sz="0" w:space="0" w:color="auto"/>
                                    <w:bottom w:val="none" w:sz="0" w:space="0" w:color="auto"/>
                                    <w:right w:val="none" w:sz="0" w:space="0" w:color="auto"/>
                                  </w:divBdr>
                                  <w:divsChild>
                                    <w:div w:id="126831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843756">
      <w:bodyDiv w:val="1"/>
      <w:marLeft w:val="0"/>
      <w:marRight w:val="0"/>
      <w:marTop w:val="0"/>
      <w:marBottom w:val="0"/>
      <w:divBdr>
        <w:top w:val="none" w:sz="0" w:space="0" w:color="auto"/>
        <w:left w:val="none" w:sz="0" w:space="0" w:color="auto"/>
        <w:bottom w:val="none" w:sz="0" w:space="0" w:color="auto"/>
        <w:right w:val="none" w:sz="0" w:space="0" w:color="auto"/>
      </w:divBdr>
    </w:div>
    <w:div w:id="959993544">
      <w:bodyDiv w:val="1"/>
      <w:marLeft w:val="0"/>
      <w:marRight w:val="0"/>
      <w:marTop w:val="0"/>
      <w:marBottom w:val="0"/>
      <w:divBdr>
        <w:top w:val="none" w:sz="0" w:space="0" w:color="auto"/>
        <w:left w:val="none" w:sz="0" w:space="0" w:color="auto"/>
        <w:bottom w:val="none" w:sz="0" w:space="0" w:color="auto"/>
        <w:right w:val="none" w:sz="0" w:space="0" w:color="auto"/>
      </w:divBdr>
    </w:div>
    <w:div w:id="968390857">
      <w:bodyDiv w:val="1"/>
      <w:marLeft w:val="0"/>
      <w:marRight w:val="0"/>
      <w:marTop w:val="0"/>
      <w:marBottom w:val="0"/>
      <w:divBdr>
        <w:top w:val="none" w:sz="0" w:space="0" w:color="auto"/>
        <w:left w:val="none" w:sz="0" w:space="0" w:color="auto"/>
        <w:bottom w:val="none" w:sz="0" w:space="0" w:color="auto"/>
        <w:right w:val="none" w:sz="0" w:space="0" w:color="auto"/>
      </w:divBdr>
    </w:div>
    <w:div w:id="969674361">
      <w:bodyDiv w:val="1"/>
      <w:marLeft w:val="0"/>
      <w:marRight w:val="0"/>
      <w:marTop w:val="0"/>
      <w:marBottom w:val="0"/>
      <w:divBdr>
        <w:top w:val="none" w:sz="0" w:space="0" w:color="auto"/>
        <w:left w:val="none" w:sz="0" w:space="0" w:color="auto"/>
        <w:bottom w:val="none" w:sz="0" w:space="0" w:color="auto"/>
        <w:right w:val="none" w:sz="0" w:space="0" w:color="auto"/>
      </w:divBdr>
    </w:div>
    <w:div w:id="980423726">
      <w:bodyDiv w:val="1"/>
      <w:marLeft w:val="0"/>
      <w:marRight w:val="0"/>
      <w:marTop w:val="0"/>
      <w:marBottom w:val="0"/>
      <w:divBdr>
        <w:top w:val="none" w:sz="0" w:space="0" w:color="auto"/>
        <w:left w:val="none" w:sz="0" w:space="0" w:color="auto"/>
        <w:bottom w:val="none" w:sz="0" w:space="0" w:color="auto"/>
        <w:right w:val="none" w:sz="0" w:space="0" w:color="auto"/>
      </w:divBdr>
    </w:div>
    <w:div w:id="984316223">
      <w:bodyDiv w:val="1"/>
      <w:marLeft w:val="0"/>
      <w:marRight w:val="0"/>
      <w:marTop w:val="0"/>
      <w:marBottom w:val="0"/>
      <w:divBdr>
        <w:top w:val="none" w:sz="0" w:space="0" w:color="auto"/>
        <w:left w:val="none" w:sz="0" w:space="0" w:color="auto"/>
        <w:bottom w:val="none" w:sz="0" w:space="0" w:color="auto"/>
        <w:right w:val="none" w:sz="0" w:space="0" w:color="auto"/>
      </w:divBdr>
    </w:div>
    <w:div w:id="985596594">
      <w:bodyDiv w:val="1"/>
      <w:marLeft w:val="0"/>
      <w:marRight w:val="0"/>
      <w:marTop w:val="0"/>
      <w:marBottom w:val="0"/>
      <w:divBdr>
        <w:top w:val="none" w:sz="0" w:space="0" w:color="auto"/>
        <w:left w:val="none" w:sz="0" w:space="0" w:color="auto"/>
        <w:bottom w:val="none" w:sz="0" w:space="0" w:color="auto"/>
        <w:right w:val="none" w:sz="0" w:space="0" w:color="auto"/>
      </w:divBdr>
      <w:divsChild>
        <w:div w:id="1766029125">
          <w:marLeft w:val="0"/>
          <w:marRight w:val="0"/>
          <w:marTop w:val="0"/>
          <w:marBottom w:val="0"/>
          <w:divBdr>
            <w:top w:val="none" w:sz="0" w:space="0" w:color="auto"/>
            <w:left w:val="single" w:sz="6" w:space="0" w:color="BCBBBB"/>
            <w:bottom w:val="none" w:sz="0" w:space="0" w:color="auto"/>
            <w:right w:val="single" w:sz="6" w:space="0" w:color="BCBBBB"/>
          </w:divBdr>
          <w:divsChild>
            <w:div w:id="1111436771">
              <w:marLeft w:val="0"/>
              <w:marRight w:val="0"/>
              <w:marTop w:val="0"/>
              <w:marBottom w:val="0"/>
              <w:divBdr>
                <w:top w:val="none" w:sz="0" w:space="0" w:color="auto"/>
                <w:left w:val="none" w:sz="0" w:space="0" w:color="auto"/>
                <w:bottom w:val="none" w:sz="0" w:space="0" w:color="auto"/>
                <w:right w:val="none" w:sz="0" w:space="0" w:color="auto"/>
              </w:divBdr>
              <w:divsChild>
                <w:div w:id="2100372084">
                  <w:marLeft w:val="0"/>
                  <w:marRight w:val="0"/>
                  <w:marTop w:val="0"/>
                  <w:marBottom w:val="0"/>
                  <w:divBdr>
                    <w:top w:val="single" w:sz="6" w:space="0" w:color="D2D2D2"/>
                    <w:left w:val="single" w:sz="6" w:space="0" w:color="D2D2D2"/>
                    <w:bottom w:val="single" w:sz="6" w:space="0" w:color="D2D2D2"/>
                    <w:right w:val="single" w:sz="6" w:space="0" w:color="D2D2D2"/>
                  </w:divBdr>
                  <w:divsChild>
                    <w:div w:id="860703082">
                      <w:marLeft w:val="0"/>
                      <w:marRight w:val="0"/>
                      <w:marTop w:val="0"/>
                      <w:marBottom w:val="0"/>
                      <w:divBdr>
                        <w:top w:val="none" w:sz="0" w:space="0" w:color="auto"/>
                        <w:left w:val="none" w:sz="0" w:space="0" w:color="auto"/>
                        <w:bottom w:val="none" w:sz="0" w:space="0" w:color="auto"/>
                        <w:right w:val="none" w:sz="0" w:space="0" w:color="auto"/>
                      </w:divBdr>
                      <w:divsChild>
                        <w:div w:id="1496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471792">
      <w:bodyDiv w:val="1"/>
      <w:marLeft w:val="0"/>
      <w:marRight w:val="0"/>
      <w:marTop w:val="0"/>
      <w:marBottom w:val="0"/>
      <w:divBdr>
        <w:top w:val="none" w:sz="0" w:space="0" w:color="auto"/>
        <w:left w:val="none" w:sz="0" w:space="0" w:color="auto"/>
        <w:bottom w:val="none" w:sz="0" w:space="0" w:color="auto"/>
        <w:right w:val="none" w:sz="0" w:space="0" w:color="auto"/>
      </w:divBdr>
      <w:divsChild>
        <w:div w:id="298146310">
          <w:marLeft w:val="0"/>
          <w:marRight w:val="0"/>
          <w:marTop w:val="0"/>
          <w:marBottom w:val="0"/>
          <w:divBdr>
            <w:top w:val="none" w:sz="0" w:space="0" w:color="auto"/>
            <w:left w:val="none" w:sz="0" w:space="0" w:color="auto"/>
            <w:bottom w:val="none" w:sz="0" w:space="0" w:color="auto"/>
            <w:right w:val="none" w:sz="0" w:space="0" w:color="auto"/>
          </w:divBdr>
          <w:divsChild>
            <w:div w:id="882057263">
              <w:marLeft w:val="0"/>
              <w:marRight w:val="0"/>
              <w:marTop w:val="0"/>
              <w:marBottom w:val="0"/>
              <w:divBdr>
                <w:top w:val="none" w:sz="0" w:space="0" w:color="auto"/>
                <w:left w:val="none" w:sz="0" w:space="0" w:color="auto"/>
                <w:bottom w:val="none" w:sz="0" w:space="0" w:color="auto"/>
                <w:right w:val="none" w:sz="0" w:space="0" w:color="auto"/>
              </w:divBdr>
            </w:div>
            <w:div w:id="885289452">
              <w:marLeft w:val="0"/>
              <w:marRight w:val="0"/>
              <w:marTop w:val="0"/>
              <w:marBottom w:val="0"/>
              <w:divBdr>
                <w:top w:val="none" w:sz="0" w:space="0" w:color="auto"/>
                <w:left w:val="none" w:sz="0" w:space="0" w:color="auto"/>
                <w:bottom w:val="none" w:sz="0" w:space="0" w:color="auto"/>
                <w:right w:val="none" w:sz="0" w:space="0" w:color="auto"/>
              </w:divBdr>
            </w:div>
            <w:div w:id="4957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6186">
      <w:bodyDiv w:val="1"/>
      <w:marLeft w:val="0"/>
      <w:marRight w:val="0"/>
      <w:marTop w:val="0"/>
      <w:marBottom w:val="0"/>
      <w:divBdr>
        <w:top w:val="none" w:sz="0" w:space="0" w:color="auto"/>
        <w:left w:val="none" w:sz="0" w:space="0" w:color="auto"/>
        <w:bottom w:val="none" w:sz="0" w:space="0" w:color="auto"/>
        <w:right w:val="none" w:sz="0" w:space="0" w:color="auto"/>
      </w:divBdr>
    </w:div>
    <w:div w:id="1032149964">
      <w:bodyDiv w:val="1"/>
      <w:marLeft w:val="0"/>
      <w:marRight w:val="0"/>
      <w:marTop w:val="0"/>
      <w:marBottom w:val="0"/>
      <w:divBdr>
        <w:top w:val="none" w:sz="0" w:space="0" w:color="auto"/>
        <w:left w:val="none" w:sz="0" w:space="0" w:color="auto"/>
        <w:bottom w:val="none" w:sz="0" w:space="0" w:color="auto"/>
        <w:right w:val="none" w:sz="0" w:space="0" w:color="auto"/>
      </w:divBdr>
      <w:divsChild>
        <w:div w:id="1333992281">
          <w:marLeft w:val="0"/>
          <w:marRight w:val="0"/>
          <w:marTop w:val="0"/>
          <w:marBottom w:val="0"/>
          <w:divBdr>
            <w:top w:val="none" w:sz="0" w:space="0" w:color="auto"/>
            <w:left w:val="none" w:sz="0" w:space="0" w:color="auto"/>
            <w:bottom w:val="none" w:sz="0" w:space="0" w:color="auto"/>
            <w:right w:val="none" w:sz="0" w:space="0" w:color="auto"/>
          </w:divBdr>
        </w:div>
      </w:divsChild>
    </w:div>
    <w:div w:id="1041898194">
      <w:bodyDiv w:val="1"/>
      <w:marLeft w:val="0"/>
      <w:marRight w:val="0"/>
      <w:marTop w:val="0"/>
      <w:marBottom w:val="0"/>
      <w:divBdr>
        <w:top w:val="none" w:sz="0" w:space="0" w:color="auto"/>
        <w:left w:val="none" w:sz="0" w:space="0" w:color="auto"/>
        <w:bottom w:val="none" w:sz="0" w:space="0" w:color="auto"/>
        <w:right w:val="none" w:sz="0" w:space="0" w:color="auto"/>
      </w:divBdr>
    </w:div>
    <w:div w:id="1058937111">
      <w:bodyDiv w:val="1"/>
      <w:marLeft w:val="0"/>
      <w:marRight w:val="0"/>
      <w:marTop w:val="0"/>
      <w:marBottom w:val="0"/>
      <w:divBdr>
        <w:top w:val="none" w:sz="0" w:space="0" w:color="auto"/>
        <w:left w:val="none" w:sz="0" w:space="0" w:color="auto"/>
        <w:bottom w:val="none" w:sz="0" w:space="0" w:color="auto"/>
        <w:right w:val="none" w:sz="0" w:space="0" w:color="auto"/>
      </w:divBdr>
      <w:divsChild>
        <w:div w:id="459808201">
          <w:marLeft w:val="547"/>
          <w:marRight w:val="0"/>
          <w:marTop w:val="134"/>
          <w:marBottom w:val="0"/>
          <w:divBdr>
            <w:top w:val="none" w:sz="0" w:space="0" w:color="auto"/>
            <w:left w:val="none" w:sz="0" w:space="0" w:color="auto"/>
            <w:bottom w:val="none" w:sz="0" w:space="0" w:color="auto"/>
            <w:right w:val="none" w:sz="0" w:space="0" w:color="auto"/>
          </w:divBdr>
        </w:div>
      </w:divsChild>
    </w:div>
    <w:div w:id="1070155436">
      <w:bodyDiv w:val="1"/>
      <w:marLeft w:val="0"/>
      <w:marRight w:val="0"/>
      <w:marTop w:val="0"/>
      <w:marBottom w:val="0"/>
      <w:divBdr>
        <w:top w:val="none" w:sz="0" w:space="0" w:color="auto"/>
        <w:left w:val="none" w:sz="0" w:space="0" w:color="auto"/>
        <w:bottom w:val="none" w:sz="0" w:space="0" w:color="auto"/>
        <w:right w:val="none" w:sz="0" w:space="0" w:color="auto"/>
      </w:divBdr>
    </w:div>
    <w:div w:id="1109934308">
      <w:bodyDiv w:val="1"/>
      <w:marLeft w:val="0"/>
      <w:marRight w:val="0"/>
      <w:marTop w:val="0"/>
      <w:marBottom w:val="0"/>
      <w:divBdr>
        <w:top w:val="none" w:sz="0" w:space="0" w:color="auto"/>
        <w:left w:val="none" w:sz="0" w:space="0" w:color="auto"/>
        <w:bottom w:val="none" w:sz="0" w:space="0" w:color="auto"/>
        <w:right w:val="none" w:sz="0" w:space="0" w:color="auto"/>
      </w:divBdr>
    </w:div>
    <w:div w:id="1125587888">
      <w:bodyDiv w:val="1"/>
      <w:marLeft w:val="0"/>
      <w:marRight w:val="0"/>
      <w:marTop w:val="0"/>
      <w:marBottom w:val="0"/>
      <w:divBdr>
        <w:top w:val="none" w:sz="0" w:space="0" w:color="auto"/>
        <w:left w:val="none" w:sz="0" w:space="0" w:color="auto"/>
        <w:bottom w:val="none" w:sz="0" w:space="0" w:color="auto"/>
        <w:right w:val="none" w:sz="0" w:space="0" w:color="auto"/>
      </w:divBdr>
    </w:div>
    <w:div w:id="1137265053">
      <w:bodyDiv w:val="1"/>
      <w:marLeft w:val="0"/>
      <w:marRight w:val="0"/>
      <w:marTop w:val="0"/>
      <w:marBottom w:val="0"/>
      <w:divBdr>
        <w:top w:val="none" w:sz="0" w:space="0" w:color="auto"/>
        <w:left w:val="none" w:sz="0" w:space="0" w:color="auto"/>
        <w:bottom w:val="none" w:sz="0" w:space="0" w:color="auto"/>
        <w:right w:val="none" w:sz="0" w:space="0" w:color="auto"/>
      </w:divBdr>
    </w:div>
    <w:div w:id="1145005587">
      <w:bodyDiv w:val="1"/>
      <w:marLeft w:val="0"/>
      <w:marRight w:val="0"/>
      <w:marTop w:val="0"/>
      <w:marBottom w:val="0"/>
      <w:divBdr>
        <w:top w:val="none" w:sz="0" w:space="0" w:color="auto"/>
        <w:left w:val="none" w:sz="0" w:space="0" w:color="auto"/>
        <w:bottom w:val="none" w:sz="0" w:space="0" w:color="auto"/>
        <w:right w:val="none" w:sz="0" w:space="0" w:color="auto"/>
      </w:divBdr>
    </w:div>
    <w:div w:id="1147820657">
      <w:bodyDiv w:val="1"/>
      <w:marLeft w:val="0"/>
      <w:marRight w:val="0"/>
      <w:marTop w:val="0"/>
      <w:marBottom w:val="0"/>
      <w:divBdr>
        <w:top w:val="none" w:sz="0" w:space="0" w:color="auto"/>
        <w:left w:val="none" w:sz="0" w:space="0" w:color="auto"/>
        <w:bottom w:val="none" w:sz="0" w:space="0" w:color="auto"/>
        <w:right w:val="none" w:sz="0" w:space="0" w:color="auto"/>
      </w:divBdr>
      <w:divsChild>
        <w:div w:id="200630307">
          <w:marLeft w:val="1800"/>
          <w:marRight w:val="0"/>
          <w:marTop w:val="96"/>
          <w:marBottom w:val="0"/>
          <w:divBdr>
            <w:top w:val="none" w:sz="0" w:space="0" w:color="auto"/>
            <w:left w:val="none" w:sz="0" w:space="0" w:color="auto"/>
            <w:bottom w:val="none" w:sz="0" w:space="0" w:color="auto"/>
            <w:right w:val="none" w:sz="0" w:space="0" w:color="auto"/>
          </w:divBdr>
        </w:div>
        <w:div w:id="1139883455">
          <w:marLeft w:val="1800"/>
          <w:marRight w:val="0"/>
          <w:marTop w:val="96"/>
          <w:marBottom w:val="0"/>
          <w:divBdr>
            <w:top w:val="none" w:sz="0" w:space="0" w:color="auto"/>
            <w:left w:val="none" w:sz="0" w:space="0" w:color="auto"/>
            <w:bottom w:val="none" w:sz="0" w:space="0" w:color="auto"/>
            <w:right w:val="none" w:sz="0" w:space="0" w:color="auto"/>
          </w:divBdr>
        </w:div>
        <w:div w:id="1367146717">
          <w:marLeft w:val="1800"/>
          <w:marRight w:val="0"/>
          <w:marTop w:val="96"/>
          <w:marBottom w:val="0"/>
          <w:divBdr>
            <w:top w:val="none" w:sz="0" w:space="0" w:color="auto"/>
            <w:left w:val="none" w:sz="0" w:space="0" w:color="auto"/>
            <w:bottom w:val="none" w:sz="0" w:space="0" w:color="auto"/>
            <w:right w:val="none" w:sz="0" w:space="0" w:color="auto"/>
          </w:divBdr>
        </w:div>
        <w:div w:id="1391878552">
          <w:marLeft w:val="1166"/>
          <w:marRight w:val="0"/>
          <w:marTop w:val="115"/>
          <w:marBottom w:val="0"/>
          <w:divBdr>
            <w:top w:val="none" w:sz="0" w:space="0" w:color="auto"/>
            <w:left w:val="none" w:sz="0" w:space="0" w:color="auto"/>
            <w:bottom w:val="none" w:sz="0" w:space="0" w:color="auto"/>
            <w:right w:val="none" w:sz="0" w:space="0" w:color="auto"/>
          </w:divBdr>
        </w:div>
        <w:div w:id="1890417220">
          <w:marLeft w:val="1166"/>
          <w:marRight w:val="0"/>
          <w:marTop w:val="115"/>
          <w:marBottom w:val="0"/>
          <w:divBdr>
            <w:top w:val="none" w:sz="0" w:space="0" w:color="auto"/>
            <w:left w:val="none" w:sz="0" w:space="0" w:color="auto"/>
            <w:bottom w:val="none" w:sz="0" w:space="0" w:color="auto"/>
            <w:right w:val="none" w:sz="0" w:space="0" w:color="auto"/>
          </w:divBdr>
        </w:div>
        <w:div w:id="2088455423">
          <w:marLeft w:val="1166"/>
          <w:marRight w:val="0"/>
          <w:marTop w:val="115"/>
          <w:marBottom w:val="0"/>
          <w:divBdr>
            <w:top w:val="none" w:sz="0" w:space="0" w:color="auto"/>
            <w:left w:val="none" w:sz="0" w:space="0" w:color="auto"/>
            <w:bottom w:val="none" w:sz="0" w:space="0" w:color="auto"/>
            <w:right w:val="none" w:sz="0" w:space="0" w:color="auto"/>
          </w:divBdr>
        </w:div>
      </w:divsChild>
    </w:div>
    <w:div w:id="1148671169">
      <w:bodyDiv w:val="1"/>
      <w:marLeft w:val="0"/>
      <w:marRight w:val="0"/>
      <w:marTop w:val="0"/>
      <w:marBottom w:val="0"/>
      <w:divBdr>
        <w:top w:val="none" w:sz="0" w:space="0" w:color="auto"/>
        <w:left w:val="none" w:sz="0" w:space="0" w:color="auto"/>
        <w:bottom w:val="none" w:sz="0" w:space="0" w:color="auto"/>
        <w:right w:val="none" w:sz="0" w:space="0" w:color="auto"/>
      </w:divBdr>
    </w:div>
    <w:div w:id="1159151163">
      <w:bodyDiv w:val="1"/>
      <w:marLeft w:val="0"/>
      <w:marRight w:val="0"/>
      <w:marTop w:val="0"/>
      <w:marBottom w:val="0"/>
      <w:divBdr>
        <w:top w:val="none" w:sz="0" w:space="0" w:color="auto"/>
        <w:left w:val="none" w:sz="0" w:space="0" w:color="auto"/>
        <w:bottom w:val="none" w:sz="0" w:space="0" w:color="auto"/>
        <w:right w:val="none" w:sz="0" w:space="0" w:color="auto"/>
      </w:divBdr>
    </w:div>
    <w:div w:id="1170486274">
      <w:bodyDiv w:val="1"/>
      <w:marLeft w:val="0"/>
      <w:marRight w:val="0"/>
      <w:marTop w:val="0"/>
      <w:marBottom w:val="0"/>
      <w:divBdr>
        <w:top w:val="none" w:sz="0" w:space="0" w:color="auto"/>
        <w:left w:val="none" w:sz="0" w:space="0" w:color="auto"/>
        <w:bottom w:val="none" w:sz="0" w:space="0" w:color="auto"/>
        <w:right w:val="none" w:sz="0" w:space="0" w:color="auto"/>
      </w:divBdr>
    </w:div>
    <w:div w:id="1181747511">
      <w:bodyDiv w:val="1"/>
      <w:marLeft w:val="0"/>
      <w:marRight w:val="0"/>
      <w:marTop w:val="0"/>
      <w:marBottom w:val="0"/>
      <w:divBdr>
        <w:top w:val="none" w:sz="0" w:space="0" w:color="auto"/>
        <w:left w:val="none" w:sz="0" w:space="0" w:color="auto"/>
        <w:bottom w:val="none" w:sz="0" w:space="0" w:color="auto"/>
        <w:right w:val="none" w:sz="0" w:space="0" w:color="auto"/>
      </w:divBdr>
    </w:div>
    <w:div w:id="1196040653">
      <w:bodyDiv w:val="1"/>
      <w:marLeft w:val="0"/>
      <w:marRight w:val="0"/>
      <w:marTop w:val="0"/>
      <w:marBottom w:val="0"/>
      <w:divBdr>
        <w:top w:val="none" w:sz="0" w:space="0" w:color="auto"/>
        <w:left w:val="none" w:sz="0" w:space="0" w:color="auto"/>
        <w:bottom w:val="none" w:sz="0" w:space="0" w:color="auto"/>
        <w:right w:val="none" w:sz="0" w:space="0" w:color="auto"/>
      </w:divBdr>
    </w:div>
    <w:div w:id="1196776047">
      <w:bodyDiv w:val="1"/>
      <w:marLeft w:val="0"/>
      <w:marRight w:val="0"/>
      <w:marTop w:val="0"/>
      <w:marBottom w:val="0"/>
      <w:divBdr>
        <w:top w:val="none" w:sz="0" w:space="0" w:color="auto"/>
        <w:left w:val="none" w:sz="0" w:space="0" w:color="auto"/>
        <w:bottom w:val="none" w:sz="0" w:space="0" w:color="auto"/>
        <w:right w:val="none" w:sz="0" w:space="0" w:color="auto"/>
      </w:divBdr>
      <w:divsChild>
        <w:div w:id="1290630251">
          <w:marLeft w:val="0"/>
          <w:marRight w:val="0"/>
          <w:marTop w:val="0"/>
          <w:marBottom w:val="0"/>
          <w:divBdr>
            <w:top w:val="none" w:sz="0" w:space="0" w:color="auto"/>
            <w:left w:val="none" w:sz="0" w:space="0" w:color="auto"/>
            <w:bottom w:val="none" w:sz="0" w:space="0" w:color="auto"/>
            <w:right w:val="none" w:sz="0" w:space="0" w:color="auto"/>
          </w:divBdr>
        </w:div>
      </w:divsChild>
    </w:div>
    <w:div w:id="1204366050">
      <w:bodyDiv w:val="1"/>
      <w:marLeft w:val="0"/>
      <w:marRight w:val="0"/>
      <w:marTop w:val="0"/>
      <w:marBottom w:val="0"/>
      <w:divBdr>
        <w:top w:val="none" w:sz="0" w:space="0" w:color="auto"/>
        <w:left w:val="none" w:sz="0" w:space="0" w:color="auto"/>
        <w:bottom w:val="none" w:sz="0" w:space="0" w:color="auto"/>
        <w:right w:val="none" w:sz="0" w:space="0" w:color="auto"/>
      </w:divBdr>
      <w:divsChild>
        <w:div w:id="330262167">
          <w:marLeft w:val="0"/>
          <w:marRight w:val="0"/>
          <w:marTop w:val="0"/>
          <w:marBottom w:val="0"/>
          <w:divBdr>
            <w:top w:val="none" w:sz="0" w:space="0" w:color="auto"/>
            <w:left w:val="none" w:sz="0" w:space="0" w:color="auto"/>
            <w:bottom w:val="none" w:sz="0" w:space="0" w:color="auto"/>
            <w:right w:val="none" w:sz="0" w:space="0" w:color="auto"/>
          </w:divBdr>
          <w:divsChild>
            <w:div w:id="750347010">
              <w:marLeft w:val="0"/>
              <w:marRight w:val="0"/>
              <w:marTop w:val="0"/>
              <w:marBottom w:val="0"/>
              <w:divBdr>
                <w:top w:val="none" w:sz="0" w:space="0" w:color="auto"/>
                <w:left w:val="none" w:sz="0" w:space="0" w:color="auto"/>
                <w:bottom w:val="none" w:sz="0" w:space="0" w:color="auto"/>
                <w:right w:val="none" w:sz="0" w:space="0" w:color="auto"/>
              </w:divBdr>
            </w:div>
            <w:div w:id="1723946851">
              <w:marLeft w:val="0"/>
              <w:marRight w:val="0"/>
              <w:marTop w:val="0"/>
              <w:marBottom w:val="0"/>
              <w:divBdr>
                <w:top w:val="none" w:sz="0" w:space="0" w:color="auto"/>
                <w:left w:val="none" w:sz="0" w:space="0" w:color="auto"/>
                <w:bottom w:val="none" w:sz="0" w:space="0" w:color="auto"/>
                <w:right w:val="none" w:sz="0" w:space="0" w:color="auto"/>
              </w:divBdr>
            </w:div>
            <w:div w:id="21832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721175">
      <w:bodyDiv w:val="1"/>
      <w:marLeft w:val="0"/>
      <w:marRight w:val="0"/>
      <w:marTop w:val="0"/>
      <w:marBottom w:val="0"/>
      <w:divBdr>
        <w:top w:val="none" w:sz="0" w:space="0" w:color="auto"/>
        <w:left w:val="none" w:sz="0" w:space="0" w:color="auto"/>
        <w:bottom w:val="none" w:sz="0" w:space="0" w:color="auto"/>
        <w:right w:val="none" w:sz="0" w:space="0" w:color="auto"/>
      </w:divBdr>
    </w:div>
    <w:div w:id="1214080697">
      <w:bodyDiv w:val="1"/>
      <w:marLeft w:val="0"/>
      <w:marRight w:val="0"/>
      <w:marTop w:val="0"/>
      <w:marBottom w:val="0"/>
      <w:divBdr>
        <w:top w:val="none" w:sz="0" w:space="0" w:color="auto"/>
        <w:left w:val="none" w:sz="0" w:space="0" w:color="auto"/>
        <w:bottom w:val="none" w:sz="0" w:space="0" w:color="auto"/>
        <w:right w:val="none" w:sz="0" w:space="0" w:color="auto"/>
      </w:divBdr>
    </w:div>
    <w:div w:id="1220480965">
      <w:bodyDiv w:val="1"/>
      <w:marLeft w:val="0"/>
      <w:marRight w:val="0"/>
      <w:marTop w:val="0"/>
      <w:marBottom w:val="0"/>
      <w:divBdr>
        <w:top w:val="none" w:sz="0" w:space="0" w:color="auto"/>
        <w:left w:val="none" w:sz="0" w:space="0" w:color="auto"/>
        <w:bottom w:val="none" w:sz="0" w:space="0" w:color="auto"/>
        <w:right w:val="none" w:sz="0" w:space="0" w:color="auto"/>
      </w:divBdr>
    </w:div>
    <w:div w:id="1228567620">
      <w:bodyDiv w:val="1"/>
      <w:marLeft w:val="0"/>
      <w:marRight w:val="0"/>
      <w:marTop w:val="0"/>
      <w:marBottom w:val="0"/>
      <w:divBdr>
        <w:top w:val="none" w:sz="0" w:space="0" w:color="auto"/>
        <w:left w:val="none" w:sz="0" w:space="0" w:color="auto"/>
        <w:bottom w:val="none" w:sz="0" w:space="0" w:color="auto"/>
        <w:right w:val="none" w:sz="0" w:space="0" w:color="auto"/>
      </w:divBdr>
    </w:div>
    <w:div w:id="1229152033">
      <w:bodyDiv w:val="1"/>
      <w:marLeft w:val="0"/>
      <w:marRight w:val="0"/>
      <w:marTop w:val="0"/>
      <w:marBottom w:val="0"/>
      <w:divBdr>
        <w:top w:val="none" w:sz="0" w:space="0" w:color="auto"/>
        <w:left w:val="none" w:sz="0" w:space="0" w:color="auto"/>
        <w:bottom w:val="none" w:sz="0" w:space="0" w:color="auto"/>
        <w:right w:val="none" w:sz="0" w:space="0" w:color="auto"/>
      </w:divBdr>
    </w:div>
    <w:div w:id="1231387629">
      <w:bodyDiv w:val="1"/>
      <w:marLeft w:val="0"/>
      <w:marRight w:val="0"/>
      <w:marTop w:val="0"/>
      <w:marBottom w:val="0"/>
      <w:divBdr>
        <w:top w:val="none" w:sz="0" w:space="0" w:color="auto"/>
        <w:left w:val="none" w:sz="0" w:space="0" w:color="auto"/>
        <w:bottom w:val="none" w:sz="0" w:space="0" w:color="auto"/>
        <w:right w:val="none" w:sz="0" w:space="0" w:color="auto"/>
      </w:divBdr>
    </w:div>
    <w:div w:id="1236670057">
      <w:bodyDiv w:val="1"/>
      <w:marLeft w:val="0"/>
      <w:marRight w:val="0"/>
      <w:marTop w:val="0"/>
      <w:marBottom w:val="0"/>
      <w:divBdr>
        <w:top w:val="none" w:sz="0" w:space="0" w:color="auto"/>
        <w:left w:val="none" w:sz="0" w:space="0" w:color="auto"/>
        <w:bottom w:val="none" w:sz="0" w:space="0" w:color="auto"/>
        <w:right w:val="none" w:sz="0" w:space="0" w:color="auto"/>
      </w:divBdr>
    </w:div>
    <w:div w:id="1265458162">
      <w:bodyDiv w:val="1"/>
      <w:marLeft w:val="0"/>
      <w:marRight w:val="0"/>
      <w:marTop w:val="0"/>
      <w:marBottom w:val="0"/>
      <w:divBdr>
        <w:top w:val="none" w:sz="0" w:space="0" w:color="auto"/>
        <w:left w:val="none" w:sz="0" w:space="0" w:color="auto"/>
        <w:bottom w:val="none" w:sz="0" w:space="0" w:color="auto"/>
        <w:right w:val="none" w:sz="0" w:space="0" w:color="auto"/>
      </w:divBdr>
    </w:div>
    <w:div w:id="1267426806">
      <w:bodyDiv w:val="1"/>
      <w:marLeft w:val="0"/>
      <w:marRight w:val="0"/>
      <w:marTop w:val="0"/>
      <w:marBottom w:val="0"/>
      <w:divBdr>
        <w:top w:val="none" w:sz="0" w:space="0" w:color="auto"/>
        <w:left w:val="none" w:sz="0" w:space="0" w:color="auto"/>
        <w:bottom w:val="none" w:sz="0" w:space="0" w:color="auto"/>
        <w:right w:val="none" w:sz="0" w:space="0" w:color="auto"/>
      </w:divBdr>
    </w:div>
    <w:div w:id="1296565216">
      <w:bodyDiv w:val="1"/>
      <w:marLeft w:val="0"/>
      <w:marRight w:val="0"/>
      <w:marTop w:val="0"/>
      <w:marBottom w:val="0"/>
      <w:divBdr>
        <w:top w:val="none" w:sz="0" w:space="0" w:color="auto"/>
        <w:left w:val="none" w:sz="0" w:space="0" w:color="auto"/>
        <w:bottom w:val="none" w:sz="0" w:space="0" w:color="auto"/>
        <w:right w:val="none" w:sz="0" w:space="0" w:color="auto"/>
      </w:divBdr>
    </w:div>
    <w:div w:id="1301687712">
      <w:bodyDiv w:val="1"/>
      <w:marLeft w:val="0"/>
      <w:marRight w:val="0"/>
      <w:marTop w:val="0"/>
      <w:marBottom w:val="0"/>
      <w:divBdr>
        <w:top w:val="none" w:sz="0" w:space="0" w:color="auto"/>
        <w:left w:val="none" w:sz="0" w:space="0" w:color="auto"/>
        <w:bottom w:val="none" w:sz="0" w:space="0" w:color="auto"/>
        <w:right w:val="none" w:sz="0" w:space="0" w:color="auto"/>
      </w:divBdr>
    </w:div>
    <w:div w:id="1312756447">
      <w:bodyDiv w:val="1"/>
      <w:marLeft w:val="0"/>
      <w:marRight w:val="0"/>
      <w:marTop w:val="0"/>
      <w:marBottom w:val="0"/>
      <w:divBdr>
        <w:top w:val="none" w:sz="0" w:space="0" w:color="auto"/>
        <w:left w:val="none" w:sz="0" w:space="0" w:color="auto"/>
        <w:bottom w:val="none" w:sz="0" w:space="0" w:color="auto"/>
        <w:right w:val="none" w:sz="0" w:space="0" w:color="auto"/>
      </w:divBdr>
    </w:div>
    <w:div w:id="1313676431">
      <w:bodyDiv w:val="1"/>
      <w:marLeft w:val="0"/>
      <w:marRight w:val="0"/>
      <w:marTop w:val="0"/>
      <w:marBottom w:val="0"/>
      <w:divBdr>
        <w:top w:val="none" w:sz="0" w:space="0" w:color="auto"/>
        <w:left w:val="none" w:sz="0" w:space="0" w:color="auto"/>
        <w:bottom w:val="none" w:sz="0" w:space="0" w:color="auto"/>
        <w:right w:val="none" w:sz="0" w:space="0" w:color="auto"/>
      </w:divBdr>
    </w:div>
    <w:div w:id="1347559838">
      <w:bodyDiv w:val="1"/>
      <w:marLeft w:val="0"/>
      <w:marRight w:val="0"/>
      <w:marTop w:val="0"/>
      <w:marBottom w:val="0"/>
      <w:divBdr>
        <w:top w:val="none" w:sz="0" w:space="0" w:color="auto"/>
        <w:left w:val="none" w:sz="0" w:space="0" w:color="auto"/>
        <w:bottom w:val="none" w:sz="0" w:space="0" w:color="auto"/>
        <w:right w:val="none" w:sz="0" w:space="0" w:color="auto"/>
      </w:divBdr>
    </w:div>
    <w:div w:id="1350133788">
      <w:bodyDiv w:val="1"/>
      <w:marLeft w:val="0"/>
      <w:marRight w:val="0"/>
      <w:marTop w:val="0"/>
      <w:marBottom w:val="0"/>
      <w:divBdr>
        <w:top w:val="none" w:sz="0" w:space="0" w:color="auto"/>
        <w:left w:val="none" w:sz="0" w:space="0" w:color="auto"/>
        <w:bottom w:val="none" w:sz="0" w:space="0" w:color="auto"/>
        <w:right w:val="none" w:sz="0" w:space="0" w:color="auto"/>
      </w:divBdr>
    </w:div>
    <w:div w:id="1383678388">
      <w:bodyDiv w:val="1"/>
      <w:marLeft w:val="0"/>
      <w:marRight w:val="0"/>
      <w:marTop w:val="0"/>
      <w:marBottom w:val="0"/>
      <w:divBdr>
        <w:top w:val="none" w:sz="0" w:space="0" w:color="auto"/>
        <w:left w:val="none" w:sz="0" w:space="0" w:color="auto"/>
        <w:bottom w:val="none" w:sz="0" w:space="0" w:color="auto"/>
        <w:right w:val="none" w:sz="0" w:space="0" w:color="auto"/>
      </w:divBdr>
    </w:div>
    <w:div w:id="1404334285">
      <w:bodyDiv w:val="1"/>
      <w:marLeft w:val="0"/>
      <w:marRight w:val="0"/>
      <w:marTop w:val="0"/>
      <w:marBottom w:val="0"/>
      <w:divBdr>
        <w:top w:val="none" w:sz="0" w:space="0" w:color="auto"/>
        <w:left w:val="none" w:sz="0" w:space="0" w:color="auto"/>
        <w:bottom w:val="none" w:sz="0" w:space="0" w:color="auto"/>
        <w:right w:val="none" w:sz="0" w:space="0" w:color="auto"/>
      </w:divBdr>
    </w:div>
    <w:div w:id="1415860259">
      <w:bodyDiv w:val="1"/>
      <w:marLeft w:val="0"/>
      <w:marRight w:val="0"/>
      <w:marTop w:val="0"/>
      <w:marBottom w:val="0"/>
      <w:divBdr>
        <w:top w:val="none" w:sz="0" w:space="0" w:color="auto"/>
        <w:left w:val="none" w:sz="0" w:space="0" w:color="auto"/>
        <w:bottom w:val="none" w:sz="0" w:space="0" w:color="auto"/>
        <w:right w:val="none" w:sz="0" w:space="0" w:color="auto"/>
      </w:divBdr>
    </w:div>
    <w:div w:id="1429156396">
      <w:bodyDiv w:val="1"/>
      <w:marLeft w:val="0"/>
      <w:marRight w:val="0"/>
      <w:marTop w:val="0"/>
      <w:marBottom w:val="0"/>
      <w:divBdr>
        <w:top w:val="none" w:sz="0" w:space="0" w:color="auto"/>
        <w:left w:val="none" w:sz="0" w:space="0" w:color="auto"/>
        <w:bottom w:val="none" w:sz="0" w:space="0" w:color="auto"/>
        <w:right w:val="none" w:sz="0" w:space="0" w:color="auto"/>
      </w:divBdr>
    </w:div>
    <w:div w:id="1431731823">
      <w:bodyDiv w:val="1"/>
      <w:marLeft w:val="0"/>
      <w:marRight w:val="0"/>
      <w:marTop w:val="0"/>
      <w:marBottom w:val="0"/>
      <w:divBdr>
        <w:top w:val="none" w:sz="0" w:space="0" w:color="auto"/>
        <w:left w:val="none" w:sz="0" w:space="0" w:color="auto"/>
        <w:bottom w:val="none" w:sz="0" w:space="0" w:color="auto"/>
        <w:right w:val="none" w:sz="0" w:space="0" w:color="auto"/>
      </w:divBdr>
    </w:div>
    <w:div w:id="1456606433">
      <w:bodyDiv w:val="1"/>
      <w:marLeft w:val="0"/>
      <w:marRight w:val="0"/>
      <w:marTop w:val="0"/>
      <w:marBottom w:val="0"/>
      <w:divBdr>
        <w:top w:val="none" w:sz="0" w:space="0" w:color="auto"/>
        <w:left w:val="none" w:sz="0" w:space="0" w:color="auto"/>
        <w:bottom w:val="none" w:sz="0" w:space="0" w:color="auto"/>
        <w:right w:val="none" w:sz="0" w:space="0" w:color="auto"/>
      </w:divBdr>
    </w:div>
    <w:div w:id="1468623938">
      <w:bodyDiv w:val="1"/>
      <w:marLeft w:val="0"/>
      <w:marRight w:val="0"/>
      <w:marTop w:val="0"/>
      <w:marBottom w:val="0"/>
      <w:divBdr>
        <w:top w:val="none" w:sz="0" w:space="0" w:color="auto"/>
        <w:left w:val="none" w:sz="0" w:space="0" w:color="auto"/>
        <w:bottom w:val="none" w:sz="0" w:space="0" w:color="auto"/>
        <w:right w:val="none" w:sz="0" w:space="0" w:color="auto"/>
      </w:divBdr>
    </w:div>
    <w:div w:id="1498349978">
      <w:bodyDiv w:val="1"/>
      <w:marLeft w:val="0"/>
      <w:marRight w:val="0"/>
      <w:marTop w:val="0"/>
      <w:marBottom w:val="0"/>
      <w:divBdr>
        <w:top w:val="none" w:sz="0" w:space="0" w:color="auto"/>
        <w:left w:val="none" w:sz="0" w:space="0" w:color="auto"/>
        <w:bottom w:val="none" w:sz="0" w:space="0" w:color="auto"/>
        <w:right w:val="none" w:sz="0" w:space="0" w:color="auto"/>
      </w:divBdr>
    </w:div>
    <w:div w:id="1499930214">
      <w:bodyDiv w:val="1"/>
      <w:marLeft w:val="0"/>
      <w:marRight w:val="0"/>
      <w:marTop w:val="0"/>
      <w:marBottom w:val="0"/>
      <w:divBdr>
        <w:top w:val="none" w:sz="0" w:space="0" w:color="auto"/>
        <w:left w:val="none" w:sz="0" w:space="0" w:color="auto"/>
        <w:bottom w:val="none" w:sz="0" w:space="0" w:color="auto"/>
        <w:right w:val="none" w:sz="0" w:space="0" w:color="auto"/>
      </w:divBdr>
    </w:div>
    <w:div w:id="1500197090">
      <w:bodyDiv w:val="1"/>
      <w:marLeft w:val="0"/>
      <w:marRight w:val="0"/>
      <w:marTop w:val="0"/>
      <w:marBottom w:val="0"/>
      <w:divBdr>
        <w:top w:val="none" w:sz="0" w:space="0" w:color="auto"/>
        <w:left w:val="none" w:sz="0" w:space="0" w:color="auto"/>
        <w:bottom w:val="none" w:sz="0" w:space="0" w:color="auto"/>
        <w:right w:val="none" w:sz="0" w:space="0" w:color="auto"/>
      </w:divBdr>
    </w:div>
    <w:div w:id="1512571831">
      <w:bodyDiv w:val="1"/>
      <w:marLeft w:val="0"/>
      <w:marRight w:val="0"/>
      <w:marTop w:val="0"/>
      <w:marBottom w:val="0"/>
      <w:divBdr>
        <w:top w:val="none" w:sz="0" w:space="0" w:color="auto"/>
        <w:left w:val="none" w:sz="0" w:space="0" w:color="auto"/>
        <w:bottom w:val="none" w:sz="0" w:space="0" w:color="auto"/>
        <w:right w:val="none" w:sz="0" w:space="0" w:color="auto"/>
      </w:divBdr>
    </w:div>
    <w:div w:id="1518425962">
      <w:bodyDiv w:val="1"/>
      <w:marLeft w:val="0"/>
      <w:marRight w:val="0"/>
      <w:marTop w:val="0"/>
      <w:marBottom w:val="0"/>
      <w:divBdr>
        <w:top w:val="none" w:sz="0" w:space="0" w:color="auto"/>
        <w:left w:val="none" w:sz="0" w:space="0" w:color="auto"/>
        <w:bottom w:val="none" w:sz="0" w:space="0" w:color="auto"/>
        <w:right w:val="none" w:sz="0" w:space="0" w:color="auto"/>
      </w:divBdr>
    </w:div>
    <w:div w:id="1523325485">
      <w:bodyDiv w:val="1"/>
      <w:marLeft w:val="0"/>
      <w:marRight w:val="0"/>
      <w:marTop w:val="0"/>
      <w:marBottom w:val="0"/>
      <w:divBdr>
        <w:top w:val="none" w:sz="0" w:space="0" w:color="auto"/>
        <w:left w:val="none" w:sz="0" w:space="0" w:color="auto"/>
        <w:bottom w:val="none" w:sz="0" w:space="0" w:color="auto"/>
        <w:right w:val="none" w:sz="0" w:space="0" w:color="auto"/>
      </w:divBdr>
    </w:div>
    <w:div w:id="1528716362">
      <w:bodyDiv w:val="1"/>
      <w:marLeft w:val="0"/>
      <w:marRight w:val="0"/>
      <w:marTop w:val="0"/>
      <w:marBottom w:val="0"/>
      <w:divBdr>
        <w:top w:val="none" w:sz="0" w:space="0" w:color="auto"/>
        <w:left w:val="none" w:sz="0" w:space="0" w:color="auto"/>
        <w:bottom w:val="none" w:sz="0" w:space="0" w:color="auto"/>
        <w:right w:val="none" w:sz="0" w:space="0" w:color="auto"/>
      </w:divBdr>
    </w:div>
    <w:div w:id="1534151776">
      <w:bodyDiv w:val="1"/>
      <w:marLeft w:val="0"/>
      <w:marRight w:val="0"/>
      <w:marTop w:val="0"/>
      <w:marBottom w:val="0"/>
      <w:divBdr>
        <w:top w:val="none" w:sz="0" w:space="0" w:color="auto"/>
        <w:left w:val="none" w:sz="0" w:space="0" w:color="auto"/>
        <w:bottom w:val="none" w:sz="0" w:space="0" w:color="auto"/>
        <w:right w:val="none" w:sz="0" w:space="0" w:color="auto"/>
      </w:divBdr>
    </w:div>
    <w:div w:id="1538002216">
      <w:bodyDiv w:val="1"/>
      <w:marLeft w:val="0"/>
      <w:marRight w:val="0"/>
      <w:marTop w:val="0"/>
      <w:marBottom w:val="0"/>
      <w:divBdr>
        <w:top w:val="none" w:sz="0" w:space="0" w:color="auto"/>
        <w:left w:val="none" w:sz="0" w:space="0" w:color="auto"/>
        <w:bottom w:val="none" w:sz="0" w:space="0" w:color="auto"/>
        <w:right w:val="none" w:sz="0" w:space="0" w:color="auto"/>
      </w:divBdr>
      <w:divsChild>
        <w:div w:id="647829224">
          <w:marLeft w:val="0"/>
          <w:marRight w:val="0"/>
          <w:marTop w:val="0"/>
          <w:marBottom w:val="0"/>
          <w:divBdr>
            <w:top w:val="none" w:sz="0" w:space="0" w:color="auto"/>
            <w:left w:val="none" w:sz="0" w:space="0" w:color="auto"/>
            <w:bottom w:val="none" w:sz="0" w:space="0" w:color="auto"/>
            <w:right w:val="none" w:sz="0" w:space="0" w:color="auto"/>
          </w:divBdr>
          <w:divsChild>
            <w:div w:id="11111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893">
      <w:bodyDiv w:val="1"/>
      <w:marLeft w:val="0"/>
      <w:marRight w:val="0"/>
      <w:marTop w:val="0"/>
      <w:marBottom w:val="0"/>
      <w:divBdr>
        <w:top w:val="none" w:sz="0" w:space="0" w:color="auto"/>
        <w:left w:val="none" w:sz="0" w:space="0" w:color="auto"/>
        <w:bottom w:val="none" w:sz="0" w:space="0" w:color="auto"/>
        <w:right w:val="none" w:sz="0" w:space="0" w:color="auto"/>
      </w:divBdr>
    </w:div>
    <w:div w:id="1558391092">
      <w:bodyDiv w:val="1"/>
      <w:marLeft w:val="0"/>
      <w:marRight w:val="0"/>
      <w:marTop w:val="0"/>
      <w:marBottom w:val="0"/>
      <w:divBdr>
        <w:top w:val="none" w:sz="0" w:space="0" w:color="auto"/>
        <w:left w:val="none" w:sz="0" w:space="0" w:color="auto"/>
        <w:bottom w:val="none" w:sz="0" w:space="0" w:color="auto"/>
        <w:right w:val="none" w:sz="0" w:space="0" w:color="auto"/>
      </w:divBdr>
    </w:div>
    <w:div w:id="1562712702">
      <w:bodyDiv w:val="1"/>
      <w:marLeft w:val="0"/>
      <w:marRight w:val="0"/>
      <w:marTop w:val="0"/>
      <w:marBottom w:val="0"/>
      <w:divBdr>
        <w:top w:val="none" w:sz="0" w:space="0" w:color="auto"/>
        <w:left w:val="none" w:sz="0" w:space="0" w:color="auto"/>
        <w:bottom w:val="none" w:sz="0" w:space="0" w:color="auto"/>
        <w:right w:val="none" w:sz="0" w:space="0" w:color="auto"/>
      </w:divBdr>
    </w:div>
    <w:div w:id="1565606365">
      <w:bodyDiv w:val="1"/>
      <w:marLeft w:val="0"/>
      <w:marRight w:val="0"/>
      <w:marTop w:val="0"/>
      <w:marBottom w:val="0"/>
      <w:divBdr>
        <w:top w:val="none" w:sz="0" w:space="0" w:color="auto"/>
        <w:left w:val="none" w:sz="0" w:space="0" w:color="auto"/>
        <w:bottom w:val="none" w:sz="0" w:space="0" w:color="auto"/>
        <w:right w:val="none" w:sz="0" w:space="0" w:color="auto"/>
      </w:divBdr>
    </w:div>
    <w:div w:id="1574776793">
      <w:bodyDiv w:val="1"/>
      <w:marLeft w:val="0"/>
      <w:marRight w:val="0"/>
      <w:marTop w:val="0"/>
      <w:marBottom w:val="0"/>
      <w:divBdr>
        <w:top w:val="none" w:sz="0" w:space="0" w:color="auto"/>
        <w:left w:val="none" w:sz="0" w:space="0" w:color="auto"/>
        <w:bottom w:val="none" w:sz="0" w:space="0" w:color="auto"/>
        <w:right w:val="none" w:sz="0" w:space="0" w:color="auto"/>
      </w:divBdr>
    </w:div>
    <w:div w:id="1583177931">
      <w:bodyDiv w:val="1"/>
      <w:marLeft w:val="0"/>
      <w:marRight w:val="0"/>
      <w:marTop w:val="0"/>
      <w:marBottom w:val="0"/>
      <w:divBdr>
        <w:top w:val="none" w:sz="0" w:space="0" w:color="auto"/>
        <w:left w:val="none" w:sz="0" w:space="0" w:color="auto"/>
        <w:bottom w:val="none" w:sz="0" w:space="0" w:color="auto"/>
        <w:right w:val="none" w:sz="0" w:space="0" w:color="auto"/>
      </w:divBdr>
    </w:div>
    <w:div w:id="1589149404">
      <w:bodyDiv w:val="1"/>
      <w:marLeft w:val="0"/>
      <w:marRight w:val="0"/>
      <w:marTop w:val="0"/>
      <w:marBottom w:val="0"/>
      <w:divBdr>
        <w:top w:val="none" w:sz="0" w:space="0" w:color="auto"/>
        <w:left w:val="none" w:sz="0" w:space="0" w:color="auto"/>
        <w:bottom w:val="none" w:sz="0" w:space="0" w:color="auto"/>
        <w:right w:val="none" w:sz="0" w:space="0" w:color="auto"/>
      </w:divBdr>
    </w:div>
    <w:div w:id="1593776742">
      <w:bodyDiv w:val="1"/>
      <w:marLeft w:val="0"/>
      <w:marRight w:val="0"/>
      <w:marTop w:val="0"/>
      <w:marBottom w:val="0"/>
      <w:divBdr>
        <w:top w:val="none" w:sz="0" w:space="0" w:color="auto"/>
        <w:left w:val="none" w:sz="0" w:space="0" w:color="auto"/>
        <w:bottom w:val="none" w:sz="0" w:space="0" w:color="auto"/>
        <w:right w:val="none" w:sz="0" w:space="0" w:color="auto"/>
      </w:divBdr>
    </w:div>
    <w:div w:id="1601185680">
      <w:bodyDiv w:val="1"/>
      <w:marLeft w:val="0"/>
      <w:marRight w:val="0"/>
      <w:marTop w:val="0"/>
      <w:marBottom w:val="0"/>
      <w:divBdr>
        <w:top w:val="none" w:sz="0" w:space="0" w:color="auto"/>
        <w:left w:val="none" w:sz="0" w:space="0" w:color="auto"/>
        <w:bottom w:val="none" w:sz="0" w:space="0" w:color="auto"/>
        <w:right w:val="none" w:sz="0" w:space="0" w:color="auto"/>
      </w:divBdr>
    </w:div>
    <w:div w:id="1618218134">
      <w:bodyDiv w:val="1"/>
      <w:marLeft w:val="0"/>
      <w:marRight w:val="0"/>
      <w:marTop w:val="0"/>
      <w:marBottom w:val="0"/>
      <w:divBdr>
        <w:top w:val="none" w:sz="0" w:space="0" w:color="auto"/>
        <w:left w:val="none" w:sz="0" w:space="0" w:color="auto"/>
        <w:bottom w:val="none" w:sz="0" w:space="0" w:color="auto"/>
        <w:right w:val="none" w:sz="0" w:space="0" w:color="auto"/>
      </w:divBdr>
    </w:div>
    <w:div w:id="1618870440">
      <w:bodyDiv w:val="1"/>
      <w:marLeft w:val="0"/>
      <w:marRight w:val="0"/>
      <w:marTop w:val="0"/>
      <w:marBottom w:val="0"/>
      <w:divBdr>
        <w:top w:val="none" w:sz="0" w:space="0" w:color="auto"/>
        <w:left w:val="none" w:sz="0" w:space="0" w:color="auto"/>
        <w:bottom w:val="none" w:sz="0" w:space="0" w:color="auto"/>
        <w:right w:val="none" w:sz="0" w:space="0" w:color="auto"/>
      </w:divBdr>
    </w:div>
    <w:div w:id="1647082398">
      <w:bodyDiv w:val="1"/>
      <w:marLeft w:val="0"/>
      <w:marRight w:val="0"/>
      <w:marTop w:val="0"/>
      <w:marBottom w:val="0"/>
      <w:divBdr>
        <w:top w:val="none" w:sz="0" w:space="0" w:color="auto"/>
        <w:left w:val="none" w:sz="0" w:space="0" w:color="auto"/>
        <w:bottom w:val="none" w:sz="0" w:space="0" w:color="auto"/>
        <w:right w:val="none" w:sz="0" w:space="0" w:color="auto"/>
      </w:divBdr>
    </w:div>
    <w:div w:id="1647663920">
      <w:bodyDiv w:val="1"/>
      <w:marLeft w:val="0"/>
      <w:marRight w:val="0"/>
      <w:marTop w:val="0"/>
      <w:marBottom w:val="0"/>
      <w:divBdr>
        <w:top w:val="none" w:sz="0" w:space="0" w:color="auto"/>
        <w:left w:val="none" w:sz="0" w:space="0" w:color="auto"/>
        <w:bottom w:val="none" w:sz="0" w:space="0" w:color="auto"/>
        <w:right w:val="none" w:sz="0" w:space="0" w:color="auto"/>
      </w:divBdr>
    </w:div>
    <w:div w:id="1665623297">
      <w:bodyDiv w:val="1"/>
      <w:marLeft w:val="0"/>
      <w:marRight w:val="0"/>
      <w:marTop w:val="0"/>
      <w:marBottom w:val="0"/>
      <w:divBdr>
        <w:top w:val="none" w:sz="0" w:space="0" w:color="auto"/>
        <w:left w:val="none" w:sz="0" w:space="0" w:color="auto"/>
        <w:bottom w:val="none" w:sz="0" w:space="0" w:color="auto"/>
        <w:right w:val="none" w:sz="0" w:space="0" w:color="auto"/>
      </w:divBdr>
    </w:div>
    <w:div w:id="1686243548">
      <w:bodyDiv w:val="1"/>
      <w:marLeft w:val="0"/>
      <w:marRight w:val="0"/>
      <w:marTop w:val="0"/>
      <w:marBottom w:val="0"/>
      <w:divBdr>
        <w:top w:val="none" w:sz="0" w:space="0" w:color="auto"/>
        <w:left w:val="none" w:sz="0" w:space="0" w:color="auto"/>
        <w:bottom w:val="none" w:sz="0" w:space="0" w:color="auto"/>
        <w:right w:val="none" w:sz="0" w:space="0" w:color="auto"/>
      </w:divBdr>
    </w:div>
    <w:div w:id="1686638868">
      <w:bodyDiv w:val="1"/>
      <w:marLeft w:val="0"/>
      <w:marRight w:val="0"/>
      <w:marTop w:val="0"/>
      <w:marBottom w:val="0"/>
      <w:divBdr>
        <w:top w:val="none" w:sz="0" w:space="0" w:color="auto"/>
        <w:left w:val="none" w:sz="0" w:space="0" w:color="auto"/>
        <w:bottom w:val="none" w:sz="0" w:space="0" w:color="auto"/>
        <w:right w:val="none" w:sz="0" w:space="0" w:color="auto"/>
      </w:divBdr>
    </w:div>
    <w:div w:id="1688755968">
      <w:bodyDiv w:val="1"/>
      <w:marLeft w:val="0"/>
      <w:marRight w:val="0"/>
      <w:marTop w:val="0"/>
      <w:marBottom w:val="0"/>
      <w:divBdr>
        <w:top w:val="none" w:sz="0" w:space="0" w:color="auto"/>
        <w:left w:val="none" w:sz="0" w:space="0" w:color="auto"/>
        <w:bottom w:val="none" w:sz="0" w:space="0" w:color="auto"/>
        <w:right w:val="none" w:sz="0" w:space="0" w:color="auto"/>
      </w:divBdr>
    </w:div>
    <w:div w:id="1689335854">
      <w:bodyDiv w:val="1"/>
      <w:marLeft w:val="0"/>
      <w:marRight w:val="0"/>
      <w:marTop w:val="0"/>
      <w:marBottom w:val="0"/>
      <w:divBdr>
        <w:top w:val="none" w:sz="0" w:space="0" w:color="auto"/>
        <w:left w:val="none" w:sz="0" w:space="0" w:color="auto"/>
        <w:bottom w:val="none" w:sz="0" w:space="0" w:color="auto"/>
        <w:right w:val="none" w:sz="0" w:space="0" w:color="auto"/>
      </w:divBdr>
    </w:div>
    <w:div w:id="1699965256">
      <w:bodyDiv w:val="1"/>
      <w:marLeft w:val="0"/>
      <w:marRight w:val="0"/>
      <w:marTop w:val="0"/>
      <w:marBottom w:val="0"/>
      <w:divBdr>
        <w:top w:val="none" w:sz="0" w:space="0" w:color="auto"/>
        <w:left w:val="none" w:sz="0" w:space="0" w:color="auto"/>
        <w:bottom w:val="none" w:sz="0" w:space="0" w:color="auto"/>
        <w:right w:val="none" w:sz="0" w:space="0" w:color="auto"/>
      </w:divBdr>
    </w:div>
    <w:div w:id="1712996787">
      <w:bodyDiv w:val="1"/>
      <w:marLeft w:val="0"/>
      <w:marRight w:val="0"/>
      <w:marTop w:val="0"/>
      <w:marBottom w:val="0"/>
      <w:divBdr>
        <w:top w:val="none" w:sz="0" w:space="0" w:color="auto"/>
        <w:left w:val="none" w:sz="0" w:space="0" w:color="auto"/>
        <w:bottom w:val="none" w:sz="0" w:space="0" w:color="auto"/>
        <w:right w:val="none" w:sz="0" w:space="0" w:color="auto"/>
      </w:divBdr>
    </w:div>
    <w:div w:id="1771508401">
      <w:bodyDiv w:val="1"/>
      <w:marLeft w:val="0"/>
      <w:marRight w:val="0"/>
      <w:marTop w:val="0"/>
      <w:marBottom w:val="0"/>
      <w:divBdr>
        <w:top w:val="none" w:sz="0" w:space="0" w:color="auto"/>
        <w:left w:val="none" w:sz="0" w:space="0" w:color="auto"/>
        <w:bottom w:val="none" w:sz="0" w:space="0" w:color="auto"/>
        <w:right w:val="none" w:sz="0" w:space="0" w:color="auto"/>
      </w:divBdr>
    </w:div>
    <w:div w:id="1777407148">
      <w:bodyDiv w:val="1"/>
      <w:marLeft w:val="0"/>
      <w:marRight w:val="0"/>
      <w:marTop w:val="0"/>
      <w:marBottom w:val="0"/>
      <w:divBdr>
        <w:top w:val="none" w:sz="0" w:space="0" w:color="auto"/>
        <w:left w:val="none" w:sz="0" w:space="0" w:color="auto"/>
        <w:bottom w:val="none" w:sz="0" w:space="0" w:color="auto"/>
        <w:right w:val="none" w:sz="0" w:space="0" w:color="auto"/>
      </w:divBdr>
    </w:div>
    <w:div w:id="1781073765">
      <w:bodyDiv w:val="1"/>
      <w:marLeft w:val="0"/>
      <w:marRight w:val="0"/>
      <w:marTop w:val="0"/>
      <w:marBottom w:val="0"/>
      <w:divBdr>
        <w:top w:val="none" w:sz="0" w:space="0" w:color="auto"/>
        <w:left w:val="none" w:sz="0" w:space="0" w:color="auto"/>
        <w:bottom w:val="none" w:sz="0" w:space="0" w:color="auto"/>
        <w:right w:val="none" w:sz="0" w:space="0" w:color="auto"/>
      </w:divBdr>
    </w:div>
    <w:div w:id="1791775661">
      <w:bodyDiv w:val="1"/>
      <w:marLeft w:val="0"/>
      <w:marRight w:val="0"/>
      <w:marTop w:val="0"/>
      <w:marBottom w:val="0"/>
      <w:divBdr>
        <w:top w:val="none" w:sz="0" w:space="0" w:color="auto"/>
        <w:left w:val="none" w:sz="0" w:space="0" w:color="auto"/>
        <w:bottom w:val="none" w:sz="0" w:space="0" w:color="auto"/>
        <w:right w:val="none" w:sz="0" w:space="0" w:color="auto"/>
      </w:divBdr>
    </w:div>
    <w:div w:id="1801533488">
      <w:bodyDiv w:val="1"/>
      <w:marLeft w:val="0"/>
      <w:marRight w:val="0"/>
      <w:marTop w:val="0"/>
      <w:marBottom w:val="0"/>
      <w:divBdr>
        <w:top w:val="none" w:sz="0" w:space="0" w:color="auto"/>
        <w:left w:val="none" w:sz="0" w:space="0" w:color="auto"/>
        <w:bottom w:val="none" w:sz="0" w:space="0" w:color="auto"/>
        <w:right w:val="none" w:sz="0" w:space="0" w:color="auto"/>
      </w:divBdr>
    </w:div>
    <w:div w:id="1807122260">
      <w:bodyDiv w:val="1"/>
      <w:marLeft w:val="0"/>
      <w:marRight w:val="0"/>
      <w:marTop w:val="0"/>
      <w:marBottom w:val="0"/>
      <w:divBdr>
        <w:top w:val="none" w:sz="0" w:space="0" w:color="auto"/>
        <w:left w:val="none" w:sz="0" w:space="0" w:color="auto"/>
        <w:bottom w:val="none" w:sz="0" w:space="0" w:color="auto"/>
        <w:right w:val="none" w:sz="0" w:space="0" w:color="auto"/>
      </w:divBdr>
    </w:div>
    <w:div w:id="1809279115">
      <w:bodyDiv w:val="1"/>
      <w:marLeft w:val="0"/>
      <w:marRight w:val="0"/>
      <w:marTop w:val="0"/>
      <w:marBottom w:val="0"/>
      <w:divBdr>
        <w:top w:val="none" w:sz="0" w:space="0" w:color="auto"/>
        <w:left w:val="none" w:sz="0" w:space="0" w:color="auto"/>
        <w:bottom w:val="none" w:sz="0" w:space="0" w:color="auto"/>
        <w:right w:val="none" w:sz="0" w:space="0" w:color="auto"/>
      </w:divBdr>
      <w:divsChild>
        <w:div w:id="27031069">
          <w:marLeft w:val="547"/>
          <w:marRight w:val="0"/>
          <w:marTop w:val="134"/>
          <w:marBottom w:val="0"/>
          <w:divBdr>
            <w:top w:val="none" w:sz="0" w:space="0" w:color="auto"/>
            <w:left w:val="none" w:sz="0" w:space="0" w:color="auto"/>
            <w:bottom w:val="none" w:sz="0" w:space="0" w:color="auto"/>
            <w:right w:val="none" w:sz="0" w:space="0" w:color="auto"/>
          </w:divBdr>
        </w:div>
        <w:div w:id="408188495">
          <w:marLeft w:val="547"/>
          <w:marRight w:val="0"/>
          <w:marTop w:val="134"/>
          <w:marBottom w:val="0"/>
          <w:divBdr>
            <w:top w:val="none" w:sz="0" w:space="0" w:color="auto"/>
            <w:left w:val="none" w:sz="0" w:space="0" w:color="auto"/>
            <w:bottom w:val="none" w:sz="0" w:space="0" w:color="auto"/>
            <w:right w:val="none" w:sz="0" w:space="0" w:color="auto"/>
          </w:divBdr>
        </w:div>
        <w:div w:id="1748460217">
          <w:marLeft w:val="547"/>
          <w:marRight w:val="0"/>
          <w:marTop w:val="134"/>
          <w:marBottom w:val="0"/>
          <w:divBdr>
            <w:top w:val="none" w:sz="0" w:space="0" w:color="auto"/>
            <w:left w:val="none" w:sz="0" w:space="0" w:color="auto"/>
            <w:bottom w:val="none" w:sz="0" w:space="0" w:color="auto"/>
            <w:right w:val="none" w:sz="0" w:space="0" w:color="auto"/>
          </w:divBdr>
        </w:div>
      </w:divsChild>
    </w:div>
    <w:div w:id="1842550995">
      <w:bodyDiv w:val="1"/>
      <w:marLeft w:val="0"/>
      <w:marRight w:val="0"/>
      <w:marTop w:val="0"/>
      <w:marBottom w:val="0"/>
      <w:divBdr>
        <w:top w:val="none" w:sz="0" w:space="0" w:color="auto"/>
        <w:left w:val="none" w:sz="0" w:space="0" w:color="auto"/>
        <w:bottom w:val="none" w:sz="0" w:space="0" w:color="auto"/>
        <w:right w:val="none" w:sz="0" w:space="0" w:color="auto"/>
      </w:divBdr>
    </w:div>
    <w:div w:id="1850369429">
      <w:bodyDiv w:val="1"/>
      <w:marLeft w:val="0"/>
      <w:marRight w:val="0"/>
      <w:marTop w:val="0"/>
      <w:marBottom w:val="0"/>
      <w:divBdr>
        <w:top w:val="none" w:sz="0" w:space="0" w:color="auto"/>
        <w:left w:val="none" w:sz="0" w:space="0" w:color="auto"/>
        <w:bottom w:val="none" w:sz="0" w:space="0" w:color="auto"/>
        <w:right w:val="none" w:sz="0" w:space="0" w:color="auto"/>
      </w:divBdr>
    </w:div>
    <w:div w:id="1855337191">
      <w:bodyDiv w:val="1"/>
      <w:marLeft w:val="0"/>
      <w:marRight w:val="0"/>
      <w:marTop w:val="0"/>
      <w:marBottom w:val="0"/>
      <w:divBdr>
        <w:top w:val="none" w:sz="0" w:space="0" w:color="auto"/>
        <w:left w:val="none" w:sz="0" w:space="0" w:color="auto"/>
        <w:bottom w:val="none" w:sz="0" w:space="0" w:color="auto"/>
        <w:right w:val="none" w:sz="0" w:space="0" w:color="auto"/>
      </w:divBdr>
    </w:div>
    <w:div w:id="1860969327">
      <w:bodyDiv w:val="1"/>
      <w:marLeft w:val="0"/>
      <w:marRight w:val="0"/>
      <w:marTop w:val="0"/>
      <w:marBottom w:val="0"/>
      <w:divBdr>
        <w:top w:val="none" w:sz="0" w:space="0" w:color="auto"/>
        <w:left w:val="none" w:sz="0" w:space="0" w:color="auto"/>
        <w:bottom w:val="none" w:sz="0" w:space="0" w:color="auto"/>
        <w:right w:val="none" w:sz="0" w:space="0" w:color="auto"/>
      </w:divBdr>
      <w:divsChild>
        <w:div w:id="1302230908">
          <w:marLeft w:val="0"/>
          <w:marRight w:val="0"/>
          <w:marTop w:val="0"/>
          <w:marBottom w:val="0"/>
          <w:divBdr>
            <w:top w:val="none" w:sz="0" w:space="0" w:color="auto"/>
            <w:left w:val="single" w:sz="6" w:space="0" w:color="BCBBBB"/>
            <w:bottom w:val="none" w:sz="0" w:space="0" w:color="auto"/>
            <w:right w:val="single" w:sz="6" w:space="0" w:color="BCBBBB"/>
          </w:divBdr>
          <w:divsChild>
            <w:div w:id="701248040">
              <w:marLeft w:val="0"/>
              <w:marRight w:val="0"/>
              <w:marTop w:val="0"/>
              <w:marBottom w:val="0"/>
              <w:divBdr>
                <w:top w:val="none" w:sz="0" w:space="0" w:color="auto"/>
                <w:left w:val="none" w:sz="0" w:space="0" w:color="auto"/>
                <w:bottom w:val="none" w:sz="0" w:space="0" w:color="auto"/>
                <w:right w:val="none" w:sz="0" w:space="0" w:color="auto"/>
              </w:divBdr>
              <w:divsChild>
                <w:div w:id="1501844560">
                  <w:marLeft w:val="0"/>
                  <w:marRight w:val="0"/>
                  <w:marTop w:val="0"/>
                  <w:marBottom w:val="0"/>
                  <w:divBdr>
                    <w:top w:val="single" w:sz="6" w:space="0" w:color="D2D2D2"/>
                    <w:left w:val="single" w:sz="6" w:space="0" w:color="D2D2D2"/>
                    <w:bottom w:val="single" w:sz="6" w:space="0" w:color="D2D2D2"/>
                    <w:right w:val="single" w:sz="6" w:space="0" w:color="D2D2D2"/>
                  </w:divBdr>
                  <w:divsChild>
                    <w:div w:id="2067489307">
                      <w:marLeft w:val="0"/>
                      <w:marRight w:val="0"/>
                      <w:marTop w:val="0"/>
                      <w:marBottom w:val="0"/>
                      <w:divBdr>
                        <w:top w:val="none" w:sz="0" w:space="0" w:color="auto"/>
                        <w:left w:val="none" w:sz="0" w:space="0" w:color="auto"/>
                        <w:bottom w:val="none" w:sz="0" w:space="0" w:color="auto"/>
                        <w:right w:val="none" w:sz="0" w:space="0" w:color="auto"/>
                      </w:divBdr>
                      <w:divsChild>
                        <w:div w:id="40457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5504635">
      <w:bodyDiv w:val="1"/>
      <w:marLeft w:val="0"/>
      <w:marRight w:val="0"/>
      <w:marTop w:val="0"/>
      <w:marBottom w:val="0"/>
      <w:divBdr>
        <w:top w:val="none" w:sz="0" w:space="0" w:color="auto"/>
        <w:left w:val="none" w:sz="0" w:space="0" w:color="auto"/>
        <w:bottom w:val="none" w:sz="0" w:space="0" w:color="auto"/>
        <w:right w:val="none" w:sz="0" w:space="0" w:color="auto"/>
      </w:divBdr>
    </w:div>
    <w:div w:id="1903328739">
      <w:bodyDiv w:val="1"/>
      <w:marLeft w:val="0"/>
      <w:marRight w:val="0"/>
      <w:marTop w:val="0"/>
      <w:marBottom w:val="0"/>
      <w:divBdr>
        <w:top w:val="none" w:sz="0" w:space="0" w:color="auto"/>
        <w:left w:val="none" w:sz="0" w:space="0" w:color="auto"/>
        <w:bottom w:val="none" w:sz="0" w:space="0" w:color="auto"/>
        <w:right w:val="none" w:sz="0" w:space="0" w:color="auto"/>
      </w:divBdr>
    </w:div>
    <w:div w:id="1905875076">
      <w:bodyDiv w:val="1"/>
      <w:marLeft w:val="0"/>
      <w:marRight w:val="0"/>
      <w:marTop w:val="0"/>
      <w:marBottom w:val="0"/>
      <w:divBdr>
        <w:top w:val="none" w:sz="0" w:space="0" w:color="auto"/>
        <w:left w:val="none" w:sz="0" w:space="0" w:color="auto"/>
        <w:bottom w:val="none" w:sz="0" w:space="0" w:color="auto"/>
        <w:right w:val="none" w:sz="0" w:space="0" w:color="auto"/>
      </w:divBdr>
    </w:div>
    <w:div w:id="1950161267">
      <w:bodyDiv w:val="1"/>
      <w:marLeft w:val="0"/>
      <w:marRight w:val="0"/>
      <w:marTop w:val="0"/>
      <w:marBottom w:val="0"/>
      <w:divBdr>
        <w:top w:val="none" w:sz="0" w:space="0" w:color="auto"/>
        <w:left w:val="none" w:sz="0" w:space="0" w:color="auto"/>
        <w:bottom w:val="none" w:sz="0" w:space="0" w:color="auto"/>
        <w:right w:val="none" w:sz="0" w:space="0" w:color="auto"/>
      </w:divBdr>
    </w:div>
    <w:div w:id="1994479023">
      <w:bodyDiv w:val="1"/>
      <w:marLeft w:val="0"/>
      <w:marRight w:val="0"/>
      <w:marTop w:val="0"/>
      <w:marBottom w:val="0"/>
      <w:divBdr>
        <w:top w:val="none" w:sz="0" w:space="0" w:color="auto"/>
        <w:left w:val="none" w:sz="0" w:space="0" w:color="auto"/>
        <w:bottom w:val="none" w:sz="0" w:space="0" w:color="auto"/>
        <w:right w:val="none" w:sz="0" w:space="0" w:color="auto"/>
      </w:divBdr>
    </w:div>
    <w:div w:id="2006276112">
      <w:bodyDiv w:val="1"/>
      <w:marLeft w:val="0"/>
      <w:marRight w:val="0"/>
      <w:marTop w:val="0"/>
      <w:marBottom w:val="0"/>
      <w:divBdr>
        <w:top w:val="none" w:sz="0" w:space="0" w:color="auto"/>
        <w:left w:val="none" w:sz="0" w:space="0" w:color="auto"/>
        <w:bottom w:val="none" w:sz="0" w:space="0" w:color="auto"/>
        <w:right w:val="none" w:sz="0" w:space="0" w:color="auto"/>
      </w:divBdr>
      <w:divsChild>
        <w:div w:id="193617326">
          <w:marLeft w:val="0"/>
          <w:marRight w:val="0"/>
          <w:marTop w:val="0"/>
          <w:marBottom w:val="0"/>
          <w:divBdr>
            <w:top w:val="none" w:sz="0" w:space="0" w:color="auto"/>
            <w:left w:val="none" w:sz="0" w:space="0" w:color="auto"/>
            <w:bottom w:val="none" w:sz="0" w:space="0" w:color="auto"/>
            <w:right w:val="none" w:sz="0" w:space="0" w:color="auto"/>
          </w:divBdr>
          <w:divsChild>
            <w:div w:id="121064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719379">
      <w:bodyDiv w:val="1"/>
      <w:marLeft w:val="0"/>
      <w:marRight w:val="0"/>
      <w:marTop w:val="0"/>
      <w:marBottom w:val="0"/>
      <w:divBdr>
        <w:top w:val="none" w:sz="0" w:space="0" w:color="auto"/>
        <w:left w:val="none" w:sz="0" w:space="0" w:color="auto"/>
        <w:bottom w:val="none" w:sz="0" w:space="0" w:color="auto"/>
        <w:right w:val="none" w:sz="0" w:space="0" w:color="auto"/>
      </w:divBdr>
    </w:div>
    <w:div w:id="2021737421">
      <w:bodyDiv w:val="1"/>
      <w:marLeft w:val="0"/>
      <w:marRight w:val="0"/>
      <w:marTop w:val="0"/>
      <w:marBottom w:val="0"/>
      <w:divBdr>
        <w:top w:val="none" w:sz="0" w:space="0" w:color="auto"/>
        <w:left w:val="none" w:sz="0" w:space="0" w:color="auto"/>
        <w:bottom w:val="none" w:sz="0" w:space="0" w:color="auto"/>
        <w:right w:val="none" w:sz="0" w:space="0" w:color="auto"/>
      </w:divBdr>
    </w:div>
    <w:div w:id="2039578287">
      <w:bodyDiv w:val="1"/>
      <w:marLeft w:val="0"/>
      <w:marRight w:val="0"/>
      <w:marTop w:val="0"/>
      <w:marBottom w:val="0"/>
      <w:divBdr>
        <w:top w:val="none" w:sz="0" w:space="0" w:color="auto"/>
        <w:left w:val="none" w:sz="0" w:space="0" w:color="auto"/>
        <w:bottom w:val="none" w:sz="0" w:space="0" w:color="auto"/>
        <w:right w:val="none" w:sz="0" w:space="0" w:color="auto"/>
      </w:divBdr>
    </w:div>
    <w:div w:id="2049793398">
      <w:bodyDiv w:val="1"/>
      <w:marLeft w:val="0"/>
      <w:marRight w:val="0"/>
      <w:marTop w:val="0"/>
      <w:marBottom w:val="0"/>
      <w:divBdr>
        <w:top w:val="none" w:sz="0" w:space="0" w:color="auto"/>
        <w:left w:val="none" w:sz="0" w:space="0" w:color="auto"/>
        <w:bottom w:val="none" w:sz="0" w:space="0" w:color="auto"/>
        <w:right w:val="none" w:sz="0" w:space="0" w:color="auto"/>
      </w:divBdr>
    </w:div>
    <w:div w:id="2055500250">
      <w:bodyDiv w:val="1"/>
      <w:marLeft w:val="0"/>
      <w:marRight w:val="0"/>
      <w:marTop w:val="0"/>
      <w:marBottom w:val="0"/>
      <w:divBdr>
        <w:top w:val="none" w:sz="0" w:space="0" w:color="auto"/>
        <w:left w:val="none" w:sz="0" w:space="0" w:color="auto"/>
        <w:bottom w:val="none" w:sz="0" w:space="0" w:color="auto"/>
        <w:right w:val="none" w:sz="0" w:space="0" w:color="auto"/>
      </w:divBdr>
    </w:div>
    <w:div w:id="2067025565">
      <w:bodyDiv w:val="1"/>
      <w:marLeft w:val="0"/>
      <w:marRight w:val="0"/>
      <w:marTop w:val="0"/>
      <w:marBottom w:val="0"/>
      <w:divBdr>
        <w:top w:val="none" w:sz="0" w:space="0" w:color="auto"/>
        <w:left w:val="none" w:sz="0" w:space="0" w:color="auto"/>
        <w:bottom w:val="none" w:sz="0" w:space="0" w:color="auto"/>
        <w:right w:val="none" w:sz="0" w:space="0" w:color="auto"/>
      </w:divBdr>
    </w:div>
    <w:div w:id="2068605215">
      <w:bodyDiv w:val="1"/>
      <w:marLeft w:val="0"/>
      <w:marRight w:val="0"/>
      <w:marTop w:val="0"/>
      <w:marBottom w:val="0"/>
      <w:divBdr>
        <w:top w:val="none" w:sz="0" w:space="0" w:color="auto"/>
        <w:left w:val="none" w:sz="0" w:space="0" w:color="auto"/>
        <w:bottom w:val="none" w:sz="0" w:space="0" w:color="auto"/>
        <w:right w:val="none" w:sz="0" w:space="0" w:color="auto"/>
      </w:divBdr>
    </w:div>
    <w:div w:id="2069525860">
      <w:bodyDiv w:val="1"/>
      <w:marLeft w:val="0"/>
      <w:marRight w:val="0"/>
      <w:marTop w:val="0"/>
      <w:marBottom w:val="0"/>
      <w:divBdr>
        <w:top w:val="none" w:sz="0" w:space="0" w:color="auto"/>
        <w:left w:val="none" w:sz="0" w:space="0" w:color="auto"/>
        <w:bottom w:val="none" w:sz="0" w:space="0" w:color="auto"/>
        <w:right w:val="none" w:sz="0" w:space="0" w:color="auto"/>
      </w:divBdr>
    </w:div>
    <w:div w:id="2071221054">
      <w:bodyDiv w:val="1"/>
      <w:marLeft w:val="0"/>
      <w:marRight w:val="0"/>
      <w:marTop w:val="0"/>
      <w:marBottom w:val="0"/>
      <w:divBdr>
        <w:top w:val="none" w:sz="0" w:space="0" w:color="auto"/>
        <w:left w:val="none" w:sz="0" w:space="0" w:color="auto"/>
        <w:bottom w:val="none" w:sz="0" w:space="0" w:color="auto"/>
        <w:right w:val="none" w:sz="0" w:space="0" w:color="auto"/>
      </w:divBdr>
    </w:div>
    <w:div w:id="2077781381">
      <w:bodyDiv w:val="1"/>
      <w:marLeft w:val="0"/>
      <w:marRight w:val="0"/>
      <w:marTop w:val="0"/>
      <w:marBottom w:val="0"/>
      <w:divBdr>
        <w:top w:val="none" w:sz="0" w:space="0" w:color="auto"/>
        <w:left w:val="none" w:sz="0" w:space="0" w:color="auto"/>
        <w:bottom w:val="none" w:sz="0" w:space="0" w:color="auto"/>
        <w:right w:val="none" w:sz="0" w:space="0" w:color="auto"/>
      </w:divBdr>
    </w:div>
    <w:div w:id="2081127769">
      <w:bodyDiv w:val="1"/>
      <w:marLeft w:val="0"/>
      <w:marRight w:val="0"/>
      <w:marTop w:val="0"/>
      <w:marBottom w:val="0"/>
      <w:divBdr>
        <w:top w:val="none" w:sz="0" w:space="0" w:color="auto"/>
        <w:left w:val="none" w:sz="0" w:space="0" w:color="auto"/>
        <w:bottom w:val="none" w:sz="0" w:space="0" w:color="auto"/>
        <w:right w:val="none" w:sz="0" w:space="0" w:color="auto"/>
      </w:divBdr>
    </w:div>
    <w:div w:id="2104719292">
      <w:bodyDiv w:val="1"/>
      <w:marLeft w:val="0"/>
      <w:marRight w:val="0"/>
      <w:marTop w:val="0"/>
      <w:marBottom w:val="0"/>
      <w:divBdr>
        <w:top w:val="none" w:sz="0" w:space="0" w:color="auto"/>
        <w:left w:val="none" w:sz="0" w:space="0" w:color="auto"/>
        <w:bottom w:val="none" w:sz="0" w:space="0" w:color="auto"/>
        <w:right w:val="none" w:sz="0" w:space="0" w:color="auto"/>
      </w:divBdr>
    </w:div>
    <w:div w:id="2121415734">
      <w:bodyDiv w:val="1"/>
      <w:marLeft w:val="0"/>
      <w:marRight w:val="0"/>
      <w:marTop w:val="0"/>
      <w:marBottom w:val="0"/>
      <w:divBdr>
        <w:top w:val="none" w:sz="0" w:space="0" w:color="auto"/>
        <w:left w:val="none" w:sz="0" w:space="0" w:color="auto"/>
        <w:bottom w:val="none" w:sz="0" w:space="0" w:color="auto"/>
        <w:right w:val="none" w:sz="0" w:space="0" w:color="auto"/>
      </w:divBdr>
    </w:div>
    <w:div w:id="214145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58C214978E3146A430D622D8E2BE97" ma:contentTypeVersion="6" ma:contentTypeDescription="Create a new document." ma:contentTypeScope="" ma:versionID="11b40d9ec35930eba341f6efc7d70c03">
  <xsd:schema xmlns:xsd="http://www.w3.org/2001/XMLSchema" xmlns:xs="http://www.w3.org/2001/XMLSchema" xmlns:p="http://schemas.microsoft.com/office/2006/metadata/properties" xmlns:ns2="b4a01ab7-cedd-4f68-96ca-8b1430681810" targetNamespace="http://schemas.microsoft.com/office/2006/metadata/properties" ma:root="true" ma:fieldsID="ed944b86fd37d79714ad8ac1f40630d7" ns2:_="">
    <xsd:import namespace="b4a01ab7-cedd-4f68-96ca-8b143068181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a01ab7-cedd-4f68-96ca-8b14306818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Fae20</b:Tag>
    <b:SourceType>Report</b:SourceType>
    <b:Guid>{4B0C0461-3260-405E-86F0-15F1C491A881}</b:Guid>
    <b:Author>
      <b:Author>
        <b:Corporate>Faezeh Farivar, Mohammad Sayad Haghighi, Alireza Jolfaei, Sheng Wen</b:Corporate>
      </b:Author>
    </b:Author>
    <b:Title>On the Security of Networked Control Systems in Smart Vehicle and its Adaptive Cruise Control</b:Title>
    <b:Year>2020</b:Year>
    <b:RefOrder>1</b:RefOrder>
  </b:Source>
  <b:Source>
    <b:Tag>Ill18</b:Tag>
    <b:SourceType>InternetSite</b:SourceType>
    <b:Guid>{EB78F173-8DC5-403C-9151-94CC9BDB3470}</b:Guid>
    <b:Title>ADAS &amp; Autonomous Vehicle</b:Title>
    <b:Year>2018</b:Year>
    <b:Author>
      <b:Author>
        <b:NameList>
          <b:Person>
            <b:Last>Verpraet</b:Last>
            <b:First>Illya</b:First>
          </b:Person>
        </b:NameList>
      </b:Author>
    </b:Author>
    <b:YearAccessed>2025</b:YearAccessed>
    <b:MonthAccessed>03</b:MonthAccessed>
    <b:DayAccessed>30</b:DayAccessed>
    <b:URL>https://www.autonomousvehicleinternational.com/features/adas-3.html</b:URL>
    <b:RefOrder>2</b:RefOrder>
  </b:Source>
  <b:Source>
    <b:Tag>Zen21</b:Tag>
    <b:SourceType>Report</b:SourceType>
    <b:Guid>{972ED475-6611-4B45-97EB-7C2D696B6783}</b:Guid>
    <b:Title>An Optimization Design of Adaptive Cruise Control System Based on MPC and ADRC</b:Title>
    <b:Year>2021</b:Year>
    <b:Author>
      <b:Author>
        <b:Corporate>Zengfu Yang, Zengcai Wang, Ming Yan</b:Corporate>
      </b:Author>
    </b:Author>
    <b:RefOrder>3</b:RefOrder>
  </b:Source>
  <b:Source>
    <b:Tag>Zul24</b:Tag>
    <b:SourceType>Report</b:SourceType>
    <b:Guid>{240C21E5-D487-4727-8ADD-4F90B0AD8401}</b:Guid>
    <b:Author>
      <b:Author>
        <b:NameList>
          <b:Person>
            <b:Last>Khattak</b:Last>
            <b:First>Zulqarnain</b:First>
            <b:Middle>H.</b:Middle>
          </b:Person>
        </b:NameList>
      </b:Author>
    </b:Author>
    <b:Title>Cybersecurity vulnerability and resilience of cooperative driving automation for energy efficiency and flow stability in smart cities</b:Title>
    <b:Year>2024</b:Year>
    <b:RefOrder>4</b:RefOrder>
  </b:Source>
  <b:Source>
    <b:Tag>Lia23</b:Tag>
    <b:SourceType>Report</b:SourceType>
    <b:Guid>{AD88639E-1CD9-4A1A-83B2-7701ECAD0D5B}</b:Guid>
    <b:Title>Research on Longitudinal Control Algorithm of Adaptive Cruise Control System for Pure Electric Vehicles</b:Title>
    <b:Year>2023</b:Year>
    <b:Author>
      <b:Author>
        <b:Corporate>Liang Chu, Huichao Li, Yanwu Xu, Di Zhao, Chengwei Sun</b:Corporate>
      </b:Author>
    </b:Author>
    <b:Publisher>College of Automotive Engineering, Jilin University</b:Publisher>
    <b:City>Changchun 130022, China</b:City>
    <b:RefOrder>5</b:RefOrder>
  </b:Source>
  <b:Source>
    <b:Tag>Mic15</b:Tag>
    <b:SourceType>Report</b:SourceType>
    <b:Guid>{480483F7-DD09-4930-9EE4-6AFFF10A0F3D}</b:Guid>
    <b:Title>Influence of sampling on the tuning of PID controller parameters</b:Title>
    <b:Year>2015</b:Year>
    <b:Author>
      <b:Author>
        <b:Corporate>Michał Łaskawski,Miroslaw Wcislik</b:Corporate>
      </b:Author>
    </b:Author>
    <b:Publisher>IFAC</b:Publisher>
    <b:RefOrder>6</b:RefOrder>
  </b:Source>
</b:Sources>
</file>

<file path=customXml/itemProps1.xml><?xml version="1.0" encoding="utf-8"?>
<ds:datastoreItem xmlns:ds="http://schemas.openxmlformats.org/officeDocument/2006/customXml" ds:itemID="{01A225BB-1EE0-4335-8300-E350776A85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4EDF97-CCF4-4E6A-9DA7-B36546D23715}">
  <ds:schemaRefs>
    <ds:schemaRef ds:uri="http://schemas.microsoft.com/sharepoint/v3/contenttype/forms"/>
  </ds:schemaRefs>
</ds:datastoreItem>
</file>

<file path=customXml/itemProps3.xml><?xml version="1.0" encoding="utf-8"?>
<ds:datastoreItem xmlns:ds="http://schemas.openxmlformats.org/officeDocument/2006/customXml" ds:itemID="{1BCD7A89-817B-49B1-926F-5BC3B5C70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a01ab7-cedd-4f68-96ca-8b14306818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047FF-D3C4-427F-8857-872FF6DFE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4681</Words>
  <Characters>28841</Characters>
  <Application>Microsoft Office Word</Application>
  <DocSecurity>0</DocSecurity>
  <Lines>505</Lines>
  <Paragraphs>179</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Contents Page</vt:lpstr>
      <vt:lpstr>Table of Figures</vt:lpstr>
      <vt:lpstr>1:Introduction</vt:lpstr>
      <vt:lpstr/>
      <vt:lpstr>2: Literature Review:</vt:lpstr>
      <vt:lpstr>    2.1: Combustion Modelling Techniques</vt:lpstr>
      <vt:lpstr>    2.2: Emissions Control in Future ICEs </vt:lpstr>
      <vt:lpstr>    2.3: Overview of Alternative Fuels</vt:lpstr>
      <vt:lpstr>    2.4: Fuel Blends: Enhancing Practical Use</vt:lpstr>
      <vt:lpstr>Task 3: Fuel Types</vt:lpstr>
      <vt:lpstr>Task 4: Forte Design</vt:lpstr>
      <vt:lpstr>    4.1: Mass Fraction Burned (MFB) — Rassweiler and Withrow Analysis</vt:lpstr>
      <vt:lpstr>    4.2: Combustion Pressure Rise with SOC and EOC Markers</vt:lpstr>
      <vt:lpstr>    4.3: Wiebe Function Fit Around CA50</vt:lpstr>
      <vt:lpstr>    4.4: Full Wiebe Function Fit Across the Burn Window</vt:lpstr>
      <vt:lpstr>    4.5: Pressure and Volume Behaviour During Combustion</vt:lpstr>
      <vt:lpstr>    4.6: Combustion Pressure Contribution (ΔP_cb)</vt:lpstr>
      <vt:lpstr>Task 5: Ricardo Wave</vt:lpstr>
      <vt:lpstr>Conclusion</vt:lpstr>
      <vt:lpstr>&lt;References</vt:lpstr>
      <vt:lpstr/>
    </vt:vector>
  </TitlesOfParts>
  <Company>Bridgwater College</Company>
  <LinksUpToDate>false</LinksUpToDate>
  <CharactersWithSpaces>33343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dc:creator>
  <cp:keywords/>
  <dc:description/>
  <cp:lastModifiedBy>Roland Magyar (2306046)</cp:lastModifiedBy>
  <cp:revision>2</cp:revision>
  <cp:lastPrinted>2025-03-02T16:49:00Z</cp:lastPrinted>
  <dcterms:created xsi:type="dcterms:W3CDTF">2025-04-27T20:20:00Z</dcterms:created>
  <dcterms:modified xsi:type="dcterms:W3CDTF">2025-04-27T20:20:00Z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0x010100C758C214978E3146A430D622D8E2BE97</vt:lpwstr>
  </property>
  <property fmtid="{D5CDD505-2E9C-101B-9397-08002B2CF9AE}" pid="3" name="GrammarlyDocumentId">
    <vt:lpwstr>b855850b9ba309be7b6133646c60526b63ad3035462e7b272bcf9d453983b538</vt:lpwstr>
  </property>
</Properties>
</file>