
<file path=[Content_Types].xml><?xml version="1.0" encoding="utf-8"?>
<Types xmlns="http://schemas.openxmlformats.org/package/2006/content-types">
  <Default Extension="xlsx" ContentType="application/vnd.openxmlformats-officedocument.spreadsheetml.sheet"/>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36"/>
          <w:szCs w:val="36"/>
        </w:rPr>
      </w:pPr>
      <w:r>
        <w:rPr>
          <w:rFonts w:ascii="Arial" w:hAnsi="Arial" w:cs="Arial"/>
          <w:b/>
          <w:bCs/>
          <w:sz w:val="36"/>
          <w:szCs w:val="36"/>
        </w:rPr>
        <w:t>Financial comparison of two organisations</w:t>
      </w:r>
    </w:p>
    <w:p>
      <w:pPr>
        <w:jc w:val="center"/>
        <w:rPr>
          <w:rFonts w:ascii="Arial" w:hAnsi="Arial" w:cs="Arial"/>
          <w:b/>
          <w:bCs/>
          <w:sz w:val="36"/>
          <w:szCs w:val="36"/>
        </w:rPr>
      </w:pPr>
      <w:r>
        <w:rPr>
          <w:rFonts w:ascii="Arial" w:hAnsi="Arial" w:cs="Arial"/>
          <w:b/>
          <w:bCs/>
          <w:sz w:val="36"/>
          <w:szCs w:val="36"/>
        </w:rPr>
        <w:t xml:space="preserve"> Marriott International and </w:t>
      </w:r>
    </w:p>
    <w:p>
      <w:pPr>
        <w:jc w:val="center"/>
        <w:rPr>
          <w:rFonts w:ascii="Arial" w:hAnsi="Arial" w:cs="Arial"/>
          <w:b/>
          <w:bCs/>
          <w:sz w:val="36"/>
          <w:szCs w:val="36"/>
        </w:rPr>
      </w:pPr>
      <w:r>
        <w:rPr>
          <w:rFonts w:ascii="Arial" w:hAnsi="Arial" w:cs="Arial"/>
          <w:b/>
          <w:bCs/>
          <w:sz w:val="36"/>
          <w:szCs w:val="36"/>
        </w:rPr>
        <w:t>Accor International</w:t>
      </w:r>
    </w:p>
    <w:p>
      <w:pPr>
        <w:jc w:val="center"/>
        <w:rPr>
          <w:rFonts w:ascii="Arial" w:hAnsi="Arial" w:cs="Arial"/>
          <w:b/>
          <w:bCs/>
          <w:sz w:val="36"/>
          <w:szCs w:val="36"/>
        </w:rPr>
      </w:pPr>
    </w:p>
    <w:p>
      <w:pPr>
        <w:jc w:val="center"/>
        <w:rPr>
          <w:rFonts w:ascii="Arial" w:hAnsi="Arial" w:cs="Arial"/>
          <w:b/>
          <w:bCs/>
          <w:sz w:val="24"/>
          <w:szCs w:val="24"/>
        </w:rPr>
      </w:pPr>
      <w:r>
        <w:rPr>
          <w:rFonts w:ascii="Arial" w:hAnsi="Arial" w:cs="Arial"/>
          <w:b/>
          <w:bCs/>
          <w:sz w:val="24"/>
          <w:szCs w:val="24"/>
        </w:rPr>
        <w:t>-REPORT-</w:t>
      </w: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r>
        <w:rPr>
          <w:rFonts w:ascii="Arial" w:hAnsi="Arial" w:cs="Arial"/>
          <w:b/>
          <w:bCs/>
          <w:sz w:val="28"/>
          <w:szCs w:val="28"/>
        </w:rPr>
        <w:t>Financial Management BMIH5007</w:t>
      </w:r>
    </w:p>
    <w:p>
      <w:pPr>
        <w:jc w:val="center"/>
        <w:rPr>
          <w:rFonts w:ascii="Arial" w:hAnsi="Arial" w:cs="Arial"/>
          <w:b/>
          <w:bCs/>
          <w:sz w:val="28"/>
          <w:szCs w:val="28"/>
        </w:rPr>
      </w:pPr>
      <w:r>
        <w:rPr>
          <w:rFonts w:ascii="Arial" w:hAnsi="Arial" w:cs="Arial"/>
          <w:b/>
          <w:bCs/>
          <w:sz w:val="28"/>
          <w:szCs w:val="28"/>
        </w:rPr>
        <w:t>Belu Teodor Catalin (2116226)</w:t>
      </w:r>
    </w:p>
    <w:p>
      <w:pPr>
        <w:jc w:val="center"/>
        <w:rPr>
          <w:rFonts w:ascii="Arial" w:hAnsi="Arial" w:cs="Arial"/>
          <w:b/>
          <w:bCs/>
          <w:sz w:val="28"/>
          <w:szCs w:val="28"/>
        </w:rPr>
      </w:pPr>
      <w:r>
        <w:rPr>
          <w:rFonts w:ascii="Arial" w:hAnsi="Arial" w:cs="Arial"/>
          <w:b/>
          <w:bCs/>
          <w:sz w:val="28"/>
          <w:szCs w:val="28"/>
        </w:rPr>
        <w:t xml:space="preserve">Tutor: </w:t>
      </w:r>
      <w:bookmarkStart w:id="0" w:name="_Hlk134211383"/>
      <w:r>
        <w:rPr>
          <w:rFonts w:ascii="Arial" w:hAnsi="Arial" w:cs="Arial"/>
          <w:b/>
          <w:bCs/>
          <w:sz w:val="28"/>
          <w:szCs w:val="28"/>
        </w:rPr>
        <w:t>Christopher Wilkin</w:t>
      </w:r>
    </w:p>
    <w:bookmarkEnd w:id="0"/>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i/>
          <w:iCs/>
          <w:sz w:val="28"/>
          <w:szCs w:val="28"/>
        </w:rPr>
      </w:pPr>
      <w:r>
        <w:rPr>
          <w:rFonts w:ascii="Arial" w:hAnsi="Arial" w:cs="Arial"/>
          <w:b/>
          <w:bCs/>
          <w:i/>
          <w:iCs/>
          <w:sz w:val="28"/>
          <w:szCs w:val="28"/>
        </w:rPr>
        <w:t>Executive summary</w:t>
      </w:r>
    </w:p>
    <w:p>
      <w:pPr>
        <w:jc w:val="center"/>
        <w:rPr>
          <w:rFonts w:ascii="Arial" w:hAnsi="Arial" w:cs="Arial"/>
          <w:sz w:val="28"/>
          <w:szCs w:val="28"/>
        </w:rPr>
      </w:pPr>
    </w:p>
    <w:p>
      <w:pPr>
        <w:spacing w:line="360" w:lineRule="auto"/>
        <w:ind w:firstLine="720"/>
        <w:jc w:val="both"/>
        <w:rPr>
          <w:rFonts w:ascii="Arial" w:hAnsi="Arial" w:cs="Arial"/>
          <w:sz w:val="28"/>
          <w:szCs w:val="28"/>
        </w:rPr>
      </w:pPr>
      <w:r>
        <w:rPr>
          <w:rFonts w:ascii="Arial" w:hAnsi="Arial" w:cs="Arial"/>
          <w:sz w:val="28"/>
          <w:szCs w:val="28"/>
        </w:rPr>
        <w:t>Marriott International the organisation with the powerful portfolio in the world in hospitality sector and Accor International the biggest organisation in the sector in Europe and the sixth hospitality organisation in the world are some of the best examples of quality, diversity, and success. Both are strong organisations that have continued to grow over the years increasing or decreasing the market capitalization (Appendix 1) in concordance with the good or difficult financial time their pass and modifying their portfolio assimilating or developing multiple brands for different needs.  This report will compare the financial performance of the two organizations in recent years and critically analyse it.</w:t>
      </w:r>
    </w:p>
    <w:p>
      <w:pPr>
        <w:ind w:firstLine="720"/>
        <w:jc w:val="both"/>
        <w:rPr>
          <w:rFonts w:ascii="Arial" w:hAnsi="Arial" w:cs="Arial"/>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rPr>
          <w:rFonts w:ascii="Arial" w:hAnsi="Arial" w:cs="Arial"/>
          <w:b/>
          <w:bCs/>
          <w:sz w:val="28"/>
          <w:szCs w:val="28"/>
        </w:rPr>
      </w:pPr>
    </w:p>
    <w:p>
      <w:pPr>
        <w:jc w:val="center"/>
        <w:rPr>
          <w:rFonts w:ascii="Arial" w:hAnsi="Arial" w:cs="Arial"/>
          <w:b/>
          <w:bCs/>
          <w:sz w:val="28"/>
          <w:szCs w:val="28"/>
        </w:rPr>
      </w:pPr>
      <w:r>
        <w:rPr>
          <w:rFonts w:ascii="Arial" w:hAnsi="Arial" w:cs="Arial"/>
          <w:b/>
          <w:bCs/>
          <w:sz w:val="28"/>
          <w:szCs w:val="28"/>
        </w:rPr>
        <w:t>Table of content</w:t>
      </w: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pStyle w:val="15"/>
        <w:numPr>
          <w:ilvl w:val="0"/>
          <w:numId w:val="1"/>
        </w:numPr>
        <w:jc w:val="both"/>
        <w:rPr>
          <w:rFonts w:ascii="Arial" w:hAnsi="Arial" w:cs="Arial"/>
          <w:b/>
          <w:bCs/>
          <w:sz w:val="28"/>
          <w:szCs w:val="28"/>
        </w:rPr>
      </w:pPr>
      <w:r>
        <w:rPr>
          <w:rFonts w:ascii="Arial" w:hAnsi="Arial" w:cs="Arial"/>
          <w:b/>
          <w:bCs/>
          <w:sz w:val="28"/>
          <w:szCs w:val="28"/>
        </w:rPr>
        <w:t>Introduction……………………………………………………………4</w:t>
      </w:r>
    </w:p>
    <w:p>
      <w:pPr>
        <w:jc w:val="both"/>
        <w:rPr>
          <w:rFonts w:ascii="Arial" w:hAnsi="Arial" w:cs="Arial"/>
          <w:b/>
          <w:bCs/>
          <w:sz w:val="28"/>
          <w:szCs w:val="28"/>
        </w:rPr>
      </w:pPr>
    </w:p>
    <w:p>
      <w:pPr>
        <w:pStyle w:val="15"/>
        <w:numPr>
          <w:ilvl w:val="0"/>
          <w:numId w:val="1"/>
        </w:numPr>
        <w:jc w:val="both"/>
        <w:rPr>
          <w:rFonts w:ascii="Arial" w:hAnsi="Arial" w:cs="Arial"/>
          <w:b/>
          <w:bCs/>
          <w:sz w:val="28"/>
          <w:szCs w:val="28"/>
        </w:rPr>
      </w:pPr>
      <w:r>
        <w:rPr>
          <w:rFonts w:ascii="Arial" w:hAnsi="Arial" w:cs="Arial"/>
          <w:b/>
          <w:bCs/>
          <w:sz w:val="28"/>
          <w:szCs w:val="28"/>
        </w:rPr>
        <w:t xml:space="preserve">Financial </w:t>
      </w:r>
      <w:r>
        <w:rPr>
          <w:rFonts w:ascii="Arial" w:hAnsi="Arial" w:cs="Arial"/>
          <w:b/>
          <w:bCs/>
          <w:sz w:val="28"/>
          <w:szCs w:val="28"/>
          <w:lang w:val="en-GB"/>
        </w:rPr>
        <w:t>Comparison</w:t>
      </w:r>
      <w:r>
        <w:rPr>
          <w:rFonts w:ascii="Arial" w:hAnsi="Arial" w:cs="Arial"/>
          <w:b/>
          <w:bCs/>
          <w:sz w:val="28"/>
          <w:szCs w:val="28"/>
        </w:rPr>
        <w:t>……………………………………………….4</w:t>
      </w:r>
    </w:p>
    <w:p>
      <w:pPr>
        <w:jc w:val="center"/>
        <w:rPr>
          <w:rFonts w:ascii="Arial" w:hAnsi="Arial" w:cs="Arial"/>
          <w:b/>
          <w:bCs/>
          <w:sz w:val="28"/>
          <w:szCs w:val="28"/>
        </w:rPr>
      </w:pPr>
    </w:p>
    <w:p>
      <w:pPr>
        <w:pStyle w:val="15"/>
        <w:numPr>
          <w:ilvl w:val="0"/>
          <w:numId w:val="1"/>
        </w:numPr>
        <w:jc w:val="center"/>
        <w:rPr>
          <w:rFonts w:ascii="Arial" w:hAnsi="Arial" w:cs="Arial"/>
          <w:b/>
          <w:bCs/>
          <w:sz w:val="28"/>
          <w:szCs w:val="28"/>
        </w:rPr>
      </w:pPr>
      <w:r>
        <w:rPr>
          <w:rFonts w:ascii="Arial" w:hAnsi="Arial" w:cs="Arial"/>
          <w:b/>
          <w:bCs/>
          <w:sz w:val="28"/>
          <w:szCs w:val="28"/>
        </w:rPr>
        <w:t>Total Revenue…...………………………………………………….....5</w:t>
      </w:r>
    </w:p>
    <w:p>
      <w:pPr>
        <w:jc w:val="center"/>
        <w:rPr>
          <w:rFonts w:ascii="Arial" w:hAnsi="Arial" w:cs="Arial"/>
          <w:b/>
          <w:bCs/>
          <w:sz w:val="28"/>
          <w:szCs w:val="28"/>
        </w:rPr>
      </w:pPr>
    </w:p>
    <w:p>
      <w:pPr>
        <w:pStyle w:val="15"/>
        <w:numPr>
          <w:ilvl w:val="0"/>
          <w:numId w:val="1"/>
        </w:numPr>
        <w:jc w:val="center"/>
        <w:rPr>
          <w:rFonts w:ascii="Arial" w:hAnsi="Arial" w:cs="Arial"/>
          <w:b/>
          <w:bCs/>
          <w:sz w:val="28"/>
          <w:szCs w:val="28"/>
        </w:rPr>
      </w:pPr>
      <w:r>
        <w:rPr>
          <w:rFonts w:ascii="Arial" w:hAnsi="Arial" w:cs="Arial"/>
          <w:b/>
          <w:bCs/>
          <w:sz w:val="28"/>
          <w:szCs w:val="28"/>
        </w:rPr>
        <w:t>Market Position………………………………………………………..7</w:t>
      </w:r>
    </w:p>
    <w:p>
      <w:pPr>
        <w:jc w:val="center"/>
        <w:rPr>
          <w:rFonts w:ascii="Arial" w:hAnsi="Arial" w:cs="Arial"/>
          <w:b/>
          <w:bCs/>
          <w:sz w:val="28"/>
          <w:szCs w:val="28"/>
        </w:rPr>
      </w:pPr>
    </w:p>
    <w:p>
      <w:pPr>
        <w:pStyle w:val="15"/>
        <w:numPr>
          <w:ilvl w:val="0"/>
          <w:numId w:val="1"/>
        </w:numPr>
        <w:jc w:val="center"/>
        <w:rPr>
          <w:rFonts w:ascii="Arial" w:hAnsi="Arial" w:cs="Arial"/>
          <w:b/>
          <w:bCs/>
          <w:sz w:val="28"/>
          <w:szCs w:val="28"/>
        </w:rPr>
      </w:pPr>
      <w:r>
        <w:rPr>
          <w:rFonts w:ascii="Arial" w:hAnsi="Arial" w:cs="Arial"/>
          <w:b/>
          <w:bCs/>
          <w:sz w:val="28"/>
          <w:szCs w:val="28"/>
        </w:rPr>
        <w:t xml:space="preserve">Growth Potential………………………………………………………9 </w:t>
      </w:r>
    </w:p>
    <w:p>
      <w:pPr>
        <w:jc w:val="center"/>
        <w:rPr>
          <w:rFonts w:ascii="Arial" w:hAnsi="Arial" w:cs="Arial"/>
          <w:b/>
          <w:bCs/>
          <w:sz w:val="28"/>
          <w:szCs w:val="28"/>
        </w:rPr>
      </w:pPr>
    </w:p>
    <w:p>
      <w:pPr>
        <w:pStyle w:val="15"/>
        <w:numPr>
          <w:ilvl w:val="0"/>
          <w:numId w:val="1"/>
        </w:numPr>
        <w:rPr>
          <w:rFonts w:ascii="Arial" w:hAnsi="Arial" w:cs="Arial"/>
          <w:b/>
          <w:bCs/>
          <w:sz w:val="28"/>
          <w:szCs w:val="28"/>
        </w:rPr>
      </w:pPr>
      <w:r>
        <w:rPr>
          <w:rFonts w:ascii="Arial" w:hAnsi="Arial" w:cs="Arial"/>
          <w:b/>
          <w:bCs/>
          <w:sz w:val="28"/>
          <w:szCs w:val="28"/>
        </w:rPr>
        <w:t>Financial commitment to corporate social</w:t>
      </w:r>
    </w:p>
    <w:p>
      <w:pPr>
        <w:pStyle w:val="15"/>
        <w:rPr>
          <w:rFonts w:ascii="Arial" w:hAnsi="Arial" w:cs="Arial"/>
          <w:b/>
          <w:bCs/>
          <w:sz w:val="28"/>
          <w:szCs w:val="28"/>
        </w:rPr>
      </w:pPr>
    </w:p>
    <w:p>
      <w:pPr>
        <w:pStyle w:val="15"/>
        <w:rPr>
          <w:rFonts w:ascii="Arial" w:hAnsi="Arial" w:cs="Arial"/>
          <w:b/>
          <w:bCs/>
          <w:sz w:val="28"/>
          <w:szCs w:val="28"/>
        </w:rPr>
      </w:pPr>
      <w:r>
        <w:rPr>
          <w:rFonts w:ascii="Arial" w:hAnsi="Arial" w:cs="Arial"/>
          <w:b/>
          <w:bCs/>
          <w:sz w:val="28"/>
          <w:szCs w:val="28"/>
        </w:rPr>
        <w:t xml:space="preserve"> responsibility (CSR)………………………………………………..10</w:t>
      </w:r>
    </w:p>
    <w:p>
      <w:pPr>
        <w:jc w:val="center"/>
        <w:rPr>
          <w:rFonts w:ascii="Arial" w:hAnsi="Arial" w:cs="Arial"/>
          <w:b/>
          <w:bCs/>
          <w:sz w:val="28"/>
          <w:szCs w:val="28"/>
        </w:rPr>
      </w:pPr>
    </w:p>
    <w:p>
      <w:pPr>
        <w:pStyle w:val="15"/>
        <w:numPr>
          <w:ilvl w:val="0"/>
          <w:numId w:val="1"/>
        </w:numPr>
        <w:jc w:val="center"/>
        <w:rPr>
          <w:rFonts w:ascii="Arial" w:hAnsi="Arial" w:cs="Arial"/>
          <w:b/>
          <w:bCs/>
          <w:sz w:val="28"/>
          <w:szCs w:val="28"/>
        </w:rPr>
      </w:pPr>
      <w:r>
        <w:rPr>
          <w:rFonts w:ascii="Arial" w:hAnsi="Arial" w:cs="Arial"/>
          <w:b/>
          <w:bCs/>
          <w:sz w:val="28"/>
          <w:szCs w:val="28"/>
        </w:rPr>
        <w:t>Recommendations………..…………………………………………10</w:t>
      </w:r>
    </w:p>
    <w:p>
      <w:pPr>
        <w:jc w:val="center"/>
        <w:rPr>
          <w:rFonts w:ascii="Arial" w:hAnsi="Arial" w:cs="Arial"/>
          <w:b/>
          <w:bCs/>
          <w:sz w:val="28"/>
          <w:szCs w:val="28"/>
        </w:rPr>
      </w:pPr>
    </w:p>
    <w:p>
      <w:pPr>
        <w:pStyle w:val="15"/>
        <w:numPr>
          <w:ilvl w:val="0"/>
          <w:numId w:val="1"/>
        </w:numPr>
        <w:jc w:val="center"/>
        <w:rPr>
          <w:rFonts w:ascii="Arial" w:hAnsi="Arial" w:cs="Arial"/>
          <w:b/>
          <w:bCs/>
          <w:sz w:val="28"/>
          <w:szCs w:val="28"/>
        </w:rPr>
      </w:pPr>
      <w:r>
        <w:rPr>
          <w:rFonts w:ascii="Arial" w:hAnsi="Arial" w:cs="Arial"/>
          <w:b/>
          <w:bCs/>
          <w:sz w:val="28"/>
          <w:szCs w:val="28"/>
        </w:rPr>
        <w:t>Conclusions………………………………………………………….11</w:t>
      </w:r>
    </w:p>
    <w:p>
      <w:pPr>
        <w:jc w:val="center"/>
        <w:rPr>
          <w:rFonts w:ascii="Arial" w:hAnsi="Arial" w:cs="Arial"/>
          <w:b/>
          <w:bCs/>
          <w:sz w:val="28"/>
          <w:szCs w:val="28"/>
        </w:rPr>
      </w:pPr>
    </w:p>
    <w:p>
      <w:pPr>
        <w:jc w:val="center"/>
        <w:rPr>
          <w:rFonts w:ascii="Arial" w:hAnsi="Arial" w:cs="Arial"/>
          <w:b/>
          <w:bCs/>
          <w:sz w:val="28"/>
          <w:szCs w:val="28"/>
        </w:rPr>
      </w:pPr>
      <w:r>
        <w:rPr>
          <w:rFonts w:ascii="Arial" w:hAnsi="Arial" w:cs="Arial"/>
          <w:b/>
          <w:bCs/>
          <w:sz w:val="28"/>
          <w:szCs w:val="28"/>
        </w:rPr>
        <w:t>References…………………………………………………………………..11</w:t>
      </w:r>
    </w:p>
    <w:p>
      <w:pPr>
        <w:jc w:val="center"/>
        <w:rPr>
          <w:rFonts w:ascii="Arial" w:hAnsi="Arial" w:cs="Arial"/>
          <w:b/>
          <w:bCs/>
          <w:sz w:val="28"/>
          <w:szCs w:val="28"/>
        </w:rPr>
      </w:pPr>
    </w:p>
    <w:p>
      <w:pPr>
        <w:jc w:val="center"/>
        <w:rPr>
          <w:rFonts w:ascii="Arial" w:hAnsi="Arial" w:cs="Arial"/>
          <w:b/>
          <w:bCs/>
          <w:sz w:val="28"/>
          <w:szCs w:val="28"/>
        </w:rPr>
      </w:pPr>
      <w:r>
        <w:rPr>
          <w:rFonts w:ascii="Arial" w:hAnsi="Arial" w:cs="Arial"/>
          <w:b/>
          <w:bCs/>
          <w:sz w:val="28"/>
          <w:szCs w:val="28"/>
        </w:rPr>
        <w:t>Appendix 1…………………………………………………………………..15</w:t>
      </w:r>
    </w:p>
    <w:p>
      <w:pPr>
        <w:jc w:val="center"/>
        <w:rPr>
          <w:rFonts w:ascii="Arial" w:hAnsi="Arial" w:cs="Arial"/>
          <w:b/>
          <w:bCs/>
          <w:sz w:val="28"/>
          <w:szCs w:val="28"/>
        </w:rPr>
      </w:pPr>
    </w:p>
    <w:p>
      <w:pPr>
        <w:jc w:val="center"/>
        <w:rPr>
          <w:rFonts w:ascii="Arial" w:hAnsi="Arial" w:cs="Arial"/>
          <w:b/>
          <w:bCs/>
          <w:sz w:val="28"/>
          <w:szCs w:val="28"/>
        </w:rPr>
      </w:pPr>
    </w:p>
    <w:p>
      <w:pPr>
        <w:rPr>
          <w:rFonts w:ascii="Arial" w:hAnsi="Arial" w:cs="Arial"/>
          <w:b/>
          <w:bCs/>
          <w:sz w:val="28"/>
          <w:szCs w:val="28"/>
        </w:rPr>
      </w:pPr>
    </w:p>
    <w:p>
      <w:pPr>
        <w:pStyle w:val="15"/>
        <w:numPr>
          <w:ilvl w:val="0"/>
          <w:numId w:val="2"/>
        </w:numPr>
        <w:rPr>
          <w:rFonts w:ascii="Arial" w:hAnsi="Arial" w:cs="Arial"/>
          <w:b/>
          <w:bCs/>
          <w:sz w:val="24"/>
          <w:szCs w:val="24"/>
        </w:rPr>
      </w:pPr>
      <w:r>
        <w:rPr>
          <w:rFonts w:ascii="Arial" w:hAnsi="Arial" w:cs="Arial"/>
          <w:b/>
          <w:bCs/>
          <w:sz w:val="24"/>
          <w:szCs w:val="24"/>
        </w:rPr>
        <w:t xml:space="preserve">Introduction: </w:t>
      </w:r>
    </w:p>
    <w:p>
      <w:pPr>
        <w:jc w:val="both"/>
        <w:rPr>
          <w:rFonts w:ascii="Arial" w:hAnsi="Arial" w:cs="Arial"/>
          <w:b/>
          <w:bCs/>
          <w:sz w:val="24"/>
          <w:szCs w:val="24"/>
        </w:rPr>
      </w:pPr>
    </w:p>
    <w:p>
      <w:pPr>
        <w:spacing w:line="360" w:lineRule="auto"/>
        <w:ind w:firstLine="720"/>
        <w:jc w:val="both"/>
        <w:rPr>
          <w:rFonts w:ascii="Arial" w:hAnsi="Arial" w:cs="Arial"/>
          <w:sz w:val="24"/>
          <w:szCs w:val="24"/>
        </w:rPr>
      </w:pPr>
      <w:r>
        <w:rPr>
          <w:rFonts w:ascii="Arial" w:hAnsi="Arial" w:cs="Arial"/>
          <w:sz w:val="24"/>
          <w:szCs w:val="24"/>
        </w:rPr>
        <w:t xml:space="preserve">In order to achieve certain overall goals within a business entity, financial management is an integral decision-making process that is concerned with obtaining financial growth and managing assets (Baker and Powell, 2005, p.4). Planning, organising, managing, and controlling financial activities, such as the acquisition and use of funds for the business is something essential for all businesses to determine what is better versus what is worse for an organisation and measure a company’s performance and decline. </w:t>
      </w:r>
    </w:p>
    <w:p>
      <w:pPr>
        <w:spacing w:line="360" w:lineRule="auto"/>
        <w:ind w:firstLine="720"/>
        <w:jc w:val="both"/>
        <w:rPr>
          <w:rFonts w:ascii="Arial" w:hAnsi="Arial" w:cs="Arial"/>
          <w:sz w:val="24"/>
          <w:szCs w:val="24"/>
        </w:rPr>
      </w:pPr>
      <w:r>
        <w:rPr>
          <w:rFonts w:ascii="Arial" w:hAnsi="Arial" w:cs="Arial"/>
          <w:sz w:val="24"/>
          <w:szCs w:val="24"/>
        </w:rPr>
        <w:t xml:space="preserve">Financial performance is a gauge of how effectively a company can utilise resources from its main line of business and generate income telling investors about its general well-being. The recording of the financial performance is mandatory and the Securities and Exchange Commission (SEC) mandates that all publicly traded corporations submit and make available a 10-K </w:t>
      </w:r>
      <w:r>
        <w:rPr>
          <w:rFonts w:ascii="Arial" w:hAnsi="Arial" w:cs="Arial"/>
          <w:color w:val="111111"/>
          <w:spacing w:val="1"/>
          <w:sz w:val="24"/>
          <w:szCs w:val="24"/>
          <w:shd w:val="clear" w:color="auto" w:fill="FFFFFF"/>
        </w:rPr>
        <w:t>comprehensive report annually</w:t>
      </w:r>
      <w:r>
        <w:rPr>
          <w:rFonts w:ascii="Arial" w:hAnsi="Arial" w:cs="Arial"/>
          <w:sz w:val="24"/>
          <w:szCs w:val="24"/>
        </w:rPr>
        <w:t xml:space="preserve"> (Kenton, 2023) </w:t>
      </w:r>
    </w:p>
    <w:p>
      <w:pPr>
        <w:pStyle w:val="11"/>
        <w:spacing w:line="360" w:lineRule="auto"/>
        <w:ind w:firstLine="720"/>
        <w:jc w:val="both"/>
        <w:rPr>
          <w:rFonts w:ascii="Arial" w:hAnsi="Arial" w:cs="Arial"/>
          <w:sz w:val="24"/>
          <w:szCs w:val="24"/>
        </w:rPr>
      </w:pPr>
      <w:r>
        <w:rPr>
          <w:rFonts w:ascii="Arial" w:hAnsi="Arial" w:cs="Arial"/>
          <w:sz w:val="24"/>
          <w:szCs w:val="24"/>
        </w:rPr>
        <w:t>In the hospitality industry the relationship between quality, price and value is complex and a high quality or a lower price does not necessarily represent a good value (Hayes and Miller, 2011, p. 76). Profits are the result of generating revenue and controlling expenses and are defined as a firm</w:t>
      </w:r>
      <w:r>
        <w:rPr>
          <w:rFonts w:ascii="Arial" w:hAnsi="Arial" w:cs="Arial"/>
          <w:sz w:val="24"/>
          <w:szCs w:val="24"/>
          <w:rtl/>
        </w:rPr>
        <w:t>﮺</w:t>
      </w:r>
      <w:r>
        <w:rPr>
          <w:rFonts w:ascii="Arial" w:hAnsi="Arial" w:cs="Arial"/>
          <w:sz w:val="24"/>
          <w:szCs w:val="24"/>
        </w:rPr>
        <w:t>s total revenue minus the total cost of expenses. The purpose of all successful businesses is to increase profits, but all organisations should understand that in any rational business transaction, both buyer and seller seek a profit. Is essential for hospitality businesses to provide profits to their customers</w:t>
      </w:r>
      <w:r>
        <w:rPr>
          <w:rFonts w:ascii="Arial" w:hAnsi="Arial" w:cs="Arial"/>
          <w:sz w:val="24"/>
          <w:szCs w:val="24"/>
          <w:rtl/>
        </w:rPr>
        <w:t>﮺</w:t>
      </w:r>
      <w:r>
        <w:rPr>
          <w:rFonts w:ascii="Arial" w:hAnsi="Arial" w:cs="Arial"/>
          <w:sz w:val="24"/>
          <w:szCs w:val="24"/>
        </w:rPr>
        <w:t xml:space="preserve">, and as a result increase those customers wealth not the wealth of the business owners because organisations that effectively serve their customers’ needs will prosper archiving high levels of their own operating levels. </w:t>
      </w:r>
    </w:p>
    <w:p>
      <w:pPr>
        <w:jc w:val="both"/>
        <w:rPr>
          <w:rFonts w:ascii="Arial" w:hAnsi="Arial" w:cs="Arial"/>
          <w:b/>
          <w:bCs/>
          <w:sz w:val="24"/>
          <w:szCs w:val="24"/>
        </w:rPr>
      </w:pPr>
    </w:p>
    <w:p>
      <w:pPr>
        <w:pStyle w:val="15"/>
        <w:numPr>
          <w:ilvl w:val="0"/>
          <w:numId w:val="2"/>
        </w:numPr>
        <w:jc w:val="both"/>
        <w:rPr>
          <w:rFonts w:ascii="Arial" w:hAnsi="Arial" w:cs="Arial"/>
          <w:b/>
          <w:bCs/>
          <w:sz w:val="24"/>
          <w:szCs w:val="24"/>
        </w:rPr>
      </w:pPr>
      <w:r>
        <w:rPr>
          <w:rFonts w:ascii="Arial" w:hAnsi="Arial" w:cs="Arial"/>
          <w:b/>
          <w:bCs/>
          <w:sz w:val="24"/>
          <w:szCs w:val="24"/>
        </w:rPr>
        <w:t xml:space="preserve">Financial </w:t>
      </w:r>
      <w:r>
        <w:rPr>
          <w:rFonts w:ascii="Arial" w:hAnsi="Arial" w:cs="Arial"/>
          <w:b/>
          <w:bCs/>
          <w:sz w:val="24"/>
          <w:szCs w:val="24"/>
          <w:lang w:val="en-GB"/>
        </w:rPr>
        <w:t>Comparison</w:t>
      </w:r>
      <w:r>
        <w:rPr>
          <w:rFonts w:ascii="Arial" w:hAnsi="Arial" w:cs="Arial"/>
          <w:b/>
          <w:bCs/>
          <w:sz w:val="24"/>
          <w:szCs w:val="24"/>
        </w:rPr>
        <w:t xml:space="preserve">: </w:t>
      </w:r>
    </w:p>
    <w:p>
      <w:pPr>
        <w:jc w:val="both"/>
        <w:rPr>
          <w:rFonts w:ascii="Arial" w:hAnsi="Arial" w:cs="Arial"/>
          <w:b/>
          <w:bCs/>
          <w:sz w:val="24"/>
          <w:szCs w:val="24"/>
        </w:rPr>
      </w:pPr>
    </w:p>
    <w:p>
      <w:pPr>
        <w:spacing w:line="360" w:lineRule="auto"/>
        <w:ind w:firstLine="720"/>
        <w:jc w:val="both"/>
        <w:rPr>
          <w:rFonts w:ascii="Arial" w:hAnsi="Arial" w:cs="Arial"/>
          <w:sz w:val="24"/>
          <w:szCs w:val="24"/>
        </w:rPr>
      </w:pPr>
      <w:r>
        <w:rPr>
          <w:rFonts w:ascii="Arial" w:hAnsi="Arial" w:cs="Arial"/>
          <w:sz w:val="24"/>
          <w:szCs w:val="24"/>
        </w:rPr>
        <w:t xml:space="preserve">Marriott International has the strongest portfolio in the hospitality industry and is the biggest hospitality brand. Is a worldwide corporation based in the United States that manages, franchises, and grants operating licences for lodging, including hotels, homes, and </w:t>
      </w:r>
      <w:r>
        <w:rPr>
          <w:rFonts w:ascii="Arial" w:hAnsi="Arial" w:cs="Arial"/>
          <w:sz w:val="24"/>
          <w:szCs w:val="24"/>
          <w:lang w:val="en-GB"/>
        </w:rPr>
        <w:t>time-shares</w:t>
      </w:r>
      <w:r>
        <w:rPr>
          <w:rFonts w:ascii="Arial" w:hAnsi="Arial" w:cs="Arial"/>
          <w:sz w:val="24"/>
          <w:szCs w:val="24"/>
        </w:rPr>
        <w:t xml:space="preserve"> (EHL Hospitality Business School, 2023). The corporation currently owns 30 hotel brands and operates more than 8,000 properties in 139 countries over the world (Marriott, 2023)</w:t>
      </w:r>
    </w:p>
    <w:p>
      <w:pPr>
        <w:spacing w:line="360" w:lineRule="auto"/>
        <w:ind w:firstLine="720"/>
        <w:jc w:val="both"/>
        <w:rPr>
          <w:rFonts w:ascii="Arial" w:hAnsi="Arial" w:cs="Arial"/>
          <w:sz w:val="24"/>
          <w:szCs w:val="24"/>
        </w:rPr>
      </w:pPr>
      <w:r>
        <w:rPr>
          <w:rFonts w:ascii="Arial" w:hAnsi="Arial" w:cs="Arial"/>
          <w:sz w:val="24"/>
          <w:szCs w:val="24"/>
        </w:rPr>
        <w:t>ACCOR International on the other hand is a French multinational company</w:t>
      </w:r>
      <w:r>
        <w:rPr>
          <w:rFonts w:ascii="Open Sans" w:hAnsi="Open Sans" w:cs="Open Sans"/>
          <w:color w:val="000000"/>
          <w:sz w:val="24"/>
          <w:szCs w:val="24"/>
          <w:shd w:val="clear" w:color="auto" w:fill="FFFFFF"/>
        </w:rPr>
        <w:t xml:space="preserve"> </w:t>
      </w:r>
      <w:r>
        <w:rPr>
          <w:rFonts w:ascii="Arial" w:hAnsi="Arial" w:cs="Arial"/>
          <w:color w:val="000000"/>
          <w:sz w:val="24"/>
          <w:szCs w:val="24"/>
          <w:shd w:val="clear" w:color="auto" w:fill="FFFFFF"/>
        </w:rPr>
        <w:t xml:space="preserve">based in Paris, </w:t>
      </w:r>
      <w:r>
        <w:rPr>
          <w:rFonts w:ascii="Arial" w:hAnsi="Arial" w:cs="Arial"/>
          <w:sz w:val="24"/>
          <w:szCs w:val="24"/>
        </w:rPr>
        <w:t xml:space="preserve">which owns more than 40 hotel brands across all segments from luxury to economy and over 5,200 proprieties in 100 counties throughout the world (Group ACCOR, 2023). Is the sixth biggest hospitality brand in the world but the biggest in Europe with more than 750.000 rooms and an annual raise of 3.1% in room proposals (Gourtsilidou, 2022).  </w:t>
      </w:r>
    </w:p>
    <w:tbl>
      <w:tblPr>
        <w:tblStyle w:val="18"/>
        <w:tblW w:w="0" w:type="auto"/>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Layout w:type="autofit"/>
        <w:tblCellMar>
          <w:top w:w="0" w:type="dxa"/>
          <w:left w:w="108" w:type="dxa"/>
          <w:bottom w:w="0" w:type="dxa"/>
          <w:right w:w="108" w:type="dxa"/>
        </w:tblCellMar>
      </w:tblPr>
      <w:tblGrid>
        <w:gridCol w:w="3005"/>
        <w:gridCol w:w="3005"/>
        <w:gridCol w:w="3006"/>
      </w:tblGrid>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rPr>
          <w:trHeight w:val="730" w:hRule="atLeast"/>
        </w:trPr>
        <w:tc>
          <w:tcPr>
            <w:tcW w:w="3005" w:type="dxa"/>
            <w:tcBorders>
              <w:top w:val="single" w:color="FFFFFF" w:themeColor="background1" w:sz="4" w:space="0"/>
              <w:left w:val="single" w:color="FFFFFF" w:themeColor="background1" w:sz="4" w:space="0"/>
              <w:right w:val="nil"/>
              <w:insideV w:val="nil"/>
            </w:tcBorders>
            <w:shd w:val="clear" w:color="auto" w:fill="70AD47" w:themeFill="accent6"/>
          </w:tcPr>
          <w:p>
            <w:pPr>
              <w:spacing w:after="0" w:line="360" w:lineRule="auto"/>
              <w:jc w:val="both"/>
              <w:rPr>
                <w:rFonts w:ascii="Arial" w:hAnsi="Arial" w:cs="Arial"/>
                <w:b/>
                <w:bCs/>
                <w:color w:val="FFFFFF" w:themeColor="background1"/>
                <w:sz w:val="24"/>
                <w:szCs w:val="24"/>
                <w14:textFill>
                  <w14:solidFill>
                    <w14:schemeClr w14:val="bg1"/>
                  </w14:solidFill>
                </w14:textFill>
              </w:rPr>
            </w:pPr>
            <w:r>
              <w:rPr>
                <w:rFonts w:ascii="Arial" w:hAnsi="Arial" w:cs="Arial"/>
                <w:b/>
                <w:bCs/>
                <w:color w:val="FFFFFF" w:themeColor="background1"/>
                <w:sz w:val="24"/>
                <w:szCs w:val="24"/>
                <w14:textFill>
                  <w14:solidFill>
                    <w14:schemeClr w14:val="bg1"/>
                  </w14:solidFill>
                </w14:textFill>
              </w:rPr>
              <w:t xml:space="preserve">Organisation </w:t>
            </w:r>
          </w:p>
        </w:tc>
        <w:tc>
          <w:tcPr>
            <w:tcW w:w="3005" w:type="dxa"/>
            <w:tcBorders>
              <w:top w:val="single" w:color="FFFFFF" w:themeColor="background1" w:sz="4" w:space="0"/>
              <w:right w:val="nil"/>
              <w:insideV w:val="nil"/>
            </w:tcBorders>
            <w:shd w:val="clear" w:color="auto" w:fill="70AD47" w:themeFill="accent6"/>
          </w:tcPr>
          <w:p>
            <w:pPr>
              <w:spacing w:after="0" w:line="360" w:lineRule="auto"/>
              <w:jc w:val="both"/>
              <w:rPr>
                <w:rFonts w:ascii="Arial" w:hAnsi="Arial" w:cs="Arial"/>
                <w:b/>
                <w:bCs/>
                <w:color w:val="FFFFFF" w:themeColor="background1"/>
                <w:sz w:val="24"/>
                <w:szCs w:val="24"/>
                <w14:textFill>
                  <w14:solidFill>
                    <w14:schemeClr w14:val="bg1"/>
                  </w14:solidFill>
                </w14:textFill>
              </w:rPr>
            </w:pPr>
            <w:r>
              <w:rPr>
                <w:rFonts w:ascii="Arial" w:hAnsi="Arial" w:cs="Arial"/>
                <w:b/>
                <w:bCs/>
                <w:color w:val="FFFFFF" w:themeColor="background1"/>
                <w:sz w:val="24"/>
                <w:szCs w:val="24"/>
                <w14:textFill>
                  <w14:solidFill>
                    <w14:schemeClr w14:val="bg1"/>
                  </w14:solidFill>
                </w14:textFill>
              </w:rPr>
              <w:t>Accor International</w:t>
            </w:r>
          </w:p>
        </w:tc>
        <w:tc>
          <w:tcPr>
            <w:tcW w:w="3006" w:type="dxa"/>
            <w:tcBorders>
              <w:top w:val="single" w:color="FFFFFF" w:themeColor="background1" w:sz="4" w:space="0"/>
              <w:right w:val="single" w:color="FFFFFF" w:themeColor="background1" w:sz="4" w:space="0"/>
              <w:insideV w:val="nil"/>
            </w:tcBorders>
            <w:shd w:val="clear" w:color="auto" w:fill="70AD47" w:themeFill="accent6"/>
          </w:tcPr>
          <w:p>
            <w:pPr>
              <w:spacing w:after="0" w:line="360" w:lineRule="auto"/>
              <w:jc w:val="both"/>
              <w:rPr>
                <w:rFonts w:ascii="Arial" w:hAnsi="Arial" w:cs="Arial"/>
                <w:b/>
                <w:bCs/>
                <w:color w:val="FFFFFF" w:themeColor="background1"/>
                <w:sz w:val="24"/>
                <w:szCs w:val="24"/>
                <w14:textFill>
                  <w14:solidFill>
                    <w14:schemeClr w14:val="bg1"/>
                  </w14:solidFill>
                </w14:textFill>
              </w:rPr>
            </w:pPr>
            <w:r>
              <w:rPr>
                <w:rFonts w:ascii="Arial" w:hAnsi="Arial" w:cs="Arial"/>
                <w:b/>
                <w:bCs/>
                <w:color w:val="FFFFFF" w:themeColor="background1"/>
                <w:sz w:val="24"/>
                <w:szCs w:val="24"/>
                <w14:textFill>
                  <w14:solidFill>
                    <w14:schemeClr w14:val="bg1"/>
                  </w14:solidFill>
                </w14:textFill>
              </w:rPr>
              <w:t>Marriott International</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3005" w:type="dxa"/>
            <w:tcBorders>
              <w:left w:val="single" w:color="FFFFFF" w:themeColor="background1" w:sz="4" w:space="0"/>
            </w:tcBorders>
            <w:shd w:val="clear" w:color="auto" w:fill="70AD47" w:themeFill="accent6"/>
          </w:tcPr>
          <w:p>
            <w:pPr>
              <w:spacing w:after="0" w:line="360" w:lineRule="auto"/>
              <w:jc w:val="both"/>
              <w:rPr>
                <w:rFonts w:ascii="Arial" w:hAnsi="Arial" w:cs="Arial"/>
                <w:b/>
                <w:bCs/>
                <w:color w:val="FFFFFF" w:themeColor="background1"/>
                <w:sz w:val="24"/>
                <w:szCs w:val="24"/>
                <w14:textFill>
                  <w14:solidFill>
                    <w14:schemeClr w14:val="bg1"/>
                  </w14:solidFill>
                </w14:textFill>
              </w:rPr>
            </w:pPr>
            <w:r>
              <w:rPr>
                <w:rFonts w:ascii="Arial" w:hAnsi="Arial" w:cs="Arial"/>
                <w:b/>
                <w:bCs/>
                <w:color w:val="FFFFFF" w:themeColor="background1"/>
                <w:sz w:val="24"/>
                <w:szCs w:val="24"/>
                <w14:textFill>
                  <w14:solidFill>
                    <w14:schemeClr w14:val="bg1"/>
                  </w14:solidFill>
                </w14:textFill>
              </w:rPr>
              <w:t xml:space="preserve">Established in </w:t>
            </w:r>
          </w:p>
        </w:tc>
        <w:tc>
          <w:tcPr>
            <w:tcW w:w="3005" w:type="dxa"/>
            <w:shd w:val="clear" w:color="auto" w:fill="C5E0B3" w:themeFill="accent6" w:themeFillTint="66"/>
          </w:tcPr>
          <w:p>
            <w:pPr>
              <w:spacing w:after="0" w:line="360" w:lineRule="auto"/>
              <w:jc w:val="center"/>
              <w:rPr>
                <w:rFonts w:ascii="Arial" w:hAnsi="Arial" w:cs="Arial"/>
                <w:sz w:val="24"/>
                <w:szCs w:val="24"/>
              </w:rPr>
            </w:pPr>
            <w:r>
              <w:rPr>
                <w:rFonts w:ascii="Arial" w:hAnsi="Arial" w:cs="Arial"/>
                <w:sz w:val="24"/>
                <w:szCs w:val="24"/>
              </w:rPr>
              <w:t>1967</w:t>
            </w:r>
          </w:p>
        </w:tc>
        <w:tc>
          <w:tcPr>
            <w:tcW w:w="3006" w:type="dxa"/>
            <w:shd w:val="clear" w:color="auto" w:fill="C5E0B3" w:themeFill="accent6" w:themeFillTint="66"/>
          </w:tcPr>
          <w:p>
            <w:pPr>
              <w:spacing w:after="0" w:line="360" w:lineRule="auto"/>
              <w:jc w:val="center"/>
              <w:rPr>
                <w:rFonts w:ascii="Arial" w:hAnsi="Arial" w:cs="Arial"/>
                <w:sz w:val="24"/>
                <w:szCs w:val="24"/>
              </w:rPr>
            </w:pPr>
            <w:r>
              <w:rPr>
                <w:rFonts w:ascii="Arial" w:hAnsi="Arial" w:cs="Arial"/>
                <w:sz w:val="24"/>
                <w:szCs w:val="24"/>
              </w:rPr>
              <w:t>1927</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3005" w:type="dxa"/>
            <w:tcBorders>
              <w:left w:val="single" w:color="FFFFFF" w:themeColor="background1" w:sz="4" w:space="0"/>
            </w:tcBorders>
            <w:shd w:val="clear" w:color="auto" w:fill="70AD47" w:themeFill="accent6"/>
          </w:tcPr>
          <w:p>
            <w:pPr>
              <w:spacing w:after="0" w:line="360" w:lineRule="auto"/>
              <w:jc w:val="both"/>
              <w:rPr>
                <w:rFonts w:ascii="Arial" w:hAnsi="Arial" w:cs="Arial"/>
                <w:b/>
                <w:bCs/>
                <w:color w:val="FFFFFF" w:themeColor="background1"/>
                <w:sz w:val="24"/>
                <w:szCs w:val="24"/>
                <w14:textFill>
                  <w14:solidFill>
                    <w14:schemeClr w14:val="bg1"/>
                  </w14:solidFill>
                </w14:textFill>
              </w:rPr>
            </w:pPr>
            <w:r>
              <w:rPr>
                <w:rFonts w:ascii="Arial" w:hAnsi="Arial" w:cs="Arial"/>
                <w:b/>
                <w:bCs/>
                <w:color w:val="FFFFFF" w:themeColor="background1"/>
                <w:sz w:val="24"/>
                <w:szCs w:val="24"/>
                <w14:textFill>
                  <w14:solidFill>
                    <w14:schemeClr w14:val="bg1"/>
                  </w14:solidFill>
                </w14:textFill>
              </w:rPr>
              <w:t xml:space="preserve">Total assets </w:t>
            </w:r>
          </w:p>
        </w:tc>
        <w:tc>
          <w:tcPr>
            <w:tcW w:w="3005" w:type="dxa"/>
            <w:shd w:val="clear" w:color="auto" w:fill="E2EFD9" w:themeFill="accent6" w:themeFillTint="33"/>
          </w:tcPr>
          <w:p>
            <w:pPr>
              <w:spacing w:after="0" w:line="360" w:lineRule="auto"/>
              <w:jc w:val="center"/>
              <w:rPr>
                <w:rFonts w:ascii="Arial" w:hAnsi="Arial" w:cs="Arial"/>
                <w:sz w:val="24"/>
                <w:szCs w:val="24"/>
              </w:rPr>
            </w:pPr>
            <w:r>
              <w:rPr>
                <w:rFonts w:ascii="Arial" w:hAnsi="Arial" w:cs="Arial"/>
                <w:sz w:val="24"/>
                <w:szCs w:val="24"/>
              </w:rPr>
              <w:t>9.6 billion Euro</w:t>
            </w:r>
          </w:p>
          <w:p>
            <w:pPr>
              <w:spacing w:after="0" w:line="360" w:lineRule="auto"/>
              <w:jc w:val="center"/>
              <w:rPr>
                <w:rFonts w:ascii="Arial" w:hAnsi="Arial" w:cs="Arial"/>
                <w:sz w:val="24"/>
                <w:szCs w:val="24"/>
              </w:rPr>
            </w:pPr>
            <w:r>
              <w:rPr>
                <w:rFonts w:ascii="Arial" w:hAnsi="Arial" w:cs="Arial"/>
                <w:sz w:val="24"/>
                <w:szCs w:val="24"/>
              </w:rPr>
              <w:t>(2023)</w:t>
            </w:r>
          </w:p>
        </w:tc>
        <w:tc>
          <w:tcPr>
            <w:tcW w:w="3006" w:type="dxa"/>
            <w:shd w:val="clear" w:color="auto" w:fill="E2EFD9" w:themeFill="accent6" w:themeFillTint="33"/>
          </w:tcPr>
          <w:p>
            <w:pPr>
              <w:spacing w:after="0" w:line="360" w:lineRule="auto"/>
              <w:jc w:val="center"/>
              <w:rPr>
                <w:rFonts w:ascii="Arial" w:hAnsi="Arial" w:cs="Arial"/>
                <w:sz w:val="24"/>
                <w:szCs w:val="24"/>
              </w:rPr>
            </w:pPr>
            <w:r>
              <w:rPr>
                <w:rFonts w:ascii="Arial" w:hAnsi="Arial" w:cs="Arial"/>
                <w:sz w:val="24"/>
                <w:szCs w:val="24"/>
              </w:rPr>
              <w:t>54.76 billion Dollars (2023)</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3005" w:type="dxa"/>
            <w:tcBorders>
              <w:left w:val="single" w:color="FFFFFF" w:themeColor="background1" w:sz="4" w:space="0"/>
            </w:tcBorders>
            <w:shd w:val="clear" w:color="auto" w:fill="70AD47" w:themeFill="accent6"/>
          </w:tcPr>
          <w:p>
            <w:pPr>
              <w:spacing w:after="0" w:line="360" w:lineRule="auto"/>
              <w:jc w:val="both"/>
              <w:rPr>
                <w:rFonts w:ascii="Arial" w:hAnsi="Arial" w:cs="Arial"/>
                <w:b/>
                <w:bCs/>
                <w:color w:val="FFFFFF" w:themeColor="background1"/>
                <w:sz w:val="24"/>
                <w:szCs w:val="24"/>
                <w14:textFill>
                  <w14:solidFill>
                    <w14:schemeClr w14:val="bg1"/>
                  </w14:solidFill>
                </w14:textFill>
              </w:rPr>
            </w:pPr>
            <w:r>
              <w:rPr>
                <w:rFonts w:ascii="Arial" w:hAnsi="Arial" w:cs="Arial"/>
                <w:b/>
                <w:bCs/>
                <w:color w:val="FFFFFF" w:themeColor="background1"/>
                <w:sz w:val="24"/>
                <w:szCs w:val="24"/>
                <w14:textFill>
                  <w14:solidFill>
                    <w14:schemeClr w14:val="bg1"/>
                  </w14:solidFill>
                </w14:textFill>
              </w:rPr>
              <w:t xml:space="preserve">Employee number </w:t>
            </w:r>
          </w:p>
        </w:tc>
        <w:tc>
          <w:tcPr>
            <w:tcW w:w="3005" w:type="dxa"/>
            <w:shd w:val="clear" w:color="auto" w:fill="C5E0B3" w:themeFill="accent6" w:themeFillTint="66"/>
          </w:tcPr>
          <w:p>
            <w:pPr>
              <w:spacing w:after="0" w:line="360" w:lineRule="auto"/>
              <w:jc w:val="center"/>
              <w:rPr>
                <w:rFonts w:ascii="Arial" w:hAnsi="Arial" w:cs="Arial"/>
                <w:sz w:val="24"/>
                <w:szCs w:val="24"/>
              </w:rPr>
            </w:pPr>
            <w:r>
              <w:rPr>
                <w:rFonts w:ascii="Arial" w:hAnsi="Arial" w:cs="Arial"/>
                <w:sz w:val="24"/>
                <w:szCs w:val="24"/>
              </w:rPr>
              <w:t>&lt; 290.000 (2022)</w:t>
            </w:r>
          </w:p>
        </w:tc>
        <w:tc>
          <w:tcPr>
            <w:tcW w:w="3006" w:type="dxa"/>
            <w:shd w:val="clear" w:color="auto" w:fill="C5E0B3" w:themeFill="accent6" w:themeFillTint="66"/>
          </w:tcPr>
          <w:p>
            <w:pPr>
              <w:spacing w:after="0" w:line="360" w:lineRule="auto"/>
              <w:jc w:val="center"/>
              <w:rPr>
                <w:rFonts w:ascii="Arial" w:hAnsi="Arial" w:cs="Arial"/>
                <w:sz w:val="24"/>
                <w:szCs w:val="24"/>
              </w:rPr>
            </w:pPr>
            <w:r>
              <w:rPr>
                <w:rFonts w:ascii="Arial" w:hAnsi="Arial" w:cs="Arial"/>
                <w:sz w:val="24"/>
                <w:szCs w:val="24"/>
              </w:rPr>
              <w:t>≤ 377.000 (2021)</w:t>
            </w:r>
          </w:p>
        </w:tc>
      </w:tr>
      <w:tr>
        <w:tblPrEx>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Ex>
        <w:tc>
          <w:tcPr>
            <w:tcW w:w="3005" w:type="dxa"/>
            <w:tcBorders>
              <w:left w:val="single" w:color="FFFFFF" w:themeColor="background1" w:sz="4" w:space="0"/>
              <w:bottom w:val="single" w:color="FFFFFF" w:themeColor="background1" w:sz="4" w:space="0"/>
            </w:tcBorders>
            <w:shd w:val="clear" w:color="auto" w:fill="70AD47" w:themeFill="accent6"/>
          </w:tcPr>
          <w:p>
            <w:pPr>
              <w:spacing w:after="0" w:line="360" w:lineRule="auto"/>
              <w:jc w:val="both"/>
              <w:rPr>
                <w:rFonts w:ascii="Arial" w:hAnsi="Arial" w:cs="Arial"/>
                <w:b/>
                <w:bCs/>
                <w:color w:val="FFFFFF" w:themeColor="background1"/>
                <w:sz w:val="24"/>
                <w:szCs w:val="24"/>
                <w14:textFill>
                  <w14:solidFill>
                    <w14:schemeClr w14:val="bg1"/>
                  </w14:solidFill>
                </w14:textFill>
              </w:rPr>
            </w:pPr>
            <w:r>
              <w:rPr>
                <w:rFonts w:ascii="Arial" w:hAnsi="Arial" w:cs="Arial"/>
                <w:b/>
                <w:bCs/>
                <w:color w:val="FFFFFF" w:themeColor="background1"/>
                <w:sz w:val="24"/>
                <w:szCs w:val="24"/>
                <w14:textFill>
                  <w14:solidFill>
                    <w14:schemeClr w14:val="bg1"/>
                  </w14:solidFill>
                </w14:textFill>
              </w:rPr>
              <w:t xml:space="preserve">Brands owned </w:t>
            </w:r>
          </w:p>
        </w:tc>
        <w:tc>
          <w:tcPr>
            <w:tcW w:w="3005" w:type="dxa"/>
            <w:shd w:val="clear" w:color="auto" w:fill="E2EFD9" w:themeFill="accent6" w:themeFillTint="33"/>
          </w:tcPr>
          <w:p>
            <w:pPr>
              <w:spacing w:after="0" w:line="360" w:lineRule="auto"/>
              <w:jc w:val="center"/>
              <w:rPr>
                <w:rFonts w:ascii="Arial" w:hAnsi="Arial" w:cs="Arial"/>
                <w:sz w:val="24"/>
                <w:szCs w:val="24"/>
              </w:rPr>
            </w:pPr>
            <w:r>
              <w:rPr>
                <w:rFonts w:ascii="Arial" w:hAnsi="Arial" w:cs="Arial"/>
                <w:sz w:val="24"/>
                <w:szCs w:val="24"/>
              </w:rPr>
              <w:t>30</w:t>
            </w:r>
          </w:p>
        </w:tc>
        <w:tc>
          <w:tcPr>
            <w:tcW w:w="3006" w:type="dxa"/>
            <w:shd w:val="clear" w:color="auto" w:fill="E2EFD9" w:themeFill="accent6" w:themeFillTint="33"/>
          </w:tcPr>
          <w:p>
            <w:pPr>
              <w:spacing w:after="0" w:line="360" w:lineRule="auto"/>
              <w:jc w:val="center"/>
              <w:rPr>
                <w:rFonts w:ascii="Arial" w:hAnsi="Arial" w:cs="Arial"/>
                <w:sz w:val="24"/>
                <w:szCs w:val="24"/>
              </w:rPr>
            </w:pPr>
            <w:r>
              <w:rPr>
                <w:rFonts w:ascii="Arial" w:hAnsi="Arial" w:cs="Arial"/>
                <w:sz w:val="24"/>
                <w:szCs w:val="24"/>
              </w:rPr>
              <w:t>40</w:t>
            </w:r>
          </w:p>
        </w:tc>
      </w:tr>
    </w:tbl>
    <w:p>
      <w:pPr>
        <w:pStyle w:val="11"/>
        <w:jc w:val="center"/>
        <w:rPr>
          <w:b/>
          <w:bCs/>
        </w:rPr>
      </w:pPr>
      <w:r>
        <w:rPr>
          <w:b/>
          <w:bCs/>
        </w:rPr>
        <w:t>Figure 1.1</w:t>
      </w:r>
    </w:p>
    <w:p>
      <w:pPr>
        <w:spacing w:line="360" w:lineRule="auto"/>
        <w:rPr>
          <w:rFonts w:ascii="Arial" w:hAnsi="Arial" w:cs="Arial"/>
          <w:sz w:val="28"/>
          <w:szCs w:val="28"/>
        </w:rPr>
      </w:pPr>
    </w:p>
    <w:p>
      <w:pPr>
        <w:spacing w:line="360" w:lineRule="auto"/>
        <w:ind w:firstLine="720"/>
        <w:jc w:val="both"/>
        <w:rPr>
          <w:rFonts w:ascii="Arial" w:hAnsi="Arial" w:cs="Arial"/>
          <w:sz w:val="24"/>
          <w:szCs w:val="24"/>
        </w:rPr>
      </w:pPr>
      <w:r>
        <w:rPr>
          <w:rFonts w:ascii="Arial" w:hAnsi="Arial" w:cs="Arial"/>
          <w:sz w:val="24"/>
          <w:szCs w:val="24"/>
        </w:rPr>
        <w:t xml:space="preserve">According to Figure 1, we can deduce that both organisations have impressive sizes but Marriott International with an estimated asset of 55.03 billion dollars is much bigger than Accor International with a total asset of 9.6 billion </w:t>
      </w:r>
      <w:r>
        <w:rPr>
          <w:rFonts w:ascii="Arial" w:hAnsi="Arial" w:cs="Arial"/>
          <w:sz w:val="24"/>
          <w:szCs w:val="24"/>
          <w:lang w:val="en-GB"/>
        </w:rPr>
        <w:t>Euro</w:t>
      </w:r>
      <w:r>
        <w:rPr>
          <w:rFonts w:ascii="Arial" w:hAnsi="Arial" w:cs="Arial"/>
          <w:sz w:val="24"/>
          <w:szCs w:val="24"/>
        </w:rPr>
        <w:t xml:space="preserve"> (Stock analysis, 2023). The employee numbers are also bigger in Marriott International in 2022 although in previous years it was smaller counting 121.000 employees in 2019 and 120.000 employees in 2020 (Macrotrends, 2023).</w:t>
      </w:r>
    </w:p>
    <w:p>
      <w:pPr>
        <w:spacing w:line="360" w:lineRule="auto"/>
        <w:jc w:val="both"/>
        <w:rPr>
          <w:rFonts w:ascii="Arial" w:hAnsi="Arial" w:cs="Arial"/>
          <w:sz w:val="24"/>
          <w:szCs w:val="24"/>
        </w:rPr>
      </w:pPr>
    </w:p>
    <w:p>
      <w:pPr>
        <w:pStyle w:val="15"/>
        <w:numPr>
          <w:ilvl w:val="0"/>
          <w:numId w:val="2"/>
        </w:numPr>
        <w:spacing w:line="360" w:lineRule="auto"/>
        <w:jc w:val="both"/>
        <w:rPr>
          <w:rFonts w:ascii="Arial" w:hAnsi="Arial" w:cs="Arial"/>
          <w:b/>
          <w:bCs/>
          <w:sz w:val="24"/>
          <w:szCs w:val="24"/>
        </w:rPr>
      </w:pPr>
      <w:r>
        <w:rPr>
          <w:rFonts w:ascii="Arial" w:hAnsi="Arial" w:cs="Arial"/>
          <w:b/>
          <w:bCs/>
          <w:sz w:val="24"/>
          <w:szCs w:val="24"/>
        </w:rPr>
        <w:t xml:space="preserve">Total Revenue: </w:t>
      </w:r>
    </w:p>
    <w:p>
      <w:pPr>
        <w:spacing w:line="360" w:lineRule="auto"/>
        <w:ind w:left="360"/>
        <w:jc w:val="both"/>
        <w:rPr>
          <w:rFonts w:ascii="Arial" w:hAnsi="Arial" w:cs="Arial"/>
          <w:sz w:val="24"/>
          <w:szCs w:val="24"/>
        </w:rPr>
      </w:pPr>
    </w:p>
    <w:p>
      <w:pPr>
        <w:spacing w:line="360" w:lineRule="auto"/>
        <w:ind w:firstLine="360"/>
        <w:jc w:val="both"/>
        <w:rPr>
          <w:rFonts w:ascii="Arial" w:hAnsi="Arial" w:cs="Arial"/>
          <w:sz w:val="24"/>
          <w:szCs w:val="24"/>
        </w:rPr>
      </w:pPr>
      <w:r>
        <w:rPr>
          <w:rFonts w:ascii="Arial" w:hAnsi="Arial" w:cs="Arial"/>
          <w:sz w:val="24"/>
          <w:szCs w:val="24"/>
        </w:rPr>
        <w:t xml:space="preserve">Rooms sales and restaurant meals are a barometer of consumer sentiment since they rise and drop in tandem with economic factors such as household income or net worth and corporate profitability. The amount of money a business makes by selling its products and services is known as total revenue. The multiplication between the price of a product or service and the quantity or number of products sold results in total revenue (Higher Rock Education Organisation, 2018). Forecasting demand by market segment, understanding how to alter prices in response to these segments' price sensitivity, and controlling access to rooms and services are all necessary for selling the appropriate room or service to the right customer at the right time (Sturman et. Al., 2011, p. 177). </w:t>
      </w:r>
    </w:p>
    <w:p>
      <w:pPr>
        <w:pStyle w:val="11"/>
        <w:jc w:val="center"/>
        <w:rPr>
          <w:rFonts w:ascii="Arial" w:hAnsi="Arial" w:cs="Arial"/>
          <w:b/>
          <w:bCs/>
          <w:sz w:val="20"/>
          <w:szCs w:val="20"/>
        </w:rPr>
      </w:pPr>
      <w:r>
        <w:rPr>
          <w:rFonts w:ascii="Arial" w:hAnsi="Arial" w:cs="Arial"/>
          <w:b/>
          <w:bCs/>
          <w:sz w:val="20"/>
          <w:szCs w:val="20"/>
        </w:rPr>
        <w:t>Figure 2.2: Marriot International</w:t>
      </w:r>
    </w:p>
    <w:tbl>
      <w:tblPr>
        <w:tblStyle w:val="17"/>
        <w:tblW w:w="0" w:type="auto"/>
        <w:tblInd w:w="0" w:type="dxa"/>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Layout w:type="autofit"/>
        <w:tblCellMar>
          <w:top w:w="0" w:type="dxa"/>
          <w:left w:w="108" w:type="dxa"/>
          <w:bottom w:w="0" w:type="dxa"/>
          <w:right w:w="108" w:type="dxa"/>
        </w:tblCellMar>
      </w:tblPr>
      <w:tblGrid>
        <w:gridCol w:w="1412"/>
        <w:gridCol w:w="4573"/>
        <w:gridCol w:w="2993"/>
      </w:tblGrid>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rPr>
          <w:trHeight w:val="512" w:hRule="atLeast"/>
        </w:trPr>
        <w:tc>
          <w:tcPr>
            <w:tcW w:w="1412" w:type="dxa"/>
            <w:tcBorders>
              <w:top w:val="single" w:color="70AD47" w:themeColor="accent6" w:sz="4" w:space="0"/>
              <w:left w:val="single" w:color="70AD47" w:themeColor="accent6" w:sz="4" w:space="0"/>
              <w:bottom w:val="single" w:color="70AD47" w:themeColor="accent6" w:sz="4" w:space="0"/>
              <w:right w:val="nil"/>
              <w:insideH w:val="single" w:sz="4" w:space="0"/>
              <w:insideV w:val="nil"/>
            </w:tcBorders>
            <w:shd w:val="clear" w:color="auto" w:fill="70AD47" w:themeFill="accent6"/>
          </w:tcPr>
          <w:p>
            <w:pPr>
              <w:pStyle w:val="15"/>
              <w:spacing w:after="0" w:line="360" w:lineRule="auto"/>
              <w:ind w:left="0"/>
              <w:jc w:val="center"/>
              <w:rPr>
                <w:rFonts w:ascii="Arial" w:hAnsi="Arial" w:cs="Arial"/>
                <w:b w:val="0"/>
                <w:bCs w:val="0"/>
                <w:color w:val="FFFFFF" w:themeColor="background1"/>
                <w:sz w:val="24"/>
                <w:szCs w:val="24"/>
                <w14:textFill>
                  <w14:solidFill>
                    <w14:schemeClr w14:val="bg1"/>
                  </w14:solidFill>
                </w14:textFill>
              </w:rPr>
            </w:pPr>
            <w:r>
              <w:rPr>
                <w:rFonts w:ascii="Arial" w:hAnsi="Arial" w:cs="Arial"/>
                <w:b w:val="0"/>
                <w:bCs w:val="0"/>
                <w:color w:val="FFFFFF" w:themeColor="background1"/>
                <w:sz w:val="24"/>
                <w:szCs w:val="24"/>
                <w14:textFill>
                  <w14:solidFill>
                    <w14:schemeClr w14:val="bg1"/>
                  </w14:solidFill>
                </w14:textFill>
              </w:rPr>
              <w:t>Year</w:t>
            </w:r>
          </w:p>
        </w:tc>
        <w:tc>
          <w:tcPr>
            <w:tcW w:w="4573" w:type="dxa"/>
            <w:tcBorders>
              <w:top w:val="single" w:color="70AD47" w:themeColor="accent6" w:sz="4" w:space="0"/>
              <w:bottom w:val="single" w:color="70AD47" w:themeColor="accent6" w:sz="4" w:space="0"/>
              <w:right w:val="nil"/>
              <w:insideH w:val="single" w:sz="4" w:space="0"/>
              <w:insideV w:val="nil"/>
            </w:tcBorders>
            <w:shd w:val="clear" w:color="auto" w:fill="70AD47" w:themeFill="accent6"/>
          </w:tcPr>
          <w:p>
            <w:pPr>
              <w:pStyle w:val="15"/>
              <w:spacing w:after="0" w:line="360" w:lineRule="auto"/>
              <w:ind w:left="0"/>
              <w:jc w:val="center"/>
              <w:rPr>
                <w:rFonts w:ascii="Arial" w:hAnsi="Arial" w:cs="Arial"/>
                <w:b w:val="0"/>
                <w:bCs w:val="0"/>
                <w:color w:val="FFFFFF" w:themeColor="background1"/>
                <w:sz w:val="24"/>
                <w:szCs w:val="24"/>
                <w14:textFill>
                  <w14:solidFill>
                    <w14:schemeClr w14:val="bg1"/>
                  </w14:solidFill>
                </w14:textFill>
              </w:rPr>
            </w:pPr>
            <w:r>
              <w:rPr>
                <w:rFonts w:ascii="Arial" w:hAnsi="Arial" w:cs="Arial"/>
                <w:b w:val="0"/>
                <w:bCs w:val="0"/>
                <w:color w:val="FFFFFF" w:themeColor="background1"/>
                <w:sz w:val="24"/>
                <w:szCs w:val="24"/>
                <w14:textFill>
                  <w14:solidFill>
                    <w14:schemeClr w14:val="bg1"/>
                  </w14:solidFill>
                </w14:textFill>
              </w:rPr>
              <w:t>Revenue</w:t>
            </w:r>
          </w:p>
        </w:tc>
        <w:tc>
          <w:tcPr>
            <w:tcW w:w="2993" w:type="dxa"/>
            <w:tcBorders>
              <w:top w:val="single" w:color="70AD47" w:themeColor="accent6" w:sz="4" w:space="0"/>
              <w:bottom w:val="single" w:color="70AD47" w:themeColor="accent6" w:sz="4" w:space="0"/>
              <w:right w:val="single" w:color="70AD47" w:themeColor="accent6" w:sz="4" w:space="0"/>
              <w:insideH w:val="single" w:sz="4" w:space="0"/>
              <w:insideV w:val="nil"/>
            </w:tcBorders>
            <w:shd w:val="clear" w:color="auto" w:fill="70AD47" w:themeFill="accent6"/>
          </w:tcPr>
          <w:p>
            <w:pPr>
              <w:pStyle w:val="15"/>
              <w:spacing w:after="0" w:line="360" w:lineRule="auto"/>
              <w:ind w:left="0"/>
              <w:jc w:val="center"/>
              <w:rPr>
                <w:rFonts w:ascii="Arial" w:hAnsi="Arial" w:cs="Arial"/>
                <w:b w:val="0"/>
                <w:bCs w:val="0"/>
                <w:color w:val="FFFFFF" w:themeColor="background1"/>
                <w:sz w:val="24"/>
                <w:szCs w:val="24"/>
                <w14:textFill>
                  <w14:solidFill>
                    <w14:schemeClr w14:val="bg1"/>
                  </w14:solidFill>
                </w14:textFill>
              </w:rPr>
            </w:pPr>
            <w:r>
              <w:rPr>
                <w:rFonts w:ascii="Arial" w:hAnsi="Arial" w:cs="Arial"/>
                <w:b w:val="0"/>
                <w:bCs w:val="0"/>
                <w:color w:val="FFFFFF" w:themeColor="background1"/>
                <w:sz w:val="24"/>
                <w:szCs w:val="24"/>
                <w14:textFill>
                  <w14:solidFill>
                    <w14:schemeClr w14:val="bg1"/>
                  </w14:solidFill>
                </w14:textFill>
              </w:rPr>
              <w:t>Change</w:t>
            </w:r>
          </w:p>
        </w:tc>
      </w:tr>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rPr>
          <w:trHeight w:val="512" w:hRule="atLeast"/>
        </w:trPr>
        <w:tc>
          <w:tcPr>
            <w:tcW w:w="1412"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2018</w:t>
            </w:r>
          </w:p>
        </w:tc>
        <w:tc>
          <w:tcPr>
            <w:tcW w:w="4573"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20,69 Billion $</w:t>
            </w:r>
          </w:p>
        </w:tc>
        <w:tc>
          <w:tcPr>
            <w:tcW w:w="2993" w:type="dxa"/>
            <w:shd w:val="clear" w:color="auto" w:fill="E2EFD9" w:themeFill="accent6" w:themeFillTint="33"/>
          </w:tcPr>
          <w:p>
            <w:pPr>
              <w:pStyle w:val="15"/>
              <w:spacing w:after="0" w:line="360" w:lineRule="auto"/>
              <w:rPr>
                <w:rFonts w:ascii="Arial" w:hAnsi="Arial" w:cs="Arial"/>
                <w:b/>
                <w:bCs/>
                <w:sz w:val="24"/>
                <w:szCs w:val="24"/>
              </w:rPr>
            </w:pPr>
            <w:r>
              <w:rPr>
                <w:rFonts w:ascii="Arial" w:hAnsi="Arial" w:cs="Arial"/>
                <w:b/>
                <w:bCs/>
                <w:sz w:val="24"/>
                <w:szCs w:val="24"/>
              </w:rPr>
              <w:t xml:space="preserve">  -7,09 %</w:t>
            </w:r>
          </w:p>
        </w:tc>
      </w:tr>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rPr>
          <w:trHeight w:val="512" w:hRule="atLeast"/>
        </w:trPr>
        <w:tc>
          <w:tcPr>
            <w:tcW w:w="1412" w:type="dxa"/>
          </w:tcPr>
          <w:p>
            <w:pPr>
              <w:pStyle w:val="15"/>
              <w:spacing w:after="0" w:line="360" w:lineRule="auto"/>
              <w:ind w:left="0"/>
              <w:jc w:val="center"/>
              <w:rPr>
                <w:rFonts w:ascii="Arial" w:hAnsi="Arial" w:cs="Arial"/>
                <w:b/>
                <w:bCs/>
                <w:sz w:val="24"/>
                <w:szCs w:val="24"/>
              </w:rPr>
            </w:pPr>
            <w:r>
              <w:rPr>
                <w:rFonts w:ascii="Arial" w:hAnsi="Arial" w:cs="Arial"/>
                <w:b/>
                <w:bCs/>
                <w:sz w:val="24"/>
                <w:szCs w:val="24"/>
              </w:rPr>
              <w:t>2019</w:t>
            </w:r>
          </w:p>
        </w:tc>
        <w:tc>
          <w:tcPr>
            <w:tcW w:w="4573" w:type="dxa"/>
          </w:tcPr>
          <w:p>
            <w:pPr>
              <w:pStyle w:val="15"/>
              <w:spacing w:after="0" w:line="360" w:lineRule="auto"/>
              <w:ind w:left="0"/>
              <w:jc w:val="center"/>
              <w:rPr>
                <w:rFonts w:ascii="Arial" w:hAnsi="Arial" w:cs="Arial"/>
                <w:b/>
                <w:bCs/>
                <w:sz w:val="24"/>
                <w:szCs w:val="24"/>
              </w:rPr>
            </w:pPr>
            <w:r>
              <w:rPr>
                <w:rFonts w:ascii="Arial" w:hAnsi="Arial" w:cs="Arial"/>
                <w:b/>
                <w:bCs/>
                <w:sz w:val="24"/>
                <w:szCs w:val="24"/>
              </w:rPr>
              <w:t>20,97 Billion $</w:t>
            </w:r>
          </w:p>
        </w:tc>
        <w:tc>
          <w:tcPr>
            <w:tcW w:w="2993" w:type="dxa"/>
          </w:tcPr>
          <w:p>
            <w:pPr>
              <w:pStyle w:val="15"/>
              <w:spacing w:after="0" w:line="360" w:lineRule="auto"/>
              <w:ind w:left="0"/>
              <w:jc w:val="center"/>
              <w:rPr>
                <w:rFonts w:ascii="Arial" w:hAnsi="Arial" w:cs="Arial"/>
                <w:b/>
                <w:bCs/>
                <w:sz w:val="24"/>
                <w:szCs w:val="24"/>
              </w:rPr>
            </w:pPr>
            <w:r>
              <w:rPr>
                <w:rFonts w:ascii="Arial" w:hAnsi="Arial" w:cs="Arial"/>
                <w:b/>
                <w:bCs/>
                <w:sz w:val="24"/>
                <w:szCs w:val="24"/>
              </w:rPr>
              <w:t>1.36 %</w:t>
            </w:r>
          </w:p>
        </w:tc>
      </w:tr>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rPr>
          <w:trHeight w:val="512" w:hRule="atLeast"/>
        </w:trPr>
        <w:tc>
          <w:tcPr>
            <w:tcW w:w="1412"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2020</w:t>
            </w:r>
          </w:p>
        </w:tc>
        <w:tc>
          <w:tcPr>
            <w:tcW w:w="4573"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10,57 Billion $</w:t>
            </w:r>
          </w:p>
        </w:tc>
        <w:tc>
          <w:tcPr>
            <w:tcW w:w="2993"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-49,59%</w:t>
            </w:r>
          </w:p>
        </w:tc>
      </w:tr>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rPr>
          <w:trHeight w:val="512" w:hRule="atLeast"/>
        </w:trPr>
        <w:tc>
          <w:tcPr>
            <w:tcW w:w="1412" w:type="dxa"/>
          </w:tcPr>
          <w:p>
            <w:pPr>
              <w:pStyle w:val="15"/>
              <w:spacing w:after="0" w:line="360" w:lineRule="auto"/>
              <w:ind w:left="0"/>
              <w:jc w:val="center"/>
              <w:rPr>
                <w:rFonts w:ascii="Arial" w:hAnsi="Arial" w:cs="Arial"/>
                <w:b/>
                <w:bCs/>
                <w:sz w:val="24"/>
                <w:szCs w:val="24"/>
              </w:rPr>
            </w:pPr>
            <w:r>
              <w:rPr>
                <w:rFonts w:ascii="Arial" w:hAnsi="Arial" w:cs="Arial"/>
                <w:b/>
                <w:bCs/>
                <w:sz w:val="24"/>
                <w:szCs w:val="24"/>
              </w:rPr>
              <w:t>2021</w:t>
            </w:r>
          </w:p>
        </w:tc>
        <w:tc>
          <w:tcPr>
            <w:tcW w:w="4573" w:type="dxa"/>
          </w:tcPr>
          <w:p>
            <w:pPr>
              <w:pStyle w:val="15"/>
              <w:spacing w:after="0" w:line="360" w:lineRule="auto"/>
              <w:ind w:left="0"/>
              <w:jc w:val="center"/>
              <w:rPr>
                <w:rFonts w:ascii="Arial" w:hAnsi="Arial" w:cs="Arial"/>
                <w:b/>
                <w:bCs/>
                <w:sz w:val="24"/>
                <w:szCs w:val="24"/>
              </w:rPr>
            </w:pPr>
            <w:r>
              <w:rPr>
                <w:rFonts w:ascii="Arial" w:hAnsi="Arial" w:cs="Arial"/>
                <w:b/>
                <w:bCs/>
                <w:sz w:val="24"/>
                <w:szCs w:val="24"/>
              </w:rPr>
              <w:t>13,85 Billion $</w:t>
            </w:r>
          </w:p>
        </w:tc>
        <w:tc>
          <w:tcPr>
            <w:tcW w:w="2993" w:type="dxa"/>
          </w:tcPr>
          <w:p>
            <w:pPr>
              <w:pStyle w:val="15"/>
              <w:spacing w:after="0" w:line="360" w:lineRule="auto"/>
              <w:ind w:left="0"/>
              <w:jc w:val="center"/>
              <w:rPr>
                <w:rFonts w:ascii="Arial" w:hAnsi="Arial" w:cs="Arial"/>
                <w:b/>
                <w:bCs/>
                <w:sz w:val="24"/>
                <w:szCs w:val="24"/>
              </w:rPr>
            </w:pPr>
            <w:r>
              <w:rPr>
                <w:rFonts w:ascii="Arial" w:hAnsi="Arial" w:cs="Arial"/>
                <w:b/>
                <w:bCs/>
                <w:sz w:val="24"/>
                <w:szCs w:val="24"/>
              </w:rPr>
              <w:t>31,09%</w:t>
            </w:r>
          </w:p>
        </w:tc>
      </w:tr>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rPr>
          <w:trHeight w:val="89" w:hRule="atLeast"/>
        </w:trPr>
        <w:tc>
          <w:tcPr>
            <w:tcW w:w="1412"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2022</w:t>
            </w:r>
          </w:p>
        </w:tc>
        <w:tc>
          <w:tcPr>
            <w:tcW w:w="4573"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22,77 Billion $</w:t>
            </w:r>
          </w:p>
        </w:tc>
        <w:tc>
          <w:tcPr>
            <w:tcW w:w="2993"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49,92%</w:t>
            </w:r>
          </w:p>
        </w:tc>
      </w:tr>
    </w:tbl>
    <w:p>
      <w:pPr>
        <w:pStyle w:val="15"/>
        <w:spacing w:line="360" w:lineRule="auto"/>
        <w:jc w:val="right"/>
        <w:rPr>
          <w:rFonts w:ascii="Arial" w:hAnsi="Arial" w:cs="Arial"/>
          <w:sz w:val="24"/>
          <w:szCs w:val="24"/>
        </w:rPr>
      </w:pPr>
      <w:r>
        <w:rPr>
          <w:rFonts w:ascii="Arial" w:hAnsi="Arial" w:cs="Arial"/>
          <w:sz w:val="24"/>
          <w:szCs w:val="24"/>
        </w:rPr>
        <w:t>(</w:t>
      </w:r>
      <w:bookmarkStart w:id="1" w:name="_Hlk134170413"/>
      <w:r>
        <w:rPr>
          <w:rFonts w:ascii="Arial" w:hAnsi="Arial" w:cs="Arial"/>
          <w:sz w:val="24"/>
          <w:szCs w:val="24"/>
        </w:rPr>
        <w:t>Companies Market Cap</w:t>
      </w:r>
      <w:bookmarkEnd w:id="1"/>
      <w:r>
        <w:rPr>
          <w:rFonts w:ascii="Arial" w:hAnsi="Arial" w:cs="Arial"/>
          <w:sz w:val="24"/>
          <w:szCs w:val="24"/>
        </w:rPr>
        <w:t>, 2023)</w:t>
      </w:r>
    </w:p>
    <w:p>
      <w:pPr>
        <w:pStyle w:val="15"/>
        <w:spacing w:line="360" w:lineRule="auto"/>
        <w:jc w:val="right"/>
        <w:rPr>
          <w:rFonts w:ascii="Arial" w:hAnsi="Arial" w:cs="Arial"/>
          <w:sz w:val="28"/>
          <w:szCs w:val="28"/>
        </w:rPr>
      </w:pPr>
    </w:p>
    <w:p>
      <w:pPr>
        <w:pStyle w:val="15"/>
        <w:spacing w:line="360" w:lineRule="auto"/>
        <w:jc w:val="right"/>
        <w:rPr>
          <w:rFonts w:ascii="Arial" w:hAnsi="Arial" w:cs="Arial"/>
          <w:sz w:val="28"/>
          <w:szCs w:val="28"/>
        </w:rPr>
      </w:pPr>
    </w:p>
    <w:p>
      <w:pPr>
        <w:pStyle w:val="11"/>
        <w:jc w:val="center"/>
        <w:rPr>
          <w:rFonts w:ascii="Arial" w:hAnsi="Arial" w:cs="Arial"/>
          <w:b/>
          <w:bCs/>
          <w:sz w:val="20"/>
          <w:szCs w:val="20"/>
        </w:rPr>
      </w:pPr>
      <w:r>
        <w:rPr>
          <w:rFonts w:ascii="Arial" w:hAnsi="Arial" w:cs="Arial"/>
          <w:b/>
          <w:bCs/>
          <w:sz w:val="20"/>
          <w:szCs w:val="20"/>
        </w:rPr>
        <w:t>Figure. 2.3  Accor International</w:t>
      </w:r>
    </w:p>
    <w:tbl>
      <w:tblPr>
        <w:tblStyle w:val="17"/>
        <w:tblW w:w="0" w:type="auto"/>
        <w:tblInd w:w="0" w:type="dxa"/>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Layout w:type="autofit"/>
        <w:tblCellMar>
          <w:top w:w="0" w:type="dxa"/>
          <w:left w:w="108" w:type="dxa"/>
          <w:bottom w:w="0" w:type="dxa"/>
          <w:right w:w="108" w:type="dxa"/>
        </w:tblCellMar>
      </w:tblPr>
      <w:tblGrid>
        <w:gridCol w:w="1413"/>
        <w:gridCol w:w="4597"/>
        <w:gridCol w:w="3006"/>
      </w:tblGrid>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Ex>
        <w:tc>
          <w:tcPr>
            <w:tcW w:w="1413" w:type="dxa"/>
            <w:tcBorders>
              <w:top w:val="single" w:color="70AD47" w:themeColor="accent6" w:sz="4" w:space="0"/>
              <w:left w:val="single" w:color="70AD47" w:themeColor="accent6" w:sz="4" w:space="0"/>
              <w:bottom w:val="single" w:color="70AD47" w:themeColor="accent6" w:sz="4" w:space="0"/>
              <w:right w:val="nil"/>
              <w:insideH w:val="single" w:sz="4" w:space="0"/>
              <w:insideV w:val="nil"/>
            </w:tcBorders>
            <w:shd w:val="clear" w:color="auto" w:fill="70AD47" w:themeFill="accent6"/>
          </w:tcPr>
          <w:p>
            <w:pPr>
              <w:pStyle w:val="15"/>
              <w:spacing w:after="0" w:line="360" w:lineRule="auto"/>
              <w:ind w:left="0"/>
              <w:jc w:val="center"/>
              <w:rPr>
                <w:rFonts w:ascii="Arial" w:hAnsi="Arial" w:cs="Arial"/>
                <w:b w:val="0"/>
                <w:bCs w:val="0"/>
                <w:color w:val="FFFFFF" w:themeColor="background1"/>
                <w:sz w:val="24"/>
                <w:szCs w:val="24"/>
                <w14:textFill>
                  <w14:solidFill>
                    <w14:schemeClr w14:val="bg1"/>
                  </w14:solidFill>
                </w14:textFill>
              </w:rPr>
            </w:pPr>
            <w:r>
              <w:rPr>
                <w:rFonts w:ascii="Arial" w:hAnsi="Arial" w:cs="Arial"/>
                <w:b w:val="0"/>
                <w:bCs w:val="0"/>
                <w:color w:val="FFFFFF" w:themeColor="background1"/>
                <w:sz w:val="24"/>
                <w:szCs w:val="24"/>
                <w14:textFill>
                  <w14:solidFill>
                    <w14:schemeClr w14:val="bg1"/>
                  </w14:solidFill>
                </w14:textFill>
              </w:rPr>
              <w:t>Year</w:t>
            </w:r>
          </w:p>
        </w:tc>
        <w:tc>
          <w:tcPr>
            <w:tcW w:w="4597" w:type="dxa"/>
            <w:tcBorders>
              <w:top w:val="single" w:color="70AD47" w:themeColor="accent6" w:sz="4" w:space="0"/>
              <w:bottom w:val="single" w:color="70AD47" w:themeColor="accent6" w:sz="4" w:space="0"/>
              <w:right w:val="nil"/>
              <w:insideH w:val="single" w:sz="4" w:space="0"/>
              <w:insideV w:val="nil"/>
            </w:tcBorders>
            <w:shd w:val="clear" w:color="auto" w:fill="70AD47" w:themeFill="accent6"/>
          </w:tcPr>
          <w:p>
            <w:pPr>
              <w:pStyle w:val="15"/>
              <w:spacing w:after="0" w:line="360" w:lineRule="auto"/>
              <w:ind w:left="0"/>
              <w:jc w:val="center"/>
              <w:rPr>
                <w:rFonts w:ascii="Arial" w:hAnsi="Arial" w:cs="Arial"/>
                <w:b w:val="0"/>
                <w:bCs w:val="0"/>
                <w:color w:val="FFFFFF" w:themeColor="background1"/>
                <w:sz w:val="24"/>
                <w:szCs w:val="24"/>
                <w14:textFill>
                  <w14:solidFill>
                    <w14:schemeClr w14:val="bg1"/>
                  </w14:solidFill>
                </w14:textFill>
              </w:rPr>
            </w:pPr>
            <w:r>
              <w:rPr>
                <w:rFonts w:ascii="Arial" w:hAnsi="Arial" w:cs="Arial"/>
                <w:b w:val="0"/>
                <w:bCs w:val="0"/>
                <w:color w:val="FFFFFF" w:themeColor="background1"/>
                <w:sz w:val="24"/>
                <w:szCs w:val="24"/>
                <w14:textFill>
                  <w14:solidFill>
                    <w14:schemeClr w14:val="bg1"/>
                  </w14:solidFill>
                </w14:textFill>
              </w:rPr>
              <w:t>Revenue</w:t>
            </w:r>
          </w:p>
        </w:tc>
        <w:tc>
          <w:tcPr>
            <w:tcW w:w="3006" w:type="dxa"/>
            <w:tcBorders>
              <w:top w:val="single" w:color="70AD47" w:themeColor="accent6" w:sz="4" w:space="0"/>
              <w:bottom w:val="single" w:color="70AD47" w:themeColor="accent6" w:sz="4" w:space="0"/>
              <w:right w:val="single" w:color="70AD47" w:themeColor="accent6" w:sz="4" w:space="0"/>
              <w:insideH w:val="single" w:sz="4" w:space="0"/>
              <w:insideV w:val="nil"/>
            </w:tcBorders>
            <w:shd w:val="clear" w:color="auto" w:fill="70AD47" w:themeFill="accent6"/>
          </w:tcPr>
          <w:p>
            <w:pPr>
              <w:pStyle w:val="15"/>
              <w:spacing w:after="0" w:line="360" w:lineRule="auto"/>
              <w:ind w:left="0"/>
              <w:jc w:val="center"/>
              <w:rPr>
                <w:rFonts w:ascii="Arial" w:hAnsi="Arial" w:cs="Arial"/>
                <w:b w:val="0"/>
                <w:bCs w:val="0"/>
                <w:color w:val="FFFFFF" w:themeColor="background1"/>
                <w:sz w:val="24"/>
                <w:szCs w:val="24"/>
                <w14:textFill>
                  <w14:solidFill>
                    <w14:schemeClr w14:val="bg1"/>
                  </w14:solidFill>
                </w14:textFill>
              </w:rPr>
            </w:pPr>
            <w:r>
              <w:rPr>
                <w:rFonts w:ascii="Arial" w:hAnsi="Arial" w:cs="Arial"/>
                <w:b w:val="0"/>
                <w:bCs w:val="0"/>
                <w:color w:val="FFFFFF" w:themeColor="background1"/>
                <w:sz w:val="24"/>
                <w:szCs w:val="24"/>
                <w14:textFill>
                  <w14:solidFill>
                    <w14:schemeClr w14:val="bg1"/>
                  </w14:solidFill>
                </w14:textFill>
              </w:rPr>
              <w:t>Change</w:t>
            </w:r>
          </w:p>
        </w:tc>
      </w:tr>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c>
          <w:tcPr>
            <w:tcW w:w="1413"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2017</w:t>
            </w:r>
          </w:p>
        </w:tc>
        <w:tc>
          <w:tcPr>
            <w:tcW w:w="4597"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2,32 Billion $</w:t>
            </w:r>
          </w:p>
        </w:tc>
        <w:tc>
          <w:tcPr>
            <w:tcW w:w="3006"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37,8%</w:t>
            </w:r>
          </w:p>
        </w:tc>
      </w:tr>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c>
          <w:tcPr>
            <w:tcW w:w="1413" w:type="dxa"/>
          </w:tcPr>
          <w:p>
            <w:pPr>
              <w:pStyle w:val="15"/>
              <w:spacing w:after="0" w:line="360" w:lineRule="auto"/>
              <w:ind w:left="0"/>
              <w:jc w:val="center"/>
              <w:rPr>
                <w:rFonts w:ascii="Arial" w:hAnsi="Arial" w:cs="Arial"/>
                <w:b/>
                <w:bCs/>
                <w:sz w:val="24"/>
                <w:szCs w:val="24"/>
              </w:rPr>
            </w:pPr>
            <w:r>
              <w:rPr>
                <w:rFonts w:ascii="Arial" w:hAnsi="Arial" w:cs="Arial"/>
                <w:b/>
                <w:bCs/>
                <w:sz w:val="24"/>
                <w:szCs w:val="24"/>
              </w:rPr>
              <w:t>2018</w:t>
            </w:r>
          </w:p>
        </w:tc>
        <w:tc>
          <w:tcPr>
            <w:tcW w:w="4597" w:type="dxa"/>
          </w:tcPr>
          <w:p>
            <w:pPr>
              <w:pStyle w:val="15"/>
              <w:spacing w:after="0" w:line="360" w:lineRule="auto"/>
              <w:ind w:left="0"/>
              <w:jc w:val="center"/>
              <w:rPr>
                <w:rFonts w:ascii="Arial" w:hAnsi="Arial" w:cs="Arial"/>
                <w:b/>
                <w:bCs/>
                <w:sz w:val="24"/>
                <w:szCs w:val="24"/>
              </w:rPr>
            </w:pPr>
            <w:r>
              <w:rPr>
                <w:rFonts w:ascii="Arial" w:hAnsi="Arial" w:cs="Arial"/>
                <w:b/>
                <w:bCs/>
                <w:sz w:val="24"/>
                <w:szCs w:val="24"/>
              </w:rPr>
              <w:t>4,12 Billion $</w:t>
            </w:r>
          </w:p>
        </w:tc>
        <w:tc>
          <w:tcPr>
            <w:tcW w:w="3006" w:type="dxa"/>
          </w:tcPr>
          <w:p>
            <w:pPr>
              <w:pStyle w:val="15"/>
              <w:spacing w:after="0" w:line="360" w:lineRule="auto"/>
              <w:ind w:left="0"/>
              <w:jc w:val="center"/>
              <w:rPr>
                <w:rFonts w:ascii="Arial" w:hAnsi="Arial" w:cs="Arial"/>
                <w:b/>
                <w:bCs/>
                <w:sz w:val="24"/>
                <w:szCs w:val="24"/>
              </w:rPr>
            </w:pPr>
            <w:r>
              <w:rPr>
                <w:rFonts w:ascii="Arial" w:hAnsi="Arial" w:cs="Arial"/>
                <w:b/>
                <w:bCs/>
                <w:sz w:val="24"/>
                <w:szCs w:val="24"/>
              </w:rPr>
              <w:t>77,6%</w:t>
            </w:r>
          </w:p>
        </w:tc>
      </w:tr>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c>
          <w:tcPr>
            <w:tcW w:w="1413"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2019</w:t>
            </w:r>
          </w:p>
        </w:tc>
        <w:tc>
          <w:tcPr>
            <w:tcW w:w="4597"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4,53 Billion $</w:t>
            </w:r>
          </w:p>
        </w:tc>
        <w:tc>
          <w:tcPr>
            <w:tcW w:w="3006"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9.83%</w:t>
            </w:r>
          </w:p>
        </w:tc>
      </w:tr>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c>
          <w:tcPr>
            <w:tcW w:w="1413" w:type="dxa"/>
          </w:tcPr>
          <w:p>
            <w:pPr>
              <w:pStyle w:val="15"/>
              <w:spacing w:after="0" w:line="360" w:lineRule="auto"/>
              <w:ind w:left="0"/>
              <w:jc w:val="center"/>
              <w:rPr>
                <w:rFonts w:ascii="Arial" w:hAnsi="Arial" w:cs="Arial"/>
                <w:b/>
                <w:bCs/>
                <w:sz w:val="24"/>
                <w:szCs w:val="24"/>
              </w:rPr>
            </w:pPr>
            <w:r>
              <w:rPr>
                <w:rFonts w:ascii="Arial" w:hAnsi="Arial" w:cs="Arial"/>
                <w:b/>
                <w:bCs/>
                <w:sz w:val="24"/>
                <w:szCs w:val="24"/>
              </w:rPr>
              <w:t>2020</w:t>
            </w:r>
          </w:p>
        </w:tc>
        <w:tc>
          <w:tcPr>
            <w:tcW w:w="4597" w:type="dxa"/>
          </w:tcPr>
          <w:p>
            <w:pPr>
              <w:pStyle w:val="15"/>
              <w:spacing w:after="0" w:line="360" w:lineRule="auto"/>
              <w:ind w:left="0"/>
              <w:jc w:val="center"/>
              <w:rPr>
                <w:rFonts w:ascii="Arial" w:hAnsi="Arial" w:cs="Arial"/>
                <w:b/>
                <w:bCs/>
                <w:sz w:val="24"/>
                <w:szCs w:val="24"/>
              </w:rPr>
            </w:pPr>
            <w:r>
              <w:rPr>
                <w:rFonts w:ascii="Arial" w:hAnsi="Arial" w:cs="Arial"/>
                <w:b/>
                <w:bCs/>
                <w:sz w:val="24"/>
                <w:szCs w:val="24"/>
              </w:rPr>
              <w:t>1,59 Billion $</w:t>
            </w:r>
          </w:p>
        </w:tc>
        <w:tc>
          <w:tcPr>
            <w:tcW w:w="3006" w:type="dxa"/>
          </w:tcPr>
          <w:p>
            <w:pPr>
              <w:pStyle w:val="15"/>
              <w:numPr>
                <w:ilvl w:val="0"/>
                <w:numId w:val="3"/>
              </w:numPr>
              <w:spacing w:after="0" w:line="360" w:lineRule="auto"/>
              <w:rPr>
                <w:rFonts w:ascii="Arial" w:hAnsi="Arial" w:cs="Arial"/>
                <w:b/>
                <w:bCs/>
                <w:sz w:val="24"/>
                <w:szCs w:val="24"/>
              </w:rPr>
            </w:pPr>
            <w:r>
              <w:rPr>
                <w:rFonts w:ascii="Arial" w:hAnsi="Arial" w:cs="Arial"/>
                <w:b/>
                <w:bCs/>
                <w:sz w:val="24"/>
                <w:szCs w:val="24"/>
              </w:rPr>
              <w:t>56,04</w:t>
            </w:r>
          </w:p>
        </w:tc>
      </w:tr>
      <w:tr>
        <w:tblPrEx>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CellMar>
            <w:top w:w="0" w:type="dxa"/>
            <w:left w:w="108" w:type="dxa"/>
            <w:bottom w:w="0" w:type="dxa"/>
            <w:right w:w="108" w:type="dxa"/>
          </w:tblCellMar>
        </w:tblPrEx>
        <w:tc>
          <w:tcPr>
            <w:tcW w:w="1413"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2021</w:t>
            </w:r>
          </w:p>
        </w:tc>
        <w:tc>
          <w:tcPr>
            <w:tcW w:w="4597"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2, 49 Billion $</w:t>
            </w:r>
          </w:p>
        </w:tc>
        <w:tc>
          <w:tcPr>
            <w:tcW w:w="3006" w:type="dxa"/>
            <w:shd w:val="clear" w:color="auto" w:fill="E2EFD9" w:themeFill="accent6" w:themeFillTint="33"/>
          </w:tcPr>
          <w:p>
            <w:pPr>
              <w:pStyle w:val="15"/>
              <w:spacing w:after="0" w:line="360" w:lineRule="auto"/>
              <w:ind w:left="0"/>
              <w:jc w:val="center"/>
              <w:rPr>
                <w:rFonts w:ascii="Arial" w:hAnsi="Arial" w:cs="Arial"/>
                <w:b/>
                <w:bCs/>
                <w:sz w:val="24"/>
                <w:szCs w:val="24"/>
              </w:rPr>
            </w:pPr>
            <w:r>
              <w:rPr>
                <w:rFonts w:ascii="Arial" w:hAnsi="Arial" w:cs="Arial"/>
                <w:b/>
                <w:bCs/>
                <w:sz w:val="24"/>
                <w:szCs w:val="24"/>
              </w:rPr>
              <w:t>25,19</w:t>
            </w:r>
          </w:p>
        </w:tc>
      </w:tr>
    </w:tbl>
    <w:p>
      <w:pPr>
        <w:pStyle w:val="15"/>
        <w:spacing w:line="360" w:lineRule="auto"/>
        <w:jc w:val="right"/>
        <w:rPr>
          <w:rFonts w:ascii="Arial" w:hAnsi="Arial" w:cs="Arial"/>
          <w:sz w:val="24"/>
          <w:szCs w:val="24"/>
        </w:rPr>
      </w:pPr>
      <w:r>
        <w:rPr>
          <w:rFonts w:ascii="Arial" w:hAnsi="Arial" w:cs="Arial"/>
          <w:sz w:val="24"/>
          <w:szCs w:val="24"/>
        </w:rPr>
        <w:t>(Companies Market Cap, 2023)</w:t>
      </w:r>
    </w:p>
    <w:p>
      <w:pPr>
        <w:spacing w:line="360" w:lineRule="auto"/>
        <w:ind w:firstLine="720"/>
        <w:jc w:val="both"/>
        <w:rPr>
          <w:rFonts w:ascii="Arial" w:hAnsi="Arial" w:cs="Arial"/>
          <w:b/>
          <w:bCs/>
          <w:color w:val="212529"/>
          <w:sz w:val="24"/>
          <w:szCs w:val="24"/>
          <w:shd w:val="clear" w:color="auto" w:fill="FFFFFF"/>
        </w:rPr>
      </w:pPr>
      <w:r>
        <w:rPr>
          <w:rFonts w:ascii="Arial" w:hAnsi="Arial" w:cs="Arial"/>
          <w:sz w:val="24"/>
          <w:szCs w:val="24"/>
        </w:rPr>
        <w:t xml:space="preserve">According to Companies Market Cap, the most recent financial reports for Marriott International show that the company's current revenue (TTM) for 2022 is $20.77 Billion. As can be seen in Figure 2, </w:t>
      </w:r>
      <w:r>
        <w:rPr>
          <w:rFonts w:ascii="Arial" w:hAnsi="Arial" w:cs="Arial"/>
          <w:color w:val="212529"/>
          <w:sz w:val="24"/>
          <w:szCs w:val="24"/>
          <w:shd w:val="clear" w:color="auto" w:fill="FFFFFF"/>
        </w:rPr>
        <w:t>in 2021 the company made a revenue of </w:t>
      </w:r>
      <w:r>
        <w:rPr>
          <w:rStyle w:val="8"/>
          <w:rFonts w:ascii="Arial" w:hAnsi="Arial" w:cs="Arial"/>
          <w:b w:val="0"/>
          <w:bCs w:val="0"/>
          <w:color w:val="212529"/>
          <w:sz w:val="24"/>
          <w:szCs w:val="24"/>
          <w:shd w:val="clear" w:color="auto" w:fill="FFFFFF"/>
        </w:rPr>
        <w:t>$13.85 Billion</w:t>
      </w:r>
      <w:r>
        <w:rPr>
          <w:rFonts w:ascii="Arial" w:hAnsi="Arial" w:cs="Arial"/>
          <w:color w:val="212529"/>
          <w:sz w:val="24"/>
          <w:szCs w:val="24"/>
          <w:shd w:val="clear" w:color="auto" w:fill="FFFFFF"/>
        </w:rPr>
        <w:t xml:space="preserve"> with an increase over the year 2020 when revenue was just </w:t>
      </w:r>
      <w:r>
        <w:rPr>
          <w:rStyle w:val="8"/>
          <w:rFonts w:ascii="Arial" w:hAnsi="Arial" w:cs="Arial"/>
          <w:b w:val="0"/>
          <w:bCs w:val="0"/>
          <w:color w:val="212529"/>
          <w:sz w:val="24"/>
          <w:szCs w:val="24"/>
          <w:shd w:val="clear" w:color="auto" w:fill="FFFFFF"/>
        </w:rPr>
        <w:t>$10.57 Billion causing a change of -49,59% in the total amount of income generated by the sale of good and services offered by Marriott International and because of the pandemic crises that affected so hard the hospitality sector and the world economy</w:t>
      </w:r>
      <w:r>
        <w:rPr>
          <w:rFonts w:ascii="Arial" w:hAnsi="Arial" w:cs="Arial"/>
          <w:b/>
          <w:bCs/>
          <w:color w:val="212529"/>
          <w:sz w:val="24"/>
          <w:szCs w:val="24"/>
          <w:shd w:val="clear" w:color="auto" w:fill="FFFFFF"/>
        </w:rPr>
        <w:t>.</w:t>
      </w:r>
    </w:p>
    <w:p>
      <w:pPr>
        <w:spacing w:line="360" w:lineRule="auto"/>
        <w:ind w:firstLine="720"/>
        <w:jc w:val="both"/>
        <w:rPr>
          <w:rFonts w:ascii="Arial" w:hAnsi="Arial" w:cs="Arial"/>
          <w:color w:val="212529"/>
          <w:sz w:val="24"/>
          <w:szCs w:val="24"/>
          <w:shd w:val="clear" w:color="auto" w:fill="FFFFFF"/>
        </w:rPr>
      </w:pPr>
      <w:r>
        <w:rPr>
          <w:rFonts w:ascii="Arial" w:hAnsi="Arial" w:cs="Arial"/>
          <w:color w:val="212529"/>
          <w:sz w:val="24"/>
          <w:szCs w:val="24"/>
          <w:shd w:val="clear" w:color="auto" w:fill="FFFFFF"/>
        </w:rPr>
        <w:t>Comparing Marriot</w:t>
      </w:r>
      <w:r>
        <w:rPr>
          <w:rFonts w:hint="default" w:ascii="Arial" w:hAnsi="Arial" w:cs="Arial"/>
          <w:color w:val="212529"/>
          <w:sz w:val="24"/>
          <w:szCs w:val="24"/>
          <w:shd w:val="clear" w:color="auto" w:fill="FFFFFF"/>
          <w:lang w:val="en-GB"/>
        </w:rPr>
        <w:t>t</w:t>
      </w:r>
      <w:r>
        <w:rPr>
          <w:rFonts w:ascii="Arial" w:hAnsi="Arial" w:cs="Arial"/>
          <w:color w:val="212529"/>
          <w:sz w:val="24"/>
          <w:szCs w:val="24"/>
          <w:shd w:val="clear" w:color="auto" w:fill="FFFFFF"/>
        </w:rPr>
        <w:t xml:space="preserve"> International revenue (figure 2) with Accor International revenue (figure 3) over the last years is easy to see the big difference in total income generated by each organisation and how big is the difference between the two. Is also visible that revenue decreased in 2020 during the pandemic in both organisations.</w:t>
      </w:r>
    </w:p>
    <w:p>
      <w:pPr>
        <w:spacing w:line="360" w:lineRule="auto"/>
        <w:ind w:firstLine="720"/>
        <w:jc w:val="both"/>
        <w:rPr>
          <w:rFonts w:ascii="Arial" w:hAnsi="Arial" w:cs="Arial"/>
          <w:sz w:val="24"/>
          <w:szCs w:val="24"/>
        </w:rPr>
      </w:pPr>
    </w:p>
    <w:p>
      <w:pPr>
        <w:pStyle w:val="15"/>
        <w:numPr>
          <w:ilvl w:val="0"/>
          <w:numId w:val="2"/>
        </w:numPr>
        <w:spacing w:line="360" w:lineRule="auto"/>
        <w:jc w:val="both"/>
        <w:rPr>
          <w:rFonts w:ascii="Arial" w:hAnsi="Arial" w:cs="Arial"/>
          <w:b/>
          <w:bCs/>
          <w:sz w:val="24"/>
          <w:szCs w:val="24"/>
        </w:rPr>
      </w:pPr>
      <w:r>
        <w:rPr>
          <w:rFonts w:ascii="Arial" w:hAnsi="Arial" w:cs="Arial"/>
          <w:b/>
          <w:bCs/>
          <w:sz w:val="24"/>
          <w:szCs w:val="24"/>
        </w:rPr>
        <w:t>Market positions</w:t>
      </w:r>
    </w:p>
    <w:p>
      <w:pPr>
        <w:pStyle w:val="15"/>
        <w:spacing w:line="360" w:lineRule="auto"/>
        <w:ind w:left="360"/>
        <w:jc w:val="both"/>
        <w:rPr>
          <w:rFonts w:ascii="Arial" w:hAnsi="Arial" w:cs="Arial"/>
          <w:b/>
          <w:bCs/>
          <w:sz w:val="24"/>
          <w:szCs w:val="24"/>
        </w:rPr>
      </w:pPr>
    </w:p>
    <w:p>
      <w:pPr>
        <w:spacing w:line="360" w:lineRule="auto"/>
        <w:ind w:firstLine="720"/>
        <w:jc w:val="both"/>
        <w:rPr>
          <w:rFonts w:ascii="Arial" w:hAnsi="Arial" w:cs="Arial"/>
          <w:sz w:val="24"/>
          <w:szCs w:val="24"/>
        </w:rPr>
      </w:pPr>
      <w:r>
        <w:rPr>
          <w:rFonts w:ascii="Arial" w:hAnsi="Arial" w:cs="Arial"/>
          <w:sz w:val="24"/>
          <w:szCs w:val="24"/>
        </w:rPr>
        <w:t xml:space="preserve">Market positioning is the ability to shape consumers' opinions of a brand or product in contrast to rivals. The distinctive character a brand has developed with clients and how it differs from the competitors are referred to as the hotel's market positioning.  Being detailed about your brand, the advantages you provide, and the manner in which you have been designed to satisfy the particular needs and goals of your target market is essential in the hospitality sector. </w:t>
      </w:r>
    </w:p>
    <w:p>
      <w:pPr>
        <w:spacing w:line="360" w:lineRule="auto"/>
        <w:ind w:firstLine="720"/>
        <w:jc w:val="both"/>
        <w:rPr>
          <w:rFonts w:ascii="Arial" w:hAnsi="Arial" w:cs="Arial"/>
          <w:sz w:val="24"/>
          <w:szCs w:val="24"/>
        </w:rPr>
      </w:pPr>
      <w:r>
        <w:rPr>
          <w:rFonts w:ascii="Arial" w:hAnsi="Arial" w:cs="Arial"/>
          <w:sz w:val="24"/>
          <w:szCs w:val="24"/>
        </w:rPr>
        <w:t xml:space="preserve">One of the most evident differences between Marriott International and Accor International is the brand awareness and the strong reputation that Marriott build over the world in time by maintaining the level of consistency in the provided service. Creating a powerful brand is actually the first step in efficient market positioning. </w:t>
      </w:r>
    </w:p>
    <w:p>
      <w:pPr>
        <w:spacing w:line="360" w:lineRule="auto"/>
        <w:ind w:firstLine="720"/>
        <w:jc w:val="both"/>
        <w:rPr>
          <w:rFonts w:ascii="Arial" w:hAnsi="Arial" w:cs="Arial"/>
          <w:sz w:val="24"/>
          <w:szCs w:val="24"/>
        </w:rPr>
      </w:pPr>
      <w:r>
        <w:rPr>
          <w:rFonts w:ascii="Arial" w:hAnsi="Arial" w:cs="Arial"/>
          <w:sz w:val="24"/>
          <w:szCs w:val="24"/>
        </w:rPr>
        <w:t xml:space="preserve">The positioning strategies used by Marriott International over the years regarding the price, quality, product attributes and benefits are helping Marriott today to sell easier its products and be the biggest company in the tourism and leisure sector. As J.W. Marriott said, many guests are booking Marriott rooms in new locations because they’ve already experimented Marriott before (Marriott and Brown, 1997, p. 18). </w:t>
      </w:r>
    </w:p>
    <w:p>
      <w:pPr>
        <w:spacing w:line="360" w:lineRule="auto"/>
        <w:ind w:firstLine="720"/>
        <w:jc w:val="both"/>
        <w:rPr>
          <w:rFonts w:ascii="Arial" w:hAnsi="Arial" w:cs="Arial"/>
          <w:sz w:val="24"/>
          <w:szCs w:val="24"/>
        </w:rPr>
      </w:pPr>
      <w:r>
        <w:rPr>
          <w:rFonts w:ascii="Arial" w:hAnsi="Arial" w:cs="Arial"/>
          <w:sz w:val="24"/>
          <w:szCs w:val="24"/>
        </w:rPr>
        <w:t xml:space="preserve"> As can be seen in Figure 4.1. and Figure 4.5 both organisations are trying to satisfy a range of different consumers and different needs by owning different types of hotel brands but Marriott International is selling luxury to upper midscale products and services comparing with Accor Group which is selling from luxury to economy products (Wilkin, 2023).</w:t>
      </w:r>
    </w:p>
    <w:p>
      <w:pPr>
        <w:spacing w:line="360" w:lineRule="auto"/>
        <w:jc w:val="both"/>
        <w:rPr>
          <w:rFonts w:ascii="Arial" w:hAnsi="Arial" w:cs="Arial"/>
          <w:sz w:val="24"/>
          <w:szCs w:val="24"/>
        </w:rPr>
      </w:pPr>
    </w:p>
    <w:p>
      <w:pPr>
        <w:pStyle w:val="11"/>
        <w:jc w:val="center"/>
      </w:pPr>
    </w:p>
    <w:p>
      <w:pPr>
        <w:pStyle w:val="11"/>
        <w:jc w:val="center"/>
      </w:pPr>
    </w:p>
    <w:p>
      <w:pPr>
        <w:pStyle w:val="11"/>
        <w:jc w:val="center"/>
      </w:pPr>
      <w:r>
        <w:t>Figure 4.1. Marriott International</w:t>
      </w:r>
    </w:p>
    <w:p>
      <w:pPr>
        <w:spacing w:line="360" w:lineRule="auto"/>
        <w:ind w:firstLine="720"/>
        <w:jc w:val="both"/>
        <w:rPr>
          <w:rFonts w:ascii="Arial" w:hAnsi="Arial" w:cs="Arial"/>
          <w:sz w:val="28"/>
          <w:szCs w:val="28"/>
        </w:rPr>
      </w:pPr>
      <w:r>
        <w:rPr>
          <w:rFonts w:ascii="Arial" w:hAnsi="Arial" w:cs="Arial"/>
          <w:sz w:val="28"/>
          <w:szCs w:val="28"/>
        </w:rPr>
        <w:drawing>
          <wp:inline distT="0" distB="0" distL="0" distR="0">
            <wp:extent cx="5091430" cy="3001010"/>
            <wp:effectExtent l="0" t="0" r="0" b="8890"/>
            <wp:docPr id="2139235260" name="Picture 1"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235260" name="Picture 1" descr="A picture containing company name&#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162948" cy="3043253"/>
                    </a:xfrm>
                    <a:prstGeom prst="rect">
                      <a:avLst/>
                    </a:prstGeom>
                  </pic:spPr>
                </pic:pic>
              </a:graphicData>
            </a:graphic>
          </wp:inline>
        </w:drawing>
      </w:r>
    </w:p>
    <w:p>
      <w:pPr>
        <w:spacing w:line="360" w:lineRule="auto"/>
        <w:ind w:firstLine="720"/>
        <w:jc w:val="both"/>
        <w:rPr>
          <w:rFonts w:ascii="Arial" w:hAnsi="Arial" w:cs="Arial"/>
          <w:sz w:val="28"/>
          <w:szCs w:val="28"/>
        </w:rPr>
      </w:pPr>
    </w:p>
    <w:p>
      <w:pPr>
        <w:pStyle w:val="11"/>
        <w:jc w:val="center"/>
      </w:pPr>
      <w:r>
        <w:t>Figure 4.2. Accor International</w:t>
      </w:r>
      <w:r>
        <w:drawing>
          <wp:inline distT="0" distB="0" distL="0" distR="0">
            <wp:extent cx="5904865" cy="2522855"/>
            <wp:effectExtent l="0" t="0" r="635" b="0"/>
            <wp:docPr id="953244111"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244111" name="Picture 2" descr="Table&#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936867" cy="2536956"/>
                    </a:xfrm>
                    <a:prstGeom prst="rect">
                      <a:avLst/>
                    </a:prstGeom>
                  </pic:spPr>
                </pic:pic>
              </a:graphicData>
            </a:graphic>
          </wp:inline>
        </w:drawing>
      </w:r>
    </w:p>
    <w:p>
      <w:pPr>
        <w:spacing w:line="360" w:lineRule="auto"/>
        <w:ind w:firstLine="720"/>
        <w:jc w:val="both"/>
        <w:rPr>
          <w:rFonts w:ascii="Arial" w:hAnsi="Arial" w:cs="Arial"/>
          <w:sz w:val="28"/>
          <w:szCs w:val="28"/>
        </w:rPr>
      </w:pPr>
    </w:p>
    <w:p>
      <w:pPr>
        <w:spacing w:line="360" w:lineRule="auto"/>
        <w:ind w:firstLine="360"/>
        <w:jc w:val="both"/>
        <w:rPr>
          <w:rFonts w:ascii="Arial" w:hAnsi="Arial" w:cs="Arial"/>
          <w:sz w:val="24"/>
          <w:szCs w:val="24"/>
        </w:rPr>
      </w:pPr>
      <w:r>
        <w:rPr>
          <w:rFonts w:ascii="Arial" w:hAnsi="Arial" w:cs="Arial"/>
          <w:sz w:val="24"/>
          <w:szCs w:val="24"/>
        </w:rPr>
        <w:t xml:space="preserve">  Marriott International is seen more as a luxury provider owning (Figure 4.1.) exquisite luxury hotel bands with a strong history in the industry like Ritz-Carlton and JW Marriott but also because is not providing midscale or economy services in comparison with Accor International (Figure 4.2.) that  even if it has luxury brands is more focus on the midscale and economy class and owns the Ibis brand with more than 2043 hotels around the world, which is almost half of the total number of properties owned by Accor International (All Accor Live Limitless, 2023).</w:t>
      </w:r>
    </w:p>
    <w:p>
      <w:pPr>
        <w:pStyle w:val="15"/>
        <w:numPr>
          <w:ilvl w:val="0"/>
          <w:numId w:val="2"/>
        </w:numPr>
        <w:spacing w:line="360" w:lineRule="auto"/>
        <w:jc w:val="both"/>
        <w:rPr>
          <w:rFonts w:ascii="Arial" w:hAnsi="Arial" w:cs="Arial"/>
          <w:b/>
          <w:bCs/>
          <w:sz w:val="24"/>
          <w:szCs w:val="24"/>
        </w:rPr>
      </w:pPr>
      <w:r>
        <w:rPr>
          <w:rFonts w:ascii="Arial" w:hAnsi="Arial" w:cs="Arial"/>
          <w:b/>
          <w:bCs/>
          <w:sz w:val="24"/>
          <w:szCs w:val="24"/>
        </w:rPr>
        <w:t>Growth Potential</w:t>
      </w:r>
    </w:p>
    <w:p>
      <w:pPr>
        <w:spacing w:line="360" w:lineRule="auto"/>
        <w:jc w:val="both"/>
        <w:rPr>
          <w:rFonts w:ascii="Arial" w:hAnsi="Arial" w:cs="Arial"/>
          <w:sz w:val="24"/>
          <w:szCs w:val="24"/>
        </w:rPr>
      </w:pPr>
    </w:p>
    <w:p>
      <w:pPr>
        <w:pStyle w:val="11"/>
        <w:spacing w:line="360" w:lineRule="auto"/>
        <w:ind w:firstLine="360"/>
        <w:jc w:val="both"/>
        <w:rPr>
          <w:rFonts w:ascii="Arial" w:hAnsi="Arial" w:cs="Arial"/>
          <w:sz w:val="24"/>
          <w:szCs w:val="24"/>
        </w:rPr>
      </w:pPr>
      <w:r>
        <w:rPr>
          <w:rFonts w:ascii="Arial" w:hAnsi="Arial" w:cs="Arial"/>
          <w:sz w:val="24"/>
          <w:szCs w:val="24"/>
        </w:rPr>
        <w:t xml:space="preserve">    Growth potential is an organisation</w:t>
      </w:r>
      <w:r>
        <w:rPr>
          <w:rFonts w:ascii="Arial" w:hAnsi="Arial" w:cs="Arial"/>
          <w:sz w:val="24"/>
          <w:szCs w:val="24"/>
          <w:rtl/>
        </w:rPr>
        <w:t>﮺</w:t>
      </w:r>
      <w:r>
        <w:rPr>
          <w:rFonts w:ascii="Arial" w:hAnsi="Arial" w:cs="Arial"/>
          <w:sz w:val="24"/>
          <w:szCs w:val="24"/>
        </w:rPr>
        <w:t>s probability to generate the largest revenue, expand the employees’ number and increase output in the future. The development of new product lines, the use of more operative marketing policies, or other approaches that convert a corporation from a particular market to a superior volume operation can all be used to determine an organization's potential for growth (Lebeaux, 2012).</w:t>
      </w:r>
    </w:p>
    <w:p>
      <w:pPr>
        <w:pStyle w:val="11"/>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 xml:space="preserve">During 2022, both organisations increased their portfolio and growth. Marriott International added more than 65,000 rooms to 394 properties around the world, including nearly 17,500 conversion rooms and about 40,000 rooms in foreign markets. Due to this development, the business anticipates net room growth in 2023 to range between 4 and 4.5%. The company also announced projects to expand in China market and increase the portfolio in the area with 47 new hotels and more than 12.000 rooms till the end of 2023 (Hospitality Net, 2023). </w:t>
      </w:r>
    </w:p>
    <w:p>
      <w:pPr>
        <w:pStyle w:val="11"/>
        <w:spacing w:line="360" w:lineRule="auto"/>
        <w:ind w:firstLine="720"/>
        <w:jc w:val="both"/>
        <w:rPr>
          <w:rFonts w:ascii="Arial" w:hAnsi="Arial" w:cs="Arial"/>
          <w:sz w:val="24"/>
          <w:szCs w:val="24"/>
        </w:rPr>
      </w:pPr>
      <w:r>
        <w:rPr>
          <w:rFonts w:ascii="Arial" w:hAnsi="Arial" w:cs="Arial"/>
          <w:sz w:val="24"/>
          <w:szCs w:val="24"/>
        </w:rPr>
        <w:t>On the other hand, Accor International also expend its portfolio in 2022 with 299 hotels totalling 43,000 accounting for a net organic growth in the network of 3.2%. The Group's hotel portfolio has 802,269 rooms over 5,445 hotels as of the end of December 2022</w:t>
      </w:r>
      <w:r>
        <w:rPr>
          <w:rFonts w:ascii="Arial" w:hAnsi="Arial" w:cs="Arial"/>
          <w:color w:val="000000" w:themeColor="text1"/>
          <w:sz w:val="24"/>
          <w:szCs w:val="24"/>
          <w14:textFill>
            <w14:solidFill>
              <w14:schemeClr w14:val="tx1"/>
            </w14:solidFill>
          </w14:textFill>
        </w:rPr>
        <w:t>,</w:t>
      </w:r>
      <w:r>
        <w:rPr>
          <w:rFonts w:ascii="Arial" w:hAnsi="Arial" w:cs="Arial"/>
          <w:color w:val="000000" w:themeColor="text1"/>
          <w:sz w:val="24"/>
          <w:szCs w:val="24"/>
          <w:shd w:val="clear" w:color="auto" w:fill="FFFFFF"/>
          <w14:textFill>
            <w14:solidFill>
              <w14:schemeClr w14:val="tx1"/>
            </w14:solidFill>
          </w14:textFill>
        </w:rPr>
        <w:t xml:space="preserve"> which represents a 1.7% growth in just one quarter, from end-September’s 789,152 rooms (Nicholls, 2023)</w:t>
      </w:r>
      <w:r>
        <w:rPr>
          <w:rFonts w:ascii="Arial" w:hAnsi="Arial" w:cs="Arial"/>
          <w:color w:val="414246"/>
          <w:sz w:val="24"/>
          <w:szCs w:val="24"/>
          <w:shd w:val="clear" w:color="auto" w:fill="FFFFFF"/>
        </w:rPr>
        <w:t>.</w:t>
      </w:r>
      <w:r>
        <w:rPr>
          <w:rFonts w:ascii="Arial" w:hAnsi="Arial" w:cs="Arial"/>
          <w:sz w:val="24"/>
          <w:szCs w:val="24"/>
        </w:rPr>
        <w:t xml:space="preserve"> </w:t>
      </w:r>
    </w:p>
    <w:p>
      <w:pPr>
        <w:pStyle w:val="11"/>
        <w:rPr>
          <w:rFonts w:ascii="Arial" w:hAnsi="Arial" w:cs="Arial"/>
          <w:b/>
          <w:bCs/>
          <w:sz w:val="20"/>
          <w:szCs w:val="20"/>
        </w:rPr>
      </w:pPr>
    </w:p>
    <w:p>
      <w:pPr>
        <w:pStyle w:val="11"/>
        <w:jc w:val="center"/>
        <w:rPr>
          <w:rFonts w:ascii="Arial" w:hAnsi="Arial" w:cs="Arial"/>
          <w:b/>
          <w:bCs/>
          <w:sz w:val="20"/>
          <w:szCs w:val="20"/>
        </w:rPr>
      </w:pPr>
      <w:r>
        <w:rPr>
          <w:rFonts w:ascii="Arial" w:hAnsi="Arial" w:cs="Arial"/>
          <w:b/>
          <w:bCs/>
          <w:sz w:val="20"/>
          <w:szCs w:val="20"/>
        </w:rPr>
        <w:t>Figure 4. Marriott International &amp; Accor international Properties growth</w:t>
      </w:r>
    </w:p>
    <w:p>
      <w:pPr>
        <w:pStyle w:val="11"/>
        <w:spacing w:line="360" w:lineRule="auto"/>
        <w:ind w:firstLine="720"/>
        <w:jc w:val="both"/>
        <w:rPr>
          <w:rFonts w:hint="default" w:ascii="Arial" w:hAnsi="Arial" w:cs="Arial"/>
          <w:b/>
          <w:bCs/>
          <w:sz w:val="24"/>
          <w:szCs w:val="24"/>
          <w:lang w:val="en-GB"/>
        </w:rPr>
      </w:pPr>
      <w:r>
        <w:rPr>
          <w:rFonts w:ascii="Arial" w:hAnsi="Arial" w:cs="Arial"/>
          <w:sz w:val="24"/>
          <w:szCs w:val="24"/>
        </w:rPr>
        <w:drawing>
          <wp:inline distT="0" distB="0" distL="0" distR="0">
            <wp:extent cx="5208270" cy="2256155"/>
            <wp:effectExtent l="0" t="0" r="11430" b="10795"/>
            <wp:docPr id="139944543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pStyle w:val="11"/>
        <w:numPr>
          <w:ilvl w:val="0"/>
          <w:numId w:val="2"/>
        </w:numPr>
        <w:spacing w:line="360" w:lineRule="auto"/>
        <w:jc w:val="both"/>
        <w:rPr>
          <w:rFonts w:ascii="Arial" w:hAnsi="Arial" w:cs="Arial"/>
          <w:b/>
          <w:bCs/>
          <w:sz w:val="24"/>
          <w:szCs w:val="24"/>
        </w:rPr>
      </w:pPr>
      <w:bookmarkStart w:id="2" w:name="_Hlk134211802"/>
      <w:r>
        <w:rPr>
          <w:rFonts w:ascii="Arial" w:hAnsi="Arial" w:cs="Arial"/>
          <w:b/>
          <w:bCs/>
          <w:sz w:val="24"/>
          <w:szCs w:val="24"/>
        </w:rPr>
        <w:t xml:space="preserve">Financial commitment to corporate social responsibility (CSR) </w:t>
      </w:r>
      <w:bookmarkEnd w:id="2"/>
    </w:p>
    <w:p>
      <w:pPr>
        <w:pStyle w:val="11"/>
        <w:spacing w:line="360" w:lineRule="auto"/>
        <w:jc w:val="both"/>
        <w:rPr>
          <w:rFonts w:ascii="Arial" w:hAnsi="Arial" w:cs="Arial"/>
          <w:b/>
          <w:bCs/>
          <w:sz w:val="24"/>
          <w:szCs w:val="24"/>
        </w:rPr>
      </w:pPr>
    </w:p>
    <w:p>
      <w:pPr>
        <w:pStyle w:val="11"/>
        <w:spacing w:line="360" w:lineRule="auto"/>
        <w:ind w:firstLine="360"/>
        <w:jc w:val="both"/>
        <w:rPr>
          <w:rFonts w:ascii="Arial" w:hAnsi="Arial" w:cs="Arial"/>
          <w:sz w:val="24"/>
          <w:szCs w:val="24"/>
        </w:rPr>
      </w:pPr>
      <w:r>
        <w:rPr>
          <w:rFonts w:ascii="Arial" w:hAnsi="Arial" w:cs="Arial"/>
          <w:color w:val="1A1A1A"/>
          <w:sz w:val="24"/>
          <w:szCs w:val="24"/>
          <w:shd w:val="clear" w:color="auto" w:fill="FFFFFF"/>
        </w:rPr>
        <w:t xml:space="preserve">CSR is usually understood as being the way through which a corporation accomplishes an equilibrium of economic, environmental, and social obligations. </w:t>
      </w:r>
      <w:r>
        <w:rPr>
          <w:rFonts w:ascii="Arial" w:hAnsi="Arial" w:cs="Arial"/>
          <w:sz w:val="24"/>
          <w:szCs w:val="24"/>
        </w:rPr>
        <w:t xml:space="preserve">Companies that practise corporate social responsibility include social and environmental issues into their daily operations and relationships with stakeholders. In today's globalised environment, CSR is becoming increasingly significant and is almost mandatory for organisations to take part in socially responsible activities and develop sustainability programs in order to support their enterprise growth (Homer, 2022). </w:t>
      </w:r>
    </w:p>
    <w:p>
      <w:pPr>
        <w:pStyle w:val="11"/>
        <w:spacing w:line="360" w:lineRule="auto"/>
        <w:ind w:firstLine="360"/>
        <w:jc w:val="both"/>
        <w:rPr>
          <w:rFonts w:ascii="Arial" w:hAnsi="Arial" w:cs="Arial"/>
          <w:sz w:val="24"/>
          <w:szCs w:val="24"/>
        </w:rPr>
      </w:pPr>
      <w:r>
        <w:rPr>
          <w:rFonts w:ascii="Arial" w:hAnsi="Arial" w:cs="Arial"/>
          <w:sz w:val="24"/>
          <w:szCs w:val="24"/>
        </w:rPr>
        <w:t xml:space="preserve"> According to the definition of corporate social responsibility (CSR), businesses must not only pursue their primary objective of maximising profits but also make voluntary contributions to the welfare of society (Van Marrewiik, 2003, p.96).</w:t>
      </w:r>
    </w:p>
    <w:p>
      <w:pPr>
        <w:pStyle w:val="11"/>
        <w:spacing w:line="360" w:lineRule="auto"/>
        <w:ind w:firstLine="360"/>
        <w:jc w:val="both"/>
        <w:rPr>
          <w:rFonts w:ascii="Arial" w:hAnsi="Arial" w:cs="Arial"/>
          <w:sz w:val="24"/>
          <w:szCs w:val="24"/>
        </w:rPr>
      </w:pPr>
      <w:r>
        <w:rPr>
          <w:rFonts w:ascii="Arial" w:hAnsi="Arial" w:cs="Arial"/>
          <w:sz w:val="24"/>
          <w:szCs w:val="24"/>
        </w:rPr>
        <w:t>Marriott International has a strong CSR policy and trough</w:t>
      </w:r>
      <w:r>
        <w:rPr>
          <w:rFonts w:ascii="Arial" w:hAnsi="Arial" w:cs="Arial"/>
          <w:sz w:val="24"/>
          <w:szCs w:val="24"/>
          <w:rtl/>
        </w:rPr>
        <w:t>﮺</w:t>
      </w:r>
      <w:r>
        <w:rPr>
          <w:rFonts w:ascii="Arial" w:hAnsi="Arial" w:cs="Arial"/>
          <w:sz w:val="24"/>
          <w:szCs w:val="24"/>
        </w:rPr>
        <w:t>Serve 360: doing good in every direction</w:t>
      </w:r>
      <w:r>
        <w:rPr>
          <w:rFonts w:ascii="Arial" w:hAnsi="Arial" w:cs="Arial"/>
          <w:sz w:val="24"/>
          <w:szCs w:val="24"/>
          <w:rtl/>
        </w:rPr>
        <w:t>﮺</w:t>
      </w:r>
      <w:r>
        <w:rPr>
          <w:rFonts w:ascii="Arial" w:hAnsi="Arial" w:cs="Arial"/>
          <w:sz w:val="24"/>
          <w:szCs w:val="24"/>
        </w:rPr>
        <w:t xml:space="preserve"> program is developing strategies for human rights protection and sustainable hotel development by reducing carbon and water use (Serve 360 Report, 2022). A good example of sustainability and investing in the future was given by Marriott by donating 2 million $ to the Amazon Foundation to prevent deforestation in northern Brazil (Fogel, 2019). This donation shows that the company is concerned about its future in that area and also increases its brand image.</w:t>
      </w:r>
    </w:p>
    <w:p>
      <w:pPr>
        <w:pStyle w:val="11"/>
        <w:spacing w:line="360" w:lineRule="auto"/>
        <w:ind w:firstLine="360"/>
        <w:jc w:val="both"/>
        <w:rPr>
          <w:rFonts w:ascii="Arial" w:hAnsi="Arial" w:cs="Arial"/>
          <w:sz w:val="24"/>
          <w:szCs w:val="24"/>
        </w:rPr>
      </w:pPr>
      <w:r>
        <w:rPr>
          <w:rFonts w:ascii="Arial" w:hAnsi="Arial" w:cs="Arial"/>
          <w:sz w:val="24"/>
          <w:szCs w:val="24"/>
        </w:rPr>
        <w:t xml:space="preserve">Accor International is also a committed company to social responsibility and through Planet 21 program is working to express the vision of positive hospitality and to reduce the environmental footprint, the consumption of water, energy, and detergent (Accor Planet 21, 2020). </w:t>
      </w:r>
    </w:p>
    <w:p>
      <w:pPr>
        <w:pStyle w:val="11"/>
        <w:spacing w:line="360" w:lineRule="auto"/>
        <w:jc w:val="both"/>
        <w:rPr>
          <w:rFonts w:ascii="Arial" w:hAnsi="Arial" w:cs="Arial"/>
          <w:sz w:val="24"/>
          <w:szCs w:val="24"/>
        </w:rPr>
      </w:pPr>
    </w:p>
    <w:p>
      <w:pPr>
        <w:pStyle w:val="11"/>
        <w:numPr>
          <w:ilvl w:val="0"/>
          <w:numId w:val="2"/>
        </w:numPr>
        <w:spacing w:line="360" w:lineRule="auto"/>
        <w:jc w:val="both"/>
        <w:rPr>
          <w:rFonts w:ascii="Arial" w:hAnsi="Arial" w:cs="Arial"/>
          <w:b/>
          <w:bCs/>
          <w:sz w:val="24"/>
          <w:szCs w:val="24"/>
        </w:rPr>
      </w:pPr>
      <w:r>
        <w:rPr>
          <w:rFonts w:ascii="Arial" w:hAnsi="Arial" w:cs="Arial"/>
          <w:b/>
          <w:bCs/>
          <w:sz w:val="24"/>
          <w:szCs w:val="24"/>
        </w:rPr>
        <w:t>Recommendations</w:t>
      </w:r>
    </w:p>
    <w:p>
      <w:pPr>
        <w:pStyle w:val="11"/>
        <w:spacing w:line="360" w:lineRule="auto"/>
        <w:jc w:val="both"/>
        <w:rPr>
          <w:rFonts w:ascii="Arial" w:hAnsi="Arial" w:cs="Arial"/>
          <w:sz w:val="24"/>
          <w:szCs w:val="24"/>
        </w:rPr>
      </w:pPr>
    </w:p>
    <w:p>
      <w:pPr>
        <w:pStyle w:val="11"/>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According with the data of this report is recommended that Marriott International increase the brand portfolio in the midscale and economy sector by also creating midscale and economic brands the organisation will touch a different market of consumers and this will help increase the revenue and the profits. Is also recommended that the organisation continue the expansion plans in India and China and strengthen his position in these two areas with strong economic potential in the industry.</w:t>
      </w:r>
    </w:p>
    <w:p>
      <w:pPr>
        <w:pStyle w:val="11"/>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 xml:space="preserve">Is also recommended that Accor International take into consideration increasing its portfolio in North America where it owns just 108 hotels. North America is a very strong market and expanding the business there can bring substantial growth in the organisation revenue. </w:t>
      </w:r>
    </w:p>
    <w:p>
      <w:pPr>
        <w:pStyle w:val="11"/>
        <w:spacing w:line="360" w:lineRule="auto"/>
        <w:jc w:val="both"/>
        <w:rPr>
          <w:rFonts w:ascii="Arial" w:hAnsi="Arial" w:cs="Arial"/>
          <w:sz w:val="24"/>
          <w:szCs w:val="24"/>
        </w:rPr>
      </w:pPr>
      <w:r>
        <w:rPr>
          <w:rFonts w:ascii="Arial" w:hAnsi="Arial" w:cs="Arial"/>
          <w:sz w:val="24"/>
          <w:szCs w:val="24"/>
        </w:rPr>
        <w:tab/>
      </w:r>
    </w:p>
    <w:p>
      <w:pPr>
        <w:pStyle w:val="11"/>
        <w:numPr>
          <w:ilvl w:val="0"/>
          <w:numId w:val="2"/>
        </w:numPr>
        <w:spacing w:line="360" w:lineRule="auto"/>
        <w:jc w:val="both"/>
        <w:rPr>
          <w:rFonts w:ascii="Arial" w:hAnsi="Arial" w:cs="Arial"/>
          <w:b/>
          <w:bCs/>
          <w:sz w:val="24"/>
          <w:szCs w:val="24"/>
        </w:rPr>
      </w:pPr>
      <w:r>
        <w:rPr>
          <w:rFonts w:ascii="Arial" w:hAnsi="Arial" w:cs="Arial"/>
          <w:b/>
          <w:bCs/>
          <w:sz w:val="24"/>
          <w:szCs w:val="24"/>
        </w:rPr>
        <w:t xml:space="preserve">Conclusions </w:t>
      </w:r>
    </w:p>
    <w:p>
      <w:pPr>
        <w:pStyle w:val="11"/>
        <w:spacing w:line="360" w:lineRule="auto"/>
        <w:ind w:firstLine="720"/>
        <w:jc w:val="both"/>
        <w:rPr>
          <w:rFonts w:ascii="Arial" w:hAnsi="Arial" w:cs="Arial"/>
          <w:sz w:val="24"/>
          <w:szCs w:val="24"/>
        </w:rPr>
      </w:pPr>
    </w:p>
    <w:p>
      <w:pPr>
        <w:pStyle w:val="11"/>
        <w:spacing w:line="360" w:lineRule="auto"/>
        <w:ind w:firstLine="720"/>
        <w:jc w:val="both"/>
        <w:rPr>
          <w:rFonts w:ascii="Arial" w:hAnsi="Arial" w:cs="Arial"/>
          <w:sz w:val="24"/>
          <w:szCs w:val="24"/>
        </w:rPr>
      </w:pPr>
      <w:r>
        <w:rPr>
          <w:rFonts w:ascii="Arial" w:hAnsi="Arial" w:cs="Arial"/>
          <w:sz w:val="24"/>
          <w:szCs w:val="24"/>
        </w:rPr>
        <w:t>Marriot</w:t>
      </w:r>
      <w:r>
        <w:rPr>
          <w:rFonts w:hint="default" w:ascii="Arial" w:hAnsi="Arial" w:cs="Arial"/>
          <w:sz w:val="24"/>
          <w:szCs w:val="24"/>
          <w:lang w:val="en-GB"/>
        </w:rPr>
        <w:t>t</w:t>
      </w:r>
      <w:r>
        <w:rPr>
          <w:rFonts w:ascii="Arial" w:hAnsi="Arial" w:cs="Arial"/>
          <w:sz w:val="24"/>
          <w:szCs w:val="24"/>
        </w:rPr>
        <w:t xml:space="preserve"> International and Accor International corporations are offering some good examples of strong and successful organisations in the hospitality sector that continued to grow over the years, increasing their name, income, and portfolio worldwide.  </w:t>
      </w:r>
      <w:bookmarkStart w:id="6" w:name="_GoBack"/>
      <w:bookmarkEnd w:id="6"/>
      <w:r>
        <w:rPr>
          <w:rFonts w:ascii="Arial" w:hAnsi="Arial" w:cs="Arial"/>
          <w:sz w:val="24"/>
          <w:szCs w:val="24"/>
        </w:rPr>
        <w:t>Marriot</w:t>
      </w:r>
      <w:r>
        <w:rPr>
          <w:rFonts w:hint="default" w:ascii="Arial" w:hAnsi="Arial" w:cs="Arial"/>
          <w:sz w:val="24"/>
          <w:szCs w:val="24"/>
          <w:lang w:val="en-GB"/>
        </w:rPr>
        <w:t>t</w:t>
      </w:r>
      <w:r>
        <w:rPr>
          <w:rFonts w:ascii="Arial" w:hAnsi="Arial" w:cs="Arial"/>
          <w:sz w:val="24"/>
          <w:szCs w:val="24"/>
        </w:rPr>
        <w:t xml:space="preserve"> International with a market capital of 53,99 billion $ is the biggest organisation in the hospitality sector in the world. On the other hand, Accor International Group with a Market capital of 9.23 billion $ is also a major industry player with a strong financial position and the biggest European organisation in the hospitality industry. </w:t>
      </w:r>
    </w:p>
    <w:p>
      <w:pPr>
        <w:pStyle w:val="11"/>
        <w:spacing w:line="360" w:lineRule="auto"/>
        <w:ind w:firstLine="720"/>
        <w:jc w:val="both"/>
        <w:rPr>
          <w:rFonts w:ascii="Arial" w:hAnsi="Arial" w:cs="Arial"/>
          <w:sz w:val="24"/>
          <w:szCs w:val="24"/>
        </w:rPr>
      </w:pPr>
    </w:p>
    <w:p>
      <w:pPr>
        <w:pStyle w:val="11"/>
        <w:spacing w:line="360" w:lineRule="auto"/>
        <w:jc w:val="both"/>
        <w:rPr>
          <w:rFonts w:ascii="Arial" w:hAnsi="Arial" w:cs="Arial"/>
          <w:sz w:val="24"/>
          <w:szCs w:val="24"/>
        </w:rPr>
      </w:pPr>
    </w:p>
    <w:p>
      <w:pPr>
        <w:pStyle w:val="11"/>
        <w:spacing w:line="360" w:lineRule="auto"/>
        <w:jc w:val="both"/>
        <w:rPr>
          <w:rFonts w:ascii="Arial" w:hAnsi="Arial" w:cs="Arial"/>
          <w:b/>
          <w:bCs/>
          <w:sz w:val="24"/>
          <w:szCs w:val="24"/>
        </w:rPr>
      </w:pPr>
      <w:r>
        <w:rPr>
          <w:rFonts w:ascii="Arial" w:hAnsi="Arial" w:cs="Arial"/>
          <w:sz w:val="24"/>
          <w:szCs w:val="24"/>
        </w:rPr>
        <w:tab/>
      </w:r>
    </w:p>
    <w:p>
      <w:pPr>
        <w:pStyle w:val="11"/>
        <w:spacing w:line="360" w:lineRule="auto"/>
        <w:jc w:val="both"/>
        <w:rPr>
          <w:rFonts w:ascii="Arial" w:hAnsi="Arial" w:cs="Arial"/>
          <w:b/>
          <w:bCs/>
          <w:sz w:val="24"/>
          <w:szCs w:val="24"/>
        </w:rPr>
      </w:pPr>
      <w:r>
        <w:rPr>
          <w:rFonts w:ascii="Arial" w:hAnsi="Arial" w:cs="Arial"/>
          <w:b/>
          <w:bCs/>
          <w:sz w:val="24"/>
          <w:szCs w:val="24"/>
        </w:rPr>
        <w:tab/>
      </w:r>
    </w:p>
    <w:p>
      <w:pPr>
        <w:pStyle w:val="11"/>
        <w:spacing w:line="360" w:lineRule="auto"/>
        <w:jc w:val="both"/>
        <w:rPr>
          <w:rFonts w:ascii="Arial" w:hAnsi="Arial" w:cs="Arial"/>
          <w:b/>
          <w:bCs/>
          <w:sz w:val="24"/>
          <w:szCs w:val="24"/>
        </w:rPr>
      </w:pPr>
    </w:p>
    <w:p>
      <w:pPr>
        <w:spacing w:line="360" w:lineRule="auto"/>
        <w:jc w:val="both"/>
        <w:rPr>
          <w:rFonts w:ascii="Arial" w:hAnsi="Arial" w:cs="Arial"/>
          <w:sz w:val="24"/>
          <w:szCs w:val="24"/>
        </w:rPr>
      </w:pPr>
    </w:p>
    <w:p>
      <w:pPr>
        <w:spacing w:line="360" w:lineRule="auto"/>
        <w:ind w:firstLine="720"/>
        <w:jc w:val="both"/>
        <w:rPr>
          <w:rFonts w:ascii="Arial" w:hAnsi="Arial" w:cs="Arial"/>
          <w:sz w:val="24"/>
          <w:szCs w:val="24"/>
        </w:rPr>
      </w:pPr>
    </w:p>
    <w:p>
      <w:pPr>
        <w:spacing w:line="360" w:lineRule="auto"/>
        <w:ind w:firstLine="720"/>
        <w:jc w:val="both"/>
        <w:rPr>
          <w:rFonts w:ascii="Arial" w:hAnsi="Arial" w:cs="Arial"/>
          <w:sz w:val="24"/>
          <w:szCs w:val="24"/>
        </w:rPr>
      </w:pPr>
    </w:p>
    <w:p>
      <w:pPr>
        <w:spacing w:line="360" w:lineRule="auto"/>
        <w:ind w:firstLine="720"/>
        <w:jc w:val="both"/>
        <w:rPr>
          <w:rFonts w:ascii="Arial" w:hAnsi="Arial" w:cs="Arial"/>
          <w:sz w:val="24"/>
          <w:szCs w:val="24"/>
        </w:rPr>
      </w:pPr>
    </w:p>
    <w:p>
      <w:pPr>
        <w:spacing w:line="360" w:lineRule="auto"/>
        <w:ind w:firstLine="720"/>
        <w:jc w:val="both"/>
        <w:rPr>
          <w:rFonts w:ascii="Arial" w:hAnsi="Arial" w:cs="Arial"/>
          <w:sz w:val="24"/>
          <w:szCs w:val="24"/>
        </w:rPr>
      </w:pPr>
    </w:p>
    <w:p>
      <w:pPr>
        <w:spacing w:line="360" w:lineRule="auto"/>
        <w:ind w:firstLine="720"/>
        <w:jc w:val="both"/>
        <w:rPr>
          <w:rFonts w:ascii="Arial" w:hAnsi="Arial" w:cs="Arial"/>
          <w:sz w:val="24"/>
          <w:szCs w:val="24"/>
        </w:rPr>
      </w:pPr>
    </w:p>
    <w:p>
      <w:pPr>
        <w:spacing w:line="360" w:lineRule="auto"/>
        <w:ind w:firstLine="720"/>
        <w:jc w:val="both"/>
        <w:rPr>
          <w:rFonts w:ascii="Arial" w:hAnsi="Arial" w:cs="Arial"/>
          <w:sz w:val="24"/>
          <w:szCs w:val="24"/>
        </w:rPr>
      </w:pPr>
    </w:p>
    <w:p>
      <w:pPr>
        <w:spacing w:line="360" w:lineRule="auto"/>
        <w:ind w:firstLine="720"/>
        <w:jc w:val="both"/>
        <w:rPr>
          <w:rFonts w:ascii="Arial" w:hAnsi="Arial" w:cs="Arial"/>
          <w:sz w:val="24"/>
          <w:szCs w:val="24"/>
        </w:rPr>
      </w:pPr>
    </w:p>
    <w:p>
      <w:pPr>
        <w:spacing w:line="360" w:lineRule="auto"/>
        <w:ind w:firstLine="720"/>
        <w:jc w:val="both"/>
        <w:rPr>
          <w:rFonts w:ascii="Arial" w:hAnsi="Arial" w:cs="Arial"/>
          <w:sz w:val="24"/>
          <w:szCs w:val="24"/>
        </w:rPr>
      </w:pPr>
    </w:p>
    <w:p>
      <w:pPr>
        <w:spacing w:line="360" w:lineRule="auto"/>
        <w:ind w:firstLine="720"/>
        <w:jc w:val="both"/>
        <w:rPr>
          <w:rFonts w:ascii="Arial" w:hAnsi="Arial" w:cs="Arial"/>
          <w:sz w:val="24"/>
          <w:szCs w:val="24"/>
        </w:rPr>
      </w:pPr>
    </w:p>
    <w:p>
      <w:pPr>
        <w:pStyle w:val="11"/>
        <w:rPr>
          <w:rFonts w:ascii="Arial" w:hAnsi="Arial" w:cs="Arial"/>
          <w:sz w:val="24"/>
          <w:szCs w:val="24"/>
        </w:rPr>
      </w:pPr>
    </w:p>
    <w:p>
      <w:pPr>
        <w:pStyle w:val="11"/>
        <w:rPr>
          <w:rFonts w:ascii="Arial" w:hAnsi="Arial" w:cs="Arial"/>
          <w:b/>
          <w:bCs/>
          <w:sz w:val="24"/>
          <w:szCs w:val="24"/>
        </w:rPr>
      </w:pPr>
      <w:r>
        <w:rPr>
          <w:rFonts w:ascii="Arial" w:hAnsi="Arial" w:cs="Arial"/>
          <w:b/>
          <w:bCs/>
          <w:sz w:val="24"/>
          <w:szCs w:val="24"/>
        </w:rPr>
        <w:t xml:space="preserve">Reference: </w:t>
      </w:r>
    </w:p>
    <w:p>
      <w:pPr>
        <w:pStyle w:val="11"/>
        <w:rPr>
          <w:rFonts w:ascii="Arial" w:hAnsi="Arial" w:cs="Arial"/>
          <w:sz w:val="24"/>
          <w:szCs w:val="24"/>
        </w:rPr>
      </w:pPr>
    </w:p>
    <w:p>
      <w:pPr>
        <w:pStyle w:val="11"/>
        <w:rPr>
          <w:rFonts w:ascii="Arial" w:hAnsi="Arial" w:cs="Arial"/>
          <w:sz w:val="24"/>
          <w:szCs w:val="24"/>
        </w:rPr>
      </w:pPr>
      <w:r>
        <w:rPr>
          <w:rFonts w:ascii="Arial" w:hAnsi="Arial" w:cs="Arial"/>
          <w:sz w:val="24"/>
          <w:szCs w:val="24"/>
        </w:rPr>
        <w:t>Accor Planet 21 (2020) Available at: accorhotelscomms.com/newsletter/luxe/2019/issue_02/spotlight-pdfs/Accor-Planet21.pdf (accessed: 05.05.2023)</w:t>
      </w:r>
    </w:p>
    <w:p>
      <w:pPr>
        <w:pStyle w:val="11"/>
        <w:rPr>
          <w:rFonts w:ascii="Arial" w:hAnsi="Arial" w:cs="Arial"/>
          <w:sz w:val="24"/>
          <w:szCs w:val="24"/>
        </w:rPr>
      </w:pPr>
    </w:p>
    <w:p>
      <w:pPr>
        <w:jc w:val="both"/>
        <w:rPr>
          <w:rFonts w:ascii="Arial" w:hAnsi="Arial" w:cs="Arial"/>
          <w:sz w:val="24"/>
          <w:szCs w:val="24"/>
        </w:rPr>
      </w:pPr>
      <w:bookmarkStart w:id="3" w:name="_Hlk134175537"/>
      <w:r>
        <w:rPr>
          <w:rFonts w:ascii="Arial" w:hAnsi="Arial" w:cs="Arial"/>
          <w:sz w:val="24"/>
          <w:szCs w:val="24"/>
        </w:rPr>
        <w:t xml:space="preserve">All Accor Live Limitless </w:t>
      </w:r>
      <w:bookmarkEnd w:id="3"/>
      <w:r>
        <w:rPr>
          <w:rFonts w:ascii="Arial" w:hAnsi="Arial" w:cs="Arial"/>
          <w:sz w:val="24"/>
          <w:szCs w:val="24"/>
        </w:rPr>
        <w:t xml:space="preserve">(2023) </w:t>
      </w:r>
      <w:r>
        <w:rPr>
          <w:rFonts w:ascii="Arial" w:hAnsi="Arial" w:cs="Arial"/>
          <w:sz w:val="24"/>
          <w:szCs w:val="24"/>
          <w:rtl/>
        </w:rPr>
        <w:t>﮺</w:t>
      </w:r>
      <w:r>
        <w:rPr>
          <w:rFonts w:ascii="Arial" w:hAnsi="Arial" w:cs="Arial"/>
          <w:sz w:val="24"/>
          <w:szCs w:val="24"/>
        </w:rPr>
        <w:t>All hotels offered by Ibis.</w:t>
      </w:r>
      <w:r>
        <w:rPr>
          <w:rFonts w:ascii="Arial" w:hAnsi="Arial" w:cs="Arial"/>
          <w:sz w:val="24"/>
          <w:szCs w:val="24"/>
          <w:rtl/>
        </w:rPr>
        <w:t>﮺</w:t>
      </w:r>
      <w:r>
        <w:rPr>
          <w:rFonts w:ascii="Arial" w:hAnsi="Arial" w:cs="Arial"/>
          <w:sz w:val="24"/>
          <w:szCs w:val="24"/>
        </w:rPr>
        <w:t xml:space="preserve"> Available at: https://bis.accor.com/gb/world/hotels-ibis-monde.shtml#:~:text=With%202043%20hotels%20worldwide%2C%20there,hotel%20at%20a%20budget%20price. (accessed: 05.05.2023)</w:t>
      </w:r>
    </w:p>
    <w:p>
      <w:pPr>
        <w:pStyle w:val="11"/>
        <w:jc w:val="both"/>
        <w:rPr>
          <w:rFonts w:ascii="Arial" w:hAnsi="Arial" w:cs="Arial"/>
          <w:sz w:val="24"/>
          <w:szCs w:val="24"/>
        </w:rPr>
      </w:pPr>
    </w:p>
    <w:p>
      <w:pPr>
        <w:pStyle w:val="11"/>
        <w:rPr>
          <w:rFonts w:ascii="Arial" w:hAnsi="Arial" w:cs="Arial"/>
          <w:sz w:val="24"/>
          <w:szCs w:val="24"/>
        </w:rPr>
      </w:pPr>
      <w:r>
        <w:rPr>
          <w:rFonts w:ascii="Arial" w:hAnsi="Arial" w:cs="Arial"/>
          <w:sz w:val="24"/>
          <w:szCs w:val="24"/>
        </w:rPr>
        <w:t xml:space="preserve">Baker, H,K. and Powell, G. ( 2005) ᾽Understanding Financial Management: A Practical Guide᾽. 1st ed. </w:t>
      </w:r>
      <w:r>
        <w:rPr>
          <w:rFonts w:ascii="Arial" w:hAnsi="Arial" w:cs="Arial"/>
          <w:i/>
          <w:iCs/>
          <w:sz w:val="24"/>
          <w:szCs w:val="24"/>
        </w:rPr>
        <w:t>Wiley-Blackwell</w:t>
      </w:r>
      <w:r>
        <w:rPr>
          <w:rFonts w:ascii="Arial" w:hAnsi="Arial" w:cs="Arial"/>
          <w:sz w:val="24"/>
          <w:szCs w:val="24"/>
        </w:rPr>
        <w:t xml:space="preserve">. Available at: </w:t>
      </w:r>
      <w:r>
        <w:fldChar w:fldCharType="begin"/>
      </w:r>
      <w:r>
        <w:instrText xml:space="preserve"> HYPERLINK "https://books.google.co.uk/books?hl=en&amp;lr=&amp;id=qonVYvTyPPwC&amp;oi=fnd&amp;pg=PR9&amp;dq=financial+management+definition+by+authors&amp;ots=4n5dPp7IYL&amp;sig=JIfR75RJAfczH21lntpglmzIaAo" \l "v=onepage&amp;q&amp;f=false" </w:instrText>
      </w:r>
      <w:r>
        <w:fldChar w:fldCharType="separate"/>
      </w:r>
      <w:r>
        <w:rPr>
          <w:rStyle w:val="6"/>
          <w:rFonts w:ascii="Arial" w:hAnsi="Arial" w:cs="Arial"/>
          <w:color w:val="auto"/>
          <w:sz w:val="24"/>
          <w:szCs w:val="24"/>
          <w:u w:val="none"/>
        </w:rPr>
        <w:t>https://books.google.co.uk/books?hl=en&amp;lr=&amp;id=qonVYvTyPPwC&amp;oi=fnd&amp;pg=PR9&amp;dq=financial+management+definition+by+authors&amp;ots=4n5dPp7IYL&amp;sig=JIfR75RJAfczH21lntpglmzIaAo#v=onepage&amp;q&amp;f=false</w:t>
      </w:r>
      <w:r>
        <w:rPr>
          <w:rStyle w:val="6"/>
          <w:rFonts w:ascii="Arial" w:hAnsi="Arial" w:cs="Arial"/>
          <w:color w:val="auto"/>
          <w:sz w:val="24"/>
          <w:szCs w:val="24"/>
          <w:u w:val="none"/>
        </w:rPr>
        <w:fldChar w:fldCharType="end"/>
      </w:r>
      <w:r>
        <w:rPr>
          <w:rFonts w:ascii="Arial" w:hAnsi="Arial" w:cs="Arial"/>
          <w:sz w:val="24"/>
          <w:szCs w:val="24"/>
        </w:rPr>
        <w:t xml:space="preserve"> (accessed: 04.05.2023)</w:t>
      </w:r>
    </w:p>
    <w:p>
      <w:pPr>
        <w:pStyle w:val="11"/>
        <w:rPr>
          <w:rFonts w:ascii="Arial" w:hAnsi="Arial" w:cs="Arial"/>
          <w:sz w:val="24"/>
          <w:szCs w:val="24"/>
        </w:rPr>
      </w:pPr>
    </w:p>
    <w:p>
      <w:pPr>
        <w:pStyle w:val="11"/>
        <w:rPr>
          <w:rFonts w:ascii="Arial" w:hAnsi="Arial" w:cs="Arial"/>
          <w:sz w:val="24"/>
          <w:szCs w:val="24"/>
        </w:rPr>
      </w:pPr>
      <w:bookmarkStart w:id="4" w:name="_Hlk134211618"/>
      <w:r>
        <w:rPr>
          <w:rFonts w:ascii="Arial" w:hAnsi="Arial" w:cs="Arial"/>
          <w:sz w:val="24"/>
          <w:szCs w:val="24"/>
        </w:rPr>
        <w:t>Wilkin</w:t>
      </w:r>
      <w:bookmarkEnd w:id="4"/>
      <w:r>
        <w:rPr>
          <w:rFonts w:ascii="Arial" w:hAnsi="Arial" w:cs="Arial"/>
          <w:sz w:val="24"/>
          <w:szCs w:val="24"/>
        </w:rPr>
        <w:t xml:space="preserve">, K (2023) </w:t>
      </w:r>
      <w:r>
        <w:rPr>
          <w:rFonts w:ascii="Arial" w:hAnsi="Arial" w:cs="Arial"/>
          <w:i/>
          <w:iCs/>
          <w:sz w:val="24"/>
          <w:szCs w:val="24"/>
        </w:rPr>
        <w:t>Financial Management for the Hospitality Industry – Week 1 course</w:t>
      </w:r>
      <w:r>
        <w:rPr>
          <w:rFonts w:ascii="Arial" w:hAnsi="Arial" w:cs="Arial"/>
          <w:sz w:val="24"/>
          <w:szCs w:val="24"/>
        </w:rPr>
        <w:t>. University of Wales Trinity Saint David</w:t>
      </w:r>
    </w:p>
    <w:p>
      <w:pPr>
        <w:pStyle w:val="11"/>
        <w:rPr>
          <w:rFonts w:ascii="Arial" w:hAnsi="Arial" w:cs="Arial"/>
          <w:sz w:val="24"/>
          <w:szCs w:val="24"/>
        </w:rPr>
      </w:pPr>
    </w:p>
    <w:p>
      <w:pPr>
        <w:pStyle w:val="11"/>
        <w:rPr>
          <w:rFonts w:ascii="Arial" w:hAnsi="Arial" w:cs="Arial"/>
          <w:color w:val="000000" w:themeColor="text1"/>
          <w:sz w:val="24"/>
          <w:szCs w:val="24"/>
          <w14:textFill>
            <w14:solidFill>
              <w14:schemeClr w14:val="tx1"/>
            </w14:solidFill>
          </w14:textFill>
        </w:rPr>
      </w:pPr>
      <w:bookmarkStart w:id="5" w:name="_Hlk134170668"/>
      <w:r>
        <w:rPr>
          <w:rFonts w:ascii="Arial" w:hAnsi="Arial" w:cs="Arial"/>
          <w:color w:val="000000" w:themeColor="text1"/>
          <w:sz w:val="24"/>
          <w:szCs w:val="24"/>
          <w14:textFill>
            <w14:solidFill>
              <w14:schemeClr w14:val="tx1"/>
            </w14:solidFill>
          </w14:textFill>
        </w:rPr>
        <w:t>Companies Market Cap (2023</w:t>
      </w:r>
      <w:bookmarkEnd w:id="5"/>
      <w:r>
        <w:rPr>
          <w:rFonts w:ascii="Arial" w:hAnsi="Arial" w:cs="Arial"/>
          <w:color w:val="000000" w:themeColor="text1"/>
          <w:sz w:val="24"/>
          <w:szCs w:val="24"/>
          <w14:textFill>
            <w14:solidFill>
              <w14:schemeClr w14:val="tx1"/>
            </w14:solidFill>
          </w14:textFill>
        </w:rPr>
        <w:t>) ᾽</w:t>
      </w:r>
      <w:r>
        <w:rPr>
          <w:rFonts w:hint="cs" w:ascii="Arial" w:hAnsi="Arial" w:cs="Arial"/>
          <w:color w:val="000000" w:themeColor="text1"/>
          <w:sz w:val="24"/>
          <w:szCs w:val="24"/>
          <w:rtl/>
          <w14:textFill>
            <w14:solidFill>
              <w14:schemeClr w14:val="tx1"/>
            </w14:solidFill>
          </w14:textFill>
        </w:rPr>
        <w:t>A</w:t>
      </w:r>
      <w:r>
        <w:rPr>
          <w:rFonts w:ascii="Arial" w:hAnsi="Arial" w:cs="Arial"/>
          <w:color w:val="000000" w:themeColor="text1"/>
          <w:sz w:val="24"/>
          <w:szCs w:val="24"/>
          <w14:textFill>
            <w14:solidFill>
              <w14:schemeClr w14:val="tx1"/>
            </w14:solidFill>
          </w14:textFill>
        </w:rPr>
        <w:t>ccor (AC.PA) Revenue᾽</w:t>
      </w:r>
      <w:r>
        <w:rPr>
          <w:rFonts w:hint="cs" w:ascii="Arial" w:hAnsi="Arial" w:cs="Arial"/>
          <w:color w:val="000000" w:themeColor="text1"/>
          <w:sz w:val="24"/>
          <w:szCs w:val="24"/>
          <w:rtl/>
          <w14:textFill>
            <w14:solidFill>
              <w14:schemeClr w14:val="tx1"/>
            </w14:solidFill>
          </w14:textFill>
        </w:rPr>
        <w:t>.</w:t>
      </w:r>
      <w:r>
        <w:rPr>
          <w:rFonts w:ascii="Arial" w:hAnsi="Arial" w:cs="Arial"/>
          <w:color w:val="000000" w:themeColor="text1"/>
          <w:sz w:val="24"/>
          <w:szCs w:val="24"/>
          <w14:textFill>
            <w14:solidFill>
              <w14:schemeClr w14:val="tx1"/>
            </w14:solidFill>
          </w14:textFill>
        </w:rPr>
        <w:t>Available at: https://</w:t>
      </w:r>
      <w:r>
        <w:fldChar w:fldCharType="begin"/>
      </w:r>
      <w:r>
        <w:instrText xml:space="preserve"> HYPERLINK "https://companiesmarketcap.com/accor/revenue/" </w:instrText>
      </w:r>
      <w:r>
        <w:fldChar w:fldCharType="separate"/>
      </w:r>
      <w:r>
        <w:rPr>
          <w:rFonts w:ascii="Arial" w:hAnsi="Arial" w:cs="Arial"/>
          <w:color w:val="000000" w:themeColor="text1"/>
          <w:sz w:val="24"/>
          <w:szCs w:val="24"/>
          <w14:textFill>
            <w14:solidFill>
              <w14:schemeClr w14:val="tx1"/>
            </w14:solidFill>
          </w14:textFill>
        </w:rPr>
        <w:t>Accor (AC.PA) - Revenue (companiesmarketcap.com)</w:t>
      </w:r>
      <w:r>
        <w:rPr>
          <w:rFonts w:ascii="Arial" w:hAnsi="Arial" w:cs="Arial"/>
          <w:color w:val="000000" w:themeColor="text1"/>
          <w:sz w:val="24"/>
          <w:szCs w:val="24"/>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t xml:space="preserve"> (accessed: 06.05.2023)</w:t>
      </w:r>
    </w:p>
    <w:p>
      <w:pPr>
        <w:pStyle w:val="11"/>
        <w:rPr>
          <w:rFonts w:ascii="Arial" w:hAnsi="Arial" w:cs="Arial"/>
          <w:color w:val="000000" w:themeColor="text1"/>
          <w:sz w:val="24"/>
          <w:szCs w:val="24"/>
          <w14:textFill>
            <w14:solidFill>
              <w14:schemeClr w14:val="tx1"/>
            </w14:solidFill>
          </w14:textFill>
        </w:rPr>
      </w:pPr>
    </w:p>
    <w:p>
      <w:pPr>
        <w:pStyle w:val="11"/>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Companies Market Cap (2023) ᾽Revenue for Marriott International (MAR)᾽. Available at: </w:t>
      </w:r>
      <w:r>
        <w:fldChar w:fldCharType="begin"/>
      </w:r>
      <w:r>
        <w:instrText xml:space="preserve"> HYPERLINK "https://companiesmarketcap.com/marriott-international/revenue/" </w:instrText>
      </w:r>
      <w:r>
        <w:fldChar w:fldCharType="separate"/>
      </w:r>
      <w:r>
        <w:rPr>
          <w:rStyle w:val="6"/>
          <w:rFonts w:ascii="Arial" w:hAnsi="Arial" w:cs="Arial"/>
          <w:color w:val="000000" w:themeColor="text1"/>
          <w:sz w:val="24"/>
          <w:szCs w:val="24"/>
          <w:u w:val="none"/>
          <w14:textFill>
            <w14:solidFill>
              <w14:schemeClr w14:val="tx1"/>
            </w14:solidFill>
          </w14:textFill>
        </w:rPr>
        <w:t>https://companiesmarketcap.com/marriott-international/revenue/</w:t>
      </w:r>
      <w:r>
        <w:rPr>
          <w:rStyle w:val="6"/>
          <w:rFonts w:ascii="Arial" w:hAnsi="Arial" w:cs="Arial"/>
          <w:color w:val="000000" w:themeColor="text1"/>
          <w:sz w:val="24"/>
          <w:szCs w:val="24"/>
          <w:u w:val="none"/>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t xml:space="preserve"> (accessed: 05.05.2023)</w:t>
      </w:r>
    </w:p>
    <w:p>
      <w:pPr>
        <w:pStyle w:val="11"/>
        <w:rPr>
          <w:rFonts w:ascii="Arial" w:hAnsi="Arial" w:cs="Arial"/>
          <w:sz w:val="24"/>
          <w:szCs w:val="24"/>
        </w:rPr>
      </w:pPr>
    </w:p>
    <w:p>
      <w:pPr>
        <w:pStyle w:val="11"/>
        <w:rPr>
          <w:rFonts w:ascii="Arial" w:hAnsi="Arial" w:cs="Arial"/>
          <w:sz w:val="24"/>
          <w:szCs w:val="24"/>
        </w:rPr>
      </w:pPr>
      <w:r>
        <w:rPr>
          <w:rFonts w:ascii="Arial" w:hAnsi="Arial" w:cs="Arial"/>
          <w:sz w:val="24"/>
          <w:szCs w:val="24"/>
        </w:rPr>
        <w:t xml:space="preserve">EHL Hospitality Business School (2023) ᾽Meet the biggest hotel chains in the world᾽. Available at: https://hospitalityinsights.ehl.edu/biggest-hotel-chains (accessed: 04.05.2023) </w:t>
      </w:r>
    </w:p>
    <w:p>
      <w:pPr>
        <w:pStyle w:val="11"/>
        <w:rPr>
          <w:rFonts w:ascii="Arial" w:hAnsi="Arial" w:cs="Arial"/>
          <w:sz w:val="24"/>
          <w:szCs w:val="24"/>
        </w:rPr>
      </w:pPr>
    </w:p>
    <w:p>
      <w:pPr>
        <w:pStyle w:val="11"/>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shd w:val="clear" w:color="auto" w:fill="FFFFFF"/>
          <w14:textFill>
            <w14:solidFill>
              <w14:schemeClr w14:val="tx1"/>
            </w14:solidFill>
          </w14:textFill>
        </w:rPr>
        <w:t>Fogel, D.S. (2019) </w:t>
      </w:r>
      <w:r>
        <w:rPr>
          <w:rFonts w:ascii="Arial" w:hAnsi="Arial" w:cs="Arial"/>
          <w:i/>
          <w:iCs/>
          <w:color w:val="000000" w:themeColor="text1"/>
          <w:sz w:val="24"/>
          <w:szCs w:val="24"/>
          <w:shd w:val="clear" w:color="auto" w:fill="FFFFFF"/>
          <w14:textFill>
            <w14:solidFill>
              <w14:schemeClr w14:val="tx1"/>
            </w14:solidFill>
          </w14:textFill>
        </w:rPr>
        <w:t>Marriott and the Amazon Foundation an example of strategic sustainability</w:t>
      </w:r>
      <w:r>
        <w:rPr>
          <w:rFonts w:ascii="Arial" w:hAnsi="Arial" w:cs="Arial"/>
          <w:color w:val="000000" w:themeColor="text1"/>
          <w:sz w:val="24"/>
          <w:szCs w:val="24"/>
          <w:shd w:val="clear" w:color="auto" w:fill="FFFFFF"/>
          <w14:textFill>
            <w14:solidFill>
              <w14:schemeClr w14:val="tx1"/>
            </w14:solidFill>
          </w14:textFill>
        </w:rPr>
        <w:t>. London: Henry Stewart Talks. Available at:  </w:t>
      </w:r>
      <w:r>
        <w:fldChar w:fldCharType="begin"/>
      </w:r>
      <w:r>
        <w:instrText xml:space="preserve"> HYPERLINK "https://hstalks-com.ezproxy.uwtsd.ac.uk/bm/3934/" </w:instrText>
      </w:r>
      <w:r>
        <w:fldChar w:fldCharType="separate"/>
      </w:r>
      <w:r>
        <w:rPr>
          <w:rFonts w:ascii="Arial" w:hAnsi="Arial" w:cs="Arial"/>
          <w:color w:val="000000" w:themeColor="text1"/>
          <w:sz w:val="24"/>
          <w:szCs w:val="24"/>
          <w:shd w:val="clear" w:color="auto" w:fill="FFFFFF"/>
          <w14:textFill>
            <w14:solidFill>
              <w14:schemeClr w14:val="tx1"/>
            </w14:solidFill>
          </w14:textFill>
        </w:rPr>
        <w:t>https://hstalks-com.ezproxy.uwtsd.ac.uk/bm/3934/</w:t>
      </w:r>
      <w:r>
        <w:rPr>
          <w:rFonts w:ascii="Arial" w:hAnsi="Arial" w:cs="Arial"/>
          <w:color w:val="000000" w:themeColor="text1"/>
          <w:sz w:val="24"/>
          <w:szCs w:val="24"/>
          <w:shd w:val="clear" w:color="auto" w:fill="FFFFFF"/>
          <w14:textFill>
            <w14:solidFill>
              <w14:schemeClr w14:val="tx1"/>
            </w14:solidFill>
          </w14:textFill>
        </w:rPr>
        <w:fldChar w:fldCharType="end"/>
      </w:r>
      <w:r>
        <w:rPr>
          <w:rFonts w:ascii="Arial" w:hAnsi="Arial" w:cs="Arial"/>
          <w:color w:val="000000" w:themeColor="text1"/>
          <w:sz w:val="24"/>
          <w:szCs w:val="24"/>
          <w:shd w:val="clear" w:color="auto" w:fill="FFFFFF"/>
          <w14:textFill>
            <w14:solidFill>
              <w14:schemeClr w14:val="tx1"/>
            </w14:solidFill>
          </w14:textFill>
        </w:rPr>
        <w:t xml:space="preserve"> (accessed: 06.05.2023)</w:t>
      </w:r>
    </w:p>
    <w:p>
      <w:pPr>
        <w:pStyle w:val="11"/>
        <w:rPr>
          <w:rFonts w:ascii="Arial" w:hAnsi="Arial" w:cs="Arial"/>
          <w:sz w:val="24"/>
          <w:szCs w:val="24"/>
        </w:rPr>
      </w:pPr>
    </w:p>
    <w:p>
      <w:pPr>
        <w:pStyle w:val="11"/>
        <w:rPr>
          <w:rFonts w:ascii="Arial" w:hAnsi="Arial" w:cs="Arial"/>
          <w:sz w:val="24"/>
          <w:szCs w:val="24"/>
        </w:rPr>
      </w:pPr>
      <w:r>
        <w:rPr>
          <w:rFonts w:ascii="Arial" w:hAnsi="Arial" w:cs="Arial"/>
          <w:sz w:val="24"/>
          <w:szCs w:val="24"/>
        </w:rPr>
        <w:t xml:space="preserve">Gourtsilidou, M. (2022) </w:t>
      </w:r>
      <w:r>
        <w:rPr>
          <w:rFonts w:ascii="Arial" w:hAnsi="Arial" w:cs="Arial"/>
          <w:sz w:val="24"/>
          <w:szCs w:val="24"/>
          <w:rtl/>
        </w:rPr>
        <w:t>﮺</w:t>
      </w:r>
      <w:r>
        <w:rPr>
          <w:rFonts w:ascii="Arial" w:hAnsi="Arial" w:cs="Arial"/>
          <w:sz w:val="24"/>
          <w:szCs w:val="24"/>
        </w:rPr>
        <w:t>Top 10 major companies in the world for 2022.</w:t>
      </w:r>
      <w:r>
        <w:rPr>
          <w:rFonts w:ascii="Arial" w:hAnsi="Arial" w:cs="Arial"/>
          <w:sz w:val="24"/>
          <w:szCs w:val="24"/>
          <w:rtl/>
        </w:rPr>
        <w:t>﮺</w:t>
      </w:r>
      <w:r>
        <w:rPr>
          <w:rFonts w:ascii="Arial" w:hAnsi="Arial" w:cs="Arial"/>
          <w:sz w:val="24"/>
          <w:szCs w:val="24"/>
        </w:rPr>
        <w:t xml:space="preserve"> CEO world magazine 3 Jan. Available at: https://ceoworld.biz/2022/01/03/top-10-major-hotel-companies-in-the-worldfor2022/#:~:text=Marriott%20is%20the%20largest%20hotel,International%20rooms%20increased%20from%201.358. (accessed: 05.05.2023) </w:t>
      </w:r>
    </w:p>
    <w:p>
      <w:pPr>
        <w:pStyle w:val="11"/>
        <w:rPr>
          <w:rFonts w:ascii="Arial" w:hAnsi="Arial" w:cs="Arial"/>
          <w:sz w:val="24"/>
          <w:szCs w:val="24"/>
        </w:rPr>
      </w:pPr>
    </w:p>
    <w:p>
      <w:pPr>
        <w:pStyle w:val="11"/>
        <w:rPr>
          <w:rFonts w:ascii="Arial" w:hAnsi="Arial" w:cs="Arial"/>
          <w:sz w:val="24"/>
          <w:szCs w:val="24"/>
        </w:rPr>
      </w:pPr>
      <w:r>
        <w:rPr>
          <w:rFonts w:ascii="Arial" w:hAnsi="Arial" w:cs="Arial"/>
          <w:sz w:val="24"/>
          <w:szCs w:val="24"/>
        </w:rPr>
        <w:t>Group.accor.com (2023) About Accor. Available at: https://group.accor.com/en/group/who-we-are/about-us (accessed: 04.04.2023)</w:t>
      </w:r>
    </w:p>
    <w:p>
      <w:pPr>
        <w:pStyle w:val="11"/>
        <w:rPr>
          <w:rFonts w:ascii="Arial" w:hAnsi="Arial" w:cs="Arial"/>
          <w:sz w:val="24"/>
          <w:szCs w:val="24"/>
        </w:rPr>
      </w:pPr>
    </w:p>
    <w:p>
      <w:pPr>
        <w:pStyle w:val="11"/>
        <w:rPr>
          <w:rFonts w:ascii="Arial" w:hAnsi="Arial" w:cs="Arial"/>
          <w:sz w:val="24"/>
          <w:szCs w:val="24"/>
        </w:rPr>
      </w:pPr>
      <w:r>
        <w:rPr>
          <w:rFonts w:ascii="Arial" w:hAnsi="Arial" w:cs="Arial"/>
          <w:sz w:val="24"/>
          <w:szCs w:val="24"/>
        </w:rPr>
        <w:t xml:space="preserve">Haies, D,K.and Miller, A, A.(2011) </w:t>
      </w:r>
      <w:r>
        <w:rPr>
          <w:rFonts w:ascii="Arial" w:hAnsi="Arial" w:cs="Arial"/>
          <w:i/>
          <w:iCs/>
          <w:sz w:val="24"/>
          <w:szCs w:val="24"/>
        </w:rPr>
        <w:t>Revenue management for the hospitality industry</w:t>
      </w:r>
      <w:r>
        <w:rPr>
          <w:rFonts w:ascii="Arial" w:hAnsi="Arial" w:cs="Arial"/>
          <w:sz w:val="24"/>
          <w:szCs w:val="24"/>
        </w:rPr>
        <w:t>. Wiley - USA</w:t>
      </w:r>
    </w:p>
    <w:p>
      <w:pPr>
        <w:pStyle w:val="11"/>
        <w:rPr>
          <w:rFonts w:ascii="Arial" w:hAnsi="Arial" w:cs="Arial"/>
          <w:sz w:val="24"/>
          <w:szCs w:val="24"/>
        </w:rPr>
      </w:pPr>
    </w:p>
    <w:p>
      <w:pPr>
        <w:pStyle w:val="11"/>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Higher Rock Education Organisation (2018) ᾽Total revenu᾽e</w:t>
      </w:r>
      <w:r>
        <w:rPr>
          <w:rFonts w:hint="cs" w:ascii="Arial" w:hAnsi="Arial" w:cs="Arial"/>
          <w:color w:val="000000" w:themeColor="text1"/>
          <w:sz w:val="24"/>
          <w:szCs w:val="24"/>
          <w:rtl/>
          <w14:textFill>
            <w14:solidFill>
              <w14:schemeClr w14:val="tx1"/>
            </w14:solidFill>
          </w14:textFill>
        </w:rPr>
        <w:t>.</w:t>
      </w:r>
      <w:r>
        <w:rPr>
          <w:rFonts w:ascii="Arial" w:hAnsi="Arial" w:cs="Arial"/>
          <w:color w:val="000000" w:themeColor="text1"/>
          <w:sz w:val="24"/>
          <w:szCs w:val="24"/>
          <w14:textFill>
            <w14:solidFill>
              <w14:schemeClr w14:val="tx1"/>
            </w14:solidFill>
          </w14:textFill>
        </w:rPr>
        <w:t xml:space="preserve"> Available at: https://</w:t>
      </w:r>
      <w:r>
        <w:fldChar w:fldCharType="begin"/>
      </w:r>
      <w:r>
        <w:instrText xml:space="preserve"> HYPERLINK "http://www.higherrockeducation.org/glossary-of-terms/total-revenue" </w:instrText>
      </w:r>
      <w:r>
        <w:fldChar w:fldCharType="separate"/>
      </w:r>
      <w:r>
        <w:rPr>
          <w:rStyle w:val="6"/>
          <w:rFonts w:ascii="Arial" w:hAnsi="Arial" w:cs="Arial"/>
          <w:color w:val="000000" w:themeColor="text1"/>
          <w:sz w:val="24"/>
          <w:szCs w:val="24"/>
          <w:u w:val="none"/>
          <w14:textFill>
            <w14:solidFill>
              <w14:schemeClr w14:val="tx1"/>
            </w14:solidFill>
          </w14:textFill>
        </w:rPr>
        <w:t>www.higherrockeducation.org/glossary-of-terms/total-revenue</w:t>
      </w:r>
      <w:r>
        <w:rPr>
          <w:rStyle w:val="6"/>
          <w:rFonts w:ascii="Arial" w:hAnsi="Arial" w:cs="Arial"/>
          <w:color w:val="000000" w:themeColor="text1"/>
          <w:sz w:val="24"/>
          <w:szCs w:val="24"/>
          <w:u w:val="none"/>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t xml:space="preserve"> (accessed: 05.05.2023)</w:t>
      </w:r>
    </w:p>
    <w:p>
      <w:pPr>
        <w:pStyle w:val="11"/>
        <w:rPr>
          <w:rFonts w:ascii="Arial" w:hAnsi="Arial" w:cs="Arial"/>
          <w:color w:val="000000" w:themeColor="text1"/>
          <w:sz w:val="24"/>
          <w:szCs w:val="24"/>
          <w14:textFill>
            <w14:solidFill>
              <w14:schemeClr w14:val="tx1"/>
            </w14:solidFill>
          </w14:textFill>
        </w:rPr>
      </w:pPr>
    </w:p>
    <w:p>
      <w:pPr>
        <w:pStyle w:val="11"/>
        <w:rPr>
          <w:rFonts w:ascii="Arial" w:hAnsi="Arial" w:cs="Arial"/>
          <w:color w:val="000000" w:themeColor="text1"/>
          <w:sz w:val="24"/>
          <w:szCs w:val="24"/>
          <w:shd w:val="clear" w:color="auto" w:fill="FFFFFF"/>
          <w14:textFill>
            <w14:solidFill>
              <w14:schemeClr w14:val="tx1"/>
            </w14:solidFill>
          </w14:textFill>
        </w:rPr>
      </w:pPr>
      <w:r>
        <w:rPr>
          <w:rFonts w:ascii="Arial" w:hAnsi="Arial" w:cs="Arial"/>
          <w:color w:val="000000" w:themeColor="text1"/>
          <w:sz w:val="24"/>
          <w:szCs w:val="24"/>
          <w:shd w:val="clear" w:color="auto" w:fill="FFFFFF"/>
          <w14:textFill>
            <w14:solidFill>
              <w14:schemeClr w14:val="tx1"/>
            </w14:solidFill>
          </w14:textFill>
        </w:rPr>
        <w:t>Homer, S. T., &amp; Gill, C. M. H. D. (2022). ᾽How Corporate Social Responsibility Is Described in Keywords: An Analysis of 144 CSR Definitions Across Seven Decades᾽. </w:t>
      </w:r>
      <w:r>
        <w:rPr>
          <w:rFonts w:ascii="Arial" w:hAnsi="Arial" w:cs="Arial"/>
          <w:i/>
          <w:iCs/>
          <w:color w:val="000000" w:themeColor="text1"/>
          <w:sz w:val="24"/>
          <w:szCs w:val="24"/>
          <w:shd w:val="clear" w:color="auto" w:fill="FFFFFF"/>
          <w14:textFill>
            <w14:solidFill>
              <w14:schemeClr w14:val="tx1"/>
            </w14:solidFill>
          </w14:textFill>
        </w:rPr>
        <w:t>Global Business Review</w:t>
      </w:r>
      <w:r>
        <w:rPr>
          <w:rFonts w:ascii="Arial" w:hAnsi="Arial" w:cs="Arial"/>
          <w:color w:val="000000" w:themeColor="text1"/>
          <w:sz w:val="24"/>
          <w:szCs w:val="24"/>
          <w:shd w:val="clear" w:color="auto" w:fill="FFFFFF"/>
          <w14:textFill>
            <w14:solidFill>
              <w14:schemeClr w14:val="tx1"/>
            </w14:solidFill>
          </w14:textFill>
        </w:rPr>
        <w:t>, </w:t>
      </w:r>
      <w:r>
        <w:rPr>
          <w:rFonts w:ascii="Arial" w:hAnsi="Arial" w:cs="Arial"/>
          <w:i/>
          <w:iCs/>
          <w:color w:val="000000" w:themeColor="text1"/>
          <w:sz w:val="24"/>
          <w:szCs w:val="24"/>
          <w:shd w:val="clear" w:color="auto" w:fill="FFFFFF"/>
          <w14:textFill>
            <w14:solidFill>
              <w14:schemeClr w14:val="tx1"/>
            </w14:solidFill>
          </w14:textFill>
        </w:rPr>
        <w:t>0</w:t>
      </w:r>
      <w:r>
        <w:rPr>
          <w:rFonts w:ascii="Arial" w:hAnsi="Arial" w:cs="Arial"/>
          <w:color w:val="000000" w:themeColor="text1"/>
          <w:sz w:val="24"/>
          <w:szCs w:val="24"/>
          <w:shd w:val="clear" w:color="auto" w:fill="FFFFFF"/>
          <w14:textFill>
            <w14:solidFill>
              <w14:schemeClr w14:val="tx1"/>
            </w14:solidFill>
          </w14:textFill>
        </w:rPr>
        <w:t>(0). https://doi-org.ezproxy.uwtsd.ac.uk/</w:t>
      </w:r>
      <w:r>
        <w:fldChar w:fldCharType="begin"/>
      </w:r>
      <w:r>
        <w:instrText xml:space="preserve"> HYPERLINK "https://doi-org.ezproxy.uwtsd.ac.uk/10.1177/09721509221101141" </w:instrText>
      </w:r>
      <w:r>
        <w:fldChar w:fldCharType="separate"/>
      </w:r>
      <w:r>
        <w:rPr>
          <w:rFonts w:ascii="Arial" w:hAnsi="Arial" w:cs="Arial"/>
          <w:color w:val="000000" w:themeColor="text1"/>
          <w:sz w:val="24"/>
          <w:szCs w:val="24"/>
          <w:shd w:val="clear" w:color="auto" w:fill="FFFFFF"/>
          <w14:textFill>
            <w14:solidFill>
              <w14:schemeClr w14:val="tx1"/>
            </w14:solidFill>
          </w14:textFill>
        </w:rPr>
        <w:t>10.1177/09721509221101141</w:t>
      </w:r>
      <w:r>
        <w:rPr>
          <w:rFonts w:ascii="Arial" w:hAnsi="Arial" w:cs="Arial"/>
          <w:color w:val="000000" w:themeColor="text1"/>
          <w:sz w:val="24"/>
          <w:szCs w:val="24"/>
          <w:shd w:val="clear" w:color="auto" w:fill="FFFFFF"/>
          <w14:textFill>
            <w14:solidFill>
              <w14:schemeClr w14:val="tx1"/>
            </w14:solidFill>
          </w14:textFill>
        </w:rPr>
        <w:fldChar w:fldCharType="end"/>
      </w:r>
    </w:p>
    <w:p>
      <w:pPr>
        <w:pStyle w:val="11"/>
        <w:rPr>
          <w:rFonts w:ascii="Arial" w:hAnsi="Arial" w:cs="Arial"/>
          <w:color w:val="000000" w:themeColor="text1"/>
          <w:sz w:val="24"/>
          <w:szCs w:val="24"/>
          <w:shd w:val="clear" w:color="auto" w:fill="FFFFFF"/>
          <w14:textFill>
            <w14:solidFill>
              <w14:schemeClr w14:val="tx1"/>
            </w14:solidFill>
          </w14:textFill>
        </w:rPr>
      </w:pPr>
    </w:p>
    <w:p>
      <w:pPr>
        <w:pStyle w:val="11"/>
        <w:rPr>
          <w:rFonts w:ascii="Arial" w:hAnsi="Arial" w:cs="Arial"/>
          <w:color w:val="000000" w:themeColor="text1"/>
          <w:sz w:val="24"/>
          <w:szCs w:val="24"/>
          <w:shd w:val="clear" w:color="auto" w:fill="FFFFFF"/>
          <w14:textFill>
            <w14:solidFill>
              <w14:schemeClr w14:val="tx1"/>
            </w14:solidFill>
          </w14:textFill>
        </w:rPr>
      </w:pPr>
      <w:r>
        <w:rPr>
          <w:rFonts w:ascii="Arial" w:hAnsi="Arial" w:cs="Arial"/>
          <w:color w:val="000000" w:themeColor="text1"/>
          <w:sz w:val="24"/>
          <w:szCs w:val="24"/>
          <w:shd w:val="clear" w:color="auto" w:fill="FFFFFF"/>
          <w14:textFill>
            <w14:solidFill>
              <w14:schemeClr w14:val="tx1"/>
            </w14:solidFill>
          </w14:textFill>
        </w:rPr>
        <w:t>Hospitality Net (2023) ᾽Marriott International Announced planned expansion in Greater China and Anticipate surpassing 500 hotels᾽.Available at: https://</w:t>
      </w:r>
      <w:r>
        <w:t xml:space="preserve"> </w:t>
      </w:r>
      <w:r>
        <w:fldChar w:fldCharType="begin"/>
      </w:r>
      <w:r>
        <w:instrText xml:space="preserve"> HYPERLINK "http://www.hospitalitynet.org/news/4115669.html" </w:instrText>
      </w:r>
      <w:r>
        <w:fldChar w:fldCharType="separate"/>
      </w:r>
      <w:r>
        <w:rPr>
          <w:rStyle w:val="6"/>
          <w:rFonts w:ascii="Arial" w:hAnsi="Arial" w:cs="Arial"/>
          <w:color w:val="000000" w:themeColor="text1"/>
          <w:sz w:val="24"/>
          <w:szCs w:val="24"/>
          <w:u w:val="none"/>
          <w:shd w:val="clear" w:color="auto" w:fill="FFFFFF"/>
          <w14:textFill>
            <w14:solidFill>
              <w14:schemeClr w14:val="tx1"/>
            </w14:solidFill>
          </w14:textFill>
        </w:rPr>
        <w:t>www.hospitalitynet.org/news/4115669.html</w:t>
      </w:r>
      <w:r>
        <w:rPr>
          <w:rStyle w:val="6"/>
          <w:rFonts w:ascii="Arial" w:hAnsi="Arial" w:cs="Arial"/>
          <w:color w:val="000000" w:themeColor="text1"/>
          <w:sz w:val="24"/>
          <w:szCs w:val="24"/>
          <w:u w:val="none"/>
          <w:shd w:val="clear" w:color="auto" w:fill="FFFFFF"/>
          <w14:textFill>
            <w14:solidFill>
              <w14:schemeClr w14:val="tx1"/>
            </w14:solidFill>
          </w14:textFill>
        </w:rPr>
        <w:fldChar w:fldCharType="end"/>
      </w:r>
      <w:r>
        <w:rPr>
          <w:rFonts w:ascii="Arial" w:hAnsi="Arial" w:cs="Arial"/>
          <w:color w:val="000000" w:themeColor="text1"/>
          <w:sz w:val="24"/>
          <w:szCs w:val="24"/>
          <w:shd w:val="clear" w:color="auto" w:fill="FFFFFF"/>
          <w14:textFill>
            <w14:solidFill>
              <w14:schemeClr w14:val="tx1"/>
            </w14:solidFill>
          </w14:textFill>
        </w:rPr>
        <w:t xml:space="preserve"> (accessed: 05.05.2023) </w:t>
      </w:r>
    </w:p>
    <w:p>
      <w:pPr>
        <w:pStyle w:val="11"/>
        <w:rPr>
          <w:rFonts w:ascii="Arial" w:hAnsi="Arial" w:cs="Arial"/>
          <w:color w:val="000000" w:themeColor="text1"/>
          <w:sz w:val="24"/>
          <w:szCs w:val="24"/>
          <w:shd w:val="clear" w:color="auto" w:fill="FFFFFF"/>
          <w14:textFill>
            <w14:solidFill>
              <w14:schemeClr w14:val="tx1"/>
            </w14:solidFill>
          </w14:textFill>
        </w:rPr>
      </w:pPr>
    </w:p>
    <w:p>
      <w:pPr>
        <w:pStyle w:val="11"/>
        <w:rPr>
          <w:rFonts w:ascii="Arial" w:hAnsi="Arial" w:cs="Arial"/>
          <w:sz w:val="24"/>
          <w:szCs w:val="24"/>
        </w:rPr>
      </w:pPr>
      <w:r>
        <w:rPr>
          <w:rFonts w:ascii="Arial" w:hAnsi="Arial" w:cs="Arial"/>
          <w:sz w:val="24"/>
          <w:szCs w:val="24"/>
          <w:shd w:val="clear" w:color="auto" w:fill="FFFFFF"/>
        </w:rPr>
        <w:t xml:space="preserve">Kenton, W (2023) ᾽Financial performance: Definition, How it works and examples᾽. </w:t>
      </w:r>
      <w:r>
        <w:rPr>
          <w:rFonts w:ascii="Arial" w:hAnsi="Arial" w:cs="Arial"/>
          <w:i/>
          <w:iCs/>
          <w:sz w:val="24"/>
          <w:szCs w:val="24"/>
          <w:shd w:val="clear" w:color="auto" w:fill="FFFFFF"/>
        </w:rPr>
        <w:t>Investopedia</w:t>
      </w:r>
      <w:r>
        <w:rPr>
          <w:rFonts w:ascii="Arial" w:hAnsi="Arial" w:cs="Arial"/>
          <w:sz w:val="24"/>
          <w:szCs w:val="24"/>
          <w:shd w:val="clear" w:color="auto" w:fill="FFFFFF"/>
        </w:rPr>
        <w:t>, 30</w:t>
      </w:r>
      <w:r>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 Available at:</w:t>
      </w:r>
      <w:r>
        <w:rPr>
          <w:rFonts w:ascii="Arial" w:hAnsi="Arial" w:cs="Arial"/>
          <w:sz w:val="24"/>
          <w:szCs w:val="24"/>
        </w:rPr>
        <w:t xml:space="preserve"> https://</w:t>
      </w:r>
      <w:r>
        <w:fldChar w:fldCharType="begin"/>
      </w:r>
      <w:r>
        <w:instrText xml:space="preserve"> HYPERLINK "http://www.investopedia.com/terms/f/financialperformance.asp" </w:instrText>
      </w:r>
      <w:r>
        <w:fldChar w:fldCharType="separate"/>
      </w:r>
      <w:r>
        <w:rPr>
          <w:rStyle w:val="6"/>
          <w:rFonts w:ascii="Arial" w:hAnsi="Arial" w:cs="Arial"/>
          <w:color w:val="auto"/>
          <w:sz w:val="24"/>
          <w:szCs w:val="24"/>
          <w:u w:val="none"/>
          <w:shd w:val="clear" w:color="auto" w:fill="FFFFFF"/>
        </w:rPr>
        <w:t>www.investopedia.com/terms/f/financialperformance.asp</w:t>
      </w:r>
      <w:r>
        <w:rPr>
          <w:rStyle w:val="6"/>
          <w:rFonts w:ascii="Arial" w:hAnsi="Arial" w:cs="Arial"/>
          <w:color w:val="auto"/>
          <w:sz w:val="24"/>
          <w:szCs w:val="24"/>
          <w:u w:val="none"/>
          <w:shd w:val="clear" w:color="auto" w:fill="FFFFFF"/>
        </w:rPr>
        <w:fldChar w:fldCharType="end"/>
      </w:r>
      <w:r>
        <w:rPr>
          <w:rFonts w:ascii="Arial" w:hAnsi="Arial" w:cs="Arial"/>
          <w:sz w:val="24"/>
          <w:szCs w:val="24"/>
          <w:shd w:val="clear" w:color="auto" w:fill="FFFFFF"/>
        </w:rPr>
        <w:t xml:space="preserve"> (accessed: 03.05.2023) </w:t>
      </w:r>
    </w:p>
    <w:p>
      <w:pPr>
        <w:pStyle w:val="11"/>
        <w:rPr>
          <w:rFonts w:ascii="Arial" w:hAnsi="Arial" w:cs="Arial"/>
          <w:color w:val="000000" w:themeColor="text1"/>
          <w:sz w:val="24"/>
          <w:szCs w:val="24"/>
          <w14:textFill>
            <w14:solidFill>
              <w14:schemeClr w14:val="tx1"/>
            </w14:solidFill>
          </w14:textFill>
        </w:rPr>
      </w:pPr>
    </w:p>
    <w:p>
      <w:pPr>
        <w:pStyle w:val="11"/>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Lebeaux, R. (2012) ᾽Growth potential᾽. </w:t>
      </w:r>
      <w:r>
        <w:rPr>
          <w:rFonts w:ascii="Arial" w:hAnsi="Arial" w:cs="Arial"/>
          <w:i/>
          <w:iCs/>
          <w:color w:val="000000" w:themeColor="text1"/>
          <w:sz w:val="24"/>
          <w:szCs w:val="24"/>
          <w14:textFill>
            <w14:solidFill>
              <w14:schemeClr w14:val="tx1"/>
            </w14:solidFill>
          </w14:textFill>
        </w:rPr>
        <w:t>TechTarget</w:t>
      </w:r>
      <w:r>
        <w:rPr>
          <w:rFonts w:ascii="Arial" w:hAnsi="Arial" w:cs="Arial"/>
          <w:color w:val="000000" w:themeColor="text1"/>
          <w:sz w:val="24"/>
          <w:szCs w:val="24"/>
          <w14:textFill>
            <w14:solidFill>
              <w14:schemeClr w14:val="tx1"/>
            </w14:solidFill>
          </w14:textFill>
        </w:rPr>
        <w:t xml:space="preserve"> - Nov. Available at: https://</w:t>
      </w:r>
      <w:r>
        <w:fldChar w:fldCharType="begin"/>
      </w:r>
      <w:r>
        <w:instrText xml:space="preserve"> HYPERLINK "http://www.techtarget.com/searchcio/definition/growth-potential" \l ":~:text=Growth%20potential%20is%20an%20organization%27s,its%20workforce%20and%20increase%20production" </w:instrText>
      </w:r>
      <w:r>
        <w:fldChar w:fldCharType="separate"/>
      </w:r>
      <w:r>
        <w:rPr>
          <w:rStyle w:val="6"/>
          <w:rFonts w:ascii="Arial" w:hAnsi="Arial" w:cs="Arial"/>
          <w:color w:val="000000" w:themeColor="text1"/>
          <w:sz w:val="24"/>
          <w:szCs w:val="24"/>
          <w:u w:val="none"/>
          <w14:textFill>
            <w14:solidFill>
              <w14:schemeClr w14:val="tx1"/>
            </w14:solidFill>
          </w14:textFill>
        </w:rPr>
        <w:t>www.techtarget.com/searchcio/definition/growth-potential#:~:text=Growth%20potential%20is%20an%20organization%27s,its%20workforce%20and%20increase%20production</w:t>
      </w:r>
      <w:r>
        <w:rPr>
          <w:rStyle w:val="6"/>
          <w:rFonts w:ascii="Arial" w:hAnsi="Arial" w:cs="Arial"/>
          <w:color w:val="000000" w:themeColor="text1"/>
          <w:sz w:val="24"/>
          <w:szCs w:val="24"/>
          <w:u w:val="none"/>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t>. (accessed: 05.05.2023)</w:t>
      </w:r>
    </w:p>
    <w:p>
      <w:pPr>
        <w:pStyle w:val="11"/>
        <w:rPr>
          <w:rFonts w:ascii="Arial" w:hAnsi="Arial" w:cs="Arial"/>
          <w:color w:val="000000" w:themeColor="text1"/>
          <w:sz w:val="24"/>
          <w:szCs w:val="24"/>
          <w14:textFill>
            <w14:solidFill>
              <w14:schemeClr w14:val="tx1"/>
            </w14:solidFill>
          </w14:textFill>
        </w:rPr>
      </w:pPr>
    </w:p>
    <w:p>
      <w:pPr>
        <w:pStyle w:val="11"/>
        <w:rPr>
          <w:rFonts w:ascii="Arial" w:hAnsi="Arial" w:cs="Arial"/>
          <w:sz w:val="24"/>
          <w:szCs w:val="24"/>
        </w:rPr>
      </w:pPr>
      <w:r>
        <w:rPr>
          <w:rFonts w:ascii="Arial" w:hAnsi="Arial" w:cs="Arial"/>
          <w:color w:val="000000" w:themeColor="text1"/>
          <w:sz w:val="24"/>
          <w:szCs w:val="24"/>
          <w14:textFill>
            <w14:solidFill>
              <w14:schemeClr w14:val="tx1"/>
            </w14:solidFill>
          </w14:textFill>
        </w:rPr>
        <w:t>Macrotrends (2023) ᾽Marriott: number of employees 2019 – 2023᾽. Available at: https://</w:t>
      </w:r>
      <w:r>
        <w:fldChar w:fldCharType="begin"/>
      </w:r>
      <w:r>
        <w:instrText xml:space="preserve"> HYPERLINK "http://www.macrotrends.net/stocks/charts/MAR/marriott/number-of-employees" </w:instrText>
      </w:r>
      <w:r>
        <w:fldChar w:fldCharType="separate"/>
      </w:r>
      <w:r>
        <w:rPr>
          <w:rStyle w:val="6"/>
          <w:rFonts w:ascii="Arial" w:hAnsi="Arial" w:cs="Arial"/>
          <w:color w:val="000000" w:themeColor="text1"/>
          <w:sz w:val="24"/>
          <w:szCs w:val="24"/>
          <w:u w:val="none"/>
          <w14:textFill>
            <w14:solidFill>
              <w14:schemeClr w14:val="tx1"/>
            </w14:solidFill>
          </w14:textFill>
        </w:rPr>
        <w:t>www.macrotrends.net/stocks/charts/MAR/marriott/number-of-employees</w:t>
      </w:r>
      <w:r>
        <w:rPr>
          <w:rStyle w:val="6"/>
          <w:rFonts w:ascii="Arial" w:hAnsi="Arial" w:cs="Arial"/>
          <w:color w:val="000000" w:themeColor="text1"/>
          <w:sz w:val="24"/>
          <w:szCs w:val="24"/>
          <w:u w:val="none"/>
          <w14:textFill>
            <w14:solidFill>
              <w14:schemeClr w14:val="tx1"/>
            </w14:solidFill>
          </w14:textFill>
        </w:rPr>
        <w:fldChar w:fldCharType="end"/>
      </w:r>
      <w:r>
        <w:rPr>
          <w:rFonts w:ascii="Arial" w:hAnsi="Arial" w:cs="Arial"/>
          <w:sz w:val="24"/>
          <w:szCs w:val="24"/>
        </w:rPr>
        <w:t xml:space="preserve"> (accessed: 04.05.2023)</w:t>
      </w:r>
    </w:p>
    <w:p>
      <w:pPr>
        <w:pStyle w:val="11"/>
        <w:rPr>
          <w:rFonts w:ascii="Arial" w:hAnsi="Arial" w:cs="Arial"/>
          <w:sz w:val="24"/>
          <w:szCs w:val="24"/>
        </w:rPr>
      </w:pPr>
    </w:p>
    <w:p>
      <w:pPr>
        <w:pStyle w:val="11"/>
        <w:rPr>
          <w:rFonts w:ascii="Arial" w:hAnsi="Arial" w:cs="Arial"/>
          <w:sz w:val="24"/>
          <w:szCs w:val="24"/>
        </w:rPr>
      </w:pPr>
    </w:p>
    <w:p>
      <w:pPr>
        <w:pStyle w:val="11"/>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 xml:space="preserve">Marriott (2023) 'We are Marriott International'. Available at: </w:t>
      </w:r>
      <w:r>
        <w:fldChar w:fldCharType="begin"/>
      </w:r>
      <w:r>
        <w:instrText xml:space="preserve"> HYPERLINK "http://www.marriott.co.uk/marriott/aboutmarriott.mi" \l ":~:text=A%20Brand%20Leader,experience%20and%20expand%20their%20world.(accessed" </w:instrText>
      </w:r>
      <w:r>
        <w:fldChar w:fldCharType="separate"/>
      </w:r>
      <w:r>
        <w:rPr>
          <w:rStyle w:val="6"/>
          <w:rFonts w:ascii="Arial" w:hAnsi="Arial" w:cs="Arial"/>
          <w:color w:val="000000" w:themeColor="text1"/>
          <w:sz w:val="24"/>
          <w:szCs w:val="24"/>
          <w:u w:val="none"/>
          <w14:textFill>
            <w14:solidFill>
              <w14:schemeClr w14:val="tx1"/>
            </w14:solidFill>
          </w14:textFill>
        </w:rPr>
        <w:t>www.marriott.co.uk/marriott/aboutmarriott.mi#:~:text=A%20Brand%20Leader,experience%20and%20expand%20their%20world.(accessed</w:t>
      </w:r>
      <w:r>
        <w:rPr>
          <w:rStyle w:val="6"/>
          <w:rFonts w:ascii="Arial" w:hAnsi="Arial" w:cs="Arial"/>
          <w:color w:val="000000" w:themeColor="text1"/>
          <w:sz w:val="24"/>
          <w:szCs w:val="24"/>
          <w:u w:val="none"/>
          <w14:textFill>
            <w14:solidFill>
              <w14:schemeClr w14:val="tx1"/>
            </w14:solidFill>
          </w14:textFill>
        </w:rPr>
        <w:fldChar w:fldCharType="end"/>
      </w:r>
      <w:r>
        <w:rPr>
          <w:rFonts w:ascii="Arial" w:hAnsi="Arial" w:cs="Arial"/>
          <w:color w:val="000000" w:themeColor="text1"/>
          <w:sz w:val="24"/>
          <w:szCs w:val="24"/>
          <w14:textFill>
            <w14:solidFill>
              <w14:schemeClr w14:val="tx1"/>
            </w14:solidFill>
          </w14:textFill>
        </w:rPr>
        <w:t xml:space="preserve">: 04.05.2023) </w:t>
      </w:r>
    </w:p>
    <w:p>
      <w:pPr>
        <w:pStyle w:val="11"/>
        <w:rPr>
          <w:rFonts w:ascii="Arial" w:hAnsi="Arial" w:cs="Arial"/>
          <w:color w:val="000000" w:themeColor="text1"/>
          <w:sz w:val="24"/>
          <w:szCs w:val="24"/>
          <w14:textFill>
            <w14:solidFill>
              <w14:schemeClr w14:val="tx1"/>
            </w14:solidFill>
          </w14:textFill>
        </w:rPr>
      </w:pPr>
    </w:p>
    <w:p>
      <w:pPr>
        <w:pStyle w:val="7"/>
        <w:spacing w:before="0" w:beforeAutospacing="0" w:after="0" w:afterAutospacing="0"/>
        <w:jc w:val="both"/>
        <w:rPr>
          <w:rFonts w:ascii="Arial" w:hAnsi="Arial" w:cs="Arial" w:eastAsiaTheme="minorEastAsia"/>
          <w:color w:val="000000" w:themeColor="text1" w:themeShade="BF"/>
          <w:kern w:val="24"/>
        </w:rPr>
      </w:pPr>
      <w:r>
        <w:rPr>
          <w:rFonts w:ascii="Arial" w:hAnsi="Arial" w:cs="Arial" w:eastAsiaTheme="minorEastAsia"/>
          <w:color w:val="000000" w:themeColor="text1" w:themeShade="BF"/>
          <w:kern w:val="24"/>
        </w:rPr>
        <w:t xml:space="preserve">Marriott, J. and Brown, A. (1997) </w:t>
      </w:r>
      <w:r>
        <w:rPr>
          <w:rFonts w:ascii="Arial" w:hAnsi="Arial" w:cs="Arial" w:eastAsiaTheme="minorEastAsia"/>
          <w:i/>
          <w:iCs/>
          <w:color w:val="000000" w:themeColor="text1" w:themeShade="BF"/>
          <w:kern w:val="24"/>
        </w:rPr>
        <w:t>The spirit to serve. Marriott's Way</w:t>
      </w:r>
      <w:r>
        <w:rPr>
          <w:rFonts w:ascii="Arial" w:hAnsi="Arial" w:cs="Arial" w:eastAsiaTheme="minorEastAsia"/>
          <w:color w:val="000000" w:themeColor="text1" w:themeShade="BF"/>
          <w:kern w:val="24"/>
        </w:rPr>
        <w:t>. Snowball Publishing</w:t>
      </w:r>
    </w:p>
    <w:p>
      <w:pPr>
        <w:pStyle w:val="7"/>
        <w:spacing w:before="0" w:beforeAutospacing="0" w:after="0" w:afterAutospacing="0"/>
        <w:jc w:val="both"/>
        <w:rPr>
          <w:rFonts w:ascii="Arial" w:hAnsi="Arial" w:cs="Arial" w:eastAsiaTheme="minorEastAsia"/>
          <w:color w:val="000000" w:themeColor="text1" w:themeShade="BF"/>
          <w:kern w:val="24"/>
        </w:rPr>
      </w:pPr>
    </w:p>
    <w:p>
      <w:pPr>
        <w:pStyle w:val="7"/>
        <w:spacing w:before="0" w:beforeAutospacing="0" w:after="0" w:afterAutospacing="0"/>
        <w:jc w:val="both"/>
        <w:rPr>
          <w:rFonts w:ascii="Arial" w:hAnsi="Arial" w:cs="Arial" w:eastAsiaTheme="minorEastAsia"/>
          <w:color w:val="000000" w:themeColor="text1" w:themeShade="BF"/>
          <w:kern w:val="24"/>
        </w:rPr>
      </w:pPr>
      <w:r>
        <w:rPr>
          <w:rFonts w:ascii="Arial" w:hAnsi="Arial" w:cs="Arial" w:eastAsiaTheme="minorEastAsia"/>
          <w:color w:val="000000" w:themeColor="text1" w:themeShade="BF"/>
          <w:kern w:val="24"/>
        </w:rPr>
        <w:t xml:space="preserve">Nicholls, C. (2023) ᾽Accor continues consistent global network growth᾽. </w:t>
      </w:r>
      <w:r>
        <w:rPr>
          <w:rFonts w:ascii="Arial" w:hAnsi="Arial" w:cs="Arial" w:eastAsiaTheme="minorEastAsia"/>
          <w:i/>
          <w:iCs/>
          <w:color w:val="000000" w:themeColor="text1" w:themeShade="BF"/>
          <w:kern w:val="24"/>
        </w:rPr>
        <w:t>THP news top hotel projects</w:t>
      </w:r>
      <w:r>
        <w:rPr>
          <w:rFonts w:ascii="Arial" w:hAnsi="Arial" w:cs="Arial" w:eastAsiaTheme="minorEastAsia"/>
          <w:color w:val="000000" w:themeColor="text1" w:themeShade="BF"/>
          <w:kern w:val="24"/>
        </w:rPr>
        <w:t>, 3 March. Available at: https://tophotel.news/accor-continues-consistent-global-network-growth/ (accessed: 06.05.2023)</w:t>
      </w:r>
    </w:p>
    <w:p>
      <w:pPr>
        <w:pStyle w:val="7"/>
        <w:spacing w:before="0" w:beforeAutospacing="0" w:after="0" w:afterAutospacing="0"/>
        <w:jc w:val="both"/>
        <w:rPr>
          <w:rFonts w:ascii="Arial" w:hAnsi="Arial" w:cs="Arial" w:eastAsiaTheme="minorEastAsia"/>
          <w:color w:val="000000" w:themeColor="text1" w:themeShade="BF"/>
          <w:kern w:val="24"/>
        </w:rPr>
      </w:pPr>
    </w:p>
    <w:p>
      <w:pPr>
        <w:pStyle w:val="7"/>
        <w:spacing w:before="0" w:beforeAutospacing="0" w:after="0" w:afterAutospacing="0"/>
        <w:jc w:val="both"/>
        <w:rPr>
          <w:rFonts w:ascii="Arial" w:hAnsi="Arial" w:cs="Arial" w:eastAsiaTheme="minorEastAsia"/>
          <w:color w:val="000000" w:themeColor="text1"/>
          <w:kern w:val="24"/>
          <w14:textFill>
            <w14:solidFill>
              <w14:schemeClr w14:val="tx1"/>
            </w14:solidFill>
          </w14:textFill>
        </w:rPr>
      </w:pPr>
      <w:r>
        <w:rPr>
          <w:rFonts w:ascii="Arial" w:hAnsi="Arial" w:cs="Arial" w:eastAsiaTheme="minorEastAsia"/>
          <w:color w:val="000000" w:themeColor="text1"/>
          <w:kern w:val="24"/>
          <w14:textFill>
            <w14:solidFill>
              <w14:schemeClr w14:val="tx1"/>
            </w14:solidFill>
          </w14:textFill>
        </w:rPr>
        <w:t>Serve 360 Report (2022) ᾽Environmental, social and Governance Progress᾽</w:t>
      </w:r>
      <w:r>
        <w:rPr>
          <w:rFonts w:hint="cs" w:ascii="Arial" w:hAnsi="Arial" w:cs="Arial" w:eastAsiaTheme="minorEastAsia"/>
          <w:color w:val="000000" w:themeColor="text1"/>
          <w:kern w:val="24"/>
          <w:rtl/>
          <w14:textFill>
            <w14:solidFill>
              <w14:schemeClr w14:val="tx1"/>
            </w14:solidFill>
          </w14:textFill>
        </w:rPr>
        <w:t>.</w:t>
      </w:r>
      <w:r>
        <w:rPr>
          <w:rFonts w:ascii="Arial" w:hAnsi="Arial" w:cs="Arial" w:eastAsiaTheme="minorEastAsia"/>
          <w:color w:val="000000" w:themeColor="text1"/>
          <w:kern w:val="24"/>
          <w14:textFill>
            <w14:solidFill>
              <w14:schemeClr w14:val="tx1"/>
            </w14:solidFill>
          </w14:textFill>
        </w:rPr>
        <w:t xml:space="preserve"> Available at: </w:t>
      </w:r>
      <w:r>
        <w:fldChar w:fldCharType="begin"/>
      </w:r>
      <w:r>
        <w:instrText xml:space="preserve"> HYPERLINK "http://serve360.marriott.com/wp-content/uploads/2022/10/Marriott-2022-Serve-360-ESG-Report-accessible_F.pdf" </w:instrText>
      </w:r>
      <w:r>
        <w:fldChar w:fldCharType="separate"/>
      </w:r>
      <w:r>
        <w:rPr>
          <w:rFonts w:ascii="Arial" w:hAnsi="Arial" w:cs="Arial" w:eastAsiaTheme="minorHAnsi"/>
          <w:color w:val="000000" w:themeColor="text1"/>
          <w:kern w:val="2"/>
          <w:lang w:eastAsia="en-US"/>
          <w14:textFill>
            <w14:solidFill>
              <w14:schemeClr w14:val="tx1"/>
            </w14:solidFill>
          </w14:textFill>
          <w14:ligatures w14:val="standardContextual"/>
        </w:rPr>
        <w:t>2022 Serve 360 Report: Environmental, Social, and Governance Progress (marriott.com)</w:t>
      </w:r>
      <w:r>
        <w:rPr>
          <w:rFonts w:ascii="Arial" w:hAnsi="Arial" w:cs="Arial" w:eastAsiaTheme="minorHAnsi"/>
          <w:color w:val="000000" w:themeColor="text1"/>
          <w:kern w:val="2"/>
          <w:lang w:eastAsia="en-US"/>
          <w14:textFill>
            <w14:solidFill>
              <w14:schemeClr w14:val="tx1"/>
            </w14:solidFill>
          </w14:textFill>
          <w14:ligatures w14:val="standardContextual"/>
        </w:rPr>
        <w:fldChar w:fldCharType="end"/>
      </w:r>
      <w:r>
        <w:rPr>
          <w:rFonts w:ascii="Arial" w:hAnsi="Arial" w:cs="Arial" w:eastAsiaTheme="minorHAnsi"/>
          <w:color w:val="000000" w:themeColor="text1"/>
          <w:kern w:val="2"/>
          <w:lang w:eastAsia="en-US"/>
          <w14:textFill>
            <w14:solidFill>
              <w14:schemeClr w14:val="tx1"/>
            </w14:solidFill>
          </w14:textFill>
          <w14:ligatures w14:val="standardContextual"/>
        </w:rPr>
        <w:t xml:space="preserve"> (accessed: 06.05.2022</w:t>
      </w:r>
    </w:p>
    <w:p>
      <w:pPr>
        <w:pStyle w:val="7"/>
        <w:spacing w:before="0" w:beforeAutospacing="0" w:after="0" w:afterAutospacing="0"/>
        <w:jc w:val="both"/>
        <w:rPr>
          <w:rFonts w:ascii="Arial" w:hAnsi="Arial" w:cs="Arial" w:eastAsiaTheme="minorEastAsia"/>
          <w:color w:val="000000" w:themeColor="text1" w:themeShade="BF"/>
          <w:kern w:val="24"/>
        </w:rPr>
      </w:pPr>
    </w:p>
    <w:p>
      <w:pPr>
        <w:pStyle w:val="7"/>
        <w:spacing w:before="0" w:beforeAutospacing="0" w:after="0" w:afterAutospacing="0" w:line="360" w:lineRule="auto"/>
        <w:jc w:val="both"/>
        <w:rPr>
          <w:rFonts w:ascii="Arial" w:hAnsi="Arial" w:cs="Arial" w:eastAsiaTheme="minorEastAsia"/>
          <w:color w:val="000000" w:themeColor="text1"/>
          <w:kern w:val="24"/>
          <w14:textFill>
            <w14:solidFill>
              <w14:schemeClr w14:val="tx1"/>
            </w14:solidFill>
          </w14:textFill>
        </w:rPr>
      </w:pPr>
      <w:r>
        <w:rPr>
          <w:rFonts w:ascii="Arial" w:hAnsi="Arial" w:cs="Arial" w:eastAsiaTheme="minorEastAsia"/>
          <w:color w:val="000000" w:themeColor="text1"/>
          <w:kern w:val="24"/>
          <w14:textFill>
            <w14:solidFill>
              <w14:schemeClr w14:val="tx1"/>
            </w14:solidFill>
          </w14:textFill>
        </w:rPr>
        <w:t>Sturman, M.C. </w:t>
      </w:r>
      <w:r>
        <w:rPr>
          <w:rFonts w:ascii="Arial" w:hAnsi="Arial" w:cs="Arial" w:eastAsiaTheme="minorEastAsia"/>
          <w:i/>
          <w:iCs/>
          <w:color w:val="000000" w:themeColor="text1"/>
          <w:kern w:val="24"/>
          <w14:textFill>
            <w14:solidFill>
              <w14:schemeClr w14:val="tx1"/>
            </w14:solidFill>
          </w14:textFill>
        </w:rPr>
        <w:t>et al.</w:t>
      </w:r>
      <w:r>
        <w:rPr>
          <w:rFonts w:ascii="Arial" w:hAnsi="Arial" w:cs="Arial" w:eastAsiaTheme="minorEastAsia"/>
          <w:color w:val="000000" w:themeColor="text1"/>
          <w:kern w:val="24"/>
          <w14:textFill>
            <w14:solidFill>
              <w14:schemeClr w14:val="tx1"/>
            </w14:solidFill>
          </w14:textFill>
        </w:rPr>
        <w:t> (2011) </w:t>
      </w:r>
      <w:r>
        <w:rPr>
          <w:rFonts w:ascii="Arial" w:hAnsi="Arial" w:cs="Arial" w:eastAsiaTheme="minorEastAsia"/>
          <w:i/>
          <w:iCs/>
          <w:color w:val="000000" w:themeColor="text1"/>
          <w:kern w:val="24"/>
          <w14:textFill>
            <w14:solidFill>
              <w14:schemeClr w14:val="tx1"/>
            </w14:solidFill>
          </w14:textFill>
        </w:rPr>
        <w:t>The Cornell School of Hotel Administration on hospitality: cutting edge thinking and practice</w:t>
      </w:r>
      <w:r>
        <w:rPr>
          <w:rFonts w:ascii="Arial" w:hAnsi="Arial" w:cs="Arial" w:eastAsiaTheme="minorEastAsia"/>
          <w:color w:val="000000" w:themeColor="text1"/>
          <w:kern w:val="24"/>
          <w14:textFill>
            <w14:solidFill>
              <w14:schemeClr w14:val="tx1"/>
            </w14:solidFill>
          </w14:textFill>
        </w:rPr>
        <w:t>. Hoboken, N.J: Wileyk</w:t>
      </w:r>
    </w:p>
    <w:p>
      <w:pPr>
        <w:pStyle w:val="11"/>
        <w:rPr>
          <w:rFonts w:ascii="Arial" w:hAnsi="Arial" w:cs="Arial"/>
          <w:color w:val="000000" w:themeColor="text1"/>
          <w:sz w:val="24"/>
          <w:szCs w:val="24"/>
          <w14:textFill>
            <w14:solidFill>
              <w14:schemeClr w14:val="tx1"/>
            </w14:solidFill>
          </w14:textFill>
        </w:rPr>
      </w:pPr>
    </w:p>
    <w:p>
      <w:pPr>
        <w:pStyle w:val="11"/>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Stock Analysis (2023) ᾽Marriott International, Inc. (MAR)᾽</w:t>
      </w:r>
      <w:r>
        <w:rPr>
          <w:rFonts w:hint="cs" w:ascii="Arial" w:hAnsi="Arial" w:cs="Arial"/>
          <w:color w:val="000000" w:themeColor="text1"/>
          <w:sz w:val="24"/>
          <w:szCs w:val="24"/>
          <w:rtl/>
          <w14:textFill>
            <w14:solidFill>
              <w14:schemeClr w14:val="tx1"/>
            </w14:solidFill>
          </w14:textFill>
        </w:rPr>
        <w:t>.</w:t>
      </w:r>
      <w:r>
        <w:rPr>
          <w:rFonts w:ascii="Arial" w:hAnsi="Arial" w:cs="Arial"/>
          <w:color w:val="000000" w:themeColor="text1"/>
          <w:sz w:val="24"/>
          <w:szCs w:val="24"/>
          <w14:textFill>
            <w14:solidFill>
              <w14:schemeClr w14:val="tx1"/>
            </w14:solidFill>
          </w14:textFill>
        </w:rPr>
        <w:t xml:space="preserve"> Available at: stockanalysis.com/stocks/mar/market-cap/ (accessed: 04.05.2023)</w:t>
      </w:r>
    </w:p>
    <w:p>
      <w:pPr>
        <w:pStyle w:val="11"/>
        <w:rPr>
          <w:rFonts w:ascii="Arial" w:hAnsi="Arial" w:cs="Arial"/>
          <w:color w:val="000000" w:themeColor="text1"/>
          <w:sz w:val="24"/>
          <w:szCs w:val="24"/>
          <w14:textFill>
            <w14:solidFill>
              <w14:schemeClr w14:val="tx1"/>
            </w14:solidFill>
          </w14:textFill>
        </w:rPr>
      </w:pPr>
    </w:p>
    <w:p>
      <w:pPr>
        <w:pStyle w:val="11"/>
        <w:rPr>
          <w:rFonts w:ascii="Arial" w:hAnsi="Arial" w:cs="Arial"/>
          <w:color w:val="000000" w:themeColor="text1"/>
          <w:sz w:val="24"/>
          <w:szCs w:val="24"/>
          <w:shd w:val="clear" w:color="auto" w:fill="FFFFFF"/>
          <w14:textFill>
            <w14:solidFill>
              <w14:schemeClr w14:val="tx1"/>
            </w14:solidFill>
          </w14:textFill>
        </w:rPr>
      </w:pPr>
      <w:r>
        <w:rPr>
          <w:rFonts w:ascii="Arial" w:hAnsi="Arial" w:cs="Arial"/>
          <w:color w:val="000000" w:themeColor="text1"/>
          <w:sz w:val="24"/>
          <w:szCs w:val="24"/>
          <w:shd w:val="clear" w:color="auto" w:fill="FFFFFF"/>
          <w14:textFill>
            <w14:solidFill>
              <w14:schemeClr w14:val="tx1"/>
            </w14:solidFill>
          </w14:textFill>
        </w:rPr>
        <w:t>Van Marrewijk, M. (2003) ‘Concepts and Definitions of CSR and Corporate Sustainability: Between Agency and Communion’, </w:t>
      </w:r>
      <w:r>
        <w:rPr>
          <w:rFonts w:ascii="Arial" w:hAnsi="Arial" w:cs="Arial"/>
          <w:i/>
          <w:iCs/>
          <w:color w:val="000000" w:themeColor="text1"/>
          <w:sz w:val="24"/>
          <w:szCs w:val="24"/>
          <w:shd w:val="clear" w:color="auto" w:fill="FFFFFF"/>
          <w14:textFill>
            <w14:solidFill>
              <w14:schemeClr w14:val="tx1"/>
            </w14:solidFill>
          </w14:textFill>
        </w:rPr>
        <w:t>Journal of business ethics</w:t>
      </w:r>
      <w:r>
        <w:rPr>
          <w:rFonts w:ascii="Arial" w:hAnsi="Arial" w:cs="Arial"/>
          <w:color w:val="000000" w:themeColor="text1"/>
          <w:sz w:val="24"/>
          <w:szCs w:val="24"/>
          <w:shd w:val="clear" w:color="auto" w:fill="FFFFFF"/>
          <w14:textFill>
            <w14:solidFill>
              <w14:schemeClr w14:val="tx1"/>
            </w14:solidFill>
          </w14:textFill>
        </w:rPr>
        <w:t>, 44(2/3), pp. 95–105. Available at: https://doi.org/10.1023/A:1023331212247.</w:t>
      </w:r>
      <w:r>
        <w:rPr>
          <w:rFonts w:ascii="Arial" w:hAnsi="Arial" w:cs="Arial"/>
          <w:color w:val="000000" w:themeColor="text1"/>
          <w:sz w:val="24"/>
          <w:szCs w:val="24"/>
          <w:shd w:val="clear" w:color="auto" w:fill="FFFFFF"/>
          <w14:textFill>
            <w14:solidFill>
              <w14:schemeClr w14:val="tx1"/>
            </w14:solidFill>
          </w14:textFill>
        </w:rPr>
        <w:br w:type="textWrapping"/>
      </w: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shd w:val="clear" w:color="auto" w:fill="FFFFFF"/>
          <w14:textFill>
            <w14:solidFill>
              <w14:schemeClr w14:val="tx1"/>
            </w14:solidFill>
          </w14:textFill>
        </w:rPr>
      </w:pPr>
      <w:r>
        <w:rPr>
          <w:rFonts w:ascii="Arial" w:hAnsi="Arial" w:cs="Arial"/>
          <w:color w:val="000000" w:themeColor="text1"/>
          <w:sz w:val="28"/>
          <w:szCs w:val="28"/>
          <w:shd w:val="clear" w:color="auto" w:fill="FFFFFF"/>
          <w14:textFill>
            <w14:solidFill>
              <w14:schemeClr w14:val="tx1"/>
            </w14:solidFill>
          </w14:textFill>
        </w:rPr>
        <w:t xml:space="preserve">Appendix 1 </w:t>
      </w:r>
    </w:p>
    <w:p>
      <w:pPr>
        <w:pStyle w:val="11"/>
        <w:rPr>
          <w:rFonts w:ascii="Arial" w:hAnsi="Arial" w:cs="Arial"/>
          <w:color w:val="000000" w:themeColor="text1"/>
          <w:sz w:val="28"/>
          <w:szCs w:val="28"/>
          <w:shd w:val="clear" w:color="auto" w:fill="FFFFFF"/>
          <w14:textFill>
            <w14:solidFill>
              <w14:schemeClr w14:val="tx1"/>
            </w14:solidFill>
          </w14:textFill>
        </w:rPr>
      </w:pPr>
    </w:p>
    <w:p>
      <w:pPr>
        <w:pStyle w:val="11"/>
        <w:rPr>
          <w:rFonts w:ascii="Arial" w:hAnsi="Arial" w:cs="Arial"/>
          <w:color w:val="000000" w:themeColor="text1"/>
          <w:sz w:val="28"/>
          <w:szCs w:val="28"/>
          <w14:textFill>
            <w14:solidFill>
              <w14:schemeClr w14:val="tx1"/>
            </w14:solidFill>
          </w14:textFill>
        </w:rPr>
      </w:pPr>
      <w:r>
        <w:rPr>
          <w:rFonts w:ascii="Arial" w:hAnsi="Arial" w:cs="Arial"/>
          <w:color w:val="000000" w:themeColor="text1"/>
          <w:sz w:val="28"/>
          <w:szCs w:val="28"/>
          <w14:textFill>
            <w14:solidFill>
              <w14:schemeClr w14:val="tx1"/>
            </w14:solidFill>
          </w14:textFill>
        </w:rPr>
        <w:drawing>
          <wp:inline distT="0" distB="0" distL="0" distR="0">
            <wp:extent cx="5731510" cy="2566035"/>
            <wp:effectExtent l="0" t="0" r="2540" b="5715"/>
            <wp:docPr id="1676258817" name="Picture 1" descr="A picture containing text, screenshot, fon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258817" name="Picture 1" descr="A picture containing text, screenshot, font, plot&#10;&#10;Description automatically generated"/>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2566035"/>
                    </a:xfrm>
                    <a:prstGeom prst="rect">
                      <a:avLst/>
                    </a:prstGeom>
                  </pic:spPr>
                </pic:pic>
              </a:graphicData>
            </a:graphic>
          </wp:inline>
        </w:drawing>
      </w:r>
    </w:p>
    <w:p>
      <w:pPr>
        <w:pStyle w:val="11"/>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drawing>
          <wp:inline distT="0" distB="0" distL="0" distR="0">
            <wp:extent cx="5731510" cy="2522220"/>
            <wp:effectExtent l="0" t="0" r="2540" b="0"/>
            <wp:docPr id="651772409" name="Picture 2" descr="A picture containing text, font, screenshot,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772409" name="Picture 2" descr="A picture containing text, font, screenshot, plot&#10;&#10;Description automatically generated"/>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731510" cy="2522220"/>
                    </a:xfrm>
                    <a:prstGeom prst="rect">
                      <a:avLst/>
                    </a:prstGeom>
                  </pic:spPr>
                </pic:pic>
              </a:graphicData>
            </a:graphic>
          </wp:inline>
        </w:drawing>
      </w:r>
    </w:p>
    <w:sectPr>
      <w:footerReference r:id="rId5"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Open Sans">
    <w:altName w:val="Times New Roman"/>
    <w:panose1 w:val="00000000000000000000"/>
    <w:charset w:val="00"/>
    <w:family w:val="swiss"/>
    <w:pitch w:val="default"/>
    <w:sig w:usb0="00000000" w:usb1="00000000" w:usb2="00000028" w:usb3="00000000" w:csb0="0000019F" w:csb1="00000000"/>
  </w:font>
  <w:font w:name="Symbol">
    <w:panose1 w:val="05050102010706020507"/>
    <w:charset w:val="02"/>
    <w:family w:val="roman"/>
    <w:pitch w:val="default"/>
    <w:sig w:usb0="00000000" w:usb1="00000000" w:usb2="00000000" w:usb3="00000000" w:csb0="8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08198589"/>
      <w:docPartObj>
        <w:docPartGallery w:val="AutoText"/>
      </w:docPartObj>
    </w:sdtPr>
    <w:sdtContent>
      <w:p>
        <w:pPr>
          <w:pStyle w:val="4"/>
          <w:jc w:val="center"/>
        </w:pPr>
        <w:r>
          <w:fldChar w:fldCharType="begin"/>
        </w:r>
        <w:r>
          <w:instrText xml:space="preserve"> PAGE   \* MERGEFORMAT </w:instrText>
        </w:r>
        <w:r>
          <w:fldChar w:fldCharType="separate"/>
        </w:r>
        <w:r>
          <w:t>2</w:t>
        </w:r>
        <w:r>
          <w:fldChar w:fldCharType="end"/>
        </w:r>
      </w:p>
    </w:sdtContent>
  </w:sdt>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61C1DAA"/>
    <w:multiLevelType w:val="multilevel"/>
    <w:tmpl w:val="061C1DAA"/>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3DAC38A5"/>
    <w:multiLevelType w:val="multilevel"/>
    <w:tmpl w:val="3DAC38A5"/>
    <w:lvl w:ilvl="0" w:tentative="0">
      <w:start w:val="1"/>
      <w:numFmt w:val="decimal"/>
      <w:lvlText w:val="%1."/>
      <w:lvlJc w:val="left"/>
      <w:pPr>
        <w:ind w:left="360" w:hanging="360"/>
      </w:pPr>
      <w:rPr>
        <w:rFonts w:hint="default"/>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2">
    <w:nsid w:val="61ED7A7E"/>
    <w:multiLevelType w:val="multilevel"/>
    <w:tmpl w:val="61ED7A7E"/>
    <w:lvl w:ilvl="0" w:tentative="0">
      <w:start w:val="9"/>
      <w:numFmt w:val="bullet"/>
      <w:lvlText w:val="-"/>
      <w:lvlJc w:val="left"/>
      <w:pPr>
        <w:ind w:left="1080" w:hanging="360"/>
      </w:pPr>
      <w:rPr>
        <w:rFonts w:hint="default" w:ascii="Arial" w:hAnsi="Arial" w:cs="Arial" w:eastAsiaTheme="minorHAnsi"/>
      </w:rPr>
    </w:lvl>
    <w:lvl w:ilvl="1" w:tentative="0">
      <w:start w:val="1"/>
      <w:numFmt w:val="bullet"/>
      <w:lvlText w:val="o"/>
      <w:lvlJc w:val="left"/>
      <w:pPr>
        <w:ind w:left="1800" w:hanging="360"/>
      </w:pPr>
      <w:rPr>
        <w:rFonts w:hint="default" w:ascii="Courier New" w:hAnsi="Courier New" w:cs="Courier New"/>
      </w:rPr>
    </w:lvl>
    <w:lvl w:ilvl="2" w:tentative="0">
      <w:start w:val="1"/>
      <w:numFmt w:val="bullet"/>
      <w:lvlText w:val=""/>
      <w:lvlJc w:val="left"/>
      <w:pPr>
        <w:ind w:left="2520" w:hanging="360"/>
      </w:pPr>
      <w:rPr>
        <w:rFonts w:hint="default" w:ascii="Wingdings" w:hAnsi="Wingdings"/>
      </w:rPr>
    </w:lvl>
    <w:lvl w:ilvl="3" w:tentative="0">
      <w:start w:val="1"/>
      <w:numFmt w:val="bullet"/>
      <w:lvlText w:val=""/>
      <w:lvlJc w:val="left"/>
      <w:pPr>
        <w:ind w:left="3240" w:hanging="360"/>
      </w:pPr>
      <w:rPr>
        <w:rFonts w:hint="default" w:ascii="Symbol" w:hAnsi="Symbol"/>
      </w:rPr>
    </w:lvl>
    <w:lvl w:ilvl="4" w:tentative="0">
      <w:start w:val="1"/>
      <w:numFmt w:val="bullet"/>
      <w:lvlText w:val="o"/>
      <w:lvlJc w:val="left"/>
      <w:pPr>
        <w:ind w:left="3960" w:hanging="360"/>
      </w:pPr>
      <w:rPr>
        <w:rFonts w:hint="default" w:ascii="Courier New" w:hAnsi="Courier New" w:cs="Courier New"/>
      </w:rPr>
    </w:lvl>
    <w:lvl w:ilvl="5" w:tentative="0">
      <w:start w:val="1"/>
      <w:numFmt w:val="bullet"/>
      <w:lvlText w:val=""/>
      <w:lvlJc w:val="left"/>
      <w:pPr>
        <w:ind w:left="4680" w:hanging="360"/>
      </w:pPr>
      <w:rPr>
        <w:rFonts w:hint="default" w:ascii="Wingdings" w:hAnsi="Wingdings"/>
      </w:rPr>
    </w:lvl>
    <w:lvl w:ilvl="6" w:tentative="0">
      <w:start w:val="1"/>
      <w:numFmt w:val="bullet"/>
      <w:lvlText w:val=""/>
      <w:lvlJc w:val="left"/>
      <w:pPr>
        <w:ind w:left="5400" w:hanging="360"/>
      </w:pPr>
      <w:rPr>
        <w:rFonts w:hint="default" w:ascii="Symbol" w:hAnsi="Symbol"/>
      </w:rPr>
    </w:lvl>
    <w:lvl w:ilvl="7" w:tentative="0">
      <w:start w:val="1"/>
      <w:numFmt w:val="bullet"/>
      <w:lvlText w:val="o"/>
      <w:lvlJc w:val="left"/>
      <w:pPr>
        <w:ind w:left="6120" w:hanging="360"/>
      </w:pPr>
      <w:rPr>
        <w:rFonts w:hint="default" w:ascii="Courier New" w:hAnsi="Courier New" w:cs="Courier New"/>
      </w:rPr>
    </w:lvl>
    <w:lvl w:ilvl="8" w:tentative="0">
      <w:start w:val="1"/>
      <w:numFmt w:val="bullet"/>
      <w:lvlText w:val=""/>
      <w:lvlJc w:val="left"/>
      <w:pPr>
        <w:ind w:left="6840" w:hanging="360"/>
      </w:pPr>
      <w:rPr>
        <w:rFonts w:hint="default"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1274"/>
    <w:rsid w:val="00001D70"/>
    <w:rsid w:val="0000476F"/>
    <w:rsid w:val="00011513"/>
    <w:rsid w:val="000141A8"/>
    <w:rsid w:val="000177C8"/>
    <w:rsid w:val="0002101F"/>
    <w:rsid w:val="00021739"/>
    <w:rsid w:val="000238B1"/>
    <w:rsid w:val="00023FF4"/>
    <w:rsid w:val="000268B4"/>
    <w:rsid w:val="000271F5"/>
    <w:rsid w:val="00030158"/>
    <w:rsid w:val="00031BC0"/>
    <w:rsid w:val="00032E6B"/>
    <w:rsid w:val="0003415B"/>
    <w:rsid w:val="000362EB"/>
    <w:rsid w:val="00036A15"/>
    <w:rsid w:val="00037A16"/>
    <w:rsid w:val="00041B3A"/>
    <w:rsid w:val="000536C5"/>
    <w:rsid w:val="0005479D"/>
    <w:rsid w:val="00054CB5"/>
    <w:rsid w:val="00060D6B"/>
    <w:rsid w:val="0007421B"/>
    <w:rsid w:val="000805B5"/>
    <w:rsid w:val="00082063"/>
    <w:rsid w:val="00082E2A"/>
    <w:rsid w:val="00084B8D"/>
    <w:rsid w:val="000875B5"/>
    <w:rsid w:val="000B071B"/>
    <w:rsid w:val="000B6C29"/>
    <w:rsid w:val="000D2DD3"/>
    <w:rsid w:val="000D52C3"/>
    <w:rsid w:val="000D5F15"/>
    <w:rsid w:val="000D6447"/>
    <w:rsid w:val="000D6525"/>
    <w:rsid w:val="000E3E65"/>
    <w:rsid w:val="000E5DC2"/>
    <w:rsid w:val="000E668A"/>
    <w:rsid w:val="000E7CEC"/>
    <w:rsid w:val="000F01DF"/>
    <w:rsid w:val="000F0296"/>
    <w:rsid w:val="000F4281"/>
    <w:rsid w:val="000F6F81"/>
    <w:rsid w:val="00103B19"/>
    <w:rsid w:val="00104B11"/>
    <w:rsid w:val="00105E1E"/>
    <w:rsid w:val="001060B8"/>
    <w:rsid w:val="001063BF"/>
    <w:rsid w:val="00115008"/>
    <w:rsid w:val="00121A36"/>
    <w:rsid w:val="001226F5"/>
    <w:rsid w:val="001275F8"/>
    <w:rsid w:val="00130BC7"/>
    <w:rsid w:val="00131595"/>
    <w:rsid w:val="00137818"/>
    <w:rsid w:val="00140CB4"/>
    <w:rsid w:val="00141F54"/>
    <w:rsid w:val="00144BCD"/>
    <w:rsid w:val="001477BB"/>
    <w:rsid w:val="001509DD"/>
    <w:rsid w:val="0015387C"/>
    <w:rsid w:val="001559EB"/>
    <w:rsid w:val="0016074E"/>
    <w:rsid w:val="00170F4A"/>
    <w:rsid w:val="00171077"/>
    <w:rsid w:val="00171D9E"/>
    <w:rsid w:val="001740FD"/>
    <w:rsid w:val="0017524B"/>
    <w:rsid w:val="00180B61"/>
    <w:rsid w:val="00191C3D"/>
    <w:rsid w:val="00195F2C"/>
    <w:rsid w:val="001A0C20"/>
    <w:rsid w:val="001A74E8"/>
    <w:rsid w:val="001A7FC5"/>
    <w:rsid w:val="001B1F4F"/>
    <w:rsid w:val="001C143C"/>
    <w:rsid w:val="001C199A"/>
    <w:rsid w:val="001C3161"/>
    <w:rsid w:val="001C72A2"/>
    <w:rsid w:val="001D25F2"/>
    <w:rsid w:val="001D4573"/>
    <w:rsid w:val="001D7D22"/>
    <w:rsid w:val="00201BF4"/>
    <w:rsid w:val="00204A24"/>
    <w:rsid w:val="002050D0"/>
    <w:rsid w:val="00205945"/>
    <w:rsid w:val="00207C3E"/>
    <w:rsid w:val="00210CFB"/>
    <w:rsid w:val="002125CF"/>
    <w:rsid w:val="00215F2D"/>
    <w:rsid w:val="00217F3B"/>
    <w:rsid w:val="0022186D"/>
    <w:rsid w:val="00222AAE"/>
    <w:rsid w:val="00223809"/>
    <w:rsid w:val="00224B1C"/>
    <w:rsid w:val="00227289"/>
    <w:rsid w:val="00230D1F"/>
    <w:rsid w:val="00233B94"/>
    <w:rsid w:val="00234452"/>
    <w:rsid w:val="00247528"/>
    <w:rsid w:val="00250275"/>
    <w:rsid w:val="0025104F"/>
    <w:rsid w:val="002527B1"/>
    <w:rsid w:val="00252C68"/>
    <w:rsid w:val="002530D5"/>
    <w:rsid w:val="00253D04"/>
    <w:rsid w:val="00254AF0"/>
    <w:rsid w:val="00260146"/>
    <w:rsid w:val="00262A0A"/>
    <w:rsid w:val="00264F28"/>
    <w:rsid w:val="00270DC9"/>
    <w:rsid w:val="00273597"/>
    <w:rsid w:val="00274365"/>
    <w:rsid w:val="002755FC"/>
    <w:rsid w:val="0027712F"/>
    <w:rsid w:val="00280E59"/>
    <w:rsid w:val="00281066"/>
    <w:rsid w:val="002826AE"/>
    <w:rsid w:val="00292B99"/>
    <w:rsid w:val="002A1108"/>
    <w:rsid w:val="002A2991"/>
    <w:rsid w:val="002A4B55"/>
    <w:rsid w:val="002A5230"/>
    <w:rsid w:val="002B13CA"/>
    <w:rsid w:val="002B3190"/>
    <w:rsid w:val="002B34F0"/>
    <w:rsid w:val="002B693F"/>
    <w:rsid w:val="002C56CA"/>
    <w:rsid w:val="002C739A"/>
    <w:rsid w:val="002D43F7"/>
    <w:rsid w:val="002E0E98"/>
    <w:rsid w:val="002E1DB7"/>
    <w:rsid w:val="002F0092"/>
    <w:rsid w:val="00302222"/>
    <w:rsid w:val="003037EB"/>
    <w:rsid w:val="0030600C"/>
    <w:rsid w:val="00311870"/>
    <w:rsid w:val="003137D9"/>
    <w:rsid w:val="0032537D"/>
    <w:rsid w:val="0032669D"/>
    <w:rsid w:val="00333E26"/>
    <w:rsid w:val="003412FB"/>
    <w:rsid w:val="00350D70"/>
    <w:rsid w:val="00352B53"/>
    <w:rsid w:val="003600AA"/>
    <w:rsid w:val="003672C2"/>
    <w:rsid w:val="00373177"/>
    <w:rsid w:val="003731ED"/>
    <w:rsid w:val="00375C83"/>
    <w:rsid w:val="00377000"/>
    <w:rsid w:val="00377F0F"/>
    <w:rsid w:val="00382660"/>
    <w:rsid w:val="003828A5"/>
    <w:rsid w:val="003833A7"/>
    <w:rsid w:val="003A16CD"/>
    <w:rsid w:val="003A22BC"/>
    <w:rsid w:val="003A347F"/>
    <w:rsid w:val="003B4EB4"/>
    <w:rsid w:val="003B74CF"/>
    <w:rsid w:val="003B762A"/>
    <w:rsid w:val="003C1AE7"/>
    <w:rsid w:val="003C2D28"/>
    <w:rsid w:val="003C2FD1"/>
    <w:rsid w:val="003C4142"/>
    <w:rsid w:val="003C5064"/>
    <w:rsid w:val="003C76FF"/>
    <w:rsid w:val="003D2549"/>
    <w:rsid w:val="003D3B09"/>
    <w:rsid w:val="003D629E"/>
    <w:rsid w:val="003E292F"/>
    <w:rsid w:val="003E32D2"/>
    <w:rsid w:val="003E54B8"/>
    <w:rsid w:val="003F6C5C"/>
    <w:rsid w:val="00410F53"/>
    <w:rsid w:val="004173E7"/>
    <w:rsid w:val="004210AF"/>
    <w:rsid w:val="004270DD"/>
    <w:rsid w:val="0043044E"/>
    <w:rsid w:val="004309E4"/>
    <w:rsid w:val="0043456F"/>
    <w:rsid w:val="00435AF1"/>
    <w:rsid w:val="0044049E"/>
    <w:rsid w:val="004426CE"/>
    <w:rsid w:val="00452A72"/>
    <w:rsid w:val="00453380"/>
    <w:rsid w:val="00457615"/>
    <w:rsid w:val="00460CE2"/>
    <w:rsid w:val="00465D0D"/>
    <w:rsid w:val="00473DE4"/>
    <w:rsid w:val="00474265"/>
    <w:rsid w:val="00483C05"/>
    <w:rsid w:val="00484B45"/>
    <w:rsid w:val="004907D2"/>
    <w:rsid w:val="00492BFF"/>
    <w:rsid w:val="0049401A"/>
    <w:rsid w:val="00494555"/>
    <w:rsid w:val="0049633E"/>
    <w:rsid w:val="004975FD"/>
    <w:rsid w:val="004A4C1C"/>
    <w:rsid w:val="004A58B6"/>
    <w:rsid w:val="004B1901"/>
    <w:rsid w:val="004B2076"/>
    <w:rsid w:val="004B3DBE"/>
    <w:rsid w:val="004B57C5"/>
    <w:rsid w:val="004B7C4F"/>
    <w:rsid w:val="004B7D2E"/>
    <w:rsid w:val="004C0151"/>
    <w:rsid w:val="004C5F6E"/>
    <w:rsid w:val="004C68B0"/>
    <w:rsid w:val="004C7F89"/>
    <w:rsid w:val="004D2CE4"/>
    <w:rsid w:val="004D2F03"/>
    <w:rsid w:val="004D6FA5"/>
    <w:rsid w:val="004D736C"/>
    <w:rsid w:val="004E2BD6"/>
    <w:rsid w:val="004E4244"/>
    <w:rsid w:val="004F3993"/>
    <w:rsid w:val="004F41D2"/>
    <w:rsid w:val="00503525"/>
    <w:rsid w:val="00503DB7"/>
    <w:rsid w:val="00514CE4"/>
    <w:rsid w:val="00515130"/>
    <w:rsid w:val="005257A4"/>
    <w:rsid w:val="0053075B"/>
    <w:rsid w:val="00532413"/>
    <w:rsid w:val="00534580"/>
    <w:rsid w:val="00534808"/>
    <w:rsid w:val="00541CD3"/>
    <w:rsid w:val="005420D5"/>
    <w:rsid w:val="0054371C"/>
    <w:rsid w:val="005515C6"/>
    <w:rsid w:val="00553EBA"/>
    <w:rsid w:val="00555FD2"/>
    <w:rsid w:val="005570EF"/>
    <w:rsid w:val="00563B2C"/>
    <w:rsid w:val="00564418"/>
    <w:rsid w:val="00570205"/>
    <w:rsid w:val="005755A5"/>
    <w:rsid w:val="005774BB"/>
    <w:rsid w:val="00577773"/>
    <w:rsid w:val="00585E86"/>
    <w:rsid w:val="00590A66"/>
    <w:rsid w:val="00590A7C"/>
    <w:rsid w:val="00594F2E"/>
    <w:rsid w:val="005A0553"/>
    <w:rsid w:val="005A565B"/>
    <w:rsid w:val="005A7A10"/>
    <w:rsid w:val="005A7C97"/>
    <w:rsid w:val="005B2AD9"/>
    <w:rsid w:val="005B2E44"/>
    <w:rsid w:val="005B4700"/>
    <w:rsid w:val="005C3320"/>
    <w:rsid w:val="005C5079"/>
    <w:rsid w:val="005C7C46"/>
    <w:rsid w:val="005D08B4"/>
    <w:rsid w:val="005D0D83"/>
    <w:rsid w:val="005D4B8D"/>
    <w:rsid w:val="005D5C32"/>
    <w:rsid w:val="005D706A"/>
    <w:rsid w:val="005E1152"/>
    <w:rsid w:val="005E2145"/>
    <w:rsid w:val="005E4E96"/>
    <w:rsid w:val="005E7139"/>
    <w:rsid w:val="005F1D19"/>
    <w:rsid w:val="005F31AD"/>
    <w:rsid w:val="005F6324"/>
    <w:rsid w:val="00601814"/>
    <w:rsid w:val="00615F79"/>
    <w:rsid w:val="00622A78"/>
    <w:rsid w:val="0062417E"/>
    <w:rsid w:val="00627B20"/>
    <w:rsid w:val="00633D8F"/>
    <w:rsid w:val="0063691B"/>
    <w:rsid w:val="00636B66"/>
    <w:rsid w:val="0063763B"/>
    <w:rsid w:val="0064049F"/>
    <w:rsid w:val="00644264"/>
    <w:rsid w:val="0065456B"/>
    <w:rsid w:val="006563E9"/>
    <w:rsid w:val="00656DC4"/>
    <w:rsid w:val="00656E36"/>
    <w:rsid w:val="0065711D"/>
    <w:rsid w:val="00657F44"/>
    <w:rsid w:val="00662317"/>
    <w:rsid w:val="006711B1"/>
    <w:rsid w:val="00671F25"/>
    <w:rsid w:val="00676A3C"/>
    <w:rsid w:val="00681342"/>
    <w:rsid w:val="0069550E"/>
    <w:rsid w:val="006A28DA"/>
    <w:rsid w:val="006A6D76"/>
    <w:rsid w:val="006B19E1"/>
    <w:rsid w:val="006B30ED"/>
    <w:rsid w:val="006B39B4"/>
    <w:rsid w:val="006B4475"/>
    <w:rsid w:val="006B5FEE"/>
    <w:rsid w:val="006B7DA8"/>
    <w:rsid w:val="006C0784"/>
    <w:rsid w:val="006C0D7D"/>
    <w:rsid w:val="006C17C4"/>
    <w:rsid w:val="006D4030"/>
    <w:rsid w:val="006D4A19"/>
    <w:rsid w:val="006E65CE"/>
    <w:rsid w:val="006E6E13"/>
    <w:rsid w:val="006E791D"/>
    <w:rsid w:val="00703E74"/>
    <w:rsid w:val="007069BE"/>
    <w:rsid w:val="00710813"/>
    <w:rsid w:val="00720868"/>
    <w:rsid w:val="00723FD1"/>
    <w:rsid w:val="007253DA"/>
    <w:rsid w:val="00735C34"/>
    <w:rsid w:val="00742A6C"/>
    <w:rsid w:val="00750C4F"/>
    <w:rsid w:val="007518B4"/>
    <w:rsid w:val="00755898"/>
    <w:rsid w:val="007623FB"/>
    <w:rsid w:val="00771C58"/>
    <w:rsid w:val="00774D3D"/>
    <w:rsid w:val="00776D80"/>
    <w:rsid w:val="00777543"/>
    <w:rsid w:val="00777DE3"/>
    <w:rsid w:val="007851B1"/>
    <w:rsid w:val="0078537E"/>
    <w:rsid w:val="007873E2"/>
    <w:rsid w:val="00787D04"/>
    <w:rsid w:val="0079277F"/>
    <w:rsid w:val="007A2F91"/>
    <w:rsid w:val="007A57FC"/>
    <w:rsid w:val="007A5934"/>
    <w:rsid w:val="007A73A6"/>
    <w:rsid w:val="007A7BD0"/>
    <w:rsid w:val="007B566D"/>
    <w:rsid w:val="007B6033"/>
    <w:rsid w:val="007B7D4F"/>
    <w:rsid w:val="007D0706"/>
    <w:rsid w:val="007D08BD"/>
    <w:rsid w:val="007E1506"/>
    <w:rsid w:val="007E1B85"/>
    <w:rsid w:val="007E6F57"/>
    <w:rsid w:val="007F5CAE"/>
    <w:rsid w:val="00800CF0"/>
    <w:rsid w:val="0080568A"/>
    <w:rsid w:val="00807372"/>
    <w:rsid w:val="00813D1E"/>
    <w:rsid w:val="00815449"/>
    <w:rsid w:val="00823CC9"/>
    <w:rsid w:val="008244DB"/>
    <w:rsid w:val="00825619"/>
    <w:rsid w:val="0083178B"/>
    <w:rsid w:val="00831C53"/>
    <w:rsid w:val="00833228"/>
    <w:rsid w:val="0083454C"/>
    <w:rsid w:val="00854D16"/>
    <w:rsid w:val="00860579"/>
    <w:rsid w:val="00864F54"/>
    <w:rsid w:val="0086640C"/>
    <w:rsid w:val="00866DCA"/>
    <w:rsid w:val="00866E9E"/>
    <w:rsid w:val="008714D6"/>
    <w:rsid w:val="00876B14"/>
    <w:rsid w:val="00877AE1"/>
    <w:rsid w:val="00880FC2"/>
    <w:rsid w:val="00885E56"/>
    <w:rsid w:val="00886C18"/>
    <w:rsid w:val="00886E55"/>
    <w:rsid w:val="008929B9"/>
    <w:rsid w:val="008A02D1"/>
    <w:rsid w:val="008A4372"/>
    <w:rsid w:val="008A5E71"/>
    <w:rsid w:val="008B4ADF"/>
    <w:rsid w:val="008B6192"/>
    <w:rsid w:val="008C0DCD"/>
    <w:rsid w:val="008C153A"/>
    <w:rsid w:val="008C3995"/>
    <w:rsid w:val="008C3FE0"/>
    <w:rsid w:val="008C5B0F"/>
    <w:rsid w:val="008C6225"/>
    <w:rsid w:val="008D49EC"/>
    <w:rsid w:val="008D6DE6"/>
    <w:rsid w:val="008E3075"/>
    <w:rsid w:val="008E4CA7"/>
    <w:rsid w:val="008E58ED"/>
    <w:rsid w:val="008E7247"/>
    <w:rsid w:val="008F2013"/>
    <w:rsid w:val="008F39C0"/>
    <w:rsid w:val="008F4F60"/>
    <w:rsid w:val="008F72AF"/>
    <w:rsid w:val="008F748A"/>
    <w:rsid w:val="00901D6A"/>
    <w:rsid w:val="009042B0"/>
    <w:rsid w:val="00904CAB"/>
    <w:rsid w:val="00906088"/>
    <w:rsid w:val="00906F16"/>
    <w:rsid w:val="00907592"/>
    <w:rsid w:val="00910F73"/>
    <w:rsid w:val="00912F3C"/>
    <w:rsid w:val="0091437F"/>
    <w:rsid w:val="009150AC"/>
    <w:rsid w:val="00916A45"/>
    <w:rsid w:val="00923554"/>
    <w:rsid w:val="009301DA"/>
    <w:rsid w:val="00931767"/>
    <w:rsid w:val="009327DC"/>
    <w:rsid w:val="009334DC"/>
    <w:rsid w:val="00935E23"/>
    <w:rsid w:val="00936FB6"/>
    <w:rsid w:val="009450C9"/>
    <w:rsid w:val="00947545"/>
    <w:rsid w:val="00950D8A"/>
    <w:rsid w:val="00953AA4"/>
    <w:rsid w:val="00955235"/>
    <w:rsid w:val="00957A27"/>
    <w:rsid w:val="009643FA"/>
    <w:rsid w:val="0096617F"/>
    <w:rsid w:val="00966C50"/>
    <w:rsid w:val="00972A0F"/>
    <w:rsid w:val="009747C5"/>
    <w:rsid w:val="00974803"/>
    <w:rsid w:val="00975F28"/>
    <w:rsid w:val="00977AA8"/>
    <w:rsid w:val="0098293C"/>
    <w:rsid w:val="00983835"/>
    <w:rsid w:val="00983BF8"/>
    <w:rsid w:val="00992340"/>
    <w:rsid w:val="0099644E"/>
    <w:rsid w:val="00997FAC"/>
    <w:rsid w:val="009A78FE"/>
    <w:rsid w:val="009B018A"/>
    <w:rsid w:val="009B0B52"/>
    <w:rsid w:val="009B4200"/>
    <w:rsid w:val="009B78D1"/>
    <w:rsid w:val="009C0746"/>
    <w:rsid w:val="009C1DBB"/>
    <w:rsid w:val="009C42B6"/>
    <w:rsid w:val="009C53BE"/>
    <w:rsid w:val="009D1EED"/>
    <w:rsid w:val="009E41E3"/>
    <w:rsid w:val="009E504A"/>
    <w:rsid w:val="009E5A6E"/>
    <w:rsid w:val="009E69D3"/>
    <w:rsid w:val="009F17A3"/>
    <w:rsid w:val="009F6072"/>
    <w:rsid w:val="009F7AA1"/>
    <w:rsid w:val="00A005C5"/>
    <w:rsid w:val="00A03878"/>
    <w:rsid w:val="00A0699A"/>
    <w:rsid w:val="00A073E4"/>
    <w:rsid w:val="00A11AD7"/>
    <w:rsid w:val="00A2323E"/>
    <w:rsid w:val="00A26117"/>
    <w:rsid w:val="00A276A7"/>
    <w:rsid w:val="00A30ADD"/>
    <w:rsid w:val="00A3172D"/>
    <w:rsid w:val="00A42052"/>
    <w:rsid w:val="00A4241C"/>
    <w:rsid w:val="00A45873"/>
    <w:rsid w:val="00A514C9"/>
    <w:rsid w:val="00A52EC2"/>
    <w:rsid w:val="00A533D0"/>
    <w:rsid w:val="00A54859"/>
    <w:rsid w:val="00A55A3D"/>
    <w:rsid w:val="00A57C9F"/>
    <w:rsid w:val="00A61071"/>
    <w:rsid w:val="00A642A3"/>
    <w:rsid w:val="00A65F83"/>
    <w:rsid w:val="00A76513"/>
    <w:rsid w:val="00A85695"/>
    <w:rsid w:val="00A872FE"/>
    <w:rsid w:val="00A90945"/>
    <w:rsid w:val="00A91DD7"/>
    <w:rsid w:val="00A95F29"/>
    <w:rsid w:val="00A96D60"/>
    <w:rsid w:val="00AA1C73"/>
    <w:rsid w:val="00AA6519"/>
    <w:rsid w:val="00AB1F1C"/>
    <w:rsid w:val="00AB2293"/>
    <w:rsid w:val="00AB6640"/>
    <w:rsid w:val="00AB7086"/>
    <w:rsid w:val="00AB74CE"/>
    <w:rsid w:val="00AC0DF2"/>
    <w:rsid w:val="00AC7707"/>
    <w:rsid w:val="00AD16FD"/>
    <w:rsid w:val="00AD4B26"/>
    <w:rsid w:val="00AD6C14"/>
    <w:rsid w:val="00AE58DC"/>
    <w:rsid w:val="00AF296E"/>
    <w:rsid w:val="00B00993"/>
    <w:rsid w:val="00B02D9A"/>
    <w:rsid w:val="00B03777"/>
    <w:rsid w:val="00B039AC"/>
    <w:rsid w:val="00B11955"/>
    <w:rsid w:val="00B13036"/>
    <w:rsid w:val="00B1743A"/>
    <w:rsid w:val="00B204C8"/>
    <w:rsid w:val="00B213D2"/>
    <w:rsid w:val="00B21B37"/>
    <w:rsid w:val="00B24314"/>
    <w:rsid w:val="00B26EC8"/>
    <w:rsid w:val="00B27F3F"/>
    <w:rsid w:val="00B3310E"/>
    <w:rsid w:val="00B33B9F"/>
    <w:rsid w:val="00B3476E"/>
    <w:rsid w:val="00B4302D"/>
    <w:rsid w:val="00B46A2D"/>
    <w:rsid w:val="00B53EE2"/>
    <w:rsid w:val="00B555FE"/>
    <w:rsid w:val="00B567C8"/>
    <w:rsid w:val="00B65B07"/>
    <w:rsid w:val="00B74C36"/>
    <w:rsid w:val="00B765F7"/>
    <w:rsid w:val="00B84975"/>
    <w:rsid w:val="00B912D0"/>
    <w:rsid w:val="00B91F66"/>
    <w:rsid w:val="00B93704"/>
    <w:rsid w:val="00B94301"/>
    <w:rsid w:val="00BB3DC8"/>
    <w:rsid w:val="00BC1A16"/>
    <w:rsid w:val="00BD50FC"/>
    <w:rsid w:val="00BD53F5"/>
    <w:rsid w:val="00BD56D3"/>
    <w:rsid w:val="00BE0FB0"/>
    <w:rsid w:val="00BF2CE7"/>
    <w:rsid w:val="00BF32BD"/>
    <w:rsid w:val="00BF3403"/>
    <w:rsid w:val="00BF7624"/>
    <w:rsid w:val="00C01716"/>
    <w:rsid w:val="00C03C20"/>
    <w:rsid w:val="00C06324"/>
    <w:rsid w:val="00C063D5"/>
    <w:rsid w:val="00C132AB"/>
    <w:rsid w:val="00C174E6"/>
    <w:rsid w:val="00C21786"/>
    <w:rsid w:val="00C22793"/>
    <w:rsid w:val="00C26257"/>
    <w:rsid w:val="00C27297"/>
    <w:rsid w:val="00C27861"/>
    <w:rsid w:val="00C35561"/>
    <w:rsid w:val="00C40F4F"/>
    <w:rsid w:val="00C4142C"/>
    <w:rsid w:val="00C53AAF"/>
    <w:rsid w:val="00C56320"/>
    <w:rsid w:val="00C65BBB"/>
    <w:rsid w:val="00C70242"/>
    <w:rsid w:val="00C73A98"/>
    <w:rsid w:val="00C74056"/>
    <w:rsid w:val="00C7438F"/>
    <w:rsid w:val="00C90160"/>
    <w:rsid w:val="00C90F92"/>
    <w:rsid w:val="00C911AA"/>
    <w:rsid w:val="00C93FBF"/>
    <w:rsid w:val="00CA0935"/>
    <w:rsid w:val="00CA10D2"/>
    <w:rsid w:val="00CB02EE"/>
    <w:rsid w:val="00CC67B2"/>
    <w:rsid w:val="00CC6D1E"/>
    <w:rsid w:val="00CD2311"/>
    <w:rsid w:val="00CE27BD"/>
    <w:rsid w:val="00CE2983"/>
    <w:rsid w:val="00CE3A91"/>
    <w:rsid w:val="00CE55C9"/>
    <w:rsid w:val="00CE7A5B"/>
    <w:rsid w:val="00CF1261"/>
    <w:rsid w:val="00CF40F2"/>
    <w:rsid w:val="00CF5C07"/>
    <w:rsid w:val="00CF7F11"/>
    <w:rsid w:val="00D0504F"/>
    <w:rsid w:val="00D0793B"/>
    <w:rsid w:val="00D124EB"/>
    <w:rsid w:val="00D12F75"/>
    <w:rsid w:val="00D14A0D"/>
    <w:rsid w:val="00D14B88"/>
    <w:rsid w:val="00D16814"/>
    <w:rsid w:val="00D20578"/>
    <w:rsid w:val="00D20D8F"/>
    <w:rsid w:val="00D21EA4"/>
    <w:rsid w:val="00D26F88"/>
    <w:rsid w:val="00D2708F"/>
    <w:rsid w:val="00D279C6"/>
    <w:rsid w:val="00D37F67"/>
    <w:rsid w:val="00D42EC1"/>
    <w:rsid w:val="00D51E1C"/>
    <w:rsid w:val="00D51F73"/>
    <w:rsid w:val="00D53589"/>
    <w:rsid w:val="00D55411"/>
    <w:rsid w:val="00D562C5"/>
    <w:rsid w:val="00D613E4"/>
    <w:rsid w:val="00D63C1D"/>
    <w:rsid w:val="00D65B19"/>
    <w:rsid w:val="00D66987"/>
    <w:rsid w:val="00D711A6"/>
    <w:rsid w:val="00D76005"/>
    <w:rsid w:val="00D86A20"/>
    <w:rsid w:val="00D86B58"/>
    <w:rsid w:val="00D8709F"/>
    <w:rsid w:val="00D925D6"/>
    <w:rsid w:val="00D97273"/>
    <w:rsid w:val="00D97ABE"/>
    <w:rsid w:val="00DA11CE"/>
    <w:rsid w:val="00DA4058"/>
    <w:rsid w:val="00DB1B8C"/>
    <w:rsid w:val="00DB3566"/>
    <w:rsid w:val="00DB751C"/>
    <w:rsid w:val="00DC0DC5"/>
    <w:rsid w:val="00DC3265"/>
    <w:rsid w:val="00DD6CDD"/>
    <w:rsid w:val="00DE4138"/>
    <w:rsid w:val="00DE4314"/>
    <w:rsid w:val="00DE5C9C"/>
    <w:rsid w:val="00DF215F"/>
    <w:rsid w:val="00DF5594"/>
    <w:rsid w:val="00DF6D5E"/>
    <w:rsid w:val="00E024BA"/>
    <w:rsid w:val="00E10ABB"/>
    <w:rsid w:val="00E122DB"/>
    <w:rsid w:val="00E22092"/>
    <w:rsid w:val="00E26620"/>
    <w:rsid w:val="00E27041"/>
    <w:rsid w:val="00E27ACF"/>
    <w:rsid w:val="00E30F91"/>
    <w:rsid w:val="00E37355"/>
    <w:rsid w:val="00E37520"/>
    <w:rsid w:val="00E40ACF"/>
    <w:rsid w:val="00E41B1C"/>
    <w:rsid w:val="00E44188"/>
    <w:rsid w:val="00E50174"/>
    <w:rsid w:val="00E5652B"/>
    <w:rsid w:val="00E60B72"/>
    <w:rsid w:val="00E65752"/>
    <w:rsid w:val="00E73E37"/>
    <w:rsid w:val="00E747E1"/>
    <w:rsid w:val="00E75CD5"/>
    <w:rsid w:val="00E77697"/>
    <w:rsid w:val="00E80B3F"/>
    <w:rsid w:val="00E81A85"/>
    <w:rsid w:val="00E9001E"/>
    <w:rsid w:val="00E90C16"/>
    <w:rsid w:val="00E916B4"/>
    <w:rsid w:val="00EB4735"/>
    <w:rsid w:val="00EB5717"/>
    <w:rsid w:val="00EC079A"/>
    <w:rsid w:val="00EC0C88"/>
    <w:rsid w:val="00EC4DA0"/>
    <w:rsid w:val="00EC558F"/>
    <w:rsid w:val="00ED131E"/>
    <w:rsid w:val="00ED22C3"/>
    <w:rsid w:val="00ED65FE"/>
    <w:rsid w:val="00ED7F22"/>
    <w:rsid w:val="00EE4601"/>
    <w:rsid w:val="00EE633D"/>
    <w:rsid w:val="00EE79C8"/>
    <w:rsid w:val="00EF3097"/>
    <w:rsid w:val="00EF5D1B"/>
    <w:rsid w:val="00F0350F"/>
    <w:rsid w:val="00F0592F"/>
    <w:rsid w:val="00F05BB1"/>
    <w:rsid w:val="00F067FA"/>
    <w:rsid w:val="00F1120F"/>
    <w:rsid w:val="00F13929"/>
    <w:rsid w:val="00F25CF4"/>
    <w:rsid w:val="00F26423"/>
    <w:rsid w:val="00F278A1"/>
    <w:rsid w:val="00F27CD7"/>
    <w:rsid w:val="00F34842"/>
    <w:rsid w:val="00F350C2"/>
    <w:rsid w:val="00F35537"/>
    <w:rsid w:val="00F44AA9"/>
    <w:rsid w:val="00F52940"/>
    <w:rsid w:val="00F545E2"/>
    <w:rsid w:val="00F55C69"/>
    <w:rsid w:val="00F81274"/>
    <w:rsid w:val="00F82FBE"/>
    <w:rsid w:val="00F82FD3"/>
    <w:rsid w:val="00F837D1"/>
    <w:rsid w:val="00F84C39"/>
    <w:rsid w:val="00F864A2"/>
    <w:rsid w:val="00F87202"/>
    <w:rsid w:val="00F95D0F"/>
    <w:rsid w:val="00F967D0"/>
    <w:rsid w:val="00FA62BF"/>
    <w:rsid w:val="00FA714F"/>
    <w:rsid w:val="00FB159B"/>
    <w:rsid w:val="00FC0CDD"/>
    <w:rsid w:val="00FC1FFB"/>
    <w:rsid w:val="00FC7BDC"/>
    <w:rsid w:val="00FD292D"/>
    <w:rsid w:val="00FD3065"/>
    <w:rsid w:val="00FD4E59"/>
    <w:rsid w:val="00FD5A7E"/>
    <w:rsid w:val="00FD6A3F"/>
    <w:rsid w:val="00FE171C"/>
    <w:rsid w:val="00FE2CC5"/>
    <w:rsid w:val="00FE3A8F"/>
    <w:rsid w:val="00FE5FF9"/>
    <w:rsid w:val="00FE6467"/>
    <w:rsid w:val="00FE7276"/>
    <w:rsid w:val="00FF179E"/>
    <w:rsid w:val="00FF5D60"/>
    <w:rsid w:val="00FF7014"/>
    <w:rsid w:val="140530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GB" w:eastAsia="en-US" w:bidi="ar-SA"/>
      <w14:ligatures w14:val="standardContextual"/>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styleId="4">
    <w:name w:val="footer"/>
    <w:basedOn w:val="1"/>
    <w:link w:val="20"/>
    <w:unhideWhenUsed/>
    <w:uiPriority w:val="99"/>
    <w:pPr>
      <w:tabs>
        <w:tab w:val="center" w:pos="4513"/>
        <w:tab w:val="right" w:pos="9026"/>
      </w:tabs>
      <w:spacing w:after="0" w:line="240" w:lineRule="auto"/>
    </w:pPr>
  </w:style>
  <w:style w:type="paragraph" w:styleId="5">
    <w:name w:val="header"/>
    <w:basedOn w:val="1"/>
    <w:link w:val="19"/>
    <w:unhideWhenUsed/>
    <w:uiPriority w:val="99"/>
    <w:pPr>
      <w:tabs>
        <w:tab w:val="center" w:pos="4513"/>
        <w:tab w:val="right" w:pos="9026"/>
      </w:tabs>
      <w:spacing w:after="0" w:line="240" w:lineRule="auto"/>
    </w:pPr>
  </w:style>
  <w:style w:type="character" w:styleId="6">
    <w:name w:val="Hyperlink"/>
    <w:basedOn w:val="2"/>
    <w:unhideWhenUsed/>
    <w:uiPriority w:val="99"/>
    <w:rPr>
      <w:color w:val="0563C1" w:themeColor="hyperlink"/>
      <w:u w:val="single"/>
      <w14:textFill>
        <w14:solidFill>
          <w14:schemeClr w14:val="hlink"/>
        </w14:solidFill>
      </w14:textFill>
    </w:rPr>
  </w:style>
  <w:style w:type="paragraph" w:styleId="7">
    <w:name w:val="Normal (Web)"/>
    <w:basedOn w:val="1"/>
    <w:unhideWhenUsed/>
    <w:uiPriority w:val="9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8">
    <w:name w:val="Strong"/>
    <w:basedOn w:val="2"/>
    <w:qFormat/>
    <w:uiPriority w:val="22"/>
    <w:rPr>
      <w:b/>
      <w:bCs/>
    </w:rPr>
  </w:style>
  <w:style w:type="table" w:styleId="9">
    <w:name w:val="Table Grid"/>
    <w:basedOn w:val="3"/>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0">
    <w:name w:val="Unresolved Mention"/>
    <w:basedOn w:val="2"/>
    <w:semiHidden/>
    <w:unhideWhenUsed/>
    <w:uiPriority w:val="99"/>
    <w:rPr>
      <w:color w:val="605E5C"/>
      <w:shd w:val="clear" w:color="auto" w:fill="E1DFDD"/>
    </w:rPr>
  </w:style>
  <w:style w:type="paragraph" w:styleId="11">
    <w:name w:val="No Spacing"/>
    <w:qFormat/>
    <w:uiPriority w:val="1"/>
    <w:pPr>
      <w:spacing w:after="0" w:line="240" w:lineRule="auto"/>
    </w:pPr>
    <w:rPr>
      <w:rFonts w:asciiTheme="minorHAnsi" w:hAnsiTheme="minorHAnsi" w:eastAsiaTheme="minorHAnsi" w:cstheme="minorBidi"/>
      <w:kern w:val="2"/>
      <w:sz w:val="22"/>
      <w:szCs w:val="22"/>
      <w:lang w:val="en-GB" w:eastAsia="en-US" w:bidi="ar-SA"/>
      <w14:ligatures w14:val="standardContextual"/>
    </w:rPr>
  </w:style>
  <w:style w:type="table" w:customStyle="1" w:styleId="12">
    <w:name w:val="Plain Table 1"/>
    <w:basedOn w:val="3"/>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13">
    <w:name w:val="Plain Table 3"/>
    <w:basedOn w:val="3"/>
    <w:uiPriority w:val="43"/>
    <w:pPr>
      <w:spacing w:after="0" w:line="240" w:lineRule="auto"/>
    </w:pPr>
    <w:tblStylePr w:type="firstRow">
      <w:rPr>
        <w:b/>
        <w:bCs/>
        <w:caps/>
      </w:rPr>
      <w:tcPr>
        <w:tcBorders>
          <w:bottom w:val="single" w:color="7E7E7E" w:themeColor="text1" w:themeTint="80" w:sz="4" w:space="0"/>
        </w:tcBorders>
      </w:tcPr>
    </w:tblStylePr>
    <w:tblStylePr w:type="lastRow">
      <w:rPr>
        <w:b/>
        <w:bCs/>
        <w:caps/>
      </w:rPr>
      <w:tcPr>
        <w:tcBorders>
          <w:top w:val="nil"/>
        </w:tcBorders>
      </w:tcPr>
    </w:tblStylePr>
    <w:tblStylePr w:type="firstCol">
      <w:rPr>
        <w:b/>
        <w:bCs/>
        <w:caps/>
      </w:rPr>
      <w:tcPr>
        <w:tcBorders>
          <w:right w:val="single" w:color="7E7E7E" w:themeColor="text1" w:themeTint="80" w:sz="4" w:space="0"/>
        </w:tcBorders>
      </w:tcPr>
    </w:tblStylePr>
    <w:tblStylePr w:type="lastCol">
      <w:rPr>
        <w:b/>
        <w:bCs/>
        <w:caps/>
      </w:rPr>
      <w:tcPr>
        <w:tcBorders>
          <w:left w:val="nil"/>
        </w:tcBorders>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style>
  <w:style w:type="table" w:customStyle="1" w:styleId="14">
    <w:name w:val="Grid Table 5 Dark Accent 5"/>
    <w:basedOn w:val="3"/>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5"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5"/>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5"/>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5"/>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5"/>
      </w:tcPr>
    </w:tblStylePr>
    <w:tblStylePr w:type="band1Vert">
      <w:tcPr>
        <w:shd w:val="clear" w:color="auto" w:fill="BDD6EE" w:themeFill="accent5" w:themeFillTint="66"/>
      </w:tcPr>
    </w:tblStylePr>
    <w:tblStylePr w:type="band1Horz">
      <w:tcPr>
        <w:shd w:val="clear" w:color="auto" w:fill="BDD6EE" w:themeFill="accent5" w:themeFillTint="66"/>
      </w:tcPr>
    </w:tblStylePr>
  </w:style>
  <w:style w:type="paragraph" w:styleId="15">
    <w:name w:val="List Paragraph"/>
    <w:basedOn w:val="1"/>
    <w:qFormat/>
    <w:uiPriority w:val="34"/>
    <w:pPr>
      <w:ind w:left="720"/>
      <w:contextualSpacing/>
    </w:pPr>
  </w:style>
  <w:style w:type="table" w:customStyle="1" w:styleId="16">
    <w:name w:val="Plain Table 2"/>
    <w:basedOn w:val="3"/>
    <w:uiPriority w:val="42"/>
    <w:pPr>
      <w:spacing w:after="0" w:line="240" w:lineRule="auto"/>
    </w:pPr>
    <w:tblPr>
      <w:tblBorders>
        <w:top w:val="single" w:color="7E7E7E" w:themeColor="text1" w:themeTint="80" w:sz="4" w:space="0"/>
        <w:bottom w:val="single" w:color="7E7E7E" w:themeColor="text1" w:themeTint="80" w:sz="4" w:space="0"/>
      </w:tblBorders>
    </w:tblPr>
    <w:tblStylePr w:type="firstRow">
      <w:rPr>
        <w:b/>
        <w:bCs/>
      </w:rPr>
      <w:tcPr>
        <w:tcBorders>
          <w:bottom w:val="single" w:color="7E7E7E" w:themeColor="text1" w:themeTint="80" w:sz="4" w:space="0"/>
        </w:tcBorders>
      </w:tcPr>
    </w:tblStylePr>
    <w:tblStylePr w:type="lastRow">
      <w:rPr>
        <w:b/>
        <w:bCs/>
      </w:rPr>
      <w:tcPr>
        <w:tcBorders>
          <w:top w:val="single" w:color="7E7E7E" w:themeColor="text1" w:themeTint="80" w:sz="4" w:space="0"/>
        </w:tcBorders>
      </w:tcPr>
    </w:tblStylePr>
    <w:tblStylePr w:type="firstCol">
      <w:rPr>
        <w:b/>
        <w:bCs/>
      </w:rPr>
    </w:tblStylePr>
    <w:tblStylePr w:type="lastCol">
      <w:rPr>
        <w:b/>
        <w:bCs/>
      </w:rPr>
    </w:tblStylePr>
    <w:tblStylePr w:type="band1Vert">
      <w:tcPr>
        <w:tcBorders>
          <w:left w:val="single" w:color="7E7E7E" w:themeColor="text1" w:themeTint="80" w:sz="4" w:space="0"/>
          <w:right w:val="single" w:color="7E7E7E" w:themeColor="text1" w:themeTint="80" w:sz="4" w:space="0"/>
        </w:tcBorders>
      </w:tcPr>
    </w:tblStylePr>
    <w:tblStylePr w:type="band2Vert">
      <w:tcPr>
        <w:tcBorders>
          <w:left w:val="single" w:color="7E7E7E" w:themeColor="text1" w:themeTint="80" w:sz="4" w:space="0"/>
          <w:right w:val="single" w:color="7E7E7E" w:themeColor="text1" w:themeTint="80" w:sz="4" w:space="0"/>
        </w:tcBorders>
      </w:tcPr>
    </w:tblStylePr>
    <w:tblStylePr w:type="band1Horz">
      <w:tcPr>
        <w:tcBorders>
          <w:top w:val="single" w:color="7E7E7E" w:themeColor="text1" w:themeTint="80" w:sz="4" w:space="0"/>
          <w:bottom w:val="single" w:color="7E7E7E" w:themeColor="text1" w:themeTint="80" w:sz="4" w:space="0"/>
        </w:tcBorders>
      </w:tcPr>
    </w:tblStylePr>
  </w:style>
  <w:style w:type="table" w:customStyle="1" w:styleId="17">
    <w:name w:val="Grid Table 4 Accent 6"/>
    <w:basedOn w:val="3"/>
    <w:uiPriority w:val="49"/>
    <w:pPr>
      <w:spacing w:after="0" w:line="240" w:lineRule="auto"/>
    </w:pPr>
    <w:tblPr>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14:textFill>
          <w14:solidFill>
            <w14:schemeClr w14:val="bg1"/>
          </w14:solidFill>
        </w14:textFill>
      </w:r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cPr>
        <w:tcBorders>
          <w:top w:val="double" w:color="70AD47" w:themeColor="accent6" w:sz="4" w:space="0"/>
        </w:tcBorders>
      </w:tcPr>
    </w:tblStylePr>
    <w:tblStylePr w:type="firstCol">
      <w:rPr>
        <w:b/>
        <w:bCs/>
      </w:rPr>
    </w:tblStylePr>
    <w:tblStylePr w:type="lastCol">
      <w:rPr>
        <w:b/>
        <w:bCs/>
      </w:rPr>
    </w:tblStylePr>
    <w:tblStylePr w:type="band1Vert">
      <w:tcPr>
        <w:shd w:val="clear" w:color="auto" w:fill="E2EFD9" w:themeFill="accent6" w:themeFillTint="33"/>
      </w:tcPr>
    </w:tblStylePr>
    <w:tblStylePr w:type="band1Horz">
      <w:tcPr>
        <w:shd w:val="clear" w:color="auto" w:fill="E2EFD9" w:themeFill="accent6" w:themeFillTint="33"/>
      </w:tcPr>
    </w:tblStylePr>
  </w:style>
  <w:style w:type="table" w:customStyle="1" w:styleId="18">
    <w:name w:val="Grid Table 5 Dark Accent 6"/>
    <w:basedOn w:val="3"/>
    <w:uiPriority w:val="50"/>
    <w:pPr>
      <w:spacing w:after="0" w:line="240" w:lineRule="auto"/>
    </w:pPr>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cPr>
        <w:shd w:val="clear" w:color="auto" w:fill="C5E0B3" w:themeFill="accent6" w:themeFillTint="66"/>
      </w:tcPr>
    </w:tblStylePr>
    <w:tblStylePr w:type="band1Horz">
      <w:tcPr>
        <w:shd w:val="clear" w:color="auto" w:fill="C5E0B3" w:themeFill="accent6" w:themeFillTint="66"/>
      </w:tcPr>
    </w:tblStylePr>
  </w:style>
  <w:style w:type="character" w:customStyle="1" w:styleId="19">
    <w:name w:val="Header Char"/>
    <w:basedOn w:val="2"/>
    <w:link w:val="5"/>
    <w:uiPriority w:val="99"/>
  </w:style>
  <w:style w:type="character" w:customStyle="1" w:styleId="20">
    <w:name w:val="Footer Char"/>
    <w:basedOn w:val="2"/>
    <w:link w:val="4"/>
    <w:uiPriority w:val="99"/>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646772474683013"/>
          <c:y val="0.209785067873303"/>
          <c:w val="0.524984960647772"/>
          <c:h val="0.529618858445862"/>
        </c:manualLayout>
      </c:layout>
      <c:barChart>
        <c:barDir val="col"/>
        <c:grouping val="clustered"/>
        <c:varyColors val="0"/>
        <c:ser>
          <c:idx val="0"/>
          <c:order val="0"/>
          <c:tx>
            <c:strRef>
              <c:f>Sheet1!$B$1</c:f>
              <c:strCache>
                <c:ptCount val="1"/>
                <c:pt idx="0">
                  <c:v>merriott </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delete val="1"/>
          </c:dLbls>
          <c:cat>
            <c:strRef>
              <c:f>Sheet1!$A$2:$A$5</c:f>
              <c:strCache>
                <c:ptCount val="2"/>
                <c:pt idx="1">
                  <c:v>propreties </c:v>
                </c:pt>
              </c:strCache>
            </c:strRef>
          </c:cat>
          <c:val>
            <c:numRef>
              <c:f>Sheet1!$B$2:$B$5</c:f>
              <c:numCache>
                <c:formatCode>General</c:formatCode>
                <c:ptCount val="4"/>
                <c:pt idx="1">
                  <c:v>394</c:v>
                </c:pt>
              </c:numCache>
            </c:numRef>
          </c:val>
        </c:ser>
        <c:ser>
          <c:idx val="1"/>
          <c:order val="1"/>
          <c:tx>
            <c:strRef>
              <c:f>Sheet1!$C$1</c:f>
              <c:strCache>
                <c:ptCount val="1"/>
                <c:pt idx="0">
                  <c:v>accor</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dLbls>
            <c:delete val="1"/>
          </c:dLbls>
          <c:cat>
            <c:strRef>
              <c:f>Sheet1!$A$2:$A$5</c:f>
              <c:strCache>
                <c:ptCount val="2"/>
                <c:pt idx="1">
                  <c:v>propreties </c:v>
                </c:pt>
              </c:strCache>
            </c:strRef>
          </c:cat>
          <c:val>
            <c:numRef>
              <c:f>Sheet1!$C$2:$C$5</c:f>
              <c:numCache>
                <c:formatCode>General</c:formatCode>
                <c:ptCount val="4"/>
                <c:pt idx="1">
                  <c:v>299</c:v>
                </c:pt>
              </c:numCache>
            </c:numRef>
          </c:val>
        </c:ser>
        <c:ser>
          <c:idx val="2"/>
          <c:order val="2"/>
          <c:tx>
            <c:strRef>
              <c:f>Sheet1!$D$1</c:f>
              <c:strCache>
                <c:ptCount val="1"/>
                <c:pt idx="0">
                  <c:v>Column1</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dLbls>
            <c:delete val="1"/>
          </c:dLbls>
          <c:cat>
            <c:strRef>
              <c:f>Sheet1!$A$2:$A$5</c:f>
              <c:strCache>
                <c:ptCount val="2"/>
                <c:pt idx="1">
                  <c:v>propreties </c:v>
                </c:pt>
              </c:strCache>
            </c:strRef>
          </c:cat>
          <c:val>
            <c:numRef>
              <c:f>Sheet1!$D$2:$D$5</c:f>
              <c:numCache>
                <c:formatCode>General</c:formatCode>
                <c:ptCount val="4"/>
              </c:numCache>
            </c:numRef>
          </c:val>
        </c:ser>
        <c:dLbls>
          <c:showLegendKey val="0"/>
          <c:showVal val="0"/>
          <c:showCatName val="0"/>
          <c:showSerName val="0"/>
          <c:showPercent val="0"/>
          <c:showBubbleSize val="0"/>
        </c:dLbls>
        <c:gapWidth val="65"/>
        <c:axId val="809272960"/>
        <c:axId val="809276320"/>
      </c:barChart>
      <c:catAx>
        <c:axId val="8092729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lang="en-GB" sz="900" b="0" i="0" u="none" strike="noStrike" kern="1200" cap="all" baseline="0">
                <a:solidFill>
                  <a:schemeClr val="dk1">
                    <a:lumMod val="75000"/>
                    <a:lumOff val="25000"/>
                  </a:schemeClr>
                </a:solidFill>
                <a:latin typeface="+mn-lt"/>
                <a:ea typeface="+mn-ea"/>
                <a:cs typeface="+mn-cs"/>
              </a:defRPr>
            </a:pPr>
          </a:p>
        </c:txPr>
        <c:crossAx val="809276320"/>
        <c:crosses val="autoZero"/>
        <c:auto val="1"/>
        <c:lblAlgn val="ctr"/>
        <c:lblOffset val="100"/>
        <c:noMultiLvlLbl val="0"/>
      </c:catAx>
      <c:valAx>
        <c:axId val="80927632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GB" sz="900" b="0" i="0" u="none" strike="noStrike" kern="1200" baseline="0">
                <a:solidFill>
                  <a:schemeClr val="dk1">
                    <a:lumMod val="75000"/>
                    <a:lumOff val="25000"/>
                  </a:schemeClr>
                </a:solidFill>
                <a:latin typeface="+mn-lt"/>
                <a:ea typeface="+mn-ea"/>
                <a:cs typeface="+mn-cs"/>
              </a:defRPr>
            </a:pPr>
          </a:p>
        </c:txPr>
        <c:crossAx val="809272960"/>
        <c:crosses val="autoZero"/>
        <c:crossBetween val="between"/>
      </c:valAx>
      <c:spPr>
        <a:noFill/>
        <a:ln>
          <a:noFill/>
        </a:ln>
        <a:effectLst/>
      </c:spPr>
    </c:plotArea>
    <c:legend>
      <c:legendPos val="b"/>
      <c:legendEntry>
        <c:idx val="2"/>
        <c:delete val="1"/>
      </c:legendEntry>
      <c:layout/>
      <c:overlay val="0"/>
      <c:spPr>
        <a:solidFill>
          <a:schemeClr val="lt1">
            <a:lumMod val="95000"/>
            <a:alpha val="39000"/>
          </a:schemeClr>
        </a:solidFill>
        <a:ln>
          <a:noFill/>
        </a:ln>
        <a:effectLst/>
      </c:spPr>
      <c:txPr>
        <a:bodyPr rot="0" spcFirstLastPara="1" vertOverflow="ellipsis" vert="horz" wrap="square" anchor="ctr" anchorCtr="1"/>
        <a:lstStyle/>
        <a:p>
          <a:pPr>
            <a:defRPr lang="en-GB" sz="900" b="0" i="0" u="none" strike="noStrike" kern="1200" baseline="0">
              <a:solidFill>
                <a:schemeClr val="dk1">
                  <a:lumMod val="75000"/>
                  <a:lumOff val="25000"/>
                </a:schemeClr>
              </a:solidFill>
              <a:latin typeface="+mn-lt"/>
              <a:ea typeface="+mn-ea"/>
              <a:cs typeface="+mn-cs"/>
            </a:defRPr>
          </a:pPr>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lang="en-GB"/>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15</Pages>
  <Words>2942</Words>
  <Characters>16772</Characters>
  <Lines>139</Lines>
  <Paragraphs>39</Paragraphs>
  <TotalTime>1525</TotalTime>
  <ScaleCrop>false</ScaleCrop>
  <LinksUpToDate>false</LinksUpToDate>
  <CharactersWithSpaces>19675</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2023-05-04T12:44:00Z</dcterms:created>
  <dc:creator>roxana belu</dc:creator>
  <cp:lastModifiedBy>Anastasia Petrov</cp:lastModifiedBy>
  <dcterms:modified xsi:type="dcterms:W3CDTF">2023-05-21T20:24:01Z</dcterms:modified>
  <cp:revision>665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2057-11.2.0.11537</vt:lpwstr>
  </property>
  <property fmtid="{D5CDD505-2E9C-101B-9397-08002B2CF9AE}" pid="3" name="ICV">
    <vt:lpwstr>B8A7248A9C484038B4A7F592E4102905</vt:lpwstr>
  </property>
</Properties>
</file>