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06B94" w14:textId="7DB66E56" w:rsidR="000561E6" w:rsidRPr="006D67A8" w:rsidRDefault="000561E6" w:rsidP="000561E6">
      <w:pPr>
        <w:spacing w:line="360" w:lineRule="auto"/>
        <w:jc w:val="center"/>
        <w:rPr>
          <w:rFonts w:ascii="Arial" w:hAnsi="Arial" w:cs="Arial"/>
          <w:color w:val="000000" w:themeColor="text1"/>
          <w:sz w:val="40"/>
          <w:szCs w:val="40"/>
        </w:rPr>
      </w:pPr>
      <w:r w:rsidRPr="006D67A8">
        <w:rPr>
          <w:rFonts w:ascii="Arial" w:hAnsi="Arial" w:cs="Arial"/>
          <w:color w:val="000000" w:themeColor="text1"/>
          <w:sz w:val="40"/>
          <w:szCs w:val="40"/>
        </w:rPr>
        <w:t>Name: Safina Bibi</w:t>
      </w:r>
      <w:r w:rsidRPr="006D67A8">
        <w:rPr>
          <w:rFonts w:ascii="Arial" w:hAnsi="Arial" w:cs="Arial"/>
          <w:color w:val="000000" w:themeColor="text1"/>
          <w:sz w:val="40"/>
          <w:szCs w:val="40"/>
        </w:rPr>
        <w:br/>
        <w:t>Student Number: 2243482</w:t>
      </w:r>
      <w:r w:rsidRPr="006D67A8">
        <w:rPr>
          <w:rFonts w:ascii="Arial" w:hAnsi="Arial" w:cs="Arial"/>
          <w:color w:val="000000" w:themeColor="text1"/>
          <w:sz w:val="40"/>
          <w:szCs w:val="40"/>
        </w:rPr>
        <w:br/>
        <w:t>Module Code: BMHP6027</w:t>
      </w:r>
      <w:r w:rsidRPr="006D67A8">
        <w:rPr>
          <w:rFonts w:ascii="Arial" w:hAnsi="Arial" w:cs="Arial"/>
          <w:color w:val="000000" w:themeColor="text1"/>
          <w:sz w:val="40"/>
          <w:szCs w:val="40"/>
        </w:rPr>
        <w:br/>
        <w:t xml:space="preserve">Assignment Title: Component </w:t>
      </w:r>
      <w:r w:rsidR="002F2049">
        <w:rPr>
          <w:rFonts w:ascii="Arial" w:hAnsi="Arial" w:cs="Arial"/>
          <w:color w:val="000000" w:themeColor="text1"/>
          <w:sz w:val="40"/>
          <w:szCs w:val="40"/>
        </w:rPr>
        <w:t>2</w:t>
      </w:r>
      <w:r w:rsidRPr="006D67A8">
        <w:rPr>
          <w:rFonts w:ascii="Arial" w:hAnsi="Arial" w:cs="Arial"/>
          <w:color w:val="000000" w:themeColor="text1"/>
          <w:sz w:val="40"/>
          <w:szCs w:val="40"/>
        </w:rPr>
        <w:t>:</w:t>
      </w:r>
      <w:r w:rsidR="002F2049">
        <w:rPr>
          <w:rFonts w:ascii="Arial" w:hAnsi="Arial" w:cs="Arial"/>
          <w:color w:val="000000" w:themeColor="text1"/>
          <w:sz w:val="40"/>
          <w:szCs w:val="40"/>
        </w:rPr>
        <w:t xml:space="preserve"> Debate/</w:t>
      </w:r>
      <w:r w:rsidR="00B279A1">
        <w:rPr>
          <w:rFonts w:ascii="Arial" w:hAnsi="Arial" w:cs="Arial"/>
          <w:color w:val="000000" w:themeColor="text1"/>
          <w:sz w:val="40"/>
          <w:szCs w:val="40"/>
        </w:rPr>
        <w:t xml:space="preserve"> Discussion </w:t>
      </w:r>
      <w:r w:rsidRPr="006D67A8">
        <w:rPr>
          <w:rFonts w:ascii="Arial" w:hAnsi="Arial" w:cs="Arial"/>
          <w:color w:val="000000" w:themeColor="text1"/>
          <w:sz w:val="40"/>
          <w:szCs w:val="40"/>
        </w:rPr>
        <w:br/>
        <w:t>Lecturer: Kennedy Obohwemu</w:t>
      </w:r>
    </w:p>
    <w:p w14:paraId="79AF8529" w14:textId="77777777" w:rsidR="000561E6" w:rsidRDefault="000561E6" w:rsidP="000561E6">
      <w:pPr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05E2074A" w14:textId="77777777" w:rsidR="005B7DB5" w:rsidRDefault="005B7DB5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2DEAAC4" w14:textId="77777777" w:rsidR="005B7DB5" w:rsidRDefault="005B7DB5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65DAC191" w14:textId="77777777" w:rsidR="005B7DB5" w:rsidRDefault="005B7DB5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12CF90A5" w14:textId="77777777" w:rsidR="005B7DB5" w:rsidRDefault="005B7DB5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769915A5" w14:textId="77777777" w:rsidR="005B7DB5" w:rsidRDefault="005B7DB5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F3DAA60" w14:textId="77777777" w:rsidR="005B7DB5" w:rsidRDefault="005B7DB5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26B5B80E" w14:textId="77777777" w:rsidR="005B7DB5" w:rsidRDefault="005B7DB5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795E0251" w14:textId="77777777" w:rsidR="005B7DB5" w:rsidRDefault="005B7DB5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AE84784" w14:textId="77777777" w:rsidR="005B7DB5" w:rsidRDefault="005B7DB5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2881E233" w14:textId="77777777" w:rsidR="005B7DB5" w:rsidRDefault="005B7DB5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4704BA25" w14:textId="77777777" w:rsidR="005B7DB5" w:rsidRDefault="005B7DB5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44D59FD" w14:textId="77777777" w:rsidR="005B7DB5" w:rsidRDefault="005B7DB5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5F296DB1" w14:textId="77777777" w:rsidR="006D67A8" w:rsidRDefault="006D67A8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282ADCA9" w14:textId="120183C9" w:rsidR="006B6D92" w:rsidRPr="006B6D92" w:rsidRDefault="006B6D92" w:rsidP="00BA08C5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6B6D92">
        <w:rPr>
          <w:rFonts w:ascii="Arial" w:hAnsi="Arial" w:cs="Arial"/>
          <w:b/>
          <w:bCs/>
          <w:color w:val="000000" w:themeColor="text1"/>
          <w:sz w:val="32"/>
          <w:szCs w:val="32"/>
        </w:rPr>
        <w:lastRenderedPageBreak/>
        <w:t>References</w:t>
      </w:r>
    </w:p>
    <w:p w14:paraId="0F60168A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Alzheimer’s Society. (2023) </w:t>
      </w:r>
      <w:r w:rsidRPr="006B6D92">
        <w:rPr>
          <w:rFonts w:ascii="Arial" w:hAnsi="Arial" w:cs="Arial"/>
          <w:i/>
          <w:iCs/>
          <w:sz w:val="22"/>
          <w:szCs w:val="22"/>
        </w:rPr>
        <w:t>Dementia statistics hub</w:t>
      </w:r>
      <w:r w:rsidRPr="006B6D92">
        <w:rPr>
          <w:rFonts w:ascii="Arial" w:hAnsi="Arial" w:cs="Arial"/>
          <w:sz w:val="22"/>
          <w:szCs w:val="22"/>
        </w:rPr>
        <w:t xml:space="preserve">. Available at: </w:t>
      </w:r>
      <w:hyperlink r:id="rId6" w:history="1">
        <w:r w:rsidRPr="006B6D92">
          <w:rPr>
            <w:rStyle w:val="Hyperlink"/>
            <w:rFonts w:ascii="Arial" w:hAnsi="Arial" w:cs="Arial"/>
            <w:sz w:val="22"/>
            <w:szCs w:val="22"/>
          </w:rPr>
          <w:t>https://www.alzheimers.org.uk/about-dementia/facts-and-figures</w:t>
        </w:r>
      </w:hyperlink>
      <w:r w:rsidRPr="006B6D92">
        <w:rPr>
          <w:rFonts w:ascii="Arial" w:hAnsi="Arial" w:cs="Arial"/>
          <w:sz w:val="22"/>
          <w:szCs w:val="22"/>
        </w:rPr>
        <w:t xml:space="preserve"> (Accessed: 8 March 2026).</w:t>
      </w:r>
    </w:p>
    <w:p w14:paraId="744D691F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Ang, S.G.M., O’Brien, A.P. and Wilson, A. (2020) ‘Carers’ concern for older people falling at home: an integrative review’, </w:t>
      </w:r>
      <w:r w:rsidRPr="006B6D92">
        <w:rPr>
          <w:rFonts w:ascii="Arial" w:hAnsi="Arial" w:cs="Arial"/>
          <w:i/>
          <w:iCs/>
          <w:sz w:val="22"/>
          <w:szCs w:val="22"/>
        </w:rPr>
        <w:t>Singapore Medical Journal</w:t>
      </w:r>
      <w:r w:rsidRPr="006B6D92">
        <w:rPr>
          <w:rFonts w:ascii="Arial" w:hAnsi="Arial" w:cs="Arial"/>
          <w:sz w:val="22"/>
          <w:szCs w:val="22"/>
        </w:rPr>
        <w:t>, 61(5), pp. 272–280.</w:t>
      </w:r>
    </w:p>
    <w:p w14:paraId="58C6C4EB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Bölenius, K., Lämås, K. and Edvardsson, D. (2023) ‘Older adults’ experiences of self-determination when needing homecare services – an interview study’, </w:t>
      </w:r>
      <w:r w:rsidRPr="006B6D92">
        <w:rPr>
          <w:rFonts w:ascii="Arial" w:hAnsi="Arial" w:cs="Arial"/>
          <w:i/>
          <w:iCs/>
          <w:sz w:val="22"/>
          <w:szCs w:val="22"/>
        </w:rPr>
        <w:t>BMC Geriatrics</w:t>
      </w:r>
      <w:r w:rsidRPr="006B6D92">
        <w:rPr>
          <w:rFonts w:ascii="Arial" w:hAnsi="Arial" w:cs="Arial"/>
          <w:sz w:val="22"/>
          <w:szCs w:val="22"/>
        </w:rPr>
        <w:t>, 23(1), 824.</w:t>
      </w:r>
    </w:p>
    <w:p w14:paraId="5C7D528C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Centre for Ageing Better. (2025) </w:t>
      </w:r>
      <w:r w:rsidRPr="006B6D92">
        <w:rPr>
          <w:rFonts w:ascii="Arial" w:hAnsi="Arial" w:cs="Arial"/>
          <w:i/>
          <w:iCs/>
          <w:sz w:val="22"/>
          <w:szCs w:val="22"/>
        </w:rPr>
        <w:t>The State of Ageing 2025: Our ageing population</w:t>
      </w:r>
      <w:r w:rsidRPr="006B6D92">
        <w:rPr>
          <w:rFonts w:ascii="Arial" w:hAnsi="Arial" w:cs="Arial"/>
          <w:sz w:val="22"/>
          <w:szCs w:val="22"/>
        </w:rPr>
        <w:t xml:space="preserve">. Available at: </w:t>
      </w:r>
      <w:hyperlink r:id="rId7" w:history="1">
        <w:r w:rsidRPr="006B6D92">
          <w:rPr>
            <w:rStyle w:val="Hyperlink"/>
            <w:rFonts w:ascii="Arial" w:hAnsi="Arial" w:cs="Arial"/>
            <w:sz w:val="22"/>
            <w:szCs w:val="22"/>
          </w:rPr>
          <w:t>https://ageing-better.org.uk/our-ageing-population-state-ageing-2025</w:t>
        </w:r>
      </w:hyperlink>
      <w:r w:rsidRPr="006B6D92">
        <w:rPr>
          <w:rFonts w:ascii="Arial" w:hAnsi="Arial" w:cs="Arial"/>
          <w:sz w:val="22"/>
          <w:szCs w:val="22"/>
        </w:rPr>
        <w:t xml:space="preserve">  (Accessed: 8 March 2026).</w:t>
      </w:r>
    </w:p>
    <w:p w14:paraId="4ED4A345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Crocker, T.F., Ensor, J., Lam, N., Jordão, M., Bajpai, R., Bond, M., Forster, A., Riley, R.D., Andre, D., Brundle, C., Ellwood, A., Green, J., Hale, M., Mirza, L., Morgan, J., Patel, I., Patetsini, E., Prescott, M., Ramiz, R., Todd, O. and Clegg, A. (2024) ‘Community-based complex interventions to sustain independence in older people: systematic review and network meta-analysis’, </w:t>
      </w:r>
      <w:r w:rsidRPr="006B6D92">
        <w:rPr>
          <w:rFonts w:ascii="Arial" w:hAnsi="Arial" w:cs="Arial"/>
          <w:i/>
          <w:iCs/>
          <w:sz w:val="22"/>
          <w:szCs w:val="22"/>
        </w:rPr>
        <w:t>BMJ</w:t>
      </w:r>
      <w:r w:rsidRPr="006B6D92">
        <w:rPr>
          <w:rFonts w:ascii="Arial" w:hAnsi="Arial" w:cs="Arial"/>
          <w:sz w:val="22"/>
          <w:szCs w:val="22"/>
        </w:rPr>
        <w:t>, 384, e077764.</w:t>
      </w:r>
    </w:p>
    <w:p w14:paraId="4E8862CF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Costlow, K. and Parmelee, P.A. (2020) ‘The impact of relocation stress on cognitively impaired and cognitively unimpaired long-term care residents’, </w:t>
      </w:r>
      <w:r w:rsidRPr="006B6D92">
        <w:rPr>
          <w:rFonts w:ascii="Arial" w:hAnsi="Arial" w:cs="Arial"/>
          <w:i/>
          <w:iCs/>
          <w:sz w:val="22"/>
          <w:szCs w:val="22"/>
        </w:rPr>
        <w:t>Aging &amp; Mental Health</w:t>
      </w:r>
      <w:r w:rsidRPr="006B6D92">
        <w:rPr>
          <w:rFonts w:ascii="Arial" w:hAnsi="Arial" w:cs="Arial"/>
          <w:sz w:val="22"/>
          <w:szCs w:val="22"/>
        </w:rPr>
        <w:t>, 24(10), pp. 1589–1595.</w:t>
      </w:r>
    </w:p>
    <w:p w14:paraId="614389BF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Chifu, V.R., Pop, C.B., Demjen, D., Socaci, R., Todea, D., Antal, M., Cioara, T., Anghel, I. and Antal, C. (2022) ‘Identifying and monitoring the daily routine of seniors living at home’, </w:t>
      </w:r>
      <w:r w:rsidRPr="006B6D92">
        <w:rPr>
          <w:rFonts w:ascii="Arial" w:hAnsi="Arial" w:cs="Arial"/>
          <w:i/>
          <w:iCs/>
          <w:sz w:val="22"/>
          <w:szCs w:val="22"/>
        </w:rPr>
        <w:t>Sensors</w:t>
      </w:r>
      <w:r w:rsidRPr="006B6D92">
        <w:rPr>
          <w:rFonts w:ascii="Arial" w:hAnsi="Arial" w:cs="Arial"/>
          <w:sz w:val="22"/>
          <w:szCs w:val="22"/>
        </w:rPr>
        <w:t>, 22(3), 992.</w:t>
      </w:r>
    </w:p>
    <w:p w14:paraId="77084976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Department of Health and Social Care. (2025) </w:t>
      </w:r>
      <w:r w:rsidRPr="006B6D92">
        <w:rPr>
          <w:rFonts w:ascii="Arial" w:hAnsi="Arial" w:cs="Arial"/>
          <w:i/>
          <w:iCs/>
          <w:sz w:val="22"/>
          <w:szCs w:val="22"/>
        </w:rPr>
        <w:t>Adult social care in England: monthly statistics</w:t>
      </w:r>
      <w:r w:rsidRPr="006B6D92">
        <w:rPr>
          <w:rFonts w:ascii="Arial" w:hAnsi="Arial" w:cs="Arial"/>
          <w:sz w:val="22"/>
          <w:szCs w:val="22"/>
        </w:rPr>
        <w:t xml:space="preserve">. Available at: </w:t>
      </w:r>
      <w:hyperlink r:id="rId8" w:history="1">
        <w:r w:rsidRPr="006B6D92">
          <w:rPr>
            <w:rStyle w:val="Hyperlink"/>
            <w:rFonts w:ascii="Arial" w:hAnsi="Arial" w:cs="Arial"/>
            <w:sz w:val="22"/>
            <w:szCs w:val="22"/>
          </w:rPr>
          <w:t>https://www.gov.uk/government/statistics/adult-social-care-in-england-monthly-statistics-july-2025</w:t>
        </w:r>
      </w:hyperlink>
      <w:r w:rsidRPr="006B6D92">
        <w:rPr>
          <w:rFonts w:ascii="Arial" w:hAnsi="Arial" w:cs="Arial"/>
          <w:sz w:val="22"/>
          <w:szCs w:val="22"/>
        </w:rPr>
        <w:t xml:space="preserve">  (Accessed: 8 March 2026).</w:t>
      </w:r>
    </w:p>
    <w:p w14:paraId="13F73559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Lopez, J., Perez-Rojo, G., Noriega, C., Sánchez-Cabaco, A., Sitges, E. and Bonete, B. (2024) ‘Quality-of-life in older adults: its association with emotional distress and psychological wellbeing’, </w:t>
      </w:r>
      <w:r w:rsidRPr="006B6D92">
        <w:rPr>
          <w:rFonts w:ascii="Arial" w:hAnsi="Arial" w:cs="Arial"/>
          <w:i/>
          <w:iCs/>
          <w:sz w:val="22"/>
          <w:szCs w:val="22"/>
        </w:rPr>
        <w:t>BMC Geriatrics</w:t>
      </w:r>
      <w:r w:rsidRPr="006B6D92">
        <w:rPr>
          <w:rFonts w:ascii="Arial" w:hAnsi="Arial" w:cs="Arial"/>
          <w:sz w:val="22"/>
          <w:szCs w:val="22"/>
        </w:rPr>
        <w:t>, 24(1), 815.</w:t>
      </w:r>
    </w:p>
    <w:p w14:paraId="0DC64604" w14:textId="77777777" w:rsidR="006B6D92" w:rsidRPr="006B6D92" w:rsidRDefault="006B6D92" w:rsidP="006B6D92">
      <w:pPr>
        <w:pStyle w:val="p1"/>
        <w:spacing w:line="360" w:lineRule="auto"/>
        <w:rPr>
          <w:rStyle w:val="apple-converted-space"/>
          <w:rFonts w:ascii="Arial" w:eastAsiaTheme="majorEastAsia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lastRenderedPageBreak/>
        <w:t xml:space="preserve">Lee, V.S.P., Simpson, J. and Froggatt, K. (2013) ‘A narrative exploration of older people’s transitions into residential care’, </w:t>
      </w:r>
      <w:r w:rsidRPr="006B6D92">
        <w:rPr>
          <w:rFonts w:ascii="Arial" w:hAnsi="Arial" w:cs="Arial"/>
          <w:i/>
          <w:iCs/>
          <w:sz w:val="22"/>
          <w:szCs w:val="22"/>
        </w:rPr>
        <w:t>Aging &amp; Mental Health</w:t>
      </w:r>
      <w:r w:rsidRPr="006B6D92">
        <w:rPr>
          <w:rFonts w:ascii="Arial" w:hAnsi="Arial" w:cs="Arial"/>
          <w:sz w:val="22"/>
          <w:szCs w:val="22"/>
        </w:rPr>
        <w:t>, 17(1), pp. 48–56.</w:t>
      </w:r>
      <w:r w:rsidRPr="006B6D92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</w:p>
    <w:p w14:paraId="0A78C127" w14:textId="77777777" w:rsidR="006B6D92" w:rsidRPr="006B6D92" w:rsidRDefault="006B6D92" w:rsidP="006B6D92">
      <w:pPr>
        <w:pStyle w:val="p1"/>
        <w:spacing w:line="360" w:lineRule="auto"/>
        <w:rPr>
          <w:rFonts w:ascii="Arial" w:eastAsiaTheme="majorEastAsia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Moilanen, T., Pietilä, I. and Kangasniemi, M. (2020) ‘Older people’s perceived autonomy in residential care: An integrative review’, </w:t>
      </w:r>
      <w:r w:rsidRPr="006B6D92">
        <w:rPr>
          <w:rFonts w:ascii="Arial" w:hAnsi="Arial" w:cs="Arial"/>
          <w:i/>
          <w:iCs/>
          <w:sz w:val="22"/>
          <w:szCs w:val="22"/>
        </w:rPr>
        <w:t>International Journal of Older People Nursing</w:t>
      </w:r>
      <w:r w:rsidRPr="006B6D92">
        <w:rPr>
          <w:rFonts w:ascii="Arial" w:hAnsi="Arial" w:cs="Arial"/>
          <w:sz w:val="22"/>
          <w:szCs w:val="22"/>
        </w:rPr>
        <w:t xml:space="preserve">, 15(3). </w:t>
      </w:r>
    </w:p>
    <w:p w14:paraId="5596A366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color w:val="1B1B1B"/>
          <w:sz w:val="22"/>
          <w:szCs w:val="22"/>
          <w:shd w:val="clear" w:color="auto" w:fill="FFFFFF"/>
        </w:rPr>
      </w:pPr>
      <w:r w:rsidRPr="006B6D92">
        <w:rPr>
          <w:rFonts w:ascii="Arial" w:hAnsi="Arial" w:cs="Arial"/>
          <w:color w:val="1B1B1B"/>
          <w:sz w:val="22"/>
          <w:szCs w:val="22"/>
          <w:shd w:val="clear" w:color="auto" w:fill="FFFFFF"/>
        </w:rPr>
        <w:t>Moilanen, T., Kangasniemi, M., Papinaho, O., Mynttinen, M., Siipi, H., Suominen, S., &amp; Suhonen, R. (2021) Older people's perceived autonomy in residential care: An integrative review.</w:t>
      </w:r>
      <w:r w:rsidRPr="006B6D92">
        <w:rPr>
          <w:rStyle w:val="apple-converted-space"/>
          <w:rFonts w:ascii="Arial" w:eastAsiaTheme="majorEastAsia" w:hAnsi="Arial" w:cs="Arial"/>
          <w:color w:val="1B1B1B"/>
          <w:sz w:val="22"/>
          <w:szCs w:val="22"/>
          <w:shd w:val="clear" w:color="auto" w:fill="FFFFFF"/>
        </w:rPr>
        <w:t> </w:t>
      </w:r>
      <w:r w:rsidRPr="006B6D92">
        <w:rPr>
          <w:rFonts w:ascii="Arial" w:hAnsi="Arial" w:cs="Arial"/>
          <w:i/>
          <w:iCs/>
          <w:color w:val="1B1B1B"/>
          <w:sz w:val="22"/>
          <w:szCs w:val="22"/>
        </w:rPr>
        <w:t>Nursing ethics</w:t>
      </w:r>
      <w:r w:rsidRPr="006B6D92">
        <w:rPr>
          <w:rFonts w:ascii="Arial" w:hAnsi="Arial" w:cs="Arial"/>
          <w:color w:val="1B1B1B"/>
          <w:sz w:val="22"/>
          <w:szCs w:val="22"/>
          <w:shd w:val="clear" w:color="auto" w:fill="FFFFFF"/>
        </w:rPr>
        <w:t>,</w:t>
      </w:r>
      <w:r w:rsidRPr="006B6D92">
        <w:rPr>
          <w:rStyle w:val="apple-converted-space"/>
          <w:rFonts w:ascii="Arial" w:eastAsiaTheme="majorEastAsia" w:hAnsi="Arial" w:cs="Arial"/>
          <w:color w:val="1B1B1B"/>
          <w:sz w:val="22"/>
          <w:szCs w:val="22"/>
          <w:shd w:val="clear" w:color="auto" w:fill="FFFFFF"/>
        </w:rPr>
        <w:t> </w:t>
      </w:r>
      <w:r w:rsidRPr="006B6D92">
        <w:rPr>
          <w:rFonts w:ascii="Arial" w:hAnsi="Arial" w:cs="Arial"/>
          <w:i/>
          <w:iCs/>
          <w:color w:val="1B1B1B"/>
          <w:sz w:val="22"/>
          <w:szCs w:val="22"/>
        </w:rPr>
        <w:t>28</w:t>
      </w:r>
      <w:r w:rsidRPr="006B6D92">
        <w:rPr>
          <w:rFonts w:ascii="Arial" w:hAnsi="Arial" w:cs="Arial"/>
          <w:color w:val="1B1B1B"/>
          <w:sz w:val="22"/>
          <w:szCs w:val="22"/>
          <w:shd w:val="clear" w:color="auto" w:fill="FFFFFF"/>
        </w:rPr>
        <w:t>(3), 414–434.</w:t>
      </w:r>
    </w:p>
    <w:p w14:paraId="0F075CAB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National Institute for Health and Care Excellence. (2015) </w:t>
      </w:r>
      <w:r w:rsidRPr="006B6D92">
        <w:rPr>
          <w:rFonts w:ascii="Arial" w:hAnsi="Arial" w:cs="Arial"/>
          <w:i/>
          <w:iCs/>
          <w:sz w:val="22"/>
          <w:szCs w:val="22"/>
        </w:rPr>
        <w:t>Older people with social care needs and multiple long-term conditions (NG22)</w:t>
      </w:r>
      <w:r w:rsidRPr="006B6D92">
        <w:rPr>
          <w:rFonts w:ascii="Arial" w:hAnsi="Arial" w:cs="Arial"/>
          <w:sz w:val="22"/>
          <w:szCs w:val="22"/>
        </w:rPr>
        <w:t xml:space="preserve">. Available at: </w:t>
      </w:r>
      <w:hyperlink r:id="rId9" w:history="1">
        <w:r w:rsidRPr="006B6D92">
          <w:rPr>
            <w:rStyle w:val="Hyperlink"/>
            <w:rFonts w:ascii="Arial" w:hAnsi="Arial" w:cs="Arial"/>
            <w:sz w:val="22"/>
            <w:szCs w:val="22"/>
          </w:rPr>
          <w:t>https://www.nice.org.uk/guidance/ng22</w:t>
        </w:r>
      </w:hyperlink>
      <w:r w:rsidRPr="006B6D92">
        <w:rPr>
          <w:rFonts w:ascii="Arial" w:hAnsi="Arial" w:cs="Arial"/>
          <w:sz w:val="22"/>
          <w:szCs w:val="22"/>
        </w:rPr>
        <w:t xml:space="preserve"> (Accessed: 8 March 2026).</w:t>
      </w:r>
    </w:p>
    <w:p w14:paraId="287AD314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NHS. (2024a) </w:t>
      </w:r>
      <w:r w:rsidRPr="006B6D92">
        <w:rPr>
          <w:rFonts w:ascii="Arial" w:hAnsi="Arial" w:cs="Arial"/>
          <w:i/>
          <w:iCs/>
          <w:sz w:val="22"/>
          <w:szCs w:val="22"/>
        </w:rPr>
        <w:t>Help at home from a paid carer</w:t>
      </w:r>
      <w:r w:rsidRPr="006B6D92">
        <w:rPr>
          <w:rFonts w:ascii="Arial" w:hAnsi="Arial" w:cs="Arial"/>
          <w:sz w:val="22"/>
          <w:szCs w:val="22"/>
        </w:rPr>
        <w:t xml:space="preserve">. Available at: </w:t>
      </w:r>
      <w:hyperlink r:id="rId10" w:history="1">
        <w:r w:rsidRPr="006B6D92">
          <w:rPr>
            <w:rStyle w:val="Hyperlink"/>
            <w:rFonts w:ascii="Arial" w:hAnsi="Arial" w:cs="Arial"/>
            <w:sz w:val="22"/>
            <w:szCs w:val="22"/>
          </w:rPr>
          <w:t>https://www.nhs.uk/social-care-and-support/care-services-equipment-and-care-homes/homecare/</w:t>
        </w:r>
      </w:hyperlink>
      <w:r w:rsidRPr="006B6D92">
        <w:rPr>
          <w:rFonts w:ascii="Arial" w:hAnsi="Arial" w:cs="Arial"/>
          <w:sz w:val="22"/>
          <w:szCs w:val="22"/>
        </w:rPr>
        <w:t xml:space="preserve"> (Accessed: 6 March 2026).</w:t>
      </w:r>
    </w:p>
    <w:p w14:paraId="0B0080A2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NHS. (2024b) </w:t>
      </w:r>
      <w:r w:rsidRPr="006B6D92">
        <w:rPr>
          <w:rFonts w:ascii="Arial" w:hAnsi="Arial" w:cs="Arial"/>
          <w:i/>
          <w:iCs/>
          <w:sz w:val="22"/>
          <w:szCs w:val="22"/>
        </w:rPr>
        <w:t>Care homes</w:t>
      </w:r>
      <w:r w:rsidRPr="006B6D92">
        <w:rPr>
          <w:rFonts w:ascii="Arial" w:hAnsi="Arial" w:cs="Arial"/>
          <w:sz w:val="22"/>
          <w:szCs w:val="22"/>
        </w:rPr>
        <w:t xml:space="preserve">. Available at: </w:t>
      </w:r>
      <w:hyperlink r:id="rId11" w:history="1">
        <w:r w:rsidRPr="006B6D92">
          <w:rPr>
            <w:rStyle w:val="Hyperlink"/>
            <w:rFonts w:ascii="Arial" w:hAnsi="Arial" w:cs="Arial"/>
            <w:sz w:val="22"/>
            <w:szCs w:val="22"/>
          </w:rPr>
          <w:t>https://www.nhs.uk/social-care-and-support/care-services-equipment-and-care-homes/care-homes/</w:t>
        </w:r>
      </w:hyperlink>
      <w:r w:rsidRPr="006B6D92">
        <w:rPr>
          <w:rFonts w:ascii="Arial" w:hAnsi="Arial" w:cs="Arial"/>
          <w:sz w:val="22"/>
          <w:szCs w:val="22"/>
        </w:rPr>
        <w:t xml:space="preserve"> (Accessed: 6 March 2026).</w:t>
      </w:r>
    </w:p>
    <w:p w14:paraId="2D537C94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Ouden, M., Kuk, N.O., Zwakhalen, S.M.G., Bleijlevens, M.H.C., Meijers, J.M.M. and Hamers, J.P.H. (2017) ‘The role of nursing staff in the activities of daily living of nursing home residents’, </w:t>
      </w:r>
      <w:r w:rsidRPr="006B6D92">
        <w:rPr>
          <w:rFonts w:ascii="Arial" w:hAnsi="Arial" w:cs="Arial"/>
          <w:i/>
          <w:iCs/>
          <w:sz w:val="22"/>
          <w:szCs w:val="22"/>
        </w:rPr>
        <w:t>Geriatric Nursing</w:t>
      </w:r>
      <w:r w:rsidRPr="006B6D92">
        <w:rPr>
          <w:rFonts w:ascii="Arial" w:hAnsi="Arial" w:cs="Arial"/>
          <w:sz w:val="22"/>
          <w:szCs w:val="22"/>
        </w:rPr>
        <w:t>, 38(3), pp. 225–230.</w:t>
      </w:r>
      <w:r w:rsidRPr="006B6D92">
        <w:rPr>
          <w:rStyle w:val="apple-converted-space"/>
          <w:rFonts w:ascii="Arial" w:eastAsiaTheme="majorEastAsia" w:hAnsi="Arial" w:cs="Arial"/>
          <w:sz w:val="22"/>
          <w:szCs w:val="22"/>
        </w:rPr>
        <w:t> </w:t>
      </w:r>
    </w:p>
    <w:p w14:paraId="76DEF64E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Office for Health Improvement and Disparities. (2022) </w:t>
      </w:r>
      <w:r w:rsidRPr="006B6D92">
        <w:rPr>
          <w:rFonts w:ascii="Arial" w:hAnsi="Arial" w:cs="Arial"/>
          <w:i/>
          <w:iCs/>
          <w:sz w:val="22"/>
          <w:szCs w:val="22"/>
        </w:rPr>
        <w:t>Falls: applying All Our Health</w:t>
      </w:r>
      <w:r w:rsidRPr="006B6D92">
        <w:rPr>
          <w:rFonts w:ascii="Arial" w:hAnsi="Arial" w:cs="Arial"/>
          <w:sz w:val="22"/>
          <w:szCs w:val="22"/>
        </w:rPr>
        <w:t xml:space="preserve">. Available at: </w:t>
      </w:r>
      <w:hyperlink r:id="rId12" w:history="1">
        <w:r w:rsidRPr="006B6D92">
          <w:rPr>
            <w:rStyle w:val="Hyperlink"/>
            <w:rFonts w:ascii="Arial" w:hAnsi="Arial" w:cs="Arial"/>
            <w:color w:val="156082" w:themeColor="accent1"/>
            <w:sz w:val="22"/>
            <w:szCs w:val="22"/>
          </w:rPr>
          <w:t>https://www.gov.uk/government/publications/falls-applying-all-our-health/falls-applying-all-our-health</w:t>
        </w:r>
      </w:hyperlink>
      <w:r w:rsidRPr="006B6D92">
        <w:rPr>
          <w:rFonts w:ascii="Arial" w:hAnsi="Arial" w:cs="Arial"/>
          <w:color w:val="156082" w:themeColor="accent1"/>
          <w:sz w:val="22"/>
          <w:szCs w:val="22"/>
        </w:rPr>
        <w:t xml:space="preserve"> (</w:t>
      </w:r>
      <w:r w:rsidRPr="006B6D92">
        <w:rPr>
          <w:rFonts w:ascii="Arial" w:hAnsi="Arial" w:cs="Arial"/>
          <w:sz w:val="22"/>
          <w:szCs w:val="22"/>
        </w:rPr>
        <w:t>Accessed: 8 March 2026).</w:t>
      </w:r>
    </w:p>
    <w:p w14:paraId="629C058C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Powell, J., Mackintosh, S., Bird, E., Ige, J., Garrett, H. and Roys, M. (2017) </w:t>
      </w:r>
      <w:r w:rsidRPr="006B6D92">
        <w:rPr>
          <w:rFonts w:ascii="Arial" w:hAnsi="Arial" w:cs="Arial"/>
          <w:i/>
          <w:iCs/>
          <w:sz w:val="22"/>
          <w:szCs w:val="22"/>
        </w:rPr>
        <w:t>The role of home adaptations in improving later life</w:t>
      </w:r>
      <w:r w:rsidRPr="006B6D92">
        <w:rPr>
          <w:rFonts w:ascii="Arial" w:hAnsi="Arial" w:cs="Arial"/>
          <w:sz w:val="22"/>
          <w:szCs w:val="22"/>
        </w:rPr>
        <w:t xml:space="preserve">. Available at: </w:t>
      </w:r>
      <w:hyperlink r:id="rId13" w:history="1">
        <w:r w:rsidRPr="006B6D92">
          <w:rPr>
            <w:rStyle w:val="Hyperlink"/>
            <w:rFonts w:ascii="Arial" w:hAnsi="Arial" w:cs="Arial"/>
            <w:sz w:val="22"/>
            <w:szCs w:val="22"/>
          </w:rPr>
          <w:t>https://ageing-better.org.uk/sites/default/files/2017-12/The%20role%20of%20home%20adaptations%20in%20improving%20later%20life.pdf</w:t>
        </w:r>
      </w:hyperlink>
      <w:r w:rsidRPr="006B6D92">
        <w:rPr>
          <w:rFonts w:ascii="Arial" w:hAnsi="Arial" w:cs="Arial"/>
          <w:sz w:val="22"/>
          <w:szCs w:val="22"/>
        </w:rPr>
        <w:t xml:space="preserve">   (Accessed: 11 March 2026).</w:t>
      </w:r>
    </w:p>
    <w:p w14:paraId="168DA567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>Rebourg, M. (2025) ‘</w:t>
      </w:r>
      <w:r w:rsidRPr="006B6D92">
        <w:rPr>
          <w:rFonts w:ascii="Arial" w:hAnsi="Arial" w:cs="Arial"/>
          <w:i/>
          <w:iCs/>
          <w:sz w:val="22"/>
          <w:szCs w:val="22"/>
        </w:rPr>
        <w:t>Aging and autonomy’</w:t>
      </w:r>
      <w:r w:rsidRPr="006B6D92">
        <w:rPr>
          <w:rFonts w:ascii="Arial" w:hAnsi="Arial" w:cs="Arial"/>
          <w:sz w:val="22"/>
          <w:szCs w:val="22"/>
        </w:rPr>
        <w:t xml:space="preserve">, </w:t>
      </w:r>
      <w:r w:rsidRPr="006B6D92">
        <w:rPr>
          <w:rFonts w:ascii="Arial" w:hAnsi="Arial" w:cs="Arial"/>
          <w:i/>
          <w:iCs/>
          <w:sz w:val="22"/>
          <w:szCs w:val="22"/>
        </w:rPr>
        <w:t>Ethics, Medicine and Public Health</w:t>
      </w:r>
      <w:r w:rsidRPr="006B6D92">
        <w:rPr>
          <w:rFonts w:ascii="Arial" w:hAnsi="Arial" w:cs="Arial"/>
          <w:sz w:val="22"/>
          <w:szCs w:val="22"/>
        </w:rPr>
        <w:t xml:space="preserve">. Available at: </w:t>
      </w:r>
      <w:hyperlink r:id="rId14" w:history="1">
        <w:r w:rsidRPr="006B6D92">
          <w:rPr>
            <w:rStyle w:val="Hyperlink"/>
            <w:rFonts w:ascii="Arial" w:hAnsi="Arial" w:cs="Arial"/>
            <w:sz w:val="22"/>
            <w:szCs w:val="22"/>
          </w:rPr>
          <w:t>https://doi.org/10.1016/j.jemep.2025.101053</w:t>
        </w:r>
      </w:hyperlink>
      <w:r w:rsidRPr="006B6D92">
        <w:rPr>
          <w:rFonts w:ascii="Arial" w:hAnsi="Arial" w:cs="Arial"/>
          <w:sz w:val="22"/>
          <w:szCs w:val="22"/>
        </w:rPr>
        <w:t xml:space="preserve"> (Accessed: 6 March 2026).</w:t>
      </w:r>
    </w:p>
    <w:p w14:paraId="530F1637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lastRenderedPageBreak/>
        <w:t xml:space="preserve">Scheibl, F., Fleming, J., Buck, J., Barclay, S., Brayne, C. and Farquhar, M. (2019) ‘The experience of transitions in care in very old age: implications for general practice’, </w:t>
      </w:r>
      <w:r w:rsidRPr="006B6D92">
        <w:rPr>
          <w:rFonts w:ascii="Arial" w:hAnsi="Arial" w:cs="Arial"/>
          <w:i/>
          <w:iCs/>
          <w:sz w:val="22"/>
          <w:szCs w:val="22"/>
        </w:rPr>
        <w:t>Family Practice</w:t>
      </w:r>
      <w:r w:rsidRPr="006B6D92">
        <w:rPr>
          <w:rFonts w:ascii="Arial" w:hAnsi="Arial" w:cs="Arial"/>
          <w:sz w:val="22"/>
          <w:szCs w:val="22"/>
        </w:rPr>
        <w:t>, 36(6), pp. 778–784.</w:t>
      </w:r>
    </w:p>
    <w:p w14:paraId="04D425DC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Sun, C., Ding, Y., Cui, Y., Zhu, S., Li, X., Chen, S., Zhou, R. and Yu, Y. (2021) ‘The adaptation of older adults’ transition to residential care facilities and cultural factors: a meta-synthesis’, </w:t>
      </w:r>
      <w:r w:rsidRPr="006B6D92">
        <w:rPr>
          <w:rFonts w:ascii="Arial" w:hAnsi="Arial" w:cs="Arial"/>
          <w:i/>
          <w:iCs/>
          <w:sz w:val="22"/>
          <w:szCs w:val="22"/>
        </w:rPr>
        <w:t>BMC Geriatrics</w:t>
      </w:r>
      <w:r w:rsidRPr="006B6D92">
        <w:rPr>
          <w:rFonts w:ascii="Arial" w:hAnsi="Arial" w:cs="Arial"/>
          <w:sz w:val="22"/>
          <w:szCs w:val="22"/>
        </w:rPr>
        <w:t>, 21(1), p. 64.</w:t>
      </w:r>
    </w:p>
    <w:p w14:paraId="59BD0F49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van Loon, J., van der Steen, J.T., de Rooij, A.H. and colleagues (2023) ‘Developing a person-centred care environment aiming to enhance autonomy in nursing homes’, </w:t>
      </w:r>
      <w:r w:rsidRPr="006B6D92">
        <w:rPr>
          <w:rFonts w:ascii="Arial" w:hAnsi="Arial" w:cs="Arial"/>
          <w:i/>
          <w:iCs/>
          <w:sz w:val="22"/>
          <w:szCs w:val="22"/>
        </w:rPr>
        <w:t>BMC Geriatrics</w:t>
      </w:r>
      <w:r w:rsidRPr="006B6D92">
        <w:rPr>
          <w:rFonts w:ascii="Arial" w:hAnsi="Arial" w:cs="Arial"/>
          <w:sz w:val="22"/>
          <w:szCs w:val="22"/>
        </w:rPr>
        <w:t>.</w:t>
      </w:r>
    </w:p>
    <w:p w14:paraId="45003D5C" w14:textId="77777777" w:rsidR="006B6D92" w:rsidRPr="006B6D92" w:rsidRDefault="006B6D92" w:rsidP="006B6D9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6B6D92">
        <w:rPr>
          <w:rFonts w:ascii="Arial" w:hAnsi="Arial" w:cs="Arial"/>
          <w:sz w:val="22"/>
          <w:szCs w:val="22"/>
        </w:rPr>
        <w:t xml:space="preserve">World Health Organization. (2020) </w:t>
      </w:r>
      <w:r w:rsidRPr="006B6D92">
        <w:rPr>
          <w:rFonts w:ascii="Arial" w:hAnsi="Arial" w:cs="Arial"/>
          <w:i/>
          <w:iCs/>
          <w:sz w:val="22"/>
          <w:szCs w:val="22"/>
        </w:rPr>
        <w:t>Decade of Healthy Ageing: Plan of action 2021–2030</w:t>
      </w:r>
      <w:r w:rsidRPr="006B6D92">
        <w:rPr>
          <w:rFonts w:ascii="Arial" w:hAnsi="Arial" w:cs="Arial"/>
          <w:sz w:val="22"/>
          <w:szCs w:val="22"/>
        </w:rPr>
        <w:t xml:space="preserve">. Available at: </w:t>
      </w:r>
      <w:hyperlink r:id="rId15" w:history="1">
        <w:r w:rsidRPr="0012083F">
          <w:rPr>
            <w:rStyle w:val="Hyperlink"/>
            <w:rFonts w:ascii="Arial" w:hAnsi="Arial" w:cs="Arial"/>
            <w:color w:val="156082" w:themeColor="accent1"/>
            <w:sz w:val="22"/>
            <w:szCs w:val="22"/>
          </w:rPr>
          <w:t>https://cdn.who.int/media/docs/default-source/decade-of-healthy-ageing/decade-proposal-final-apr2020-en.pdf</w:t>
        </w:r>
      </w:hyperlink>
      <w:r w:rsidRPr="00DE6376">
        <w:rPr>
          <w:rFonts w:ascii="Arial" w:hAnsi="Arial" w:cs="Arial"/>
          <w:color w:val="00B0F0"/>
          <w:sz w:val="22"/>
          <w:szCs w:val="22"/>
        </w:rPr>
        <w:t xml:space="preserve"> </w:t>
      </w:r>
      <w:r w:rsidRPr="0012083F">
        <w:rPr>
          <w:rFonts w:ascii="Arial" w:hAnsi="Arial" w:cs="Arial"/>
          <w:color w:val="000000" w:themeColor="text1"/>
          <w:sz w:val="22"/>
          <w:szCs w:val="22"/>
        </w:rPr>
        <w:t>(Accessed</w:t>
      </w:r>
      <w:r w:rsidRPr="006B6D92">
        <w:rPr>
          <w:rFonts w:ascii="Arial" w:hAnsi="Arial" w:cs="Arial"/>
          <w:sz w:val="22"/>
          <w:szCs w:val="22"/>
        </w:rPr>
        <w:t>: 8 March 2026).</w:t>
      </w:r>
    </w:p>
    <w:p w14:paraId="192C297F" w14:textId="77777777" w:rsidR="006B6D92" w:rsidRPr="006B6D92" w:rsidRDefault="006B6D92" w:rsidP="006B6D92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6B6D92" w:rsidRPr="006B6D92">
      <w:footerReference w:type="even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70151" w14:textId="77777777" w:rsidR="00826195" w:rsidRDefault="00826195" w:rsidP="00BA08C5">
      <w:pPr>
        <w:spacing w:after="0" w:line="240" w:lineRule="auto"/>
      </w:pPr>
      <w:r>
        <w:separator/>
      </w:r>
    </w:p>
  </w:endnote>
  <w:endnote w:type="continuationSeparator" w:id="0">
    <w:p w14:paraId="09EE2CCF" w14:textId="77777777" w:rsidR="00826195" w:rsidRDefault="00826195" w:rsidP="00BA0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683473961"/>
      <w:docPartObj>
        <w:docPartGallery w:val="Page Numbers (Bottom of Page)"/>
        <w:docPartUnique/>
      </w:docPartObj>
    </w:sdtPr>
    <w:sdtContent>
      <w:p w14:paraId="69AC2346" w14:textId="1817D519" w:rsidR="00BA08C5" w:rsidRDefault="00BA08C5" w:rsidP="00AF475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7C01BC92" w14:textId="77777777" w:rsidR="00BA08C5" w:rsidRDefault="00BA08C5" w:rsidP="00BA08C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787554626"/>
      <w:docPartObj>
        <w:docPartGallery w:val="Page Numbers (Bottom of Page)"/>
        <w:docPartUnique/>
      </w:docPartObj>
    </w:sdtPr>
    <w:sdtContent>
      <w:p w14:paraId="67201B3C" w14:textId="0E0D1EB3" w:rsidR="00BA08C5" w:rsidRDefault="00BA08C5" w:rsidP="00AF475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41E3D3D" w14:textId="77777777" w:rsidR="00BA08C5" w:rsidRDefault="00BA08C5" w:rsidP="00BA08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877EE" w14:textId="77777777" w:rsidR="00826195" w:rsidRDefault="00826195" w:rsidP="00BA08C5">
      <w:pPr>
        <w:spacing w:after="0" w:line="240" w:lineRule="auto"/>
      </w:pPr>
      <w:r>
        <w:separator/>
      </w:r>
    </w:p>
  </w:footnote>
  <w:footnote w:type="continuationSeparator" w:id="0">
    <w:p w14:paraId="5A21FDDE" w14:textId="77777777" w:rsidR="00826195" w:rsidRDefault="00826195" w:rsidP="00BA08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D92"/>
    <w:rsid w:val="000561E6"/>
    <w:rsid w:val="0012083F"/>
    <w:rsid w:val="00294F16"/>
    <w:rsid w:val="002F2049"/>
    <w:rsid w:val="005B7DB5"/>
    <w:rsid w:val="006B6D92"/>
    <w:rsid w:val="006D67A8"/>
    <w:rsid w:val="00741BAF"/>
    <w:rsid w:val="00826195"/>
    <w:rsid w:val="00B279A1"/>
    <w:rsid w:val="00BA08C5"/>
    <w:rsid w:val="00BB3D25"/>
    <w:rsid w:val="00CF48C8"/>
    <w:rsid w:val="00DE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98E3CF"/>
  <w15:chartTrackingRefBased/>
  <w15:docId w15:val="{923648C1-1DDC-E646-9BC9-6EEEC4344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D92"/>
  </w:style>
  <w:style w:type="paragraph" w:styleId="Heading1">
    <w:name w:val="heading 1"/>
    <w:basedOn w:val="Normal"/>
    <w:next w:val="Normal"/>
    <w:link w:val="Heading1Char"/>
    <w:uiPriority w:val="9"/>
    <w:qFormat/>
    <w:rsid w:val="006B6D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D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D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D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D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D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D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D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D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6D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D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D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D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D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D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D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D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D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D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D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D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D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D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D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6D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D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D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D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D92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6B6D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6B6D92"/>
    <w:rPr>
      <w:color w:val="467886" w:themeColor="hyperlink"/>
      <w:u w:val="single"/>
    </w:rPr>
  </w:style>
  <w:style w:type="character" w:customStyle="1" w:styleId="apple-converted-space">
    <w:name w:val="apple-converted-space"/>
    <w:basedOn w:val="DefaultParagraphFont"/>
    <w:rsid w:val="006B6D92"/>
  </w:style>
  <w:style w:type="character" w:styleId="FollowedHyperlink">
    <w:name w:val="FollowedHyperlink"/>
    <w:basedOn w:val="DefaultParagraphFont"/>
    <w:uiPriority w:val="99"/>
    <w:semiHidden/>
    <w:unhideWhenUsed/>
    <w:rsid w:val="006B6D92"/>
    <w:rPr>
      <w:color w:val="96607D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8C5"/>
  </w:style>
  <w:style w:type="character" w:styleId="PageNumber">
    <w:name w:val="page number"/>
    <w:basedOn w:val="DefaultParagraphFont"/>
    <w:uiPriority w:val="99"/>
    <w:semiHidden/>
    <w:unhideWhenUsed/>
    <w:rsid w:val="00BA08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statistics/adult-social-care-in-england-monthly-statistics-july-2025" TargetMode="External"/><Relationship Id="rId13" Type="http://schemas.openxmlformats.org/officeDocument/2006/relationships/hyperlink" Target="https://ageing-better.org.uk/sites/default/files/2017-12/The%20role%20of%20home%20adaptations%20in%20improving%20later%20life.pd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ageing-better.org.uk/our-ageing-population-state-ageing-2025" TargetMode="External"/><Relationship Id="rId12" Type="http://schemas.openxmlformats.org/officeDocument/2006/relationships/hyperlink" Target="https://www.gov.uk/government/publications/falls-applying-all-our-health/falls-applying-all-our-health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alzheimers.org.uk/about-dementia/facts-and-figures" TargetMode="External"/><Relationship Id="rId11" Type="http://schemas.openxmlformats.org/officeDocument/2006/relationships/hyperlink" Target="https://www.nhs.uk/social-care-and-support/care-services-equipment-and-care-homes/care-homes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dn.who.int/media/docs/default-source/decade-of-healthy-ageing/decade-proposal-final-apr2020-en.pdf" TargetMode="External"/><Relationship Id="rId10" Type="http://schemas.openxmlformats.org/officeDocument/2006/relationships/hyperlink" Target="https://www.nhs.uk/social-care-and-support/care-services-equipment-and-care-homes/homecare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nice.org.uk/guidance/ng22" TargetMode="External"/><Relationship Id="rId14" Type="http://schemas.openxmlformats.org/officeDocument/2006/relationships/hyperlink" Target="https://doi.org/10.1016/j.jemep.2025.1010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869</Words>
  <Characters>5163</Characters>
  <Application>Microsoft Office Word</Application>
  <DocSecurity>0</DocSecurity>
  <Lines>258</Lines>
  <Paragraphs>62</Paragraphs>
  <ScaleCrop>false</ScaleCrop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Safina Bibi (2243482)</dc:creator>
  <cp:keywords/>
  <dc:description/>
  <cp:lastModifiedBy>Safina Bibi (2243482)</cp:lastModifiedBy>
  <cp:revision>11</cp:revision>
  <dcterms:created xsi:type="dcterms:W3CDTF">2026-03-13T18:34:00Z</dcterms:created>
  <dcterms:modified xsi:type="dcterms:W3CDTF">2026-03-15T11:14:00Z</dcterms:modified>
</cp:coreProperties>
</file>