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584D" w:rsidRPr="0096584D" w:rsidRDefault="0096584D" w:rsidP="0096584D">
      <w:pPr>
        <w:spacing w:line="360" w:lineRule="auto"/>
        <w:jc w:val="center"/>
        <w:rPr>
          <w:b/>
        </w:rPr>
      </w:pPr>
      <w:r w:rsidRPr="0096584D">
        <w:rPr>
          <w:b/>
        </w:rPr>
        <w:t>From Macedonia with Love: An Analysis of Seleucid Royal Ideology through the Antiochus Cylinder of Borsippa</w:t>
      </w:r>
    </w:p>
    <w:p w:rsidR="0072453A" w:rsidRDefault="000106BE" w:rsidP="0096584D">
      <w:pPr>
        <w:spacing w:line="360" w:lineRule="auto"/>
        <w:ind w:firstLine="720"/>
      </w:pPr>
      <w:r>
        <w:t xml:space="preserve">Scholarly study on the Seleucid </w:t>
      </w:r>
      <w:r w:rsidR="00CD433D">
        <w:t>ideology in</w:t>
      </w:r>
      <w:r>
        <w:t xml:space="preserve"> cultivation with the local populations of their empire seems to be a divided issue</w:t>
      </w:r>
      <w:r w:rsidR="00CD433D">
        <w:t>. M</w:t>
      </w:r>
      <w:r>
        <w:t>odern scholarship seems to be pushing forward with a more i</w:t>
      </w:r>
      <w:r w:rsidR="002D4070">
        <w:t>nclusive outlook on the issue, t</w:t>
      </w:r>
      <w:r>
        <w:t xml:space="preserve">raditional scholarship seems to hold the view that the Seleucids ruling elite were not interested in engaging with native populations, cultures, or customs. </w:t>
      </w:r>
      <w:r w:rsidR="002D4070">
        <w:t xml:space="preserve">Deciding which view you agree with will determine </w:t>
      </w:r>
      <w:r w:rsidR="00CD433D">
        <w:t>how</w:t>
      </w:r>
      <w:r w:rsidR="002D4070">
        <w:t xml:space="preserve"> you interpret the </w:t>
      </w:r>
      <w:r w:rsidR="00CD433D">
        <w:t xml:space="preserve">method in which </w:t>
      </w:r>
      <w:r w:rsidR="002D4070">
        <w:t>Seleucid royal ideology</w:t>
      </w:r>
      <w:r w:rsidR="00CD433D">
        <w:t xml:space="preserve"> was disseminated amongst the empire</w:t>
      </w:r>
      <w:r w:rsidR="002D4070">
        <w:t>.</w:t>
      </w:r>
      <w:r w:rsidR="00CD433D">
        <w:t xml:space="preserve"> In this paper I try to</w:t>
      </w:r>
      <w:r w:rsidR="002D4070">
        <w:t xml:space="preserve"> unpick the Seleucid ideology, </w:t>
      </w:r>
      <w:r w:rsidR="0028452A">
        <w:t>to find out what it actually was and how did they go about disseminating it.</w:t>
      </w:r>
      <w:r w:rsidR="00106505">
        <w:t xml:space="preserve"> I do this by analysing the Antiochus Cylinder of Borsippa</w:t>
      </w:r>
      <w:r w:rsidR="005D15DB">
        <w:t xml:space="preserve"> as a case study for Seleuci</w:t>
      </w:r>
      <w:r w:rsidR="00106505">
        <w:t xml:space="preserve">d ideology. </w:t>
      </w:r>
      <w:r w:rsidR="0028452A">
        <w:t xml:space="preserve"> I </w:t>
      </w:r>
      <w:r w:rsidR="00331B21">
        <w:t>argue</w:t>
      </w:r>
      <w:r w:rsidR="0028452A">
        <w:t xml:space="preserve"> </w:t>
      </w:r>
      <w:r w:rsidR="005D15DB">
        <w:t>that the Seleucid dynastic</w:t>
      </w:r>
      <w:r w:rsidR="0028452A">
        <w:t xml:space="preserve"> royal ideology was to use local</w:t>
      </w:r>
      <w:r w:rsidR="00331B21">
        <w:t>/native</w:t>
      </w:r>
      <w:r w:rsidR="0028452A">
        <w:t xml:space="preserve"> tradition as a vehicle to spread thei</w:t>
      </w:r>
      <w:r w:rsidR="00331B21">
        <w:t>r vison, power, and legitimacy.</w:t>
      </w:r>
    </w:p>
    <w:p w:rsidR="00331B21" w:rsidRDefault="00331B21" w:rsidP="0096584D">
      <w:pPr>
        <w:spacing w:line="360" w:lineRule="auto"/>
        <w:ind w:firstLine="720"/>
      </w:pPr>
      <w:r>
        <w:t xml:space="preserve">Before getting into the </w:t>
      </w:r>
      <w:r w:rsidR="005D15DB">
        <w:t>analysis</w:t>
      </w:r>
      <w:r>
        <w:t xml:space="preserve"> of the cylinder itself, it is important to put into context the scholarship of </w:t>
      </w:r>
      <w:r w:rsidR="005D15DB">
        <w:t>Seleucid’s</w:t>
      </w:r>
      <w:r>
        <w:t xml:space="preserve"> perceived interaction with local/native tradition and how that interaction is </w:t>
      </w:r>
      <w:r w:rsidR="005D15DB">
        <w:t>perceived</w:t>
      </w:r>
      <w:r>
        <w:t xml:space="preserve"> of the native population. With that established, I look at physical structure of the cylinder. As an artefact, what message it is sending about Seleucid ideology</w:t>
      </w:r>
      <w:r w:rsidR="00457C2F">
        <w:t xml:space="preserve">? What message is sending to native Babylonians and Mesopotamians? Next, I look at what the cylinder says and how it uses Babylonian religious text and language to </w:t>
      </w:r>
      <w:r w:rsidR="005D15DB">
        <w:t>convey</w:t>
      </w:r>
      <w:r w:rsidR="00457C2F">
        <w:t xml:space="preserve"> the royal ideology. Finally, I place the cylinder within the context of the empire. U</w:t>
      </w:r>
      <w:r w:rsidR="00690BEE">
        <w:t>p to this point, analysis centred on</w:t>
      </w:r>
      <w:r w:rsidR="00457C2F">
        <w:t xml:space="preserve"> </w:t>
      </w:r>
      <w:r w:rsidR="00690BEE">
        <w:t>using Babylonian tradition to push out the Seleucid ideology. But how does the royal ideology, the ideology of an empire, come into the Babylonian context?</w:t>
      </w:r>
    </w:p>
    <w:p w:rsidR="00690BEE" w:rsidRPr="003E21C0" w:rsidRDefault="00690BEE" w:rsidP="0096584D">
      <w:pPr>
        <w:spacing w:line="360" w:lineRule="auto"/>
        <w:rPr>
          <w:b/>
        </w:rPr>
      </w:pPr>
      <w:r w:rsidRPr="003E21C0">
        <w:rPr>
          <w:b/>
        </w:rPr>
        <w:t xml:space="preserve">From the Scholarship: </w:t>
      </w:r>
      <w:r w:rsidR="003E21C0" w:rsidRPr="003E21C0">
        <w:rPr>
          <w:b/>
        </w:rPr>
        <w:t>Seleucids Interaction with the People</w:t>
      </w:r>
    </w:p>
    <w:p w:rsidR="00A6094A" w:rsidRDefault="00CA4C88" w:rsidP="0096584D">
      <w:pPr>
        <w:spacing w:line="360" w:lineRule="auto"/>
      </w:pPr>
      <w:r>
        <w:t>While no means an exhaustive list, the following scholars provide a foundation for the more traditional view of Seleucids interaction</w:t>
      </w:r>
      <w:r w:rsidR="004B712B">
        <w:t>, that of indifference or ignorance of native customs and rel</w:t>
      </w:r>
      <w:r w:rsidR="0011745A">
        <w:t>i</w:t>
      </w:r>
      <w:r w:rsidR="004B712B">
        <w:t>gion</w:t>
      </w:r>
      <w:r>
        <w:t>.</w:t>
      </w:r>
      <w:r w:rsidR="005416E2">
        <w:t xml:space="preserve"> F.W. Walbank express his views that the </w:t>
      </w:r>
      <w:r w:rsidR="00D25DDD">
        <w:t>Seleucids</w:t>
      </w:r>
      <w:r w:rsidR="00FF5CEF">
        <w:t xml:space="preserve"> E</w:t>
      </w:r>
      <w:r w:rsidR="005416E2">
        <w:t xml:space="preserve">mpire were </w:t>
      </w:r>
      <w:r w:rsidR="00D25DDD">
        <w:t xml:space="preserve">not </w:t>
      </w:r>
      <w:r w:rsidR="005416E2">
        <w:t>overly interested in the Eastern half of their empire or those that we</w:t>
      </w:r>
      <w:r w:rsidR="00FF5CEF">
        <w:t>re</w:t>
      </w:r>
      <w:r w:rsidR="005416E2">
        <w:t xml:space="preserve"> non-Greeks.</w:t>
      </w:r>
      <w:r w:rsidR="005416E2">
        <w:rPr>
          <w:rStyle w:val="FootnoteReference"/>
        </w:rPr>
        <w:footnoteReference w:id="1"/>
      </w:r>
      <w:r w:rsidR="005416E2">
        <w:t xml:space="preserve"> </w:t>
      </w:r>
      <w:r w:rsidR="00D25DDD">
        <w:t>Thereby their interaction with the native culture, traditions, or religion was minimal and their influence in the area was limited. Van der Spek take</w:t>
      </w:r>
      <w:r w:rsidR="00FF5CEF">
        <w:t>s</w:t>
      </w:r>
      <w:r w:rsidR="00D25DDD">
        <w:t xml:space="preserve"> the view that under the Seleucids, there was a Greek culture and a non-Greek culture and that the two lived in parallel to each other, in what he describes as “a kind of apartheid”</w:t>
      </w:r>
      <w:r w:rsidR="004B712B">
        <w:t>.</w:t>
      </w:r>
      <w:r w:rsidR="00FF5CEF" w:rsidRPr="00FF5CEF">
        <w:rPr>
          <w:rStyle w:val="FootnoteReference"/>
        </w:rPr>
        <w:t xml:space="preserve"> </w:t>
      </w:r>
      <w:r w:rsidR="00FF5CEF" w:rsidRPr="0011745A">
        <w:rPr>
          <w:rStyle w:val="FootnoteReference"/>
        </w:rPr>
        <w:footnoteReference w:id="2"/>
      </w:r>
      <w:r w:rsidR="004B712B">
        <w:t xml:space="preserve"> The Greeks had</w:t>
      </w:r>
      <w:r w:rsidR="00D25DDD">
        <w:t xml:space="preserve"> their Greek </w:t>
      </w:r>
      <w:r w:rsidR="00D25DDD" w:rsidRPr="0011745A">
        <w:t>language, their religion and gods, their ruling elite</w:t>
      </w:r>
      <w:r w:rsidR="00F32F8B" w:rsidRPr="0011745A">
        <w:t xml:space="preserve"> </w:t>
      </w:r>
      <w:r w:rsidR="00F32F8B" w:rsidRPr="0011745A">
        <w:rPr>
          <w:rFonts w:cs="BemboStd-Italic"/>
          <w:i/>
          <w:iCs/>
        </w:rPr>
        <w:t>politai</w:t>
      </w:r>
      <w:r w:rsidR="00D25DDD" w:rsidRPr="0011745A">
        <w:t>. The native Babylonians had their</w:t>
      </w:r>
      <w:r w:rsidR="004B712B" w:rsidRPr="0011745A">
        <w:t>s</w:t>
      </w:r>
      <w:r w:rsidR="00D25DDD" w:rsidRPr="0011745A">
        <w:t xml:space="preserve">. </w:t>
      </w:r>
      <w:r w:rsidR="0011745A">
        <w:t>L</w:t>
      </w:r>
      <w:r w:rsidR="004B712B" w:rsidRPr="0011745A">
        <w:t xml:space="preserve">ooking </w:t>
      </w:r>
      <w:r w:rsidR="0011745A">
        <w:t>from</w:t>
      </w:r>
      <w:r w:rsidR="004B712B" w:rsidRPr="0011745A">
        <w:t xml:space="preserve"> numismatic</w:t>
      </w:r>
      <w:r w:rsidR="00D25DDD" w:rsidRPr="0011745A">
        <w:t xml:space="preserve"> </w:t>
      </w:r>
      <w:r w:rsidR="0011745A" w:rsidRPr="0011745A">
        <w:t>perspective</w:t>
      </w:r>
      <w:r w:rsidR="004B712B" w:rsidRPr="0011745A">
        <w:t xml:space="preserve">, which regularly, in all cultures, </w:t>
      </w:r>
      <w:r w:rsidR="004B712B" w:rsidRPr="0011745A">
        <w:lastRenderedPageBreak/>
        <w:t xml:space="preserve">feature religious </w:t>
      </w:r>
      <w:r w:rsidR="0011745A" w:rsidRPr="0011745A">
        <w:t>connotations</w:t>
      </w:r>
      <w:r w:rsidR="004B712B" w:rsidRPr="0011745A">
        <w:t xml:space="preserve">, </w:t>
      </w:r>
      <w:r w:rsidR="009D2BE9">
        <w:t>Zahle</w:t>
      </w:r>
      <w:r w:rsidR="00FF5CEF">
        <w:t>s</w:t>
      </w:r>
      <w:r w:rsidR="009D2BE9">
        <w:t xml:space="preserve"> </w:t>
      </w:r>
      <w:r w:rsidR="004B712B" w:rsidRPr="0011745A">
        <w:t>see the Seleucid choice in designs as Greek for Greeks, “</w:t>
      </w:r>
      <w:r w:rsidR="004B712B" w:rsidRPr="0011745A">
        <w:rPr>
          <w:rFonts w:cs="TimesNewRoman"/>
        </w:rPr>
        <w:t>A quick survey of the coins, however, reveals that the ta</w:t>
      </w:r>
      <w:r w:rsidR="0011745A" w:rsidRPr="0011745A">
        <w:rPr>
          <w:rFonts w:cs="TimesNewRoman"/>
        </w:rPr>
        <w:t xml:space="preserve">rget group of the coin messages </w:t>
      </w:r>
      <w:r w:rsidR="004B712B" w:rsidRPr="0011745A">
        <w:rPr>
          <w:rFonts w:cs="TimesNewRoman"/>
        </w:rPr>
        <w:t xml:space="preserve">will clearly have been Greeks and Macedonians, and </w:t>
      </w:r>
      <w:r w:rsidR="004B712B" w:rsidRPr="0011745A">
        <w:rPr>
          <w:rFonts w:cs="TimesNewRoman,Italic"/>
          <w:i/>
          <w:iCs/>
        </w:rPr>
        <w:t xml:space="preserve">not </w:t>
      </w:r>
      <w:r w:rsidR="004B712B" w:rsidRPr="0011745A">
        <w:rPr>
          <w:rFonts w:cs="TimesNewRoman"/>
        </w:rPr>
        <w:t>the v</w:t>
      </w:r>
      <w:r w:rsidR="0011745A" w:rsidRPr="0011745A">
        <w:rPr>
          <w:rFonts w:cs="TimesNewRoman"/>
        </w:rPr>
        <w:t xml:space="preserve">ast majority of their subjects, </w:t>
      </w:r>
      <w:r w:rsidR="004B712B" w:rsidRPr="0011745A">
        <w:rPr>
          <w:rFonts w:cs="TimesNewRoman"/>
        </w:rPr>
        <w:t>the Orientals, who were of a quite different background. The motifs are Greek, the style is</w:t>
      </w:r>
      <w:r w:rsidR="0011745A" w:rsidRPr="0011745A">
        <w:rPr>
          <w:rFonts w:cs="TimesNewRoman"/>
        </w:rPr>
        <w:t xml:space="preserve"> </w:t>
      </w:r>
      <w:r w:rsidR="004B712B" w:rsidRPr="0011745A">
        <w:rPr>
          <w:rFonts w:cs="TimesNewRoman"/>
        </w:rPr>
        <w:t>Greek and t</w:t>
      </w:r>
      <w:r w:rsidR="0011745A" w:rsidRPr="0011745A">
        <w:rPr>
          <w:rFonts w:cs="TimesNewRoman"/>
        </w:rPr>
        <w:t>he inscriptions are in Greek.</w:t>
      </w:r>
      <w:r w:rsidR="0011745A">
        <w:rPr>
          <w:rFonts w:cs="TimesNewRoman"/>
        </w:rPr>
        <w:t>”</w:t>
      </w:r>
      <w:r w:rsidR="0011745A">
        <w:rPr>
          <w:rStyle w:val="FootnoteReference"/>
          <w:rFonts w:cs="TimesNewRoman"/>
        </w:rPr>
        <w:footnoteReference w:id="3"/>
      </w:r>
      <w:r w:rsidR="00A6094A">
        <w:rPr>
          <w:rFonts w:cs="TimesNewRoman"/>
        </w:rPr>
        <w:t xml:space="preserve">Breaking away slightly from the argument of complete distance between the two cultures,  </w:t>
      </w:r>
      <w:r w:rsidR="00A6094A">
        <w:t xml:space="preserve">JZ concedes that there is interaction between the Seleucids and native </w:t>
      </w:r>
      <w:r w:rsidR="00144BDD">
        <w:t xml:space="preserve">religious </w:t>
      </w:r>
      <w:r w:rsidR="00A6094A">
        <w:t xml:space="preserve">customs, </w:t>
      </w:r>
      <w:r w:rsidR="00144BDD">
        <w:t xml:space="preserve">however, </w:t>
      </w:r>
      <w:r w:rsidR="00A6094A">
        <w:t xml:space="preserve">this was as foreigners legitimizing their rule, not a power looking to take </w:t>
      </w:r>
      <w:r w:rsidR="00144BDD">
        <w:t>buy into</w:t>
      </w:r>
      <w:r w:rsidR="00A6094A">
        <w:t xml:space="preserve"> the customs and culture.</w:t>
      </w:r>
      <w:r w:rsidR="00A6094A">
        <w:rPr>
          <w:rStyle w:val="FootnoteReference"/>
        </w:rPr>
        <w:footnoteReference w:id="4"/>
      </w:r>
      <w:r w:rsidR="00A6094A">
        <w:t xml:space="preserve"> </w:t>
      </w:r>
    </w:p>
    <w:p w:rsidR="00D81359" w:rsidRDefault="00FF5CEF" w:rsidP="00DF384C">
      <w:pPr>
        <w:spacing w:line="360" w:lineRule="auto"/>
        <w:ind w:firstLine="720"/>
      </w:pPr>
      <w:r>
        <w:t xml:space="preserve">On the other side of the spectrum, </w:t>
      </w:r>
      <w:r w:rsidR="00A6094A">
        <w:t>Sherwin-White</w:t>
      </w:r>
      <w:r>
        <w:t xml:space="preserve"> and Kuhrt</w:t>
      </w:r>
      <w:r w:rsidR="00A6094A">
        <w:t xml:space="preserve"> argues</w:t>
      </w:r>
      <w:r w:rsidR="00D81359">
        <w:t xml:space="preserve">, that the Seleucids were making a conscious effort in incorporating </w:t>
      </w:r>
      <w:r>
        <w:t>Babylonian religious culture</w:t>
      </w:r>
      <w:r>
        <w:t xml:space="preserve"> into </w:t>
      </w:r>
      <w:r w:rsidR="00D81359">
        <w:t>their rule</w:t>
      </w:r>
      <w:r w:rsidR="00EC057E">
        <w:t>, that the Cyl</w:t>
      </w:r>
      <w:r w:rsidR="00144BDD">
        <w:t xml:space="preserve">inder of Antiochus I from Borsippa gives examples of the Seleucids </w:t>
      </w:r>
      <w:r w:rsidR="00EC057E">
        <w:t xml:space="preserve">not only </w:t>
      </w:r>
      <w:r w:rsidR="00144BDD">
        <w:t xml:space="preserve">being active </w:t>
      </w:r>
      <w:r w:rsidR="00EC057E">
        <w:t>participants</w:t>
      </w:r>
      <w:r w:rsidR="00144BDD">
        <w:t xml:space="preserve"> in Babylonian religion, b</w:t>
      </w:r>
      <w:r w:rsidR="00EC057E">
        <w:t>ut also supporting the continuation of Babylonian religious beliefs.</w:t>
      </w:r>
      <w:r w:rsidR="00EC057E">
        <w:rPr>
          <w:rStyle w:val="FootnoteReference"/>
        </w:rPr>
        <w:footnoteReference w:id="5"/>
      </w:r>
      <w:r w:rsidR="00BD18D7">
        <w:t xml:space="preserve"> Anagnostou-Laoutides believes that the Seleucids insisted on a continuity of local traditions. They believed the involvement in local tradition was </w:t>
      </w:r>
      <w:r w:rsidR="005A479F">
        <w:t>necessary</w:t>
      </w:r>
      <w:r w:rsidR="00BD18D7">
        <w:t xml:space="preserve"> to establish their legitimacy, </w:t>
      </w:r>
      <w:r>
        <w:t>they took</w:t>
      </w:r>
      <w:r w:rsidR="00BD18D7">
        <w:t xml:space="preserve"> up the local traditions.</w:t>
      </w:r>
      <w:r w:rsidR="00BD18D7">
        <w:rPr>
          <w:rStyle w:val="FootnoteReference"/>
        </w:rPr>
        <w:footnoteReference w:id="6"/>
      </w:r>
    </w:p>
    <w:p w:rsidR="00CA4C88" w:rsidRDefault="000E4ED9" w:rsidP="00DF384C">
      <w:pPr>
        <w:spacing w:line="360" w:lineRule="auto"/>
        <w:ind w:firstLine="720"/>
      </w:pPr>
      <w:r>
        <w:t>The need to for Seleucid</w:t>
      </w:r>
      <w:r w:rsidR="00503855">
        <w:t>’</w:t>
      </w:r>
      <w:r>
        <w:t xml:space="preserve">s interaction with Babylonian religious is rooted in the tradition of Mesopotamian kings </w:t>
      </w:r>
      <w:r w:rsidR="000B7F8A">
        <w:t>requiring and enjoying divine fa</w:t>
      </w:r>
      <w:r>
        <w:t>vour by the gods legitimizing their rule.</w:t>
      </w:r>
      <w:r>
        <w:rPr>
          <w:rStyle w:val="FootnoteReference"/>
        </w:rPr>
        <w:footnoteReference w:id="7"/>
      </w:r>
      <w:r>
        <w:t xml:space="preserve"> </w:t>
      </w:r>
      <w:r w:rsidR="00220A23">
        <w:t>This legitimization was perceived through the belief that Mesopotamian kings were god’</w:t>
      </w:r>
      <w:r w:rsidR="0065277E">
        <w:t>s representatives on Ear</w:t>
      </w:r>
      <w:r w:rsidR="00220A23">
        <w:t>th, therefore, the kings right to rule was dependent on divine approval</w:t>
      </w:r>
      <w:r w:rsidR="0065277E">
        <w:t xml:space="preserve"> and the kin</w:t>
      </w:r>
      <w:r w:rsidR="00503855">
        <w:t>g</w:t>
      </w:r>
      <w:r w:rsidR="0065277E">
        <w:t xml:space="preserve"> was to be a servant for divine will</w:t>
      </w:r>
      <w:r w:rsidR="00220A23">
        <w:t>.</w:t>
      </w:r>
      <w:r w:rsidR="0065277E">
        <w:rPr>
          <w:rStyle w:val="FootnoteReference"/>
        </w:rPr>
        <w:footnoteReference w:id="8"/>
      </w:r>
      <w:r w:rsidR="00220A23">
        <w:t xml:space="preserve"> </w:t>
      </w:r>
      <w:r w:rsidR="0065277E">
        <w:t>This leads to the conclusion that</w:t>
      </w:r>
      <w:r w:rsidR="00134A51">
        <w:t xml:space="preserve"> continued interaction, not ad hoc gestures</w:t>
      </w:r>
      <w:r w:rsidR="0065277E">
        <w:t>,</w:t>
      </w:r>
      <w:r w:rsidR="00134A51">
        <w:t xml:space="preserve"> were to be valued more, as it shows respect of the gods, h</w:t>
      </w:r>
      <w:r w:rsidR="00E7564F">
        <w:t>oping to gain the gods</w:t>
      </w:r>
      <w:r w:rsidR="00503855">
        <w:t>’</w:t>
      </w:r>
      <w:r w:rsidR="00E7564F">
        <w:t xml:space="preserve"> favour </w:t>
      </w:r>
      <w:r w:rsidR="00503855">
        <w:t>during</w:t>
      </w:r>
      <w:r w:rsidR="00E7564F">
        <w:t xml:space="preserve"> their rule.</w:t>
      </w:r>
      <w:r w:rsidR="00E7564F">
        <w:rPr>
          <w:rStyle w:val="FootnoteReference"/>
        </w:rPr>
        <w:footnoteReference w:id="9"/>
      </w:r>
      <w:r w:rsidR="00E7564F">
        <w:t xml:space="preserve"> </w:t>
      </w:r>
      <w:r w:rsidR="00272216">
        <w:t>“Amid Alexander’s successors was about showcasing the kings’ ability to rule and, therefore, it required a high level of engagement with the cultural context in which the kings tried to promote them themselves.”</w:t>
      </w:r>
      <w:r w:rsidR="00272216">
        <w:rPr>
          <w:rStyle w:val="FootnoteReference"/>
        </w:rPr>
        <w:footnoteReference w:id="10"/>
      </w:r>
      <w:r w:rsidR="00220A23">
        <w:t xml:space="preserve"> </w:t>
      </w:r>
    </w:p>
    <w:p w:rsidR="0034385E" w:rsidRDefault="00501FAD" w:rsidP="00DF384C">
      <w:pPr>
        <w:spacing w:line="360" w:lineRule="auto"/>
        <w:ind w:firstLine="720"/>
      </w:pPr>
      <w:r>
        <w:t>The divine relationship between the local deities and royalty continues when we turn to the relationship that the Seleucids had with the temples of Babylon. Contempor</w:t>
      </w:r>
      <w:r w:rsidR="005D3000">
        <w:t>ar</w:t>
      </w:r>
      <w:r>
        <w:t>y sources show the Seleucids regularly engaged with Babylonian</w:t>
      </w:r>
      <w:r w:rsidR="005D3000">
        <w:t xml:space="preserve"> religion through the p</w:t>
      </w:r>
      <w:r w:rsidR="006B34E2">
        <w:t xml:space="preserve">reservation and </w:t>
      </w:r>
      <w:r w:rsidR="005D3000">
        <w:t>building of</w:t>
      </w:r>
      <w:r w:rsidR="006B34E2">
        <w:t xml:space="preserve"> </w:t>
      </w:r>
      <w:r w:rsidR="006B34E2">
        <w:lastRenderedPageBreak/>
        <w:t>temples</w:t>
      </w:r>
      <w:r>
        <w:t>.</w:t>
      </w:r>
      <w:r w:rsidR="006B34E2">
        <w:t xml:space="preserve"> These actions also ensure that ruling kings would have positive relationships with temple priests whose acceptance of the ruling power was necessary for the people to accept the king. </w:t>
      </w:r>
      <w:r>
        <w:t xml:space="preserve"> </w:t>
      </w:r>
      <w:r w:rsidR="006B34E2">
        <w:t>Sherwin-White notes, “The Babylonian monarchy was a dynamic mechanism foreign rulers were careful to utilize…the kingship and the rituals associated with it gave both the king and his subject a framework to operate in. The Seleucids actively exploited the system.”</w:t>
      </w:r>
      <w:r w:rsidR="00596002">
        <w:rPr>
          <w:rStyle w:val="FootnoteReference"/>
        </w:rPr>
        <w:footnoteReference w:id="11"/>
      </w:r>
      <w:r w:rsidR="006B34E2">
        <w:t xml:space="preserve"> </w:t>
      </w:r>
    </w:p>
    <w:p w:rsidR="00424FB2" w:rsidRDefault="00424FB2" w:rsidP="00DF384C">
      <w:pPr>
        <w:spacing w:line="360" w:lineRule="auto"/>
        <w:ind w:firstLine="720"/>
      </w:pPr>
      <w:r>
        <w:t xml:space="preserve">The main piece of </w:t>
      </w:r>
      <w:r w:rsidR="00503855">
        <w:t>evidence concerning the Seleucid’s</w:t>
      </w:r>
      <w:r>
        <w:t xml:space="preserve"> religious intentions</w:t>
      </w:r>
      <w:r w:rsidR="00503855">
        <w:t xml:space="preserve"> and their interaction with temples</w:t>
      </w:r>
      <w:r>
        <w:t xml:space="preserve"> can be found in the </w:t>
      </w:r>
      <w:r w:rsidRPr="00424FB2">
        <w:rPr>
          <w:i/>
        </w:rPr>
        <w:t>Cylinder of Antiochus from Borippa</w:t>
      </w:r>
      <w:r>
        <w:t xml:space="preserve">. This cylinder </w:t>
      </w:r>
      <w:r w:rsidR="00B47B16">
        <w:t>was found in the foundations of the Borsippa temple. It is a significant</w:t>
      </w:r>
      <w:r w:rsidR="00503855">
        <w:t xml:space="preserve"> artefact as evidence of Seleucid’</w:t>
      </w:r>
      <w:r w:rsidR="00B47B16">
        <w:t>s interaction with Babylonian religion not</w:t>
      </w:r>
      <w:r w:rsidR="00130580">
        <w:t xml:space="preserve"> just for what is says, but </w:t>
      </w:r>
      <w:r w:rsidR="00B47B16">
        <w:t>for the fact that it exists at all. Tradition</w:t>
      </w:r>
      <w:r w:rsidR="00503855">
        <w:t>al</w:t>
      </w:r>
      <w:r w:rsidR="00B47B16">
        <w:t xml:space="preserve"> scholarship had been quite dismissive for the cylinder, </w:t>
      </w:r>
      <w:r w:rsidR="00130580">
        <w:t>believing</w:t>
      </w:r>
      <w:r w:rsidR="00B47B16">
        <w:t xml:space="preserve"> it was an example that Antiochus did not care for Babylon</w:t>
      </w:r>
      <w:r w:rsidR="00130580">
        <w:t>, for he has built this new temple in Borsippa and his focusing his attention on the new Seleucids capital, Seleucia-Tigris</w:t>
      </w:r>
      <w:r w:rsidR="00130580" w:rsidRPr="00DF384C">
        <w:t>.</w:t>
      </w:r>
      <w:r w:rsidR="00130580" w:rsidRPr="00DF384C">
        <w:rPr>
          <w:rStyle w:val="FootnoteReference"/>
        </w:rPr>
        <w:footnoteReference w:id="12"/>
      </w:r>
      <w:r w:rsidR="00130580">
        <w:t xml:space="preserve"> </w:t>
      </w:r>
    </w:p>
    <w:p w:rsidR="00816DE4" w:rsidRDefault="00130580" w:rsidP="00DF384C">
      <w:pPr>
        <w:autoSpaceDE w:val="0"/>
        <w:autoSpaceDN w:val="0"/>
        <w:adjustRightInd w:val="0"/>
        <w:spacing w:after="0" w:line="360" w:lineRule="auto"/>
        <w:ind w:firstLine="720"/>
        <w:rPr>
          <w:rFonts w:cs="MinionPro-Regular"/>
        </w:rPr>
      </w:pPr>
      <w:r>
        <w:t xml:space="preserve">However, Sherwin-White </w:t>
      </w:r>
      <w:r w:rsidR="000E515D">
        <w:t xml:space="preserve">and Kuhrt </w:t>
      </w:r>
      <w:r>
        <w:t>believes that th</w:t>
      </w:r>
      <w:r w:rsidR="00E47F45">
        <w:t>is cylinder is the exact opposite</w:t>
      </w:r>
      <w:r>
        <w:t>, that it is a key piece of evidence to show the Seleucid</w:t>
      </w:r>
      <w:r w:rsidR="00816DE4">
        <w:t>’</w:t>
      </w:r>
      <w:r>
        <w:t>s devotion to Babylonian religion.</w:t>
      </w:r>
      <w:r>
        <w:rPr>
          <w:rStyle w:val="FootnoteReference"/>
        </w:rPr>
        <w:footnoteReference w:id="13"/>
      </w:r>
      <w:r>
        <w:t xml:space="preserve"> </w:t>
      </w:r>
      <w:r w:rsidR="00055991">
        <w:t xml:space="preserve">The cylinder was used as part of the tradition building ceremony in which a blessing was written on the cylinder and then placed in the foundation at the entrance of the temple. This practice dates back to as early as the </w:t>
      </w:r>
      <w:r w:rsidR="0044105F">
        <w:t>2</w:t>
      </w:r>
      <w:r w:rsidR="0044105F" w:rsidRPr="0044105F">
        <w:rPr>
          <w:vertAlign w:val="superscript"/>
        </w:rPr>
        <w:t>nd</w:t>
      </w:r>
      <w:r w:rsidR="00055991">
        <w:t xml:space="preserve"> millennia</w:t>
      </w:r>
      <w:r w:rsidR="0044105F">
        <w:t xml:space="preserve">, continuing on through the Neo-Assyrian, Neo-Babylonian, and </w:t>
      </w:r>
      <w:r w:rsidR="0041386D">
        <w:t>Achaemenid periods.</w:t>
      </w:r>
      <w:r w:rsidR="0041386D" w:rsidRPr="0041386D">
        <w:rPr>
          <w:rStyle w:val="FootnoteReference"/>
        </w:rPr>
        <w:t xml:space="preserve"> </w:t>
      </w:r>
      <w:r w:rsidR="0041386D">
        <w:rPr>
          <w:rStyle w:val="FootnoteReference"/>
        </w:rPr>
        <w:footnoteReference w:id="14"/>
      </w:r>
      <w:r w:rsidR="0041386D">
        <w:t xml:space="preserve"> T</w:t>
      </w:r>
      <w:r w:rsidR="0044105F">
        <w:t xml:space="preserve">herefore, </w:t>
      </w:r>
      <w:r w:rsidR="0041386D">
        <w:t>Antio</w:t>
      </w:r>
      <w:r w:rsidR="0044105F">
        <w:t>ch</w:t>
      </w:r>
      <w:r w:rsidR="0041386D">
        <w:t>us</w:t>
      </w:r>
      <w:r w:rsidR="0044105F">
        <w:t xml:space="preserve"> continuing this practice is a clear nod to Babylonian tradition. </w:t>
      </w:r>
      <w:r w:rsidR="00055991">
        <w:t xml:space="preserve"> </w:t>
      </w:r>
      <w:r w:rsidR="004466C5">
        <w:t xml:space="preserve">To Sherwin-White and </w:t>
      </w:r>
      <w:r w:rsidR="007808A8">
        <w:t>Kuhrt</w:t>
      </w:r>
      <w:r w:rsidR="004466C5">
        <w:t xml:space="preserve"> this is a text that represents </w:t>
      </w:r>
      <w:r w:rsidR="007808A8">
        <w:t>Seleucid’s</w:t>
      </w:r>
      <w:r w:rsidR="004466C5">
        <w:t xml:space="preserve"> royal support of the Babylonians priesthood which honours local tradition, beliefs, and rituals, “</w:t>
      </w:r>
      <w:r w:rsidR="007808A8">
        <w:t xml:space="preserve">treated as the ideal </w:t>
      </w:r>
      <w:r w:rsidR="007808A8" w:rsidRPr="007808A8">
        <w:rPr>
          <w:rFonts w:cs="MinionPro-Regular"/>
        </w:rPr>
        <w:t>instantiation of the supposedly unpolluted cultural continuity.”</w:t>
      </w:r>
      <w:r w:rsidR="007808A8" w:rsidRPr="007808A8">
        <w:rPr>
          <w:rStyle w:val="FootnoteReference"/>
          <w:rFonts w:cs="MinionPro-Regular"/>
        </w:rPr>
        <w:footnoteReference w:id="15"/>
      </w:r>
      <w:r w:rsidR="007808A8" w:rsidRPr="007808A8">
        <w:rPr>
          <w:rFonts w:cs="MinionPro-Regular"/>
        </w:rPr>
        <w:t xml:space="preserve"> For </w:t>
      </w:r>
      <w:r w:rsidR="00816DE4">
        <w:rPr>
          <w:rFonts w:cs="MinionPro-Regular"/>
        </w:rPr>
        <w:t xml:space="preserve">Sherwin-White and </w:t>
      </w:r>
      <w:r w:rsidR="007808A8" w:rsidRPr="007808A8">
        <w:rPr>
          <w:rFonts w:cs="MinionPro-Regular"/>
        </w:rPr>
        <w:t xml:space="preserve">Kuhrt and </w:t>
      </w:r>
      <w:r w:rsidR="0036621E">
        <w:rPr>
          <w:rFonts w:cs="MinionPro-Regular"/>
        </w:rPr>
        <w:t>t</w:t>
      </w:r>
      <w:r w:rsidR="007808A8" w:rsidRPr="007808A8">
        <w:rPr>
          <w:rFonts w:cs="MinionPro-Regular"/>
        </w:rPr>
        <w:t>he royal ideology that is being expressed is “a totally Babylonian one.”</w:t>
      </w:r>
      <w:r w:rsidR="007808A8">
        <w:rPr>
          <w:rStyle w:val="FootnoteReference"/>
          <w:rFonts w:cs="MinionPro-Regular"/>
        </w:rPr>
        <w:footnoteReference w:id="16"/>
      </w:r>
    </w:p>
    <w:p w:rsidR="00DF384C" w:rsidRPr="00816DE4" w:rsidRDefault="00DF384C" w:rsidP="00DF384C">
      <w:pPr>
        <w:autoSpaceDE w:val="0"/>
        <w:autoSpaceDN w:val="0"/>
        <w:adjustRightInd w:val="0"/>
        <w:spacing w:after="0" w:line="360" w:lineRule="auto"/>
        <w:ind w:firstLine="720"/>
        <w:rPr>
          <w:rFonts w:cs="MinionPro-Regular"/>
        </w:rPr>
      </w:pPr>
    </w:p>
    <w:p w:rsidR="00B64F9F" w:rsidRDefault="00B64F9F" w:rsidP="00DF384C">
      <w:pPr>
        <w:spacing w:line="360" w:lineRule="auto"/>
        <w:ind w:firstLine="720"/>
      </w:pPr>
      <w:r>
        <w:t xml:space="preserve">Haubold, Strootman, and Kosmin find the cylinder to be </w:t>
      </w:r>
      <w:r w:rsidR="0036621E">
        <w:t>of Babylonian style, but the message it is sending is of Seleucid royal ideology</w:t>
      </w:r>
      <w:r w:rsidR="00816DE4">
        <w:t>, not that of Babylonians acceptance</w:t>
      </w:r>
      <w:r w:rsidR="0036621E">
        <w:t>.</w:t>
      </w:r>
      <w:r w:rsidR="0036621E">
        <w:rPr>
          <w:rStyle w:val="FootnoteReference"/>
        </w:rPr>
        <w:footnoteReference w:id="17"/>
      </w:r>
      <w:r w:rsidR="0036621E">
        <w:t xml:space="preserve"> Hau</w:t>
      </w:r>
      <w:r w:rsidR="00EE7CDC">
        <w:t>bold describes it as, “Antiochus, it seems, has used the traditional building blocks of the Neo-Babylonian royal inscription to create a distinctive new narrative.”</w:t>
      </w:r>
      <w:r w:rsidR="00EE7CDC">
        <w:rPr>
          <w:rStyle w:val="FootnoteReference"/>
        </w:rPr>
        <w:footnoteReference w:id="18"/>
      </w:r>
      <w:r w:rsidR="0036621E">
        <w:t xml:space="preserve"> </w:t>
      </w:r>
      <w:r w:rsidR="00EE7CDC">
        <w:t xml:space="preserve">Kosmin agrees, believing it is “imbued with </w:t>
      </w:r>
      <w:r w:rsidR="00EE7CDC">
        <w:lastRenderedPageBreak/>
        <w:t>Seleucid’s monarchic ideology and artfully reformulated Babylonian tradition within the framework of the genuinely imperial programme.”</w:t>
      </w:r>
      <w:r w:rsidR="00EE7CDC">
        <w:rPr>
          <w:rStyle w:val="FootnoteReference"/>
        </w:rPr>
        <w:footnoteReference w:id="19"/>
      </w:r>
    </w:p>
    <w:p w:rsidR="003760FD" w:rsidRDefault="000E515D" w:rsidP="00DF384C">
      <w:pPr>
        <w:spacing w:line="360" w:lineRule="auto"/>
        <w:ind w:firstLine="720"/>
      </w:pPr>
      <w:r>
        <w:t>Kathryn Steven takes a much more cautious approach to the cylinder. While she agrees that it is a remarkable artefact, it is one of a kind, and therefore, must be cautious using it as a broad brush to paint a picture of Seleucid’s royal ideology in Babylonian, or even across the empire.</w:t>
      </w:r>
      <w:r>
        <w:rPr>
          <w:rStyle w:val="FootnoteReference"/>
        </w:rPr>
        <w:footnoteReference w:id="20"/>
      </w:r>
      <w:r>
        <w:t xml:space="preserve"> </w:t>
      </w:r>
    </w:p>
    <w:p w:rsidR="000E515D" w:rsidRDefault="005D6D60" w:rsidP="00DF384C">
      <w:pPr>
        <w:spacing w:line="360" w:lineRule="auto"/>
        <w:ind w:firstLine="720"/>
      </w:pPr>
      <w:r>
        <w:t>To dissect the meaning of the Antioch cyclinder, several aspect of the scroll must be broken down. First, the actually physical scroll its self</w:t>
      </w:r>
      <w:r w:rsidR="007020CC">
        <w:t xml:space="preserve">, its purposes, its design. Second, what does the scroll say? </w:t>
      </w:r>
      <w:r w:rsidR="00006D48">
        <w:t>We must b</w:t>
      </w:r>
      <w:r w:rsidR="007020CC">
        <w:t>reakdown the language used within the scroll</w:t>
      </w:r>
      <w:r w:rsidR="006562FE">
        <w:t xml:space="preserve"> to find out what message it is trying to send</w:t>
      </w:r>
      <w:r w:rsidR="007020CC">
        <w:t xml:space="preserve">. Thirdly, </w:t>
      </w:r>
      <w:r w:rsidR="006562FE">
        <w:t>we must apply</w:t>
      </w:r>
      <w:r w:rsidR="007020CC">
        <w:t xml:space="preserve"> that language to the broad context of Babylonian religion, Seleucid’s royal ideology, and its relation with the rest of the empire. </w:t>
      </w:r>
    </w:p>
    <w:p w:rsidR="0016109D" w:rsidRPr="003E21C0" w:rsidRDefault="00DD24B8" w:rsidP="0096584D">
      <w:pPr>
        <w:spacing w:line="360" w:lineRule="auto"/>
        <w:rPr>
          <w:b/>
        </w:rPr>
      </w:pPr>
      <w:r w:rsidRPr="003E21C0">
        <w:rPr>
          <w:b/>
        </w:rPr>
        <w:t xml:space="preserve">From the Earth: The physicality of </w:t>
      </w:r>
      <w:r w:rsidR="00FB3A27" w:rsidRPr="003E21C0">
        <w:rPr>
          <w:b/>
        </w:rPr>
        <w:t>t</w:t>
      </w:r>
      <w:r w:rsidR="0016109D" w:rsidRPr="003E21C0">
        <w:rPr>
          <w:b/>
        </w:rPr>
        <w:t>he Cylinder of Antiochus I from Borsippa</w:t>
      </w:r>
    </w:p>
    <w:p w:rsidR="007020CC" w:rsidRDefault="007020CC" w:rsidP="0096584D">
      <w:pPr>
        <w:spacing w:line="360" w:lineRule="auto"/>
      </w:pPr>
      <w:r>
        <w:t>As previously discussed the cylinder was part of the building ritual of the rebuilding of the temple Ezida by Antiochus in 268</w:t>
      </w:r>
      <w:r w:rsidR="006562FE">
        <w:t xml:space="preserve"> BCE</w:t>
      </w:r>
      <w:r>
        <w:t xml:space="preserve">. </w:t>
      </w:r>
      <w:r w:rsidR="00FA769E">
        <w:t xml:space="preserve">Looking at the cylinder itself, it is cylinder, barrel in form, made from clay as per a tradition used in building ceremonies. It was written in Akkadian which was not a written or spoken language </w:t>
      </w:r>
      <w:r w:rsidR="006562FE">
        <w:t>that had been used in hundreds of year, much less</w:t>
      </w:r>
      <w:r w:rsidR="00FA769E">
        <w:t xml:space="preserve"> by the Seleucid’s empire. By this time it was a traditional, religious language, used only for ritual customs and was the language of the gods.</w:t>
      </w:r>
      <w:r w:rsidR="00FA769E">
        <w:rPr>
          <w:rStyle w:val="FootnoteReference"/>
        </w:rPr>
        <w:footnoteReference w:id="21"/>
      </w:r>
      <w:r w:rsidR="00D1260D">
        <w:t xml:space="preserve"> Sher</w:t>
      </w:r>
      <w:r w:rsidR="00FA769E">
        <w:t>w</w:t>
      </w:r>
      <w:r w:rsidR="00D1260D">
        <w:t>i</w:t>
      </w:r>
      <w:r w:rsidR="00FA769E">
        <w:t>n-White</w:t>
      </w:r>
      <w:r w:rsidR="00D1260D">
        <w:t xml:space="preserve"> Kuh</w:t>
      </w:r>
      <w:r w:rsidR="00FA769E">
        <w:t xml:space="preserve">rt argues that because the cylinder is written in </w:t>
      </w:r>
      <w:r w:rsidR="00D1260D">
        <w:t xml:space="preserve">an </w:t>
      </w:r>
      <w:r w:rsidR="00FA769E">
        <w:t xml:space="preserve">ancient religious language, it is honouring the Babylonian gods with its continued use, “it carried with it the authority and </w:t>
      </w:r>
      <w:r w:rsidR="00D1260D">
        <w:t>seniority</w:t>
      </w:r>
      <w:r w:rsidR="00FA769E">
        <w:t xml:space="preserve"> of old-established learning, and was the language in which it was appropriate to address the traditional gods.”</w:t>
      </w:r>
      <w:r w:rsidR="00FA769E">
        <w:rPr>
          <w:rStyle w:val="FootnoteReference"/>
        </w:rPr>
        <w:footnoteReference w:id="22"/>
      </w:r>
      <w:r w:rsidR="00FA769E">
        <w:t xml:space="preserve"> </w:t>
      </w:r>
      <w:r w:rsidR="0024697B">
        <w:t>Steven’s argument is that using Akkadian, while traditional, was isolating, that the audience for the scroll</w:t>
      </w:r>
      <w:r w:rsidR="006930F5">
        <w:t xml:space="preserve"> would have been quite small to begin with</w:t>
      </w:r>
      <w:r w:rsidR="0024697B">
        <w:t xml:space="preserve">, </w:t>
      </w:r>
      <w:r w:rsidR="006930F5">
        <w:t>now made even small due to the</w:t>
      </w:r>
      <w:r w:rsidR="0024697B">
        <w:t xml:space="preserve"> inaccessibility of the language. The only audience it would have had </w:t>
      </w:r>
      <w:r w:rsidR="006930F5">
        <w:t xml:space="preserve">any meaning to </w:t>
      </w:r>
      <w:r w:rsidR="0024697B">
        <w:t xml:space="preserve">was the few scholars, </w:t>
      </w:r>
      <w:r w:rsidR="006930F5">
        <w:t>king’s</w:t>
      </w:r>
      <w:r w:rsidR="0024697B">
        <w:t xml:space="preserve"> representations, and temple priest.</w:t>
      </w:r>
      <w:r w:rsidR="0024697B">
        <w:rPr>
          <w:rStyle w:val="FootnoteReference"/>
        </w:rPr>
        <w:footnoteReference w:id="23"/>
      </w:r>
      <w:r w:rsidR="0024697B">
        <w:t xml:space="preserve"> </w:t>
      </w:r>
      <w:r w:rsidR="006930F5">
        <w:t xml:space="preserve">Steven’s argues, even if that scroll was read out, it was not have had much meaning to the population at large, for they would not have understood it.  </w:t>
      </w:r>
      <w:r w:rsidR="00140125">
        <w:t xml:space="preserve">To Sherwin-White and Kuhrt, the language barrier is irrelevant, there was no </w:t>
      </w:r>
      <w:r w:rsidR="00765F6C">
        <w:t>need to understand the text word</w:t>
      </w:r>
      <w:r w:rsidR="00140125">
        <w:t xml:space="preserve"> for word, the process, the involvement in the community preparing the </w:t>
      </w:r>
      <w:r w:rsidR="0061662C">
        <w:t>cylinder</w:t>
      </w:r>
      <w:r w:rsidR="00140125">
        <w:t>, the engagement of the ritual was all that was needed.</w:t>
      </w:r>
      <w:r w:rsidR="007357CD">
        <w:rPr>
          <w:rStyle w:val="FootnoteReference"/>
        </w:rPr>
        <w:footnoteReference w:id="24"/>
      </w:r>
      <w:r w:rsidR="00140125">
        <w:t xml:space="preserve"> </w:t>
      </w:r>
      <w:r w:rsidR="0061662C">
        <w:t xml:space="preserve">I find that the argument of Sherwin-White and Kuhrt more engaging. </w:t>
      </w:r>
      <w:r w:rsidR="00DD24B8">
        <w:t xml:space="preserve">No matter what language a tradition </w:t>
      </w:r>
      <w:r w:rsidR="00DD24B8">
        <w:lastRenderedPageBreak/>
        <w:t xml:space="preserve">is conducted, or even if you are present for it, it is the actual tradition continuing on that matters to the people. The acknowledgement of the Babylonian beliefs and rituals is what would have be valued by the people. </w:t>
      </w:r>
    </w:p>
    <w:p w:rsidR="007357CD" w:rsidRDefault="00D1260D" w:rsidP="00DF384C">
      <w:pPr>
        <w:autoSpaceDE w:val="0"/>
        <w:autoSpaceDN w:val="0"/>
        <w:adjustRightInd w:val="0"/>
        <w:spacing w:after="0" w:line="360" w:lineRule="auto"/>
        <w:ind w:firstLine="720"/>
        <w:rPr>
          <w:rFonts w:cs="MinionPro-Regular"/>
        </w:rPr>
      </w:pPr>
      <w:r>
        <w:rPr>
          <w:rFonts w:cs="MinionPro-Regular"/>
        </w:rPr>
        <w:t>The c</w:t>
      </w:r>
      <w:r w:rsidR="007357CD" w:rsidRPr="007357CD">
        <w:rPr>
          <w:rFonts w:cs="MinionPro-Regular"/>
        </w:rPr>
        <w:t>ylinder is written in two columns of thirty and twenty-nine lines</w:t>
      </w:r>
      <w:r w:rsidR="00A40E41">
        <w:rPr>
          <w:rFonts w:cs="MinionPro-Regular"/>
        </w:rPr>
        <w:t xml:space="preserve">, a </w:t>
      </w:r>
      <w:r>
        <w:rPr>
          <w:rFonts w:cs="MinionPro-Regular"/>
        </w:rPr>
        <w:t>double vertical line down the c</w:t>
      </w:r>
      <w:r w:rsidR="007357CD" w:rsidRPr="007357CD">
        <w:rPr>
          <w:rFonts w:cs="MinionPro-Regular"/>
        </w:rPr>
        <w:t>ylinder’s middle separates the two columns from one another and horizontal rulings in each column divide up the lines of writing.</w:t>
      </w:r>
      <w:r w:rsidR="00A40E41">
        <w:rPr>
          <w:rStyle w:val="FootnoteReference"/>
          <w:rFonts w:cs="MinionPro-Regular"/>
        </w:rPr>
        <w:footnoteReference w:id="25"/>
      </w:r>
      <w:r w:rsidR="00A40E41">
        <w:rPr>
          <w:rFonts w:cs="MinionPro-Regular"/>
        </w:rPr>
        <w:t xml:space="preserve"> Kosmin makes an argument for the layout of the </w:t>
      </w:r>
      <w:r w:rsidR="0016109D">
        <w:rPr>
          <w:rFonts w:cs="MinionPro-Regular"/>
        </w:rPr>
        <w:t xml:space="preserve">scroll, </w:t>
      </w:r>
      <w:r>
        <w:rPr>
          <w:rFonts w:cs="MinionPro-Regular"/>
        </w:rPr>
        <w:t xml:space="preserve">that </w:t>
      </w:r>
      <w:r w:rsidR="0016109D">
        <w:rPr>
          <w:rFonts w:cs="MinionPro-Regular"/>
        </w:rPr>
        <w:t>the physical</w:t>
      </w:r>
      <w:r w:rsidR="004057CD">
        <w:rPr>
          <w:rFonts w:cs="MinionPro-Regular"/>
        </w:rPr>
        <w:t xml:space="preserve"> positioning of wordi</w:t>
      </w:r>
      <w:r>
        <w:rPr>
          <w:rFonts w:cs="MinionPro-Regular"/>
        </w:rPr>
        <w:t>ng on the scroll carries with it</w:t>
      </w:r>
      <w:r w:rsidR="004057CD">
        <w:rPr>
          <w:rFonts w:cs="MinionPro-Regular"/>
        </w:rPr>
        <w:t xml:space="preserve"> </w:t>
      </w:r>
      <w:r w:rsidR="00927A52">
        <w:rPr>
          <w:rFonts w:cs="MinionPro-Regular"/>
        </w:rPr>
        <w:t>connotation</w:t>
      </w:r>
      <w:r w:rsidR="004057CD">
        <w:rPr>
          <w:rFonts w:cs="MinionPro-Regular"/>
        </w:rPr>
        <w:t xml:space="preserve"> to its Babylonian connections</w:t>
      </w:r>
      <w:r w:rsidR="00A108BE">
        <w:rPr>
          <w:rFonts w:cs="MinionPro-Regular"/>
        </w:rPr>
        <w:t xml:space="preserve">, highlighting </w:t>
      </w:r>
      <w:r w:rsidR="004057CD">
        <w:rPr>
          <w:rFonts w:cs="MinionPro-Regular"/>
        </w:rPr>
        <w:t xml:space="preserve">even the physical look, what a person </w:t>
      </w:r>
      <w:r w:rsidR="00A108BE">
        <w:rPr>
          <w:rFonts w:cs="MinionPro-Regular"/>
        </w:rPr>
        <w:t>sees</w:t>
      </w:r>
      <w:r w:rsidR="004057CD">
        <w:rPr>
          <w:rFonts w:cs="MinionPro-Regular"/>
        </w:rPr>
        <w:t xml:space="preserve"> visually, carries meaning. </w:t>
      </w:r>
      <w:r w:rsidR="00D84436">
        <w:rPr>
          <w:rFonts w:cs="MinionPro-Regular"/>
        </w:rPr>
        <w:t xml:space="preserve">On lines 4-5 of column i, the genealogies of Antiochus </w:t>
      </w:r>
      <w:r>
        <w:rPr>
          <w:rFonts w:cs="MinionPro-Regular"/>
        </w:rPr>
        <w:t>are</w:t>
      </w:r>
      <w:r w:rsidR="00D84436">
        <w:rPr>
          <w:rFonts w:cs="MinionPro-Regular"/>
        </w:rPr>
        <w:t xml:space="preserve"> written. Moving to column ii, lines 4-6, the </w:t>
      </w:r>
      <w:r w:rsidR="00927A52">
        <w:rPr>
          <w:rFonts w:cs="MinionPro-Regular"/>
        </w:rPr>
        <w:t>genealogy</w:t>
      </w:r>
      <w:r w:rsidR="00D84436">
        <w:rPr>
          <w:rFonts w:cs="MinionPro-Regular"/>
        </w:rPr>
        <w:t xml:space="preserve"> of the god </w:t>
      </w:r>
      <w:r w:rsidR="00B400C0">
        <w:t>Nabû</w:t>
      </w:r>
      <w:r w:rsidR="00B400C0">
        <w:rPr>
          <w:rFonts w:cs="MinionPro-Regular"/>
        </w:rPr>
        <w:t xml:space="preserve"> </w:t>
      </w:r>
      <w:r w:rsidR="00D84436">
        <w:rPr>
          <w:rFonts w:cs="MinionPro-Regular"/>
        </w:rPr>
        <w:t xml:space="preserve">is written. This parallel structure of the cylinder gives a visual meaning and connection between the Seleucids and the Babylonian gods. </w:t>
      </w:r>
      <w:r w:rsidR="00FB3A27">
        <w:rPr>
          <w:rFonts w:cs="MinionPro-Regular"/>
        </w:rPr>
        <w:t xml:space="preserve">The eye would </w:t>
      </w:r>
      <w:r w:rsidR="00927A52">
        <w:rPr>
          <w:rFonts w:cs="MinionPro-Regular"/>
        </w:rPr>
        <w:t xml:space="preserve">be drawn to this </w:t>
      </w:r>
      <w:r w:rsidR="00FB3A27">
        <w:rPr>
          <w:rFonts w:cs="MinionPro-Regular"/>
        </w:rPr>
        <w:t>parallel and horizontal connection,</w:t>
      </w:r>
      <w:r w:rsidR="00927A52">
        <w:rPr>
          <w:rFonts w:cs="MinionPro-Regular"/>
        </w:rPr>
        <w:t xml:space="preserve"> </w:t>
      </w:r>
      <w:r w:rsidR="00FB3A27">
        <w:rPr>
          <w:rFonts w:cs="MinionPro-Regular"/>
        </w:rPr>
        <w:t xml:space="preserve">linking </w:t>
      </w:r>
      <w:r w:rsidR="00927A52">
        <w:rPr>
          <w:rFonts w:cs="MinionPro-Regular"/>
        </w:rPr>
        <w:t xml:space="preserve">the birth right of Antiochus and that of </w:t>
      </w:r>
      <w:r w:rsidR="00B400C0">
        <w:t>Nabû</w:t>
      </w:r>
      <w:r w:rsidR="00B400C0">
        <w:rPr>
          <w:rFonts w:cs="MinionPro-Regular"/>
        </w:rPr>
        <w:t xml:space="preserve"> </w:t>
      </w:r>
      <w:r w:rsidR="00927A52">
        <w:rPr>
          <w:rFonts w:cs="MinionPro-Regular"/>
        </w:rPr>
        <w:t>as king and god in a single visual element.</w:t>
      </w:r>
      <w:r w:rsidR="00927A52">
        <w:rPr>
          <w:rStyle w:val="FootnoteReference"/>
          <w:rFonts w:cs="MinionPro-Regular"/>
        </w:rPr>
        <w:footnoteReference w:id="26"/>
      </w:r>
      <w:r w:rsidR="00927A52">
        <w:rPr>
          <w:rFonts w:cs="MinionPro-Regular"/>
        </w:rPr>
        <w:t xml:space="preserve"> </w:t>
      </w:r>
    </w:p>
    <w:p w:rsidR="004057CD" w:rsidRDefault="004057CD" w:rsidP="0096584D">
      <w:pPr>
        <w:autoSpaceDE w:val="0"/>
        <w:autoSpaceDN w:val="0"/>
        <w:adjustRightInd w:val="0"/>
        <w:spacing w:after="0" w:line="360" w:lineRule="auto"/>
        <w:rPr>
          <w:rFonts w:cs="MinionPro-Regular"/>
        </w:rPr>
      </w:pPr>
    </w:p>
    <w:p w:rsidR="00FB3A27" w:rsidRPr="003E21C0" w:rsidRDefault="00FB3A27" w:rsidP="0096584D">
      <w:pPr>
        <w:spacing w:line="360" w:lineRule="auto"/>
        <w:rPr>
          <w:rFonts w:cs="Arial"/>
          <w:b/>
        </w:rPr>
      </w:pPr>
      <w:r w:rsidRPr="003E21C0">
        <w:rPr>
          <w:b/>
        </w:rPr>
        <w:t xml:space="preserve">From the Heart: An Analysis of the text of </w:t>
      </w:r>
      <w:r w:rsidRPr="003E21C0">
        <w:rPr>
          <w:rFonts w:cs="Arial"/>
          <w:b/>
        </w:rPr>
        <w:t>the Cylinder of Antiochus I from Borsippa</w:t>
      </w:r>
    </w:p>
    <w:p w:rsidR="007357CD" w:rsidRDefault="000D3CDC" w:rsidP="0096584D">
      <w:pPr>
        <w:spacing w:line="360" w:lineRule="auto"/>
      </w:pPr>
      <w:r>
        <w:t>Textual analysis of the cylinder has widely varying opinion, most centring around</w:t>
      </w:r>
      <w:r w:rsidR="00620019">
        <w:t xml:space="preserve"> how</w:t>
      </w:r>
      <w:r>
        <w:t xml:space="preserve"> much of the cylinder is engaging with traditional Babylonian religion verse promoting Seleucid ideology. </w:t>
      </w:r>
    </w:p>
    <w:p w:rsidR="00A128A4" w:rsidRDefault="00AA5C1D" w:rsidP="00DF384C">
      <w:pPr>
        <w:autoSpaceDE w:val="0"/>
        <w:autoSpaceDN w:val="0"/>
        <w:adjustRightInd w:val="0"/>
        <w:spacing w:after="0" w:line="360" w:lineRule="auto"/>
        <w:ind w:firstLine="720"/>
      </w:pPr>
      <w:r>
        <w:t>Steven’s argument</w:t>
      </w:r>
      <w:r w:rsidR="00F4620D">
        <w:t xml:space="preserve"> is</w:t>
      </w:r>
      <w:r>
        <w:t xml:space="preserve"> that the cylinder has very little to do with linking Babylonian religion</w:t>
      </w:r>
      <w:r w:rsidR="00F4620D">
        <w:t>, rather than it was a vehicle for</w:t>
      </w:r>
      <w:r>
        <w:t xml:space="preserve"> to Seleucids ideology. She does not deny that the Seleucids </w:t>
      </w:r>
      <w:r w:rsidR="00F4620D">
        <w:t xml:space="preserve">are </w:t>
      </w:r>
      <w:r w:rsidR="00D37698">
        <w:t>using Babylonian overtones</w:t>
      </w:r>
      <w:r>
        <w:t xml:space="preserve">, but </w:t>
      </w:r>
      <w:r w:rsidR="00D37698">
        <w:t xml:space="preserve">this ideology is </w:t>
      </w:r>
      <w:r>
        <w:t>not centre</w:t>
      </w:r>
      <w:r w:rsidR="00D37698">
        <w:t>d</w:t>
      </w:r>
      <w:r>
        <w:t xml:space="preserve"> on </w:t>
      </w:r>
      <w:r w:rsidR="00F4620D">
        <w:t xml:space="preserve">Babylonian religion portrayed through the </w:t>
      </w:r>
      <w:r>
        <w:t>Antioch cylinder.</w:t>
      </w:r>
      <w:r w:rsidR="00D37698">
        <w:rPr>
          <w:rStyle w:val="FootnoteReference"/>
        </w:rPr>
        <w:footnoteReference w:id="27"/>
      </w:r>
      <w:r>
        <w:t xml:space="preserve"> </w:t>
      </w:r>
      <w:r w:rsidR="002C3388">
        <w:t xml:space="preserve">The cylinder provides more of an insight into the </w:t>
      </w:r>
      <w:r w:rsidR="006C7A91">
        <w:t>Seleucid’s</w:t>
      </w:r>
      <w:r w:rsidR="002C3388">
        <w:t xml:space="preserve"> overall royal ideology</w:t>
      </w:r>
      <w:r w:rsidR="00A128A4">
        <w:t xml:space="preserve"> which is not ba</w:t>
      </w:r>
      <w:r w:rsidR="00F4620D">
        <w:t xml:space="preserve">sed around Babylonian religion. This </w:t>
      </w:r>
      <w:r w:rsidR="00A128A4">
        <w:t xml:space="preserve">breaks with Sherwin-White </w:t>
      </w:r>
      <w:r w:rsidR="00B400C0">
        <w:t>arguement</w:t>
      </w:r>
      <w:r w:rsidR="00A128A4">
        <w:t xml:space="preserve"> that this a completely Babylonian text. </w:t>
      </w:r>
      <w:r w:rsidR="00B400C0">
        <w:t>Steven’s argues</w:t>
      </w:r>
      <w:r w:rsidR="00A128A4">
        <w:t xml:space="preserve"> that while at first glance the cylinder looks and feels traditionally Babylonian, when one begins to break down the text line by line, it is not traditionally Babylonian. </w:t>
      </w:r>
    </w:p>
    <w:p w:rsidR="00A128A4" w:rsidRDefault="00A128A4" w:rsidP="0096584D">
      <w:pPr>
        <w:autoSpaceDE w:val="0"/>
        <w:autoSpaceDN w:val="0"/>
        <w:adjustRightInd w:val="0"/>
        <w:spacing w:after="0" w:line="360" w:lineRule="auto"/>
      </w:pPr>
    </w:p>
    <w:p w:rsidR="001005DE" w:rsidRDefault="00A128A4" w:rsidP="00DF384C">
      <w:pPr>
        <w:autoSpaceDE w:val="0"/>
        <w:autoSpaceDN w:val="0"/>
        <w:adjustRightInd w:val="0"/>
        <w:spacing w:after="0" w:line="360" w:lineRule="auto"/>
        <w:ind w:firstLine="720"/>
      </w:pPr>
      <w:r>
        <w:t xml:space="preserve">Looking at the opening royal titulary, </w:t>
      </w:r>
      <w:r w:rsidR="007C7666">
        <w:t>at first glance, look</w:t>
      </w:r>
      <w:r w:rsidR="00236BBC">
        <w:t>s</w:t>
      </w:r>
      <w:r w:rsidR="007C7666">
        <w:t xml:space="preserve"> to be Neo-Babylonian, </w:t>
      </w:r>
      <w:r w:rsidR="00E470E3">
        <w:t>which Sherwin</w:t>
      </w:r>
      <w:r w:rsidR="00050563">
        <w:t>-White and Kuhrt are quick to agree.</w:t>
      </w:r>
      <w:r w:rsidR="00050563">
        <w:rPr>
          <w:rStyle w:val="FootnoteReference"/>
        </w:rPr>
        <w:footnoteReference w:id="28"/>
      </w:r>
      <w:r w:rsidR="00050563">
        <w:t xml:space="preserve"> </w:t>
      </w:r>
      <w:r w:rsidR="00B400C0">
        <w:t>Steven</w:t>
      </w:r>
      <w:r w:rsidR="00236BBC">
        <w:t xml:space="preserve">s claim </w:t>
      </w:r>
      <w:r w:rsidR="001005DE">
        <w:t>it</w:t>
      </w:r>
      <w:r w:rsidR="007C7666">
        <w:t xml:space="preserve"> </w:t>
      </w:r>
      <w:r w:rsidR="001005DE">
        <w:t>is</w:t>
      </w:r>
      <w:r w:rsidR="007C7666">
        <w:t xml:space="preserve"> not. </w:t>
      </w:r>
      <w:r w:rsidR="001005DE">
        <w:t>With</w:t>
      </w:r>
      <w:r w:rsidR="007C7666">
        <w:t xml:space="preserve"> the various rulers and dynasties in Mesopotamia, royal inscription</w:t>
      </w:r>
      <w:r w:rsidR="00236BBC">
        <w:t>s</w:t>
      </w:r>
      <w:r w:rsidR="007C7666">
        <w:t xml:space="preserve"> varied, highlighting certain aspects that they wanted to promote. The Assyrians focused on strength and power. The Babylonians projected piety and </w:t>
      </w:r>
      <w:r w:rsidR="007C7666">
        <w:lastRenderedPageBreak/>
        <w:t>protection.</w:t>
      </w:r>
      <w:r w:rsidR="001005DE">
        <w:t xml:space="preserve"> How a ruler arranged their royal titles could portray an allegiance or image of previous rulers. </w:t>
      </w:r>
    </w:p>
    <w:p w:rsidR="00EE43B9" w:rsidRDefault="001005DE" w:rsidP="00DF384C">
      <w:pPr>
        <w:autoSpaceDE w:val="0"/>
        <w:autoSpaceDN w:val="0"/>
        <w:adjustRightInd w:val="0"/>
        <w:spacing w:after="0" w:line="360" w:lineRule="auto"/>
        <w:ind w:firstLine="720"/>
      </w:pPr>
      <w:r>
        <w:t xml:space="preserve">In the Antiochus cylinder, there are only two </w:t>
      </w:r>
      <w:r w:rsidR="00236BBC">
        <w:t>titles that were Neo-Babylonian</w:t>
      </w:r>
      <w:r w:rsidR="00CD5D3A">
        <w:t>, “king of Babylon” and “provider of Esagil and Ezida”. Nearly all the rest of the title</w:t>
      </w:r>
      <w:r w:rsidR="002061FC">
        <w:t>s</w:t>
      </w:r>
      <w:r w:rsidR="00E016E0">
        <w:t xml:space="preserve"> within the Antiochus cylinder</w:t>
      </w:r>
      <w:r w:rsidR="00CD5D3A">
        <w:t xml:space="preserve"> are of Achaemenid or Assyrians</w:t>
      </w:r>
      <w:r w:rsidR="00E016E0">
        <w:t xml:space="preserve"> descent</w:t>
      </w:r>
      <w:r w:rsidR="00A75FE2">
        <w:t xml:space="preserve">, which were never used by </w:t>
      </w:r>
      <w:r w:rsidR="002061FC">
        <w:t xml:space="preserve">any </w:t>
      </w:r>
      <w:r w:rsidR="00A75FE2">
        <w:t>Neo-Babylonian kings</w:t>
      </w:r>
      <w:r w:rsidR="00E016E0">
        <w:t>.</w:t>
      </w:r>
      <w:r w:rsidR="00CD5D3A">
        <w:rPr>
          <w:rStyle w:val="FootnoteReference"/>
        </w:rPr>
        <w:footnoteReference w:id="29"/>
      </w:r>
      <w:r w:rsidR="00E016E0">
        <w:t xml:space="preserve"> Antiochus’s title</w:t>
      </w:r>
      <w:r w:rsidR="005206F1">
        <w:t>s</w:t>
      </w:r>
      <w:r w:rsidR="00E016E0">
        <w:t xml:space="preserve"> combine more of an Assyrian, Babylonian, and Persian ideology that a traditional Babylonian one. </w:t>
      </w:r>
      <w:r w:rsidR="00EE43B9">
        <w:t>This mixture of titles suited the royal ideology that the Seleucids were trying to promote. The use of Assyrian and Persian titles fit more in line with that of a warrior king, which is what they wanted to portray themselves as.</w:t>
      </w:r>
      <w:r w:rsidR="00387EDF" w:rsidRPr="00387EDF">
        <w:rPr>
          <w:rStyle w:val="FootnoteReference"/>
        </w:rPr>
        <w:t xml:space="preserve"> </w:t>
      </w:r>
      <w:r w:rsidR="00387EDF">
        <w:rPr>
          <w:rStyle w:val="FootnoteReference"/>
        </w:rPr>
        <w:footnoteReference w:id="30"/>
      </w:r>
      <w:r w:rsidR="00EE43B9">
        <w:t xml:space="preserve"> </w:t>
      </w:r>
    </w:p>
    <w:p w:rsidR="00E016E0" w:rsidRDefault="00E016E0" w:rsidP="0096584D">
      <w:pPr>
        <w:autoSpaceDE w:val="0"/>
        <w:autoSpaceDN w:val="0"/>
        <w:adjustRightInd w:val="0"/>
        <w:spacing w:after="0" w:line="360" w:lineRule="auto"/>
      </w:pPr>
    </w:p>
    <w:p w:rsidR="00EE43B9" w:rsidRDefault="00050563" w:rsidP="00DF384C">
      <w:pPr>
        <w:autoSpaceDE w:val="0"/>
        <w:autoSpaceDN w:val="0"/>
        <w:adjustRightInd w:val="0"/>
        <w:spacing w:after="0" w:line="360" w:lineRule="auto"/>
        <w:ind w:firstLine="720"/>
      </w:pPr>
      <w:r>
        <w:t xml:space="preserve">Sherwin-White’s </w:t>
      </w:r>
      <w:r w:rsidR="00F42995">
        <w:t>analysis seem to be too simplistic and narrow. While Antiochus would be wanting to appeal to the priest</w:t>
      </w:r>
      <w:r w:rsidR="00966ACE">
        <w:t>s</w:t>
      </w:r>
      <w:r w:rsidR="00F42995">
        <w:t xml:space="preserve"> and people of Babylon, he would never exclude an opportunity to </w:t>
      </w:r>
      <w:r w:rsidR="00F11220">
        <w:t>showcase</w:t>
      </w:r>
      <w:r w:rsidR="00F42995">
        <w:t xml:space="preserve"> his kingship</w:t>
      </w:r>
      <w:r w:rsidR="00F11220">
        <w:t xml:space="preserve"> that stretches across an empire</w:t>
      </w:r>
      <w:r w:rsidR="00F42995">
        <w:t>. As</w:t>
      </w:r>
      <w:r w:rsidR="00EE43B9">
        <w:t xml:space="preserve"> pointed out earlier in </w:t>
      </w:r>
      <w:r w:rsidR="005206F1">
        <w:t xml:space="preserve">the </w:t>
      </w:r>
      <w:r w:rsidR="00EE43B9">
        <w:t>discussi</w:t>
      </w:r>
      <w:r w:rsidR="00765F6C">
        <w:t>on, the Seleucid E</w:t>
      </w:r>
      <w:r w:rsidR="00EE43B9">
        <w:t xml:space="preserve">mpire was vast with a vast collection of people. The taking and using of multiple titles </w:t>
      </w:r>
      <w:r w:rsidR="00F11220">
        <w:t>w</w:t>
      </w:r>
      <w:r w:rsidR="00EE43B9">
        <w:t>oul</w:t>
      </w:r>
      <w:r w:rsidR="00387EDF">
        <w:t>d have appeal to wider audience, connecting Antiochus</w:t>
      </w:r>
      <w:r w:rsidR="00F11220">
        <w:t>’s</w:t>
      </w:r>
      <w:r w:rsidR="00387EDF">
        <w:t xml:space="preserve"> kingship across the empire. </w:t>
      </w:r>
      <w:r w:rsidR="000E66C6">
        <w:t>The Neo-Babylonian titles emphasise the king/building relationship, that the king</w:t>
      </w:r>
      <w:r w:rsidR="00E470E3">
        <w:t xml:space="preserve"> is a</w:t>
      </w:r>
      <w:r w:rsidR="000E66C6">
        <w:t xml:space="preserve"> </w:t>
      </w:r>
      <w:r w:rsidR="009003C2">
        <w:t>caretaker</w:t>
      </w:r>
      <w:r w:rsidR="000E66C6">
        <w:t xml:space="preserve"> of the temples. The Neo-Assyrian titles proclaim him as a g</w:t>
      </w:r>
      <w:r w:rsidR="009003C2">
        <w:t>reat king, a might</w:t>
      </w:r>
      <w:r w:rsidR="005206F1">
        <w:t>y</w:t>
      </w:r>
      <w:r w:rsidR="009003C2">
        <w:t xml:space="preserve"> king. The Achaemen</w:t>
      </w:r>
      <w:r w:rsidR="00FA0D51">
        <w:t>i</w:t>
      </w:r>
      <w:r w:rsidR="009003C2">
        <w:t>d titles stress his imperial identity, he is the king of his land.</w:t>
      </w:r>
      <w:r w:rsidR="009003C2">
        <w:rPr>
          <w:rStyle w:val="FootnoteReference"/>
        </w:rPr>
        <w:footnoteReference w:id="31"/>
      </w:r>
      <w:r w:rsidR="009003C2">
        <w:t xml:space="preserve"> All of this brings together Antioch</w:t>
      </w:r>
      <w:r w:rsidR="00A75FE2">
        <w:t>us</w:t>
      </w:r>
      <w:r w:rsidR="009003C2">
        <w:t xml:space="preserve"> royal ideology of a king that appeals to the masses. </w:t>
      </w:r>
      <w:r w:rsidR="00F11220">
        <w:t xml:space="preserve">Through this Babylonian vehicle, Antiochus creating and promoting his dynastic ideology. </w:t>
      </w:r>
    </w:p>
    <w:p w:rsidR="00661C6C" w:rsidRDefault="00661C6C" w:rsidP="0096584D">
      <w:pPr>
        <w:autoSpaceDE w:val="0"/>
        <w:autoSpaceDN w:val="0"/>
        <w:adjustRightInd w:val="0"/>
        <w:spacing w:after="0" w:line="360" w:lineRule="auto"/>
      </w:pPr>
    </w:p>
    <w:p w:rsidR="00CF6E0D" w:rsidRDefault="00661C6C" w:rsidP="00DF384C">
      <w:pPr>
        <w:autoSpaceDE w:val="0"/>
        <w:autoSpaceDN w:val="0"/>
        <w:adjustRightInd w:val="0"/>
        <w:spacing w:after="0" w:line="360" w:lineRule="auto"/>
        <w:ind w:firstLine="720"/>
      </w:pPr>
      <w:r>
        <w:t xml:space="preserve">We have seen that the cylinder has repeatedly plagiarise titles, phrases, and text to ground Antiochus and the Seleucids into the history of Babylon. Antiochus desire to evoke past rulers and surpass them using their own inscriptions </w:t>
      </w:r>
      <w:r w:rsidR="00385558">
        <w:t>to describe his accomplishments</w:t>
      </w:r>
      <w:r>
        <w:t xml:space="preserve"> were deliberate as an </w:t>
      </w:r>
      <w:r w:rsidR="005206F1">
        <w:t>attempt to align</w:t>
      </w:r>
      <w:r>
        <w:t xml:space="preserve"> their </w:t>
      </w:r>
      <w:r w:rsidR="005206F1">
        <w:t>rule</w:t>
      </w:r>
      <w:r>
        <w:t xml:space="preserve"> and his. “This both legitimized the Seleucids’ rule in Babylon and underlined the Macedonian monarch’s instrumental use of the regions pre-Hellenistic history.”</w:t>
      </w:r>
      <w:r>
        <w:rPr>
          <w:rStyle w:val="FootnoteReference"/>
        </w:rPr>
        <w:footnoteReference w:id="32"/>
      </w:r>
      <w:r w:rsidR="00A919BA">
        <w:t xml:space="preserve"> Examples using pre-Hellenistic history </w:t>
      </w:r>
      <w:r w:rsidR="005206F1">
        <w:t>to legitimize the Seleucid rule</w:t>
      </w:r>
      <w:r w:rsidR="00A919BA">
        <w:t xml:space="preserve"> is Antiochus referencing the reign of </w:t>
      </w:r>
      <w:r w:rsidR="00CF6E0D" w:rsidRPr="00CF6E0D">
        <w:rPr>
          <w:rFonts w:cs="MinionPro-Regular"/>
        </w:rPr>
        <w:t>Nebuchadnezzar</w:t>
      </w:r>
      <w:r w:rsidR="00CF6E0D">
        <w:rPr>
          <w:rFonts w:ascii="MinionPro-Regular" w:hAnsi="MinionPro-Regular" w:cs="MinionPro-Regular"/>
          <w:sz w:val="21"/>
          <w:szCs w:val="21"/>
        </w:rPr>
        <w:t xml:space="preserve"> </w:t>
      </w:r>
      <w:r w:rsidR="00A919BA">
        <w:t xml:space="preserve">II which is </w:t>
      </w:r>
      <w:r w:rsidR="00CF6E0D">
        <w:t>highlighted</w:t>
      </w:r>
      <w:r w:rsidR="00A919BA">
        <w:t xml:space="preserve"> by Haubold and Kosmin</w:t>
      </w:r>
      <w:r w:rsidR="00CF6E0D">
        <w:t xml:space="preserve">, but </w:t>
      </w:r>
      <w:r w:rsidR="00023090">
        <w:t>refuted</w:t>
      </w:r>
      <w:r w:rsidR="00CF6E0D">
        <w:t xml:space="preserve"> by Stevens. </w:t>
      </w:r>
      <w:r w:rsidR="009C455E">
        <w:t xml:space="preserve">Kosmin address the fact that Antiochus purposely copied the inscription from Neo-Babylonian texts to create a “deliberate allusion” to </w:t>
      </w:r>
      <w:r w:rsidR="00685FDD">
        <w:t xml:space="preserve">the </w:t>
      </w:r>
      <w:r w:rsidR="009C455E">
        <w:t xml:space="preserve">reign of indigenous ruler Nebuchadnezzar II, who is regarded </w:t>
      </w:r>
      <w:r w:rsidR="009C455E">
        <w:lastRenderedPageBreak/>
        <w:t>to have highly successful and prosperous reign.</w:t>
      </w:r>
      <w:r w:rsidR="009C455E">
        <w:rPr>
          <w:rStyle w:val="FootnoteReference"/>
        </w:rPr>
        <w:footnoteReference w:id="33"/>
      </w:r>
      <w:r w:rsidR="009C455E">
        <w:t xml:space="preserve"> </w:t>
      </w:r>
      <w:r w:rsidR="009C455E">
        <w:t>Going a step further, Antiochus does t</w:t>
      </w:r>
      <w:r w:rsidR="00CF6E0D">
        <w:t xml:space="preserve">he </w:t>
      </w:r>
      <w:r w:rsidR="00023090">
        <w:t>unusual</w:t>
      </w:r>
      <w:r w:rsidR="00A906D9">
        <w:t xml:space="preserve"> and unb</w:t>
      </w:r>
      <w:r w:rsidR="00CF6E0D">
        <w:t xml:space="preserve">abylonian </w:t>
      </w:r>
      <w:r w:rsidR="00A906D9">
        <w:t xml:space="preserve">act of dating the cylinder with both the month and year of </w:t>
      </w:r>
      <w:r w:rsidR="00D77D6A" w:rsidRPr="00D77D6A">
        <w:rPr>
          <w:rFonts w:cs="MinionPro-Regular"/>
        </w:rPr>
        <w:t>20th Addaru, year 43</w:t>
      </w:r>
      <w:r w:rsidR="009C455E">
        <w:rPr>
          <w:rFonts w:cs="MinionPro-Regular"/>
        </w:rPr>
        <w:t>.</w:t>
      </w:r>
      <w:r w:rsidR="00A906D9">
        <w:t xml:space="preserve"> </w:t>
      </w:r>
      <w:r w:rsidR="00D77D6A">
        <w:t xml:space="preserve">The number 43 has a special significance, </w:t>
      </w:r>
      <w:r w:rsidR="00023090">
        <w:t xml:space="preserve">as </w:t>
      </w:r>
      <w:r w:rsidR="00D77D6A">
        <w:t>it was the length of the reign of Nebuchadnezzar II</w:t>
      </w:r>
      <w:r w:rsidR="00685FDD">
        <w:t xml:space="preserve">. </w:t>
      </w:r>
      <w:r w:rsidR="00D77D6A">
        <w:t xml:space="preserve"> </w:t>
      </w:r>
      <w:r w:rsidR="00685FDD">
        <w:t>After 43 years of the Seleucid Empire,</w:t>
      </w:r>
      <w:r w:rsidR="00D77D6A">
        <w:t xml:space="preserve"> Antiochus chose to reconstruct </w:t>
      </w:r>
      <w:r w:rsidR="00685FDD">
        <w:t>the temple of Ezida which would surpass in the length</w:t>
      </w:r>
      <w:r w:rsidR="00023090">
        <w:t xml:space="preserve"> of</w:t>
      </w:r>
      <w:r w:rsidR="00685FDD">
        <w:t xml:space="preserve"> rule of</w:t>
      </w:r>
      <w:r w:rsidR="00023090">
        <w:t xml:space="preserve"> </w:t>
      </w:r>
      <w:r w:rsidR="009E39DF">
        <w:t>Nebuchadnezzar II</w:t>
      </w:r>
      <w:r w:rsidR="008A1E1F">
        <w:t>. Kosmin claims it would be near impossible not to draw a comparison or allusion between the two.</w:t>
      </w:r>
      <w:r w:rsidR="008A1E1F">
        <w:rPr>
          <w:rStyle w:val="FootnoteReference"/>
        </w:rPr>
        <w:footnoteReference w:id="34"/>
      </w:r>
      <w:r w:rsidR="008A1E1F">
        <w:t xml:space="preserve"> Hausab </w:t>
      </w:r>
      <w:r w:rsidR="00854508">
        <w:t>continues</w:t>
      </w:r>
      <w:r w:rsidR="008A1E1F">
        <w:t xml:space="preserve"> on this vein, </w:t>
      </w:r>
      <w:r w:rsidR="00854508">
        <w:t>to those in Babylon who would have seen</w:t>
      </w:r>
      <w:r w:rsidR="00685FDD">
        <w:t xml:space="preserve"> this</w:t>
      </w:r>
      <w:r w:rsidR="00854508">
        <w:t xml:space="preserve"> comparison, this was have struck them considerably for they would have been woefully aware that Babylon was deemed to have suffered after the death of </w:t>
      </w:r>
      <w:r w:rsidR="00854508">
        <w:t>Nebuchadnezzar II</w:t>
      </w:r>
      <w:r w:rsidR="00854508">
        <w:t>.</w:t>
      </w:r>
      <w:r w:rsidR="00854508">
        <w:rPr>
          <w:rStyle w:val="FootnoteReference"/>
        </w:rPr>
        <w:footnoteReference w:id="35"/>
      </w:r>
      <w:r w:rsidR="00854508">
        <w:t xml:space="preserve"> </w:t>
      </w:r>
      <w:r w:rsidR="009E39DF">
        <w:t xml:space="preserve">Steven downplays the influence of </w:t>
      </w:r>
      <w:r w:rsidR="009E39DF">
        <w:t>Nebuchadnezzar II</w:t>
      </w:r>
      <w:r w:rsidR="009E39DF">
        <w:t xml:space="preserve"> as the least strong </w:t>
      </w:r>
      <w:r w:rsidR="00E13719">
        <w:t>candidate</w:t>
      </w:r>
      <w:r w:rsidR="009E39DF">
        <w:t xml:space="preserve"> for</w:t>
      </w:r>
      <w:r w:rsidR="00E13719">
        <w:t xml:space="preserve"> a</w:t>
      </w:r>
      <w:r w:rsidR="009E39DF">
        <w:t xml:space="preserve"> ruling comparison, as she believes that the titles Antiochus copied were</w:t>
      </w:r>
      <w:r w:rsidR="00E13719">
        <w:t xml:space="preserve"> not</w:t>
      </w:r>
      <w:r w:rsidR="009E39DF">
        <w:t xml:space="preserve"> specifically </w:t>
      </w:r>
      <w:r w:rsidR="00E13719">
        <w:t xml:space="preserve">of </w:t>
      </w:r>
      <w:r w:rsidR="009E39DF">
        <w:t>Nebuchadnezzar II</w:t>
      </w:r>
      <w:r w:rsidR="009E39DF">
        <w:t>, they were only generic Neo-Babylonian titles.</w:t>
      </w:r>
      <w:r w:rsidR="009E39DF">
        <w:rPr>
          <w:rStyle w:val="FootnoteReference"/>
        </w:rPr>
        <w:footnoteReference w:id="36"/>
      </w:r>
      <w:r w:rsidR="00385558">
        <w:t xml:space="preserve"> </w:t>
      </w:r>
    </w:p>
    <w:p w:rsidR="00CF6E0D" w:rsidRDefault="00CF6E0D" w:rsidP="0096584D">
      <w:pPr>
        <w:autoSpaceDE w:val="0"/>
        <w:autoSpaceDN w:val="0"/>
        <w:adjustRightInd w:val="0"/>
        <w:spacing w:after="0" w:line="360" w:lineRule="auto"/>
      </w:pPr>
    </w:p>
    <w:p w:rsidR="001005DE" w:rsidRDefault="008A22D5" w:rsidP="00DF384C">
      <w:pPr>
        <w:autoSpaceDE w:val="0"/>
        <w:autoSpaceDN w:val="0"/>
        <w:adjustRightInd w:val="0"/>
        <w:spacing w:after="0" w:line="360" w:lineRule="auto"/>
        <w:ind w:firstLine="720"/>
      </w:pPr>
      <w:r>
        <w:t xml:space="preserve">The </w:t>
      </w:r>
      <w:r w:rsidR="001B2A62">
        <w:t>“middle”</w:t>
      </w:r>
      <w:r>
        <w:t xml:space="preserve"> </w:t>
      </w:r>
      <w:r w:rsidR="001B2A62">
        <w:t>section</w:t>
      </w:r>
      <w:r>
        <w:t xml:space="preserve"> of the inscription deals with Antiochus reasoning for the building. </w:t>
      </w:r>
      <w:r w:rsidR="001B2A62">
        <w:t>In lines I 6-16, h</w:t>
      </w:r>
      <w:r w:rsidR="008B4053">
        <w:t>e begins this with his appeal to Esagil and Ezida for the building of the temple. In accordance with Babylonian tradition, a king must wait for approval from the gods to begin building, for these buildings were projects that came from divine will, not the king.</w:t>
      </w:r>
      <w:r w:rsidR="00262728">
        <w:rPr>
          <w:rStyle w:val="FootnoteReference"/>
        </w:rPr>
        <w:footnoteReference w:id="37"/>
      </w:r>
      <w:r w:rsidR="00262728">
        <w:t xml:space="preserve"> So once again, upon first glance, Antioch</w:t>
      </w:r>
      <w:r w:rsidR="00E13719">
        <w:t>us</w:t>
      </w:r>
      <w:r w:rsidR="00262728">
        <w:t xml:space="preserve"> is following Babylonian tradition, gaining divine approval for the project. However, closer examination of the text shows that he is actually doing quite the opposite. </w:t>
      </w:r>
    </w:p>
    <w:p w:rsidR="00656F73" w:rsidRDefault="00656F73" w:rsidP="0096584D">
      <w:pPr>
        <w:autoSpaceDE w:val="0"/>
        <w:autoSpaceDN w:val="0"/>
        <w:adjustRightInd w:val="0"/>
        <w:spacing w:after="0" w:line="360" w:lineRule="auto"/>
      </w:pPr>
    </w:p>
    <w:p w:rsidR="003130A1" w:rsidRDefault="001E358D" w:rsidP="00DF384C">
      <w:pPr>
        <w:autoSpaceDE w:val="0"/>
        <w:autoSpaceDN w:val="0"/>
        <w:adjustRightInd w:val="0"/>
        <w:spacing w:after="0" w:line="360" w:lineRule="auto"/>
        <w:ind w:firstLine="720"/>
        <w:rPr>
          <w:rFonts w:cs="Times-Roman"/>
        </w:rPr>
      </w:pPr>
      <w:r>
        <w:t xml:space="preserve">In this building address, Antiochus does not acknowledge any gods. This strange for we know that per Babylonian tradition he must consult the gods, Instead, </w:t>
      </w:r>
      <w:r w:rsidR="00656F73">
        <w:t>Antiochus writes, “now, my heart urged by to (re)build Esagil and Ezida”</w:t>
      </w:r>
      <w:r w:rsidR="00E13719">
        <w:rPr>
          <w:rStyle w:val="FootnoteReference"/>
        </w:rPr>
        <w:footnoteReference w:id="38"/>
      </w:r>
      <w:r w:rsidR="00656F73">
        <w:t xml:space="preserve">. Reading this at first, </w:t>
      </w:r>
      <w:r>
        <w:t xml:space="preserve">we would expect to see some kind of appeal to the </w:t>
      </w:r>
      <w:r w:rsidR="00656F73">
        <w:t xml:space="preserve">gods to rebuild the temples, however, </w:t>
      </w:r>
      <w:r w:rsidR="00B32BE3">
        <w:t xml:space="preserve">he is not. He is taking centre stage for this decision to build. It is </w:t>
      </w:r>
      <w:r w:rsidR="00B32BE3" w:rsidRPr="00B32BE3">
        <w:rPr>
          <w:i/>
        </w:rPr>
        <w:t>his</w:t>
      </w:r>
      <w:r w:rsidR="00B32BE3">
        <w:t xml:space="preserve"> heart, not the god’s hearts that has approved this work. </w:t>
      </w:r>
      <w:r w:rsidR="00531907">
        <w:t xml:space="preserve">Furthermore it was </w:t>
      </w:r>
      <w:r w:rsidR="00531907" w:rsidRPr="00531907">
        <w:rPr>
          <w:i/>
        </w:rPr>
        <w:t>he</w:t>
      </w:r>
      <w:r w:rsidR="00531907">
        <w:t xml:space="preserve"> who moulded the bricks. It was </w:t>
      </w:r>
      <w:r w:rsidR="00531907">
        <w:rPr>
          <w:i/>
        </w:rPr>
        <w:t>h</w:t>
      </w:r>
      <w:r w:rsidR="00531907" w:rsidRPr="00531907">
        <w:rPr>
          <w:i/>
        </w:rPr>
        <w:t>e</w:t>
      </w:r>
      <w:r w:rsidR="00531907">
        <w:t xml:space="preserve"> was he who brought them to the temples. </w:t>
      </w:r>
      <w:r w:rsidR="0005667E">
        <w:t>“</w:t>
      </w:r>
      <w:r w:rsidR="0005667E">
        <w:rPr>
          <w:rFonts w:cs="Times-Roman"/>
        </w:rPr>
        <w:t>I</w:t>
      </w:r>
      <w:r w:rsidR="00B32BE3" w:rsidRPr="00B32BE3">
        <w:rPr>
          <w:rFonts w:cs="Times-Roman"/>
        </w:rPr>
        <w:t>t seems as if there has been a deliberate shift of focus from divine to human actor, explicable with regard to Greek cultural norms and Seleucid religious policy.</w:t>
      </w:r>
      <w:r w:rsidR="008C7CF2">
        <w:rPr>
          <w:rFonts w:cs="Times-Roman"/>
        </w:rPr>
        <w:t>”</w:t>
      </w:r>
      <w:r w:rsidR="00B32BE3" w:rsidRPr="00B32BE3">
        <w:rPr>
          <w:rStyle w:val="FootnoteReference"/>
          <w:rFonts w:cs="Times-Roman"/>
        </w:rPr>
        <w:footnoteReference w:id="39"/>
      </w:r>
      <w:r w:rsidR="0005667E">
        <w:rPr>
          <w:rFonts w:cs="Times-Roman"/>
        </w:rPr>
        <w:t xml:space="preserve"> </w:t>
      </w:r>
      <w:r w:rsidR="00531907">
        <w:rPr>
          <w:rFonts w:cs="Times-Roman"/>
        </w:rPr>
        <w:t>O</w:t>
      </w:r>
      <w:r w:rsidR="0005667E">
        <w:rPr>
          <w:rFonts w:cs="Times-Roman"/>
        </w:rPr>
        <w:t xml:space="preserve">n the surface, to the Babylonian perspective, Antiochus has done his divine duty to the gods, however from a Hellenistic perspective, he acting in accordance with his royal powers and wishes. This again is using the Antiochus cylinder as a </w:t>
      </w:r>
      <w:r w:rsidR="0005667E">
        <w:rPr>
          <w:rFonts w:cs="Times-Roman"/>
        </w:rPr>
        <w:lastRenderedPageBreak/>
        <w:t>Babylonian vehicle for royal Seleucid’s ideology</w:t>
      </w:r>
      <w:r w:rsidR="008C7CF2">
        <w:rPr>
          <w:rFonts w:cs="Times-Roman"/>
        </w:rPr>
        <w:t>, the cylinder is the nod to tradition, but the context within it is Seleucid’s</w:t>
      </w:r>
      <w:r w:rsidR="0005667E">
        <w:rPr>
          <w:rFonts w:cs="Times-Roman"/>
        </w:rPr>
        <w:t>.</w:t>
      </w:r>
    </w:p>
    <w:p w:rsidR="003130A1" w:rsidRDefault="003130A1" w:rsidP="0096584D">
      <w:pPr>
        <w:autoSpaceDE w:val="0"/>
        <w:autoSpaceDN w:val="0"/>
        <w:adjustRightInd w:val="0"/>
        <w:spacing w:after="0" w:line="360" w:lineRule="auto"/>
        <w:rPr>
          <w:rFonts w:cs="Times-Roman"/>
        </w:rPr>
      </w:pPr>
    </w:p>
    <w:p w:rsidR="00D57806" w:rsidRDefault="003130A1" w:rsidP="00DF384C">
      <w:pPr>
        <w:autoSpaceDE w:val="0"/>
        <w:autoSpaceDN w:val="0"/>
        <w:adjustRightInd w:val="0"/>
        <w:spacing w:after="0" w:line="360" w:lineRule="auto"/>
        <w:ind w:firstLine="720"/>
        <w:rPr>
          <w:rFonts w:cs="Times-Roman"/>
        </w:rPr>
      </w:pPr>
      <w:r>
        <w:rPr>
          <w:rFonts w:cs="Times-Roman"/>
        </w:rPr>
        <w:t xml:space="preserve">The </w:t>
      </w:r>
      <w:r w:rsidR="001B2A62">
        <w:rPr>
          <w:rFonts w:cs="Times-Roman"/>
        </w:rPr>
        <w:t xml:space="preserve">final part of the cylinder, ci 16-cii 29, is the prayer to </w:t>
      </w:r>
      <w:r w:rsidR="00B400C0">
        <w:t>Nabû</w:t>
      </w:r>
      <w:r w:rsidR="001B2A62">
        <w:rPr>
          <w:rFonts w:cs="Times-Roman"/>
        </w:rPr>
        <w:t xml:space="preserve">. This </w:t>
      </w:r>
      <w:r w:rsidR="008C7CF2">
        <w:rPr>
          <w:rFonts w:cs="Times-Roman"/>
        </w:rPr>
        <w:t xml:space="preserve">is </w:t>
      </w:r>
      <w:r w:rsidR="001B2A62">
        <w:rPr>
          <w:rFonts w:cs="Times-Roman"/>
        </w:rPr>
        <w:t xml:space="preserve">probably one of the most </w:t>
      </w:r>
      <w:r w:rsidR="00964068">
        <w:rPr>
          <w:rFonts w:cs="Times-Roman"/>
        </w:rPr>
        <w:t>decisive</w:t>
      </w:r>
      <w:r w:rsidR="001B2A62">
        <w:rPr>
          <w:rFonts w:cs="Times-Roman"/>
        </w:rPr>
        <w:t xml:space="preserve"> issues of the cylinder, for there does not seem to be much consensus on the what the god </w:t>
      </w:r>
      <w:r w:rsidR="00B400C0">
        <w:t>Nabû</w:t>
      </w:r>
      <w:r w:rsidR="00B400C0">
        <w:rPr>
          <w:rFonts w:cs="Times-Roman"/>
        </w:rPr>
        <w:t xml:space="preserve"> </w:t>
      </w:r>
      <w:r w:rsidR="001B2A62">
        <w:rPr>
          <w:rFonts w:cs="Times-Roman"/>
        </w:rPr>
        <w:t xml:space="preserve">means to Antiochus, </w:t>
      </w:r>
      <w:r w:rsidR="00964068">
        <w:rPr>
          <w:rFonts w:cs="Times-Roman"/>
        </w:rPr>
        <w:t>to the</w:t>
      </w:r>
      <w:r w:rsidR="001B2A62">
        <w:rPr>
          <w:rFonts w:cs="Times-Roman"/>
        </w:rPr>
        <w:t xml:space="preserve"> Babylonian</w:t>
      </w:r>
      <w:r w:rsidR="00964068">
        <w:rPr>
          <w:rFonts w:cs="Times-Roman"/>
        </w:rPr>
        <w:t>s</w:t>
      </w:r>
      <w:r w:rsidR="001B2A62">
        <w:rPr>
          <w:rFonts w:cs="Times-Roman"/>
        </w:rPr>
        <w:t xml:space="preserve">, or the empire at large. </w:t>
      </w:r>
      <w:r w:rsidR="00D57806">
        <w:rPr>
          <w:rFonts w:cs="Times-Roman"/>
        </w:rPr>
        <w:t xml:space="preserve">Stevens take on </w:t>
      </w:r>
      <w:r w:rsidR="00B400C0">
        <w:t>Nabû</w:t>
      </w:r>
      <w:r w:rsidR="00B400C0">
        <w:rPr>
          <w:rFonts w:cs="Times-Roman"/>
        </w:rPr>
        <w:t xml:space="preserve"> </w:t>
      </w:r>
      <w:r w:rsidR="00D57806">
        <w:rPr>
          <w:rFonts w:cs="Times-Roman"/>
        </w:rPr>
        <w:t>is quite narrow. She believes that outside the realm of Borsippa and Ba</w:t>
      </w:r>
      <w:r w:rsidR="00897C3C">
        <w:rPr>
          <w:rFonts w:cs="Times-Roman"/>
        </w:rPr>
        <w:t xml:space="preserve">bylon, </w:t>
      </w:r>
      <w:r w:rsidR="00B400C0">
        <w:t>Nabû</w:t>
      </w:r>
      <w:r w:rsidR="00B400C0">
        <w:rPr>
          <w:rFonts w:cs="Times-Roman"/>
        </w:rPr>
        <w:t xml:space="preserve"> </w:t>
      </w:r>
      <w:r w:rsidR="00897C3C">
        <w:rPr>
          <w:rFonts w:cs="Times-Roman"/>
        </w:rPr>
        <w:t>is a non-entity, therefore</w:t>
      </w:r>
      <w:r w:rsidR="00BF53E2">
        <w:rPr>
          <w:rFonts w:cs="Times-Roman"/>
        </w:rPr>
        <w:t xml:space="preserve"> </w:t>
      </w:r>
      <w:r w:rsidR="00897C3C">
        <w:rPr>
          <w:rFonts w:cs="Times-Roman"/>
        </w:rPr>
        <w:t>the cylinder as pr</w:t>
      </w:r>
      <w:r w:rsidR="008C7CF2">
        <w:rPr>
          <w:rFonts w:cs="Times-Roman"/>
        </w:rPr>
        <w:t>op for Seleucid</w:t>
      </w:r>
      <w:r w:rsidR="00BF53E2">
        <w:rPr>
          <w:rFonts w:cs="Times-Roman"/>
        </w:rPr>
        <w:t xml:space="preserve"> ideology ends.</w:t>
      </w:r>
      <w:r w:rsidR="00BF53E2" w:rsidRPr="00BF53E2">
        <w:rPr>
          <w:rStyle w:val="FootnoteReference"/>
          <w:rFonts w:cs="Times-Roman"/>
        </w:rPr>
        <w:t xml:space="preserve"> </w:t>
      </w:r>
      <w:r w:rsidR="00BF53E2">
        <w:rPr>
          <w:rStyle w:val="FootnoteReference"/>
          <w:rFonts w:cs="Times-Roman"/>
        </w:rPr>
        <w:footnoteReference w:id="40"/>
      </w:r>
      <w:r w:rsidR="00BF53E2">
        <w:rPr>
          <w:rFonts w:cs="Times-Roman"/>
        </w:rPr>
        <w:t xml:space="preserve"> </w:t>
      </w:r>
      <w:r w:rsidR="008C7CF2">
        <w:rPr>
          <w:rFonts w:cs="Times-Roman"/>
        </w:rPr>
        <w:t xml:space="preserve">She argues, this prayer to </w:t>
      </w:r>
      <w:r w:rsidR="00B400C0">
        <w:t>Nabû</w:t>
      </w:r>
      <w:r w:rsidR="00B400C0">
        <w:rPr>
          <w:rFonts w:cs="Times-Roman"/>
        </w:rPr>
        <w:t xml:space="preserve"> </w:t>
      </w:r>
      <w:r w:rsidR="00897C3C">
        <w:rPr>
          <w:rFonts w:cs="Times-Roman"/>
        </w:rPr>
        <w:t>has too n</w:t>
      </w:r>
      <w:r w:rsidR="008C7CF2">
        <w:rPr>
          <w:rFonts w:cs="Times-Roman"/>
        </w:rPr>
        <w:t xml:space="preserve">arrow of an audience, </w:t>
      </w:r>
      <w:r w:rsidR="00BF53E2">
        <w:rPr>
          <w:rFonts w:cs="Times-Roman"/>
        </w:rPr>
        <w:t xml:space="preserve">that </w:t>
      </w:r>
      <w:r w:rsidR="00B400C0">
        <w:t>Nabû</w:t>
      </w:r>
      <w:r w:rsidR="00B400C0">
        <w:rPr>
          <w:rFonts w:cs="Times-Roman"/>
        </w:rPr>
        <w:t xml:space="preserve"> </w:t>
      </w:r>
      <w:r w:rsidR="00BF53E2">
        <w:rPr>
          <w:rFonts w:cs="Times-Roman"/>
        </w:rPr>
        <w:t xml:space="preserve">was not a universally popular god in the </w:t>
      </w:r>
      <w:r w:rsidR="00E470E3">
        <w:rPr>
          <w:rFonts w:cs="Times-Roman"/>
        </w:rPr>
        <w:t>Hellenistic</w:t>
      </w:r>
      <w:r w:rsidR="00BF53E2">
        <w:rPr>
          <w:rFonts w:cs="Times-Roman"/>
        </w:rPr>
        <w:t xml:space="preserve"> world and therefor using </w:t>
      </w:r>
      <w:r w:rsidR="008C7CF2">
        <w:t>him</w:t>
      </w:r>
      <w:r w:rsidR="00B400C0">
        <w:rPr>
          <w:rFonts w:cs="Times-Roman"/>
        </w:rPr>
        <w:t xml:space="preserve"> </w:t>
      </w:r>
      <w:r w:rsidR="00BF53E2">
        <w:rPr>
          <w:rFonts w:cs="Times-Roman"/>
        </w:rPr>
        <w:t>as the patron god was a rather grand gesture towards the Borsippa priesthood to gain support with the elite across Babylon.</w:t>
      </w:r>
      <w:r w:rsidR="00432216">
        <w:rPr>
          <w:rStyle w:val="FootnoteReference"/>
          <w:rFonts w:cs="Times-Roman"/>
        </w:rPr>
        <w:footnoteReference w:id="41"/>
      </w:r>
    </w:p>
    <w:p w:rsidR="00632B6C" w:rsidRDefault="00632B6C" w:rsidP="0096584D">
      <w:pPr>
        <w:autoSpaceDE w:val="0"/>
        <w:autoSpaceDN w:val="0"/>
        <w:adjustRightInd w:val="0"/>
        <w:spacing w:after="0" w:line="360" w:lineRule="auto"/>
        <w:rPr>
          <w:rFonts w:cs="Times-Roman"/>
        </w:rPr>
      </w:pPr>
    </w:p>
    <w:p w:rsidR="00897C3C" w:rsidRDefault="00432216" w:rsidP="00DF384C">
      <w:pPr>
        <w:autoSpaceDE w:val="0"/>
        <w:autoSpaceDN w:val="0"/>
        <w:adjustRightInd w:val="0"/>
        <w:spacing w:after="0" w:line="360" w:lineRule="auto"/>
        <w:ind w:firstLine="720"/>
        <w:rPr>
          <w:rFonts w:cs="Times-Roman"/>
        </w:rPr>
      </w:pPr>
      <w:r>
        <w:rPr>
          <w:rFonts w:cs="Times-Roman"/>
        </w:rPr>
        <w:t xml:space="preserve">But this is quite a narrow view. </w:t>
      </w:r>
      <w:r w:rsidR="00897C3C">
        <w:rPr>
          <w:rFonts w:cs="Times-Roman"/>
        </w:rPr>
        <w:t xml:space="preserve">If we were to continue the theme that the cylinder of Antiochus is a vehicle for Seleucid royal ideology, I would say the </w:t>
      </w:r>
      <w:r w:rsidR="00B400C0">
        <w:t>Nabû</w:t>
      </w:r>
      <w:r w:rsidR="00B400C0">
        <w:rPr>
          <w:rFonts w:cs="Times-Roman"/>
        </w:rPr>
        <w:t xml:space="preserve"> </w:t>
      </w:r>
      <w:r w:rsidR="00897C3C">
        <w:rPr>
          <w:rFonts w:cs="Times-Roman"/>
        </w:rPr>
        <w:t xml:space="preserve">is the </w:t>
      </w:r>
      <w:r>
        <w:rPr>
          <w:rFonts w:cs="Times-Roman"/>
        </w:rPr>
        <w:t>model</w:t>
      </w:r>
      <w:r w:rsidR="00897C3C">
        <w:rPr>
          <w:rFonts w:cs="Times-Roman"/>
        </w:rPr>
        <w:t xml:space="preserve"> of the vehicle</w:t>
      </w:r>
      <w:r w:rsidR="003676AB">
        <w:rPr>
          <w:rFonts w:cs="Times-Roman"/>
        </w:rPr>
        <w:t>, Seleucid ideology is the make</w:t>
      </w:r>
      <w:r w:rsidR="00897C3C">
        <w:rPr>
          <w:rFonts w:cs="Times-Roman"/>
        </w:rPr>
        <w:t>. For example, most people will have never driven a Porsche</w:t>
      </w:r>
      <w:r>
        <w:rPr>
          <w:rFonts w:cs="Times-Roman"/>
        </w:rPr>
        <w:t xml:space="preserve"> 911</w:t>
      </w:r>
      <w:r w:rsidR="00897C3C">
        <w:rPr>
          <w:rFonts w:cs="Times-Roman"/>
        </w:rPr>
        <w:t>, but most people will have at least seen a Porche</w:t>
      </w:r>
      <w:r>
        <w:rPr>
          <w:rFonts w:cs="Times-Roman"/>
        </w:rPr>
        <w:t xml:space="preserve"> 911</w:t>
      </w:r>
      <w:r w:rsidR="00897C3C">
        <w:rPr>
          <w:rFonts w:cs="Times-Roman"/>
        </w:rPr>
        <w:t xml:space="preserve">, and everyone has </w:t>
      </w:r>
      <w:r w:rsidR="003676AB">
        <w:rPr>
          <w:rFonts w:cs="Times-Roman"/>
        </w:rPr>
        <w:t>at least heard</w:t>
      </w:r>
      <w:r>
        <w:rPr>
          <w:rFonts w:cs="Times-Roman"/>
        </w:rPr>
        <w:t xml:space="preserve"> </w:t>
      </w:r>
      <w:r w:rsidR="003676AB">
        <w:rPr>
          <w:rFonts w:cs="Times-Roman"/>
        </w:rPr>
        <w:t>of</w:t>
      </w:r>
      <w:r w:rsidR="00897C3C">
        <w:rPr>
          <w:rFonts w:cs="Times-Roman"/>
        </w:rPr>
        <w:t xml:space="preserve"> Porsche. This principal can be applied to </w:t>
      </w:r>
      <w:r w:rsidR="00B400C0">
        <w:t>Nabû</w:t>
      </w:r>
      <w:r w:rsidR="00897C3C">
        <w:rPr>
          <w:rFonts w:cs="Times-Roman"/>
        </w:rPr>
        <w:t xml:space="preserve">. To the people of Borissap and Babylon, </w:t>
      </w:r>
      <w:r w:rsidR="00B400C0">
        <w:t>Nabû</w:t>
      </w:r>
      <w:r w:rsidR="00B400C0">
        <w:rPr>
          <w:rFonts w:cs="Times-Roman"/>
        </w:rPr>
        <w:t xml:space="preserve"> </w:t>
      </w:r>
      <w:r w:rsidR="00897C3C">
        <w:rPr>
          <w:rFonts w:cs="Times-Roman"/>
        </w:rPr>
        <w:t xml:space="preserve">is well known god who is worshiped. Outside the realm of Babylon, perhaps even on the fringes of the Babylonian region, they may not worship him, but they know of him and can identify his importance within the Babylonian pantheon of gods. And within the Seleucids Empire, </w:t>
      </w:r>
      <w:r w:rsidR="00B400C0">
        <w:t>Nabû</w:t>
      </w:r>
      <w:r w:rsidR="00897C3C">
        <w:rPr>
          <w:rFonts w:cs="Times-Roman"/>
        </w:rPr>
        <w:t xml:space="preserve">, has probably been heard of, but not necessarily have a connection to him. </w:t>
      </w:r>
    </w:p>
    <w:p w:rsidR="00E2682B" w:rsidRDefault="00E2682B" w:rsidP="0096584D">
      <w:pPr>
        <w:autoSpaceDE w:val="0"/>
        <w:autoSpaceDN w:val="0"/>
        <w:adjustRightInd w:val="0"/>
        <w:spacing w:after="0" w:line="360" w:lineRule="auto"/>
        <w:rPr>
          <w:rFonts w:cs="Times-Roman"/>
        </w:rPr>
      </w:pPr>
    </w:p>
    <w:p w:rsidR="00797B24" w:rsidRDefault="00E2682B" w:rsidP="00DF384C">
      <w:pPr>
        <w:autoSpaceDE w:val="0"/>
        <w:autoSpaceDN w:val="0"/>
        <w:adjustRightInd w:val="0"/>
        <w:spacing w:after="0" w:line="360" w:lineRule="auto"/>
        <w:ind w:firstLine="720"/>
        <w:rPr>
          <w:rFonts w:cs="MinionPro-Regular"/>
        </w:rPr>
      </w:pPr>
      <w:r w:rsidRPr="008152B2">
        <w:rPr>
          <w:rFonts w:cs="Times-Roman"/>
        </w:rPr>
        <w:t>This recognition is the key to the</w:t>
      </w:r>
      <w:r w:rsidR="001A0EA3">
        <w:rPr>
          <w:rFonts w:cs="Times-Roman"/>
        </w:rPr>
        <w:t xml:space="preserve"> building the</w:t>
      </w:r>
      <w:r w:rsidRPr="008152B2">
        <w:rPr>
          <w:rFonts w:cs="Times-Roman"/>
        </w:rPr>
        <w:t xml:space="preserve"> Seleucids royal ideology. </w:t>
      </w:r>
      <w:r w:rsidR="00A21B76" w:rsidRPr="008152B2">
        <w:rPr>
          <w:rFonts w:cs="Times-Roman"/>
        </w:rPr>
        <w:t xml:space="preserve">Antiochus goes </w:t>
      </w:r>
      <w:r w:rsidR="008152B2" w:rsidRPr="008152B2">
        <w:rPr>
          <w:rFonts w:cs="Times-Roman"/>
        </w:rPr>
        <w:t>on to design</w:t>
      </w:r>
      <w:r w:rsidR="00A21B76" w:rsidRPr="008152B2">
        <w:rPr>
          <w:rFonts w:cs="Times-Roman"/>
        </w:rPr>
        <w:t xml:space="preserve"> a promotion</w:t>
      </w:r>
      <w:r w:rsidR="008152B2" w:rsidRPr="008152B2">
        <w:rPr>
          <w:rFonts w:cs="Times-Roman"/>
        </w:rPr>
        <w:t>al</w:t>
      </w:r>
      <w:r w:rsidR="00A21B76" w:rsidRPr="008152B2">
        <w:rPr>
          <w:rFonts w:cs="Times-Roman"/>
        </w:rPr>
        <w:t xml:space="preserve"> campaign that is “</w:t>
      </w:r>
      <w:r w:rsidR="00A21B76" w:rsidRPr="008152B2">
        <w:rPr>
          <w:rFonts w:cs="MinionPro-Regular"/>
        </w:rPr>
        <w:t xml:space="preserve">imbued with Seleucid monarchic ideology and artfully reformulated </w:t>
      </w:r>
      <w:r w:rsidR="008152B2" w:rsidRPr="008152B2">
        <w:rPr>
          <w:rFonts w:cs="MinionPro-Regular"/>
        </w:rPr>
        <w:t xml:space="preserve">[within a] </w:t>
      </w:r>
      <w:r w:rsidR="00A21B76" w:rsidRPr="008152B2">
        <w:rPr>
          <w:rFonts w:cs="MinionPro-Regular"/>
        </w:rPr>
        <w:t xml:space="preserve">Babylonian </w:t>
      </w:r>
      <w:r w:rsidR="008152B2" w:rsidRPr="008152B2">
        <w:rPr>
          <w:rFonts w:cs="MinionPro-Regular"/>
        </w:rPr>
        <w:t xml:space="preserve">tradition” through </w:t>
      </w:r>
      <w:r w:rsidR="00B400C0">
        <w:t>Nabû</w:t>
      </w:r>
      <w:r w:rsidR="008152B2" w:rsidRPr="008152B2">
        <w:rPr>
          <w:rFonts w:cs="MinionPro-Regular"/>
        </w:rPr>
        <w:t>.</w:t>
      </w:r>
      <w:r w:rsidR="00797B24">
        <w:rPr>
          <w:rFonts w:cs="MinionPro-Regular"/>
        </w:rPr>
        <w:t xml:space="preserve"> Antiochus begins this promotion</w:t>
      </w:r>
      <w:r w:rsidR="003676AB">
        <w:rPr>
          <w:rFonts w:cs="MinionPro-Regular"/>
        </w:rPr>
        <w:t>al</w:t>
      </w:r>
      <w:r w:rsidR="00797B24">
        <w:rPr>
          <w:rFonts w:cs="MinionPro-Regular"/>
        </w:rPr>
        <w:t xml:space="preserve"> campaigned by aligning a Babylonian gods with other, recognizable, Hellenistic gods across the empire; Zeus and Apollo. </w:t>
      </w:r>
    </w:p>
    <w:p w:rsidR="00797B24" w:rsidRDefault="00797B24" w:rsidP="0096584D">
      <w:pPr>
        <w:autoSpaceDE w:val="0"/>
        <w:autoSpaceDN w:val="0"/>
        <w:adjustRightInd w:val="0"/>
        <w:spacing w:after="0" w:line="360" w:lineRule="auto"/>
        <w:rPr>
          <w:rFonts w:cs="MinionPro-Regular"/>
        </w:rPr>
      </w:pPr>
    </w:p>
    <w:p w:rsidR="00632B6C" w:rsidRDefault="00632B6C" w:rsidP="00DF384C">
      <w:pPr>
        <w:spacing w:line="360" w:lineRule="auto"/>
        <w:ind w:firstLine="720"/>
      </w:pPr>
      <w:r>
        <w:t>The decision of Marduk and Nabû/Zeus and Apollo were carefully chosen images to portray</w:t>
      </w:r>
      <w:r w:rsidR="003676AB">
        <w:t xml:space="preserve"> the royal ideology</w:t>
      </w:r>
      <w:r>
        <w:t xml:space="preserve">. Traditionally a Babylonian king was addressed as the “image of Marduk” or “an image of Bel”. The title of belu meant “lord” or “master” which became associated with storm/weather gods, which in turn attached itself to Marduk as the lord/master of Babylonian </w:t>
      </w:r>
      <w:r>
        <w:lastRenderedPageBreak/>
        <w:t>gods.</w:t>
      </w:r>
      <w:r>
        <w:rPr>
          <w:rStyle w:val="FootnoteReference"/>
        </w:rPr>
        <w:footnoteReference w:id="42"/>
      </w:r>
      <w:r>
        <w:t xml:space="preserve"> Looking at Marduk’s position from a Greek perspective, we can clearly see a connection to Zeus as the head of Greek pantheon of gods as well as being associated with storms. By aligning </w:t>
      </w:r>
      <w:r w:rsidR="001A0EA3">
        <w:t>themselves</w:t>
      </w:r>
      <w:r>
        <w:t xml:space="preserve"> with Zeus/Marduk, </w:t>
      </w:r>
      <w:r w:rsidR="003676AB">
        <w:t xml:space="preserve">the </w:t>
      </w:r>
      <w:r>
        <w:t xml:space="preserve">Seleucids </w:t>
      </w:r>
      <w:r w:rsidR="003676AB">
        <w:t>are</w:t>
      </w:r>
      <w:r>
        <w:t xml:space="preserve"> legitimizing </w:t>
      </w:r>
      <w:r w:rsidR="003676AB">
        <w:t>themselves</w:t>
      </w:r>
      <w:r>
        <w:t xml:space="preserve"> as the chosen kings, both through Greek and Babylonian religion. Antiochus choice of Nabû /Apollo as his image is a continuation of his father’s image</w:t>
      </w:r>
      <w:r w:rsidR="003676AB">
        <w:t xml:space="preserve"> at Marduk and Zeus</w:t>
      </w:r>
      <w:r>
        <w:t>. Nabû is the son of Marduk, which Apollo is the son of Zeus, thereby, Antiochus is the divine choice to rule after his father.</w:t>
      </w:r>
      <w:r>
        <w:rPr>
          <w:rStyle w:val="FootnoteReference"/>
        </w:rPr>
        <w:footnoteReference w:id="43"/>
      </w:r>
      <w:r>
        <w:t xml:space="preserve"> </w:t>
      </w:r>
    </w:p>
    <w:p w:rsidR="00E3310A" w:rsidRDefault="00CD7083" w:rsidP="00DF384C">
      <w:pPr>
        <w:spacing w:line="360" w:lineRule="auto"/>
        <w:ind w:firstLine="720"/>
      </w:pPr>
      <w:r>
        <w:t>We can see examples of Seleucus’</w:t>
      </w:r>
      <w:r w:rsidR="00632B6C">
        <w:t xml:space="preserve">s use of Zeus/Marduk image in series of coins that he released. After the victory against Antigonus at Ipos in 301 BCE, he issued coins </w:t>
      </w:r>
      <w:r w:rsidR="0062010D">
        <w:t xml:space="preserve">with the </w:t>
      </w:r>
      <w:r w:rsidR="00632B6C">
        <w:t xml:space="preserve">image of </w:t>
      </w:r>
      <w:r>
        <w:t>himself</w:t>
      </w:r>
      <w:r w:rsidR="00632B6C">
        <w:t xml:space="preserve"> on the obverse wearing leopard print helmet with bullhorn and ear.</w:t>
      </w:r>
      <w:r w:rsidR="00632B6C">
        <w:rPr>
          <w:rStyle w:val="FootnoteReference"/>
        </w:rPr>
        <w:footnoteReference w:id="44"/>
      </w:r>
      <w:r w:rsidR="00632B6C">
        <w:t xml:space="preserve"> On the reverse was the goddess Nike with a crowing trophy and the head of Helios. </w:t>
      </w:r>
      <w:r w:rsidR="00EC0C41">
        <w:t>Later coins are produced around 304/305 which feature a horseman wearing a horned helmet and riding a horned horse.  Both coins feature horns, w</w:t>
      </w:r>
      <w:r>
        <w:t>hich</w:t>
      </w:r>
      <w:r w:rsidR="00EC0C41">
        <w:t xml:space="preserve"> have connotations to Greek mythology, but horns were worn also by Šamaš, an original form of Marduk. </w:t>
      </w:r>
      <w:r>
        <w:t>The Seleucid</w:t>
      </w:r>
      <w:r w:rsidR="00501A47">
        <w:t>s are</w:t>
      </w:r>
      <w:r w:rsidR="00EC0C41">
        <w:t xml:space="preserve"> associating </w:t>
      </w:r>
      <w:r w:rsidR="00501A47">
        <w:t>themselves</w:t>
      </w:r>
      <w:r>
        <w:t xml:space="preserve"> with the ancient royal line</w:t>
      </w:r>
      <w:r w:rsidR="00EC0C41">
        <w:t xml:space="preserve"> and </w:t>
      </w:r>
      <w:r w:rsidR="00501A47">
        <w:t>have been given divine fa</w:t>
      </w:r>
      <w:r w:rsidR="00EC0C41">
        <w:t xml:space="preserve">vour. </w:t>
      </w:r>
      <w:r w:rsidR="0062010D">
        <w:t xml:space="preserve">This is the beginning of building </w:t>
      </w:r>
      <w:r>
        <w:t>the Seleucid</w:t>
      </w:r>
      <w:r w:rsidR="0062010D">
        <w:t xml:space="preserve"> royal ideology through a Babylonian influence,</w:t>
      </w:r>
      <w:r w:rsidR="00632B6C">
        <w:t xml:space="preserve"> indication of divine favour</w:t>
      </w:r>
      <w:r w:rsidR="00501A47">
        <w:t xml:space="preserve">. </w:t>
      </w:r>
      <w:r w:rsidR="00632B6C">
        <w:t xml:space="preserve">Antiochus </w:t>
      </w:r>
      <w:r w:rsidR="00501A47">
        <w:t>engages this further</w:t>
      </w:r>
      <w:r w:rsidR="00632B6C">
        <w:t xml:space="preserve"> </w:t>
      </w:r>
      <w:r w:rsidR="00501A47">
        <w:t>in</w:t>
      </w:r>
      <w:r w:rsidR="00632B6C">
        <w:t xml:space="preserve"> native religious symbolism through images of Nabû /Apollo. </w:t>
      </w:r>
    </w:p>
    <w:p w:rsidR="00632B6C" w:rsidRDefault="00632B6C" w:rsidP="00DF384C">
      <w:pPr>
        <w:spacing w:line="360" w:lineRule="auto"/>
        <w:ind w:firstLine="720"/>
      </w:pPr>
      <w:r>
        <w:t xml:space="preserve">The </w:t>
      </w:r>
      <w:r w:rsidR="00CD7083">
        <w:t>Nabû /Apollo</w:t>
      </w:r>
      <w:r w:rsidR="00CD7083">
        <w:t xml:space="preserve"> </w:t>
      </w:r>
      <w:r>
        <w:t xml:space="preserve">relationship </w:t>
      </w:r>
      <w:r w:rsidR="00141122">
        <w:t xml:space="preserve">is strengthened and spread across the empire through the coinage that was used, making Steven’s argument of </w:t>
      </w:r>
      <w:r w:rsidR="00CD7083">
        <w:t xml:space="preserve">Nabû </w:t>
      </w:r>
      <w:r w:rsidR="00141122">
        <w:t>only</w:t>
      </w:r>
      <w:r w:rsidR="00CD7083">
        <w:t xml:space="preserve"> being</w:t>
      </w:r>
      <w:r w:rsidR="00141122">
        <w:t xml:space="preserve"> a local deity a moot point, as the association of this </w:t>
      </w:r>
      <w:r w:rsidR="00CD7083">
        <w:t>“</w:t>
      </w:r>
      <w:r w:rsidR="00141122">
        <w:t>local</w:t>
      </w:r>
      <w:r w:rsidR="00CD7083">
        <w:t>”</w:t>
      </w:r>
      <w:r w:rsidR="00141122">
        <w:t xml:space="preserve"> deity would </w:t>
      </w:r>
      <w:r w:rsidR="00CD7083">
        <w:t xml:space="preserve">have </w:t>
      </w:r>
      <w:r w:rsidR="00141122">
        <w:t>be</w:t>
      </w:r>
      <w:r w:rsidR="00CD7083">
        <w:t>en</w:t>
      </w:r>
      <w:r w:rsidR="00141122">
        <w:t xml:space="preserve"> spread across this empire through his association with Apollo. </w:t>
      </w:r>
      <w:r>
        <w:t>Producing these Apollo bronze coins would further be strengthening the relationship as bronze coins would be the currency used for every day trade, presenting the local people with daily reminders of the divine connection between the Seleucid kings and the gods.</w:t>
      </w:r>
      <w:r>
        <w:rPr>
          <w:rStyle w:val="FootnoteReference"/>
        </w:rPr>
        <w:footnoteReference w:id="45"/>
      </w:r>
      <w:r>
        <w:t xml:space="preserve"> </w:t>
      </w:r>
    </w:p>
    <w:p w:rsidR="00E2682B" w:rsidRDefault="00E3310A" w:rsidP="0096584D">
      <w:pPr>
        <w:autoSpaceDE w:val="0"/>
        <w:autoSpaceDN w:val="0"/>
        <w:adjustRightInd w:val="0"/>
        <w:spacing w:after="0" w:line="360" w:lineRule="auto"/>
        <w:rPr>
          <w:rFonts w:cs="MinionPro-Regular"/>
        </w:rPr>
      </w:pPr>
      <w:r>
        <w:rPr>
          <w:rFonts w:cs="MinionPro-Regular"/>
        </w:rPr>
        <w:t xml:space="preserve">With the relationship of </w:t>
      </w:r>
      <w:r w:rsidR="00366760">
        <w:t xml:space="preserve">Nabû </w:t>
      </w:r>
      <w:r>
        <w:rPr>
          <w:rFonts w:cs="MinionPro-Regular"/>
        </w:rPr>
        <w:t xml:space="preserve">and Apollo established, Kosmin links this </w:t>
      </w:r>
      <w:r w:rsidR="00F94286">
        <w:rPr>
          <w:rFonts w:cs="MinionPro-Regular"/>
        </w:rPr>
        <w:t>association</w:t>
      </w:r>
      <w:r>
        <w:rPr>
          <w:rFonts w:cs="MinionPro-Regular"/>
        </w:rPr>
        <w:t xml:space="preserve"> to the Antiochus </w:t>
      </w:r>
      <w:r w:rsidR="00CD7083">
        <w:rPr>
          <w:rFonts w:cs="MinionPro-Regular"/>
        </w:rPr>
        <w:t>cylin</w:t>
      </w:r>
      <w:r w:rsidR="00795F10">
        <w:rPr>
          <w:rFonts w:cs="MinionPro-Regular"/>
        </w:rPr>
        <w:t>der</w:t>
      </w:r>
      <w:r>
        <w:rPr>
          <w:rFonts w:cs="MinionPro-Regular"/>
        </w:rPr>
        <w:t>:</w:t>
      </w:r>
    </w:p>
    <w:p w:rsidR="00E3310A" w:rsidRPr="00F94286" w:rsidRDefault="00E3310A" w:rsidP="0096584D">
      <w:pPr>
        <w:autoSpaceDE w:val="0"/>
        <w:autoSpaceDN w:val="0"/>
        <w:adjustRightInd w:val="0"/>
        <w:spacing w:after="0" w:line="360" w:lineRule="auto"/>
        <w:ind w:left="720"/>
        <w:rPr>
          <w:rFonts w:cs="MinionPro-Regular"/>
        </w:rPr>
      </w:pPr>
      <w:r w:rsidRPr="00F94286">
        <w:rPr>
          <w:rFonts w:cs="MinionPro-Regular"/>
        </w:rPr>
        <w:t xml:space="preserve">The Borsippa Cylinder itself may contain oblique confirmation of this syncretism. </w:t>
      </w:r>
      <w:r w:rsidR="00366760">
        <w:t xml:space="preserve">Nabû </w:t>
      </w:r>
      <w:r w:rsidRPr="00F94286">
        <w:rPr>
          <w:rFonts w:cs="MinionPro-Regular"/>
        </w:rPr>
        <w:t xml:space="preserve">is first introduced in column i line 16 as </w:t>
      </w:r>
      <w:r w:rsidR="00366760" w:rsidRPr="00366760">
        <w:rPr>
          <w:i/>
        </w:rPr>
        <w:t>Nabû</w:t>
      </w:r>
      <w:r w:rsidR="00366760">
        <w:t xml:space="preserve"> </w:t>
      </w:r>
      <w:r w:rsidRPr="00F94286">
        <w:rPr>
          <w:rFonts w:cs="MinionPro-It"/>
          <w:i/>
          <w:iCs/>
        </w:rPr>
        <w:t>aplu sīri</w:t>
      </w:r>
      <w:r w:rsidRPr="00F94286">
        <w:rPr>
          <w:rFonts w:cs="MinionPro-Regular"/>
        </w:rPr>
        <w:t>, ‘</w:t>
      </w:r>
      <w:r w:rsidR="00366760">
        <w:t>Nabû</w:t>
      </w:r>
      <w:r w:rsidRPr="00F94286">
        <w:rPr>
          <w:rFonts w:cs="MinionPro-Regular"/>
        </w:rPr>
        <w:t xml:space="preserve">, exalted heir’ (i.e. of his father, Marduk). In two other places, the inscription calls him </w:t>
      </w:r>
      <w:r w:rsidR="00366760" w:rsidRPr="00366760">
        <w:rPr>
          <w:i/>
        </w:rPr>
        <w:t>Nabû</w:t>
      </w:r>
      <w:r w:rsidR="00366760">
        <w:t xml:space="preserve"> </w:t>
      </w:r>
      <w:r w:rsidRPr="00F94286">
        <w:rPr>
          <w:rFonts w:cs="MinionPro-It"/>
          <w:i/>
          <w:iCs/>
        </w:rPr>
        <w:t>aplu</w:t>
      </w:r>
      <w:r w:rsidRPr="00F94286">
        <w:rPr>
          <w:rFonts w:cs="MinionPro-Regular"/>
        </w:rPr>
        <w:t>.</w:t>
      </w:r>
      <w:r w:rsidR="00F94286" w:rsidRPr="00F94286">
        <w:rPr>
          <w:rFonts w:cs="MinionPro-Regular"/>
        </w:rPr>
        <w:t xml:space="preserve"> </w:t>
      </w:r>
      <w:r w:rsidRPr="00F94286">
        <w:rPr>
          <w:rFonts w:cs="MinionPro-Regular"/>
        </w:rPr>
        <w:t xml:space="preserve">In this period, if the phonology of the Graeco-Babyloniaca is any guide, </w:t>
      </w:r>
      <w:r w:rsidRPr="00F94286">
        <w:rPr>
          <w:rFonts w:cs="MinionPro-It"/>
          <w:i/>
          <w:iCs/>
        </w:rPr>
        <w:t xml:space="preserve">aplu </w:t>
      </w:r>
      <w:r w:rsidRPr="00F94286">
        <w:rPr>
          <w:rFonts w:cs="MinionPro-Regular"/>
        </w:rPr>
        <w:t xml:space="preserve">may have been pronounced </w:t>
      </w:r>
      <w:r w:rsidRPr="00F94286">
        <w:rPr>
          <w:rFonts w:cs="MinionPro-It"/>
          <w:i/>
          <w:iCs/>
        </w:rPr>
        <w:t>apal</w:t>
      </w:r>
      <w:r w:rsidRPr="00F94286">
        <w:rPr>
          <w:rFonts w:cs="MinionPro-Regular"/>
        </w:rPr>
        <w:t>.</w:t>
      </w:r>
      <w:r w:rsidR="00F94286" w:rsidRPr="00F94286">
        <w:rPr>
          <w:rFonts w:cs="MinionPro-Regular"/>
        </w:rPr>
        <w:t xml:space="preserve"> </w:t>
      </w:r>
      <w:r w:rsidRPr="00F94286">
        <w:rPr>
          <w:rFonts w:cs="MinionPro-Regular"/>
        </w:rPr>
        <w:t xml:space="preserve">While the title is not by itself unusual for this god, the repetitive insistence on the doublet </w:t>
      </w:r>
      <w:r w:rsidR="00366760" w:rsidRPr="00366760">
        <w:rPr>
          <w:i/>
        </w:rPr>
        <w:lastRenderedPageBreak/>
        <w:t>Nabû</w:t>
      </w:r>
      <w:r w:rsidR="00366760">
        <w:t xml:space="preserve"> </w:t>
      </w:r>
      <w:r w:rsidRPr="00F94286">
        <w:rPr>
          <w:rFonts w:cs="MinionPro-It"/>
          <w:i/>
          <w:iCs/>
        </w:rPr>
        <w:t xml:space="preserve">aplu/apal </w:t>
      </w:r>
      <w:r w:rsidRPr="00F94286">
        <w:rPr>
          <w:rFonts w:cs="MinionPro-Regular"/>
        </w:rPr>
        <w:t xml:space="preserve">in the context of a Seleucid-sponsored Babylonian ritual could be intended—an aural indication of the </w:t>
      </w:r>
      <w:r w:rsidR="00366760">
        <w:t xml:space="preserve">Nabû </w:t>
      </w:r>
      <w:r w:rsidRPr="00F94286">
        <w:rPr>
          <w:rFonts w:cs="MinionPro-Regular"/>
        </w:rPr>
        <w:t>–Apollo syncretism.</w:t>
      </w:r>
      <w:r w:rsidR="00F94286">
        <w:rPr>
          <w:rStyle w:val="FootnoteReference"/>
          <w:rFonts w:cs="MinionPro-Regular"/>
        </w:rPr>
        <w:footnoteReference w:id="46"/>
      </w:r>
    </w:p>
    <w:p w:rsidR="00897C3C" w:rsidRDefault="00897C3C" w:rsidP="0096584D">
      <w:pPr>
        <w:autoSpaceDE w:val="0"/>
        <w:autoSpaceDN w:val="0"/>
        <w:adjustRightInd w:val="0"/>
        <w:spacing w:after="0" w:line="360" w:lineRule="auto"/>
        <w:rPr>
          <w:rFonts w:cs="Times-Roman"/>
        </w:rPr>
      </w:pPr>
    </w:p>
    <w:p w:rsidR="00170B35" w:rsidRDefault="00170B35" w:rsidP="00DF384C">
      <w:pPr>
        <w:autoSpaceDE w:val="0"/>
        <w:autoSpaceDN w:val="0"/>
        <w:adjustRightInd w:val="0"/>
        <w:spacing w:after="0" w:line="360" w:lineRule="auto"/>
        <w:ind w:firstLine="720"/>
        <w:rPr>
          <w:rFonts w:cs="Times-Roman"/>
        </w:rPr>
      </w:pPr>
      <w:r>
        <w:rPr>
          <w:rFonts w:cs="Times-Roman"/>
        </w:rPr>
        <w:t>The Seleucid’s vehicle is now noticeable or heard of across the empire</w:t>
      </w:r>
      <w:r w:rsidR="00E3082D">
        <w:rPr>
          <w:rFonts w:cs="Times-Roman"/>
        </w:rPr>
        <w:t>, as well as</w:t>
      </w:r>
      <w:r>
        <w:rPr>
          <w:rFonts w:cs="Times-Roman"/>
        </w:rPr>
        <w:t xml:space="preserve"> appealing to the va</w:t>
      </w:r>
      <w:r w:rsidR="00447218">
        <w:rPr>
          <w:rFonts w:cs="Times-Roman"/>
        </w:rPr>
        <w:t xml:space="preserve">rious groups across the empire. </w:t>
      </w:r>
      <w:r w:rsidR="00D02C68">
        <w:rPr>
          <w:rFonts w:cs="Times-Roman"/>
        </w:rPr>
        <w:t>The</w:t>
      </w:r>
      <w:r w:rsidR="00447218">
        <w:rPr>
          <w:rFonts w:cs="Times-Roman"/>
        </w:rPr>
        <w:t xml:space="preserve"> </w:t>
      </w:r>
      <w:r w:rsidR="00E3082D">
        <w:rPr>
          <w:rFonts w:cs="Times-Roman"/>
        </w:rPr>
        <w:t>reinvention</w:t>
      </w:r>
      <w:r w:rsidR="00447218">
        <w:rPr>
          <w:rFonts w:cs="Times-Roman"/>
        </w:rPr>
        <w:t xml:space="preserve"> of </w:t>
      </w:r>
      <w:r w:rsidR="00366760">
        <w:t xml:space="preserve">Nabû </w:t>
      </w:r>
      <w:r w:rsidR="00447218">
        <w:rPr>
          <w:rFonts w:cs="Times-Roman"/>
        </w:rPr>
        <w:t xml:space="preserve">would have appealed </w:t>
      </w:r>
      <w:r w:rsidR="00D02C68">
        <w:rPr>
          <w:rFonts w:cs="Times-Roman"/>
        </w:rPr>
        <w:t>to both Babylonians and Greeks, confirming and ratifying Antiochus’s claim to the throne.</w:t>
      </w:r>
      <w:r w:rsidR="00D02C68">
        <w:rPr>
          <w:rStyle w:val="FootnoteReference"/>
          <w:rFonts w:cs="Times-Roman"/>
        </w:rPr>
        <w:footnoteReference w:id="47"/>
      </w:r>
    </w:p>
    <w:p w:rsidR="00BA472F" w:rsidRDefault="00BA472F" w:rsidP="0096584D">
      <w:pPr>
        <w:autoSpaceDE w:val="0"/>
        <w:autoSpaceDN w:val="0"/>
        <w:adjustRightInd w:val="0"/>
        <w:spacing w:after="0" w:line="360" w:lineRule="auto"/>
        <w:rPr>
          <w:rFonts w:cs="Times-Roman"/>
        </w:rPr>
      </w:pPr>
    </w:p>
    <w:p w:rsidR="00915DDD" w:rsidRPr="00DF384C" w:rsidRDefault="00961E70" w:rsidP="00DF384C">
      <w:pPr>
        <w:pStyle w:val="NoSpacing"/>
        <w:rPr>
          <w:b/>
        </w:rPr>
      </w:pPr>
      <w:r w:rsidRPr="00DF384C">
        <w:rPr>
          <w:b/>
        </w:rPr>
        <w:t xml:space="preserve">From Hatti to Babylon: Bringing the Macedonian Empire </w:t>
      </w:r>
      <w:r w:rsidR="00915DDD" w:rsidRPr="00DF384C">
        <w:rPr>
          <w:b/>
        </w:rPr>
        <w:t xml:space="preserve">to </w:t>
      </w:r>
      <w:r w:rsidR="00915DDD" w:rsidRPr="00DF384C">
        <w:rPr>
          <w:rFonts w:cs="Arial"/>
          <w:b/>
        </w:rPr>
        <w:t>the Cylinder of Antiochus I from Borsippa</w:t>
      </w:r>
    </w:p>
    <w:p w:rsidR="00915DDD" w:rsidRDefault="00915DDD" w:rsidP="0096584D">
      <w:pPr>
        <w:autoSpaceDE w:val="0"/>
        <w:autoSpaceDN w:val="0"/>
        <w:adjustRightInd w:val="0"/>
        <w:spacing w:after="0" w:line="360" w:lineRule="auto"/>
        <w:rPr>
          <w:rFonts w:cs="Times-Roman"/>
        </w:rPr>
      </w:pPr>
    </w:p>
    <w:p w:rsidR="00661C6C" w:rsidRPr="00915DDD" w:rsidRDefault="00447218" w:rsidP="0096584D">
      <w:pPr>
        <w:autoSpaceDE w:val="0"/>
        <w:autoSpaceDN w:val="0"/>
        <w:adjustRightInd w:val="0"/>
        <w:spacing w:after="0" w:line="360" w:lineRule="auto"/>
        <w:rPr>
          <w:rFonts w:cs="Times-Roman"/>
        </w:rPr>
      </w:pPr>
      <w:r>
        <w:t xml:space="preserve">Haubold asks the great question, “How do the Mesopotamian traditions </w:t>
      </w:r>
      <w:r w:rsidR="00545060">
        <w:t>and institution relate to the empire?</w:t>
      </w:r>
      <w:r w:rsidR="005F0069">
        <w:t>”</w:t>
      </w:r>
      <w:r w:rsidR="00545060">
        <w:t xml:space="preserve"> </w:t>
      </w:r>
      <w:r w:rsidR="00545060">
        <w:rPr>
          <w:rFonts w:cs="Times-Roman"/>
        </w:rPr>
        <w:t>His answer is that Antiochus refuses to take the King of Mesopotamia credentials for granted.</w:t>
      </w:r>
      <w:r w:rsidR="00545060" w:rsidRPr="00545060">
        <w:rPr>
          <w:rStyle w:val="FootnoteReference"/>
        </w:rPr>
        <w:t xml:space="preserve"> </w:t>
      </w:r>
      <w:r w:rsidR="00545060">
        <w:rPr>
          <w:rStyle w:val="FootnoteReference"/>
        </w:rPr>
        <w:footnoteReference w:id="48"/>
      </w:r>
      <w:r w:rsidR="00545060">
        <w:t xml:space="preserve"> </w:t>
      </w:r>
      <w:r w:rsidR="000756A5">
        <w:t>Antiochus work very hard to ensure that his title is not just understood as a Mesopotamian title, but that of a king with tradition and legitimacy across the lands.</w:t>
      </w:r>
      <w:r w:rsidR="00545060">
        <w:rPr>
          <w:rFonts w:cs="Times-Roman"/>
        </w:rPr>
        <w:t xml:space="preserve"> </w:t>
      </w:r>
    </w:p>
    <w:p w:rsidR="00170B35" w:rsidRDefault="00362DDC" w:rsidP="0096584D">
      <w:pPr>
        <w:spacing w:line="360" w:lineRule="auto"/>
      </w:pPr>
      <w:r>
        <w:t xml:space="preserve">Returning to the beginning of the inscription to the list of titles, we see </w:t>
      </w:r>
      <w:r w:rsidR="00C80315">
        <w:t>he speak of his t</w:t>
      </w:r>
      <w:r w:rsidR="005F0069">
        <w:t>itles within Mesopotamian tradition</w:t>
      </w:r>
      <w:r w:rsidR="00C80315">
        <w:t>, but also, his origins, “foremost heir of Seleucus, the king, the Macedonian, king of Babylon, am I.  He is showing that he is not just the king of Babylon, but a king across the lands, increasing his legitimacy as ruler.</w:t>
      </w:r>
      <w:r w:rsidR="00C80315">
        <w:rPr>
          <w:rStyle w:val="FootnoteReference"/>
        </w:rPr>
        <w:footnoteReference w:id="49"/>
      </w:r>
      <w:r w:rsidR="00C80315">
        <w:t xml:space="preserve"> </w:t>
      </w:r>
    </w:p>
    <w:p w:rsidR="00EE2BEE" w:rsidRDefault="00D02C68" w:rsidP="00DF384C">
      <w:pPr>
        <w:spacing w:line="360" w:lineRule="auto"/>
        <w:ind w:firstLine="720"/>
      </w:pPr>
      <w:r>
        <w:t>Within the text itself, Antiochus make reference to his great Empire.</w:t>
      </w:r>
      <w:r w:rsidR="00FB7E4D">
        <w:t xml:space="preserve"> Returning to the act of rebuilding the temple, Antiochus discusses his contribution to the building of the temple and that he made the bricks himself in the land of Hatti, using the best oil that could be found. Here Antiochus is bringing the empire to Babylon. The bricks would have been made in Northern Syria which was a Seleucid</w:t>
      </w:r>
      <w:r w:rsidR="00E3082D">
        <w:t>’</w:t>
      </w:r>
      <w:r w:rsidR="00FB7E4D">
        <w:t>s strong hold</w:t>
      </w:r>
      <w:r w:rsidR="00EE2BEE">
        <w:t>. Bringing these bricks to Babylon, he is showing that he brings all of his might, strength, influence, and power of the empire with him.</w:t>
      </w:r>
    </w:p>
    <w:p w:rsidR="00961E70" w:rsidRDefault="00961E70" w:rsidP="0096584D">
      <w:pPr>
        <w:autoSpaceDE w:val="0"/>
        <w:autoSpaceDN w:val="0"/>
        <w:adjustRightInd w:val="0"/>
        <w:spacing w:after="0" w:line="360" w:lineRule="auto"/>
        <w:rPr>
          <w:rFonts w:cs="Arial"/>
          <w:b/>
        </w:rPr>
      </w:pPr>
      <w:r w:rsidRPr="003E21C0">
        <w:rPr>
          <w:rFonts w:cs="Times-Roman"/>
          <w:b/>
        </w:rPr>
        <w:t xml:space="preserve">From Macedonia with Love: </w:t>
      </w:r>
      <w:r>
        <w:rPr>
          <w:rFonts w:cs="Times-Roman"/>
          <w:b/>
        </w:rPr>
        <w:t>Conclusion of the Seleucid</w:t>
      </w:r>
      <w:r w:rsidRPr="003E21C0">
        <w:rPr>
          <w:rFonts w:cs="Times-Roman"/>
          <w:b/>
        </w:rPr>
        <w:t xml:space="preserve"> Ideology and </w:t>
      </w:r>
      <w:r w:rsidRPr="003E21C0">
        <w:rPr>
          <w:b/>
        </w:rPr>
        <w:t>the</w:t>
      </w:r>
      <w:r w:rsidRPr="003E21C0">
        <w:rPr>
          <w:rFonts w:cs="Arial"/>
          <w:b/>
        </w:rPr>
        <w:t xml:space="preserve"> Cylinder of Antiochus I from Borsippa</w:t>
      </w:r>
      <w:r>
        <w:rPr>
          <w:rFonts w:cs="Arial"/>
          <w:b/>
        </w:rPr>
        <w:t xml:space="preserve"> </w:t>
      </w:r>
    </w:p>
    <w:p w:rsidR="00961E70" w:rsidRPr="00961E70" w:rsidRDefault="00961E70" w:rsidP="0096584D">
      <w:pPr>
        <w:autoSpaceDE w:val="0"/>
        <w:autoSpaceDN w:val="0"/>
        <w:adjustRightInd w:val="0"/>
        <w:spacing w:after="0" w:line="360" w:lineRule="auto"/>
        <w:rPr>
          <w:rFonts w:cs="Arial"/>
          <w:b/>
        </w:rPr>
      </w:pPr>
    </w:p>
    <w:p w:rsidR="0009244D" w:rsidRDefault="00C838B1" w:rsidP="0096584D">
      <w:pPr>
        <w:spacing w:line="360" w:lineRule="auto"/>
      </w:pPr>
      <w:r>
        <w:t>The art of navigating Seleucids ideology through a single artefact can be tricky and dangerous. Steven’s points out that with a single example it can be too easy to generalize or to</w:t>
      </w:r>
      <w:r w:rsidR="0010538D">
        <w:t>o</w:t>
      </w:r>
      <w:r>
        <w:t xml:space="preserve"> zealous to find meaning in the smallest detail.</w:t>
      </w:r>
      <w:r>
        <w:rPr>
          <w:rStyle w:val="FootnoteReference"/>
        </w:rPr>
        <w:footnoteReference w:id="50"/>
      </w:r>
      <w:r>
        <w:t xml:space="preserve"> And she is right. However, the Antiochus cylinder, while currently a </w:t>
      </w:r>
      <w:r>
        <w:lastRenderedPageBreak/>
        <w:t>one of a kind object, I find it hard to believe it was ever the only one in existence. This would not have been the only temple that Antiochus</w:t>
      </w:r>
      <w:r w:rsidR="00915DDD">
        <w:t xml:space="preserve"> or even the Seleucid</w:t>
      </w:r>
      <w:r>
        <w:t xml:space="preserve"> dynasty ever rebuilt or constructed. </w:t>
      </w:r>
      <w:r w:rsidR="00421C3C">
        <w:t xml:space="preserve">It would not be </w:t>
      </w:r>
      <w:r w:rsidR="0010538D">
        <w:t>unfathomable</w:t>
      </w:r>
      <w:r w:rsidR="00421C3C">
        <w:t xml:space="preserve"> </w:t>
      </w:r>
      <w:r w:rsidR="00915DDD">
        <w:t xml:space="preserve">to believe </w:t>
      </w:r>
      <w:r w:rsidR="00421C3C">
        <w:t>that more cylinders exist</w:t>
      </w:r>
      <w:r w:rsidR="0010538D">
        <w:t>(ed)</w:t>
      </w:r>
      <w:r w:rsidR="00421C3C">
        <w:t xml:space="preserve"> from the Seleucid dynasty who partook in the building ritual</w:t>
      </w:r>
      <w:r w:rsidR="0010538D">
        <w:t xml:space="preserve">. We </w:t>
      </w:r>
      <w:r w:rsidR="00421C3C">
        <w:t xml:space="preserve">know from other evidence that the </w:t>
      </w:r>
      <w:r w:rsidR="00915DDD">
        <w:t>Seleucids</w:t>
      </w:r>
      <w:r w:rsidR="00421C3C">
        <w:t xml:space="preserve"> participated in Babylonian traditions and ritual through</w:t>
      </w:r>
      <w:r w:rsidR="00915DDD">
        <w:t>out</w:t>
      </w:r>
      <w:r w:rsidR="00421C3C">
        <w:t xml:space="preserve"> their reign, such as the </w:t>
      </w:r>
      <w:r w:rsidR="00421C3C" w:rsidRPr="0010538D">
        <w:t>Akitu festiva</w:t>
      </w:r>
      <w:r w:rsidR="0010538D">
        <w:t>l</w:t>
      </w:r>
      <w:r w:rsidR="00421C3C" w:rsidRPr="0010538D">
        <w:t xml:space="preserve"> which was recorded d</w:t>
      </w:r>
      <w:r w:rsidR="0010538D">
        <w:t>uring the reign of Seleucus III</w:t>
      </w:r>
      <w:r w:rsidR="00915DDD">
        <w:t>. S</w:t>
      </w:r>
      <w:r w:rsidR="0010538D">
        <w:t xml:space="preserve">o with that </w:t>
      </w:r>
      <w:r w:rsidR="00A537A4">
        <w:t>caveat</w:t>
      </w:r>
      <w:r w:rsidR="0010538D">
        <w:t xml:space="preserve"> in mind, I would like to </w:t>
      </w:r>
      <w:r w:rsidR="00A537A4">
        <w:t>come</w:t>
      </w:r>
      <w:r w:rsidR="0010538D">
        <w:t xml:space="preserve"> some conclusions. </w:t>
      </w:r>
    </w:p>
    <w:p w:rsidR="00A537A4" w:rsidRDefault="00A537A4" w:rsidP="00DF384C">
      <w:pPr>
        <w:spacing w:line="360" w:lineRule="auto"/>
        <w:ind w:firstLine="720"/>
      </w:pPr>
      <w:r>
        <w:t xml:space="preserve">From the onset of this paper, I believed that the cylinder was not a piece of Seleucid propaganda to woo Babylon into submission with their conformity to Babylonian tradition. It was not Seleucid royal ideology to adopt the native culture in order to influence compliance and acceptance of their reign. Instead, Babylonian tradition was used as the vehicle to </w:t>
      </w:r>
      <w:r w:rsidR="00FA32AC">
        <w:t>deliver</w:t>
      </w:r>
      <w:r>
        <w:t xml:space="preserve"> the message of Seleucid ideology. The Seleucids set out to establish </w:t>
      </w:r>
      <w:r w:rsidR="003D7434">
        <w:t>themselves as powerful, legitimate</w:t>
      </w:r>
      <w:r>
        <w:t xml:space="preserve"> rulers and to do this, they wove their </w:t>
      </w:r>
      <w:r w:rsidR="00FA32AC">
        <w:t>ideology</w:t>
      </w:r>
      <w:r>
        <w:t xml:space="preserve"> through the fabric of Babylonian tradition, ritual, and customs. </w:t>
      </w:r>
      <w:r w:rsidR="00FA32AC">
        <w:t xml:space="preserve">In this case </w:t>
      </w:r>
      <w:r w:rsidR="00762C81">
        <w:t xml:space="preserve">the </w:t>
      </w:r>
      <w:r w:rsidR="00FA32AC">
        <w:t>fabric was a cylinder and through it the strands of Seleucids power was woven through the use o</w:t>
      </w:r>
      <w:r w:rsidR="003B2754">
        <w:t>f traditional titles, language</w:t>
      </w:r>
      <w:r w:rsidR="00FA32AC">
        <w:t xml:space="preserve">, and allusion. </w:t>
      </w:r>
      <w:r w:rsidR="00915DDD">
        <w:t xml:space="preserve">The use of traditional titles, </w:t>
      </w:r>
      <w:r w:rsidR="00787290">
        <w:t xml:space="preserve">evoked a sense of history, a sense of past greatness, and connection to the past. The language, which was laid out in a traditional manor, using traditional phrases, created a sense of continuity, even if the context of the language projected power, strength, and an identity. </w:t>
      </w:r>
      <w:r w:rsidR="003B2754">
        <w:t xml:space="preserve">The aura of allusion that the Seleucids </w:t>
      </w:r>
      <w:r w:rsidR="00762C81">
        <w:t>were members of the pantheon of</w:t>
      </w:r>
      <w:r w:rsidR="00133E42">
        <w:t xml:space="preserve"> Babylonian gods and </w:t>
      </w:r>
      <w:r w:rsidR="006E558E">
        <w:t>of</w:t>
      </w:r>
      <w:r w:rsidR="00133E42">
        <w:t xml:space="preserve"> </w:t>
      </w:r>
      <w:r w:rsidR="003B2754">
        <w:t>gods across the empire</w:t>
      </w:r>
      <w:r w:rsidR="00932265">
        <w:t xml:space="preserve">, such as Apollo or Zeus, </w:t>
      </w:r>
      <w:r w:rsidR="003B2754">
        <w:t>created an empire wide language</w:t>
      </w:r>
      <w:r w:rsidR="00932265">
        <w:t xml:space="preserve"> that everyone could relate to and understand</w:t>
      </w:r>
      <w:r w:rsidR="003B2754">
        <w:t xml:space="preserve">.  </w:t>
      </w:r>
    </w:p>
    <w:p w:rsidR="00CB73FA" w:rsidRDefault="00CB73FA" w:rsidP="00C80315"/>
    <w:p w:rsidR="0096584D" w:rsidRDefault="0096584D" w:rsidP="00C80315"/>
    <w:p w:rsidR="0096584D" w:rsidRDefault="0096584D" w:rsidP="00C80315"/>
    <w:p w:rsidR="0096584D" w:rsidRDefault="0096584D" w:rsidP="00C80315"/>
    <w:p w:rsidR="0096584D" w:rsidRDefault="0096584D" w:rsidP="00C80315"/>
    <w:p w:rsidR="0096584D" w:rsidRDefault="0096584D" w:rsidP="00C80315"/>
    <w:p w:rsidR="0096584D" w:rsidRDefault="0096584D" w:rsidP="00C80315"/>
    <w:p w:rsidR="0096584D" w:rsidRDefault="0096584D" w:rsidP="00C80315"/>
    <w:p w:rsidR="0096584D" w:rsidRDefault="0096584D" w:rsidP="00C80315"/>
    <w:p w:rsidR="0096584D" w:rsidRDefault="0096584D" w:rsidP="00C80315"/>
    <w:p w:rsidR="005A0FF8" w:rsidRDefault="005A0FF8" w:rsidP="00C80315"/>
    <w:p w:rsidR="005A0FF8" w:rsidRDefault="005A0FF8" w:rsidP="00C80315"/>
    <w:p w:rsidR="00CB73FA" w:rsidRPr="0096584D" w:rsidRDefault="00CB73FA" w:rsidP="00C80315">
      <w:bookmarkStart w:id="0" w:name="_GoBack"/>
      <w:bookmarkEnd w:id="0"/>
      <w:r w:rsidRPr="0096584D">
        <w:lastRenderedPageBreak/>
        <w:t>Bibliography</w:t>
      </w:r>
    </w:p>
    <w:p w:rsidR="00913F13" w:rsidRPr="0096584D" w:rsidRDefault="00913F13" w:rsidP="00C80315">
      <w:pPr>
        <w:rPr>
          <w:shd w:val="clear" w:color="auto" w:fill="FFFFFF"/>
        </w:rPr>
      </w:pPr>
      <w:r w:rsidRPr="0096584D">
        <w:rPr>
          <w:shd w:val="clear" w:color="auto" w:fill="FFFFFF"/>
        </w:rPr>
        <w:t>Anagnostou-Laoutides, E. (2017)</w:t>
      </w:r>
      <w:r w:rsidRPr="0096584D">
        <w:rPr>
          <w:shd w:val="clear" w:color="auto" w:fill="FFFFFF"/>
        </w:rPr>
        <w:t> </w:t>
      </w:r>
      <w:r w:rsidRPr="0096584D">
        <w:rPr>
          <w:i/>
          <w:iCs/>
          <w:shd w:val="clear" w:color="auto" w:fill="FFFFFF"/>
        </w:rPr>
        <w:t>In the garden of the Gods:</w:t>
      </w:r>
      <w:r w:rsidRPr="0096584D">
        <w:rPr>
          <w:i/>
          <w:iCs/>
          <w:shd w:val="clear" w:color="auto" w:fill="FFFFFF"/>
        </w:rPr>
        <w:t>models of kingship from the Sumerians to the Seleucids</w:t>
      </w:r>
      <w:r w:rsidRPr="0096584D">
        <w:rPr>
          <w:shd w:val="clear" w:color="auto" w:fill="FFFFFF"/>
        </w:rPr>
        <w:t xml:space="preserve">. </w:t>
      </w:r>
      <w:r w:rsidRPr="0096584D">
        <w:rPr>
          <w:shd w:val="clear" w:color="auto" w:fill="F3F3F3"/>
        </w:rPr>
        <w:t>London,</w:t>
      </w:r>
      <w:r w:rsidR="008C6F2C" w:rsidRPr="0096584D">
        <w:rPr>
          <w:shd w:val="clear" w:color="auto" w:fill="F3F3F3"/>
        </w:rPr>
        <w:t xml:space="preserve"> England ; New York, New York: </w:t>
      </w:r>
      <w:r w:rsidRPr="0096584D">
        <w:rPr>
          <w:shd w:val="clear" w:color="auto" w:fill="F3F3F3"/>
        </w:rPr>
        <w:t>Routledge</w:t>
      </w:r>
      <w:r w:rsidR="008C6F2C" w:rsidRPr="0096584D">
        <w:rPr>
          <w:rStyle w:val="media-delimiter"/>
          <w:shd w:val="clear" w:color="auto" w:fill="F3F3F3"/>
        </w:rPr>
        <w:t>.</w:t>
      </w:r>
    </w:p>
    <w:p w:rsidR="004A0CB2" w:rsidRPr="0096584D" w:rsidRDefault="004A0CB2" w:rsidP="00AA766F">
      <w:pPr>
        <w:autoSpaceDE w:val="0"/>
        <w:autoSpaceDN w:val="0"/>
        <w:adjustRightInd w:val="0"/>
        <w:spacing w:after="0" w:line="240" w:lineRule="auto"/>
        <w:rPr>
          <w:shd w:val="clear" w:color="auto" w:fill="FFFFFF"/>
        </w:rPr>
      </w:pPr>
      <w:r w:rsidRPr="0096584D">
        <w:rPr>
          <w:shd w:val="clear" w:color="auto" w:fill="FFFFFF"/>
        </w:rPr>
        <w:t>Dignas, B. (2002)</w:t>
      </w:r>
      <w:r w:rsidRPr="0096584D">
        <w:rPr>
          <w:shd w:val="clear" w:color="auto" w:fill="FFFFFF"/>
        </w:rPr>
        <w:t xml:space="preserve"> </w:t>
      </w:r>
      <w:r w:rsidRPr="0096584D">
        <w:rPr>
          <w:i/>
          <w:iCs/>
          <w:shd w:val="clear" w:color="auto" w:fill="FFFFFF"/>
        </w:rPr>
        <w:t>Economy of the Sacred in Hellenistic and Roman Asia Minor</w:t>
      </w:r>
      <w:r w:rsidRPr="0096584D">
        <w:rPr>
          <w:shd w:val="clear" w:color="auto" w:fill="FFFFFF"/>
        </w:rPr>
        <w:t xml:space="preserve">. </w:t>
      </w:r>
      <w:r w:rsidR="0096584D" w:rsidRPr="0096584D">
        <w:rPr>
          <w:shd w:val="clear" w:color="auto" w:fill="FFFFFF"/>
        </w:rPr>
        <w:t xml:space="preserve">Oxford: </w:t>
      </w:r>
      <w:r w:rsidRPr="0096584D">
        <w:rPr>
          <w:shd w:val="clear" w:color="auto" w:fill="FFFFFF"/>
        </w:rPr>
        <w:t>Oxford University Press</w:t>
      </w:r>
      <w:r w:rsidR="0096584D" w:rsidRPr="0096584D">
        <w:rPr>
          <w:shd w:val="clear" w:color="auto" w:fill="FFFFFF"/>
        </w:rPr>
        <w:t>.</w:t>
      </w:r>
    </w:p>
    <w:p w:rsidR="0096584D" w:rsidRPr="0096584D" w:rsidRDefault="0096584D" w:rsidP="00AA766F">
      <w:pPr>
        <w:autoSpaceDE w:val="0"/>
        <w:autoSpaceDN w:val="0"/>
        <w:adjustRightInd w:val="0"/>
        <w:spacing w:after="0" w:line="240" w:lineRule="auto"/>
        <w:rPr>
          <w:rFonts w:cs="Times-Roman"/>
        </w:rPr>
      </w:pPr>
    </w:p>
    <w:p w:rsidR="00E046F5" w:rsidRPr="0096584D" w:rsidRDefault="00E046F5" w:rsidP="00AA766F">
      <w:pPr>
        <w:autoSpaceDE w:val="0"/>
        <w:autoSpaceDN w:val="0"/>
        <w:adjustRightInd w:val="0"/>
        <w:spacing w:after="0" w:line="240" w:lineRule="auto"/>
        <w:rPr>
          <w:rFonts w:cs="Times-Roman"/>
        </w:rPr>
      </w:pPr>
      <w:r w:rsidRPr="0096584D">
        <w:rPr>
          <w:rFonts w:cs="Times-Roman"/>
        </w:rPr>
        <w:t xml:space="preserve">Erickson, K. (2011) “Apollo-Nabu: The Babylonian Policy of Antiochus I” in Erikson, K and Ramsey, G. (eds.) </w:t>
      </w:r>
      <w:r w:rsidRPr="0096584D">
        <w:rPr>
          <w:rFonts w:cs="Times-Roman"/>
          <w:i/>
        </w:rPr>
        <w:t xml:space="preserve">Seleucid Dissolution: The Sinking of the Anchor. </w:t>
      </w:r>
      <w:r w:rsidR="004A0CB2" w:rsidRPr="0096584D">
        <w:rPr>
          <w:rFonts w:cs="Times-Roman"/>
        </w:rPr>
        <w:t>Wiesbaden: Harrassowitz Verlag.</w:t>
      </w:r>
    </w:p>
    <w:p w:rsidR="00E046F5" w:rsidRPr="0096584D" w:rsidRDefault="00E046F5" w:rsidP="00AA766F">
      <w:pPr>
        <w:autoSpaceDE w:val="0"/>
        <w:autoSpaceDN w:val="0"/>
        <w:adjustRightInd w:val="0"/>
        <w:spacing w:after="0" w:line="240" w:lineRule="auto"/>
        <w:rPr>
          <w:rFonts w:cs="Times-Roman"/>
        </w:rPr>
      </w:pPr>
    </w:p>
    <w:p w:rsidR="004A0CB2" w:rsidRPr="0096584D" w:rsidRDefault="004A0CB2" w:rsidP="00AA766F">
      <w:pPr>
        <w:autoSpaceDE w:val="0"/>
        <w:autoSpaceDN w:val="0"/>
        <w:adjustRightInd w:val="0"/>
        <w:spacing w:after="0" w:line="240" w:lineRule="auto"/>
        <w:rPr>
          <w:rFonts w:cs="Times-Roman"/>
        </w:rPr>
      </w:pPr>
      <w:r w:rsidRPr="0096584D">
        <w:rPr>
          <w:rFonts w:cs="Times-Roman"/>
        </w:rPr>
        <w:t xml:space="preserve">Erickson, K. (2013) “Seleucus I, Zeus and Alexander” in Mitchell, L and Melville, C (eds.) </w:t>
      </w:r>
      <w:r w:rsidRPr="0096584D">
        <w:rPr>
          <w:rFonts w:cs="Times-Roman"/>
          <w:i/>
        </w:rPr>
        <w:t>Every Inch a King: Comparative Students in Kings and Kingship in Ancient and Medieval Worlds</w:t>
      </w:r>
      <w:r w:rsidRPr="0096584D">
        <w:rPr>
          <w:rFonts w:cs="Times-Roman"/>
        </w:rPr>
        <w:t>. Boston: Brill.</w:t>
      </w:r>
    </w:p>
    <w:p w:rsidR="004A0CB2" w:rsidRPr="0096584D" w:rsidRDefault="004A0CB2" w:rsidP="00AA766F">
      <w:pPr>
        <w:autoSpaceDE w:val="0"/>
        <w:autoSpaceDN w:val="0"/>
        <w:adjustRightInd w:val="0"/>
        <w:spacing w:after="0" w:line="240" w:lineRule="auto"/>
        <w:rPr>
          <w:rFonts w:cs="Times-Roman"/>
        </w:rPr>
      </w:pPr>
    </w:p>
    <w:p w:rsidR="004A0CB2" w:rsidRPr="0096584D" w:rsidRDefault="004A0CB2" w:rsidP="00AA766F">
      <w:pPr>
        <w:autoSpaceDE w:val="0"/>
        <w:autoSpaceDN w:val="0"/>
        <w:adjustRightInd w:val="0"/>
        <w:spacing w:after="0" w:line="240" w:lineRule="auto"/>
        <w:rPr>
          <w:rFonts w:cs="Times-Roman"/>
        </w:rPr>
      </w:pPr>
      <w:r w:rsidRPr="0096584D">
        <w:rPr>
          <w:rFonts w:cs="Times-Roman"/>
        </w:rPr>
        <w:t xml:space="preserve">Erickson, K. (2019) </w:t>
      </w:r>
      <w:r w:rsidRPr="0096584D">
        <w:rPr>
          <w:rFonts w:cs="Times-Roman"/>
          <w:i/>
        </w:rPr>
        <w:t>The Early Seleukids, Their Gods and Their Coins</w:t>
      </w:r>
      <w:r w:rsidRPr="0096584D">
        <w:rPr>
          <w:rFonts w:cs="Times-Roman"/>
        </w:rPr>
        <w:t>. London and New York: Routledge.</w:t>
      </w:r>
    </w:p>
    <w:p w:rsidR="004A0CB2" w:rsidRPr="0096584D" w:rsidRDefault="004A0CB2" w:rsidP="00AA766F">
      <w:pPr>
        <w:autoSpaceDE w:val="0"/>
        <w:autoSpaceDN w:val="0"/>
        <w:adjustRightInd w:val="0"/>
        <w:spacing w:after="0" w:line="240" w:lineRule="auto"/>
        <w:rPr>
          <w:rFonts w:cs="Times-Roman"/>
        </w:rPr>
      </w:pPr>
    </w:p>
    <w:p w:rsidR="00AA766F" w:rsidRPr="0096584D" w:rsidRDefault="00AA766F" w:rsidP="00AA766F">
      <w:pPr>
        <w:autoSpaceDE w:val="0"/>
        <w:autoSpaceDN w:val="0"/>
        <w:adjustRightInd w:val="0"/>
        <w:spacing w:after="0" w:line="240" w:lineRule="auto"/>
        <w:rPr>
          <w:rFonts w:cs="Times-Roman"/>
        </w:rPr>
      </w:pPr>
      <w:r w:rsidRPr="0096584D">
        <w:rPr>
          <w:rFonts w:cs="Times-Roman"/>
        </w:rPr>
        <w:t>Haubold, J. (2013) Greece and Mesopotamia. Cambridge: Cambridge University Press.</w:t>
      </w:r>
    </w:p>
    <w:p w:rsidR="00AA766F" w:rsidRPr="0096584D" w:rsidRDefault="00AA766F" w:rsidP="00AA766F">
      <w:pPr>
        <w:autoSpaceDE w:val="0"/>
        <w:autoSpaceDN w:val="0"/>
        <w:adjustRightInd w:val="0"/>
        <w:spacing w:after="0" w:line="240" w:lineRule="auto"/>
        <w:rPr>
          <w:rFonts w:cs="Times-Roman"/>
        </w:rPr>
      </w:pPr>
    </w:p>
    <w:p w:rsidR="00AA766F" w:rsidRPr="0096584D" w:rsidRDefault="00AA766F" w:rsidP="00AA766F">
      <w:pPr>
        <w:autoSpaceDE w:val="0"/>
        <w:autoSpaceDN w:val="0"/>
        <w:adjustRightInd w:val="0"/>
        <w:spacing w:after="0" w:line="240" w:lineRule="auto"/>
        <w:rPr>
          <w:rFonts w:cs="Times-Roman"/>
        </w:rPr>
      </w:pPr>
      <w:r w:rsidRPr="0096584D">
        <w:rPr>
          <w:rFonts w:cs="Times-Roman"/>
        </w:rPr>
        <w:t>Kosmin, P. (2014) “Seeing Double in Seleucid Babylon: Rereading the Borsippa Cylinder of Antiochus I”, in Moreno, A and Thomas, R (eds.) Patterns of the Past: Epitedeumata in the Greek Tradition. Oxford: Oxford University Press.</w:t>
      </w:r>
    </w:p>
    <w:p w:rsidR="00AA766F" w:rsidRPr="0096584D" w:rsidRDefault="00AA766F" w:rsidP="003130A1">
      <w:pPr>
        <w:autoSpaceDE w:val="0"/>
        <w:autoSpaceDN w:val="0"/>
        <w:adjustRightInd w:val="0"/>
        <w:spacing w:after="0" w:line="240" w:lineRule="auto"/>
        <w:rPr>
          <w:shd w:val="clear" w:color="auto" w:fill="FFFFFF"/>
        </w:rPr>
      </w:pPr>
    </w:p>
    <w:p w:rsidR="00170B35" w:rsidRPr="0096584D" w:rsidRDefault="00913F13" w:rsidP="003130A1">
      <w:pPr>
        <w:autoSpaceDE w:val="0"/>
        <w:autoSpaceDN w:val="0"/>
        <w:adjustRightInd w:val="0"/>
        <w:spacing w:after="0" w:line="240" w:lineRule="auto"/>
        <w:rPr>
          <w:shd w:val="clear" w:color="auto" w:fill="FFFFFF"/>
        </w:rPr>
      </w:pPr>
      <w:r w:rsidRPr="0096584D">
        <w:rPr>
          <w:shd w:val="clear" w:color="auto" w:fill="FFFFFF"/>
        </w:rPr>
        <w:t>Kuhrt, A and Sherwin-White, S.</w:t>
      </w:r>
      <w:r w:rsidRPr="0096584D">
        <w:rPr>
          <w:shd w:val="clear" w:color="auto" w:fill="FFFFFF"/>
        </w:rPr>
        <w:t xml:space="preserve"> </w:t>
      </w:r>
      <w:r w:rsidRPr="0096584D">
        <w:rPr>
          <w:shd w:val="clear" w:color="auto" w:fill="FFFFFF"/>
        </w:rPr>
        <w:t>(1991)</w:t>
      </w:r>
      <w:r w:rsidRPr="0096584D">
        <w:rPr>
          <w:shd w:val="clear" w:color="auto" w:fill="FFFFFF"/>
        </w:rPr>
        <w:t xml:space="preserve"> ASPECTS OF SELEUCID ROYAL IDEOLOGY: THE CYLINDER OF ANTIOCHUS I FROM BORSIPPA. </w:t>
      </w:r>
      <w:r w:rsidRPr="0096584D">
        <w:rPr>
          <w:i/>
          <w:iCs/>
          <w:shd w:val="clear" w:color="auto" w:fill="FFFFFF"/>
        </w:rPr>
        <w:t>Journal of Hellenic Studies</w:t>
      </w:r>
      <w:r w:rsidRPr="0096584D">
        <w:rPr>
          <w:shd w:val="clear" w:color="auto" w:fill="FFFFFF"/>
        </w:rPr>
        <w:t>, 111, pp.71–87.</w:t>
      </w:r>
    </w:p>
    <w:p w:rsidR="00913F13" w:rsidRPr="0096584D" w:rsidRDefault="00913F13" w:rsidP="003130A1">
      <w:pPr>
        <w:autoSpaceDE w:val="0"/>
        <w:autoSpaceDN w:val="0"/>
        <w:adjustRightInd w:val="0"/>
        <w:spacing w:after="0" w:line="240" w:lineRule="auto"/>
        <w:rPr>
          <w:rFonts w:cs="Times-Roman"/>
        </w:rPr>
      </w:pPr>
    </w:p>
    <w:p w:rsidR="00BD0AB1" w:rsidRPr="0096584D" w:rsidRDefault="00BD0AB1" w:rsidP="003130A1">
      <w:pPr>
        <w:autoSpaceDE w:val="0"/>
        <w:autoSpaceDN w:val="0"/>
        <w:adjustRightInd w:val="0"/>
        <w:spacing w:after="0" w:line="240" w:lineRule="auto"/>
        <w:rPr>
          <w:rFonts w:cs="Times-Roman"/>
        </w:rPr>
      </w:pPr>
    </w:p>
    <w:p w:rsidR="00BD0AB1" w:rsidRPr="0096584D" w:rsidRDefault="0031351D" w:rsidP="00BD0AB1">
      <w:pPr>
        <w:autoSpaceDE w:val="0"/>
        <w:autoSpaceDN w:val="0"/>
        <w:adjustRightInd w:val="0"/>
        <w:spacing w:after="0" w:line="240" w:lineRule="auto"/>
      </w:pPr>
      <w:r w:rsidRPr="0096584D">
        <w:rPr>
          <w:rFonts w:cs="F18"/>
        </w:rPr>
        <w:t>Stevens, K.</w:t>
      </w:r>
      <w:r w:rsidR="00BD0AB1" w:rsidRPr="0096584D">
        <w:rPr>
          <w:rFonts w:cs="F18"/>
        </w:rPr>
        <w:t xml:space="preserve"> (2014) 'The Antiochus Cylinder, Babylonian scholarship an</w:t>
      </w:r>
      <w:r w:rsidR="00BD0AB1" w:rsidRPr="0096584D">
        <w:rPr>
          <w:rFonts w:cs="F18"/>
        </w:rPr>
        <w:t>d Seleucid imperial ideology.</w:t>
      </w:r>
      <w:r w:rsidRPr="0096584D">
        <w:rPr>
          <w:rFonts w:cs="F18"/>
          <w:i/>
        </w:rPr>
        <w:t xml:space="preserve">’Journal of Hellenic Studies </w:t>
      </w:r>
      <w:r w:rsidRPr="0096584D">
        <w:rPr>
          <w:rFonts w:cs="F18"/>
        </w:rPr>
        <w:t xml:space="preserve">134, </w:t>
      </w:r>
      <w:r w:rsidR="00BD0AB1" w:rsidRPr="0096584D">
        <w:rPr>
          <w:rFonts w:cs="F18"/>
        </w:rPr>
        <w:t>pp. 66-88.</w:t>
      </w:r>
      <w:r w:rsidRPr="0096584D">
        <w:rPr>
          <w:rFonts w:cs="F18"/>
        </w:rPr>
        <w:t xml:space="preserve"> </w:t>
      </w:r>
      <w:hyperlink r:id="rId7" w:history="1">
        <w:r w:rsidRPr="0096584D">
          <w:rPr>
            <w:rStyle w:val="Hyperlink"/>
            <w:color w:val="auto"/>
          </w:rPr>
          <w:t>http://dro.dur.ac.uk/15105/</w:t>
        </w:r>
      </w:hyperlink>
      <w:r w:rsidRPr="0096584D">
        <w:t xml:space="preserve"> (Accessed 24 May 2019).</w:t>
      </w:r>
    </w:p>
    <w:p w:rsidR="0096584D" w:rsidRPr="0096584D" w:rsidRDefault="0096584D" w:rsidP="00BD0AB1">
      <w:pPr>
        <w:autoSpaceDE w:val="0"/>
        <w:autoSpaceDN w:val="0"/>
        <w:adjustRightInd w:val="0"/>
        <w:spacing w:after="0" w:line="240" w:lineRule="auto"/>
      </w:pPr>
    </w:p>
    <w:p w:rsidR="0096584D" w:rsidRPr="0096584D" w:rsidRDefault="0096584D" w:rsidP="00BD0AB1">
      <w:pPr>
        <w:autoSpaceDE w:val="0"/>
        <w:autoSpaceDN w:val="0"/>
        <w:adjustRightInd w:val="0"/>
        <w:spacing w:after="0" w:line="240" w:lineRule="auto"/>
        <w:rPr>
          <w:rFonts w:cs="F18"/>
        </w:rPr>
      </w:pPr>
      <w:r w:rsidRPr="0096584D">
        <w:rPr>
          <w:shd w:val="clear" w:color="auto" w:fill="FFFFFF"/>
        </w:rPr>
        <w:t>Walbank, F.W. (1992)</w:t>
      </w:r>
      <w:r w:rsidRPr="0096584D">
        <w:rPr>
          <w:shd w:val="clear" w:color="auto" w:fill="FFFFFF"/>
        </w:rPr>
        <w:t> </w:t>
      </w:r>
      <w:r w:rsidRPr="0096584D">
        <w:rPr>
          <w:i/>
          <w:iCs/>
          <w:shd w:val="clear" w:color="auto" w:fill="FFFFFF"/>
        </w:rPr>
        <w:t>The Hellenistic World</w:t>
      </w:r>
      <w:r w:rsidRPr="0096584D">
        <w:rPr>
          <w:iCs/>
          <w:shd w:val="clear" w:color="auto" w:fill="FFFFFF"/>
        </w:rPr>
        <w:t>.</w:t>
      </w:r>
      <w:r w:rsidRPr="0096584D">
        <w:rPr>
          <w:shd w:val="clear" w:color="auto" w:fill="FFFFFF"/>
        </w:rPr>
        <w:t xml:space="preserve"> London: Fontana.</w:t>
      </w:r>
    </w:p>
    <w:sectPr w:rsidR="0096584D" w:rsidRPr="0096584D" w:rsidSect="0026194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7E39" w:rsidRDefault="005F7E39" w:rsidP="005416E2">
      <w:pPr>
        <w:spacing w:after="0" w:line="240" w:lineRule="auto"/>
      </w:pPr>
      <w:r>
        <w:separator/>
      </w:r>
    </w:p>
  </w:endnote>
  <w:endnote w:type="continuationSeparator" w:id="0">
    <w:p w:rsidR="005F7E39" w:rsidRDefault="005F7E39" w:rsidP="00541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BemboStd-Italic">
    <w:panose1 w:val="00000000000000000000"/>
    <w:charset w:val="00"/>
    <w:family w:val="roman"/>
    <w:notTrueType/>
    <w:pitch w:val="default"/>
    <w:sig w:usb0="00000003" w:usb1="00000000" w:usb2="00000000" w:usb3="00000000" w:csb0="00000001" w:csb1="00000000"/>
  </w:font>
  <w:font w:name="TimesNewRoman">
    <w:panose1 w:val="00000000000000000000"/>
    <w:charset w:val="00"/>
    <w:family w:val="auto"/>
    <w:notTrueType/>
    <w:pitch w:val="default"/>
    <w:sig w:usb0="00000003" w:usb1="00000000" w:usb2="00000000" w:usb3="00000000" w:csb0="00000001" w:csb1="00000000"/>
  </w:font>
  <w:font w:name="TimesNewRoman,Italic">
    <w:altName w:val="Times New Roman"/>
    <w:panose1 w:val="00000000000000000000"/>
    <w:charset w:val="EE"/>
    <w:family w:val="auto"/>
    <w:notTrueType/>
    <w:pitch w:val="default"/>
    <w:sig w:usb0="00000005" w:usb1="00000000" w:usb2="00000000" w:usb3="00000000" w:csb0="00000002" w:csb1="00000000"/>
  </w:font>
  <w:font w:name="MinionPro-Regular">
    <w:altName w:val="Times New Roman"/>
    <w:panose1 w:val="00000000000000000000"/>
    <w:charset w:val="A1"/>
    <w:family w:val="roman"/>
    <w:notTrueType/>
    <w:pitch w:val="default"/>
    <w:sig w:usb0="00000081" w:usb1="00000000" w:usb2="00000000" w:usb3="00000000" w:csb0="00000008" w:csb1="00000000"/>
  </w:font>
  <w:font w:name="Arial">
    <w:panose1 w:val="020B0604020202020204"/>
    <w:charset w:val="00"/>
    <w:family w:val="swiss"/>
    <w:pitch w:val="variable"/>
    <w:sig w:usb0="E0002AFF" w:usb1="C0007843" w:usb2="00000009" w:usb3="00000000" w:csb0="000001FF" w:csb1="00000000"/>
  </w:font>
  <w:font w:name="Times-Roman">
    <w:altName w:val="MS Gothic"/>
    <w:panose1 w:val="00000000000000000000"/>
    <w:charset w:val="00"/>
    <w:family w:val="swiss"/>
    <w:notTrueType/>
    <w:pitch w:val="default"/>
    <w:sig w:usb0="00000003" w:usb1="08070000" w:usb2="00000010" w:usb3="00000000" w:csb0="00020001" w:csb1="00000000"/>
  </w:font>
  <w:font w:name="MinionPro-It">
    <w:altName w:val="Times New Roman"/>
    <w:panose1 w:val="00000000000000000000"/>
    <w:charset w:val="A1"/>
    <w:family w:val="roman"/>
    <w:notTrueType/>
    <w:pitch w:val="default"/>
    <w:sig w:usb0="00000081" w:usb1="00000000" w:usb2="00000000" w:usb3="00000000" w:csb0="00000008" w:csb1="00000000"/>
  </w:font>
  <w:font w:name="F18">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7E39" w:rsidRDefault="005F7E39" w:rsidP="005416E2">
      <w:pPr>
        <w:spacing w:after="0" w:line="240" w:lineRule="auto"/>
      </w:pPr>
      <w:r>
        <w:separator/>
      </w:r>
    </w:p>
  </w:footnote>
  <w:footnote w:type="continuationSeparator" w:id="0">
    <w:p w:rsidR="005F7E39" w:rsidRDefault="005F7E39" w:rsidP="005416E2">
      <w:pPr>
        <w:spacing w:after="0" w:line="240" w:lineRule="auto"/>
      </w:pPr>
      <w:r>
        <w:continuationSeparator/>
      </w:r>
    </w:p>
  </w:footnote>
  <w:footnote w:id="1">
    <w:p w:rsidR="00362DDC" w:rsidRDefault="00362DDC">
      <w:pPr>
        <w:pStyle w:val="FootnoteText"/>
      </w:pPr>
      <w:r>
        <w:rPr>
          <w:rStyle w:val="FootnoteReference"/>
        </w:rPr>
        <w:footnoteRef/>
      </w:r>
      <w:r>
        <w:t xml:space="preserve"> Sherwin-White 1991: 72. </w:t>
      </w:r>
    </w:p>
  </w:footnote>
  <w:footnote w:id="2">
    <w:p w:rsidR="00FF5CEF" w:rsidRDefault="00FF5CEF" w:rsidP="00FF5CEF">
      <w:pPr>
        <w:pStyle w:val="FootnoteText"/>
      </w:pPr>
      <w:r>
        <w:rPr>
          <w:rStyle w:val="FootnoteReference"/>
        </w:rPr>
        <w:footnoteRef/>
      </w:r>
      <w:r>
        <w:t xml:space="preserve"> Van der Spek, 2009: 107. </w:t>
      </w:r>
    </w:p>
  </w:footnote>
  <w:footnote w:id="3">
    <w:p w:rsidR="00362DDC" w:rsidRDefault="00362DDC">
      <w:pPr>
        <w:pStyle w:val="FootnoteText"/>
      </w:pPr>
      <w:r>
        <w:rPr>
          <w:rStyle w:val="FootnoteReference"/>
        </w:rPr>
        <w:footnoteRef/>
      </w:r>
      <w:r>
        <w:t xml:space="preserve"> Erikson, 2011: 53.</w:t>
      </w:r>
    </w:p>
  </w:footnote>
  <w:footnote w:id="4">
    <w:p w:rsidR="00362DDC" w:rsidRDefault="00362DDC" w:rsidP="00A6094A">
      <w:pPr>
        <w:pStyle w:val="FootnoteText"/>
      </w:pPr>
      <w:r>
        <w:rPr>
          <w:rStyle w:val="FootnoteReference"/>
        </w:rPr>
        <w:footnoteRef/>
      </w:r>
      <w:r>
        <w:t xml:space="preserve"> Somer 2000: 85</w:t>
      </w:r>
    </w:p>
  </w:footnote>
  <w:footnote w:id="5">
    <w:p w:rsidR="00362DDC" w:rsidRDefault="00362DDC">
      <w:pPr>
        <w:pStyle w:val="FootnoteText"/>
      </w:pPr>
      <w:r>
        <w:rPr>
          <w:rStyle w:val="FootnoteReference"/>
        </w:rPr>
        <w:footnoteRef/>
      </w:r>
      <w:r>
        <w:t xml:space="preserve"> Sherwin-White 1991: 71-86.</w:t>
      </w:r>
    </w:p>
  </w:footnote>
  <w:footnote w:id="6">
    <w:p w:rsidR="00362DDC" w:rsidRDefault="00362DDC">
      <w:pPr>
        <w:pStyle w:val="FootnoteText"/>
      </w:pPr>
      <w:r>
        <w:rPr>
          <w:rStyle w:val="FootnoteReference"/>
        </w:rPr>
        <w:footnoteRef/>
      </w:r>
      <w:r>
        <w:t xml:space="preserve"> Anagnostou-Laoutides 2016: 149.</w:t>
      </w:r>
    </w:p>
  </w:footnote>
  <w:footnote w:id="7">
    <w:p w:rsidR="00362DDC" w:rsidRDefault="00362DDC">
      <w:pPr>
        <w:pStyle w:val="FootnoteText"/>
      </w:pPr>
      <w:r>
        <w:rPr>
          <w:rStyle w:val="FootnoteReference"/>
        </w:rPr>
        <w:footnoteRef/>
      </w:r>
      <w:r>
        <w:t xml:space="preserve"> </w:t>
      </w:r>
      <w:r>
        <w:rPr>
          <w:color w:val="000000"/>
          <w:shd w:val="clear" w:color="auto" w:fill="FFFFFF"/>
        </w:rPr>
        <w:t>Walbank 1992:</w:t>
      </w:r>
      <w:r w:rsidRPr="009D0DCD">
        <w:rPr>
          <w:color w:val="000000"/>
          <w:shd w:val="clear" w:color="auto" w:fill="FFFFFF"/>
        </w:rPr>
        <w:t xml:space="preserve"> 210</w:t>
      </w:r>
    </w:p>
  </w:footnote>
  <w:footnote w:id="8">
    <w:p w:rsidR="00362DDC" w:rsidRDefault="00362DDC">
      <w:pPr>
        <w:pStyle w:val="FootnoteText"/>
      </w:pPr>
      <w:r>
        <w:rPr>
          <w:rStyle w:val="FootnoteReference"/>
        </w:rPr>
        <w:footnoteRef/>
      </w:r>
      <w:r>
        <w:t xml:space="preserve"> Anagnostou-Laoutides 2013: 55.</w:t>
      </w:r>
    </w:p>
  </w:footnote>
  <w:footnote w:id="9">
    <w:p w:rsidR="00362DDC" w:rsidRDefault="00362DDC">
      <w:pPr>
        <w:pStyle w:val="FootnoteText"/>
      </w:pPr>
      <w:r>
        <w:rPr>
          <w:rStyle w:val="FootnoteReference"/>
        </w:rPr>
        <w:footnoteRef/>
      </w:r>
      <w:r>
        <w:t xml:space="preserve"> Dignas 2002: 38-39.</w:t>
      </w:r>
    </w:p>
  </w:footnote>
  <w:footnote w:id="10">
    <w:p w:rsidR="00362DDC" w:rsidRDefault="00362DDC">
      <w:pPr>
        <w:pStyle w:val="FootnoteText"/>
      </w:pPr>
      <w:r>
        <w:rPr>
          <w:rStyle w:val="FootnoteReference"/>
        </w:rPr>
        <w:footnoteRef/>
      </w:r>
      <w:r>
        <w:t xml:space="preserve"> Anagnostou-Laoutides 2016: 149. </w:t>
      </w:r>
    </w:p>
  </w:footnote>
  <w:footnote w:id="11">
    <w:p w:rsidR="00362DDC" w:rsidRDefault="00362DDC">
      <w:pPr>
        <w:pStyle w:val="FootnoteText"/>
      </w:pPr>
      <w:r>
        <w:rPr>
          <w:rStyle w:val="FootnoteReference"/>
        </w:rPr>
        <w:footnoteRef/>
      </w:r>
      <w:r>
        <w:t xml:space="preserve"> Sherwin-White 1987: 9.</w:t>
      </w:r>
    </w:p>
  </w:footnote>
  <w:footnote w:id="12">
    <w:p w:rsidR="00362DDC" w:rsidRDefault="00362DDC">
      <w:pPr>
        <w:pStyle w:val="FootnoteText"/>
      </w:pPr>
      <w:r>
        <w:rPr>
          <w:rStyle w:val="FootnoteReference"/>
        </w:rPr>
        <w:footnoteRef/>
      </w:r>
      <w:r>
        <w:t xml:space="preserve"> Sherwin-White 1991: 72.</w:t>
      </w:r>
    </w:p>
  </w:footnote>
  <w:footnote w:id="13">
    <w:p w:rsidR="00362DDC" w:rsidRDefault="00362DDC">
      <w:pPr>
        <w:pStyle w:val="FootnoteText"/>
      </w:pPr>
      <w:r>
        <w:rPr>
          <w:rStyle w:val="FootnoteReference"/>
        </w:rPr>
        <w:footnoteRef/>
      </w:r>
      <w:r>
        <w:t xml:space="preserve"> Sherwin-White 1991: 71-86.</w:t>
      </w:r>
    </w:p>
  </w:footnote>
  <w:footnote w:id="14">
    <w:p w:rsidR="00362DDC" w:rsidRDefault="00362DDC" w:rsidP="0041386D">
      <w:pPr>
        <w:pStyle w:val="FootnoteText"/>
      </w:pPr>
      <w:r>
        <w:rPr>
          <w:rStyle w:val="FootnoteReference"/>
        </w:rPr>
        <w:footnoteRef/>
      </w:r>
      <w:r>
        <w:t xml:space="preserve"> Sherwin-White 1991: 74.</w:t>
      </w:r>
    </w:p>
  </w:footnote>
  <w:footnote w:id="15">
    <w:p w:rsidR="00362DDC" w:rsidRDefault="00362DDC">
      <w:pPr>
        <w:pStyle w:val="FootnoteText"/>
      </w:pPr>
      <w:r>
        <w:rPr>
          <w:rStyle w:val="FootnoteReference"/>
        </w:rPr>
        <w:footnoteRef/>
      </w:r>
      <w:r>
        <w:t xml:space="preserve"> Kosmin 2014: 176.</w:t>
      </w:r>
    </w:p>
  </w:footnote>
  <w:footnote w:id="16">
    <w:p w:rsidR="00362DDC" w:rsidRDefault="00362DDC">
      <w:pPr>
        <w:pStyle w:val="FootnoteText"/>
      </w:pPr>
      <w:r>
        <w:rPr>
          <w:rStyle w:val="FootnoteReference"/>
        </w:rPr>
        <w:footnoteRef/>
      </w:r>
      <w:r>
        <w:t xml:space="preserve"> Sherwin-White 1991: 83.</w:t>
      </w:r>
    </w:p>
  </w:footnote>
  <w:footnote w:id="17">
    <w:p w:rsidR="00362DDC" w:rsidRDefault="00362DDC">
      <w:pPr>
        <w:pStyle w:val="FootnoteText"/>
      </w:pPr>
      <w:r>
        <w:rPr>
          <w:rStyle w:val="FootnoteReference"/>
        </w:rPr>
        <w:footnoteRef/>
      </w:r>
      <w:r>
        <w:t xml:space="preserve"> Stevens 2015: 1. </w:t>
      </w:r>
    </w:p>
  </w:footnote>
  <w:footnote w:id="18">
    <w:p w:rsidR="00362DDC" w:rsidRDefault="00362DDC">
      <w:pPr>
        <w:pStyle w:val="FootnoteText"/>
      </w:pPr>
      <w:r>
        <w:rPr>
          <w:rStyle w:val="FootnoteReference"/>
        </w:rPr>
        <w:footnoteRef/>
      </w:r>
      <w:r>
        <w:t xml:space="preserve"> Haubold 2013: 141.</w:t>
      </w:r>
    </w:p>
  </w:footnote>
  <w:footnote w:id="19">
    <w:p w:rsidR="00362DDC" w:rsidRDefault="00362DDC">
      <w:pPr>
        <w:pStyle w:val="FootnoteText"/>
      </w:pPr>
      <w:r>
        <w:rPr>
          <w:rStyle w:val="FootnoteReference"/>
        </w:rPr>
        <w:footnoteRef/>
      </w:r>
      <w:r>
        <w:t xml:space="preserve"> Kosmin 2014: 176.</w:t>
      </w:r>
    </w:p>
  </w:footnote>
  <w:footnote w:id="20">
    <w:p w:rsidR="00362DDC" w:rsidRDefault="00362DDC">
      <w:pPr>
        <w:pStyle w:val="FootnoteText"/>
      </w:pPr>
      <w:r>
        <w:rPr>
          <w:rStyle w:val="FootnoteReference"/>
        </w:rPr>
        <w:footnoteRef/>
      </w:r>
      <w:r>
        <w:t xml:space="preserve"> Stevens 2015: 66-88.</w:t>
      </w:r>
    </w:p>
  </w:footnote>
  <w:footnote w:id="21">
    <w:p w:rsidR="00362DDC" w:rsidRDefault="00362DDC" w:rsidP="00FA769E">
      <w:pPr>
        <w:pStyle w:val="FootnoteText"/>
      </w:pPr>
      <w:r>
        <w:rPr>
          <w:rStyle w:val="FootnoteReference"/>
        </w:rPr>
        <w:footnoteRef/>
      </w:r>
      <w:r>
        <w:t xml:space="preserve"> Sherwin-White 1991: 80.</w:t>
      </w:r>
    </w:p>
  </w:footnote>
  <w:footnote w:id="22">
    <w:p w:rsidR="00362DDC" w:rsidRDefault="00362DDC">
      <w:pPr>
        <w:pStyle w:val="FootnoteText"/>
      </w:pPr>
      <w:r>
        <w:rPr>
          <w:rStyle w:val="FootnoteReference"/>
        </w:rPr>
        <w:footnoteRef/>
      </w:r>
      <w:r>
        <w:t xml:space="preserve"> Sherwin-White 1991: 80.</w:t>
      </w:r>
    </w:p>
  </w:footnote>
  <w:footnote w:id="23">
    <w:p w:rsidR="00362DDC" w:rsidRDefault="00362DDC">
      <w:pPr>
        <w:pStyle w:val="FootnoteText"/>
      </w:pPr>
      <w:r>
        <w:rPr>
          <w:rStyle w:val="FootnoteReference"/>
        </w:rPr>
        <w:footnoteRef/>
      </w:r>
      <w:r>
        <w:t xml:space="preserve"> Stevens 2015: 20.</w:t>
      </w:r>
    </w:p>
  </w:footnote>
  <w:footnote w:id="24">
    <w:p w:rsidR="00362DDC" w:rsidRDefault="00362DDC">
      <w:pPr>
        <w:pStyle w:val="FootnoteText"/>
      </w:pPr>
      <w:r>
        <w:rPr>
          <w:rStyle w:val="FootnoteReference"/>
        </w:rPr>
        <w:footnoteRef/>
      </w:r>
      <w:r>
        <w:t xml:space="preserve"> Sherwin-White 1991: 79-80.</w:t>
      </w:r>
    </w:p>
  </w:footnote>
  <w:footnote w:id="25">
    <w:p w:rsidR="00362DDC" w:rsidRDefault="00362DDC">
      <w:pPr>
        <w:pStyle w:val="FootnoteText"/>
      </w:pPr>
      <w:r>
        <w:rPr>
          <w:rStyle w:val="FootnoteReference"/>
        </w:rPr>
        <w:footnoteRef/>
      </w:r>
      <w:r>
        <w:t xml:space="preserve"> Kosmin 2014: 183.</w:t>
      </w:r>
    </w:p>
  </w:footnote>
  <w:footnote w:id="26">
    <w:p w:rsidR="00362DDC" w:rsidRDefault="00362DDC">
      <w:pPr>
        <w:pStyle w:val="FootnoteText"/>
      </w:pPr>
      <w:r>
        <w:rPr>
          <w:rStyle w:val="FootnoteReference"/>
        </w:rPr>
        <w:footnoteRef/>
      </w:r>
      <w:r>
        <w:t xml:space="preserve"> Kosmin 2014: 183.</w:t>
      </w:r>
    </w:p>
  </w:footnote>
  <w:footnote w:id="27">
    <w:p w:rsidR="00362DDC" w:rsidRDefault="00362DDC">
      <w:pPr>
        <w:pStyle w:val="FootnoteText"/>
      </w:pPr>
      <w:r>
        <w:rPr>
          <w:rStyle w:val="FootnoteReference"/>
        </w:rPr>
        <w:footnoteRef/>
      </w:r>
      <w:r>
        <w:t xml:space="preserve"> Stevens 2015: 66-88.</w:t>
      </w:r>
    </w:p>
  </w:footnote>
  <w:footnote w:id="28">
    <w:p w:rsidR="00362DDC" w:rsidRDefault="00362DDC">
      <w:pPr>
        <w:pStyle w:val="FootnoteText"/>
      </w:pPr>
      <w:r>
        <w:rPr>
          <w:rStyle w:val="FootnoteReference"/>
        </w:rPr>
        <w:footnoteRef/>
      </w:r>
      <w:r>
        <w:t xml:space="preserve"> Sherwin-White 1991: 79.</w:t>
      </w:r>
    </w:p>
  </w:footnote>
  <w:footnote w:id="29">
    <w:p w:rsidR="00362DDC" w:rsidRDefault="00362DDC">
      <w:pPr>
        <w:pStyle w:val="FootnoteText"/>
      </w:pPr>
      <w:r>
        <w:rPr>
          <w:rStyle w:val="FootnoteReference"/>
        </w:rPr>
        <w:footnoteRef/>
      </w:r>
      <w:r>
        <w:t xml:space="preserve"> Stevens 2015:9.</w:t>
      </w:r>
    </w:p>
  </w:footnote>
  <w:footnote w:id="30">
    <w:p w:rsidR="00362DDC" w:rsidRDefault="00362DDC" w:rsidP="00387EDF">
      <w:pPr>
        <w:pStyle w:val="FootnoteText"/>
      </w:pPr>
      <w:r>
        <w:rPr>
          <w:rStyle w:val="FootnoteReference"/>
        </w:rPr>
        <w:footnoteRef/>
      </w:r>
      <w:r>
        <w:t xml:space="preserve"> Stevens 2015: 11.</w:t>
      </w:r>
    </w:p>
  </w:footnote>
  <w:footnote w:id="31">
    <w:p w:rsidR="00362DDC" w:rsidRDefault="00362DDC">
      <w:pPr>
        <w:pStyle w:val="FootnoteText"/>
      </w:pPr>
      <w:r>
        <w:rPr>
          <w:rStyle w:val="FootnoteReference"/>
        </w:rPr>
        <w:footnoteRef/>
      </w:r>
      <w:r>
        <w:t xml:space="preserve"> Kosmin 2014: 189.</w:t>
      </w:r>
    </w:p>
  </w:footnote>
  <w:footnote w:id="32">
    <w:p w:rsidR="00661C6C" w:rsidRDefault="00661C6C" w:rsidP="00661C6C">
      <w:pPr>
        <w:pStyle w:val="FootnoteText"/>
      </w:pPr>
      <w:r>
        <w:rPr>
          <w:rStyle w:val="FootnoteReference"/>
        </w:rPr>
        <w:footnoteRef/>
      </w:r>
      <w:r>
        <w:t xml:space="preserve"> Kosmin 2014: 192.</w:t>
      </w:r>
    </w:p>
  </w:footnote>
  <w:footnote w:id="33">
    <w:p w:rsidR="009C455E" w:rsidRDefault="009C455E">
      <w:pPr>
        <w:pStyle w:val="FootnoteText"/>
      </w:pPr>
      <w:r>
        <w:rPr>
          <w:rStyle w:val="FootnoteReference"/>
        </w:rPr>
        <w:footnoteRef/>
      </w:r>
      <w:r>
        <w:t xml:space="preserve"> Kosmin 2014: 190.</w:t>
      </w:r>
    </w:p>
  </w:footnote>
  <w:footnote w:id="34">
    <w:p w:rsidR="008A1E1F" w:rsidRDefault="008A1E1F">
      <w:pPr>
        <w:pStyle w:val="FootnoteText"/>
      </w:pPr>
      <w:r>
        <w:rPr>
          <w:rStyle w:val="FootnoteReference"/>
        </w:rPr>
        <w:footnoteRef/>
      </w:r>
      <w:r>
        <w:t xml:space="preserve"> Kosmin 2014 190.</w:t>
      </w:r>
    </w:p>
  </w:footnote>
  <w:footnote w:id="35">
    <w:p w:rsidR="00854508" w:rsidRDefault="00854508">
      <w:pPr>
        <w:pStyle w:val="FootnoteText"/>
      </w:pPr>
      <w:r>
        <w:rPr>
          <w:rStyle w:val="FootnoteReference"/>
        </w:rPr>
        <w:footnoteRef/>
      </w:r>
      <w:r>
        <w:t xml:space="preserve"> Haubold 2013: 136</w:t>
      </w:r>
    </w:p>
  </w:footnote>
  <w:footnote w:id="36">
    <w:p w:rsidR="009E39DF" w:rsidRDefault="009E39DF">
      <w:pPr>
        <w:pStyle w:val="FootnoteText"/>
      </w:pPr>
      <w:r>
        <w:rPr>
          <w:rStyle w:val="FootnoteReference"/>
        </w:rPr>
        <w:footnoteRef/>
      </w:r>
      <w:r>
        <w:t xml:space="preserve"> Stevens 2015: </w:t>
      </w:r>
      <w:r w:rsidR="00385558">
        <w:t>11.</w:t>
      </w:r>
    </w:p>
  </w:footnote>
  <w:footnote w:id="37">
    <w:p w:rsidR="00362DDC" w:rsidRDefault="00362DDC">
      <w:pPr>
        <w:pStyle w:val="FootnoteText"/>
      </w:pPr>
      <w:r>
        <w:rPr>
          <w:rStyle w:val="FootnoteReference"/>
        </w:rPr>
        <w:footnoteRef/>
      </w:r>
      <w:r>
        <w:t xml:space="preserve"> Stevens 2015: 15. Sherwin-White 1991: 79.</w:t>
      </w:r>
    </w:p>
  </w:footnote>
  <w:footnote w:id="38">
    <w:p w:rsidR="00E13719" w:rsidRDefault="00E13719">
      <w:pPr>
        <w:pStyle w:val="FootnoteText"/>
      </w:pPr>
      <w:r>
        <w:rPr>
          <w:rStyle w:val="FootnoteReference"/>
        </w:rPr>
        <w:footnoteRef/>
      </w:r>
      <w:r>
        <w:t xml:space="preserve"> Stevens 2015: 4.</w:t>
      </w:r>
    </w:p>
  </w:footnote>
  <w:footnote w:id="39">
    <w:p w:rsidR="00362DDC" w:rsidRDefault="00362DDC">
      <w:pPr>
        <w:pStyle w:val="FootnoteText"/>
      </w:pPr>
      <w:r>
        <w:rPr>
          <w:rStyle w:val="FootnoteReference"/>
        </w:rPr>
        <w:footnoteRef/>
      </w:r>
      <w:r>
        <w:t xml:space="preserve"> Stevens 2015: 15.</w:t>
      </w:r>
    </w:p>
  </w:footnote>
  <w:footnote w:id="40">
    <w:p w:rsidR="00362DDC" w:rsidRDefault="00362DDC" w:rsidP="00BF53E2">
      <w:pPr>
        <w:pStyle w:val="FootnoteText"/>
      </w:pPr>
      <w:r>
        <w:rPr>
          <w:rStyle w:val="FootnoteReference"/>
        </w:rPr>
        <w:footnoteRef/>
      </w:r>
      <w:r>
        <w:t xml:space="preserve"> Stevens 2015: 20.</w:t>
      </w:r>
    </w:p>
  </w:footnote>
  <w:footnote w:id="41">
    <w:p w:rsidR="00362DDC" w:rsidRDefault="00362DDC">
      <w:pPr>
        <w:pStyle w:val="FootnoteText"/>
      </w:pPr>
      <w:r>
        <w:rPr>
          <w:rStyle w:val="FootnoteReference"/>
        </w:rPr>
        <w:footnoteRef/>
      </w:r>
      <w:r>
        <w:t xml:space="preserve"> Stevens 2015: 21.</w:t>
      </w:r>
    </w:p>
  </w:footnote>
  <w:footnote w:id="42">
    <w:p w:rsidR="00362DDC" w:rsidRDefault="00362DDC" w:rsidP="00632B6C">
      <w:pPr>
        <w:pStyle w:val="FootnoteText"/>
      </w:pPr>
      <w:r>
        <w:rPr>
          <w:rStyle w:val="FootnoteReference"/>
        </w:rPr>
        <w:footnoteRef/>
      </w:r>
      <w:r>
        <w:t xml:space="preserve"> Anagnostou-Laoutides 2016: 150.</w:t>
      </w:r>
    </w:p>
  </w:footnote>
  <w:footnote w:id="43">
    <w:p w:rsidR="00362DDC" w:rsidRDefault="00362DDC" w:rsidP="00632B6C">
      <w:pPr>
        <w:pStyle w:val="FootnoteText"/>
      </w:pPr>
      <w:r>
        <w:rPr>
          <w:rStyle w:val="FootnoteReference"/>
        </w:rPr>
        <w:footnoteRef/>
      </w:r>
      <w:r>
        <w:t xml:space="preserve"> Erikson 2011: 52</w:t>
      </w:r>
    </w:p>
  </w:footnote>
  <w:footnote w:id="44">
    <w:p w:rsidR="00362DDC" w:rsidRDefault="00362DDC" w:rsidP="00632B6C">
      <w:pPr>
        <w:pStyle w:val="FootnoteText"/>
      </w:pPr>
      <w:r>
        <w:rPr>
          <w:rStyle w:val="FootnoteReference"/>
        </w:rPr>
        <w:footnoteRef/>
      </w:r>
      <w:r>
        <w:t xml:space="preserve"> Erickson 2012: 121. </w:t>
      </w:r>
    </w:p>
  </w:footnote>
  <w:footnote w:id="45">
    <w:p w:rsidR="00362DDC" w:rsidRDefault="00362DDC" w:rsidP="00632B6C">
      <w:pPr>
        <w:pStyle w:val="FootnoteText"/>
      </w:pPr>
      <w:r>
        <w:rPr>
          <w:rStyle w:val="FootnoteReference"/>
        </w:rPr>
        <w:footnoteRef/>
      </w:r>
      <w:r>
        <w:t xml:space="preserve"> Erikson 2019: 68.</w:t>
      </w:r>
    </w:p>
  </w:footnote>
  <w:footnote w:id="46">
    <w:p w:rsidR="00362DDC" w:rsidRDefault="00362DDC">
      <w:pPr>
        <w:pStyle w:val="FootnoteText"/>
      </w:pPr>
      <w:r>
        <w:rPr>
          <w:rStyle w:val="FootnoteReference"/>
        </w:rPr>
        <w:footnoteRef/>
      </w:r>
      <w:r>
        <w:t xml:space="preserve"> Kosmin 2014: 177. </w:t>
      </w:r>
    </w:p>
  </w:footnote>
  <w:footnote w:id="47">
    <w:p w:rsidR="00D02C68" w:rsidRDefault="00D02C68">
      <w:pPr>
        <w:pStyle w:val="FootnoteText"/>
      </w:pPr>
      <w:r>
        <w:rPr>
          <w:rStyle w:val="FootnoteReference"/>
        </w:rPr>
        <w:footnoteRef/>
      </w:r>
      <w:r>
        <w:t xml:space="preserve"> Haubold 2013: 140.</w:t>
      </w:r>
    </w:p>
  </w:footnote>
  <w:footnote w:id="48">
    <w:p w:rsidR="00545060" w:rsidRDefault="00545060" w:rsidP="00545060">
      <w:pPr>
        <w:pStyle w:val="FootnoteText"/>
      </w:pPr>
      <w:r>
        <w:rPr>
          <w:rStyle w:val="FootnoteReference"/>
        </w:rPr>
        <w:footnoteRef/>
      </w:r>
      <w:r>
        <w:t xml:space="preserve"> Haubold </w:t>
      </w:r>
      <w:r w:rsidR="00D02C68">
        <w:t xml:space="preserve">2013: </w:t>
      </w:r>
      <w:r>
        <w:t>137.</w:t>
      </w:r>
    </w:p>
  </w:footnote>
  <w:footnote w:id="49">
    <w:p w:rsidR="00C80315" w:rsidRDefault="00C80315">
      <w:pPr>
        <w:pStyle w:val="FootnoteText"/>
      </w:pPr>
      <w:r>
        <w:rPr>
          <w:rStyle w:val="FootnoteReference"/>
        </w:rPr>
        <w:footnoteRef/>
      </w:r>
      <w:r>
        <w:t xml:space="preserve"> Stevens 2015: 13.</w:t>
      </w:r>
    </w:p>
  </w:footnote>
  <w:footnote w:id="50">
    <w:p w:rsidR="00C838B1" w:rsidRDefault="00C838B1">
      <w:pPr>
        <w:pStyle w:val="FootnoteText"/>
      </w:pPr>
      <w:r>
        <w:rPr>
          <w:rStyle w:val="FootnoteReference"/>
        </w:rPr>
        <w:footnoteRef/>
      </w:r>
      <w:r w:rsidR="00AA766F">
        <w:t xml:space="preserve"> Stevens</w:t>
      </w:r>
      <w:r>
        <w:t xml:space="preserve"> 2014: 66-88. She repeats this mantra throughout the paper.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6BE"/>
    <w:rsid w:val="00006D48"/>
    <w:rsid w:val="000106BE"/>
    <w:rsid w:val="00015853"/>
    <w:rsid w:val="00023090"/>
    <w:rsid w:val="0003255B"/>
    <w:rsid w:val="00042597"/>
    <w:rsid w:val="00042B42"/>
    <w:rsid w:val="00044F8C"/>
    <w:rsid w:val="00050563"/>
    <w:rsid w:val="00051D64"/>
    <w:rsid w:val="00055991"/>
    <w:rsid w:val="0005667E"/>
    <w:rsid w:val="00072655"/>
    <w:rsid w:val="000756A5"/>
    <w:rsid w:val="0009244D"/>
    <w:rsid w:val="000A2CAE"/>
    <w:rsid w:val="000B35F6"/>
    <w:rsid w:val="000B7F8A"/>
    <w:rsid w:val="000D3CDC"/>
    <w:rsid w:val="000E4ED9"/>
    <w:rsid w:val="000E515D"/>
    <w:rsid w:val="000E66C6"/>
    <w:rsid w:val="000F2501"/>
    <w:rsid w:val="001005DE"/>
    <w:rsid w:val="00101C95"/>
    <w:rsid w:val="0010538D"/>
    <w:rsid w:val="00106505"/>
    <w:rsid w:val="0011745A"/>
    <w:rsid w:val="0012011C"/>
    <w:rsid w:val="00123845"/>
    <w:rsid w:val="00130580"/>
    <w:rsid w:val="00133E42"/>
    <w:rsid w:val="00134A51"/>
    <w:rsid w:val="00140125"/>
    <w:rsid w:val="00141122"/>
    <w:rsid w:val="00144BDD"/>
    <w:rsid w:val="0016109D"/>
    <w:rsid w:val="00170B35"/>
    <w:rsid w:val="001A0EA3"/>
    <w:rsid w:val="001B2A62"/>
    <w:rsid w:val="001B5893"/>
    <w:rsid w:val="001C1740"/>
    <w:rsid w:val="001C26BC"/>
    <w:rsid w:val="001D49CD"/>
    <w:rsid w:val="001E358D"/>
    <w:rsid w:val="001F25AC"/>
    <w:rsid w:val="002061FC"/>
    <w:rsid w:val="00213A04"/>
    <w:rsid w:val="00220A23"/>
    <w:rsid w:val="0023143D"/>
    <w:rsid w:val="00236BBC"/>
    <w:rsid w:val="002376B1"/>
    <w:rsid w:val="0024697B"/>
    <w:rsid w:val="0026194A"/>
    <w:rsid w:val="00262728"/>
    <w:rsid w:val="00262ACE"/>
    <w:rsid w:val="00267AE0"/>
    <w:rsid w:val="00271248"/>
    <w:rsid w:val="00272216"/>
    <w:rsid w:val="0028452A"/>
    <w:rsid w:val="00286C50"/>
    <w:rsid w:val="002C3388"/>
    <w:rsid w:val="002D4070"/>
    <w:rsid w:val="002F70BB"/>
    <w:rsid w:val="003130A1"/>
    <w:rsid w:val="0031351D"/>
    <w:rsid w:val="00324EB9"/>
    <w:rsid w:val="00331B21"/>
    <w:rsid w:val="0034385E"/>
    <w:rsid w:val="00362DDC"/>
    <w:rsid w:val="0036621E"/>
    <w:rsid w:val="00366760"/>
    <w:rsid w:val="003676AB"/>
    <w:rsid w:val="003760FD"/>
    <w:rsid w:val="00385558"/>
    <w:rsid w:val="00387EDF"/>
    <w:rsid w:val="003A6BEB"/>
    <w:rsid w:val="003B2754"/>
    <w:rsid w:val="003B5E7D"/>
    <w:rsid w:val="003C127A"/>
    <w:rsid w:val="003D6462"/>
    <w:rsid w:val="003D7434"/>
    <w:rsid w:val="003E21C0"/>
    <w:rsid w:val="00400D19"/>
    <w:rsid w:val="004039E7"/>
    <w:rsid w:val="004057CD"/>
    <w:rsid w:val="0041386D"/>
    <w:rsid w:val="00421C3C"/>
    <w:rsid w:val="00424FB2"/>
    <w:rsid w:val="00432216"/>
    <w:rsid w:val="0044105F"/>
    <w:rsid w:val="004466C5"/>
    <w:rsid w:val="00447218"/>
    <w:rsid w:val="00457C2F"/>
    <w:rsid w:val="00461A15"/>
    <w:rsid w:val="00493483"/>
    <w:rsid w:val="004949D0"/>
    <w:rsid w:val="00497C3E"/>
    <w:rsid w:val="004A0CB2"/>
    <w:rsid w:val="004A2F41"/>
    <w:rsid w:val="004B2940"/>
    <w:rsid w:val="004B712B"/>
    <w:rsid w:val="0050040C"/>
    <w:rsid w:val="00501A47"/>
    <w:rsid w:val="00501FAD"/>
    <w:rsid w:val="00503855"/>
    <w:rsid w:val="005206F1"/>
    <w:rsid w:val="00531907"/>
    <w:rsid w:val="005416E2"/>
    <w:rsid w:val="00545060"/>
    <w:rsid w:val="00565EBC"/>
    <w:rsid w:val="00596002"/>
    <w:rsid w:val="005A0FF8"/>
    <w:rsid w:val="005A479F"/>
    <w:rsid w:val="005D15DB"/>
    <w:rsid w:val="005D1C84"/>
    <w:rsid w:val="005D3000"/>
    <w:rsid w:val="005D6D60"/>
    <w:rsid w:val="005F0069"/>
    <w:rsid w:val="005F7E39"/>
    <w:rsid w:val="0061662C"/>
    <w:rsid w:val="00620019"/>
    <w:rsid w:val="0062010D"/>
    <w:rsid w:val="006220B7"/>
    <w:rsid w:val="006263C5"/>
    <w:rsid w:val="00632B6C"/>
    <w:rsid w:val="0065277E"/>
    <w:rsid w:val="006562FE"/>
    <w:rsid w:val="00656F73"/>
    <w:rsid w:val="00661C6C"/>
    <w:rsid w:val="00685FDD"/>
    <w:rsid w:val="00690BEE"/>
    <w:rsid w:val="006930F5"/>
    <w:rsid w:val="00694999"/>
    <w:rsid w:val="006B34E2"/>
    <w:rsid w:val="006B3761"/>
    <w:rsid w:val="006C7A91"/>
    <w:rsid w:val="006E558E"/>
    <w:rsid w:val="006F6ACE"/>
    <w:rsid w:val="00701D96"/>
    <w:rsid w:val="007020CC"/>
    <w:rsid w:val="0072453A"/>
    <w:rsid w:val="007357CD"/>
    <w:rsid w:val="00761CF1"/>
    <w:rsid w:val="00762C81"/>
    <w:rsid w:val="007658EF"/>
    <w:rsid w:val="00765F6C"/>
    <w:rsid w:val="00777204"/>
    <w:rsid w:val="007808A8"/>
    <w:rsid w:val="00787290"/>
    <w:rsid w:val="00795161"/>
    <w:rsid w:val="00795F10"/>
    <w:rsid w:val="00796ECB"/>
    <w:rsid w:val="00797B24"/>
    <w:rsid w:val="007C20AF"/>
    <w:rsid w:val="007C7666"/>
    <w:rsid w:val="007D040C"/>
    <w:rsid w:val="007E4833"/>
    <w:rsid w:val="00814865"/>
    <w:rsid w:val="008152B2"/>
    <w:rsid w:val="00816DE4"/>
    <w:rsid w:val="00854508"/>
    <w:rsid w:val="00894795"/>
    <w:rsid w:val="00897C3C"/>
    <w:rsid w:val="008A1E1F"/>
    <w:rsid w:val="008A22D5"/>
    <w:rsid w:val="008B4053"/>
    <w:rsid w:val="008B59EC"/>
    <w:rsid w:val="008C1FB7"/>
    <w:rsid w:val="008C6F2C"/>
    <w:rsid w:val="008C7CF2"/>
    <w:rsid w:val="008D01C0"/>
    <w:rsid w:val="008E5EA0"/>
    <w:rsid w:val="009003C2"/>
    <w:rsid w:val="00913F13"/>
    <w:rsid w:val="00915DDD"/>
    <w:rsid w:val="00927A52"/>
    <w:rsid w:val="00932265"/>
    <w:rsid w:val="00943BDA"/>
    <w:rsid w:val="00961E70"/>
    <w:rsid w:val="00964068"/>
    <w:rsid w:val="0096584D"/>
    <w:rsid w:val="00966ACE"/>
    <w:rsid w:val="009A6732"/>
    <w:rsid w:val="009C455E"/>
    <w:rsid w:val="009D0DCD"/>
    <w:rsid w:val="009D2BE9"/>
    <w:rsid w:val="009E39DF"/>
    <w:rsid w:val="009F6724"/>
    <w:rsid w:val="00A05372"/>
    <w:rsid w:val="00A108BE"/>
    <w:rsid w:val="00A128A4"/>
    <w:rsid w:val="00A21B76"/>
    <w:rsid w:val="00A40E41"/>
    <w:rsid w:val="00A537A4"/>
    <w:rsid w:val="00A57F17"/>
    <w:rsid w:val="00A6094A"/>
    <w:rsid w:val="00A66D8D"/>
    <w:rsid w:val="00A75FE2"/>
    <w:rsid w:val="00A906D9"/>
    <w:rsid w:val="00A919BA"/>
    <w:rsid w:val="00AA07AD"/>
    <w:rsid w:val="00AA5C1D"/>
    <w:rsid w:val="00AA766F"/>
    <w:rsid w:val="00AC1A26"/>
    <w:rsid w:val="00AC6B3A"/>
    <w:rsid w:val="00B235E2"/>
    <w:rsid w:val="00B32BE3"/>
    <w:rsid w:val="00B400C0"/>
    <w:rsid w:val="00B47B16"/>
    <w:rsid w:val="00B64F9F"/>
    <w:rsid w:val="00B65B4C"/>
    <w:rsid w:val="00B8764D"/>
    <w:rsid w:val="00BA472F"/>
    <w:rsid w:val="00BD0AB1"/>
    <w:rsid w:val="00BD18D7"/>
    <w:rsid w:val="00BF53E2"/>
    <w:rsid w:val="00C51EA6"/>
    <w:rsid w:val="00C80315"/>
    <w:rsid w:val="00C838B1"/>
    <w:rsid w:val="00CA4C88"/>
    <w:rsid w:val="00CB73FA"/>
    <w:rsid w:val="00CD433D"/>
    <w:rsid w:val="00CD5D3A"/>
    <w:rsid w:val="00CD7083"/>
    <w:rsid w:val="00CF6E0D"/>
    <w:rsid w:val="00D002AC"/>
    <w:rsid w:val="00D02C68"/>
    <w:rsid w:val="00D1260D"/>
    <w:rsid w:val="00D169C0"/>
    <w:rsid w:val="00D25DDD"/>
    <w:rsid w:val="00D33EE7"/>
    <w:rsid w:val="00D37698"/>
    <w:rsid w:val="00D57806"/>
    <w:rsid w:val="00D77D6A"/>
    <w:rsid w:val="00D80921"/>
    <w:rsid w:val="00D81359"/>
    <w:rsid w:val="00D81A90"/>
    <w:rsid w:val="00D84436"/>
    <w:rsid w:val="00DC1E0B"/>
    <w:rsid w:val="00DD24B8"/>
    <w:rsid w:val="00DD6656"/>
    <w:rsid w:val="00DF384C"/>
    <w:rsid w:val="00E016E0"/>
    <w:rsid w:val="00E046F5"/>
    <w:rsid w:val="00E106F6"/>
    <w:rsid w:val="00E13719"/>
    <w:rsid w:val="00E2682B"/>
    <w:rsid w:val="00E3082D"/>
    <w:rsid w:val="00E3310A"/>
    <w:rsid w:val="00E42E1F"/>
    <w:rsid w:val="00E470E3"/>
    <w:rsid w:val="00E47F45"/>
    <w:rsid w:val="00E7564F"/>
    <w:rsid w:val="00E857B2"/>
    <w:rsid w:val="00E90A54"/>
    <w:rsid w:val="00EC057E"/>
    <w:rsid w:val="00EC0C41"/>
    <w:rsid w:val="00EE2BEE"/>
    <w:rsid w:val="00EE43B9"/>
    <w:rsid w:val="00EE7CDC"/>
    <w:rsid w:val="00F07D8E"/>
    <w:rsid w:val="00F11220"/>
    <w:rsid w:val="00F32F8B"/>
    <w:rsid w:val="00F40199"/>
    <w:rsid w:val="00F42995"/>
    <w:rsid w:val="00F4620D"/>
    <w:rsid w:val="00F50A4C"/>
    <w:rsid w:val="00F766B5"/>
    <w:rsid w:val="00F94286"/>
    <w:rsid w:val="00FA0D51"/>
    <w:rsid w:val="00FA0D70"/>
    <w:rsid w:val="00FA32AC"/>
    <w:rsid w:val="00FA769E"/>
    <w:rsid w:val="00FB3A27"/>
    <w:rsid w:val="00FB4670"/>
    <w:rsid w:val="00FB7CC7"/>
    <w:rsid w:val="00FB7E4D"/>
    <w:rsid w:val="00FD5F94"/>
    <w:rsid w:val="00FF5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C43F98-083D-4305-B4FB-FB88F81B6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610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16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16E2"/>
    <w:rPr>
      <w:sz w:val="20"/>
      <w:szCs w:val="20"/>
    </w:rPr>
  </w:style>
  <w:style w:type="character" w:styleId="FootnoteReference">
    <w:name w:val="footnote reference"/>
    <w:basedOn w:val="DefaultParagraphFont"/>
    <w:uiPriority w:val="99"/>
    <w:semiHidden/>
    <w:unhideWhenUsed/>
    <w:rsid w:val="005416E2"/>
    <w:rPr>
      <w:vertAlign w:val="superscript"/>
    </w:rPr>
  </w:style>
  <w:style w:type="character" w:customStyle="1" w:styleId="a">
    <w:name w:val="a"/>
    <w:basedOn w:val="DefaultParagraphFont"/>
    <w:rsid w:val="00701D96"/>
  </w:style>
  <w:style w:type="character" w:customStyle="1" w:styleId="l">
    <w:name w:val="l"/>
    <w:basedOn w:val="DefaultParagraphFont"/>
    <w:rsid w:val="00701D96"/>
  </w:style>
  <w:style w:type="character" w:customStyle="1" w:styleId="l12">
    <w:name w:val="l12"/>
    <w:basedOn w:val="DefaultParagraphFont"/>
    <w:rsid w:val="00701D96"/>
  </w:style>
  <w:style w:type="character" w:customStyle="1" w:styleId="l11">
    <w:name w:val="l11"/>
    <w:basedOn w:val="DefaultParagraphFont"/>
    <w:rsid w:val="00701D96"/>
  </w:style>
  <w:style w:type="character" w:customStyle="1" w:styleId="l10">
    <w:name w:val="l10"/>
    <w:basedOn w:val="DefaultParagraphFont"/>
    <w:rsid w:val="00701D96"/>
  </w:style>
  <w:style w:type="character" w:customStyle="1" w:styleId="l6">
    <w:name w:val="l6"/>
    <w:basedOn w:val="DefaultParagraphFont"/>
    <w:rsid w:val="00701D96"/>
  </w:style>
  <w:style w:type="character" w:customStyle="1" w:styleId="l9">
    <w:name w:val="l9"/>
    <w:basedOn w:val="DefaultParagraphFont"/>
    <w:rsid w:val="00701D96"/>
  </w:style>
  <w:style w:type="character" w:customStyle="1" w:styleId="l7">
    <w:name w:val="l7"/>
    <w:basedOn w:val="DefaultParagraphFont"/>
    <w:rsid w:val="00701D96"/>
  </w:style>
  <w:style w:type="character" w:customStyle="1" w:styleId="l8">
    <w:name w:val="l8"/>
    <w:basedOn w:val="DefaultParagraphFont"/>
    <w:rsid w:val="00701D96"/>
  </w:style>
  <w:style w:type="character" w:customStyle="1" w:styleId="Heading1Char">
    <w:name w:val="Heading 1 Char"/>
    <w:basedOn w:val="DefaultParagraphFont"/>
    <w:link w:val="Heading1"/>
    <w:uiPriority w:val="9"/>
    <w:rsid w:val="0016109D"/>
    <w:rPr>
      <w:rFonts w:ascii="Times New Roman" w:eastAsia="Times New Roman" w:hAnsi="Times New Roman" w:cs="Times New Roman"/>
      <w:b/>
      <w:bCs/>
      <w:kern w:val="36"/>
      <w:sz w:val="48"/>
      <w:szCs w:val="48"/>
      <w:lang w:eastAsia="en-GB"/>
    </w:rPr>
  </w:style>
  <w:style w:type="character" w:customStyle="1" w:styleId="media-delimiter">
    <w:name w:val="media-delimiter"/>
    <w:basedOn w:val="DefaultParagraphFont"/>
    <w:rsid w:val="00913F13"/>
  </w:style>
  <w:style w:type="character" w:styleId="Hyperlink">
    <w:name w:val="Hyperlink"/>
    <w:basedOn w:val="DefaultParagraphFont"/>
    <w:uiPriority w:val="99"/>
    <w:semiHidden/>
    <w:unhideWhenUsed/>
    <w:rsid w:val="0031351D"/>
    <w:rPr>
      <w:color w:val="0000FF"/>
      <w:u w:val="single"/>
    </w:rPr>
  </w:style>
  <w:style w:type="paragraph" w:styleId="NoSpacing">
    <w:name w:val="No Spacing"/>
    <w:uiPriority w:val="1"/>
    <w:qFormat/>
    <w:rsid w:val="00DF384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8869996">
      <w:bodyDiv w:val="1"/>
      <w:marLeft w:val="0"/>
      <w:marRight w:val="0"/>
      <w:marTop w:val="0"/>
      <w:marBottom w:val="0"/>
      <w:divBdr>
        <w:top w:val="none" w:sz="0" w:space="0" w:color="auto"/>
        <w:left w:val="none" w:sz="0" w:space="0" w:color="auto"/>
        <w:bottom w:val="none" w:sz="0" w:space="0" w:color="auto"/>
        <w:right w:val="none" w:sz="0" w:space="0" w:color="auto"/>
      </w:divBdr>
    </w:div>
    <w:div w:id="1089808875">
      <w:bodyDiv w:val="1"/>
      <w:marLeft w:val="0"/>
      <w:marRight w:val="0"/>
      <w:marTop w:val="0"/>
      <w:marBottom w:val="0"/>
      <w:divBdr>
        <w:top w:val="none" w:sz="0" w:space="0" w:color="auto"/>
        <w:left w:val="none" w:sz="0" w:space="0" w:color="auto"/>
        <w:bottom w:val="none" w:sz="0" w:space="0" w:color="auto"/>
        <w:right w:val="none" w:sz="0" w:space="0" w:color="auto"/>
      </w:divBdr>
    </w:div>
    <w:div w:id="1445611574">
      <w:bodyDiv w:val="1"/>
      <w:marLeft w:val="0"/>
      <w:marRight w:val="0"/>
      <w:marTop w:val="0"/>
      <w:marBottom w:val="0"/>
      <w:divBdr>
        <w:top w:val="none" w:sz="0" w:space="0" w:color="auto"/>
        <w:left w:val="none" w:sz="0" w:space="0" w:color="auto"/>
        <w:bottom w:val="none" w:sz="0" w:space="0" w:color="auto"/>
        <w:right w:val="none" w:sz="0" w:space="0" w:color="auto"/>
      </w:divBdr>
      <w:divsChild>
        <w:div w:id="1986232306">
          <w:marLeft w:val="0"/>
          <w:marRight w:val="0"/>
          <w:marTop w:val="0"/>
          <w:marBottom w:val="0"/>
          <w:divBdr>
            <w:top w:val="none" w:sz="0" w:space="0" w:color="auto"/>
            <w:left w:val="none" w:sz="0" w:space="0" w:color="auto"/>
            <w:bottom w:val="none" w:sz="0" w:space="0" w:color="auto"/>
            <w:right w:val="none" w:sz="0" w:space="0" w:color="auto"/>
          </w:divBdr>
        </w:div>
        <w:div w:id="435095864">
          <w:marLeft w:val="0"/>
          <w:marRight w:val="0"/>
          <w:marTop w:val="0"/>
          <w:marBottom w:val="0"/>
          <w:divBdr>
            <w:top w:val="none" w:sz="0" w:space="0" w:color="auto"/>
            <w:left w:val="none" w:sz="0" w:space="0" w:color="auto"/>
            <w:bottom w:val="none" w:sz="0" w:space="0" w:color="auto"/>
            <w:right w:val="none" w:sz="0" w:space="0" w:color="auto"/>
          </w:divBdr>
        </w:div>
        <w:div w:id="845292179">
          <w:marLeft w:val="0"/>
          <w:marRight w:val="0"/>
          <w:marTop w:val="0"/>
          <w:marBottom w:val="0"/>
          <w:divBdr>
            <w:top w:val="none" w:sz="0" w:space="0" w:color="auto"/>
            <w:left w:val="none" w:sz="0" w:space="0" w:color="auto"/>
            <w:bottom w:val="none" w:sz="0" w:space="0" w:color="auto"/>
            <w:right w:val="none" w:sz="0" w:space="0" w:color="auto"/>
          </w:divBdr>
        </w:div>
        <w:div w:id="92481214">
          <w:marLeft w:val="0"/>
          <w:marRight w:val="0"/>
          <w:marTop w:val="0"/>
          <w:marBottom w:val="0"/>
          <w:divBdr>
            <w:top w:val="none" w:sz="0" w:space="0" w:color="auto"/>
            <w:left w:val="none" w:sz="0" w:space="0" w:color="auto"/>
            <w:bottom w:val="none" w:sz="0" w:space="0" w:color="auto"/>
            <w:right w:val="none" w:sz="0" w:space="0" w:color="auto"/>
          </w:divBdr>
        </w:div>
        <w:div w:id="1500845441">
          <w:marLeft w:val="0"/>
          <w:marRight w:val="0"/>
          <w:marTop w:val="0"/>
          <w:marBottom w:val="0"/>
          <w:divBdr>
            <w:top w:val="none" w:sz="0" w:space="0" w:color="auto"/>
            <w:left w:val="none" w:sz="0" w:space="0" w:color="auto"/>
            <w:bottom w:val="none" w:sz="0" w:space="0" w:color="auto"/>
            <w:right w:val="none" w:sz="0" w:space="0" w:color="auto"/>
          </w:divBdr>
        </w:div>
        <w:div w:id="2097247123">
          <w:marLeft w:val="0"/>
          <w:marRight w:val="0"/>
          <w:marTop w:val="0"/>
          <w:marBottom w:val="0"/>
          <w:divBdr>
            <w:top w:val="none" w:sz="0" w:space="0" w:color="auto"/>
            <w:left w:val="none" w:sz="0" w:space="0" w:color="auto"/>
            <w:bottom w:val="none" w:sz="0" w:space="0" w:color="auto"/>
            <w:right w:val="none" w:sz="0" w:space="0" w:color="auto"/>
          </w:divBdr>
        </w:div>
        <w:div w:id="1829907206">
          <w:marLeft w:val="0"/>
          <w:marRight w:val="0"/>
          <w:marTop w:val="0"/>
          <w:marBottom w:val="0"/>
          <w:divBdr>
            <w:top w:val="none" w:sz="0" w:space="0" w:color="auto"/>
            <w:left w:val="none" w:sz="0" w:space="0" w:color="auto"/>
            <w:bottom w:val="none" w:sz="0" w:space="0" w:color="auto"/>
            <w:right w:val="none" w:sz="0" w:space="0" w:color="auto"/>
          </w:divBdr>
        </w:div>
        <w:div w:id="709692261">
          <w:marLeft w:val="0"/>
          <w:marRight w:val="0"/>
          <w:marTop w:val="0"/>
          <w:marBottom w:val="0"/>
          <w:divBdr>
            <w:top w:val="none" w:sz="0" w:space="0" w:color="auto"/>
            <w:left w:val="none" w:sz="0" w:space="0" w:color="auto"/>
            <w:bottom w:val="none" w:sz="0" w:space="0" w:color="auto"/>
            <w:right w:val="none" w:sz="0" w:space="0" w:color="auto"/>
          </w:divBdr>
        </w:div>
        <w:div w:id="6075852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ro.dur.ac.uk/1510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FC7AB-862E-4E96-9FE2-F7A5DF090A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1</Pages>
  <Words>4277</Words>
  <Characters>24384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Aberdeenshire Council</Company>
  <LinksUpToDate>false</LinksUpToDate>
  <CharactersWithSpaces>28604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Nepute</dc:creator>
  <cp:keywords/>
  <dc:description/>
  <cp:lastModifiedBy>Katherine Nepute</cp:lastModifiedBy>
  <cp:revision>29</cp:revision>
  <dcterms:created xsi:type="dcterms:W3CDTF">2019-05-21T18:52:00Z</dcterms:created>
  <dcterms:modified xsi:type="dcterms:W3CDTF">2019-05-24T22:43:00Z</dcterms:modified>
</cp:coreProperties>
</file>