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4F2D2F">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4F2D2F">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4F2D2F">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4F2D2F">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4F2D2F">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4F2D2F">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4F2D2F">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4F2D2F">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4F2D2F">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4F2D2F">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4F2D2F">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4F2D2F">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564971"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339D367B" w:rsidR="00AA666E" w:rsidRDefault="00025650" w:rsidP="00E6298B">
      <w:pPr>
        <w:ind w:right="107"/>
        <w:jc w:val="both"/>
        <w:rPr>
          <w:b/>
          <w:sz w:val="24"/>
          <w:szCs w:val="24"/>
        </w:rPr>
      </w:pPr>
      <w:r w:rsidRPr="00025650">
        <w:rPr>
          <w:b/>
          <w:sz w:val="24"/>
          <w:szCs w:val="24"/>
        </w:rPr>
        <w:t>ANSWER:</w:t>
      </w:r>
    </w:p>
    <w:p w14:paraId="313FEE3E" w14:textId="35983D6A" w:rsidR="006B6DDA" w:rsidRDefault="006B6DDA" w:rsidP="00E6298B">
      <w:pPr>
        <w:ind w:right="107"/>
        <w:jc w:val="both"/>
        <w:rPr>
          <w:b/>
          <w:sz w:val="24"/>
          <w:szCs w:val="24"/>
        </w:rPr>
      </w:pPr>
    </w:p>
    <w:p w14:paraId="2C78D610" w14:textId="77777777" w:rsidR="006B6DDA" w:rsidRPr="00025650" w:rsidRDefault="006B6DDA" w:rsidP="00E6298B">
      <w:pPr>
        <w:ind w:right="107"/>
        <w:jc w:val="both"/>
        <w:rPr>
          <w:b/>
          <w:sz w:val="24"/>
          <w:szCs w:val="24"/>
        </w:rPr>
      </w:pPr>
    </w:p>
    <w:p w14:paraId="04AB0B79" w14:textId="77777777" w:rsidR="006B6DDA" w:rsidRPr="006B6DDA" w:rsidRDefault="006B6DDA" w:rsidP="006B6DD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B6DDA">
        <w:rPr>
          <w:rFonts w:ascii="Calibri" w:eastAsia="Calibri" w:hAnsi="Calibri" w:cs="Times New Roman"/>
          <w:color w:val="auto"/>
          <w:sz w:val="22"/>
          <w:szCs w:val="22"/>
          <w:lang w:eastAsia="en-US"/>
        </w:rPr>
        <w:t xml:space="preserve">This assignment is going to focussing on the initial six months of training since being attested in to South Wales Police as a Student Police Constable. Throughout this assignment, it is my aim to discuss and compare different coping strategies that I have adopted and applied during the initial six months of training in order to help me build resilience and minimise stress. </w:t>
      </w:r>
    </w:p>
    <w:p w14:paraId="30E3D63B" w14:textId="77777777" w:rsidR="006B6DDA" w:rsidRPr="006B6DDA" w:rsidRDefault="006B6DDA" w:rsidP="006B6DD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B6DDA">
        <w:rPr>
          <w:rFonts w:ascii="Calibri" w:eastAsia="Calibri" w:hAnsi="Calibri" w:cs="Times New Roman"/>
          <w:color w:val="auto"/>
          <w:sz w:val="22"/>
          <w:szCs w:val="22"/>
          <w:lang w:eastAsia="en-US"/>
        </w:rPr>
        <w:t xml:space="preserve">The initial six months of training brought about various stressful situations both professionally and personally. As a result of combined professional and personal stress, I began to experience both physical and psychological symptoms related to a stress disorder. I felt that it was imperative that I address this immediately and therefore I developed coping strategies. </w:t>
      </w:r>
    </w:p>
    <w:p w14:paraId="2F9E74E5" w14:textId="77777777" w:rsidR="006B6DDA" w:rsidRPr="006B6DDA" w:rsidRDefault="006B6DDA" w:rsidP="006B6DD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B6DDA">
        <w:rPr>
          <w:rFonts w:ascii="Calibri" w:eastAsia="Calibri" w:hAnsi="Calibri" w:cs="Times New Roman"/>
          <w:color w:val="auto"/>
          <w:sz w:val="22"/>
          <w:szCs w:val="22"/>
          <w:lang w:eastAsia="en-US"/>
        </w:rPr>
        <w:t>Stress can be defined as the experience of a perceived threat, either real or imagined to a person’s mental or physical wellbeing that can evoke a series of physiological responses (</w:t>
      </w:r>
      <w:r w:rsidRPr="006B6DDA">
        <w:rPr>
          <w:rFonts w:eastAsia="Calibri"/>
          <w:shd w:val="clear" w:color="auto" w:fill="FFFFFF"/>
          <w:lang w:eastAsia="en-US"/>
        </w:rPr>
        <w:t xml:space="preserve">Seaward, 2017). </w:t>
      </w:r>
    </w:p>
    <w:p w14:paraId="6CF73866" w14:textId="77777777" w:rsidR="006B6DDA" w:rsidRPr="006B6DDA" w:rsidRDefault="006B6DDA" w:rsidP="006B6DD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B6DDA">
        <w:rPr>
          <w:rFonts w:ascii="Calibri" w:eastAsia="Calibri" w:hAnsi="Calibri" w:cs="Times New Roman"/>
          <w:color w:val="auto"/>
          <w:sz w:val="22"/>
          <w:szCs w:val="22"/>
          <w:lang w:eastAsia="en-US"/>
        </w:rPr>
        <w:t xml:space="preserve">Research conducted by the charity “Mind” has found that a staggering 91% of Police Officers have experienced stress and therefore poor mental health at work (Mind, 2015). As a result of this, it is essential that Police Officers are able to minimise stress and build resilience in order to cope with the role.  Resilience in a broad sense can be described as developing protective or positive processes that reduce negative outcomes under stressful conditions (Greenberg, 2006). </w:t>
      </w:r>
    </w:p>
    <w:p w14:paraId="633B9EA2" w14:textId="77777777" w:rsidR="006B6DDA" w:rsidRPr="006B6DDA" w:rsidRDefault="006B6DDA" w:rsidP="006B6DD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B6DDA">
        <w:rPr>
          <w:rFonts w:ascii="Calibri" w:eastAsia="Calibri" w:hAnsi="Calibri" w:cs="Times New Roman"/>
          <w:color w:val="auto"/>
          <w:sz w:val="22"/>
          <w:szCs w:val="22"/>
          <w:lang w:eastAsia="en-US"/>
        </w:rPr>
        <w:t>The coping strategies I utilised and will be discussing and comparing throughout this assignment are exercise and Mindfulness.</w:t>
      </w:r>
    </w:p>
    <w:p w14:paraId="0141972E" w14:textId="77777777" w:rsidR="006B6DDA" w:rsidRPr="006B6DDA" w:rsidRDefault="006B6DDA" w:rsidP="006B6DDA">
      <w:pPr>
        <w:overflowPunct/>
        <w:autoSpaceDE/>
        <w:autoSpaceDN/>
        <w:adjustRightInd/>
        <w:spacing w:after="160" w:line="259" w:lineRule="auto"/>
        <w:textAlignment w:val="auto"/>
        <w:rPr>
          <w:rFonts w:ascii="Calibri" w:eastAsia="Calibri" w:hAnsi="Calibri" w:cs="Times New Roman"/>
          <w:color w:val="FF0000"/>
          <w:sz w:val="22"/>
          <w:szCs w:val="22"/>
          <w:lang w:eastAsia="en-US"/>
        </w:rPr>
      </w:pPr>
      <w:r w:rsidRPr="006B6DDA">
        <w:rPr>
          <w:rFonts w:ascii="Calibri" w:eastAsia="Calibri" w:hAnsi="Calibri" w:cs="Times New Roman"/>
          <w:color w:val="auto"/>
          <w:sz w:val="22"/>
          <w:szCs w:val="22"/>
          <w:lang w:eastAsia="en-US"/>
        </w:rPr>
        <w:t xml:space="preserve">To help me structure my answer and keep focus, I will be using the Gibbs (1998) Model of Reflection. </w:t>
      </w:r>
    </w:p>
    <w:p w14:paraId="4C516985" w14:textId="77777777" w:rsidR="006B6DDA" w:rsidRPr="006B6DDA" w:rsidRDefault="006B6DDA" w:rsidP="006B6DD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B6DDA">
        <w:rPr>
          <w:rFonts w:ascii="Calibri" w:eastAsia="Calibri" w:hAnsi="Calibri" w:cs="Times New Roman"/>
          <w:color w:val="auto"/>
          <w:sz w:val="22"/>
          <w:szCs w:val="22"/>
          <w:lang w:eastAsia="en-US"/>
        </w:rPr>
        <w:t xml:space="preserve">The first coping strategy I used to combat stress and build resilience is Mindfulness. Mindfulness can be described in many ways. Annesley, Verni and Dalziel (2015) states that “It is a practice of purposefully paying attention in the present moment and bringing a non- judgemental, compassionate awareness to the nature of things”. </w:t>
      </w:r>
    </w:p>
    <w:p w14:paraId="6A49FACB" w14:textId="77777777" w:rsidR="006B6DDA" w:rsidRPr="006B6DDA" w:rsidRDefault="006B6DDA" w:rsidP="006B6DDA">
      <w:pPr>
        <w:overflowPunct/>
        <w:autoSpaceDE/>
        <w:autoSpaceDN/>
        <w:adjustRightInd/>
        <w:spacing w:after="160" w:line="259" w:lineRule="auto"/>
        <w:textAlignment w:val="auto"/>
        <w:rPr>
          <w:rFonts w:ascii="Calibri" w:eastAsia="Calibri" w:hAnsi="Calibri" w:cs="Times New Roman"/>
          <w:b/>
          <w:color w:val="auto"/>
          <w:sz w:val="22"/>
          <w:szCs w:val="22"/>
          <w:u w:val="single"/>
          <w:lang w:eastAsia="en-US"/>
        </w:rPr>
      </w:pPr>
      <w:r w:rsidRPr="006B6DDA">
        <w:rPr>
          <w:rFonts w:ascii="Calibri" w:eastAsia="Calibri" w:hAnsi="Calibri" w:cs="Times New Roman"/>
          <w:b/>
          <w:color w:val="auto"/>
          <w:sz w:val="22"/>
          <w:szCs w:val="22"/>
          <w:u w:val="single"/>
          <w:lang w:eastAsia="en-US"/>
        </w:rPr>
        <w:t xml:space="preserve">Description </w:t>
      </w:r>
    </w:p>
    <w:p w14:paraId="33271D22" w14:textId="77777777" w:rsidR="006B6DDA" w:rsidRPr="006B6DDA" w:rsidRDefault="006B6DDA" w:rsidP="006B6DD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B6DDA">
        <w:rPr>
          <w:rFonts w:ascii="Calibri" w:eastAsia="Calibri" w:hAnsi="Calibri" w:cs="Times New Roman"/>
          <w:color w:val="auto"/>
          <w:sz w:val="22"/>
          <w:szCs w:val="22"/>
          <w:lang w:eastAsia="en-US"/>
        </w:rPr>
        <w:t xml:space="preserve">In the lead up to the second exam, the United Kingdom was placed into a full national lockdown. My sense of isolation increased and I found my stress levels rising. My mother who is a Mental Health Nurse recognised that I was struggling and recommended Mindfulness as a way of helping me reduce the stress. My mother recommended several mindfulness books, which I perused. Within these books, there were </w:t>
      </w:r>
      <w:r w:rsidRPr="006B6DDA">
        <w:rPr>
          <w:rFonts w:ascii="Calibri" w:eastAsia="Calibri" w:hAnsi="Calibri" w:cs="Times New Roman"/>
          <w:color w:val="auto"/>
          <w:sz w:val="22"/>
          <w:szCs w:val="22"/>
          <w:lang w:eastAsia="en-US"/>
        </w:rPr>
        <w:lastRenderedPageBreak/>
        <w:t xml:space="preserve">simple exercises that I started to incorporate into my daily life. One of the exercises that I found most beneficial was “Counting the Breath”. This involved inhaling through my nostrils slowly for five seconds, holding my breath for five seconds and then exhaling slowly through my mouth for five seconds. I would do this multiple times a day for a period of three minutes each times. </w:t>
      </w:r>
    </w:p>
    <w:p w14:paraId="7E955D97" w14:textId="77777777" w:rsidR="006B6DDA" w:rsidRPr="006B6DDA" w:rsidRDefault="006B6DDA" w:rsidP="006B6DDA">
      <w:pPr>
        <w:overflowPunct/>
        <w:autoSpaceDE/>
        <w:autoSpaceDN/>
        <w:adjustRightInd/>
        <w:spacing w:after="160" w:line="259" w:lineRule="auto"/>
        <w:textAlignment w:val="auto"/>
        <w:rPr>
          <w:rFonts w:ascii="Calibri" w:eastAsia="Calibri" w:hAnsi="Calibri" w:cs="Times New Roman"/>
          <w:b/>
          <w:color w:val="auto"/>
          <w:sz w:val="22"/>
          <w:szCs w:val="22"/>
          <w:u w:val="single"/>
          <w:lang w:eastAsia="en-US"/>
        </w:rPr>
      </w:pPr>
      <w:r w:rsidRPr="006B6DDA">
        <w:rPr>
          <w:rFonts w:ascii="Calibri" w:eastAsia="Calibri" w:hAnsi="Calibri" w:cs="Times New Roman"/>
          <w:b/>
          <w:color w:val="auto"/>
          <w:sz w:val="22"/>
          <w:szCs w:val="22"/>
          <w:u w:val="single"/>
          <w:lang w:eastAsia="en-US"/>
        </w:rPr>
        <w:t xml:space="preserve">Feelings  </w:t>
      </w:r>
    </w:p>
    <w:p w14:paraId="43346B8E" w14:textId="77777777" w:rsidR="006B6DDA" w:rsidRPr="006B6DDA" w:rsidRDefault="006B6DDA" w:rsidP="006B6DD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B6DDA">
        <w:rPr>
          <w:rFonts w:ascii="Calibri" w:eastAsia="Calibri" w:hAnsi="Calibri" w:cs="Times New Roman"/>
          <w:color w:val="auto"/>
          <w:sz w:val="22"/>
          <w:szCs w:val="22"/>
          <w:lang w:eastAsia="en-US"/>
        </w:rPr>
        <w:t xml:space="preserve">Initially it took me a while to understand and benefit of Mindfulness, as it was an entirely new concept to me. At the beginning, I felt self-conscious and silly. However, after utilising Mindfulness several times, I started to feel the benefits physically and psychologically. I felt my mind starting to clear and my heart rate decrease and return to its normal resting rate. Overtime, I feel I have mastered the “Counting the Breath” technique and when feeling overwhelmed I am able to utilise this technique to self soothe. </w:t>
      </w:r>
    </w:p>
    <w:p w14:paraId="4D0F109C" w14:textId="77777777" w:rsidR="006B6DDA" w:rsidRPr="006B6DDA" w:rsidRDefault="006B6DDA" w:rsidP="006B6DDA">
      <w:pPr>
        <w:overflowPunct/>
        <w:autoSpaceDE/>
        <w:autoSpaceDN/>
        <w:adjustRightInd/>
        <w:spacing w:after="160" w:line="259" w:lineRule="auto"/>
        <w:textAlignment w:val="auto"/>
        <w:rPr>
          <w:rFonts w:ascii="Calibri" w:eastAsia="Calibri" w:hAnsi="Calibri" w:cs="Times New Roman"/>
          <w:b/>
          <w:color w:val="auto"/>
          <w:sz w:val="22"/>
          <w:szCs w:val="22"/>
          <w:u w:val="single"/>
          <w:lang w:eastAsia="en-US"/>
        </w:rPr>
      </w:pPr>
      <w:r w:rsidRPr="006B6DDA">
        <w:rPr>
          <w:rFonts w:ascii="Calibri" w:eastAsia="Calibri" w:hAnsi="Calibri" w:cs="Times New Roman"/>
          <w:b/>
          <w:color w:val="auto"/>
          <w:sz w:val="22"/>
          <w:szCs w:val="22"/>
          <w:u w:val="single"/>
          <w:lang w:eastAsia="en-US"/>
        </w:rPr>
        <w:t>Evaluation and Analyse</w:t>
      </w:r>
    </w:p>
    <w:p w14:paraId="55FD0B56" w14:textId="77777777" w:rsidR="006B6DDA" w:rsidRPr="006B6DDA" w:rsidRDefault="006B6DDA" w:rsidP="006B6DD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B6DDA">
        <w:rPr>
          <w:rFonts w:ascii="Calibri" w:eastAsia="Calibri" w:hAnsi="Calibri" w:cs="Times New Roman"/>
          <w:color w:val="auto"/>
          <w:sz w:val="22"/>
          <w:szCs w:val="22"/>
          <w:lang w:eastAsia="en-US"/>
        </w:rPr>
        <w:t xml:space="preserve">I found the Mindfulness “Counting the Breath” technique to be very beneficial as it is a simple technique that I am able to use at anytime, anywhere with positive results. Another benefit of this technique is that I am able to do it discreetly without anybody around me knowing that I am utilising a Mindfulness technique. </w:t>
      </w:r>
    </w:p>
    <w:p w14:paraId="67A8B3D6" w14:textId="77777777" w:rsidR="006B6DDA" w:rsidRPr="006B6DDA" w:rsidRDefault="006B6DDA" w:rsidP="006B6DD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B6DDA">
        <w:rPr>
          <w:rFonts w:ascii="Calibri" w:eastAsia="Calibri" w:hAnsi="Calibri" w:cs="Times New Roman"/>
          <w:color w:val="auto"/>
          <w:sz w:val="22"/>
          <w:szCs w:val="22"/>
          <w:lang w:eastAsia="en-US"/>
        </w:rPr>
        <w:t xml:space="preserve">In addition to this, I was able to practice this technique at my desk where I was revising as soon as I started to feel overwhelmed. I was not governed by time constraints and unlike exercise; it was not dependant on the weather or lighting differences due to seasonal variations. </w:t>
      </w:r>
    </w:p>
    <w:p w14:paraId="4E081187" w14:textId="77777777" w:rsidR="006B6DDA" w:rsidRPr="006B6DDA" w:rsidRDefault="006B6DDA" w:rsidP="006B6DD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B6DDA">
        <w:rPr>
          <w:rFonts w:ascii="Calibri" w:eastAsia="Calibri" w:hAnsi="Calibri" w:cs="Times New Roman"/>
          <w:color w:val="auto"/>
          <w:sz w:val="22"/>
          <w:szCs w:val="22"/>
          <w:lang w:eastAsia="en-US"/>
        </w:rPr>
        <w:t xml:space="preserve">However, on first commencing this Mindfulness exercise, I struggled to stay focussed on “Counting the Breath” as my mind would frequently wander to other thoughts. This initially felt frustrating and I did not know whether this exercise would work for me. However, with anytime “practice makes perfect” therefore I persevered and it gradually became easier to do and I soon felt the benefits. </w:t>
      </w:r>
    </w:p>
    <w:p w14:paraId="26953A64" w14:textId="77777777" w:rsidR="006B6DDA" w:rsidRPr="006B6DDA" w:rsidRDefault="006B6DDA" w:rsidP="006B6DDA">
      <w:pPr>
        <w:overflowPunct/>
        <w:autoSpaceDE/>
        <w:autoSpaceDN/>
        <w:adjustRightInd/>
        <w:spacing w:after="160" w:line="259" w:lineRule="auto"/>
        <w:textAlignment w:val="auto"/>
        <w:rPr>
          <w:rFonts w:ascii="Calibri" w:eastAsia="Calibri" w:hAnsi="Calibri" w:cs="Times New Roman"/>
          <w:b/>
          <w:color w:val="auto"/>
          <w:sz w:val="22"/>
          <w:szCs w:val="22"/>
          <w:u w:val="single"/>
          <w:lang w:eastAsia="en-US"/>
        </w:rPr>
      </w:pPr>
      <w:r w:rsidRPr="006B6DDA">
        <w:rPr>
          <w:rFonts w:ascii="Calibri" w:eastAsia="Calibri" w:hAnsi="Calibri" w:cs="Times New Roman"/>
          <w:b/>
          <w:color w:val="auto"/>
          <w:sz w:val="22"/>
          <w:szCs w:val="22"/>
          <w:u w:val="single"/>
          <w:lang w:eastAsia="en-US"/>
        </w:rPr>
        <w:t xml:space="preserve">Conclusion and Action Plan </w:t>
      </w:r>
    </w:p>
    <w:p w14:paraId="45EDD9B5" w14:textId="77777777" w:rsidR="006B6DDA" w:rsidRPr="006B6DDA" w:rsidRDefault="006B6DDA" w:rsidP="006B6DD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B6DDA">
        <w:rPr>
          <w:rFonts w:ascii="Calibri" w:eastAsia="Calibri" w:hAnsi="Calibri" w:cs="Times New Roman"/>
          <w:color w:val="auto"/>
          <w:sz w:val="22"/>
          <w:szCs w:val="22"/>
          <w:lang w:eastAsia="en-US"/>
        </w:rPr>
        <w:t xml:space="preserve">In conclusion, I learnt that by adopting simple breathing exercises, I was able to effectively attend to my own wellbeing and self soothe. Having learnt this technique and felt the benefit, going forward my plan is to research other Mindfulness tools and techniques that I can easily utilise. This could be in the form of books, websites, podcasts and classes when they recommence after lockdown. </w:t>
      </w:r>
    </w:p>
    <w:p w14:paraId="50C5C441" w14:textId="77777777" w:rsidR="006B6DDA" w:rsidRPr="006B6DDA" w:rsidRDefault="006B6DDA" w:rsidP="006B6DDA">
      <w:pPr>
        <w:overflowPunct/>
        <w:autoSpaceDE/>
        <w:autoSpaceDN/>
        <w:adjustRightInd/>
        <w:spacing w:after="160" w:line="259" w:lineRule="auto"/>
        <w:textAlignment w:val="auto"/>
        <w:rPr>
          <w:rFonts w:ascii="Calibri" w:eastAsia="Calibri" w:hAnsi="Calibri" w:cs="Calibri"/>
          <w:color w:val="auto"/>
          <w:sz w:val="22"/>
          <w:szCs w:val="22"/>
          <w:lang w:eastAsia="en-US"/>
        </w:rPr>
      </w:pPr>
    </w:p>
    <w:p w14:paraId="4E06C0BD" w14:textId="77777777" w:rsidR="006B6DDA" w:rsidRPr="006B6DDA" w:rsidRDefault="006B6DDA" w:rsidP="006B6DDA">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6B6DDA">
        <w:rPr>
          <w:rFonts w:ascii="Calibri" w:eastAsia="Calibri" w:hAnsi="Calibri" w:cs="Calibri"/>
          <w:color w:val="auto"/>
          <w:sz w:val="22"/>
          <w:szCs w:val="22"/>
          <w:lang w:eastAsia="en-US"/>
        </w:rPr>
        <w:t xml:space="preserve">The second coping strategy I am going to be reflecting on is exercise. Numerous Investigations conducted looking into the relationship between exercise and stress found that people who had a good level of aerobic fitness had a better response to stress </w:t>
      </w:r>
      <w:r w:rsidRPr="006B6DDA">
        <w:rPr>
          <w:rFonts w:ascii="Calibri" w:eastAsia="Calibri" w:hAnsi="Calibri" w:cs="Calibri"/>
          <w:color w:val="auto"/>
          <w:sz w:val="22"/>
          <w:szCs w:val="22"/>
          <w:shd w:val="clear" w:color="auto" w:fill="FFFFFF"/>
          <w:lang w:eastAsia="en-US"/>
        </w:rPr>
        <w:t>(Seraganian, 1993).</w:t>
      </w:r>
    </w:p>
    <w:p w14:paraId="741CE54E" w14:textId="77777777" w:rsidR="006B6DDA" w:rsidRPr="006B6DDA" w:rsidRDefault="006B6DDA" w:rsidP="006B6DDA">
      <w:pPr>
        <w:overflowPunct/>
        <w:autoSpaceDE/>
        <w:autoSpaceDN/>
        <w:adjustRightInd/>
        <w:spacing w:after="160" w:line="259" w:lineRule="auto"/>
        <w:textAlignment w:val="auto"/>
        <w:rPr>
          <w:rFonts w:ascii="Calibri" w:eastAsia="Calibri" w:hAnsi="Calibri" w:cs="Times New Roman"/>
          <w:b/>
          <w:color w:val="auto"/>
          <w:sz w:val="22"/>
          <w:szCs w:val="22"/>
          <w:u w:val="single"/>
          <w:lang w:eastAsia="en-US"/>
        </w:rPr>
      </w:pPr>
      <w:r w:rsidRPr="006B6DDA">
        <w:rPr>
          <w:rFonts w:ascii="Calibri" w:eastAsia="Calibri" w:hAnsi="Calibri" w:cs="Times New Roman"/>
          <w:b/>
          <w:color w:val="auto"/>
          <w:sz w:val="22"/>
          <w:szCs w:val="22"/>
          <w:u w:val="single"/>
          <w:lang w:eastAsia="en-US"/>
        </w:rPr>
        <w:t>Description</w:t>
      </w:r>
    </w:p>
    <w:p w14:paraId="1395C897" w14:textId="77777777" w:rsidR="006B6DDA" w:rsidRPr="006B6DDA" w:rsidRDefault="006B6DDA" w:rsidP="006B6DD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B6DDA">
        <w:rPr>
          <w:rFonts w:ascii="Calibri" w:eastAsia="Calibri" w:hAnsi="Calibri" w:cs="Times New Roman"/>
          <w:color w:val="auto"/>
          <w:sz w:val="22"/>
          <w:szCs w:val="22"/>
          <w:lang w:eastAsia="en-US"/>
        </w:rPr>
        <w:t xml:space="preserve">Due to issues in my personal life, I started walking to help me reduce my level of stress . Initially I started walking a well-known local route due to the stay local lockdown restrictions imposed by the Welsh Government. However, whereas I wanted peace to calm by mind I was meeting people who I know as they live in the same village as me. As a result, I was forced to engage in conversation that resulted in increased stress and frustration. After one particularly difficult training day where I was feeling particularly overwhelmed I decided to walk the local Garth Mountain in the hope that it would be a more serene route. As hoped, not many people were present and the few who were there, I did not know. I was able to sit with a blanket and a flask of tea undisturbed and as it was a beautiful and clear evening, I was able to watch the sunset from the top of the mountain. As a result of this tranquil experience, I made the decision that this walk would form part of my new exercise and wellbeing plan. </w:t>
      </w:r>
    </w:p>
    <w:p w14:paraId="743D0804" w14:textId="77777777" w:rsidR="006B6DDA" w:rsidRPr="006B6DDA" w:rsidRDefault="006B6DDA" w:rsidP="006B6DDA">
      <w:pPr>
        <w:overflowPunct/>
        <w:autoSpaceDE/>
        <w:autoSpaceDN/>
        <w:adjustRightInd/>
        <w:spacing w:after="160" w:line="259" w:lineRule="auto"/>
        <w:textAlignment w:val="auto"/>
        <w:rPr>
          <w:rFonts w:ascii="Calibri" w:eastAsia="Calibri" w:hAnsi="Calibri" w:cs="Times New Roman"/>
          <w:b/>
          <w:color w:val="auto"/>
          <w:sz w:val="22"/>
          <w:szCs w:val="22"/>
          <w:u w:val="single"/>
          <w:lang w:eastAsia="en-US"/>
        </w:rPr>
      </w:pPr>
      <w:r w:rsidRPr="006B6DDA">
        <w:rPr>
          <w:rFonts w:ascii="Calibri" w:eastAsia="Calibri" w:hAnsi="Calibri" w:cs="Times New Roman"/>
          <w:b/>
          <w:color w:val="auto"/>
          <w:sz w:val="22"/>
          <w:szCs w:val="22"/>
          <w:u w:val="single"/>
          <w:lang w:eastAsia="en-US"/>
        </w:rPr>
        <w:lastRenderedPageBreak/>
        <w:t xml:space="preserve">Feelings </w:t>
      </w:r>
    </w:p>
    <w:p w14:paraId="64698660" w14:textId="77777777" w:rsidR="006B6DDA" w:rsidRPr="006B6DDA" w:rsidRDefault="006B6DDA" w:rsidP="006B6DD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B6DDA">
        <w:rPr>
          <w:rFonts w:ascii="Calibri" w:eastAsia="Calibri" w:hAnsi="Calibri" w:cs="Times New Roman"/>
          <w:color w:val="auto"/>
          <w:sz w:val="22"/>
          <w:szCs w:val="22"/>
          <w:lang w:eastAsia="en-US"/>
        </w:rPr>
        <w:t xml:space="preserve">Before my walk, I was feeling overwhelmed and tired due to lack of sleep. My head was ‘fuzzy’ and I was struggling to focus and concentrate on my revision. Once on my walk I noticed my mind starting to clear and my body starting to relax with the tension easing out of my shoulders, neck and jaw. On sitting quietly and watching the sunset, I felt peaceful and tranquil for the first time in many months. I also felt very present and in the moment. On returning home, I felt rejuvenated and ready to return to revision as my mind felt so much clearer. </w:t>
      </w:r>
    </w:p>
    <w:p w14:paraId="3F54F3B5" w14:textId="77777777" w:rsidR="006B6DDA" w:rsidRPr="006B6DDA" w:rsidRDefault="006B6DDA" w:rsidP="006B6DDA">
      <w:pPr>
        <w:overflowPunct/>
        <w:autoSpaceDE/>
        <w:autoSpaceDN/>
        <w:adjustRightInd/>
        <w:spacing w:after="160" w:line="259" w:lineRule="auto"/>
        <w:textAlignment w:val="auto"/>
        <w:rPr>
          <w:rFonts w:ascii="Calibri" w:eastAsia="Calibri" w:hAnsi="Calibri" w:cs="Times New Roman"/>
          <w:b/>
          <w:color w:val="auto"/>
          <w:sz w:val="22"/>
          <w:szCs w:val="22"/>
          <w:u w:val="single"/>
          <w:lang w:eastAsia="en-US"/>
        </w:rPr>
      </w:pPr>
      <w:r w:rsidRPr="006B6DDA">
        <w:rPr>
          <w:rFonts w:ascii="Calibri" w:eastAsia="Calibri" w:hAnsi="Calibri" w:cs="Times New Roman"/>
          <w:b/>
          <w:color w:val="auto"/>
          <w:sz w:val="22"/>
          <w:szCs w:val="22"/>
          <w:u w:val="single"/>
          <w:lang w:eastAsia="en-US"/>
        </w:rPr>
        <w:t>Evaluation and Analysis</w:t>
      </w:r>
    </w:p>
    <w:p w14:paraId="391630A2" w14:textId="77777777" w:rsidR="006B6DDA" w:rsidRPr="006B6DDA" w:rsidRDefault="006B6DDA" w:rsidP="006B6DD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B6DDA">
        <w:rPr>
          <w:rFonts w:ascii="Calibri" w:eastAsia="Calibri" w:hAnsi="Calibri" w:cs="Times New Roman"/>
          <w:color w:val="auto"/>
          <w:sz w:val="22"/>
          <w:szCs w:val="22"/>
          <w:lang w:eastAsia="en-US"/>
        </w:rPr>
        <w:t xml:space="preserve">Overall, I felt the whole experience was worthwhile, positive and rejuvenating. However, this particular route is highly dependent on the weather and the shift patterns I would be working, as this route can be quite isolated and therefore dangerous. </w:t>
      </w:r>
    </w:p>
    <w:p w14:paraId="23549470" w14:textId="77777777" w:rsidR="006B6DDA" w:rsidRPr="006B6DDA" w:rsidRDefault="006B6DDA" w:rsidP="006B6DDA">
      <w:pPr>
        <w:overflowPunct/>
        <w:autoSpaceDE/>
        <w:autoSpaceDN/>
        <w:adjustRightInd/>
        <w:spacing w:after="160" w:line="259" w:lineRule="auto"/>
        <w:textAlignment w:val="auto"/>
        <w:rPr>
          <w:rFonts w:ascii="Calibri" w:eastAsia="Calibri" w:hAnsi="Calibri" w:cs="Times New Roman"/>
          <w:b/>
          <w:color w:val="auto"/>
          <w:sz w:val="22"/>
          <w:szCs w:val="22"/>
          <w:u w:val="single"/>
          <w:lang w:eastAsia="en-US"/>
        </w:rPr>
      </w:pPr>
      <w:r w:rsidRPr="006B6DDA">
        <w:rPr>
          <w:rFonts w:ascii="Calibri" w:eastAsia="Calibri" w:hAnsi="Calibri" w:cs="Times New Roman"/>
          <w:b/>
          <w:color w:val="auto"/>
          <w:sz w:val="22"/>
          <w:szCs w:val="22"/>
          <w:u w:val="single"/>
          <w:lang w:eastAsia="en-US"/>
        </w:rPr>
        <w:t xml:space="preserve">Conclusion and Action Plan </w:t>
      </w:r>
    </w:p>
    <w:p w14:paraId="4AA90145" w14:textId="74144EC6" w:rsidR="006B6DDA" w:rsidRPr="006B6DDA" w:rsidRDefault="006B6DDA" w:rsidP="006B6DD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B6DDA">
        <w:rPr>
          <w:rFonts w:ascii="Calibri" w:eastAsia="Calibri" w:hAnsi="Calibri" w:cs="Times New Roman"/>
          <w:color w:val="auto"/>
          <w:sz w:val="22"/>
          <w:szCs w:val="22"/>
          <w:lang w:eastAsia="en-US"/>
        </w:rPr>
        <w:t>In conclusion, I recognise that I am more able to attend to my stress and wellbeing when I take a walking route that is quieter and gives me a sense of space and peace where I am able to relax and reflect. I am able to recognise that walking, particularly mountain walking is extremely beneficial to my physical and psychological wellbeing. My plan is to research other mountain walks in my local area, which will give me some variety and can be adapted to different shift patterns and seasons, which will keep me safe while allowing me to still exercise. I am also looking at different Mindfulness techniques, one of which is called “The 10 Step Walk” which will allow be to incorporate both exercise and mindfulness; however, you only need a small space, enough to fit in ten steps. This will allow me to practice mindful walking a</w:t>
      </w:r>
      <w:r>
        <w:rPr>
          <w:rFonts w:ascii="Calibri" w:eastAsia="Calibri" w:hAnsi="Calibri" w:cs="Times New Roman"/>
          <w:color w:val="auto"/>
          <w:sz w:val="22"/>
          <w:szCs w:val="22"/>
          <w:lang w:eastAsia="en-US"/>
        </w:rPr>
        <w:t>t work and home all year round</w:t>
      </w:r>
      <w:r w:rsidRPr="006B6DDA">
        <w:rPr>
          <w:rFonts w:ascii="Calibri" w:eastAsia="Calibri" w:hAnsi="Calibri" w:cs="Times New Roman"/>
          <w:color w:val="auto"/>
          <w:sz w:val="22"/>
          <w:szCs w:val="22"/>
          <w:lang w:eastAsia="en-US"/>
        </w:rPr>
        <w:t xml:space="preserve">Although enjoyable, there were many elements, both academic and personal during the initial six months of training that were difficult that in return induced a stress response. Because of this, I used both exercise and Mindfulness as a way to reduce the stress I experienced and to help me build resilience. In conclusion, I found both exercise and Mindfulness techniques to be successful in helping me reduce the stress I experienced, however they both had positive and negative factors. </w:t>
      </w:r>
    </w:p>
    <w:p w14:paraId="50A29699" w14:textId="77777777" w:rsidR="006B6DDA" w:rsidRPr="006B6DDA" w:rsidRDefault="006B6DDA" w:rsidP="006B6DD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B6DDA">
        <w:rPr>
          <w:rFonts w:ascii="Calibri" w:eastAsia="Calibri" w:hAnsi="Calibri" w:cs="Times New Roman"/>
          <w:color w:val="auto"/>
          <w:sz w:val="22"/>
          <w:szCs w:val="22"/>
          <w:lang w:eastAsia="en-US"/>
        </w:rPr>
        <w:t xml:space="preserve">Even though I found a lot of enjoyment in hill walking, as I live in a small village and we were in full lockdown, I found it very difficult to find a quiet walk that allowed me to be alone whilst still keeping safe. The only way that I was able to do this was by walking up the Garth Mountain.  However, during the winter months this walk was massively dependent on the weather and daylight situation. </w:t>
      </w:r>
    </w:p>
    <w:p w14:paraId="08783FF4" w14:textId="77777777" w:rsidR="006B6DDA" w:rsidRPr="006B6DDA" w:rsidRDefault="006B6DDA" w:rsidP="006B6DD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B6DDA">
        <w:rPr>
          <w:rFonts w:ascii="Calibri" w:eastAsia="Calibri" w:hAnsi="Calibri" w:cs="Times New Roman"/>
          <w:color w:val="auto"/>
          <w:sz w:val="22"/>
          <w:szCs w:val="22"/>
          <w:lang w:eastAsia="en-US"/>
        </w:rPr>
        <w:t xml:space="preserve">Whereas, I found with the Mindfulness techniques I used, I was able to practice them anytime and anywhere which was very beneficial during the winter dark nights. However, I did initially find these Mindfulness techniques incredibly challenging to start with and started wondering if this was going to work for me. It took me a while to get to grips with what it means to be “Mindful” and to be able to stop my mind from wandering. However, with perseverance and practice, I was able to master the art of being “Mindful” and in the end found it incredibly successful in helping me reduce the stress I experienced. </w:t>
      </w:r>
    </w:p>
    <w:p w14:paraId="083A3B5A" w14:textId="77777777" w:rsidR="006B6DDA" w:rsidRPr="006B6DDA" w:rsidRDefault="006B6DDA" w:rsidP="006B6DD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B6DDA">
        <w:rPr>
          <w:rFonts w:ascii="Calibri" w:eastAsia="Calibri" w:hAnsi="Calibri" w:cs="Times New Roman"/>
          <w:color w:val="auto"/>
          <w:sz w:val="22"/>
          <w:szCs w:val="22"/>
          <w:lang w:eastAsia="en-US"/>
        </w:rPr>
        <w:t>The purpose of this assignment was to reflect on coping strategies that I have applied to help me to develop resilience and minimise stress. Going forward, I feel that I have developed tools and I am much better equipped to recognise the early symptoms of stress and how to minimise the stress before it has an adverse effect on me both physically and mentally.</w:t>
      </w:r>
    </w:p>
    <w:p w14:paraId="0B5AEEE9" w14:textId="485DF48A" w:rsidR="006B6DDA" w:rsidRPr="009672C7" w:rsidRDefault="006B6DDA" w:rsidP="00E6298B">
      <w:pPr>
        <w:ind w:right="107"/>
        <w:jc w:val="both"/>
        <w:rPr>
          <w:b/>
          <w:szCs w:val="24"/>
        </w:rPr>
      </w:pPr>
      <w:r w:rsidRPr="009672C7">
        <w:rPr>
          <w:b/>
          <w:szCs w:val="24"/>
        </w:rPr>
        <w:t>Word Count: 1648</w:t>
      </w: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4F2D2F">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35C347D" w14:textId="77777777" w:rsidR="006B6DDA" w:rsidRPr="006B6DDA" w:rsidRDefault="006B6DDA" w:rsidP="006B6DDA">
      <w:pPr>
        <w:overflowPunct/>
        <w:autoSpaceDE/>
        <w:autoSpaceDN/>
        <w:adjustRightInd/>
        <w:spacing w:after="160" w:line="276" w:lineRule="auto"/>
        <w:textAlignment w:val="auto"/>
        <w:rPr>
          <w:rFonts w:ascii="Calibri" w:eastAsia="Calibri" w:hAnsi="Calibri" w:cs="Calibri"/>
          <w:color w:val="auto"/>
          <w:sz w:val="22"/>
          <w:szCs w:val="22"/>
          <w:lang w:eastAsia="en-US"/>
        </w:rPr>
      </w:pPr>
      <w:r w:rsidRPr="006B6DDA">
        <w:rPr>
          <w:rFonts w:ascii="Calibri" w:eastAsia="Calibri" w:hAnsi="Calibri" w:cs="Calibri"/>
          <w:color w:val="auto"/>
          <w:sz w:val="22"/>
          <w:szCs w:val="22"/>
          <w:lang w:eastAsia="en-US"/>
        </w:rPr>
        <w:t xml:space="preserve">The purpose of this assignment is to reflect on a policing incident that involved an element of conflict where I played a significant role with the offender. I will discuss what action were taken in this incident and discuss how I made my decisions, taking into account the legislative and cultural context. I will also be reflecting on my application of the fundamental elements of effective communication and how I used the National Decision Model to ensure the use of force used was necessary during the conflict situation. I will be discussing theories that underpin the causes of conflict within policing interventions and critically evaluate them. Throughout this assignment, I will be using Bortons Model of Reflection (Borton, 1970) to help me structure my reflection. In order to protect anonymity, I will not be referring to any person by name. </w:t>
      </w:r>
    </w:p>
    <w:p w14:paraId="635691D3" w14:textId="77777777" w:rsidR="006B6DDA" w:rsidRPr="006B6DDA" w:rsidRDefault="006B6DDA" w:rsidP="006B6DDA">
      <w:pPr>
        <w:overflowPunct/>
        <w:autoSpaceDE/>
        <w:autoSpaceDN/>
        <w:adjustRightInd/>
        <w:spacing w:after="160" w:line="276" w:lineRule="auto"/>
        <w:textAlignment w:val="auto"/>
        <w:rPr>
          <w:rFonts w:ascii="Calibri" w:eastAsia="Calibri" w:hAnsi="Calibri" w:cs="Calibri"/>
          <w:color w:val="auto"/>
          <w:sz w:val="22"/>
          <w:szCs w:val="22"/>
          <w:lang w:eastAsia="en-US"/>
        </w:rPr>
      </w:pPr>
      <w:r w:rsidRPr="006B6DDA">
        <w:rPr>
          <w:rFonts w:ascii="Calibri" w:eastAsia="Calibri" w:hAnsi="Calibri" w:cs="Calibri"/>
          <w:color w:val="auto"/>
          <w:sz w:val="22"/>
          <w:szCs w:val="22"/>
          <w:lang w:eastAsia="en-US"/>
        </w:rPr>
        <w:t xml:space="preserve">On this particular date, my tutor and I were working a nightshift in Cardiff. We were undertaking a mobile patrol of the area in a police van when a call came over the radio stating that a Mother had been assaulted by her Son and that the Son had caused significant damage to her house and personal belongings. As the call was graded as an immediate response emergency call, my tutor and I rushed to the address in our police van. </w:t>
      </w:r>
    </w:p>
    <w:p w14:paraId="0B253382" w14:textId="77777777" w:rsidR="006B6DDA" w:rsidRPr="006B6DDA" w:rsidRDefault="006B6DDA" w:rsidP="006B6DDA">
      <w:pPr>
        <w:overflowPunct/>
        <w:autoSpaceDE/>
        <w:autoSpaceDN/>
        <w:adjustRightInd/>
        <w:spacing w:after="160" w:line="276" w:lineRule="auto"/>
        <w:textAlignment w:val="auto"/>
        <w:rPr>
          <w:rFonts w:ascii="Calibri" w:eastAsia="Calibri" w:hAnsi="Calibri" w:cs="Calibri"/>
          <w:color w:val="auto"/>
          <w:sz w:val="22"/>
          <w:szCs w:val="22"/>
          <w:lang w:eastAsia="en-US"/>
        </w:rPr>
      </w:pPr>
      <w:r w:rsidRPr="006B6DDA">
        <w:rPr>
          <w:rFonts w:ascii="Calibri" w:eastAsia="Calibri" w:hAnsi="Calibri" w:cs="Calibri"/>
          <w:color w:val="auto"/>
          <w:sz w:val="22"/>
          <w:szCs w:val="22"/>
          <w:lang w:eastAsia="en-US"/>
        </w:rPr>
        <w:lastRenderedPageBreak/>
        <w:t>When we arrived, we were greeted by the Mother who informed us that her Son was no longer at the address, but had just left accompanied with his friend who were both on E-scooters. After taking a quick description of the Son, my tutor and I conducted a search of the local area, but unfortunately the area search was negative. We decided to go back to the Mothers address to establish exactly what happened, to obtain a statement from her and to see what damage had been caused to her house and personal belonging.</w:t>
      </w:r>
    </w:p>
    <w:p w14:paraId="2D35AC43" w14:textId="77777777" w:rsidR="006B6DDA" w:rsidRPr="006B6DDA" w:rsidRDefault="006B6DDA" w:rsidP="006B6DDA">
      <w:pPr>
        <w:overflowPunct/>
        <w:autoSpaceDE/>
        <w:autoSpaceDN/>
        <w:adjustRightInd/>
        <w:spacing w:after="160" w:line="276" w:lineRule="auto"/>
        <w:textAlignment w:val="auto"/>
        <w:rPr>
          <w:rFonts w:ascii="Calibri" w:eastAsia="Calibri" w:hAnsi="Calibri" w:cs="Calibri"/>
          <w:color w:val="auto"/>
          <w:sz w:val="22"/>
          <w:szCs w:val="22"/>
          <w:lang w:eastAsia="en-US"/>
        </w:rPr>
      </w:pPr>
      <w:r w:rsidRPr="006B6DDA">
        <w:rPr>
          <w:rFonts w:ascii="Calibri" w:eastAsia="Calibri" w:hAnsi="Calibri" w:cs="Calibri"/>
          <w:color w:val="auto"/>
          <w:sz w:val="22"/>
          <w:szCs w:val="22"/>
          <w:lang w:eastAsia="en-US"/>
        </w:rPr>
        <w:t xml:space="preserve">The Mother showed us around her house and I could see that her bedroom and bathroom had been trashed, her bed was badly broken and there was a hole in her wardrobe door where the Son had punched it. The offence committed would be criminal damage as the Son has intentionally damaged property belonging to another (Lesiglation.Gov, 2021). </w:t>
      </w:r>
    </w:p>
    <w:p w14:paraId="7F1E5C5B" w14:textId="77777777" w:rsidR="006B6DDA" w:rsidRPr="006B6DDA" w:rsidRDefault="006B6DDA" w:rsidP="006B6DDA">
      <w:pPr>
        <w:overflowPunct/>
        <w:autoSpaceDE/>
        <w:autoSpaceDN/>
        <w:adjustRightInd/>
        <w:spacing w:after="160" w:line="276" w:lineRule="auto"/>
        <w:textAlignment w:val="auto"/>
        <w:rPr>
          <w:rFonts w:ascii="Calibri" w:eastAsia="Calibri" w:hAnsi="Calibri" w:cs="Calibri"/>
          <w:color w:val="auto"/>
          <w:sz w:val="22"/>
          <w:szCs w:val="22"/>
          <w:lang w:eastAsia="en-US"/>
        </w:rPr>
      </w:pPr>
      <w:r w:rsidRPr="006B6DDA">
        <w:rPr>
          <w:rFonts w:ascii="Calibri" w:eastAsia="Calibri" w:hAnsi="Calibri" w:cs="Calibri"/>
          <w:color w:val="auto"/>
          <w:sz w:val="22"/>
          <w:szCs w:val="22"/>
          <w:lang w:eastAsia="en-US"/>
        </w:rPr>
        <w:t>I could also see that the Mother had a small cut to her head above her eyebrow where the Son had squeezed her head with his hands and a large bruise on her chest where the Son had thrown his mobile phone at her. The offence committed would be assault occasioning actual bodily harm as the Son caused the Mother to have a cut to the head and bruising to her chest (Legislation.Gov, 2021). As the son was over 16 years of age this could be classed as a domestic related assault (Home Office, 2012).</w:t>
      </w:r>
    </w:p>
    <w:p w14:paraId="4AC9FCFA" w14:textId="77777777" w:rsidR="006B6DDA" w:rsidRPr="006B6DDA" w:rsidRDefault="006B6DDA" w:rsidP="006B6DDA">
      <w:pPr>
        <w:overflowPunct/>
        <w:autoSpaceDE/>
        <w:autoSpaceDN/>
        <w:adjustRightInd/>
        <w:spacing w:after="160" w:line="276" w:lineRule="auto"/>
        <w:textAlignment w:val="auto"/>
        <w:rPr>
          <w:rFonts w:ascii="Calibri" w:eastAsia="Calibri" w:hAnsi="Calibri" w:cs="Calibri"/>
          <w:color w:val="auto"/>
          <w:sz w:val="22"/>
          <w:szCs w:val="22"/>
          <w:lang w:eastAsia="en-US"/>
        </w:rPr>
      </w:pPr>
      <w:r w:rsidRPr="006B6DDA">
        <w:rPr>
          <w:rFonts w:ascii="Calibri" w:eastAsia="Calibri" w:hAnsi="Calibri" w:cs="Calibri"/>
          <w:color w:val="auto"/>
          <w:sz w:val="22"/>
          <w:szCs w:val="22"/>
          <w:lang w:eastAsia="en-US"/>
        </w:rPr>
        <w:t xml:space="preserve">The Mother agreed to give us a statement about what happened and therefore I began taking the statement on my mobile phone. As I was midway through taking her statement, the front door to the property burst open and the Son entered the address. The Son pushed past me and began walking with purpose towards the kitchen. I told the Son “stay where you are and put your hands behind your back” However, the Son continued walking towards the kitchen. It was at this point; my tutor grabbed hold of the Son and took him to the other side of the room away from the kitchen. I began to tell the Son that he was under arrest for assault and criminal damage.  The Son immediately became agitated and started hitting and kicking out towards my tutor and myself. Despite efforts from both of us telling the Son to “calm down and put your hands behind your back”, he continued to hit and kick out. It was at this point, I grabbed hold of the Son and we both took him to the floor where I continued to tell him to “stop resisting and to put your hands behind your back”. </w:t>
      </w:r>
    </w:p>
    <w:p w14:paraId="41FAEEA4" w14:textId="77777777" w:rsidR="006B6DDA" w:rsidRPr="006B6DDA" w:rsidRDefault="006B6DDA" w:rsidP="006B6DDA">
      <w:pPr>
        <w:overflowPunct/>
        <w:autoSpaceDE/>
        <w:autoSpaceDN/>
        <w:adjustRightInd/>
        <w:spacing w:after="160" w:line="276" w:lineRule="auto"/>
        <w:textAlignment w:val="auto"/>
        <w:rPr>
          <w:rFonts w:ascii="Calibri" w:eastAsia="Calibri" w:hAnsi="Calibri" w:cs="Calibri"/>
          <w:color w:val="auto"/>
          <w:sz w:val="22"/>
          <w:szCs w:val="22"/>
          <w:lang w:eastAsia="en-US"/>
        </w:rPr>
      </w:pPr>
      <w:r w:rsidRPr="006B6DDA">
        <w:rPr>
          <w:rFonts w:ascii="Calibri" w:eastAsia="Calibri" w:hAnsi="Calibri" w:cs="Calibri"/>
          <w:color w:val="auto"/>
          <w:sz w:val="22"/>
          <w:szCs w:val="22"/>
          <w:lang w:eastAsia="en-US"/>
        </w:rPr>
        <w:t xml:space="preserve">The front door to the property burst open again; it was the Sons friends trying to enter the property. I could hear a lot of shouting outside and I did not know how many of his friends were outside. As it was only myself and my tutor, I decided to push my emergency button to ask for more units to assist. My tutor and I knew that we had to get this situation under control quickly and therefore my tutor took hold of his PAVA spray. I told the Son again to stop resisting and to put his hands behind his back, but again despite our efforts he continued to hit and kick out and started trying to stand up. It was at this point, my tutor decided to use his PAVA spray on him. </w:t>
      </w:r>
    </w:p>
    <w:p w14:paraId="52A1F207" w14:textId="77777777" w:rsidR="006B6DDA" w:rsidRPr="006B6DDA" w:rsidRDefault="006B6DDA" w:rsidP="006B6DDA">
      <w:pPr>
        <w:overflowPunct/>
        <w:autoSpaceDE/>
        <w:autoSpaceDN/>
        <w:adjustRightInd/>
        <w:spacing w:after="160" w:line="276" w:lineRule="auto"/>
        <w:textAlignment w:val="auto"/>
        <w:rPr>
          <w:rFonts w:ascii="Calibri" w:eastAsia="Calibri" w:hAnsi="Calibri" w:cs="Calibri"/>
          <w:color w:val="auto"/>
          <w:sz w:val="22"/>
          <w:szCs w:val="22"/>
          <w:lang w:eastAsia="en-US"/>
        </w:rPr>
      </w:pPr>
      <w:r w:rsidRPr="006B6DDA">
        <w:rPr>
          <w:rFonts w:ascii="Calibri" w:eastAsia="Calibri" w:hAnsi="Calibri" w:cs="Calibri"/>
          <w:color w:val="auto"/>
          <w:sz w:val="22"/>
          <w:szCs w:val="22"/>
          <w:lang w:eastAsia="en-US"/>
        </w:rPr>
        <w:t xml:space="preserve">Thankfully the PAVA spray was very effective in incapacitating the Son enough to allow us to gain control over the situation. I handcuffed the Son to the rear and waited for the other units to arrive to help me convey the Son to the police van.  Once the Son had calmed down from the effect of the PAVA spray, I arrested the Son for domestic related assault and criminal damage. </w:t>
      </w:r>
    </w:p>
    <w:p w14:paraId="29CED853" w14:textId="77777777" w:rsidR="006B6DDA" w:rsidRPr="006B6DDA" w:rsidRDefault="006B6DDA" w:rsidP="006B6DDA">
      <w:pPr>
        <w:overflowPunct/>
        <w:autoSpaceDE/>
        <w:autoSpaceDN/>
        <w:adjustRightInd/>
        <w:spacing w:after="160" w:line="276" w:lineRule="auto"/>
        <w:textAlignment w:val="auto"/>
        <w:rPr>
          <w:rFonts w:ascii="Calibri" w:eastAsia="Calibri" w:hAnsi="Calibri" w:cs="Calibri"/>
          <w:color w:val="auto"/>
          <w:sz w:val="22"/>
          <w:szCs w:val="22"/>
          <w:lang w:eastAsia="en-US"/>
        </w:rPr>
      </w:pPr>
      <w:r w:rsidRPr="006B6DDA">
        <w:rPr>
          <w:rFonts w:ascii="Calibri" w:eastAsia="Calibri" w:hAnsi="Calibri" w:cs="Calibri"/>
          <w:color w:val="auto"/>
          <w:sz w:val="22"/>
          <w:szCs w:val="22"/>
          <w:lang w:eastAsia="en-US"/>
        </w:rPr>
        <w:t xml:space="preserve">Throughout this whole incident, I used the National Decision Model to assist me in making choices. The College of Policing (2014) states that the National Decision Model should be used to structure the rationale behind what choices we make during an incident and why we made those choices. As police officers can be liable for their choices and should be able to give a reasonable rationale for what we do, I used the National </w:t>
      </w:r>
      <w:r w:rsidRPr="006B6DDA">
        <w:rPr>
          <w:rFonts w:ascii="Calibri" w:eastAsia="Calibri" w:hAnsi="Calibri" w:cs="Calibri"/>
          <w:color w:val="auto"/>
          <w:sz w:val="22"/>
          <w:szCs w:val="22"/>
          <w:lang w:eastAsia="en-US"/>
        </w:rPr>
        <w:lastRenderedPageBreak/>
        <w:t xml:space="preserve">Decision Model to help me determine whether the use of force I used was necessary and proportionate during this conflict situation. </w:t>
      </w:r>
    </w:p>
    <w:p w14:paraId="7F4DC390" w14:textId="77777777" w:rsidR="006B6DDA" w:rsidRPr="006B6DDA" w:rsidRDefault="006B6DDA" w:rsidP="006B6DDA">
      <w:pPr>
        <w:overflowPunct/>
        <w:autoSpaceDE/>
        <w:autoSpaceDN/>
        <w:adjustRightInd/>
        <w:spacing w:after="160" w:line="276" w:lineRule="auto"/>
        <w:textAlignment w:val="auto"/>
        <w:rPr>
          <w:rFonts w:ascii="Calibri" w:eastAsia="Calibri" w:hAnsi="Calibri" w:cs="Calibri"/>
          <w:color w:val="auto"/>
          <w:sz w:val="22"/>
          <w:szCs w:val="22"/>
          <w:lang w:eastAsia="en-US"/>
        </w:rPr>
      </w:pPr>
      <w:r w:rsidRPr="006B6DDA">
        <w:rPr>
          <w:rFonts w:ascii="Calibri" w:eastAsia="Calibri" w:hAnsi="Calibri" w:cs="Calibri"/>
          <w:color w:val="auto"/>
          <w:sz w:val="22"/>
          <w:szCs w:val="22"/>
          <w:lang w:eastAsia="en-US"/>
        </w:rPr>
        <w:t xml:space="preserve">The National Decision Model consists of five stages, the first stage being “Information and Intelligence”. During this stage it was imperative that tried to find out what was happening, what had happened and what further information I required to help my tutor and I deal with the situation in the most appropriate way. While we were on our way to the Mother address, I wanted to try and find out as much information as possible about the occupants living at the address in order to build up a clearer picture of what we could be facing when we arrived at the address. I conducted a person check on my phone in order to find out if the Son had any previous convictions or warning markers. The person check came back showing that the Son had been the perpetrator involved in another domestic violence incident involving his Mother where he had held a pair of scissors up to his Mothers neck. The person check also came back with several warning markers for violence and previous assaults on police officers. </w:t>
      </w:r>
    </w:p>
    <w:p w14:paraId="65545C3A" w14:textId="77777777" w:rsidR="006B6DDA" w:rsidRPr="006B6DDA" w:rsidRDefault="006B6DDA" w:rsidP="006B6DDA">
      <w:pPr>
        <w:overflowPunct/>
        <w:autoSpaceDE/>
        <w:autoSpaceDN/>
        <w:adjustRightInd/>
        <w:spacing w:after="160" w:line="276" w:lineRule="auto"/>
        <w:textAlignment w:val="auto"/>
        <w:rPr>
          <w:rFonts w:ascii="Calibri" w:eastAsia="Calibri" w:hAnsi="Calibri" w:cs="Calibri"/>
          <w:color w:val="auto"/>
          <w:sz w:val="22"/>
          <w:szCs w:val="22"/>
          <w:lang w:eastAsia="en-US"/>
        </w:rPr>
      </w:pPr>
      <w:r w:rsidRPr="006B6DDA">
        <w:rPr>
          <w:rFonts w:ascii="Calibri" w:eastAsia="Calibri" w:hAnsi="Calibri" w:cs="Calibri"/>
          <w:color w:val="auto"/>
          <w:sz w:val="22"/>
          <w:szCs w:val="22"/>
          <w:lang w:eastAsia="en-US"/>
        </w:rPr>
        <w:t xml:space="preserve">The second stage of the National Decision Model is “Assess Threat and Develop a Working Strategy”. During this stage, it was important that I assessed the situation for any threat and risk of harm involved in the incident. When the Son burst through the front door of the property and began walking with purpose towards the kitchen, I knew this could lead to a potentially dangerous situation. Having prior knowledge regarding the Son holding a pair of scissors up to his Mothers neck, I knew we needed to take immediate action to get this situation under control safely. Other factors I took into consideration included the Sons demeanour when he entered the address and the Sons build and strength. Despite efforts from my tutor and I telling the Son to stay where he was and to put his hands behind his back, he appeared to dismiss out commands and continued walking towards the kitchen. </w:t>
      </w:r>
    </w:p>
    <w:p w14:paraId="70631314" w14:textId="77777777" w:rsidR="006B6DDA" w:rsidRPr="006B6DDA" w:rsidRDefault="006B6DDA" w:rsidP="006B6DDA">
      <w:pPr>
        <w:overflowPunct/>
        <w:autoSpaceDE/>
        <w:autoSpaceDN/>
        <w:adjustRightInd/>
        <w:spacing w:after="160" w:line="276" w:lineRule="auto"/>
        <w:textAlignment w:val="auto"/>
        <w:rPr>
          <w:rFonts w:ascii="Calibri" w:eastAsia="Calibri" w:hAnsi="Calibri" w:cs="Calibri"/>
          <w:color w:val="auto"/>
          <w:sz w:val="22"/>
          <w:szCs w:val="22"/>
          <w:lang w:eastAsia="en-US"/>
        </w:rPr>
      </w:pPr>
      <w:r w:rsidRPr="006B6DDA">
        <w:rPr>
          <w:rFonts w:ascii="Calibri" w:eastAsia="Calibri" w:hAnsi="Calibri" w:cs="Calibri"/>
          <w:color w:val="auto"/>
          <w:sz w:val="22"/>
          <w:szCs w:val="22"/>
          <w:lang w:eastAsia="en-US"/>
        </w:rPr>
        <w:t xml:space="preserve">The third stage of the National Decision Model is “Powers and Policies”. At this stage I began thinking about what police powers, policies and legislation that I had at my disposal to assist me in getting this incident under control in the safest way possible. The legislation, Criminal Law Act 1967 (Legislation.Gov, 2021) and the Police and Criminal Evidence Act 1984 (Legislation.Gov, 2021) gives police officers the option to use force as long as the force used in reasonable in the circumstances. The College of Policing (2013) states that before using force, all officers should consider if the use of force will have a lawful objective, if there are any other means instead of using force that would be capable of achieving the lawful objective and the potential consequences that could arise from the force used. </w:t>
      </w:r>
    </w:p>
    <w:p w14:paraId="23DFE9B1" w14:textId="77777777" w:rsidR="006B6DDA" w:rsidRPr="006B6DDA" w:rsidRDefault="006B6DDA" w:rsidP="006B6DDA">
      <w:pPr>
        <w:overflowPunct/>
        <w:autoSpaceDE/>
        <w:autoSpaceDN/>
        <w:adjustRightInd/>
        <w:spacing w:after="160" w:line="276" w:lineRule="auto"/>
        <w:textAlignment w:val="auto"/>
        <w:rPr>
          <w:rFonts w:ascii="Calibri" w:eastAsia="Calibri" w:hAnsi="Calibri" w:cs="Calibri"/>
          <w:color w:val="auto"/>
          <w:sz w:val="22"/>
          <w:szCs w:val="22"/>
          <w:lang w:eastAsia="en-US"/>
        </w:rPr>
      </w:pPr>
      <w:r w:rsidRPr="006B6DDA">
        <w:rPr>
          <w:rFonts w:ascii="Calibri" w:eastAsia="Calibri" w:hAnsi="Calibri" w:cs="Calibri"/>
          <w:color w:val="auto"/>
          <w:sz w:val="22"/>
          <w:szCs w:val="22"/>
          <w:lang w:eastAsia="en-US"/>
        </w:rPr>
        <w:t xml:space="preserve">The fourth stage of the National Decision Model is “Identify Options and Contingencies”. It was important at this stage that I identified all options available to me to assist me in dealing with this incident. The College of Policing (2013) states that where possible, a non-violent approach should be used to resolve an incident before force is used. Fritsvold (2021) states that de-escalation techniques such as showing empathy, speaking calmly and asking open-ended questions can help diffuse situations through peaceful means. However due to the fast evolving nature of the situation and the Son not responding to our verbal commands, it gave us no option but to get hands on. When the Sons friends started trying to enter the address, I knew that my tutor and I were outnumbered and had been exposed to a dangerous situation. </w:t>
      </w:r>
    </w:p>
    <w:p w14:paraId="6014F5DA" w14:textId="77777777" w:rsidR="006B6DDA" w:rsidRPr="006B6DDA" w:rsidRDefault="006B6DDA" w:rsidP="006B6DDA">
      <w:pPr>
        <w:overflowPunct/>
        <w:autoSpaceDE/>
        <w:autoSpaceDN/>
        <w:adjustRightInd/>
        <w:spacing w:after="160" w:line="276" w:lineRule="auto"/>
        <w:textAlignment w:val="auto"/>
        <w:rPr>
          <w:rFonts w:ascii="Calibri" w:eastAsia="Calibri" w:hAnsi="Calibri" w:cs="Calibri"/>
          <w:color w:val="auto"/>
          <w:sz w:val="22"/>
          <w:szCs w:val="22"/>
          <w:lang w:eastAsia="en-US"/>
        </w:rPr>
      </w:pPr>
      <w:r w:rsidRPr="006B6DDA">
        <w:rPr>
          <w:rFonts w:ascii="Calibri" w:eastAsia="Calibri" w:hAnsi="Calibri" w:cs="Calibri"/>
          <w:color w:val="auto"/>
          <w:sz w:val="22"/>
          <w:szCs w:val="22"/>
          <w:lang w:eastAsia="en-US"/>
        </w:rPr>
        <w:t xml:space="preserve">The fifth and final stage of the National Decision Model is “Take Action and Review”. This is the stage where I implemented the option that I selected. It was at this stage that my tutor decided to use his PAVA spray on the Son which helped us gain control over the situation and I arrested the Son for domestic related assault </w:t>
      </w:r>
      <w:r w:rsidRPr="006B6DDA">
        <w:rPr>
          <w:rFonts w:ascii="Calibri" w:eastAsia="Calibri" w:hAnsi="Calibri" w:cs="Calibri"/>
          <w:color w:val="auto"/>
          <w:sz w:val="22"/>
          <w:szCs w:val="22"/>
          <w:lang w:eastAsia="en-US"/>
        </w:rPr>
        <w:lastRenderedPageBreak/>
        <w:t xml:space="preserve">and criminal damage. This is also the stage where I recorded what I did by filling out a “Use of Force” form and monitored the Son on the way to custody. </w:t>
      </w:r>
    </w:p>
    <w:p w14:paraId="1F28A223" w14:textId="77777777" w:rsidR="006B6DDA" w:rsidRPr="006B6DDA" w:rsidRDefault="006B6DDA" w:rsidP="006B6DDA">
      <w:pPr>
        <w:overflowPunct/>
        <w:autoSpaceDE/>
        <w:autoSpaceDN/>
        <w:adjustRightInd/>
        <w:spacing w:after="160" w:line="276" w:lineRule="auto"/>
        <w:textAlignment w:val="auto"/>
        <w:rPr>
          <w:rFonts w:ascii="Calibri" w:eastAsia="Calibri" w:hAnsi="Calibri" w:cs="Calibri"/>
          <w:color w:val="auto"/>
          <w:sz w:val="22"/>
          <w:szCs w:val="22"/>
          <w:lang w:eastAsia="en-US"/>
        </w:rPr>
      </w:pPr>
      <w:r w:rsidRPr="006B6DDA">
        <w:rPr>
          <w:rFonts w:ascii="Calibri" w:eastAsia="Calibri" w:hAnsi="Calibri" w:cs="Calibri"/>
          <w:color w:val="auto"/>
          <w:sz w:val="22"/>
          <w:szCs w:val="22"/>
          <w:lang w:eastAsia="en-US"/>
        </w:rPr>
        <w:t xml:space="preserve">In the centre of the National Decision Model are the Code of Ethics. The Code of Ethics set out police standards and principles that police officers are expected to uphold (College of Policing, 2014). Throughout this incident, it was important that I kept these standard and principles at the centre of all the decisions I made. </w:t>
      </w:r>
    </w:p>
    <w:p w14:paraId="74E0C871" w14:textId="77777777" w:rsidR="006B6DDA" w:rsidRPr="006B6DDA" w:rsidRDefault="006B6DDA" w:rsidP="006B6DDA">
      <w:pPr>
        <w:overflowPunct/>
        <w:autoSpaceDE/>
        <w:autoSpaceDN/>
        <w:adjustRightInd/>
        <w:spacing w:after="160" w:line="276" w:lineRule="auto"/>
        <w:textAlignment w:val="auto"/>
        <w:rPr>
          <w:rFonts w:ascii="Calibri" w:eastAsia="Calibri" w:hAnsi="Calibri" w:cs="Calibri"/>
          <w:color w:val="auto"/>
          <w:sz w:val="22"/>
          <w:szCs w:val="22"/>
          <w:shd w:val="clear" w:color="auto" w:fill="FFFFFF"/>
          <w:lang w:eastAsia="en-US"/>
        </w:rPr>
      </w:pPr>
      <w:r w:rsidRPr="006B6DDA">
        <w:rPr>
          <w:rFonts w:ascii="Calibri" w:eastAsia="Calibri" w:hAnsi="Calibri" w:cs="Calibri"/>
          <w:color w:val="auto"/>
          <w:sz w:val="22"/>
          <w:szCs w:val="22"/>
          <w:lang w:eastAsia="en-US"/>
        </w:rPr>
        <w:t xml:space="preserve">I will now talk about the fundamental elements of effective communication. </w:t>
      </w:r>
      <w:r w:rsidRPr="006B6DDA">
        <w:rPr>
          <w:rFonts w:ascii="Calibri" w:eastAsia="Calibri" w:hAnsi="Calibri" w:cs="Calibri"/>
          <w:color w:val="auto"/>
          <w:sz w:val="22"/>
          <w:szCs w:val="22"/>
          <w:shd w:val="clear" w:color="auto" w:fill="FFFFFF"/>
          <w:lang w:eastAsia="en-US"/>
        </w:rPr>
        <w:t xml:space="preserve">Sooriya (2017) states that research conducted by herself found that the amount of communication that is non-verbal varies between 60% to 90% on a daily basis, however, this number depends on the individual and situation. Professor Albert Mehrabian came up with the concept that 55% of communication comes from body language (Mehrabian, 2017). Body language can be defined simply as a way in which we express ourselves using different parts of our body. Body language is communication without words and therefore we express ourselves through movements and gestures (Lewis, 2012). When the Son burst through the front door, he had his fists clenched, he was very red in the face and was walking with purpose towards the kitchen, it was clear to me that the Son was very angry from his body language. Professor Albert Mehrabian also stated that tone of voice accounts for 38% of communication. Throughout this incident, I used a commanding tone of voice to tell the Son clearly, what I wanted him to do and to gain control over the situation. Betaris Box is a model which suggests that an individual’s attitude can affect their behaviour which subsequently effects the attitude of another person and therefore effects their behaviour (Emslie and Hancock, 2008). It was important throughout the incident that my attitude and behaviour would not be perceived as antagonistic, which could have effected the Sons attitude and behaviour and therefore could make the situation worse. </w:t>
      </w:r>
    </w:p>
    <w:p w14:paraId="6E768BF0" w14:textId="77777777" w:rsidR="006B6DDA" w:rsidRPr="006B6DDA" w:rsidRDefault="006B6DDA" w:rsidP="006B6DDA">
      <w:pPr>
        <w:overflowPunct/>
        <w:autoSpaceDE/>
        <w:autoSpaceDN/>
        <w:adjustRightInd/>
        <w:spacing w:after="160" w:line="276" w:lineRule="auto"/>
        <w:textAlignment w:val="auto"/>
        <w:rPr>
          <w:rFonts w:ascii="Calibri" w:eastAsia="Calibri" w:hAnsi="Calibri" w:cs="Calibri"/>
          <w:color w:val="auto"/>
          <w:sz w:val="22"/>
          <w:szCs w:val="22"/>
          <w:shd w:val="clear" w:color="auto" w:fill="FFFFFF"/>
          <w:lang w:eastAsia="en-US"/>
        </w:rPr>
      </w:pPr>
      <w:r w:rsidRPr="006B6DDA">
        <w:rPr>
          <w:rFonts w:ascii="Calibri" w:eastAsia="Calibri" w:hAnsi="Calibri" w:cs="Calibri"/>
          <w:color w:val="auto"/>
          <w:sz w:val="22"/>
          <w:szCs w:val="22"/>
          <w:shd w:val="clear" w:color="auto" w:fill="FFFFFF"/>
          <w:lang w:eastAsia="en-US"/>
        </w:rPr>
        <w:t>If this incident were calmer, I would have explored the idea of using open and closed questions and the “5 Step Appeal”. However, the incident was too fast paced and therefore this option was ruled out.</w:t>
      </w:r>
    </w:p>
    <w:p w14:paraId="54E35DD0" w14:textId="77777777" w:rsidR="006B6DDA" w:rsidRPr="006B6DDA" w:rsidRDefault="006B6DDA" w:rsidP="006B6DDA">
      <w:pPr>
        <w:overflowPunct/>
        <w:autoSpaceDE/>
        <w:autoSpaceDN/>
        <w:adjustRightInd/>
        <w:spacing w:after="160" w:line="276" w:lineRule="auto"/>
        <w:textAlignment w:val="auto"/>
        <w:rPr>
          <w:rFonts w:ascii="Calibri" w:eastAsia="Calibri" w:hAnsi="Calibri" w:cs="Calibri"/>
          <w:color w:val="auto"/>
          <w:sz w:val="22"/>
          <w:szCs w:val="22"/>
          <w:shd w:val="clear" w:color="auto" w:fill="FFFFFF"/>
          <w:lang w:eastAsia="en-US"/>
        </w:rPr>
      </w:pPr>
      <w:r w:rsidRPr="006B6DDA">
        <w:rPr>
          <w:rFonts w:ascii="Calibri" w:eastAsia="Calibri" w:hAnsi="Calibri" w:cs="Calibri"/>
          <w:color w:val="auto"/>
          <w:sz w:val="22"/>
          <w:szCs w:val="22"/>
          <w:shd w:val="clear" w:color="auto" w:fill="FFFFFF"/>
          <w:lang w:eastAsia="en-US"/>
        </w:rPr>
        <w:t xml:space="preserve">Throughout this incident, it was important to consider the Sons human rights. Article 5 of the Human Rights Act 1998 (Legislation.Gov, 2021) is the right to liberty and security. In order to make it a legal arrest, it was important I told the Son promptly the reasons for his arrest, any charge against him and the necessity of arrest. Article 3 of the Human rights Act 1998 (Legislation.Gov, 2021) states that no one should be subjected to torture or inhumane, degrading treatment or punishment. Throughout the incident, it was important that I considered the Sons welfare at all times. After I placed the Son in handcuffs, I checked the handcuffs to make sure they were not too tight and double locked them. I also gave the Son a glass of water before conveying him to custody as he was feeling the effects of the PAVA spray. There was no cultural or language differences that I had to consider during this incident. </w:t>
      </w:r>
    </w:p>
    <w:p w14:paraId="3192D67F" w14:textId="41415DD6" w:rsidR="006B6DDA" w:rsidRDefault="006B6DDA" w:rsidP="006B6DDA">
      <w:pPr>
        <w:overflowPunct/>
        <w:autoSpaceDE/>
        <w:autoSpaceDN/>
        <w:adjustRightInd/>
        <w:spacing w:after="160" w:line="276" w:lineRule="auto"/>
        <w:textAlignment w:val="auto"/>
        <w:rPr>
          <w:rFonts w:ascii="Calibri" w:eastAsia="Calibri" w:hAnsi="Calibri" w:cs="Calibri"/>
          <w:color w:val="auto"/>
          <w:sz w:val="22"/>
          <w:szCs w:val="22"/>
          <w:shd w:val="clear" w:color="auto" w:fill="FFFFFF"/>
          <w:lang w:eastAsia="en-US"/>
        </w:rPr>
      </w:pPr>
      <w:r w:rsidRPr="006B6DDA">
        <w:rPr>
          <w:rFonts w:ascii="Calibri" w:eastAsia="Calibri" w:hAnsi="Calibri" w:cs="Calibri"/>
          <w:color w:val="auto"/>
          <w:sz w:val="22"/>
          <w:szCs w:val="22"/>
          <w:shd w:val="clear" w:color="auto" w:fill="FFFFFF"/>
          <w:lang w:eastAsia="en-US"/>
        </w:rPr>
        <w:t xml:space="preserve">Throughout this assignment, I have reflected on an incident that involved an element of conflict that I played a significant role with the offender. I have explored what happened during the incident itself and I have used the National Decision Model to determine whether the use of force use was necessary and could be justified. I have also explored the fundamental elements of communication and I have discovered that a large proportion of communication does not actually come from what we say, but how we say it. Going forward, this has taught me to be mindful of the Betaris Box model and consider how my attitude and behaviour, whether it be verbal or non- verbal communication, can subsequently affect the attitude and behaviour of another. </w:t>
      </w:r>
    </w:p>
    <w:p w14:paraId="03B9B26A" w14:textId="10358B14" w:rsidR="006B6DDA" w:rsidRPr="009672C7" w:rsidRDefault="006B6DDA" w:rsidP="006B6DDA">
      <w:pPr>
        <w:overflowPunct/>
        <w:autoSpaceDE/>
        <w:autoSpaceDN/>
        <w:adjustRightInd/>
        <w:spacing w:after="160" w:line="276" w:lineRule="auto"/>
        <w:textAlignment w:val="auto"/>
        <w:rPr>
          <w:rFonts w:ascii="Calibri" w:eastAsia="Calibri" w:hAnsi="Calibri" w:cs="Calibri"/>
          <w:b/>
          <w:color w:val="auto"/>
          <w:sz w:val="22"/>
          <w:szCs w:val="22"/>
          <w:shd w:val="clear" w:color="auto" w:fill="FFFFFF"/>
          <w:lang w:eastAsia="en-US"/>
        </w:rPr>
      </w:pPr>
      <w:r w:rsidRPr="009672C7">
        <w:rPr>
          <w:rFonts w:ascii="Calibri" w:eastAsia="Calibri" w:hAnsi="Calibri" w:cs="Calibri"/>
          <w:b/>
          <w:color w:val="auto"/>
          <w:sz w:val="22"/>
          <w:szCs w:val="22"/>
          <w:shd w:val="clear" w:color="auto" w:fill="FFFFFF"/>
          <w:lang w:eastAsia="en-US"/>
        </w:rPr>
        <w:t xml:space="preserve">Word Count = </w:t>
      </w:r>
      <w:r w:rsidR="009672C7" w:rsidRPr="009672C7">
        <w:rPr>
          <w:rFonts w:ascii="Calibri" w:eastAsia="Calibri" w:hAnsi="Calibri" w:cs="Calibri"/>
          <w:b/>
          <w:color w:val="auto"/>
          <w:sz w:val="22"/>
          <w:szCs w:val="22"/>
          <w:shd w:val="clear" w:color="auto" w:fill="FFFFFF"/>
          <w:lang w:eastAsia="en-US"/>
        </w:rPr>
        <w:t>2294</w:t>
      </w: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5CDAA06D" w14:textId="77777777" w:rsidR="009672C7" w:rsidRPr="009672C7" w:rsidRDefault="009672C7" w:rsidP="009672C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 xml:space="preserve">The purpose of this assignment is to reflect on a policing incident where I have played a significant role with a victim. Throughout this assignment, I will critically assess what happened during the incident including any social and legislative contexts and any relevant cultural, ethnicity or language issues. I will also reflect on my responsibilities in line with South Wales Police’s Codes of Practice to support victims through the criminal justice system. I will also illustrate how policing values were engaged, as well as any other considerations including culturally sensitive practice and language preference. Throughout this assignment, I will be using </w:t>
      </w:r>
      <w:r w:rsidRPr="009672C7">
        <w:rPr>
          <w:rFonts w:ascii="Calibri" w:eastAsia="Calibri" w:hAnsi="Calibri" w:cs="Calibri"/>
          <w:color w:val="auto"/>
          <w:sz w:val="22"/>
          <w:szCs w:val="22"/>
          <w:lang w:eastAsia="en-US"/>
        </w:rPr>
        <w:t>Bortons Model of Reflection (Borton, 1970) to help me structure my reflection. In order to protect anonymity, I will not be referring to any person by name.</w:t>
      </w:r>
    </w:p>
    <w:p w14:paraId="4A49688A" w14:textId="77777777" w:rsidR="009672C7" w:rsidRPr="009672C7" w:rsidRDefault="009672C7" w:rsidP="009672C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 xml:space="preserve">On this particular day, my tutor and I were working a day shift in Cardiff. We were conducting a mobile patrol of the area in a police van when a call came over the radio stating that an assault had taken place. As the call was graded as an immediate response emergency call, my tutor and I rushed to the address in our police van. </w:t>
      </w:r>
    </w:p>
    <w:p w14:paraId="7D3C4208" w14:textId="77777777" w:rsidR="009672C7" w:rsidRPr="009672C7" w:rsidRDefault="009672C7" w:rsidP="009672C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 xml:space="preserve">When we arrived, the victim, his daughter and his ex-partner greeted us. The victim stated that his ex-partners neighbour had assaulted him. The victim explained to me that he did not know what the man looked like, as he was severely sight impaired, however, I was able to take a brief description from the daughter who witnessed the incident. We located the male matching the description not far from where the incident took place. I arrested the male on suspicion of assault and placed him in the back of our police van. </w:t>
      </w:r>
    </w:p>
    <w:p w14:paraId="0BBE2D30" w14:textId="77777777" w:rsidR="009672C7" w:rsidRPr="009672C7" w:rsidRDefault="009672C7" w:rsidP="009672C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lastRenderedPageBreak/>
        <w:t>I was unable to take a statement from the victim there and then because the victim stated that his sight was so bad, he can only see shadows and therefore he would not know what he was signing. I had to arrange for an Appropriate Adult to come to the station later on in the day to act on behalf of the victim to support him through the statement taking process. I was unable to use the wife and daughter as his Appropriate Adult as they witnessed the incident and wanted us to take a witness statement from them. The victim arranged for his friend to be his Appropriate Adult and came to the station shortly after so we could take a statement.</w:t>
      </w:r>
    </w:p>
    <w:p w14:paraId="19D83CB8" w14:textId="77777777" w:rsidR="009672C7" w:rsidRPr="009672C7" w:rsidRDefault="009672C7" w:rsidP="009672C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 xml:space="preserve">An Appropriate Adult is somebody who helps to ensure that a vulnerable adult is not disadvantaged in any way when compared to adults who are not vulnerable, during police procedures.  A person can be classed as vulnerable if “as a result of their situation or circumstances, they are unable to take care of or protect themselves or others from harm or exploitation” (Manners, 2020). The role of an appropriate adult is to assist the victim to help them understand what is going on and to aid communication between the vulnerable person and the police. Many different types of people, including family member, friends, carers, social workers and charity workers, can fill an appropriate Adult role. However, the Appropriate Adult cannot also be a witness in the investigation </w:t>
      </w:r>
      <w:r w:rsidRPr="009672C7">
        <w:rPr>
          <w:rFonts w:eastAsia="Calibri"/>
          <w:shd w:val="clear" w:color="auto" w:fill="FFFFFF"/>
          <w:lang w:eastAsia="en-US"/>
        </w:rPr>
        <w:t>(Bath, 2021).</w:t>
      </w:r>
      <w:r w:rsidRPr="009672C7">
        <w:rPr>
          <w:rFonts w:ascii="Calibri" w:eastAsia="Calibri" w:hAnsi="Calibri" w:cs="Times New Roman"/>
          <w:color w:val="auto"/>
          <w:sz w:val="22"/>
          <w:szCs w:val="22"/>
          <w:lang w:eastAsia="en-US"/>
        </w:rPr>
        <w:t xml:space="preserve">  For this reason, the victim in this incident arranged for his friend to attend the police station with him, as his friend did not witness the incident-taking place. In this instance, the victims Appropriate Adult sat in on the statement taking process and oversaw the communication between the victim and myself. At the end of the statement, I read the statement back to the victim and the victim was happy with his account of the incident. After this, the victims Appropriate Adult was able to read the statement to ensure that what I had read out to the victim was correct and the Appropriate Adult was able to sign on the victims behalf because of his severe sight impairment. </w:t>
      </w:r>
    </w:p>
    <w:p w14:paraId="179E0DC0" w14:textId="77777777" w:rsidR="009672C7" w:rsidRPr="009672C7" w:rsidRDefault="009672C7" w:rsidP="009672C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 xml:space="preserve">In his statement, the victim stated that he and his daughter had come to pick his ex-partner up to go shopping and he was stood outside his car having a cigarette. While he was waiting for his ex-partner, a man that he did not recognise, was stood by a car and he could hear him slamming his car doors shut and shouting in the street. The victim stated that the man then walked into his ex-partners courtyard and he could hear him repeatedly slamming her garden gate shut. The victim stated that he said to the man “are you okay?” The man then grabbed him by his t-shirt and threw him up against the wall. The victim told the man that he is blind and asked him to stop. However, the man proceeded to throw him on the floor, hit him in the face and attempted to gouge his eyes using his thumbs. </w:t>
      </w:r>
    </w:p>
    <w:p w14:paraId="25824D5A" w14:textId="77777777" w:rsidR="009672C7" w:rsidRPr="009672C7" w:rsidRDefault="009672C7" w:rsidP="009672C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 xml:space="preserve">By the time the victim came to the station to give his statement, his injuries had time to develop and it was evident to myself that this assault was worse than initially previously thought. The male was initially arrested for Common Assault. The Crown Prosecution Service (2020) states that Common Assault is any assault by which a person either intentionally or recklessly causes another person to either suffer or apprehend immediate unlawful violence. However, when the victim arrived at the station he has multiple scratches to the back of his head, scratches to both of his elbows, a large bruise on his chin and a badly bloodshot right eye. The Crown Prosecution Service (2020) states that the charge will usually be indicated by the level of injuries. The Crown Prosecution Service (2020) also states that there are aggravating factors such as if the victim is vulnerable which should be taken into account when the prosecutor is deciding upon a charge. Therefore, as the male intentionally or recklessly assaulted the victim, causing injuries in line with Actual Bodily Harm and the fact that he is vulnerable because of his poor sight, the male could be charged with Assault occasioning Actual Bodily Harm (Crown Prosecution Service, 2020). </w:t>
      </w:r>
    </w:p>
    <w:p w14:paraId="12DE3DEE" w14:textId="77777777" w:rsidR="009672C7" w:rsidRPr="009672C7" w:rsidRDefault="009672C7" w:rsidP="009672C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 xml:space="preserve">When speaking with the victim, he explained to me that he believed that he was assaulted because of his severe sight impairment. South Wales Police (2021) state that a Hate Crime is any criminal offence, which is perceived by the victim, to be motivated by different factors, one of which is disability. As the victim perceived this assault to be motivated by his disability, this could be classed as a Hate Crime. The  Welsh </w:t>
      </w:r>
      <w:r w:rsidRPr="009672C7">
        <w:rPr>
          <w:rFonts w:ascii="Calibri" w:eastAsia="Calibri" w:hAnsi="Calibri" w:cs="Times New Roman"/>
          <w:color w:val="auto"/>
          <w:sz w:val="22"/>
          <w:szCs w:val="22"/>
          <w:lang w:eastAsia="en-US"/>
        </w:rPr>
        <w:lastRenderedPageBreak/>
        <w:t xml:space="preserve">Government (2020) stated that the 2019/2020 National Crime statistics, published by the Home Office showed an overall 2% increase in recorded hate crime in Wales, compared to an 8% increased across England and wales as a whole. The statistics showed that overall there was a 2% rise in disability Hate Crime. </w:t>
      </w:r>
    </w:p>
    <w:p w14:paraId="72FA8AD5" w14:textId="77777777" w:rsidR="009672C7" w:rsidRPr="009672C7" w:rsidRDefault="009672C7" w:rsidP="009672C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 xml:space="preserve">As the victim could be classed as vulnerable, it was essential that I safeguarded the victim to prevent him from being subjected to further harm. In order to do this, I firstly explained to the victim what a Public Protection Notice is gained consent from the victim to submit one. I used the Public Protection Notice to make referrals to partner agencies who could potentially help with concerns about vulnerable victims. I accessed a Public Protection Notice form through NICHE and selected “Adult at Risk”. I filled in the form, including the victims and perpetrators details, a description of what happened and the victims phone number so that partner agencies can contact the victim to provide him with additional support. </w:t>
      </w:r>
    </w:p>
    <w:p w14:paraId="10ACF023" w14:textId="77777777" w:rsidR="009672C7" w:rsidRPr="009672C7" w:rsidRDefault="009672C7" w:rsidP="009672C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 xml:space="preserve">In addition to this, I also gave the number and website details for Victim Support. Victim Support is an independent charity for people who are affected by crime or traumatic incidents in England and Wales. Victim Support provide free and confidential advice and support 24 hours a day, 365 days a year for anyone effected by crime, not just directly, but also their friends, family and anybody else involved in the crime or traumatic event. Help and support may include information and advice, emotional or practical help and even help with going through the criminal justice system (Victim Support, 2021). </w:t>
      </w:r>
    </w:p>
    <w:p w14:paraId="558531C6" w14:textId="77777777" w:rsidR="009672C7" w:rsidRPr="009672C7" w:rsidRDefault="009672C7" w:rsidP="009672C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 xml:space="preserve">In addition to this, I also filled out a critical risk marker form and arranged for a critical risk assessment marker to be added to the address where the incident took place, so that if another incident happened in the future, the control centre would automatically generate an immediate response. </w:t>
      </w:r>
    </w:p>
    <w:p w14:paraId="71D36892" w14:textId="77777777" w:rsidR="009672C7" w:rsidRPr="009672C7" w:rsidRDefault="009672C7" w:rsidP="009672C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 xml:space="preserve">On NICHE, I filled out all of the Victim Codes and added them to the occurrence. The Codes of Practice for Victims of Crime or “Victim Codes” sets out 12 victims’ rights, which is a minimum standard that must be provided to victims of crime in England and Wales. These rights include the right to have details of a crime recorded without delay, to be provided with information when reporting a crime, to be referred to services that support victims tailored to their needs and to be provided with information about the investigation and prosecution (GOV.UK, 2021). </w:t>
      </w:r>
    </w:p>
    <w:p w14:paraId="565F9B9A" w14:textId="77777777" w:rsidR="009672C7" w:rsidRPr="009672C7" w:rsidRDefault="009672C7" w:rsidP="009672C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 xml:space="preserve">The Codes of Practice for Victims of Crime highlights that victims who may be considered vulnerable are more likely to require specialist assistance. Specialist assistance may include victim being offered a referral to support services, being contacted sooner by police with updates and having access to special measures (GOV.UK, 2021). The Crown Prosecution Service (2021) states that special measures are a series of requirements that may be able to help vulnerable or intimidated witness or victims to gather evidence and give their best evidence in court by relieving some of the stress that can be associated with giving evidence. </w:t>
      </w:r>
    </w:p>
    <w:p w14:paraId="2CE158CF" w14:textId="77777777" w:rsidR="009672C7" w:rsidRPr="009672C7" w:rsidRDefault="009672C7" w:rsidP="009672C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 xml:space="preserve">When the victim came to the police station to give his statement, I firstly asked the victim if this matter goes to court, would he be willing to attend. The victim was very hesitant to attend court and explained to me that this assault made him feel very vulnerable because of his severe sight impairment. The victim explained to me that he was concerned that when he goes to visit his ex-wife again, the male would know who he was and something similar would happen to him again. As a result of this, at first the victim said he wasn’t willing to attend court. </w:t>
      </w:r>
    </w:p>
    <w:p w14:paraId="5C18CC52" w14:textId="77777777" w:rsidR="009672C7" w:rsidRPr="009672C7" w:rsidRDefault="009672C7" w:rsidP="009672C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 xml:space="preserve">I then explained to the victim that there is something called special measures that we as police officers can apply for in order to help and support vulnerable and intimidated victims through the court process. I explained to the victim that under Section 16 of the Youth Justice and Criminal Evidence Act, he could be classed as vulnerable because he has a physical disability with his severe sight impairment, therefore he may be eligible for special measures to be put in place to help him through the court process. (GOV.UK, 2021). The victim asked me what special measures include and I explained to him that special measures could </w:t>
      </w:r>
      <w:r w:rsidRPr="009672C7">
        <w:rPr>
          <w:rFonts w:ascii="Calibri" w:eastAsia="Calibri" w:hAnsi="Calibri" w:cs="Times New Roman"/>
          <w:color w:val="auto"/>
          <w:sz w:val="22"/>
          <w:szCs w:val="22"/>
          <w:lang w:eastAsia="en-US"/>
        </w:rPr>
        <w:lastRenderedPageBreak/>
        <w:t>include giving evidence through a TV link. I explained that this would mean that he would give evidence from outside the courtroom via a live television link, which would mean that he does not have to be in the courtroom (Crown Prosecution Service, 2017).</w:t>
      </w:r>
    </w:p>
    <w:p w14:paraId="3E635ECC" w14:textId="77777777" w:rsidR="009672C7" w:rsidRPr="009672C7" w:rsidRDefault="009672C7" w:rsidP="009672C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 xml:space="preserve">The victim explained to me that his main concern about attending court was the male seeing him again and the possible repercussions of this when he goes to pick his ex-wife up again.  I explained to the victim that special measures could include having screens around the witness box. I explained to the victim that a screen is placed around the witness box, which would prevent the male who assaulted him from seeing him giving evidence, which would possibly quash his main concern about attending court (Crown Prosecution Service, 2017).  The victim decided that he would be more willing to attend court if special measures were put in the place and therefore he asked if I was able to apply for special measures for him. I told the victim that I can apply for special measures, however the ultimate decision on whether they are granted or not lies with the magistrates. The victim was happy with this decision and I applied for special measures. </w:t>
      </w:r>
    </w:p>
    <w:p w14:paraId="05389F5D" w14:textId="77777777" w:rsidR="009672C7" w:rsidRPr="009672C7" w:rsidRDefault="009672C7" w:rsidP="009672C7">
      <w:pPr>
        <w:overflowPunct/>
        <w:autoSpaceDE/>
        <w:autoSpaceDN/>
        <w:adjustRightInd/>
        <w:spacing w:after="160" w:line="276" w:lineRule="auto"/>
        <w:textAlignment w:val="auto"/>
        <w:rPr>
          <w:rFonts w:ascii="Calibri" w:eastAsia="Calibri" w:hAnsi="Calibri" w:cs="Calibri"/>
          <w:color w:val="auto"/>
          <w:sz w:val="22"/>
          <w:szCs w:val="22"/>
          <w:shd w:val="clear" w:color="auto" w:fill="FFFFFF"/>
          <w:lang w:eastAsia="en-US"/>
        </w:rPr>
      </w:pPr>
      <w:r w:rsidRPr="009672C7">
        <w:rPr>
          <w:rFonts w:ascii="Calibri" w:eastAsia="Calibri" w:hAnsi="Calibri" w:cs="Calibri"/>
          <w:color w:val="auto"/>
          <w:sz w:val="22"/>
          <w:szCs w:val="22"/>
          <w:shd w:val="clear" w:color="auto" w:fill="FFFFFF"/>
          <w:lang w:eastAsia="en-US"/>
        </w:rPr>
        <w:t xml:space="preserve">There was no cultural or language differences that I had to consider during this incident. </w:t>
      </w:r>
    </w:p>
    <w:p w14:paraId="684671CC" w14:textId="77777777" w:rsidR="009672C7" w:rsidRPr="009672C7" w:rsidRDefault="009672C7" w:rsidP="009672C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 xml:space="preserve">Throughout this assignment, I have reflected on an incident where I played a significant role with the victim. Throughout this assignment, I have spoken about the incident itself and the steps that were taken to assist the victim through the criminal justice system. I have researched the role of an appropriate adult, what they do and how they helped to assist the victim through the statement writing process because of his severe sight impairment. As the victim stated that he perceived the assault to be as a result of his disability, I discussed what a hate crime is and discovered that hate crime on people with a disability between 2019-2020 had risen by 2%. I then went on to discuss the steps and measures that I put in place in order to safeguard the victim as he could be classed as vulnerable because of his severe sight impairment, these included referring the victim to Victim Support, placing a critical warning marker on the address and submitting a personal protection notice. I then went on to explain that the victim was very hesitant to attend court and the reasons behind this. I researched the use of special measures, who we can offer them too and what they include and discovered the importance of special measures and how they can assist vulnerable and intimidated victims and witnesses to attend court to provide evidence. </w:t>
      </w:r>
    </w:p>
    <w:p w14:paraId="1967E2A8" w14:textId="7F65594B" w:rsidR="00025650" w:rsidRPr="009672C7" w:rsidRDefault="009672C7" w:rsidP="00E6298B">
      <w:pPr>
        <w:ind w:right="107"/>
        <w:jc w:val="both"/>
        <w:rPr>
          <w:b/>
          <w:sz w:val="22"/>
          <w:szCs w:val="24"/>
        </w:rPr>
      </w:pPr>
      <w:r w:rsidRPr="009672C7">
        <w:rPr>
          <w:b/>
          <w:sz w:val="22"/>
          <w:szCs w:val="24"/>
        </w:rPr>
        <w:t>Word Count = 2271</w:t>
      </w: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F9B5D64" w14:textId="77777777" w:rsidR="009672C7" w:rsidRPr="009672C7" w:rsidRDefault="009672C7" w:rsidP="009672C7">
      <w:pPr>
        <w:overflowPunct/>
        <w:autoSpaceDE/>
        <w:autoSpaceDN/>
        <w:adjustRightInd/>
        <w:spacing w:after="160" w:line="256" w:lineRule="auto"/>
        <w:textAlignment w:val="auto"/>
        <w:rPr>
          <w:rFonts w:ascii="Calibri" w:eastAsia="Calibri" w:hAnsi="Calibri" w:cs="Calibri"/>
          <w:color w:val="auto"/>
          <w:sz w:val="22"/>
          <w:szCs w:val="22"/>
          <w:lang w:eastAsia="en-US"/>
        </w:rPr>
      </w:pPr>
      <w:r w:rsidRPr="009672C7">
        <w:rPr>
          <w:rFonts w:ascii="Calibri" w:eastAsia="Calibri" w:hAnsi="Calibri" w:cs="Times New Roman"/>
          <w:color w:val="auto"/>
          <w:sz w:val="22"/>
          <w:szCs w:val="22"/>
          <w:lang w:eastAsia="en-US"/>
        </w:rPr>
        <w:t xml:space="preserve">The purpose of this assignment is to reflect on a policing incident where I played a significant role with an offender. Throughout this assignment I will be discussing the incident itself and I will reflect on how I applied the National Decision Model (NDM) to assist me in my decision making process and resolving this incident. I will also be discussing the role of discretion in my decision making process and why I decided to deal with the incident the way that I did. Throughout this assignment, I will be determining my responsibilities concerning the Criminal Procedure and Investigations Act (CPIA) when retaining significant information when conducting investigations. I will also illustrate how policing values were engaged through an assessment of the potential impact of bias on my decision making process. Throughout this assignment, I will be using </w:t>
      </w:r>
      <w:r w:rsidRPr="009672C7">
        <w:rPr>
          <w:rFonts w:ascii="Calibri" w:eastAsia="Calibri" w:hAnsi="Calibri" w:cs="Calibri"/>
          <w:color w:val="auto"/>
          <w:sz w:val="22"/>
          <w:szCs w:val="22"/>
          <w:lang w:eastAsia="en-US"/>
        </w:rPr>
        <w:t>Bortons Model of Reflection (Borton, 1970) to help me structure my reflection. In order to protect anonymity, I will not be referring to any person by name.</w:t>
      </w:r>
    </w:p>
    <w:p w14:paraId="665AA742" w14:textId="77777777" w:rsidR="009672C7" w:rsidRPr="009672C7" w:rsidRDefault="009672C7" w:rsidP="009672C7">
      <w:pPr>
        <w:overflowPunct/>
        <w:autoSpaceDE/>
        <w:autoSpaceDN/>
        <w:adjustRightInd/>
        <w:spacing w:after="160" w:line="256"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 xml:space="preserve">On this particular day, my tutor and I were working a day shift in Cardiff. We were conducting a mobile patrol of the area in a police van when a call came over the radio stating that a theft had taken place and the security guard in the store had detained the male. It was reported that the security guard had observed the male on CCTV picking up four lamps, putting them in his bag and walking past an empty payment counter not attempting to pay for the goods.  As the call was graded as an immediate response emergency call, my tutor and I rushed to the address in our police van. </w:t>
      </w:r>
    </w:p>
    <w:p w14:paraId="3ECF7853" w14:textId="77777777" w:rsidR="009672C7" w:rsidRPr="009672C7" w:rsidRDefault="009672C7" w:rsidP="009672C7">
      <w:pPr>
        <w:overflowPunct/>
        <w:autoSpaceDE/>
        <w:autoSpaceDN/>
        <w:adjustRightInd/>
        <w:spacing w:after="160" w:line="256"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 xml:space="preserve">When we arrived, my tutor and I entered the store and saw the male being detained by the security guard. The male had in his trolley a plastic bag that appeared too had been adapted by using aluminium foil to line </w:t>
      </w:r>
      <w:r w:rsidRPr="009672C7">
        <w:rPr>
          <w:rFonts w:ascii="Calibri" w:eastAsia="Calibri" w:hAnsi="Calibri" w:cs="Times New Roman"/>
          <w:color w:val="auto"/>
          <w:sz w:val="22"/>
          <w:szCs w:val="22"/>
          <w:lang w:eastAsia="en-US"/>
        </w:rPr>
        <w:lastRenderedPageBreak/>
        <w:t xml:space="preserve">the inside of the bag and the bag contained four lamps.  I took the male outside and placed him in the back of the police van. </w:t>
      </w:r>
    </w:p>
    <w:p w14:paraId="3847F0D4" w14:textId="77777777" w:rsidR="009672C7" w:rsidRPr="009672C7" w:rsidRDefault="009672C7" w:rsidP="009672C7">
      <w:pPr>
        <w:overflowPunct/>
        <w:autoSpaceDE/>
        <w:autoSpaceDN/>
        <w:adjustRightInd/>
        <w:spacing w:after="160" w:line="256"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In order to help me deal with this situation in the best way possible for the store and the offender I used the National Decision Model to assist me in my decision making process. The National Decision Model is a framework that helps decision maker’s structure their rationale of what they did during an incident and why they did it (College of Policing, 2014)</w:t>
      </w:r>
    </w:p>
    <w:p w14:paraId="3AEEC557" w14:textId="77777777" w:rsidR="009672C7" w:rsidRPr="009672C7" w:rsidRDefault="009672C7" w:rsidP="009672C7">
      <w:pPr>
        <w:overflowPunct/>
        <w:autoSpaceDE/>
        <w:autoSpaceDN/>
        <w:adjustRightInd/>
        <w:spacing w:after="160" w:line="256"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 xml:space="preserve">The National Decision Model has six key stages to it. The first stage is “Gather Information and Intelligence” (College of Policing, 2014). It was during this stage I looked at what further information I needed in order to deal with the incident in the most appropriate way possible. In order to do this, I took the males first and second name and his date of birth and used my mobile phone to perform a person check. I checked the Police National Computer and Niche to see if the male had any previous convictions involving thefts, if he had any warning makers we needed to be aware of and to see if he was wanted for any outstanding offences. My person check came back telling me that the male had no warning markers, he was not wanted for any outstanding offences and he had no previous convictions for theft. I also needed to gather information about what happened inside the store and determine whether an offence had been committed, so as I was carrying out the person check, my tutor went inside to speak with the security guard. </w:t>
      </w:r>
    </w:p>
    <w:p w14:paraId="751569A7" w14:textId="77777777" w:rsidR="009672C7" w:rsidRPr="009672C7" w:rsidRDefault="009672C7" w:rsidP="009672C7">
      <w:pPr>
        <w:overflowPunct/>
        <w:autoSpaceDE/>
        <w:autoSpaceDN/>
        <w:adjustRightInd/>
        <w:spacing w:after="160" w:line="256"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 xml:space="preserve">The next stage of the National Decision Model is “Assess Threat and Risk and Develop a Working Strategy” (College of Policing, 2014). It was during this stage I analysed the situation which included any threat and the risk of harm, I used the THRIVE model to assist me with this. Throughout the whole incident, the male remained constantly calm and compliant and was pleasant to my tutor and myself throughout. The person check I conducted using the Police National Computer came back saying that the male had no previous for theft and had no warning markers. </w:t>
      </w:r>
    </w:p>
    <w:p w14:paraId="51831DB5" w14:textId="77777777" w:rsidR="009672C7" w:rsidRPr="009672C7" w:rsidRDefault="009672C7" w:rsidP="009672C7">
      <w:pPr>
        <w:overflowPunct/>
        <w:autoSpaceDE/>
        <w:autoSpaceDN/>
        <w:adjustRightInd/>
        <w:spacing w:after="160" w:line="256"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The next stage of the National Decision Model is “Consider Powers and Policies” (College of Policing, 2014). It was at this stage I needed to determine what powers, policies and legislation applied in this particular incident. In order to determine if an offence of theft had been committed, I needed to conduct a</w:t>
      </w:r>
      <w:r w:rsidRPr="009672C7">
        <w:rPr>
          <w:rFonts w:ascii="Calibri" w:eastAsia="Calibri" w:hAnsi="Calibri" w:cs="Times New Roman"/>
          <w:color w:val="FF0000"/>
          <w:sz w:val="22"/>
          <w:szCs w:val="22"/>
          <w:lang w:eastAsia="en-US"/>
        </w:rPr>
        <w:t xml:space="preserve"> </w:t>
      </w:r>
      <w:r w:rsidRPr="009672C7">
        <w:rPr>
          <w:rFonts w:ascii="Calibri" w:eastAsia="Calibri" w:hAnsi="Calibri" w:cs="Times New Roman"/>
          <w:color w:val="auto"/>
          <w:sz w:val="22"/>
          <w:szCs w:val="22"/>
          <w:lang w:eastAsia="en-US"/>
        </w:rPr>
        <w:t xml:space="preserve">contemporaneous interview with the male. I told the male that he is entitled to free and independent legal advice, which he declined, and I informed the male that he was not under arrest. I then cautioned him and asked him specific questions about the offence, which was captured using my body worn video. I recorded my questions and his answers in my electronic pocket note book. The male explained to me that he had recently lost his job because of the pandemic and was struggling for money. He went on to explain that he went to the store that day with no intention to pay for the goods that he picked up and that he did not have any means of payment on him such as money or a bankcard. The male explained that he looked for an empty checkout so that he could walk through undetected. When asked about the carrier bag the male denied adapting the bag in any way. The male also explained that his intentions were to sell the items for money as he had lost his job.  I then got the male to sign my electronic pocket notebook. As a result of this information, it was clear that a theft had been committed as the male had committed all of the points to prove a theft under Section 1 Theft Act 1968 (Legislation.Gov, 2021). </w:t>
      </w:r>
    </w:p>
    <w:p w14:paraId="2E179447" w14:textId="77777777" w:rsidR="009672C7" w:rsidRPr="009672C7" w:rsidRDefault="009672C7" w:rsidP="009672C7">
      <w:pPr>
        <w:overflowPunct/>
        <w:autoSpaceDE/>
        <w:autoSpaceDN/>
        <w:adjustRightInd/>
        <w:spacing w:after="160" w:line="256" w:lineRule="auto"/>
        <w:textAlignment w:val="auto"/>
        <w:rPr>
          <w:rFonts w:ascii="Calibri" w:eastAsia="Calibri" w:hAnsi="Calibri" w:cs="Times New Roman"/>
          <w:color w:val="FF0000"/>
          <w:sz w:val="22"/>
          <w:szCs w:val="22"/>
          <w:lang w:eastAsia="en-US"/>
        </w:rPr>
      </w:pPr>
      <w:r w:rsidRPr="009672C7">
        <w:rPr>
          <w:rFonts w:ascii="Calibri" w:eastAsia="Calibri" w:hAnsi="Calibri" w:cs="Times New Roman"/>
          <w:color w:val="auto"/>
          <w:sz w:val="22"/>
          <w:szCs w:val="22"/>
          <w:lang w:eastAsia="en-US"/>
        </w:rPr>
        <w:t xml:space="preserve">The next stage of the National Decision Model is “Identify Options and Contingencies”. It was during this stage I considered all of the different ways to deal with this particular decision with the least risk of harm and the best outcome for everybody involved. Even though the male could have been arrested for this offence under Section 24(3) Police and Criminal Evidence Act 1984 (Legislation.Gov, 2021), it was decided that the best course of action was to give the male a Postal Charge Requisition. A Postal Charge Requisition is a magistrate’s court summons, which tells the offender when and where to attend court and what offences they are being summons for (Titchener, 2021).This decision was based on the fact that it was the </w:t>
      </w:r>
      <w:r w:rsidRPr="009672C7">
        <w:rPr>
          <w:rFonts w:ascii="Calibri" w:eastAsia="Calibri" w:hAnsi="Calibri" w:cs="Times New Roman"/>
          <w:color w:val="auto"/>
          <w:sz w:val="22"/>
          <w:szCs w:val="22"/>
          <w:lang w:eastAsia="en-US"/>
        </w:rPr>
        <w:lastRenderedPageBreak/>
        <w:t xml:space="preserve">males first offence, the theft was of small monetary value and the male was calm and compliant throughout and admitted the offence. </w:t>
      </w:r>
    </w:p>
    <w:p w14:paraId="59A0345E" w14:textId="77777777" w:rsidR="009672C7" w:rsidRPr="009672C7" w:rsidRDefault="009672C7" w:rsidP="009672C7">
      <w:pPr>
        <w:overflowPunct/>
        <w:autoSpaceDE/>
        <w:autoSpaceDN/>
        <w:adjustRightInd/>
        <w:spacing w:after="160" w:line="256"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 xml:space="preserve">The last stage of the National Decision Model is “Take Action and Review”(College of Policing, 2014). It was during the “take action” stage that I implemented what I thought was the best course of action on how to deal with this incident. I began to summons the male firstly by pointing out the offence of theft. I cautioned the male, told him that he was not under arrest, and not obliged to stay with me. I then asked the male for his name, date of birth and address and stating that I was reporting him for the offence of theft. I finished the summonsing process by using the now caution. My tutor and I then dropped the male off at his home address. </w:t>
      </w:r>
    </w:p>
    <w:p w14:paraId="7205EC69" w14:textId="77777777" w:rsidR="009672C7" w:rsidRPr="009672C7" w:rsidRDefault="009672C7" w:rsidP="009672C7">
      <w:pPr>
        <w:overflowPunct/>
        <w:autoSpaceDE/>
        <w:autoSpaceDN/>
        <w:adjustRightInd/>
        <w:spacing w:after="160" w:line="256"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 xml:space="preserve">The second part of this stage is to review. This is the stage of the National Decision Model where I reviewed my decision and looked at what I could have done different next time. This stage helped me to identify other options that may have been more appropriate. The Crown Prosecution Service (2017) states that although sometimes a prosecution is the only proper disposal for minor offences, prosecutors should be proactive in seeking to use a non-prosecution disposal whenever possible for minor offences. Alternatively, as this was the male’s first offence, the low monetary value of the goods stolen, the fact he admitted the offence and the situation surrounding the incident in regards to losing his job, I could have possibly looked at giving the male a caution in the first instance. </w:t>
      </w:r>
    </w:p>
    <w:p w14:paraId="684B786B" w14:textId="77777777" w:rsidR="009672C7" w:rsidRPr="009672C7" w:rsidRDefault="009672C7" w:rsidP="009672C7">
      <w:pPr>
        <w:overflowPunct/>
        <w:autoSpaceDE/>
        <w:autoSpaceDN/>
        <w:adjustRightInd/>
        <w:spacing w:after="160" w:line="256"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 xml:space="preserve">In the centre of the National Decision Model is the Code of Ethics. College of Policing (2014) states that the National Decision Model puts the Code of Ethics at the heart of all police decision making. The code of ethics encompasses nine policing principles and ten standard of professional behaviour. Throughout this incident, I conformed to the policing principles and standard of professional behaviour when dealing with the male. </w:t>
      </w:r>
    </w:p>
    <w:p w14:paraId="32579FE0" w14:textId="77777777" w:rsidR="009672C7" w:rsidRPr="009672C7" w:rsidRDefault="009672C7" w:rsidP="009672C7">
      <w:pPr>
        <w:overflowPunct/>
        <w:autoSpaceDE/>
        <w:autoSpaceDN/>
        <w:adjustRightInd/>
        <w:spacing w:after="160" w:line="256"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Throughout this incident, I was aware to abide by the Code of Practice set out within the Criminal Procedure and Investigation Act 1996 (CPIA). The Code of Practice within in CPIA sets out how officers should record, retain and reveal material to the prosecutor, which has been obtained in a criminal investigation (Ministry of Justice, 2015). Under this code, a criminal investigation is an investigation conducted by police officers to decide whether a person should be charged with an offence and later whether a person charged with an offence is guilty of it, this includes charging a person by way of summons (Ministry of Justice, 2015).</w:t>
      </w:r>
    </w:p>
    <w:p w14:paraId="669D29A4" w14:textId="77777777" w:rsidR="009672C7" w:rsidRPr="009672C7" w:rsidRDefault="009672C7" w:rsidP="009672C7">
      <w:pPr>
        <w:overflowPunct/>
        <w:autoSpaceDE/>
        <w:autoSpaceDN/>
        <w:adjustRightInd/>
        <w:spacing w:after="160" w:line="256"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After I took the male to the back of the police van, I asked the male for his details so I could perform a person check to see if he had any previous convictions for theft, to see if he was wanted for any outstanding offences and to find out if he had any warning markers.  When taking the males details I was very cautious to make sure that there was no one around the police van that could hear the male’s details in order to maintain confidentiality.  I was also very cautious on what information I asked the male for as the Data Protection Act 2018 states that personal data must only be collected for a specified, explicit and legitimate policing purpose (Ministry of Justice, 2015).</w:t>
      </w:r>
    </w:p>
    <w:p w14:paraId="36536D8B" w14:textId="77777777" w:rsidR="009672C7" w:rsidRPr="009672C7" w:rsidRDefault="009672C7" w:rsidP="009672C7">
      <w:pPr>
        <w:overflowPunct/>
        <w:autoSpaceDE/>
        <w:autoSpaceDN/>
        <w:adjustRightInd/>
        <w:spacing w:after="160" w:line="256"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 xml:space="preserve">The code states that when recording information that is relevant to the investigation, the officer in charge of the case must ensure that the information recorded is either in a durable or retrievable form (Ministry of Justice, 2015). During this incident, I ensured that I had my body worn video on throughout. I then uploaded this footage on to Evidence.com and redacted any sensitive information before attaching the footage to the occurrence on Niche.  I was also cautious of who was around me while playing back my body worn footage and made sure that no one was watching my computer screen while putting this information on Niche, in order to abide by the Data Protection Principles. </w:t>
      </w:r>
    </w:p>
    <w:p w14:paraId="399E35BA" w14:textId="77777777" w:rsidR="009672C7" w:rsidRPr="009672C7" w:rsidRDefault="009672C7" w:rsidP="009672C7">
      <w:pPr>
        <w:overflowPunct/>
        <w:autoSpaceDE/>
        <w:autoSpaceDN/>
        <w:adjustRightInd/>
        <w:spacing w:after="160" w:line="256"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 xml:space="preserve">The CPIA code of practice states that police officers have a duty of retain relevant information where it may be relevant to the investigation; this includes witness statements and any exhibits mentioned (Ministry of Justice, 2015). After I took witness statements from the store manager and the security guard at the store, I </w:t>
      </w:r>
      <w:r w:rsidRPr="009672C7">
        <w:rPr>
          <w:rFonts w:ascii="Calibri" w:eastAsia="Calibri" w:hAnsi="Calibri" w:cs="Times New Roman"/>
          <w:color w:val="auto"/>
          <w:sz w:val="22"/>
          <w:szCs w:val="22"/>
          <w:lang w:eastAsia="en-US"/>
        </w:rPr>
        <w:lastRenderedPageBreak/>
        <w:t xml:space="preserve">attached them to the occurrence on Niche. I asked the security guard to place the CCTV on a disk, which I then exhibited and booked into the property store. </w:t>
      </w:r>
    </w:p>
    <w:p w14:paraId="057FFE4F" w14:textId="77777777" w:rsidR="009672C7" w:rsidRPr="009672C7" w:rsidRDefault="009672C7" w:rsidP="009672C7">
      <w:pPr>
        <w:overflowPunct/>
        <w:autoSpaceDE/>
        <w:autoSpaceDN/>
        <w:adjustRightInd/>
        <w:spacing w:after="160" w:line="256"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 xml:space="preserve">Throughout this incident, it was Important to me to treat the male with dignity and respect and abide by the code of ethics. However, no matter how logical and fair we try to be, we are always operating with a degree of bias, sometimes without ever being aware of it </w:t>
      </w:r>
      <w:r w:rsidRPr="009672C7">
        <w:rPr>
          <w:rFonts w:eastAsia="Calibri"/>
          <w:shd w:val="clear" w:color="auto" w:fill="FFFFFF"/>
          <w:lang w:eastAsia="en-US"/>
        </w:rPr>
        <w:t xml:space="preserve">(Fuller, Murphy and Chow, 2021). </w:t>
      </w:r>
      <w:r w:rsidRPr="009672C7">
        <w:rPr>
          <w:rFonts w:ascii="Calibri" w:eastAsia="Calibri" w:hAnsi="Calibri" w:cs="Times New Roman"/>
          <w:color w:val="auto"/>
          <w:sz w:val="22"/>
          <w:szCs w:val="22"/>
          <w:lang w:eastAsia="en-US"/>
        </w:rPr>
        <w:t xml:space="preserve">Unconscious bias is a natural part of the human condition that can show up in our decisions, our reactions and how we interact with others </w:t>
      </w:r>
      <w:r w:rsidRPr="009672C7">
        <w:rPr>
          <w:rFonts w:eastAsia="Calibri"/>
          <w:shd w:val="clear" w:color="auto" w:fill="FFFFFF"/>
          <w:lang w:eastAsia="en-US"/>
        </w:rPr>
        <w:t>(Fuller, Murphy and Chow, 2021)</w:t>
      </w:r>
      <w:r w:rsidRPr="009672C7">
        <w:rPr>
          <w:rFonts w:ascii="Calibri" w:eastAsia="Calibri" w:hAnsi="Calibri" w:cs="Times New Roman"/>
          <w:color w:val="auto"/>
          <w:sz w:val="22"/>
          <w:szCs w:val="22"/>
          <w:lang w:eastAsia="en-US"/>
        </w:rPr>
        <w:t xml:space="preserve">.  Therefore, it is important to acknowledge it and challenge these behaviours. Unconscious bias comes in many different types, Research Bias being one of these. Research bias is how we tend to prefer information that confirms what we already believe. This may be when you search for evidence that may back up your pre-existing opinion by only looking for sources of information that hold similar views (BBC Bitesize, 2021). During this incident, it was important that I considered Research Bias and looked at all of the possible evidence and lines of enquiry, even if the information ended up leading me away from the male that I had originally detained. </w:t>
      </w:r>
    </w:p>
    <w:p w14:paraId="1A4BD918" w14:textId="77777777" w:rsidR="009672C7" w:rsidRPr="009672C7" w:rsidRDefault="009672C7" w:rsidP="009672C7">
      <w:pPr>
        <w:overflowPunct/>
        <w:autoSpaceDE/>
        <w:autoSpaceDN/>
        <w:adjustRightInd/>
        <w:spacing w:after="160" w:line="256" w:lineRule="auto"/>
        <w:textAlignment w:val="auto"/>
        <w:rPr>
          <w:rFonts w:ascii="Calibri" w:eastAsia="Calibri" w:hAnsi="Calibri" w:cs="Times New Roman"/>
          <w:color w:val="auto"/>
          <w:sz w:val="22"/>
          <w:szCs w:val="22"/>
          <w:lang w:eastAsia="en-US"/>
        </w:rPr>
      </w:pPr>
      <w:r w:rsidRPr="009672C7">
        <w:rPr>
          <w:rFonts w:ascii="Calibri" w:eastAsia="Calibri" w:hAnsi="Calibri" w:cs="Times New Roman"/>
          <w:color w:val="auto"/>
          <w:sz w:val="22"/>
          <w:szCs w:val="22"/>
          <w:lang w:eastAsia="en-US"/>
        </w:rPr>
        <w:t xml:space="preserve">Throughout this assignment, I have reflected on an incident where I played a significant role with an offender. I have used the National Decision Model to walk me through the decision-making process and to justify why I came to the decision to summons the male for the offence of theft instead of arresting him. This assignment has helped me to reflect on and realise the importance of pursuing a non-prosecution approach to minor offences in the first instance. This assignment has helped me realise all of the out of court disposals available to me and how I could have dealt with this incident and similar incidences differently if the need arises in the future. On reflection, I have realised that I probably should have looked at a restorative justice approach in the first instance because of the circumstances surrounding the incident with the male losing his job and the fact that it was his first offence. Throughout this assignment I have also looked at how police officers should record, retain and dispose of information in relation to the CPIA when conducting investigations and illustrated the potential impact of bias on the decision making process. </w:t>
      </w:r>
    </w:p>
    <w:p w14:paraId="6AD430A1" w14:textId="208A63F1" w:rsidR="009672C7" w:rsidRPr="009672C7" w:rsidRDefault="009672C7" w:rsidP="009672C7">
      <w:pPr>
        <w:overflowPunct/>
        <w:autoSpaceDE/>
        <w:autoSpaceDN/>
        <w:adjustRightInd/>
        <w:spacing w:after="160" w:line="256" w:lineRule="auto"/>
        <w:textAlignment w:val="auto"/>
        <w:rPr>
          <w:rFonts w:ascii="Calibri" w:eastAsia="Calibri" w:hAnsi="Calibri" w:cs="Times New Roman"/>
          <w:b/>
          <w:color w:val="auto"/>
          <w:sz w:val="22"/>
          <w:szCs w:val="22"/>
          <w:lang w:eastAsia="en-US"/>
        </w:rPr>
      </w:pPr>
      <w:r w:rsidRPr="009672C7">
        <w:rPr>
          <w:rFonts w:ascii="Calibri" w:eastAsia="Calibri" w:hAnsi="Calibri" w:cs="Times New Roman"/>
          <w:b/>
          <w:color w:val="auto"/>
          <w:sz w:val="22"/>
          <w:szCs w:val="22"/>
          <w:lang w:eastAsia="en-US"/>
        </w:rPr>
        <w:t>Word Count = 2260</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4F2D2F">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3"/>
        <w:gridCol w:w="2484"/>
        <w:gridCol w:w="2411"/>
        <w:gridCol w:w="2409"/>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625E0973" w:rsidR="00575A8F" w:rsidRPr="00270EEB" w:rsidRDefault="00FD17B7" w:rsidP="00E6298B">
            <w:pPr>
              <w:ind w:right="107"/>
              <w:jc w:val="both"/>
              <w:rPr>
                <w:sz w:val="24"/>
                <w:szCs w:val="24"/>
              </w:rPr>
            </w:pPr>
            <w:r>
              <w:rPr>
                <w:sz w:val="24"/>
                <w:szCs w:val="24"/>
              </w:rPr>
              <w:t xml:space="preserve">Witness statement writing – covering all of the points to prove an offence. </w:t>
            </w: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5F19978" w14:textId="77777777" w:rsidR="00575A8F" w:rsidRPr="00FD17B7" w:rsidRDefault="00FD17B7" w:rsidP="004F2D2F">
            <w:pPr>
              <w:pStyle w:val="ListParagraph"/>
              <w:numPr>
                <w:ilvl w:val="0"/>
                <w:numId w:val="6"/>
              </w:numPr>
              <w:ind w:right="107"/>
              <w:jc w:val="both"/>
              <w:rPr>
                <w:sz w:val="24"/>
                <w:szCs w:val="24"/>
              </w:rPr>
            </w:pPr>
            <w:r w:rsidRPr="00FD17B7">
              <w:rPr>
                <w:sz w:val="24"/>
                <w:szCs w:val="24"/>
              </w:rPr>
              <w:t xml:space="preserve">Regularly taking statements from witnesses </w:t>
            </w:r>
          </w:p>
          <w:p w14:paraId="31C08FAE" w14:textId="77777777" w:rsidR="00FD17B7" w:rsidRDefault="00FD17B7" w:rsidP="00E6298B">
            <w:pPr>
              <w:ind w:right="107"/>
              <w:jc w:val="both"/>
              <w:rPr>
                <w:sz w:val="24"/>
                <w:szCs w:val="24"/>
              </w:rPr>
            </w:pPr>
          </w:p>
          <w:p w14:paraId="4B105ABE" w14:textId="77777777" w:rsidR="00FD17B7" w:rsidRPr="00FD17B7" w:rsidRDefault="00FD17B7" w:rsidP="004F2D2F">
            <w:pPr>
              <w:pStyle w:val="ListParagraph"/>
              <w:numPr>
                <w:ilvl w:val="0"/>
                <w:numId w:val="6"/>
              </w:numPr>
              <w:ind w:right="107"/>
              <w:jc w:val="both"/>
              <w:rPr>
                <w:sz w:val="24"/>
                <w:szCs w:val="24"/>
              </w:rPr>
            </w:pPr>
            <w:r w:rsidRPr="00FD17B7">
              <w:rPr>
                <w:sz w:val="24"/>
                <w:szCs w:val="24"/>
              </w:rPr>
              <w:t xml:space="preserve">Volunteering to take statements from witnesses </w:t>
            </w:r>
          </w:p>
          <w:p w14:paraId="2E6F8C65" w14:textId="77777777" w:rsidR="00FD17B7" w:rsidRDefault="00FD17B7" w:rsidP="00E6298B">
            <w:pPr>
              <w:ind w:right="107"/>
              <w:jc w:val="both"/>
              <w:rPr>
                <w:sz w:val="24"/>
                <w:szCs w:val="24"/>
              </w:rPr>
            </w:pPr>
          </w:p>
          <w:p w14:paraId="2C5FB852" w14:textId="45339060" w:rsidR="00FD17B7" w:rsidRPr="00FD17B7" w:rsidRDefault="00FD17B7" w:rsidP="004F2D2F">
            <w:pPr>
              <w:pStyle w:val="ListParagraph"/>
              <w:numPr>
                <w:ilvl w:val="0"/>
                <w:numId w:val="6"/>
              </w:numPr>
              <w:ind w:right="107"/>
              <w:jc w:val="both"/>
              <w:rPr>
                <w:sz w:val="24"/>
                <w:szCs w:val="24"/>
              </w:rPr>
            </w:pPr>
            <w:r w:rsidRPr="00FD17B7">
              <w:rPr>
                <w:sz w:val="24"/>
                <w:szCs w:val="24"/>
              </w:rPr>
              <w:t xml:space="preserve">Look back at my notes and presentations on Moodle. </w:t>
            </w:r>
          </w:p>
        </w:tc>
        <w:tc>
          <w:tcPr>
            <w:tcW w:w="2426" w:type="dxa"/>
            <w:shd w:val="clear" w:color="auto" w:fill="auto"/>
          </w:tcPr>
          <w:p w14:paraId="6F2EF39C" w14:textId="7FB09461" w:rsidR="00575A8F" w:rsidRPr="00FD17B7" w:rsidRDefault="00FD17B7" w:rsidP="004F2D2F">
            <w:pPr>
              <w:pStyle w:val="ListParagraph"/>
              <w:numPr>
                <w:ilvl w:val="0"/>
                <w:numId w:val="6"/>
              </w:numPr>
              <w:ind w:right="107"/>
              <w:jc w:val="both"/>
              <w:rPr>
                <w:sz w:val="24"/>
                <w:szCs w:val="24"/>
              </w:rPr>
            </w:pPr>
            <w:r w:rsidRPr="00FD17B7">
              <w:rPr>
                <w:sz w:val="24"/>
                <w:szCs w:val="24"/>
              </w:rPr>
              <w:t xml:space="preserve">My tutor, my team and my shift Sargent will be able to provide support.  </w:t>
            </w:r>
          </w:p>
        </w:tc>
        <w:tc>
          <w:tcPr>
            <w:tcW w:w="2426" w:type="dxa"/>
            <w:shd w:val="clear" w:color="auto" w:fill="auto"/>
          </w:tcPr>
          <w:p w14:paraId="721DFB9F" w14:textId="4F5B8978" w:rsidR="28A9B94D" w:rsidRPr="00FD17B7" w:rsidRDefault="00FD17B7" w:rsidP="28A9B94D">
            <w:pPr>
              <w:jc w:val="both"/>
              <w:rPr>
                <w:sz w:val="24"/>
                <w:szCs w:val="24"/>
              </w:rPr>
            </w:pPr>
            <w:r w:rsidRPr="00FD17B7">
              <w:rPr>
                <w:b/>
                <w:sz w:val="24"/>
                <w:szCs w:val="24"/>
              </w:rPr>
              <w:t>S</w:t>
            </w:r>
            <w:r>
              <w:rPr>
                <w:b/>
                <w:sz w:val="24"/>
                <w:szCs w:val="24"/>
              </w:rPr>
              <w:t xml:space="preserve">pecific – </w:t>
            </w:r>
            <w:r w:rsidRPr="00FD17B7">
              <w:rPr>
                <w:sz w:val="24"/>
                <w:szCs w:val="24"/>
              </w:rPr>
              <w:t>I want to improve on covering all of the points to either prove or disprove an offence has taken place</w:t>
            </w:r>
          </w:p>
          <w:p w14:paraId="3C3ABAB7" w14:textId="6C80D67A" w:rsidR="00FD17B7" w:rsidRPr="004F2D2F" w:rsidRDefault="00FD17B7" w:rsidP="28A9B94D">
            <w:pPr>
              <w:jc w:val="both"/>
              <w:rPr>
                <w:sz w:val="24"/>
                <w:szCs w:val="24"/>
              </w:rPr>
            </w:pPr>
            <w:r w:rsidRPr="00FD17B7">
              <w:rPr>
                <w:b/>
                <w:sz w:val="24"/>
                <w:szCs w:val="24"/>
              </w:rPr>
              <w:t>M</w:t>
            </w:r>
            <w:r>
              <w:rPr>
                <w:b/>
                <w:sz w:val="24"/>
                <w:szCs w:val="24"/>
              </w:rPr>
              <w:t xml:space="preserve">easurable </w:t>
            </w:r>
            <w:r w:rsidR="004F2D2F">
              <w:rPr>
                <w:b/>
                <w:sz w:val="24"/>
                <w:szCs w:val="24"/>
              </w:rPr>
              <w:t>–</w:t>
            </w:r>
            <w:r>
              <w:rPr>
                <w:b/>
                <w:sz w:val="24"/>
                <w:szCs w:val="24"/>
              </w:rPr>
              <w:t xml:space="preserve"> </w:t>
            </w:r>
            <w:r w:rsidR="004F2D2F" w:rsidRPr="004F2D2F">
              <w:rPr>
                <w:sz w:val="24"/>
                <w:szCs w:val="24"/>
              </w:rPr>
              <w:t>My tutor and my shift Sargent will inform me that I am making progress</w:t>
            </w:r>
          </w:p>
          <w:p w14:paraId="1C735442" w14:textId="73D6C9CA" w:rsidR="00FD17B7" w:rsidRPr="00FD17B7" w:rsidRDefault="00FD17B7" w:rsidP="28A9B94D">
            <w:pPr>
              <w:jc w:val="both"/>
              <w:rPr>
                <w:b/>
                <w:sz w:val="24"/>
                <w:szCs w:val="24"/>
              </w:rPr>
            </w:pPr>
            <w:r w:rsidRPr="00FD17B7">
              <w:rPr>
                <w:b/>
                <w:sz w:val="24"/>
                <w:szCs w:val="24"/>
              </w:rPr>
              <w:t>A</w:t>
            </w:r>
            <w:r>
              <w:rPr>
                <w:b/>
                <w:sz w:val="24"/>
                <w:szCs w:val="24"/>
              </w:rPr>
              <w:t>chievable</w:t>
            </w:r>
            <w:r w:rsidR="004F2D2F">
              <w:rPr>
                <w:b/>
                <w:sz w:val="24"/>
                <w:szCs w:val="24"/>
              </w:rPr>
              <w:t xml:space="preserve"> – </w:t>
            </w:r>
            <w:r w:rsidR="004F2D2F" w:rsidRPr="004F2D2F">
              <w:rPr>
                <w:sz w:val="24"/>
                <w:szCs w:val="24"/>
              </w:rPr>
              <w:t xml:space="preserve">This goal is achievable as I take witness statements numerous times during a set </w:t>
            </w:r>
          </w:p>
          <w:p w14:paraId="35606108" w14:textId="7105055B" w:rsidR="00FD17B7" w:rsidRPr="004F2D2F" w:rsidRDefault="00FD17B7" w:rsidP="28A9B94D">
            <w:pPr>
              <w:jc w:val="both"/>
              <w:rPr>
                <w:sz w:val="24"/>
                <w:szCs w:val="24"/>
              </w:rPr>
            </w:pPr>
            <w:r w:rsidRPr="00FD17B7">
              <w:rPr>
                <w:b/>
                <w:sz w:val="24"/>
                <w:szCs w:val="24"/>
              </w:rPr>
              <w:t>R</w:t>
            </w:r>
            <w:r>
              <w:rPr>
                <w:b/>
                <w:sz w:val="24"/>
                <w:szCs w:val="24"/>
              </w:rPr>
              <w:t>ealistic</w:t>
            </w:r>
            <w:r w:rsidR="004F2D2F">
              <w:rPr>
                <w:b/>
                <w:sz w:val="24"/>
                <w:szCs w:val="24"/>
              </w:rPr>
              <w:t xml:space="preserve"> – </w:t>
            </w:r>
            <w:r w:rsidR="004F2D2F" w:rsidRPr="004F2D2F">
              <w:rPr>
                <w:sz w:val="24"/>
                <w:szCs w:val="24"/>
              </w:rPr>
              <w:t xml:space="preserve">This goal is realistic because I regularly take statements from witnesses </w:t>
            </w:r>
          </w:p>
          <w:p w14:paraId="3851D535" w14:textId="1A40D22E" w:rsidR="00FD17B7" w:rsidRDefault="00FD17B7" w:rsidP="28A9B94D">
            <w:pPr>
              <w:jc w:val="both"/>
              <w:rPr>
                <w:sz w:val="24"/>
                <w:szCs w:val="24"/>
              </w:rPr>
            </w:pPr>
            <w:r w:rsidRPr="00FD17B7">
              <w:rPr>
                <w:b/>
                <w:sz w:val="24"/>
                <w:szCs w:val="24"/>
              </w:rPr>
              <w:t>T</w:t>
            </w:r>
            <w:r>
              <w:rPr>
                <w:b/>
                <w:sz w:val="24"/>
                <w:szCs w:val="24"/>
              </w:rPr>
              <w:t xml:space="preserve">imely </w:t>
            </w:r>
            <w:r w:rsidR="004F2D2F">
              <w:rPr>
                <w:b/>
                <w:sz w:val="24"/>
                <w:szCs w:val="24"/>
              </w:rPr>
              <w:t xml:space="preserve">– </w:t>
            </w:r>
            <w:r w:rsidR="004F2D2F" w:rsidRPr="004F2D2F">
              <w:rPr>
                <w:sz w:val="24"/>
                <w:szCs w:val="24"/>
              </w:rPr>
              <w:t>My goal is to be better at statement writing and hitting the points to prove within one month</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07EE9F10" w:rsidR="00575A8F" w:rsidRDefault="00575A8F" w:rsidP="00E6298B">
            <w:pPr>
              <w:ind w:right="107"/>
              <w:jc w:val="both"/>
              <w:rPr>
                <w:sz w:val="24"/>
                <w:szCs w:val="24"/>
              </w:rPr>
            </w:pPr>
          </w:p>
          <w:p w14:paraId="6858D4B8" w14:textId="0E57C9D6" w:rsidR="00FD17B7" w:rsidRPr="00270EEB" w:rsidRDefault="00FD17B7" w:rsidP="00E6298B">
            <w:pPr>
              <w:ind w:right="107"/>
              <w:jc w:val="both"/>
              <w:rPr>
                <w:sz w:val="24"/>
                <w:szCs w:val="24"/>
              </w:rPr>
            </w:pPr>
            <w:r>
              <w:rPr>
                <w:sz w:val="24"/>
                <w:szCs w:val="24"/>
              </w:rPr>
              <w:t>Suspect Interviewing – covering all of the points to prove an offence.</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075447FB" w14:textId="38AD114C" w:rsidR="00575A8F" w:rsidRPr="00FD17B7" w:rsidRDefault="00FD17B7" w:rsidP="004F2D2F">
            <w:pPr>
              <w:pStyle w:val="ListParagraph"/>
              <w:numPr>
                <w:ilvl w:val="0"/>
                <w:numId w:val="5"/>
              </w:numPr>
              <w:ind w:right="107"/>
              <w:jc w:val="both"/>
              <w:rPr>
                <w:sz w:val="24"/>
                <w:szCs w:val="24"/>
              </w:rPr>
            </w:pPr>
            <w:r w:rsidRPr="00FD17B7">
              <w:rPr>
                <w:sz w:val="24"/>
                <w:szCs w:val="24"/>
              </w:rPr>
              <w:lastRenderedPageBreak/>
              <w:t xml:space="preserve">Regularly interviewing suspects. </w:t>
            </w:r>
          </w:p>
          <w:p w14:paraId="45C6BFDB" w14:textId="77777777" w:rsidR="00FD17B7" w:rsidRDefault="00FD17B7" w:rsidP="00E6298B">
            <w:pPr>
              <w:ind w:right="107"/>
              <w:jc w:val="both"/>
              <w:rPr>
                <w:sz w:val="24"/>
                <w:szCs w:val="24"/>
              </w:rPr>
            </w:pPr>
          </w:p>
          <w:p w14:paraId="6B3EC50F" w14:textId="77777777" w:rsidR="00FD17B7" w:rsidRPr="00FD17B7" w:rsidRDefault="00FD17B7" w:rsidP="004F2D2F">
            <w:pPr>
              <w:pStyle w:val="ListParagraph"/>
              <w:numPr>
                <w:ilvl w:val="0"/>
                <w:numId w:val="5"/>
              </w:numPr>
              <w:ind w:right="107"/>
              <w:jc w:val="both"/>
              <w:rPr>
                <w:sz w:val="24"/>
                <w:szCs w:val="24"/>
              </w:rPr>
            </w:pPr>
            <w:r w:rsidRPr="00FD17B7">
              <w:rPr>
                <w:sz w:val="24"/>
                <w:szCs w:val="24"/>
              </w:rPr>
              <w:t xml:space="preserve">Volunteering to interview suspects. </w:t>
            </w:r>
          </w:p>
          <w:p w14:paraId="0069FE53" w14:textId="77777777" w:rsidR="00FD17B7" w:rsidRDefault="00FD17B7" w:rsidP="00E6298B">
            <w:pPr>
              <w:ind w:right="107"/>
              <w:jc w:val="both"/>
              <w:rPr>
                <w:sz w:val="24"/>
                <w:szCs w:val="24"/>
              </w:rPr>
            </w:pPr>
          </w:p>
          <w:p w14:paraId="3BD876A6" w14:textId="21816B6C" w:rsidR="00FD17B7" w:rsidRPr="00FD17B7" w:rsidRDefault="00FD17B7" w:rsidP="004F2D2F">
            <w:pPr>
              <w:pStyle w:val="ListParagraph"/>
              <w:numPr>
                <w:ilvl w:val="0"/>
                <w:numId w:val="5"/>
              </w:numPr>
              <w:ind w:right="107"/>
              <w:jc w:val="both"/>
              <w:rPr>
                <w:sz w:val="24"/>
                <w:szCs w:val="24"/>
              </w:rPr>
            </w:pPr>
            <w:r>
              <w:rPr>
                <w:sz w:val="24"/>
                <w:szCs w:val="24"/>
              </w:rPr>
              <w:t xml:space="preserve">Look back at my </w:t>
            </w:r>
            <w:r w:rsidRPr="00FD17B7">
              <w:rPr>
                <w:sz w:val="24"/>
                <w:szCs w:val="24"/>
              </w:rPr>
              <w:t xml:space="preserve">notes and presentation on Moodle. </w:t>
            </w:r>
          </w:p>
        </w:tc>
        <w:tc>
          <w:tcPr>
            <w:tcW w:w="2426" w:type="dxa"/>
            <w:shd w:val="clear" w:color="auto" w:fill="auto"/>
          </w:tcPr>
          <w:p w14:paraId="7A4C9A77" w14:textId="13500FF7" w:rsidR="00575A8F" w:rsidRPr="00FD17B7" w:rsidRDefault="00FD17B7" w:rsidP="004F2D2F">
            <w:pPr>
              <w:pStyle w:val="ListParagraph"/>
              <w:numPr>
                <w:ilvl w:val="0"/>
                <w:numId w:val="5"/>
              </w:numPr>
              <w:ind w:right="107"/>
              <w:jc w:val="both"/>
              <w:rPr>
                <w:sz w:val="24"/>
                <w:szCs w:val="24"/>
              </w:rPr>
            </w:pPr>
            <w:r w:rsidRPr="00FD17B7">
              <w:rPr>
                <w:sz w:val="24"/>
                <w:szCs w:val="24"/>
              </w:rPr>
              <w:lastRenderedPageBreak/>
              <w:t xml:space="preserve">My tutor, my team and my shift Sargent will be able to provide support. </w:t>
            </w:r>
          </w:p>
        </w:tc>
        <w:tc>
          <w:tcPr>
            <w:tcW w:w="2426" w:type="dxa"/>
            <w:shd w:val="clear" w:color="auto" w:fill="auto"/>
          </w:tcPr>
          <w:p w14:paraId="605FA1E5" w14:textId="38ECD4F5" w:rsidR="00FD17B7" w:rsidRPr="004F2D2F" w:rsidRDefault="004F2D2F" w:rsidP="28A9B94D">
            <w:pPr>
              <w:jc w:val="both"/>
              <w:rPr>
                <w:b/>
                <w:sz w:val="24"/>
                <w:szCs w:val="24"/>
              </w:rPr>
            </w:pPr>
            <w:r w:rsidRPr="004F2D2F">
              <w:rPr>
                <w:b/>
                <w:sz w:val="24"/>
                <w:szCs w:val="24"/>
              </w:rPr>
              <w:t>Specific</w:t>
            </w:r>
            <w:r>
              <w:rPr>
                <w:b/>
                <w:sz w:val="24"/>
                <w:szCs w:val="24"/>
              </w:rPr>
              <w:t xml:space="preserve"> - </w:t>
            </w:r>
            <w:r w:rsidRPr="004F2D2F">
              <w:rPr>
                <w:sz w:val="24"/>
                <w:szCs w:val="24"/>
              </w:rPr>
              <w:t xml:space="preserve"> I would like to improve my suspect interviewing skills and hitting all of the points to prove to either prove or </w:t>
            </w:r>
            <w:r w:rsidRPr="004F2D2F">
              <w:rPr>
                <w:sz w:val="24"/>
                <w:szCs w:val="24"/>
              </w:rPr>
              <w:lastRenderedPageBreak/>
              <w:t>disprove an offence has taken place.</w:t>
            </w:r>
            <w:r>
              <w:rPr>
                <w:b/>
                <w:sz w:val="24"/>
                <w:szCs w:val="24"/>
              </w:rPr>
              <w:t xml:space="preserve"> </w:t>
            </w:r>
          </w:p>
          <w:p w14:paraId="4FA2E9B3" w14:textId="3608843F" w:rsidR="004F2D2F" w:rsidRPr="004F2D2F" w:rsidRDefault="004F2D2F" w:rsidP="28A9B94D">
            <w:pPr>
              <w:jc w:val="both"/>
              <w:rPr>
                <w:b/>
                <w:sz w:val="24"/>
                <w:szCs w:val="24"/>
              </w:rPr>
            </w:pPr>
            <w:r w:rsidRPr="004F2D2F">
              <w:rPr>
                <w:b/>
                <w:sz w:val="24"/>
                <w:szCs w:val="24"/>
              </w:rPr>
              <w:t xml:space="preserve">Measurable </w:t>
            </w:r>
            <w:r>
              <w:rPr>
                <w:b/>
                <w:sz w:val="24"/>
                <w:szCs w:val="24"/>
              </w:rPr>
              <w:t xml:space="preserve">– </w:t>
            </w:r>
            <w:r w:rsidRPr="004F2D2F">
              <w:rPr>
                <w:sz w:val="24"/>
                <w:szCs w:val="24"/>
              </w:rPr>
              <w:t>My tutor and my shift Sargent will be able to inform me if I am improving</w:t>
            </w:r>
          </w:p>
          <w:p w14:paraId="68F0FF52" w14:textId="196F73D6" w:rsidR="004F2D2F" w:rsidRPr="004F2D2F" w:rsidRDefault="004F2D2F" w:rsidP="28A9B94D">
            <w:pPr>
              <w:jc w:val="both"/>
              <w:rPr>
                <w:b/>
                <w:sz w:val="24"/>
                <w:szCs w:val="24"/>
              </w:rPr>
            </w:pPr>
            <w:r w:rsidRPr="004F2D2F">
              <w:rPr>
                <w:b/>
                <w:sz w:val="24"/>
                <w:szCs w:val="24"/>
              </w:rPr>
              <w:t xml:space="preserve">Achievable </w:t>
            </w:r>
            <w:r>
              <w:rPr>
                <w:b/>
                <w:sz w:val="24"/>
                <w:szCs w:val="24"/>
              </w:rPr>
              <w:t xml:space="preserve">– </w:t>
            </w:r>
            <w:r w:rsidRPr="004F2D2F">
              <w:rPr>
                <w:sz w:val="24"/>
                <w:szCs w:val="24"/>
              </w:rPr>
              <w:t>This goal is achievable as I regularly interview suspects</w:t>
            </w:r>
          </w:p>
          <w:p w14:paraId="337AAA9E" w14:textId="33D7C559" w:rsidR="004F2D2F" w:rsidRPr="004F2D2F" w:rsidRDefault="004F2D2F" w:rsidP="28A9B94D">
            <w:pPr>
              <w:jc w:val="both"/>
              <w:rPr>
                <w:b/>
                <w:sz w:val="24"/>
                <w:szCs w:val="24"/>
              </w:rPr>
            </w:pPr>
            <w:r w:rsidRPr="004F2D2F">
              <w:rPr>
                <w:b/>
                <w:sz w:val="24"/>
                <w:szCs w:val="24"/>
              </w:rPr>
              <w:t xml:space="preserve">Realistic </w:t>
            </w:r>
            <w:r>
              <w:rPr>
                <w:b/>
                <w:sz w:val="24"/>
                <w:szCs w:val="24"/>
              </w:rPr>
              <w:t xml:space="preserve">– </w:t>
            </w:r>
            <w:r w:rsidRPr="004F2D2F">
              <w:rPr>
                <w:sz w:val="24"/>
                <w:szCs w:val="24"/>
              </w:rPr>
              <w:t>This goal is realistic as I interview suspects numerous times during a shift.</w:t>
            </w:r>
            <w:r>
              <w:rPr>
                <w:b/>
                <w:sz w:val="24"/>
                <w:szCs w:val="24"/>
              </w:rPr>
              <w:t xml:space="preserve"> </w:t>
            </w:r>
          </w:p>
          <w:p w14:paraId="003BC03B" w14:textId="74DF2A03" w:rsidR="004F2D2F" w:rsidRDefault="004F2D2F" w:rsidP="28A9B94D">
            <w:pPr>
              <w:jc w:val="both"/>
              <w:rPr>
                <w:sz w:val="24"/>
                <w:szCs w:val="24"/>
              </w:rPr>
            </w:pPr>
            <w:r w:rsidRPr="004F2D2F">
              <w:rPr>
                <w:b/>
                <w:sz w:val="24"/>
                <w:szCs w:val="24"/>
              </w:rPr>
              <w:t>Timely</w:t>
            </w:r>
            <w:r>
              <w:rPr>
                <w:sz w:val="24"/>
                <w:szCs w:val="24"/>
              </w:rPr>
              <w:t xml:space="preserve"> – I would like to achieve my goal on improving my suspect interviewing skills in two months.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5C99FC6A"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4E491004" w14:textId="5EF4352A" w:rsidR="00575A8F" w:rsidRPr="00270EEB" w:rsidRDefault="004F2D2F" w:rsidP="00E6298B">
            <w:pPr>
              <w:ind w:right="107"/>
              <w:jc w:val="both"/>
              <w:rPr>
                <w:sz w:val="24"/>
                <w:szCs w:val="24"/>
              </w:rPr>
            </w:pPr>
            <w:r>
              <w:rPr>
                <w:sz w:val="24"/>
                <w:szCs w:val="24"/>
              </w:rPr>
              <w:t>To be more confident and assertive during conflict situations</w:t>
            </w: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6E3E933A" w14:textId="77777777" w:rsidR="00575A8F" w:rsidRPr="004F2D2F" w:rsidRDefault="004F2D2F" w:rsidP="004F2D2F">
            <w:pPr>
              <w:pStyle w:val="ListParagraph"/>
              <w:numPr>
                <w:ilvl w:val="0"/>
                <w:numId w:val="7"/>
              </w:numPr>
              <w:ind w:right="107"/>
              <w:jc w:val="both"/>
              <w:rPr>
                <w:sz w:val="24"/>
                <w:szCs w:val="24"/>
              </w:rPr>
            </w:pPr>
            <w:r w:rsidRPr="004F2D2F">
              <w:rPr>
                <w:sz w:val="24"/>
                <w:szCs w:val="24"/>
              </w:rPr>
              <w:t xml:space="preserve">Volunteer and attend calls where there is likely to be an element of conflict </w:t>
            </w:r>
          </w:p>
          <w:p w14:paraId="7F79A2C6" w14:textId="77777777" w:rsidR="004F2D2F" w:rsidRDefault="004F2D2F" w:rsidP="00E6298B">
            <w:pPr>
              <w:ind w:right="107"/>
              <w:jc w:val="both"/>
              <w:rPr>
                <w:sz w:val="24"/>
                <w:szCs w:val="24"/>
              </w:rPr>
            </w:pPr>
          </w:p>
          <w:p w14:paraId="022C407D" w14:textId="01229888" w:rsidR="004F2D2F" w:rsidRPr="004F2D2F" w:rsidRDefault="004F2D2F" w:rsidP="004F2D2F">
            <w:pPr>
              <w:pStyle w:val="ListParagraph"/>
              <w:numPr>
                <w:ilvl w:val="0"/>
                <w:numId w:val="7"/>
              </w:numPr>
              <w:ind w:right="107"/>
              <w:jc w:val="both"/>
              <w:rPr>
                <w:sz w:val="24"/>
                <w:szCs w:val="24"/>
              </w:rPr>
            </w:pPr>
            <w:r w:rsidRPr="004F2D2F">
              <w:rPr>
                <w:sz w:val="24"/>
                <w:szCs w:val="24"/>
              </w:rPr>
              <w:t xml:space="preserve">Look back at my notes and presentations on Moodle. </w:t>
            </w:r>
          </w:p>
        </w:tc>
        <w:tc>
          <w:tcPr>
            <w:tcW w:w="2426" w:type="dxa"/>
            <w:shd w:val="clear" w:color="auto" w:fill="auto"/>
          </w:tcPr>
          <w:p w14:paraId="76B2A824" w14:textId="29EA8B49" w:rsidR="00575A8F" w:rsidRPr="004F2D2F" w:rsidRDefault="004F2D2F" w:rsidP="004F2D2F">
            <w:pPr>
              <w:pStyle w:val="ListParagraph"/>
              <w:numPr>
                <w:ilvl w:val="0"/>
                <w:numId w:val="7"/>
              </w:numPr>
              <w:ind w:right="107"/>
              <w:jc w:val="both"/>
              <w:rPr>
                <w:sz w:val="24"/>
                <w:szCs w:val="24"/>
              </w:rPr>
            </w:pPr>
            <w:r w:rsidRPr="004F2D2F">
              <w:rPr>
                <w:sz w:val="24"/>
                <w:szCs w:val="24"/>
              </w:rPr>
              <w:t>My tutor, my team and my shift Sargent will be able to provide support.</w:t>
            </w:r>
          </w:p>
        </w:tc>
        <w:tc>
          <w:tcPr>
            <w:tcW w:w="2426" w:type="dxa"/>
            <w:shd w:val="clear" w:color="auto" w:fill="auto"/>
          </w:tcPr>
          <w:p w14:paraId="43F04F0F" w14:textId="7771E1B0" w:rsidR="28A9B94D" w:rsidRPr="004F2D2F" w:rsidRDefault="004F2D2F" w:rsidP="28A9B94D">
            <w:pPr>
              <w:jc w:val="both"/>
              <w:rPr>
                <w:b/>
                <w:sz w:val="24"/>
                <w:szCs w:val="24"/>
              </w:rPr>
            </w:pPr>
            <w:r w:rsidRPr="004F2D2F">
              <w:rPr>
                <w:b/>
                <w:sz w:val="24"/>
                <w:szCs w:val="24"/>
              </w:rPr>
              <w:t xml:space="preserve">Specific </w:t>
            </w:r>
            <w:r>
              <w:rPr>
                <w:b/>
                <w:sz w:val="24"/>
                <w:szCs w:val="24"/>
              </w:rPr>
              <w:t>–</w:t>
            </w:r>
            <w:r w:rsidRPr="004F2D2F">
              <w:rPr>
                <w:b/>
                <w:sz w:val="24"/>
                <w:szCs w:val="24"/>
              </w:rPr>
              <w:t xml:space="preserve"> </w:t>
            </w:r>
            <w:r w:rsidRPr="004F2D2F">
              <w:rPr>
                <w:sz w:val="24"/>
                <w:szCs w:val="24"/>
              </w:rPr>
              <w:t>I would like to improve on my communication skills and be more confident and assertive during situations where there is an element of conflict</w:t>
            </w:r>
          </w:p>
          <w:p w14:paraId="3EB0702A" w14:textId="3A7300E8" w:rsidR="004F2D2F" w:rsidRPr="004F2D2F" w:rsidRDefault="004F2D2F" w:rsidP="28A9B94D">
            <w:pPr>
              <w:jc w:val="both"/>
              <w:rPr>
                <w:sz w:val="24"/>
                <w:szCs w:val="24"/>
              </w:rPr>
            </w:pPr>
            <w:r w:rsidRPr="004F2D2F">
              <w:rPr>
                <w:b/>
                <w:sz w:val="24"/>
                <w:szCs w:val="24"/>
              </w:rPr>
              <w:t xml:space="preserve">Measurable </w:t>
            </w:r>
            <w:r>
              <w:rPr>
                <w:b/>
                <w:sz w:val="24"/>
                <w:szCs w:val="24"/>
              </w:rPr>
              <w:t>–</w:t>
            </w:r>
            <w:r w:rsidRPr="004F2D2F">
              <w:rPr>
                <w:b/>
                <w:sz w:val="24"/>
                <w:szCs w:val="24"/>
              </w:rPr>
              <w:t xml:space="preserve"> </w:t>
            </w:r>
            <w:r w:rsidRPr="004F2D2F">
              <w:rPr>
                <w:sz w:val="24"/>
                <w:szCs w:val="24"/>
              </w:rPr>
              <w:t>My tutor, my team and my shift Sargent will be able to provide me with feedback</w:t>
            </w:r>
          </w:p>
          <w:p w14:paraId="4F760299" w14:textId="2C47C95D" w:rsidR="004F2D2F" w:rsidRPr="004F2D2F" w:rsidRDefault="004F2D2F" w:rsidP="28A9B94D">
            <w:pPr>
              <w:jc w:val="both"/>
              <w:rPr>
                <w:b/>
                <w:sz w:val="24"/>
                <w:szCs w:val="24"/>
              </w:rPr>
            </w:pPr>
            <w:r w:rsidRPr="004F2D2F">
              <w:rPr>
                <w:b/>
                <w:sz w:val="24"/>
                <w:szCs w:val="24"/>
              </w:rPr>
              <w:t xml:space="preserve">Achievable </w:t>
            </w:r>
            <w:r>
              <w:rPr>
                <w:b/>
                <w:sz w:val="24"/>
                <w:szCs w:val="24"/>
              </w:rPr>
              <w:t xml:space="preserve">– </w:t>
            </w:r>
            <w:r w:rsidRPr="004F2D2F">
              <w:rPr>
                <w:sz w:val="24"/>
                <w:szCs w:val="24"/>
              </w:rPr>
              <w:t xml:space="preserve">This goal is very achievable as we deal with calls involving an element of conflict nearly every shift.  </w:t>
            </w:r>
          </w:p>
          <w:p w14:paraId="332F5770" w14:textId="1F3A2150" w:rsidR="004F2D2F" w:rsidRPr="004F2D2F" w:rsidRDefault="004F2D2F" w:rsidP="28A9B94D">
            <w:pPr>
              <w:jc w:val="both"/>
              <w:rPr>
                <w:b/>
                <w:sz w:val="24"/>
                <w:szCs w:val="24"/>
              </w:rPr>
            </w:pPr>
            <w:r w:rsidRPr="004F2D2F">
              <w:rPr>
                <w:b/>
                <w:sz w:val="24"/>
                <w:szCs w:val="24"/>
              </w:rPr>
              <w:t xml:space="preserve">Realistic - </w:t>
            </w:r>
            <w:r w:rsidRPr="004F2D2F">
              <w:rPr>
                <w:sz w:val="24"/>
                <w:szCs w:val="24"/>
              </w:rPr>
              <w:t>This goal is ve</w:t>
            </w:r>
            <w:r>
              <w:rPr>
                <w:sz w:val="24"/>
                <w:szCs w:val="24"/>
              </w:rPr>
              <w:t>ry realistic</w:t>
            </w:r>
            <w:r w:rsidRPr="004F2D2F">
              <w:rPr>
                <w:sz w:val="24"/>
                <w:szCs w:val="24"/>
              </w:rPr>
              <w:t xml:space="preserve"> as we deal with calls involving an element of conflict nearly every shift.  </w:t>
            </w:r>
          </w:p>
          <w:p w14:paraId="185B2EE5" w14:textId="1342403C" w:rsidR="004F2D2F" w:rsidRDefault="004F2D2F" w:rsidP="28A9B94D">
            <w:pPr>
              <w:jc w:val="both"/>
              <w:rPr>
                <w:sz w:val="24"/>
                <w:szCs w:val="24"/>
              </w:rPr>
            </w:pPr>
            <w:r w:rsidRPr="004F2D2F">
              <w:rPr>
                <w:b/>
                <w:sz w:val="24"/>
                <w:szCs w:val="24"/>
              </w:rPr>
              <w:lastRenderedPageBreak/>
              <w:t xml:space="preserve">Timely </w:t>
            </w:r>
            <w:r>
              <w:rPr>
                <w:b/>
                <w:sz w:val="24"/>
                <w:szCs w:val="24"/>
              </w:rPr>
              <w:t>–</w:t>
            </w:r>
            <w:r>
              <w:rPr>
                <w:sz w:val="24"/>
                <w:szCs w:val="24"/>
              </w:rPr>
              <w:t xml:space="preserve"> I would like to achieve my goal by the time I finish my tutorship in two weeks’ time.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2082CF29" w:rsidR="00390074" w:rsidRDefault="00390074" w:rsidP="00E6298B">
      <w:pPr>
        <w:ind w:right="107"/>
        <w:jc w:val="both"/>
        <w:rPr>
          <w:b/>
          <w:sz w:val="24"/>
          <w:szCs w:val="24"/>
        </w:rPr>
      </w:pPr>
    </w:p>
    <w:p w14:paraId="5359B214" w14:textId="1E8F851D" w:rsidR="00E156DF" w:rsidRPr="00E156DF" w:rsidRDefault="00E156DF" w:rsidP="00E156DF">
      <w:pPr>
        <w:rPr>
          <w:rFonts w:ascii="Calibri" w:eastAsia="Calibri" w:hAnsi="Calibri" w:cs="Calibri"/>
          <w:color w:val="auto"/>
          <w:sz w:val="22"/>
          <w:szCs w:val="22"/>
          <w:lang w:eastAsia="en-US"/>
        </w:rPr>
      </w:pPr>
      <w:r w:rsidRPr="00E156DF">
        <w:rPr>
          <w:rFonts w:ascii="Calibri" w:eastAsia="Calibri" w:hAnsi="Calibri" w:cs="Calibri"/>
          <w:color w:val="auto"/>
          <w:sz w:val="22"/>
          <w:szCs w:val="22"/>
          <w:shd w:val="clear" w:color="auto" w:fill="FFFFFF"/>
          <w:lang w:eastAsia="en-US"/>
        </w:rPr>
        <w:t xml:space="preserve">Annesley, M., Verni, K. and Dalziel, T. (2015) </w:t>
      </w:r>
      <w:r w:rsidRPr="00E156DF">
        <w:rPr>
          <w:rFonts w:ascii="Calibri" w:eastAsia="Calibri" w:hAnsi="Calibri" w:cs="Calibri"/>
          <w:i/>
          <w:iCs/>
          <w:color w:val="auto"/>
          <w:sz w:val="22"/>
          <w:szCs w:val="22"/>
          <w:shd w:val="clear" w:color="auto" w:fill="FFFFFF"/>
          <w:lang w:eastAsia="en-US"/>
        </w:rPr>
        <w:t>Practical mindfulness</w:t>
      </w:r>
      <w:r w:rsidRPr="00E156DF">
        <w:rPr>
          <w:rFonts w:ascii="Calibri" w:eastAsia="Calibri" w:hAnsi="Calibri" w:cs="Calibri"/>
          <w:color w:val="auto"/>
          <w:sz w:val="22"/>
          <w:szCs w:val="22"/>
          <w:shd w:val="clear" w:color="auto" w:fill="FFFFFF"/>
          <w:lang w:eastAsia="en-US"/>
        </w:rPr>
        <w:t>. London: Penguin Random House, p.6.</w:t>
      </w:r>
    </w:p>
    <w:p w14:paraId="331193BD"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shd w:val="clear" w:color="auto" w:fill="FFFFFF"/>
          <w:lang w:eastAsia="en-US"/>
        </w:rPr>
      </w:pPr>
      <w:r w:rsidRPr="00E156DF">
        <w:rPr>
          <w:rFonts w:ascii="Calibri" w:eastAsia="Calibri" w:hAnsi="Calibri" w:cs="Calibri"/>
          <w:color w:val="auto"/>
          <w:sz w:val="22"/>
          <w:szCs w:val="22"/>
          <w:shd w:val="clear" w:color="auto" w:fill="FFFFFF"/>
          <w:lang w:eastAsia="en-US"/>
        </w:rPr>
        <w:t>Bath, C. (2021). </w:t>
      </w:r>
      <w:r w:rsidRPr="00E156DF">
        <w:rPr>
          <w:rFonts w:ascii="Calibri" w:eastAsia="Calibri" w:hAnsi="Calibri" w:cs="Calibri"/>
          <w:i/>
          <w:iCs/>
          <w:color w:val="auto"/>
          <w:sz w:val="22"/>
          <w:szCs w:val="22"/>
          <w:shd w:val="clear" w:color="auto" w:fill="FFFFFF"/>
          <w:lang w:eastAsia="en-US"/>
        </w:rPr>
        <w:t>About appropriate adults</w:t>
      </w:r>
      <w:r w:rsidRPr="00E156DF">
        <w:rPr>
          <w:rFonts w:ascii="Calibri" w:eastAsia="Calibri" w:hAnsi="Calibri" w:cs="Calibri"/>
          <w:color w:val="auto"/>
          <w:sz w:val="22"/>
          <w:szCs w:val="22"/>
          <w:shd w:val="clear" w:color="auto" w:fill="FFFFFF"/>
          <w:lang w:eastAsia="en-US"/>
        </w:rPr>
        <w:t>. [online] Appropriateadult.org.uk. Available at: &lt;https://appropriateadult.org.uk/index.php/information/what-is-an-appropriate-adult&gt; [Accessed 5 June 2021].</w:t>
      </w:r>
    </w:p>
    <w:p w14:paraId="445D97C5"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shd w:val="clear" w:color="auto" w:fill="FFFFFF"/>
          <w:lang w:eastAsia="en-US"/>
        </w:rPr>
      </w:pPr>
      <w:r w:rsidRPr="00E156DF">
        <w:rPr>
          <w:rFonts w:ascii="Calibri" w:eastAsia="Calibri" w:hAnsi="Calibri" w:cs="Calibri"/>
          <w:color w:val="auto"/>
          <w:sz w:val="22"/>
          <w:szCs w:val="22"/>
          <w:shd w:val="clear" w:color="auto" w:fill="FFFFFF"/>
          <w:lang w:eastAsia="en-US"/>
        </w:rPr>
        <w:t xml:space="preserve">BBC Bitesize (2021). </w:t>
      </w:r>
      <w:r w:rsidRPr="00E156DF">
        <w:rPr>
          <w:rFonts w:ascii="Calibri" w:eastAsia="Calibri" w:hAnsi="Calibri" w:cs="Calibri"/>
          <w:i/>
          <w:color w:val="auto"/>
          <w:sz w:val="22"/>
          <w:szCs w:val="22"/>
          <w:shd w:val="clear" w:color="auto" w:fill="FFFFFF"/>
          <w:lang w:eastAsia="en-US"/>
        </w:rPr>
        <w:t>What is Confirmation Bias?</w:t>
      </w:r>
      <w:r w:rsidRPr="00E156DF">
        <w:rPr>
          <w:rFonts w:ascii="Calibri" w:eastAsia="Calibri" w:hAnsi="Calibri" w:cs="Calibri"/>
          <w:color w:val="auto"/>
          <w:sz w:val="22"/>
          <w:szCs w:val="22"/>
          <w:shd w:val="clear" w:color="auto" w:fill="FFFFFF"/>
          <w:lang w:eastAsia="en-US"/>
        </w:rPr>
        <w:t xml:space="preserve">  [online] Available at: &lt;https://www.bbc.co.uk/bitesize/articles/znbytrd&gt; [Accessed 23 June 2021].</w:t>
      </w:r>
    </w:p>
    <w:p w14:paraId="55943FCD"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shd w:val="clear" w:color="auto" w:fill="FFFFFF"/>
          <w:lang w:eastAsia="en-US"/>
        </w:rPr>
      </w:pPr>
      <w:r w:rsidRPr="00E156DF">
        <w:rPr>
          <w:rFonts w:ascii="Calibri" w:eastAsia="Calibri" w:hAnsi="Calibri" w:cs="Calibri"/>
          <w:color w:val="auto"/>
          <w:sz w:val="22"/>
          <w:szCs w:val="22"/>
          <w:shd w:val="clear" w:color="auto" w:fill="FFFFFF"/>
          <w:lang w:eastAsia="en-US"/>
        </w:rPr>
        <w:t xml:space="preserve">Borton, T. (1970) </w:t>
      </w:r>
      <w:r w:rsidRPr="00E156DF">
        <w:rPr>
          <w:rFonts w:ascii="Calibri" w:eastAsia="Calibri" w:hAnsi="Calibri" w:cs="Calibri"/>
          <w:i/>
          <w:color w:val="auto"/>
          <w:sz w:val="22"/>
          <w:szCs w:val="22"/>
          <w:shd w:val="clear" w:color="auto" w:fill="FFFFFF"/>
          <w:lang w:eastAsia="en-US"/>
        </w:rPr>
        <w:t>Reach, Touch and Teach</w:t>
      </w:r>
      <w:r w:rsidRPr="00E156DF">
        <w:rPr>
          <w:rFonts w:ascii="Calibri" w:eastAsia="Calibri" w:hAnsi="Calibri" w:cs="Calibri"/>
          <w:color w:val="auto"/>
          <w:sz w:val="22"/>
          <w:szCs w:val="22"/>
          <w:shd w:val="clear" w:color="auto" w:fill="FFFFFF"/>
          <w:lang w:eastAsia="en-US"/>
        </w:rPr>
        <w:t>, London, Hutchinson</w:t>
      </w:r>
    </w:p>
    <w:p w14:paraId="4014682C"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E156DF">
        <w:rPr>
          <w:rFonts w:ascii="Calibri" w:eastAsia="Calibri" w:hAnsi="Calibri" w:cs="Calibri"/>
          <w:color w:val="auto"/>
          <w:sz w:val="22"/>
          <w:szCs w:val="22"/>
          <w:lang w:eastAsia="en-US"/>
        </w:rPr>
        <w:t xml:space="preserve">College of Policing (2014). </w:t>
      </w:r>
      <w:r w:rsidRPr="00E156DF">
        <w:rPr>
          <w:rFonts w:ascii="Calibri" w:eastAsia="Calibri" w:hAnsi="Calibri" w:cs="Calibri"/>
          <w:i/>
          <w:color w:val="auto"/>
          <w:sz w:val="22"/>
          <w:szCs w:val="22"/>
          <w:lang w:eastAsia="en-US"/>
        </w:rPr>
        <w:t>National Decision Model</w:t>
      </w:r>
      <w:r w:rsidRPr="00E156DF">
        <w:rPr>
          <w:rFonts w:ascii="Calibri" w:eastAsia="Calibri" w:hAnsi="Calibri" w:cs="Calibri"/>
          <w:color w:val="auto"/>
          <w:sz w:val="22"/>
          <w:szCs w:val="22"/>
          <w:lang w:eastAsia="en-US"/>
        </w:rPr>
        <w:t xml:space="preserve"> [Online] Available at: </w:t>
      </w:r>
      <w:hyperlink r:id="rId26" w:anchor="six-key-elements-ciapoar" w:history="1">
        <w:r w:rsidRPr="00E156DF">
          <w:rPr>
            <w:rFonts w:ascii="Calibri" w:eastAsia="Calibri" w:hAnsi="Calibri" w:cs="Calibri"/>
            <w:color w:val="auto"/>
            <w:sz w:val="22"/>
            <w:szCs w:val="22"/>
            <w:lang w:eastAsia="en-US"/>
          </w:rPr>
          <w:t>https://www.app.college.police.uk/app-content/national-decision-model/the-national-decision-model/#six-key-elements-ciapoar</w:t>
        </w:r>
      </w:hyperlink>
      <w:r w:rsidRPr="00E156DF">
        <w:rPr>
          <w:rFonts w:ascii="Calibri" w:eastAsia="Calibri" w:hAnsi="Calibri" w:cs="Calibri"/>
          <w:color w:val="auto"/>
          <w:sz w:val="22"/>
          <w:szCs w:val="22"/>
          <w:lang w:eastAsia="en-US"/>
        </w:rPr>
        <w:t xml:space="preserve"> [Accessed 22</w:t>
      </w:r>
      <w:r w:rsidRPr="00E156DF">
        <w:rPr>
          <w:rFonts w:ascii="Calibri" w:eastAsia="Calibri" w:hAnsi="Calibri" w:cs="Calibri"/>
          <w:color w:val="auto"/>
          <w:sz w:val="22"/>
          <w:szCs w:val="22"/>
          <w:vertAlign w:val="superscript"/>
          <w:lang w:eastAsia="en-US"/>
        </w:rPr>
        <w:t>nd</w:t>
      </w:r>
      <w:r w:rsidRPr="00E156DF">
        <w:rPr>
          <w:rFonts w:ascii="Calibri" w:eastAsia="Calibri" w:hAnsi="Calibri" w:cs="Calibri"/>
          <w:color w:val="auto"/>
          <w:sz w:val="22"/>
          <w:szCs w:val="22"/>
          <w:lang w:eastAsia="en-US"/>
        </w:rPr>
        <w:t xml:space="preserve"> June 2021]</w:t>
      </w:r>
    </w:p>
    <w:p w14:paraId="69ED388C"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shd w:val="clear" w:color="auto" w:fill="FFFFFF"/>
          <w:lang w:eastAsia="en-US"/>
        </w:rPr>
      </w:pPr>
      <w:r w:rsidRPr="00E156DF">
        <w:rPr>
          <w:rFonts w:ascii="Calibri" w:eastAsia="Calibri" w:hAnsi="Calibri" w:cs="Calibri"/>
          <w:color w:val="auto"/>
          <w:sz w:val="22"/>
          <w:szCs w:val="22"/>
          <w:lang w:eastAsia="en-US"/>
        </w:rPr>
        <w:t xml:space="preserve">College of Policing (2018) </w:t>
      </w:r>
      <w:r w:rsidRPr="00E156DF">
        <w:rPr>
          <w:rFonts w:ascii="Calibri" w:eastAsia="Calibri" w:hAnsi="Calibri" w:cs="Calibri"/>
          <w:i/>
          <w:color w:val="auto"/>
          <w:sz w:val="22"/>
          <w:szCs w:val="22"/>
          <w:lang w:eastAsia="en-US"/>
        </w:rPr>
        <w:t>Core Planning Principles</w:t>
      </w:r>
      <w:r w:rsidRPr="00E156DF">
        <w:rPr>
          <w:rFonts w:ascii="Calibri" w:eastAsia="Calibri" w:hAnsi="Calibri" w:cs="Calibri"/>
          <w:color w:val="auto"/>
          <w:sz w:val="22"/>
          <w:szCs w:val="22"/>
          <w:lang w:eastAsia="en-US"/>
        </w:rPr>
        <w:t xml:space="preserve"> [Online] Available at: https://www.app.college.police.uk/app-content/operations/operational-planning/core-principles/#human-rights-act-1998 [Accessed 05 May 2021]</w:t>
      </w:r>
    </w:p>
    <w:p w14:paraId="4C9F4786"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E156DF">
        <w:rPr>
          <w:rFonts w:ascii="Calibri" w:eastAsia="Calibri" w:hAnsi="Calibri" w:cs="Calibri"/>
          <w:color w:val="auto"/>
          <w:sz w:val="22"/>
          <w:szCs w:val="22"/>
          <w:lang w:eastAsia="en-US"/>
        </w:rPr>
        <w:t xml:space="preserve">College or Policing (2013) </w:t>
      </w:r>
      <w:r w:rsidRPr="00E156DF">
        <w:rPr>
          <w:rFonts w:ascii="Calibri" w:eastAsia="Calibri" w:hAnsi="Calibri" w:cs="Calibri"/>
          <w:i/>
          <w:color w:val="auto"/>
          <w:sz w:val="22"/>
          <w:szCs w:val="22"/>
          <w:lang w:eastAsia="en-US"/>
        </w:rPr>
        <w:t>Police Use of Force</w:t>
      </w:r>
      <w:r w:rsidRPr="00E156DF">
        <w:rPr>
          <w:rFonts w:ascii="Calibri" w:eastAsia="Calibri" w:hAnsi="Calibri" w:cs="Calibri"/>
          <w:color w:val="auto"/>
          <w:sz w:val="22"/>
          <w:szCs w:val="22"/>
          <w:lang w:eastAsia="en-US"/>
        </w:rPr>
        <w:t xml:space="preserve"> [Online] Available at: https://www.app.college.police.uk/app-content/public-order/core-principles-and-legislation/police-use-of-force/ [Accessed 04 May 2021]</w:t>
      </w:r>
    </w:p>
    <w:p w14:paraId="08761BB1"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E156DF">
        <w:rPr>
          <w:rFonts w:ascii="Calibri" w:eastAsia="Calibri" w:hAnsi="Calibri" w:cs="Calibri"/>
          <w:color w:val="auto"/>
          <w:sz w:val="22"/>
          <w:szCs w:val="22"/>
          <w:lang w:eastAsia="en-US"/>
        </w:rPr>
        <w:t xml:space="preserve">Crown Prosecution Service (2017). </w:t>
      </w:r>
      <w:r w:rsidRPr="00E156DF">
        <w:rPr>
          <w:rFonts w:ascii="Calibri" w:eastAsia="Calibri" w:hAnsi="Calibri" w:cs="Calibri"/>
          <w:i/>
          <w:color w:val="auto"/>
          <w:sz w:val="22"/>
          <w:szCs w:val="22"/>
          <w:lang w:eastAsia="en-US"/>
        </w:rPr>
        <w:t>Minor Offences</w:t>
      </w:r>
      <w:r w:rsidRPr="00E156DF">
        <w:rPr>
          <w:rFonts w:ascii="Calibri" w:eastAsia="Calibri" w:hAnsi="Calibri" w:cs="Calibri"/>
          <w:color w:val="auto"/>
          <w:sz w:val="22"/>
          <w:szCs w:val="22"/>
          <w:lang w:eastAsia="en-US"/>
        </w:rPr>
        <w:t xml:space="preserve"> [Online] Available at: </w:t>
      </w:r>
      <w:hyperlink r:id="rId27" w:history="1">
        <w:r w:rsidRPr="00E156DF">
          <w:rPr>
            <w:rFonts w:ascii="Calibri" w:eastAsia="Calibri" w:hAnsi="Calibri" w:cs="Calibri"/>
            <w:color w:val="auto"/>
            <w:sz w:val="22"/>
            <w:szCs w:val="22"/>
            <w:lang w:eastAsia="en-US"/>
          </w:rPr>
          <w:t>https://www.cps.gov.uk/legal-guidance/minor-offences</w:t>
        </w:r>
      </w:hyperlink>
      <w:r w:rsidRPr="00E156DF">
        <w:rPr>
          <w:rFonts w:ascii="Calibri" w:eastAsia="Calibri" w:hAnsi="Calibri" w:cs="Calibri"/>
          <w:color w:val="auto"/>
          <w:sz w:val="22"/>
          <w:szCs w:val="22"/>
          <w:lang w:eastAsia="en-US"/>
        </w:rPr>
        <w:t xml:space="preserve"> [Accessed 22nd June 2021]</w:t>
      </w:r>
    </w:p>
    <w:p w14:paraId="3610FFF0"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E156DF">
        <w:rPr>
          <w:rFonts w:ascii="Calibri" w:eastAsia="Calibri" w:hAnsi="Calibri" w:cs="Calibri"/>
          <w:color w:val="auto"/>
          <w:sz w:val="22"/>
          <w:szCs w:val="22"/>
          <w:lang w:eastAsia="en-US"/>
        </w:rPr>
        <w:t xml:space="preserve">Crown Prosecution Service (2020). </w:t>
      </w:r>
      <w:r w:rsidRPr="00E156DF">
        <w:rPr>
          <w:rFonts w:ascii="Calibri" w:eastAsia="Calibri" w:hAnsi="Calibri" w:cs="Calibri"/>
          <w:i/>
          <w:color w:val="auto"/>
          <w:sz w:val="22"/>
          <w:szCs w:val="22"/>
        </w:rPr>
        <w:t xml:space="preserve">Offences against the Person, incorporating the Charging Standard. </w:t>
      </w:r>
      <w:r w:rsidRPr="00E156DF">
        <w:rPr>
          <w:rFonts w:ascii="Calibri" w:eastAsia="Calibri" w:hAnsi="Calibri" w:cs="Calibri"/>
          <w:color w:val="auto"/>
          <w:sz w:val="22"/>
          <w:szCs w:val="22"/>
        </w:rPr>
        <w:t xml:space="preserve">Available at: </w:t>
      </w:r>
      <w:hyperlink r:id="rId28" w:history="1">
        <w:r w:rsidRPr="00E156DF">
          <w:rPr>
            <w:rFonts w:ascii="Calibri" w:eastAsia="Calibri" w:hAnsi="Calibri" w:cs="Calibri"/>
            <w:color w:val="auto"/>
            <w:sz w:val="22"/>
            <w:szCs w:val="22"/>
            <w:lang w:eastAsia="en-US"/>
          </w:rPr>
          <w:t>https://www.cps.gov.uk/legal-guidance/offences-against-person-incorporating-charging-standard</w:t>
        </w:r>
      </w:hyperlink>
      <w:r w:rsidRPr="00E156DF">
        <w:rPr>
          <w:rFonts w:ascii="Calibri" w:eastAsia="Calibri" w:hAnsi="Calibri" w:cs="Calibri"/>
          <w:color w:val="auto"/>
          <w:sz w:val="22"/>
          <w:szCs w:val="22"/>
          <w:lang w:eastAsia="en-US"/>
        </w:rPr>
        <w:t xml:space="preserve"> [Accessed 26 May 2021)</w:t>
      </w:r>
    </w:p>
    <w:p w14:paraId="45375B3A"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shd w:val="clear" w:color="auto" w:fill="FFFFFF"/>
          <w:lang w:eastAsia="en-US"/>
        </w:rPr>
      </w:pPr>
      <w:r w:rsidRPr="00E156DF">
        <w:rPr>
          <w:rFonts w:ascii="Calibri" w:eastAsia="Calibri" w:hAnsi="Calibri" w:cs="Calibri"/>
          <w:color w:val="auto"/>
          <w:sz w:val="22"/>
          <w:szCs w:val="22"/>
          <w:shd w:val="clear" w:color="auto" w:fill="FFFFFF"/>
          <w:lang w:eastAsia="en-US"/>
        </w:rPr>
        <w:t>Emslie, S. and Hancock, C. (2008). </w:t>
      </w:r>
      <w:r w:rsidRPr="00E156DF">
        <w:rPr>
          <w:rFonts w:ascii="Calibri" w:eastAsia="Calibri" w:hAnsi="Calibri" w:cs="Calibri"/>
          <w:i/>
          <w:iCs/>
          <w:color w:val="auto"/>
          <w:sz w:val="22"/>
          <w:szCs w:val="22"/>
          <w:shd w:val="clear" w:color="auto" w:fill="FFFFFF"/>
          <w:lang w:eastAsia="en-US"/>
        </w:rPr>
        <w:t>Issues in healthcare risk management</w:t>
      </w:r>
      <w:r w:rsidRPr="00E156DF">
        <w:rPr>
          <w:rFonts w:ascii="Calibri" w:eastAsia="Calibri" w:hAnsi="Calibri" w:cs="Calibri"/>
          <w:color w:val="auto"/>
          <w:sz w:val="22"/>
          <w:szCs w:val="22"/>
          <w:shd w:val="clear" w:color="auto" w:fill="FFFFFF"/>
          <w:lang w:eastAsia="en-US"/>
        </w:rPr>
        <w:t>. Oxford: Healthcare Governance Ltd., p.226.</w:t>
      </w:r>
    </w:p>
    <w:p w14:paraId="77B38D05"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shd w:val="clear" w:color="auto" w:fill="FFFFFF"/>
          <w:lang w:eastAsia="en-US"/>
        </w:rPr>
      </w:pPr>
      <w:r w:rsidRPr="00E156DF">
        <w:rPr>
          <w:rFonts w:ascii="Calibri" w:eastAsia="Calibri" w:hAnsi="Calibri" w:cs="Calibri"/>
          <w:color w:val="auto"/>
          <w:sz w:val="22"/>
          <w:szCs w:val="22"/>
          <w:shd w:val="clear" w:color="auto" w:fill="FFFFFF"/>
          <w:lang w:eastAsia="en-US"/>
        </w:rPr>
        <w:t>Fuller, P., Murphy, M. and Chow, A. (2021). </w:t>
      </w:r>
      <w:r w:rsidRPr="00E156DF">
        <w:rPr>
          <w:rFonts w:ascii="Calibri" w:eastAsia="Calibri" w:hAnsi="Calibri" w:cs="Calibri"/>
          <w:i/>
          <w:iCs/>
          <w:color w:val="auto"/>
          <w:sz w:val="22"/>
          <w:szCs w:val="22"/>
          <w:shd w:val="clear" w:color="auto" w:fill="FFFFFF"/>
          <w:lang w:eastAsia="en-US"/>
        </w:rPr>
        <w:t>The leader's guide to unconscious bias</w:t>
      </w:r>
      <w:r w:rsidRPr="00E156DF">
        <w:rPr>
          <w:rFonts w:ascii="Calibri" w:eastAsia="Calibri" w:hAnsi="Calibri" w:cs="Calibri"/>
          <w:color w:val="auto"/>
          <w:sz w:val="22"/>
          <w:szCs w:val="22"/>
          <w:shd w:val="clear" w:color="auto" w:fill="FFFFFF"/>
          <w:lang w:eastAsia="en-US"/>
        </w:rPr>
        <w:t>. New York: Simon &amp; Schuster, p.1.</w:t>
      </w:r>
    </w:p>
    <w:p w14:paraId="3E35E790"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E156DF">
        <w:rPr>
          <w:rFonts w:ascii="Calibri" w:eastAsia="Calibri" w:hAnsi="Calibri" w:cs="Calibri"/>
          <w:color w:val="auto"/>
          <w:sz w:val="22"/>
          <w:szCs w:val="22"/>
          <w:shd w:val="clear" w:color="auto" w:fill="FFFFFF"/>
          <w:lang w:eastAsia="en-US"/>
        </w:rPr>
        <w:t>Gibbs, G. (1988) </w:t>
      </w:r>
      <w:r w:rsidRPr="00E156DF">
        <w:rPr>
          <w:rFonts w:ascii="Calibri" w:eastAsia="Calibri" w:hAnsi="Calibri" w:cs="Calibri"/>
          <w:i/>
          <w:iCs/>
          <w:color w:val="auto"/>
          <w:sz w:val="22"/>
          <w:szCs w:val="22"/>
          <w:shd w:val="clear" w:color="auto" w:fill="FFFFFF"/>
          <w:lang w:eastAsia="en-US"/>
        </w:rPr>
        <w:t>Learning by Doing: A Guide to a Teaching and Learning Methods</w:t>
      </w:r>
      <w:r w:rsidRPr="00E156DF">
        <w:rPr>
          <w:rFonts w:ascii="Calibri" w:eastAsia="Calibri" w:hAnsi="Calibri" w:cs="Calibri"/>
          <w:color w:val="auto"/>
          <w:sz w:val="22"/>
          <w:szCs w:val="22"/>
          <w:shd w:val="clear" w:color="auto" w:fill="FFFFFF"/>
          <w:lang w:eastAsia="en-US"/>
        </w:rPr>
        <w:t>. Oxford, Polytechnic: Further Educational Unit.</w:t>
      </w:r>
    </w:p>
    <w:p w14:paraId="350144C6" w14:textId="77777777" w:rsidR="00E156DF" w:rsidRPr="00E156DF" w:rsidRDefault="00E156DF" w:rsidP="00E156DF">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E156DF">
        <w:rPr>
          <w:rFonts w:ascii="Calibri" w:eastAsia="Calibri" w:hAnsi="Calibri" w:cs="Times New Roman"/>
          <w:color w:val="auto"/>
          <w:sz w:val="22"/>
          <w:szCs w:val="22"/>
          <w:lang w:eastAsia="en-US"/>
        </w:rPr>
        <w:t xml:space="preserve">GOV.UK. (2021). </w:t>
      </w:r>
      <w:r w:rsidRPr="00E156DF">
        <w:rPr>
          <w:rFonts w:ascii="Calibri" w:eastAsia="Calibri" w:hAnsi="Calibri" w:cs="Times New Roman"/>
          <w:i/>
          <w:color w:val="auto"/>
          <w:sz w:val="22"/>
          <w:szCs w:val="22"/>
          <w:lang w:eastAsia="en-US"/>
        </w:rPr>
        <w:t>Youth Justice and Criminal Evidence Act 1999</w:t>
      </w:r>
      <w:r w:rsidRPr="00E156DF">
        <w:rPr>
          <w:rFonts w:ascii="Calibri" w:eastAsia="Calibri" w:hAnsi="Calibri" w:cs="Times New Roman"/>
          <w:color w:val="auto"/>
          <w:sz w:val="22"/>
          <w:szCs w:val="22"/>
          <w:lang w:eastAsia="en-US"/>
        </w:rPr>
        <w:t>. Available at: https://www.legislation.gov.uk/ukpga/1999/23/section/16#:~:text=Youth%20Justice%20and%20Criminal%20Evidence%20Act%201999%2C%20Section,in%20the%20content%20and%20are%20referenced%20with%20annotations. [Accessed 15</w:t>
      </w:r>
      <w:r w:rsidRPr="00E156DF">
        <w:rPr>
          <w:rFonts w:ascii="Calibri" w:eastAsia="Calibri" w:hAnsi="Calibri" w:cs="Times New Roman"/>
          <w:color w:val="auto"/>
          <w:sz w:val="22"/>
          <w:szCs w:val="22"/>
          <w:vertAlign w:val="superscript"/>
          <w:lang w:eastAsia="en-US"/>
        </w:rPr>
        <w:t>th</w:t>
      </w:r>
      <w:r w:rsidRPr="00E156DF">
        <w:rPr>
          <w:rFonts w:ascii="Calibri" w:eastAsia="Calibri" w:hAnsi="Calibri" w:cs="Times New Roman"/>
          <w:color w:val="auto"/>
          <w:sz w:val="22"/>
          <w:szCs w:val="22"/>
          <w:lang w:eastAsia="en-US"/>
        </w:rPr>
        <w:t xml:space="preserve"> June 2021]</w:t>
      </w:r>
    </w:p>
    <w:p w14:paraId="0CB82205"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shd w:val="clear" w:color="auto" w:fill="FFFFFF"/>
          <w:lang w:eastAsia="en-US"/>
        </w:rPr>
      </w:pPr>
      <w:r w:rsidRPr="00E156DF">
        <w:rPr>
          <w:rFonts w:ascii="Calibri" w:eastAsia="Calibri" w:hAnsi="Calibri" w:cs="Calibri"/>
          <w:color w:val="auto"/>
          <w:sz w:val="22"/>
          <w:szCs w:val="22"/>
          <w:shd w:val="clear" w:color="auto" w:fill="FFFFFF"/>
          <w:lang w:eastAsia="en-US"/>
        </w:rPr>
        <w:t>GOV.UK. (2021). </w:t>
      </w:r>
      <w:r w:rsidRPr="00E156DF">
        <w:rPr>
          <w:rFonts w:ascii="Calibri" w:eastAsia="Calibri" w:hAnsi="Calibri" w:cs="Calibri"/>
          <w:i/>
          <w:iCs/>
          <w:color w:val="auto"/>
          <w:sz w:val="22"/>
          <w:szCs w:val="22"/>
          <w:shd w:val="clear" w:color="auto" w:fill="FFFFFF"/>
          <w:lang w:eastAsia="en-US"/>
        </w:rPr>
        <w:t>Code of Practice for Victims of Crime in England and Wales (Victim's Code)</w:t>
      </w:r>
      <w:r w:rsidRPr="00E156DF">
        <w:rPr>
          <w:rFonts w:ascii="Calibri" w:eastAsia="Calibri" w:hAnsi="Calibri" w:cs="Calibri"/>
          <w:color w:val="auto"/>
          <w:sz w:val="22"/>
          <w:szCs w:val="22"/>
          <w:shd w:val="clear" w:color="auto" w:fill="FFFFFF"/>
          <w:lang w:eastAsia="en-US"/>
        </w:rPr>
        <w:t>. [online] Available at: &lt;https://www.gov.uk/government/publications/the-code-of-practice-for-victims-of-crime/code-of-practice-for-victims-of-crime-in-england-and-wales-victims-code&gt; [Accessed 5 June 2021].</w:t>
      </w:r>
    </w:p>
    <w:p w14:paraId="0EFDD53D"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E156DF">
        <w:rPr>
          <w:rFonts w:ascii="Calibri" w:eastAsia="Calibri" w:hAnsi="Calibri" w:cs="Calibri"/>
          <w:color w:val="auto"/>
          <w:sz w:val="22"/>
          <w:szCs w:val="22"/>
          <w:lang w:eastAsia="en-US"/>
        </w:rPr>
        <w:lastRenderedPageBreak/>
        <w:t xml:space="preserve">Greenberg, M. (2006) </w:t>
      </w:r>
      <w:r w:rsidRPr="00E156DF">
        <w:rPr>
          <w:rFonts w:ascii="Calibri" w:eastAsia="Calibri" w:hAnsi="Calibri" w:cs="Calibri"/>
          <w:i/>
          <w:color w:val="auto"/>
          <w:sz w:val="22"/>
          <w:szCs w:val="22"/>
          <w:lang w:eastAsia="en-US"/>
        </w:rPr>
        <w:t>Promoting resilience in children and youth: Preventive interventions and their interface with neuroscience.</w:t>
      </w:r>
      <w:r w:rsidRPr="00E156DF">
        <w:rPr>
          <w:rFonts w:ascii="Calibri" w:eastAsia="Calibri" w:hAnsi="Calibri" w:cs="Calibri"/>
          <w:color w:val="auto"/>
          <w:sz w:val="22"/>
          <w:szCs w:val="22"/>
          <w:lang w:eastAsia="en-US"/>
        </w:rPr>
        <w:t xml:space="preserve"> Annals of New York Academy of Sciences, 1094(1), pp. 139-150 </w:t>
      </w:r>
    </w:p>
    <w:p w14:paraId="3AEA3A36"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E156DF">
        <w:rPr>
          <w:rFonts w:ascii="Calibri" w:eastAsia="Calibri" w:hAnsi="Calibri" w:cs="Calibri"/>
          <w:color w:val="auto"/>
          <w:sz w:val="22"/>
          <w:szCs w:val="22"/>
          <w:lang w:eastAsia="en-US"/>
        </w:rPr>
        <w:t xml:space="preserve">Home Office (2012) </w:t>
      </w:r>
      <w:r w:rsidRPr="00E156DF">
        <w:rPr>
          <w:rFonts w:ascii="Calibri" w:eastAsia="Calibri" w:hAnsi="Calibri" w:cs="Calibri"/>
          <w:i/>
          <w:iCs/>
          <w:color w:val="auto"/>
          <w:sz w:val="22"/>
          <w:szCs w:val="22"/>
          <w:shd w:val="clear" w:color="auto" w:fill="FFFFFF"/>
          <w:lang w:eastAsia="en-US"/>
        </w:rPr>
        <w:t>New definition of domestic violence</w:t>
      </w:r>
      <w:r w:rsidRPr="00E156DF">
        <w:rPr>
          <w:rFonts w:ascii="Calibri" w:eastAsia="Calibri" w:hAnsi="Calibri" w:cs="Calibri"/>
          <w:color w:val="auto"/>
          <w:sz w:val="22"/>
          <w:szCs w:val="22"/>
          <w:shd w:val="clear" w:color="auto" w:fill="FFFFFF"/>
          <w:lang w:eastAsia="en-US"/>
        </w:rPr>
        <w:t>. [Online] Available at: &lt;https://www.gov.uk/government/news/new-definition-of-domestic-violence#&gt; [Accessed 21 April 2021].</w:t>
      </w:r>
    </w:p>
    <w:p w14:paraId="7FEF0B8E"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lang w:eastAsia="en-US"/>
        </w:rPr>
      </w:pPr>
      <w:bookmarkStart w:id="12" w:name="_GoBack"/>
      <w:bookmarkEnd w:id="12"/>
      <w:r w:rsidRPr="00E156DF">
        <w:rPr>
          <w:rFonts w:ascii="Calibri" w:eastAsia="Calibri" w:hAnsi="Calibri" w:cs="Calibri"/>
          <w:color w:val="auto"/>
          <w:sz w:val="22"/>
          <w:szCs w:val="22"/>
          <w:lang w:eastAsia="en-US"/>
        </w:rPr>
        <w:t xml:space="preserve">Howatson- Jones, L. (2016) </w:t>
      </w:r>
      <w:r w:rsidRPr="00E156DF">
        <w:rPr>
          <w:rFonts w:ascii="Calibri" w:eastAsia="Calibri" w:hAnsi="Calibri" w:cs="Calibri"/>
          <w:i/>
          <w:color w:val="auto"/>
          <w:sz w:val="22"/>
          <w:szCs w:val="22"/>
          <w:lang w:eastAsia="en-US"/>
        </w:rPr>
        <w:t>Reflective Practice in Nursing</w:t>
      </w:r>
      <w:r w:rsidRPr="00E156DF">
        <w:rPr>
          <w:rFonts w:ascii="Calibri" w:eastAsia="Calibri" w:hAnsi="Calibri" w:cs="Calibri"/>
          <w:color w:val="auto"/>
          <w:sz w:val="22"/>
          <w:szCs w:val="22"/>
          <w:lang w:eastAsia="en-US"/>
        </w:rPr>
        <w:t xml:space="preserve">. London; Sage. </w:t>
      </w:r>
    </w:p>
    <w:p w14:paraId="109B430C"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E156DF">
        <w:rPr>
          <w:rFonts w:ascii="Calibri" w:eastAsia="Calibri" w:hAnsi="Calibri" w:cs="Calibri"/>
          <w:color w:val="auto"/>
          <w:sz w:val="22"/>
          <w:szCs w:val="22"/>
          <w:lang w:eastAsia="en-US"/>
        </w:rPr>
        <w:t xml:space="preserve">Legislation. Gov.uk. (2021) </w:t>
      </w:r>
      <w:r w:rsidRPr="00E156DF">
        <w:rPr>
          <w:rFonts w:ascii="Calibri" w:eastAsia="Calibri" w:hAnsi="Calibri" w:cs="Calibri"/>
          <w:i/>
          <w:color w:val="auto"/>
          <w:sz w:val="22"/>
          <w:szCs w:val="22"/>
          <w:lang w:eastAsia="en-US"/>
        </w:rPr>
        <w:t>Police and Criminal Evidence Act 1984</w:t>
      </w:r>
      <w:r w:rsidRPr="00E156DF">
        <w:rPr>
          <w:rFonts w:ascii="Calibri" w:eastAsia="Calibri" w:hAnsi="Calibri" w:cs="Calibri"/>
          <w:color w:val="auto"/>
          <w:sz w:val="22"/>
          <w:szCs w:val="22"/>
          <w:lang w:eastAsia="en-US"/>
        </w:rPr>
        <w:t>. [Online] Available at: Police and Criminal Evidence Act 1984 (legislation.gov.uk) [Accessed 20 May 2021]</w:t>
      </w:r>
    </w:p>
    <w:p w14:paraId="2F67CB99"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E156DF">
        <w:rPr>
          <w:rFonts w:ascii="Calibri" w:eastAsia="Calibri" w:hAnsi="Calibri" w:cs="Calibri"/>
          <w:color w:val="auto"/>
          <w:sz w:val="22"/>
          <w:szCs w:val="22"/>
          <w:lang w:eastAsia="en-US"/>
        </w:rPr>
        <w:t xml:space="preserve">Legislation.gov.uk (2021) Police and Criminal Evidence Act 1984 [Online] Available at: </w:t>
      </w:r>
      <w:hyperlink r:id="rId29" w:history="1">
        <w:r w:rsidRPr="00E156DF">
          <w:rPr>
            <w:rFonts w:ascii="Calibri" w:eastAsia="Calibri" w:hAnsi="Calibri" w:cs="Calibri"/>
            <w:color w:val="auto"/>
            <w:sz w:val="22"/>
            <w:szCs w:val="22"/>
            <w:lang w:eastAsia="en-US"/>
          </w:rPr>
          <w:t>https://www.legislation.gov.uk/ukpga/1984/60/secti</w:t>
        </w:r>
        <w:r w:rsidRPr="00E156DF">
          <w:rPr>
            <w:rFonts w:ascii="Calibri" w:eastAsia="Calibri" w:hAnsi="Calibri" w:cs="Calibri"/>
            <w:color w:val="auto"/>
            <w:sz w:val="22"/>
            <w:szCs w:val="22"/>
            <w:lang w:eastAsia="en-US"/>
          </w:rPr>
          <w:t>o</w:t>
        </w:r>
        <w:r w:rsidRPr="00E156DF">
          <w:rPr>
            <w:rFonts w:ascii="Calibri" w:eastAsia="Calibri" w:hAnsi="Calibri" w:cs="Calibri"/>
            <w:color w:val="auto"/>
            <w:sz w:val="22"/>
            <w:szCs w:val="22"/>
            <w:lang w:eastAsia="en-US"/>
          </w:rPr>
          <w:t>n/24</w:t>
        </w:r>
      </w:hyperlink>
      <w:r w:rsidRPr="00E156DF">
        <w:rPr>
          <w:rFonts w:ascii="Calibri" w:eastAsia="Calibri" w:hAnsi="Calibri" w:cs="Calibri"/>
          <w:color w:val="auto"/>
          <w:sz w:val="22"/>
          <w:szCs w:val="22"/>
          <w:lang w:eastAsia="en-US"/>
        </w:rPr>
        <w:t xml:space="preserve"> [Accessed 26</w:t>
      </w:r>
      <w:r w:rsidRPr="00E156DF">
        <w:rPr>
          <w:rFonts w:ascii="Calibri" w:eastAsia="Calibri" w:hAnsi="Calibri" w:cs="Calibri"/>
          <w:color w:val="auto"/>
          <w:sz w:val="22"/>
          <w:szCs w:val="22"/>
          <w:vertAlign w:val="superscript"/>
          <w:lang w:eastAsia="en-US"/>
        </w:rPr>
        <w:t>th</w:t>
      </w:r>
      <w:r w:rsidRPr="00E156DF">
        <w:rPr>
          <w:rFonts w:ascii="Calibri" w:eastAsia="Calibri" w:hAnsi="Calibri" w:cs="Calibri"/>
          <w:color w:val="auto"/>
          <w:sz w:val="22"/>
          <w:szCs w:val="22"/>
          <w:lang w:eastAsia="en-US"/>
        </w:rPr>
        <w:t xml:space="preserve"> June 2021]</w:t>
      </w:r>
    </w:p>
    <w:p w14:paraId="3BFA74D0"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E156DF">
        <w:rPr>
          <w:rFonts w:ascii="Calibri" w:eastAsia="Calibri" w:hAnsi="Calibri" w:cs="Calibri"/>
          <w:color w:val="auto"/>
          <w:sz w:val="22"/>
          <w:szCs w:val="22"/>
          <w:lang w:eastAsia="en-US"/>
        </w:rPr>
        <w:t xml:space="preserve">Legislation.gov.uk (2021) </w:t>
      </w:r>
      <w:r w:rsidRPr="00E156DF">
        <w:rPr>
          <w:rFonts w:ascii="Calibri" w:eastAsia="Calibri" w:hAnsi="Calibri" w:cs="Calibri"/>
          <w:i/>
          <w:color w:val="auto"/>
          <w:sz w:val="22"/>
          <w:szCs w:val="22"/>
          <w:lang w:eastAsia="en-US"/>
        </w:rPr>
        <w:t>Theft Act 1968</w:t>
      </w:r>
      <w:r w:rsidRPr="00E156DF">
        <w:rPr>
          <w:rFonts w:ascii="Calibri" w:eastAsia="Calibri" w:hAnsi="Calibri" w:cs="Calibri"/>
          <w:color w:val="auto"/>
          <w:sz w:val="22"/>
          <w:szCs w:val="22"/>
          <w:lang w:eastAsia="en-US"/>
        </w:rPr>
        <w:t xml:space="preserve"> [Online] Available at: </w:t>
      </w:r>
      <w:hyperlink r:id="rId30" w:history="1">
        <w:r w:rsidRPr="00E156DF">
          <w:rPr>
            <w:rFonts w:ascii="Calibri" w:eastAsia="Calibri" w:hAnsi="Calibri" w:cs="Calibri"/>
            <w:color w:val="auto"/>
            <w:sz w:val="22"/>
            <w:szCs w:val="22"/>
            <w:lang w:eastAsia="en-US"/>
          </w:rPr>
          <w:t>https://www.legislation.gov.uk/ukpga/1968/60/section</w:t>
        </w:r>
        <w:r w:rsidRPr="00E156DF">
          <w:rPr>
            <w:rFonts w:ascii="Calibri" w:eastAsia="Calibri" w:hAnsi="Calibri" w:cs="Calibri"/>
            <w:color w:val="auto"/>
            <w:sz w:val="22"/>
            <w:szCs w:val="22"/>
            <w:lang w:eastAsia="en-US"/>
          </w:rPr>
          <w:t>/</w:t>
        </w:r>
        <w:r w:rsidRPr="00E156DF">
          <w:rPr>
            <w:rFonts w:ascii="Calibri" w:eastAsia="Calibri" w:hAnsi="Calibri" w:cs="Calibri"/>
            <w:color w:val="auto"/>
            <w:sz w:val="22"/>
            <w:szCs w:val="22"/>
            <w:lang w:eastAsia="en-US"/>
          </w:rPr>
          <w:t>1</w:t>
        </w:r>
      </w:hyperlink>
      <w:r w:rsidRPr="00E156DF">
        <w:rPr>
          <w:rFonts w:ascii="Calibri" w:eastAsia="Calibri" w:hAnsi="Calibri" w:cs="Calibri"/>
          <w:color w:val="auto"/>
          <w:sz w:val="22"/>
          <w:szCs w:val="22"/>
          <w:lang w:eastAsia="en-US"/>
        </w:rPr>
        <w:t xml:space="preserve"> [Accessed 26</w:t>
      </w:r>
      <w:r w:rsidRPr="00E156DF">
        <w:rPr>
          <w:rFonts w:ascii="Calibri" w:eastAsia="Calibri" w:hAnsi="Calibri" w:cs="Calibri"/>
          <w:color w:val="auto"/>
          <w:sz w:val="22"/>
          <w:szCs w:val="22"/>
          <w:vertAlign w:val="superscript"/>
          <w:lang w:eastAsia="en-US"/>
        </w:rPr>
        <w:t>th</w:t>
      </w:r>
      <w:r w:rsidRPr="00E156DF">
        <w:rPr>
          <w:rFonts w:ascii="Calibri" w:eastAsia="Calibri" w:hAnsi="Calibri" w:cs="Calibri"/>
          <w:color w:val="auto"/>
          <w:sz w:val="22"/>
          <w:szCs w:val="22"/>
          <w:lang w:eastAsia="en-US"/>
        </w:rPr>
        <w:t xml:space="preserve"> June 2021]</w:t>
      </w:r>
    </w:p>
    <w:p w14:paraId="12602D4D"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E156DF">
        <w:rPr>
          <w:rFonts w:ascii="Calibri" w:eastAsia="Calibri" w:hAnsi="Calibri" w:cs="Calibri"/>
          <w:color w:val="auto"/>
          <w:sz w:val="22"/>
          <w:szCs w:val="22"/>
          <w:lang w:eastAsia="en-US"/>
        </w:rPr>
        <w:t xml:space="preserve">Legislation.gov.uk, (2018). </w:t>
      </w:r>
      <w:r w:rsidRPr="00E156DF">
        <w:rPr>
          <w:rFonts w:ascii="Calibri" w:eastAsia="Calibri" w:hAnsi="Calibri" w:cs="Calibri"/>
          <w:i/>
          <w:color w:val="auto"/>
          <w:sz w:val="22"/>
          <w:szCs w:val="22"/>
          <w:lang w:eastAsia="en-US"/>
        </w:rPr>
        <w:t>Data Protection Act 2018</w:t>
      </w:r>
      <w:r w:rsidRPr="00E156DF">
        <w:rPr>
          <w:rFonts w:ascii="Calibri" w:eastAsia="Calibri" w:hAnsi="Calibri" w:cs="Calibri"/>
          <w:color w:val="auto"/>
          <w:sz w:val="22"/>
          <w:szCs w:val="22"/>
          <w:lang w:eastAsia="en-US"/>
        </w:rPr>
        <w:t xml:space="preserve"> [Online] Available at: </w:t>
      </w:r>
      <w:hyperlink r:id="rId31" w:history="1">
        <w:r w:rsidRPr="00E156DF">
          <w:rPr>
            <w:rFonts w:ascii="Calibri" w:eastAsia="Calibri" w:hAnsi="Calibri" w:cs="Calibri"/>
            <w:color w:val="auto"/>
            <w:sz w:val="22"/>
            <w:szCs w:val="22"/>
            <w:lang w:eastAsia="en-US"/>
          </w:rPr>
          <w:t>https://www.legislation.gov.uk/ukpga/2018/12/section/38/enacted</w:t>
        </w:r>
      </w:hyperlink>
      <w:r w:rsidRPr="00E156DF">
        <w:rPr>
          <w:rFonts w:ascii="Calibri" w:eastAsia="Calibri" w:hAnsi="Calibri" w:cs="Calibri"/>
          <w:color w:val="auto"/>
          <w:sz w:val="22"/>
          <w:szCs w:val="22"/>
          <w:lang w:eastAsia="en-US"/>
        </w:rPr>
        <w:t xml:space="preserve"> [Accessed 23rd June 2021]</w:t>
      </w:r>
    </w:p>
    <w:p w14:paraId="0EB69F5E"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E156DF">
        <w:rPr>
          <w:rFonts w:ascii="Calibri" w:eastAsia="Calibri" w:hAnsi="Calibri" w:cs="Calibri"/>
          <w:color w:val="auto"/>
          <w:sz w:val="22"/>
          <w:szCs w:val="22"/>
          <w:lang w:eastAsia="en-US"/>
        </w:rPr>
        <w:t xml:space="preserve">Legislation.Gov.uk. (2021) </w:t>
      </w:r>
      <w:r w:rsidRPr="00E156DF">
        <w:rPr>
          <w:rFonts w:ascii="Calibri" w:eastAsia="Calibri" w:hAnsi="Calibri" w:cs="Calibri"/>
          <w:i/>
          <w:color w:val="auto"/>
          <w:sz w:val="22"/>
          <w:szCs w:val="22"/>
          <w:lang w:eastAsia="en-US"/>
        </w:rPr>
        <w:t>Criminal Law Act 1967</w:t>
      </w:r>
      <w:r w:rsidRPr="00E156DF">
        <w:rPr>
          <w:rFonts w:ascii="Calibri" w:eastAsia="Calibri" w:hAnsi="Calibri" w:cs="Calibri"/>
          <w:color w:val="auto"/>
          <w:sz w:val="22"/>
          <w:szCs w:val="22"/>
          <w:lang w:eastAsia="en-US"/>
        </w:rPr>
        <w:t xml:space="preserve">. [Online] Available at: </w:t>
      </w:r>
      <w:hyperlink r:id="rId32" w:history="1">
        <w:r w:rsidRPr="00E156DF">
          <w:rPr>
            <w:rFonts w:ascii="Calibri" w:eastAsia="Calibri" w:hAnsi="Calibri" w:cs="Calibri"/>
            <w:color w:val="auto"/>
            <w:sz w:val="22"/>
            <w:szCs w:val="22"/>
            <w:lang w:eastAsia="en-US"/>
          </w:rPr>
          <w:t>https://www.legislation.gov.uk/ukpga/1967/58/section/3</w:t>
        </w:r>
      </w:hyperlink>
      <w:r w:rsidRPr="00E156DF">
        <w:rPr>
          <w:rFonts w:ascii="Calibri" w:eastAsia="Calibri" w:hAnsi="Calibri" w:cs="Calibri"/>
          <w:color w:val="auto"/>
          <w:sz w:val="22"/>
          <w:szCs w:val="22"/>
          <w:lang w:eastAsia="en-US"/>
        </w:rPr>
        <w:t xml:space="preserve">  [Accessed 20 May 2021]</w:t>
      </w:r>
    </w:p>
    <w:p w14:paraId="0F0C9C10"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E156DF">
        <w:rPr>
          <w:rFonts w:ascii="Calibri" w:eastAsia="Calibri" w:hAnsi="Calibri" w:cs="Calibri"/>
          <w:color w:val="auto"/>
          <w:sz w:val="22"/>
          <w:szCs w:val="22"/>
          <w:lang w:eastAsia="en-US"/>
        </w:rPr>
        <w:t xml:space="preserve">Legislation.Gov.uk. (2021) </w:t>
      </w:r>
      <w:r w:rsidRPr="00E156DF">
        <w:rPr>
          <w:rFonts w:ascii="Calibri" w:eastAsia="Calibri" w:hAnsi="Calibri" w:cs="Calibri"/>
          <w:i/>
          <w:color w:val="auto"/>
          <w:sz w:val="22"/>
          <w:szCs w:val="22"/>
          <w:lang w:eastAsia="en-US"/>
        </w:rPr>
        <w:t>Human Rights Act 1998</w:t>
      </w:r>
      <w:r w:rsidRPr="00E156DF">
        <w:rPr>
          <w:rFonts w:ascii="Calibri" w:eastAsia="Calibri" w:hAnsi="Calibri" w:cs="Calibri"/>
          <w:color w:val="auto"/>
          <w:sz w:val="22"/>
          <w:szCs w:val="22"/>
          <w:lang w:eastAsia="en-US"/>
        </w:rPr>
        <w:t>. [Online] Available at: https://www.legislation.gov.uk/ukpga/1998/42/schedule/1/part/I/chapter/2 [Accessed 20 May 2021]</w:t>
      </w:r>
    </w:p>
    <w:p w14:paraId="71CBCD27"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E156DF">
        <w:rPr>
          <w:rFonts w:ascii="Calibri" w:eastAsia="Calibri" w:hAnsi="Calibri" w:cs="Calibri"/>
          <w:color w:val="auto"/>
          <w:sz w:val="22"/>
          <w:szCs w:val="22"/>
          <w:shd w:val="clear" w:color="auto" w:fill="FFFFFF"/>
          <w:lang w:eastAsia="en-US"/>
        </w:rPr>
        <w:t xml:space="preserve">Legislation.gov.uk. (2021) </w:t>
      </w:r>
      <w:r w:rsidRPr="00E156DF">
        <w:rPr>
          <w:rFonts w:ascii="Calibri" w:eastAsia="Calibri" w:hAnsi="Calibri" w:cs="Calibri"/>
          <w:i/>
          <w:color w:val="auto"/>
          <w:sz w:val="22"/>
          <w:szCs w:val="22"/>
          <w:shd w:val="clear" w:color="auto" w:fill="FFFFFF"/>
          <w:lang w:eastAsia="en-US"/>
        </w:rPr>
        <w:t>Offences against the person Act 1861</w:t>
      </w:r>
      <w:r w:rsidRPr="00E156DF">
        <w:rPr>
          <w:rFonts w:ascii="Calibri" w:eastAsia="Calibri" w:hAnsi="Calibri" w:cs="Calibri"/>
          <w:color w:val="auto"/>
          <w:sz w:val="22"/>
          <w:szCs w:val="22"/>
          <w:shd w:val="clear" w:color="auto" w:fill="FFFFFF"/>
          <w:lang w:eastAsia="en-US"/>
        </w:rPr>
        <w:t xml:space="preserve">. [Online] available at: </w:t>
      </w:r>
      <w:hyperlink r:id="rId33" w:history="1">
        <w:r w:rsidRPr="00E156DF">
          <w:rPr>
            <w:rFonts w:ascii="Calibri" w:eastAsia="Calibri" w:hAnsi="Calibri" w:cs="Calibri"/>
            <w:color w:val="auto"/>
            <w:sz w:val="22"/>
            <w:szCs w:val="22"/>
            <w:lang w:eastAsia="en-US"/>
          </w:rPr>
          <w:t>Offences against the Person Act 1861 (legislation.gov.uk)</w:t>
        </w:r>
      </w:hyperlink>
      <w:r w:rsidRPr="00E156DF">
        <w:rPr>
          <w:rFonts w:ascii="Calibri" w:eastAsia="Calibri" w:hAnsi="Calibri" w:cs="Calibri"/>
          <w:color w:val="auto"/>
          <w:sz w:val="22"/>
          <w:szCs w:val="22"/>
          <w:lang w:eastAsia="en-US"/>
        </w:rPr>
        <w:t xml:space="preserve"> [Accessed 21 April 2021]</w:t>
      </w:r>
    </w:p>
    <w:p w14:paraId="328A4BFA"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E156DF">
        <w:rPr>
          <w:rFonts w:ascii="Calibri" w:eastAsia="Calibri" w:hAnsi="Calibri" w:cs="Calibri"/>
          <w:color w:val="auto"/>
          <w:sz w:val="22"/>
          <w:szCs w:val="22"/>
          <w:lang w:eastAsia="en-US"/>
        </w:rPr>
        <w:t xml:space="preserve">Legislation.Gov.uk. (2021). </w:t>
      </w:r>
      <w:r w:rsidRPr="00E156DF">
        <w:rPr>
          <w:rFonts w:ascii="Calibri" w:eastAsia="Calibri" w:hAnsi="Calibri" w:cs="Calibri"/>
          <w:i/>
          <w:color w:val="auto"/>
          <w:sz w:val="22"/>
          <w:szCs w:val="22"/>
          <w:lang w:eastAsia="en-US"/>
        </w:rPr>
        <w:t>Human Rights Act 1998.</w:t>
      </w:r>
      <w:r w:rsidRPr="00E156DF">
        <w:rPr>
          <w:rFonts w:ascii="Calibri" w:eastAsia="Calibri" w:hAnsi="Calibri" w:cs="Calibri"/>
          <w:color w:val="auto"/>
          <w:sz w:val="22"/>
          <w:szCs w:val="22"/>
          <w:lang w:eastAsia="en-US"/>
        </w:rPr>
        <w:t xml:space="preserve"> [Online] Available at: </w:t>
      </w:r>
      <w:hyperlink r:id="rId34" w:history="1">
        <w:r w:rsidRPr="00E156DF">
          <w:rPr>
            <w:rFonts w:ascii="Calibri" w:eastAsia="Calibri" w:hAnsi="Calibri" w:cs="Calibri"/>
            <w:color w:val="auto"/>
            <w:sz w:val="22"/>
            <w:szCs w:val="22"/>
            <w:lang w:eastAsia="en-US"/>
          </w:rPr>
          <w:t>https://www.legislation.gov.uk/ukpga/1998/42/schedule/1/part/I/chapter/4</w:t>
        </w:r>
      </w:hyperlink>
      <w:r w:rsidRPr="00E156DF">
        <w:rPr>
          <w:rFonts w:ascii="Calibri" w:eastAsia="Calibri" w:hAnsi="Calibri" w:cs="Calibri"/>
          <w:color w:val="auto"/>
          <w:sz w:val="22"/>
          <w:szCs w:val="22"/>
          <w:lang w:eastAsia="en-US"/>
        </w:rPr>
        <w:t xml:space="preserve"> [Accessed 20 May 2021]</w:t>
      </w:r>
    </w:p>
    <w:p w14:paraId="7E918491"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shd w:val="clear" w:color="auto" w:fill="FFFFFF"/>
          <w:lang w:eastAsia="en-US"/>
        </w:rPr>
      </w:pPr>
      <w:r w:rsidRPr="00E156DF">
        <w:rPr>
          <w:rFonts w:ascii="Calibri" w:eastAsia="Calibri" w:hAnsi="Calibri" w:cs="Calibri"/>
          <w:color w:val="auto"/>
          <w:sz w:val="22"/>
          <w:szCs w:val="22"/>
          <w:shd w:val="clear" w:color="auto" w:fill="FFFFFF"/>
          <w:lang w:eastAsia="en-US"/>
        </w:rPr>
        <w:t>Legislation.gov.uk. (2021). </w:t>
      </w:r>
      <w:r w:rsidRPr="00E156DF">
        <w:rPr>
          <w:rFonts w:ascii="Calibri" w:eastAsia="Calibri" w:hAnsi="Calibri" w:cs="Calibri"/>
          <w:i/>
          <w:iCs/>
          <w:color w:val="auto"/>
          <w:sz w:val="22"/>
          <w:szCs w:val="22"/>
          <w:shd w:val="clear" w:color="auto" w:fill="FFFFFF"/>
          <w:lang w:eastAsia="en-US"/>
        </w:rPr>
        <w:t>Criminal Damage Act 1971</w:t>
      </w:r>
      <w:r w:rsidRPr="00E156DF">
        <w:rPr>
          <w:rFonts w:ascii="Calibri" w:eastAsia="Calibri" w:hAnsi="Calibri" w:cs="Calibri"/>
          <w:color w:val="auto"/>
          <w:sz w:val="22"/>
          <w:szCs w:val="22"/>
          <w:shd w:val="clear" w:color="auto" w:fill="FFFFFF"/>
          <w:lang w:eastAsia="en-US"/>
        </w:rPr>
        <w:t>. [Online] Available at: &lt;https://www.legislation.gov.uk/ukpga/1971/48&gt; [Accessed 21 April 2021].</w:t>
      </w:r>
    </w:p>
    <w:p w14:paraId="2F97AB35"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shd w:val="clear" w:color="auto" w:fill="FFFFFF"/>
          <w:lang w:eastAsia="en-US"/>
        </w:rPr>
      </w:pPr>
      <w:r w:rsidRPr="00E156DF">
        <w:rPr>
          <w:rFonts w:ascii="Calibri" w:eastAsia="Calibri" w:hAnsi="Calibri" w:cs="Calibri"/>
          <w:color w:val="auto"/>
          <w:sz w:val="22"/>
          <w:szCs w:val="22"/>
          <w:shd w:val="clear" w:color="auto" w:fill="FFFFFF"/>
          <w:lang w:eastAsia="en-US"/>
        </w:rPr>
        <w:t>Legislation.gov.uk. (2021). </w:t>
      </w:r>
      <w:r w:rsidRPr="00E156DF">
        <w:rPr>
          <w:rFonts w:ascii="Calibri" w:eastAsia="Calibri" w:hAnsi="Calibri" w:cs="Calibri"/>
          <w:i/>
          <w:iCs/>
          <w:color w:val="auto"/>
          <w:sz w:val="22"/>
          <w:szCs w:val="22"/>
          <w:shd w:val="clear" w:color="auto" w:fill="FFFFFF"/>
          <w:lang w:eastAsia="en-US"/>
        </w:rPr>
        <w:t>Criminal Justice Act 1988</w:t>
      </w:r>
      <w:r w:rsidRPr="00E156DF">
        <w:rPr>
          <w:rFonts w:ascii="Calibri" w:eastAsia="Calibri" w:hAnsi="Calibri" w:cs="Calibri"/>
          <w:color w:val="auto"/>
          <w:sz w:val="22"/>
          <w:szCs w:val="22"/>
          <w:shd w:val="clear" w:color="auto" w:fill="FFFFFF"/>
          <w:lang w:eastAsia="en-US"/>
        </w:rPr>
        <w:t>. [online] Available at: &lt;https://www.legislation.gov.uk/ukpga/1988/33/section/39&gt; [Accessed 21 April 2021].</w:t>
      </w:r>
    </w:p>
    <w:p w14:paraId="688FE5E5"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E156DF">
        <w:rPr>
          <w:rFonts w:ascii="Calibri" w:eastAsia="Calibri" w:hAnsi="Calibri" w:cs="Calibri"/>
          <w:color w:val="auto"/>
          <w:sz w:val="22"/>
          <w:szCs w:val="22"/>
          <w:shd w:val="clear" w:color="auto" w:fill="FFFFFF"/>
          <w:lang w:eastAsia="en-US"/>
        </w:rPr>
        <w:t>Legislation.gov.uk. (2021). </w:t>
      </w:r>
      <w:r w:rsidRPr="00E156DF">
        <w:rPr>
          <w:rFonts w:ascii="Calibri" w:eastAsia="Calibri" w:hAnsi="Calibri" w:cs="Calibri"/>
          <w:i/>
          <w:iCs/>
          <w:color w:val="auto"/>
          <w:sz w:val="22"/>
          <w:szCs w:val="22"/>
          <w:shd w:val="clear" w:color="auto" w:fill="FFFFFF"/>
          <w:lang w:eastAsia="en-US"/>
        </w:rPr>
        <w:t>Police and Criminal Evidence Act 1984</w:t>
      </w:r>
      <w:r w:rsidRPr="00E156DF">
        <w:rPr>
          <w:rFonts w:ascii="Calibri" w:eastAsia="Calibri" w:hAnsi="Calibri" w:cs="Calibri"/>
          <w:color w:val="auto"/>
          <w:sz w:val="22"/>
          <w:szCs w:val="22"/>
          <w:shd w:val="clear" w:color="auto" w:fill="FFFFFF"/>
          <w:lang w:eastAsia="en-US"/>
        </w:rPr>
        <w:t>. [online] Available at: &lt;https://www.legislation.gov.uk/ukpga/1984/60/section/117&gt; [Accessed 21 April 2021].</w:t>
      </w:r>
    </w:p>
    <w:p w14:paraId="737373A1"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shd w:val="clear" w:color="auto" w:fill="FFFFFF"/>
          <w:lang w:eastAsia="en-US"/>
        </w:rPr>
      </w:pPr>
      <w:r w:rsidRPr="00E156DF">
        <w:rPr>
          <w:rFonts w:ascii="Calibri" w:eastAsia="Calibri" w:hAnsi="Calibri" w:cs="Calibri"/>
          <w:color w:val="auto"/>
          <w:sz w:val="22"/>
          <w:szCs w:val="22"/>
          <w:shd w:val="clear" w:color="auto" w:fill="FFFFFF"/>
          <w:lang w:eastAsia="en-US"/>
        </w:rPr>
        <w:t>Lewis, H. (2012). </w:t>
      </w:r>
      <w:r w:rsidRPr="00E156DF">
        <w:rPr>
          <w:rFonts w:ascii="Calibri" w:eastAsia="Calibri" w:hAnsi="Calibri" w:cs="Calibri"/>
          <w:i/>
          <w:iCs/>
          <w:color w:val="auto"/>
          <w:sz w:val="22"/>
          <w:szCs w:val="22"/>
          <w:shd w:val="clear" w:color="auto" w:fill="FFFFFF"/>
          <w:lang w:eastAsia="en-US"/>
        </w:rPr>
        <w:t>Body language</w:t>
      </w:r>
      <w:r w:rsidRPr="00E156DF">
        <w:rPr>
          <w:rFonts w:ascii="Calibri" w:eastAsia="Calibri" w:hAnsi="Calibri" w:cs="Calibri"/>
          <w:color w:val="auto"/>
          <w:sz w:val="22"/>
          <w:szCs w:val="22"/>
          <w:shd w:val="clear" w:color="auto" w:fill="FFFFFF"/>
          <w:lang w:eastAsia="en-US"/>
        </w:rPr>
        <w:t>. Los Angeles, SAGE, p.15.</w:t>
      </w:r>
    </w:p>
    <w:p w14:paraId="2F27E7D8"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shd w:val="clear" w:color="auto" w:fill="FFFFFF"/>
          <w:lang w:eastAsia="en-US"/>
        </w:rPr>
      </w:pPr>
      <w:r w:rsidRPr="00E156DF">
        <w:rPr>
          <w:rFonts w:ascii="Calibri" w:eastAsia="Calibri" w:hAnsi="Calibri" w:cs="Calibri"/>
          <w:color w:val="auto"/>
          <w:sz w:val="22"/>
          <w:szCs w:val="22"/>
          <w:lang w:eastAsia="en-US"/>
        </w:rPr>
        <w:t>Manners, T. (</w:t>
      </w:r>
      <w:r w:rsidRPr="00E156DF">
        <w:rPr>
          <w:rFonts w:ascii="Calibri" w:eastAsia="Calibri" w:hAnsi="Calibri" w:cs="Calibri"/>
          <w:color w:val="auto"/>
          <w:sz w:val="22"/>
          <w:szCs w:val="22"/>
          <w:shd w:val="clear" w:color="auto" w:fill="FFFFFF"/>
          <w:lang w:eastAsia="en-US"/>
        </w:rPr>
        <w:t>2020). </w:t>
      </w:r>
      <w:r w:rsidRPr="00E156DF">
        <w:rPr>
          <w:rFonts w:ascii="Calibri" w:eastAsia="Calibri" w:hAnsi="Calibri" w:cs="Calibri"/>
          <w:i/>
          <w:iCs/>
          <w:color w:val="auto"/>
          <w:sz w:val="22"/>
          <w:szCs w:val="22"/>
          <w:shd w:val="clear" w:color="auto" w:fill="FFFFFF"/>
          <w:lang w:eastAsia="en-US"/>
        </w:rPr>
        <w:t>National Vulnerability Action Plan (NVAP) Revised 2020-2022 V2</w:t>
      </w:r>
      <w:r w:rsidRPr="00E156DF">
        <w:rPr>
          <w:rFonts w:ascii="Calibri" w:eastAsia="Calibri" w:hAnsi="Calibri" w:cs="Calibri"/>
          <w:color w:val="auto"/>
          <w:sz w:val="22"/>
          <w:szCs w:val="22"/>
          <w:shd w:val="clear" w:color="auto" w:fill="FFFFFF"/>
          <w:lang w:eastAsia="en-US"/>
        </w:rPr>
        <w:t>. [ebook] Available at: &lt;https://www.npcc.police.uk/Crime%20Ops%20Committee/NVAP.pdf&gt; [Accessed 5 June 2021].</w:t>
      </w:r>
    </w:p>
    <w:p w14:paraId="28F602CA"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shd w:val="clear" w:color="auto" w:fill="FFFFFF"/>
          <w:lang w:eastAsia="en-US"/>
        </w:rPr>
      </w:pPr>
      <w:r w:rsidRPr="00E156DF">
        <w:rPr>
          <w:rFonts w:ascii="Calibri" w:eastAsia="Calibri" w:hAnsi="Calibri" w:cs="Calibri"/>
          <w:color w:val="auto"/>
          <w:sz w:val="22"/>
          <w:szCs w:val="22"/>
          <w:shd w:val="clear" w:color="auto" w:fill="FFFFFF"/>
          <w:lang w:eastAsia="en-US"/>
        </w:rPr>
        <w:t>Mehrabian, A. (2017). </w:t>
      </w:r>
      <w:r w:rsidRPr="00E156DF">
        <w:rPr>
          <w:rFonts w:ascii="Calibri" w:eastAsia="Calibri" w:hAnsi="Calibri" w:cs="Calibri"/>
          <w:i/>
          <w:iCs/>
          <w:color w:val="auto"/>
          <w:sz w:val="22"/>
          <w:szCs w:val="22"/>
          <w:shd w:val="clear" w:color="auto" w:fill="FFFFFF"/>
          <w:lang w:eastAsia="en-US"/>
        </w:rPr>
        <w:t>Nonverbal communication</w:t>
      </w:r>
      <w:r w:rsidRPr="00E156DF">
        <w:rPr>
          <w:rFonts w:ascii="Calibri" w:eastAsia="Calibri" w:hAnsi="Calibri" w:cs="Calibri"/>
          <w:color w:val="auto"/>
          <w:sz w:val="22"/>
          <w:szCs w:val="22"/>
          <w:shd w:val="clear" w:color="auto" w:fill="FFFFFF"/>
          <w:lang w:eastAsia="en-US"/>
        </w:rPr>
        <w:t>. Taylor and Francis.</w:t>
      </w:r>
    </w:p>
    <w:p w14:paraId="00D5D781"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E156DF">
        <w:rPr>
          <w:rFonts w:ascii="Calibri" w:eastAsia="Calibri" w:hAnsi="Calibri" w:cs="Calibri"/>
          <w:color w:val="auto"/>
          <w:sz w:val="22"/>
          <w:szCs w:val="22"/>
          <w:lang w:eastAsia="en-US"/>
        </w:rPr>
        <w:t xml:space="preserve">Mind (2015) </w:t>
      </w:r>
      <w:r w:rsidRPr="00E156DF">
        <w:rPr>
          <w:rFonts w:ascii="Calibri" w:eastAsia="Calibri" w:hAnsi="Calibri" w:cs="Calibri"/>
          <w:i/>
          <w:color w:val="auto"/>
          <w:sz w:val="22"/>
          <w:szCs w:val="22"/>
          <w:lang w:eastAsia="en-US"/>
        </w:rPr>
        <w:t>Police – How to Manage Stress</w:t>
      </w:r>
      <w:r w:rsidRPr="00E156DF">
        <w:rPr>
          <w:rFonts w:ascii="Calibri" w:eastAsia="Calibri" w:hAnsi="Calibri" w:cs="Calibri"/>
          <w:color w:val="auto"/>
          <w:sz w:val="22"/>
          <w:szCs w:val="22"/>
          <w:lang w:eastAsia="en-US"/>
        </w:rPr>
        <w:t xml:space="preserve"> [PDF] Available at: https://www.mind.org.uk/media-a/4183/blue-light-stress-anxiety-police-2017.pdf [Accessed 24 March 2021]</w:t>
      </w:r>
    </w:p>
    <w:p w14:paraId="26B9145B"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E156DF">
        <w:rPr>
          <w:rFonts w:ascii="Calibri" w:eastAsia="Calibri" w:hAnsi="Calibri" w:cs="Calibri"/>
          <w:color w:val="auto"/>
          <w:sz w:val="22"/>
          <w:szCs w:val="22"/>
          <w:shd w:val="clear" w:color="auto" w:fill="FFFFFF"/>
          <w:lang w:eastAsia="en-US"/>
        </w:rPr>
        <w:t xml:space="preserve">Mind (2017). </w:t>
      </w:r>
      <w:r w:rsidRPr="00E156DF">
        <w:rPr>
          <w:rFonts w:ascii="Calibri" w:eastAsia="Calibri" w:hAnsi="Calibri" w:cs="Calibri"/>
          <w:i/>
          <w:iCs/>
          <w:color w:val="auto"/>
          <w:sz w:val="22"/>
          <w:szCs w:val="22"/>
          <w:shd w:val="clear" w:color="auto" w:fill="FFFFFF"/>
          <w:lang w:eastAsia="en-US"/>
        </w:rPr>
        <w:t>What is stress?</w:t>
      </w:r>
      <w:r w:rsidRPr="00E156DF">
        <w:rPr>
          <w:rFonts w:ascii="Calibri" w:eastAsia="Calibri" w:hAnsi="Calibri" w:cs="Calibri"/>
          <w:color w:val="auto"/>
          <w:sz w:val="22"/>
          <w:szCs w:val="22"/>
          <w:shd w:val="clear" w:color="auto" w:fill="FFFFFF"/>
          <w:lang w:eastAsia="en-US"/>
        </w:rPr>
        <w:t>. [Online] Available at: https://www.mind.org.uk/information-support/types-of-mental-health-problems/stress/what-is-stress/ [Accessed 24 March 2021].</w:t>
      </w:r>
    </w:p>
    <w:p w14:paraId="254EAC25"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E156DF">
        <w:rPr>
          <w:rFonts w:ascii="Calibri" w:eastAsia="Calibri" w:hAnsi="Calibri" w:cs="Calibri"/>
          <w:color w:val="auto"/>
          <w:sz w:val="22"/>
          <w:szCs w:val="22"/>
          <w:lang w:eastAsia="en-US"/>
        </w:rPr>
        <w:t xml:space="preserve">Ministry of Justice (2015). </w:t>
      </w:r>
      <w:r w:rsidRPr="00E156DF">
        <w:rPr>
          <w:rFonts w:ascii="Calibri" w:eastAsia="Calibri" w:hAnsi="Calibri" w:cs="Calibri"/>
          <w:i/>
          <w:color w:val="auto"/>
          <w:sz w:val="22"/>
          <w:szCs w:val="22"/>
          <w:lang w:eastAsia="en-US"/>
        </w:rPr>
        <w:t>Criminal Procedure and Investigations Act 1996 (section 23(1)) Code of Practice</w:t>
      </w:r>
      <w:r w:rsidRPr="00E156DF">
        <w:rPr>
          <w:rFonts w:ascii="Calibri" w:eastAsia="Calibri" w:hAnsi="Calibri" w:cs="Calibri"/>
          <w:color w:val="auto"/>
          <w:sz w:val="22"/>
          <w:szCs w:val="22"/>
          <w:lang w:eastAsia="en-US"/>
        </w:rPr>
        <w:t xml:space="preserve"> [Online] Available at: </w:t>
      </w:r>
      <w:hyperlink r:id="rId35" w:history="1">
        <w:r w:rsidRPr="00E156DF">
          <w:rPr>
            <w:rFonts w:ascii="Calibri" w:eastAsia="Calibri" w:hAnsi="Calibri" w:cs="Calibri"/>
            <w:color w:val="auto"/>
            <w:sz w:val="22"/>
            <w:szCs w:val="22"/>
            <w:lang w:eastAsia="en-US"/>
          </w:rPr>
          <w:t>https://assets.publ</w:t>
        </w:r>
        <w:r w:rsidRPr="00E156DF">
          <w:rPr>
            <w:rFonts w:ascii="Calibri" w:eastAsia="Calibri" w:hAnsi="Calibri" w:cs="Calibri"/>
            <w:color w:val="auto"/>
            <w:sz w:val="22"/>
            <w:szCs w:val="22"/>
            <w:lang w:eastAsia="en-US"/>
          </w:rPr>
          <w:t>i</w:t>
        </w:r>
        <w:r w:rsidRPr="00E156DF">
          <w:rPr>
            <w:rFonts w:ascii="Calibri" w:eastAsia="Calibri" w:hAnsi="Calibri" w:cs="Calibri"/>
            <w:color w:val="auto"/>
            <w:sz w:val="22"/>
            <w:szCs w:val="22"/>
            <w:lang w:eastAsia="en-US"/>
          </w:rPr>
          <w:t>shing.service.gov.uk/government/uploads/system/uploads/attachment_data/file/447967/code-of-practice-approved.pdf</w:t>
        </w:r>
      </w:hyperlink>
      <w:r w:rsidRPr="00E156DF">
        <w:rPr>
          <w:rFonts w:ascii="Calibri" w:eastAsia="Calibri" w:hAnsi="Calibri" w:cs="Calibri"/>
          <w:color w:val="auto"/>
          <w:sz w:val="22"/>
          <w:szCs w:val="22"/>
          <w:lang w:eastAsia="en-US"/>
        </w:rPr>
        <w:t xml:space="preserve"> [Accessed 23rd June 2021] page 4-8</w:t>
      </w:r>
    </w:p>
    <w:p w14:paraId="562ED88D"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shd w:val="clear" w:color="auto" w:fill="FFFFFF"/>
          <w:lang w:eastAsia="en-US"/>
        </w:rPr>
      </w:pPr>
      <w:r w:rsidRPr="00E156DF">
        <w:rPr>
          <w:rFonts w:ascii="Calibri" w:eastAsia="Calibri" w:hAnsi="Calibri" w:cs="Calibri"/>
          <w:color w:val="auto"/>
          <w:sz w:val="22"/>
          <w:szCs w:val="22"/>
          <w:shd w:val="clear" w:color="auto" w:fill="FFFFFF"/>
          <w:lang w:eastAsia="en-US"/>
        </w:rPr>
        <w:t xml:space="preserve">Rutter, M. (2012). </w:t>
      </w:r>
      <w:r w:rsidRPr="00E156DF">
        <w:rPr>
          <w:rFonts w:ascii="Calibri" w:eastAsia="Calibri" w:hAnsi="Calibri" w:cs="Calibri"/>
          <w:i/>
          <w:color w:val="auto"/>
          <w:sz w:val="22"/>
          <w:szCs w:val="22"/>
          <w:shd w:val="clear" w:color="auto" w:fill="FFFFFF"/>
          <w:lang w:eastAsia="en-US"/>
        </w:rPr>
        <w:t>Annual Research Review: Resilience - clinical implications</w:t>
      </w:r>
      <w:r w:rsidRPr="00E156DF">
        <w:rPr>
          <w:rFonts w:ascii="Calibri" w:eastAsia="Calibri" w:hAnsi="Calibri" w:cs="Calibri"/>
          <w:color w:val="auto"/>
          <w:sz w:val="22"/>
          <w:szCs w:val="22"/>
          <w:shd w:val="clear" w:color="auto" w:fill="FFFFFF"/>
          <w:lang w:eastAsia="en-US"/>
        </w:rPr>
        <w:t>. </w:t>
      </w:r>
      <w:r w:rsidRPr="00E156DF">
        <w:rPr>
          <w:rFonts w:ascii="Calibri" w:eastAsia="Calibri" w:hAnsi="Calibri" w:cs="Calibri"/>
          <w:i/>
          <w:iCs/>
          <w:color w:val="auto"/>
          <w:sz w:val="22"/>
          <w:szCs w:val="22"/>
          <w:shd w:val="clear" w:color="auto" w:fill="FFFFFF"/>
          <w:lang w:eastAsia="en-US"/>
        </w:rPr>
        <w:t>Journal of Child Psychology and Psychiatry</w:t>
      </w:r>
      <w:r w:rsidRPr="00E156DF">
        <w:rPr>
          <w:rFonts w:ascii="Calibri" w:eastAsia="Calibri" w:hAnsi="Calibri" w:cs="Calibri"/>
          <w:color w:val="auto"/>
          <w:sz w:val="22"/>
          <w:szCs w:val="22"/>
          <w:shd w:val="clear" w:color="auto" w:fill="FFFFFF"/>
          <w:lang w:eastAsia="en-US"/>
        </w:rPr>
        <w:t>, 54(4), pp.474-487.</w:t>
      </w:r>
    </w:p>
    <w:p w14:paraId="5E3677E5"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shd w:val="clear" w:color="auto" w:fill="FFFFFF"/>
          <w:lang w:eastAsia="en-US"/>
        </w:rPr>
      </w:pPr>
      <w:r w:rsidRPr="00E156DF">
        <w:rPr>
          <w:rFonts w:ascii="Calibri" w:eastAsia="Calibri" w:hAnsi="Calibri" w:cs="Calibri"/>
          <w:color w:val="auto"/>
          <w:sz w:val="22"/>
          <w:szCs w:val="22"/>
          <w:lang w:eastAsia="en-US"/>
        </w:rPr>
        <w:t xml:space="preserve">Scottish Government (2021). </w:t>
      </w:r>
      <w:r w:rsidRPr="00E156DF">
        <w:rPr>
          <w:rFonts w:ascii="Calibri" w:eastAsia="Calibri" w:hAnsi="Calibri" w:cs="Calibri"/>
          <w:i/>
          <w:iCs/>
          <w:color w:val="auto"/>
          <w:sz w:val="22"/>
          <w:szCs w:val="22"/>
          <w:shd w:val="clear" w:color="auto" w:fill="FFFFFF"/>
          <w:lang w:eastAsia="en-US"/>
        </w:rPr>
        <w:t>Victims and witnesses: Appropriate adults - gov.scot</w:t>
      </w:r>
      <w:r w:rsidRPr="00E156DF">
        <w:rPr>
          <w:rFonts w:ascii="Calibri" w:eastAsia="Calibri" w:hAnsi="Calibri" w:cs="Calibri"/>
          <w:color w:val="auto"/>
          <w:sz w:val="22"/>
          <w:szCs w:val="22"/>
          <w:shd w:val="clear" w:color="auto" w:fill="FFFFFF"/>
          <w:lang w:eastAsia="en-US"/>
        </w:rPr>
        <w:t>. [online] Available at: &lt;https://www.gov.scot/policies/victims-and-witnesses/appropriate-adults/#:~:text=Appropriate%20adults%20help%20to%20ensure%20that%20vulnerable%20adults,communication%20between%20the%20vulnerable%20person%20and%20the%20police.&gt; [Accessed 5 June 2021].</w:t>
      </w:r>
    </w:p>
    <w:p w14:paraId="6AA2661A"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shd w:val="clear" w:color="auto" w:fill="FFFFFF"/>
          <w:lang w:eastAsia="en-US"/>
        </w:rPr>
      </w:pPr>
      <w:r w:rsidRPr="00E156DF">
        <w:rPr>
          <w:rFonts w:ascii="Calibri" w:eastAsia="Calibri" w:hAnsi="Calibri" w:cs="Calibri"/>
          <w:color w:val="auto"/>
          <w:sz w:val="22"/>
          <w:szCs w:val="22"/>
          <w:shd w:val="clear" w:color="auto" w:fill="FFFFFF"/>
          <w:lang w:eastAsia="en-US"/>
        </w:rPr>
        <w:t>Seaward, B. (2017). </w:t>
      </w:r>
      <w:r w:rsidRPr="00E156DF">
        <w:rPr>
          <w:rFonts w:ascii="Calibri" w:eastAsia="Calibri" w:hAnsi="Calibri" w:cs="Calibri"/>
          <w:i/>
          <w:iCs/>
          <w:color w:val="auto"/>
          <w:sz w:val="22"/>
          <w:szCs w:val="22"/>
          <w:shd w:val="clear" w:color="auto" w:fill="FFFFFF"/>
          <w:lang w:eastAsia="en-US"/>
        </w:rPr>
        <w:t>Managing Stress: principles and strategies for health and well-being</w:t>
      </w:r>
      <w:r w:rsidRPr="00E156DF">
        <w:rPr>
          <w:rFonts w:ascii="Calibri" w:eastAsia="Calibri" w:hAnsi="Calibri" w:cs="Calibri"/>
          <w:color w:val="auto"/>
          <w:sz w:val="22"/>
          <w:szCs w:val="22"/>
          <w:shd w:val="clear" w:color="auto" w:fill="FFFFFF"/>
          <w:lang w:eastAsia="en-US"/>
        </w:rPr>
        <w:t>. 9th ed. Jones &amp; Barlett Learning, p.2.</w:t>
      </w:r>
    </w:p>
    <w:p w14:paraId="7333F272"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shd w:val="clear" w:color="auto" w:fill="FFFFFF"/>
          <w:lang w:eastAsia="en-US"/>
        </w:rPr>
      </w:pPr>
      <w:r w:rsidRPr="00E156DF">
        <w:rPr>
          <w:rFonts w:ascii="Calibri" w:eastAsia="Calibri" w:hAnsi="Calibri" w:cs="Calibri"/>
          <w:color w:val="auto"/>
          <w:sz w:val="22"/>
          <w:szCs w:val="22"/>
          <w:shd w:val="clear" w:color="auto" w:fill="FFFFFF"/>
          <w:lang w:eastAsia="en-US"/>
        </w:rPr>
        <w:t>Seraganian, P. (1993). </w:t>
      </w:r>
      <w:r w:rsidRPr="00E156DF">
        <w:rPr>
          <w:rFonts w:ascii="Calibri" w:eastAsia="Calibri" w:hAnsi="Calibri" w:cs="Calibri"/>
          <w:i/>
          <w:iCs/>
          <w:color w:val="auto"/>
          <w:sz w:val="22"/>
          <w:szCs w:val="22"/>
          <w:shd w:val="clear" w:color="auto" w:fill="FFFFFF"/>
          <w:lang w:eastAsia="en-US"/>
        </w:rPr>
        <w:t>Exercise psychology</w:t>
      </w:r>
      <w:r w:rsidRPr="00E156DF">
        <w:rPr>
          <w:rFonts w:ascii="Calibri" w:eastAsia="Calibri" w:hAnsi="Calibri" w:cs="Calibri"/>
          <w:color w:val="auto"/>
          <w:sz w:val="22"/>
          <w:szCs w:val="22"/>
          <w:shd w:val="clear" w:color="auto" w:fill="FFFFFF"/>
          <w:lang w:eastAsia="en-US"/>
        </w:rPr>
        <w:t>. New York: J. Wiley, pp.39-50.</w:t>
      </w:r>
    </w:p>
    <w:p w14:paraId="2AE8FB0C"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shd w:val="clear" w:color="auto" w:fill="FFFFFF"/>
          <w:lang w:eastAsia="en-US"/>
        </w:rPr>
      </w:pPr>
      <w:r w:rsidRPr="00E156DF">
        <w:rPr>
          <w:rFonts w:ascii="Calibri" w:eastAsia="Calibri" w:hAnsi="Calibri" w:cs="Calibri"/>
          <w:color w:val="auto"/>
          <w:sz w:val="22"/>
          <w:szCs w:val="22"/>
          <w:shd w:val="clear" w:color="auto" w:fill="FFFFFF"/>
          <w:lang w:eastAsia="en-US"/>
        </w:rPr>
        <w:t>Sooriya, P., (2017). </w:t>
      </w:r>
      <w:r w:rsidRPr="00E156DF">
        <w:rPr>
          <w:rFonts w:ascii="Calibri" w:eastAsia="Calibri" w:hAnsi="Calibri" w:cs="Calibri"/>
          <w:i/>
          <w:iCs/>
          <w:color w:val="auto"/>
          <w:sz w:val="22"/>
          <w:szCs w:val="22"/>
          <w:shd w:val="clear" w:color="auto" w:fill="FFFFFF"/>
          <w:lang w:eastAsia="en-US"/>
        </w:rPr>
        <w:t>Non Verbal Communication</w:t>
      </w:r>
      <w:r w:rsidRPr="00E156DF">
        <w:rPr>
          <w:rFonts w:ascii="Calibri" w:eastAsia="Calibri" w:hAnsi="Calibri" w:cs="Calibri"/>
          <w:color w:val="auto"/>
          <w:sz w:val="22"/>
          <w:szCs w:val="22"/>
          <w:shd w:val="clear" w:color="auto" w:fill="FFFFFF"/>
          <w:lang w:eastAsia="en-US"/>
        </w:rPr>
        <w:t>. Raleigh: Lulu Publication, pp.8-9.</w:t>
      </w:r>
    </w:p>
    <w:p w14:paraId="46F3CA1C"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rPr>
      </w:pPr>
      <w:r w:rsidRPr="00E156DF">
        <w:rPr>
          <w:rFonts w:ascii="Calibri" w:eastAsia="Calibri" w:hAnsi="Calibri" w:cs="Calibri"/>
          <w:color w:val="auto"/>
          <w:sz w:val="22"/>
          <w:szCs w:val="22"/>
        </w:rPr>
        <w:t xml:space="preserve">South Wales Police (2021). </w:t>
      </w:r>
      <w:r w:rsidRPr="00E156DF">
        <w:rPr>
          <w:rFonts w:ascii="Calibri" w:eastAsia="Calibri" w:hAnsi="Calibri" w:cs="Calibri"/>
          <w:i/>
          <w:color w:val="auto"/>
          <w:sz w:val="22"/>
          <w:szCs w:val="22"/>
        </w:rPr>
        <w:t>What is Hate Crime?</w:t>
      </w:r>
      <w:r w:rsidRPr="00E156DF">
        <w:rPr>
          <w:rFonts w:ascii="Calibri" w:eastAsia="Calibri" w:hAnsi="Calibri" w:cs="Calibri"/>
          <w:color w:val="auto"/>
          <w:sz w:val="22"/>
          <w:szCs w:val="22"/>
        </w:rPr>
        <w:t xml:space="preserve"> Available at: </w:t>
      </w:r>
      <w:hyperlink r:id="rId36" w:history="1">
        <w:r w:rsidRPr="00E156DF">
          <w:rPr>
            <w:rFonts w:ascii="Calibri" w:eastAsia="Calibri" w:hAnsi="Calibri" w:cs="Calibri"/>
            <w:color w:val="auto"/>
            <w:sz w:val="22"/>
            <w:szCs w:val="22"/>
          </w:rPr>
          <w:t>https://www.south-wales.police.uk/advice/advice-and-information/hco/hate-crime/what-is-hate-crime/</w:t>
        </w:r>
      </w:hyperlink>
      <w:r w:rsidRPr="00E156DF">
        <w:rPr>
          <w:rFonts w:ascii="Calibri" w:eastAsia="Calibri" w:hAnsi="Calibri" w:cs="Calibri"/>
          <w:color w:val="auto"/>
          <w:sz w:val="22"/>
          <w:szCs w:val="22"/>
        </w:rPr>
        <w:t xml:space="preserve"> [Accessed 26 May 2021]</w:t>
      </w:r>
    </w:p>
    <w:p w14:paraId="119D6A58"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shd w:val="clear" w:color="auto" w:fill="FFFFFF"/>
          <w:lang w:eastAsia="en-US"/>
        </w:rPr>
      </w:pPr>
      <w:r w:rsidRPr="00E156DF">
        <w:rPr>
          <w:rFonts w:ascii="Calibri" w:eastAsia="Calibri" w:hAnsi="Calibri" w:cs="Calibri"/>
          <w:color w:val="auto"/>
          <w:sz w:val="22"/>
          <w:szCs w:val="22"/>
          <w:shd w:val="clear" w:color="auto" w:fill="FFFFFF"/>
          <w:lang w:eastAsia="en-US"/>
        </w:rPr>
        <w:t>The Crown Prosecution Service (2021). </w:t>
      </w:r>
      <w:r w:rsidRPr="00E156DF">
        <w:rPr>
          <w:rFonts w:ascii="Calibri" w:eastAsia="Calibri" w:hAnsi="Calibri" w:cs="Calibri"/>
          <w:i/>
          <w:iCs/>
          <w:color w:val="auto"/>
          <w:sz w:val="22"/>
          <w:szCs w:val="22"/>
          <w:shd w:val="clear" w:color="auto" w:fill="FFFFFF"/>
          <w:lang w:eastAsia="en-US"/>
        </w:rPr>
        <w:t>Special Measures | The Crown Prosecution Service</w:t>
      </w:r>
      <w:r w:rsidRPr="00E156DF">
        <w:rPr>
          <w:rFonts w:ascii="Calibri" w:eastAsia="Calibri" w:hAnsi="Calibri" w:cs="Calibri"/>
          <w:color w:val="auto"/>
          <w:sz w:val="22"/>
          <w:szCs w:val="22"/>
          <w:shd w:val="clear" w:color="auto" w:fill="FFFFFF"/>
          <w:lang w:eastAsia="en-US"/>
        </w:rPr>
        <w:t>. [online] Available at: &lt;https://www.cps.gov.uk/legal-guidance/special-measures&gt; [Accessed 7 June 2021].</w:t>
      </w:r>
    </w:p>
    <w:p w14:paraId="5F056119"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lang w:eastAsia="en-US"/>
        </w:rPr>
      </w:pPr>
      <w:hyperlink r:id="rId37" w:history="1">
        <w:r w:rsidRPr="00E156DF">
          <w:rPr>
            <w:rFonts w:ascii="Calibri" w:eastAsia="Calibri" w:hAnsi="Calibri" w:cs="Calibri"/>
            <w:color w:val="auto"/>
            <w:sz w:val="22"/>
            <w:szCs w:val="22"/>
            <w:lang w:eastAsia="en-US"/>
          </w:rPr>
          <w:t>Titchener</w:t>
        </w:r>
      </w:hyperlink>
      <w:r w:rsidRPr="00E156DF">
        <w:rPr>
          <w:rFonts w:ascii="Calibri" w:eastAsia="Calibri" w:hAnsi="Calibri" w:cs="Calibri"/>
          <w:color w:val="auto"/>
          <w:sz w:val="22"/>
          <w:szCs w:val="22"/>
          <w:lang w:eastAsia="en-US"/>
        </w:rPr>
        <w:t xml:space="preserve">, N. (2021). </w:t>
      </w:r>
      <w:r w:rsidRPr="00E156DF">
        <w:rPr>
          <w:rFonts w:ascii="Calibri" w:eastAsia="Calibri" w:hAnsi="Calibri" w:cs="Calibri"/>
          <w:i/>
          <w:color w:val="auto"/>
          <w:sz w:val="22"/>
          <w:szCs w:val="22"/>
          <w:lang w:eastAsia="en-US"/>
        </w:rPr>
        <w:t xml:space="preserve">What is a Postal Requisition (Postal Charge) in UK law? </w:t>
      </w:r>
      <w:r w:rsidRPr="00E156DF">
        <w:rPr>
          <w:rFonts w:ascii="Calibri" w:eastAsia="Calibri" w:hAnsi="Calibri" w:cs="Calibri"/>
          <w:color w:val="auto"/>
          <w:sz w:val="22"/>
          <w:szCs w:val="22"/>
          <w:lang w:eastAsia="en-US"/>
        </w:rPr>
        <w:t>[Online]</w:t>
      </w:r>
      <w:r w:rsidRPr="00E156DF">
        <w:rPr>
          <w:rFonts w:ascii="Calibri" w:eastAsia="Calibri" w:hAnsi="Calibri" w:cs="Calibri"/>
          <w:i/>
          <w:color w:val="auto"/>
          <w:sz w:val="22"/>
          <w:szCs w:val="22"/>
          <w:lang w:eastAsia="en-US"/>
        </w:rPr>
        <w:t xml:space="preserve"> </w:t>
      </w:r>
      <w:r w:rsidRPr="00E156DF">
        <w:rPr>
          <w:rFonts w:ascii="Calibri" w:eastAsia="Calibri" w:hAnsi="Calibri" w:cs="Calibri"/>
          <w:color w:val="auto"/>
          <w:sz w:val="22"/>
          <w:szCs w:val="22"/>
          <w:lang w:eastAsia="en-US"/>
        </w:rPr>
        <w:t xml:space="preserve">Available at: </w:t>
      </w:r>
      <w:hyperlink r:id="rId38" w:history="1">
        <w:r w:rsidRPr="00E156DF">
          <w:rPr>
            <w:rFonts w:ascii="Calibri" w:eastAsia="Calibri" w:hAnsi="Calibri" w:cs="Calibri"/>
            <w:color w:val="auto"/>
            <w:sz w:val="22"/>
            <w:szCs w:val="22"/>
            <w:lang w:eastAsia="en-US"/>
          </w:rPr>
          <w:t>What is a Postal Requisition (Postal Charge) in UK law? | Lawtons Solicitors (UK) (lawtonslaw.co.uk)</w:t>
        </w:r>
      </w:hyperlink>
      <w:r w:rsidRPr="00E156DF">
        <w:rPr>
          <w:rFonts w:ascii="Calibri" w:eastAsia="Calibri" w:hAnsi="Calibri" w:cs="Calibri"/>
          <w:color w:val="auto"/>
          <w:sz w:val="22"/>
          <w:szCs w:val="22"/>
          <w:lang w:eastAsia="en-US"/>
        </w:rPr>
        <w:t xml:space="preserve"> [Accessed 22</w:t>
      </w:r>
      <w:r w:rsidRPr="00E156DF">
        <w:rPr>
          <w:rFonts w:ascii="Calibri" w:eastAsia="Calibri" w:hAnsi="Calibri" w:cs="Calibri"/>
          <w:color w:val="auto"/>
          <w:sz w:val="22"/>
          <w:szCs w:val="22"/>
          <w:vertAlign w:val="superscript"/>
          <w:lang w:eastAsia="en-US"/>
        </w:rPr>
        <w:t>nd</w:t>
      </w:r>
      <w:r w:rsidRPr="00E156DF">
        <w:rPr>
          <w:rFonts w:ascii="Calibri" w:eastAsia="Calibri" w:hAnsi="Calibri" w:cs="Calibri"/>
          <w:color w:val="auto"/>
          <w:sz w:val="22"/>
          <w:szCs w:val="22"/>
          <w:lang w:eastAsia="en-US"/>
        </w:rPr>
        <w:t xml:space="preserve"> June 2021]</w:t>
      </w:r>
    </w:p>
    <w:p w14:paraId="6C6ADF96"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shd w:val="clear" w:color="auto" w:fill="FFFFFF"/>
          <w:lang w:eastAsia="en-US"/>
        </w:rPr>
      </w:pPr>
      <w:r w:rsidRPr="00E156DF">
        <w:rPr>
          <w:rFonts w:ascii="Calibri" w:eastAsia="Calibri" w:hAnsi="Calibri" w:cs="Calibri"/>
          <w:color w:val="auto"/>
          <w:sz w:val="22"/>
          <w:szCs w:val="22"/>
          <w:shd w:val="clear" w:color="auto" w:fill="FFFFFF"/>
          <w:lang w:eastAsia="en-US"/>
        </w:rPr>
        <w:t>Victim Support (2021). </w:t>
      </w:r>
      <w:r w:rsidRPr="00E156DF">
        <w:rPr>
          <w:rFonts w:ascii="Calibri" w:eastAsia="Calibri" w:hAnsi="Calibri" w:cs="Calibri"/>
          <w:i/>
          <w:iCs/>
          <w:color w:val="auto"/>
          <w:sz w:val="22"/>
          <w:szCs w:val="22"/>
          <w:shd w:val="clear" w:color="auto" w:fill="FFFFFF"/>
          <w:lang w:eastAsia="en-US"/>
        </w:rPr>
        <w:t>More from us - Victim Support</w:t>
      </w:r>
      <w:r w:rsidRPr="00E156DF">
        <w:rPr>
          <w:rFonts w:ascii="Calibri" w:eastAsia="Calibri" w:hAnsi="Calibri" w:cs="Calibri"/>
          <w:color w:val="auto"/>
          <w:sz w:val="22"/>
          <w:szCs w:val="22"/>
          <w:shd w:val="clear" w:color="auto" w:fill="FFFFFF"/>
          <w:lang w:eastAsia="en-US"/>
        </w:rPr>
        <w:t>. [online] Available at: &lt;https://www.victimsupport.org.uk/more-us/&gt; [Accessed 5 June 2021].</w:t>
      </w:r>
    </w:p>
    <w:p w14:paraId="5B105FB9" w14:textId="77777777" w:rsidR="00E156DF" w:rsidRPr="00E156DF" w:rsidRDefault="00E156DF" w:rsidP="00E156DF">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E156DF">
        <w:rPr>
          <w:rFonts w:ascii="Calibri" w:eastAsia="Calibri" w:hAnsi="Calibri" w:cs="Calibri"/>
          <w:color w:val="auto"/>
          <w:sz w:val="22"/>
          <w:szCs w:val="22"/>
          <w:lang w:eastAsia="en-US"/>
        </w:rPr>
        <w:t xml:space="preserve">Welsh Government (2021). </w:t>
      </w:r>
      <w:r w:rsidRPr="00E156DF">
        <w:rPr>
          <w:rFonts w:ascii="Calibri" w:eastAsia="Calibri" w:hAnsi="Calibri" w:cs="Calibri"/>
          <w:i/>
          <w:color w:val="auto"/>
          <w:sz w:val="22"/>
          <w:szCs w:val="22"/>
          <w:lang w:eastAsia="en-US"/>
        </w:rPr>
        <w:t>Hate Has No Home in Wales.</w:t>
      </w:r>
      <w:r w:rsidRPr="00E156DF">
        <w:rPr>
          <w:rFonts w:ascii="Calibri" w:eastAsia="Calibri" w:hAnsi="Calibri" w:cs="Calibri"/>
          <w:color w:val="auto"/>
          <w:sz w:val="22"/>
          <w:szCs w:val="22"/>
          <w:lang w:eastAsia="en-US"/>
        </w:rPr>
        <w:t xml:space="preserve"> Available at: </w:t>
      </w:r>
      <w:hyperlink r:id="rId39" w:history="1">
        <w:r w:rsidRPr="00E156DF">
          <w:rPr>
            <w:rFonts w:ascii="Calibri" w:eastAsia="Calibri" w:hAnsi="Calibri" w:cs="Calibri"/>
            <w:color w:val="auto"/>
            <w:sz w:val="22"/>
            <w:szCs w:val="22"/>
            <w:lang w:eastAsia="en-US"/>
          </w:rPr>
          <w:t>https://gov.wales/hate-has-no-home-wales</w:t>
        </w:r>
      </w:hyperlink>
      <w:r w:rsidRPr="00E156DF">
        <w:rPr>
          <w:rFonts w:ascii="Calibri" w:eastAsia="Calibri" w:hAnsi="Calibri" w:cs="Calibri"/>
          <w:color w:val="auto"/>
          <w:sz w:val="22"/>
          <w:szCs w:val="22"/>
          <w:lang w:eastAsia="en-US"/>
        </w:rPr>
        <w:t xml:space="preserve"> [Accessed 26 May 2021]</w:t>
      </w:r>
    </w:p>
    <w:p w14:paraId="250CF227" w14:textId="77777777" w:rsidR="006D4550" w:rsidRDefault="006D4550"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4F2D2F">
          <w:headerReference w:type="even" r:id="rId40"/>
          <w:headerReference w:type="default" r:id="rId41"/>
          <w:footerReference w:type="even" r:id="rId42"/>
          <w:footerReference w:type="default" r:id="rId43"/>
          <w:headerReference w:type="first" r:id="rId44"/>
          <w:footerReference w:type="first" r:id="rId45"/>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16111558" w:rsidR="28A9B94D" w:rsidRDefault="28A9B94D" w:rsidP="28A9B94D">
      <w:pPr>
        <w:jc w:val="both"/>
      </w:pPr>
      <w:r w:rsidRPr="2E5ED9CE">
        <w:rPr>
          <w:rFonts w:eastAsia="Arial"/>
          <w:sz w:val="24"/>
          <w:szCs w:val="24"/>
        </w:rPr>
        <w:t>Signed:  _ _ _</w:t>
      </w:r>
      <w:r w:rsidR="003B3BF6">
        <w:rPr>
          <w:rFonts w:eastAsia="Arial"/>
          <w:sz w:val="24"/>
          <w:szCs w:val="24"/>
        </w:rPr>
        <w:t>Ellis Chinnock</w:t>
      </w:r>
      <w:r w:rsidRPr="2E5ED9CE">
        <w:rPr>
          <w:rFonts w:eastAsia="Arial"/>
          <w:sz w:val="24"/>
          <w:szCs w:val="24"/>
        </w:rPr>
        <w:t xml:space="preserve"> _ _ _ _ _ _ _ _ _ _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46E4FEF6" w:rsidR="28A9B94D" w:rsidRDefault="28A9B94D" w:rsidP="28A9B94D">
      <w:pPr>
        <w:jc w:val="both"/>
      </w:pPr>
      <w:r w:rsidRPr="28A9B94D">
        <w:rPr>
          <w:rFonts w:eastAsia="Arial"/>
          <w:sz w:val="24"/>
          <w:szCs w:val="24"/>
        </w:rPr>
        <w:t>Date: _ _</w:t>
      </w:r>
      <w:r w:rsidR="003B3BF6">
        <w:rPr>
          <w:rFonts w:eastAsia="Arial"/>
          <w:sz w:val="24"/>
          <w:szCs w:val="24"/>
        </w:rPr>
        <w:t>26/06/2021</w:t>
      </w:r>
      <w:r w:rsidRPr="28A9B94D">
        <w:rPr>
          <w:rFonts w:eastAsia="Arial"/>
          <w:sz w:val="24"/>
          <w:szCs w:val="24"/>
        </w:rPr>
        <w:t xml:space="preserve">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4F2D2F">
      <w:headerReference w:type="even" r:id="rId46"/>
      <w:headerReference w:type="default" r:id="rId47"/>
      <w:footerReference w:type="even" r:id="rId48"/>
      <w:footerReference w:type="default" r:id="rId49"/>
      <w:headerReference w:type="first" r:id="rId50"/>
      <w:footerReference w:type="first" r:id="rId51"/>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72713A" w:rsidRDefault="0072713A">
      <w:r>
        <w:separator/>
      </w:r>
    </w:p>
  </w:endnote>
  <w:endnote w:type="continuationSeparator" w:id="0">
    <w:p w14:paraId="1B867723" w14:textId="77777777" w:rsidR="0072713A" w:rsidRDefault="00727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EDBE2" w14:textId="2DA607C3" w:rsidR="0072713A" w:rsidRDefault="00564971" w:rsidP="00564971">
    <w:pPr>
      <w:pStyle w:val="Footer"/>
      <w:rPr>
        <w:sz w:val="17"/>
      </w:rPr>
    </w:pPr>
    <w:bookmarkStart w:id="2" w:name="TITUS1FooterEvenPages"/>
    <w:r>
      <w:rPr>
        <w:sz w:val="17"/>
      </w:rPr>
      <w:t> </w:t>
    </w:r>
  </w:p>
  <w:bookmarkEnd w:id="2"/>
  <w:p w14:paraId="522067AA" w14:textId="6C2092AA" w:rsidR="0072713A" w:rsidRDefault="0072713A" w:rsidP="004F2D2F">
    <w:pPr>
      <w:pStyle w:val="Footer"/>
      <w:jc w:val="right"/>
    </w:pPr>
    <w:r>
      <w:fldChar w:fldCharType="begin"/>
    </w:r>
    <w:r>
      <w:instrText xml:space="preserve"> PAGE   \* MERGEFORMAT </w:instrText>
    </w:r>
    <w:r>
      <w:fldChar w:fldCharType="separate"/>
    </w:r>
    <w:r w:rsidR="00564971">
      <w:rPr>
        <w:noProof/>
      </w:rPr>
      <w:t>8</w:t>
    </w:r>
    <w:r>
      <w:rPr>
        <w:noProof/>
      </w:rPr>
      <w:fldChar w:fldCharType="end"/>
    </w:r>
  </w:p>
  <w:p w14:paraId="4035C411" w14:textId="77777777" w:rsidR="0072713A" w:rsidRPr="00BB5EAA" w:rsidRDefault="0072713A" w:rsidP="004F2D2F">
    <w:pPr>
      <w:pStyle w:val="Footer"/>
      <w:ind w:right="360"/>
      <w:jc w:val="center"/>
    </w:pPr>
  </w:p>
  <w:p w14:paraId="7F598F90" w14:textId="77777777" w:rsidR="0072713A" w:rsidRDefault="007271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F85EA" w14:textId="0BD50999" w:rsidR="0072713A" w:rsidRDefault="00564971" w:rsidP="00564971">
    <w:pPr>
      <w:pStyle w:val="Footer"/>
      <w:rPr>
        <w:sz w:val="17"/>
      </w:rPr>
    </w:pPr>
    <w:bookmarkStart w:id="3" w:name="TITUS1FooterPrimary"/>
    <w:r>
      <w:rPr>
        <w:sz w:val="17"/>
      </w:rPr>
      <w:t> </w:t>
    </w:r>
  </w:p>
  <w:bookmarkEnd w:id="3"/>
  <w:p w14:paraId="50521BFA" w14:textId="53D44AA2" w:rsidR="0072713A" w:rsidRDefault="0072713A">
    <w:pPr>
      <w:pStyle w:val="Footer"/>
      <w:jc w:val="right"/>
    </w:pPr>
    <w:r>
      <w:fldChar w:fldCharType="begin"/>
    </w:r>
    <w:r>
      <w:instrText xml:space="preserve"> PAGE   \* MERGEFORMAT </w:instrText>
    </w:r>
    <w:r>
      <w:fldChar w:fldCharType="separate"/>
    </w:r>
    <w:r w:rsidR="00564971">
      <w:rPr>
        <w:noProof/>
      </w:rPr>
      <w:t>9</w:t>
    </w:r>
    <w:r>
      <w:rPr>
        <w:noProof/>
      </w:rPr>
      <w:fldChar w:fldCharType="end"/>
    </w:r>
  </w:p>
  <w:p w14:paraId="790812FF" w14:textId="77777777" w:rsidR="0072713A" w:rsidRPr="00BB5EAA" w:rsidRDefault="0072713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E7D040" w14:textId="60B173DA" w:rsidR="0072713A" w:rsidRDefault="00564971" w:rsidP="00564971">
    <w:pPr>
      <w:pStyle w:val="Footer"/>
      <w:rPr>
        <w:sz w:val="17"/>
      </w:rPr>
    </w:pPr>
    <w:bookmarkStart w:id="5" w:name="TITUS1FooterFirstPage"/>
    <w:r>
      <w:rPr>
        <w:sz w:val="17"/>
      </w:rPr>
      <w:t> </w:t>
    </w:r>
  </w:p>
  <w:bookmarkEnd w:id="5"/>
  <w:p w14:paraId="0E3AFEDC" w14:textId="5F723BF0" w:rsidR="0072713A" w:rsidRDefault="0072713A" w:rsidP="004F2D2F">
    <w:pPr>
      <w:pStyle w:val="Footer"/>
      <w:jc w:val="right"/>
    </w:pPr>
    <w:r>
      <w:fldChar w:fldCharType="begin"/>
    </w:r>
    <w:r>
      <w:instrText xml:space="preserve"> PAGE   \* MERGEFORMAT </w:instrText>
    </w:r>
    <w:r>
      <w:fldChar w:fldCharType="separate"/>
    </w:r>
    <w:r w:rsidR="00564971">
      <w:rPr>
        <w:noProof/>
      </w:rPr>
      <w:t>1</w:t>
    </w:r>
    <w:r>
      <w:rPr>
        <w:noProof/>
      </w:rPr>
      <w:fldChar w:fldCharType="end"/>
    </w:r>
  </w:p>
  <w:p w14:paraId="085003E9" w14:textId="77777777" w:rsidR="0072713A" w:rsidRPr="00BB5EAA" w:rsidRDefault="0072713A" w:rsidP="004F2D2F">
    <w:pPr>
      <w:pStyle w:val="Footer"/>
      <w:ind w:right="360"/>
      <w:jc w:val="center"/>
    </w:pPr>
  </w:p>
  <w:p w14:paraId="0663B734" w14:textId="77777777" w:rsidR="0072713A" w:rsidRDefault="0072713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DE23DB" w14:textId="1381608A" w:rsidR="0072713A" w:rsidRDefault="00564971" w:rsidP="00564971">
    <w:pPr>
      <w:pStyle w:val="Footer"/>
      <w:rPr>
        <w:sz w:val="17"/>
      </w:rPr>
    </w:pPr>
    <w:bookmarkStart w:id="8" w:name="TITUS2FooterEvenPages"/>
    <w:r>
      <w:rPr>
        <w:sz w:val="17"/>
      </w:rPr>
      <w:t> </w:t>
    </w:r>
  </w:p>
  <w:bookmarkEnd w:id="8"/>
  <w:p w14:paraId="1C3096E9" w14:textId="77777777" w:rsidR="0072713A" w:rsidRDefault="0072713A" w:rsidP="004F2D2F">
    <w:pPr>
      <w:pStyle w:val="Footer"/>
      <w:jc w:val="right"/>
    </w:pPr>
  </w:p>
  <w:p w14:paraId="35124FBE" w14:textId="25AC9528" w:rsidR="0072713A" w:rsidRDefault="0072713A" w:rsidP="004F2D2F">
    <w:pPr>
      <w:pStyle w:val="Footer"/>
      <w:jc w:val="right"/>
    </w:pPr>
    <w:r>
      <w:fldChar w:fldCharType="begin"/>
    </w:r>
    <w:r>
      <w:instrText xml:space="preserve"> PAGE   \* MERGEFORMAT </w:instrText>
    </w:r>
    <w:r>
      <w:fldChar w:fldCharType="separate"/>
    </w:r>
    <w:r w:rsidR="00564971">
      <w:rPr>
        <w:noProof/>
      </w:rPr>
      <w:t>22</w:t>
    </w:r>
    <w:r>
      <w:rPr>
        <w:noProof/>
      </w:rPr>
      <w:fldChar w:fldCharType="end"/>
    </w:r>
  </w:p>
  <w:p w14:paraId="1A89F4EE" w14:textId="77777777" w:rsidR="0072713A" w:rsidRPr="00BB5EAA" w:rsidRDefault="0072713A" w:rsidP="004F2D2F">
    <w:pPr>
      <w:pStyle w:val="Footer"/>
      <w:ind w:right="360"/>
      <w:jc w:val="center"/>
    </w:pPr>
  </w:p>
  <w:p w14:paraId="39861E2F" w14:textId="77777777" w:rsidR="0072713A" w:rsidRDefault="0072713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ACC547" w14:textId="5E52990B" w:rsidR="0072713A" w:rsidRDefault="00564971" w:rsidP="00564971">
    <w:pPr>
      <w:pStyle w:val="Footer"/>
      <w:rPr>
        <w:sz w:val="17"/>
      </w:rPr>
    </w:pPr>
    <w:bookmarkStart w:id="9" w:name="TITUS2FooterPrimary"/>
    <w:r>
      <w:rPr>
        <w:sz w:val="17"/>
      </w:rPr>
      <w:t> </w:t>
    </w:r>
  </w:p>
  <w:bookmarkEnd w:id="9"/>
  <w:p w14:paraId="216ADA26" w14:textId="77777777" w:rsidR="0072713A" w:rsidRDefault="0072713A">
    <w:pPr>
      <w:pStyle w:val="Footer"/>
      <w:jc w:val="right"/>
    </w:pPr>
  </w:p>
  <w:p w14:paraId="7018FAA0" w14:textId="72F73B9B" w:rsidR="0072713A" w:rsidRDefault="0072713A">
    <w:pPr>
      <w:pStyle w:val="Footer"/>
      <w:jc w:val="right"/>
    </w:pPr>
    <w:r>
      <w:fldChar w:fldCharType="begin"/>
    </w:r>
    <w:r>
      <w:instrText xml:space="preserve"> PAGE   \* MERGEFORMAT </w:instrText>
    </w:r>
    <w:r>
      <w:fldChar w:fldCharType="separate"/>
    </w:r>
    <w:r w:rsidR="00564971">
      <w:rPr>
        <w:noProof/>
      </w:rPr>
      <w:t>21</w:t>
    </w:r>
    <w:r>
      <w:rPr>
        <w:noProof/>
      </w:rPr>
      <w:fldChar w:fldCharType="end"/>
    </w:r>
  </w:p>
  <w:p w14:paraId="0953B10F" w14:textId="77777777" w:rsidR="0072713A" w:rsidRPr="00BB5EAA" w:rsidRDefault="0072713A"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945C8" w14:textId="61B1660C" w:rsidR="0072713A" w:rsidRDefault="00564971" w:rsidP="00564971">
    <w:pPr>
      <w:pStyle w:val="Footer"/>
      <w:rPr>
        <w:sz w:val="17"/>
      </w:rPr>
    </w:pPr>
    <w:bookmarkStart w:id="11" w:name="TITUS2FooterFirstPage"/>
    <w:r>
      <w:rPr>
        <w:sz w:val="17"/>
      </w:rPr>
      <w:t> </w:t>
    </w:r>
  </w:p>
  <w:bookmarkEnd w:id="11"/>
  <w:p w14:paraId="2BEF1F94" w14:textId="77777777" w:rsidR="0072713A" w:rsidRDefault="0072713A" w:rsidP="004F2D2F">
    <w:pPr>
      <w:pStyle w:val="Footer"/>
      <w:jc w:val="right"/>
    </w:pPr>
  </w:p>
  <w:p w14:paraId="6526FA92" w14:textId="0C8A7E6D" w:rsidR="0072713A" w:rsidRDefault="0072713A" w:rsidP="004F2D2F">
    <w:pPr>
      <w:pStyle w:val="Footer"/>
      <w:jc w:val="right"/>
    </w:pPr>
    <w:r>
      <w:fldChar w:fldCharType="begin"/>
    </w:r>
    <w:r>
      <w:instrText xml:space="preserve"> PAGE   \* MERGEFORMAT </w:instrText>
    </w:r>
    <w:r>
      <w:fldChar w:fldCharType="separate"/>
    </w:r>
    <w:r w:rsidR="00564971">
      <w:rPr>
        <w:noProof/>
      </w:rPr>
      <w:t>10</w:t>
    </w:r>
    <w:r>
      <w:rPr>
        <w:noProof/>
      </w:rPr>
      <w:fldChar w:fldCharType="end"/>
    </w:r>
  </w:p>
  <w:p w14:paraId="2367A8FA" w14:textId="77777777" w:rsidR="0072713A" w:rsidRPr="00BB5EAA" w:rsidRDefault="0072713A" w:rsidP="004F2D2F">
    <w:pPr>
      <w:pStyle w:val="Footer"/>
      <w:ind w:right="360"/>
      <w:jc w:val="center"/>
    </w:pPr>
  </w:p>
  <w:p w14:paraId="002B79CD" w14:textId="77777777" w:rsidR="0072713A" w:rsidRDefault="0072713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BD10D" w14:textId="20A2E79B" w:rsidR="0072713A" w:rsidRDefault="00564971" w:rsidP="00564971">
    <w:pPr>
      <w:pStyle w:val="Footer"/>
      <w:rPr>
        <w:sz w:val="17"/>
      </w:rPr>
    </w:pPr>
    <w:bookmarkStart w:id="15" w:name="TITUS3FooterEvenPages"/>
    <w:r>
      <w:rPr>
        <w:sz w:val="17"/>
      </w:rPr>
      <w:t> </w:t>
    </w:r>
  </w:p>
  <w:bookmarkEnd w:id="15"/>
  <w:p w14:paraId="698244BF" w14:textId="77777777" w:rsidR="0072713A" w:rsidRDefault="0072713A" w:rsidP="004F2D2F">
    <w:pPr>
      <w:pStyle w:val="Footer"/>
      <w:jc w:val="right"/>
    </w:pPr>
  </w:p>
  <w:p w14:paraId="319F88EF" w14:textId="42FF50ED" w:rsidR="0072713A" w:rsidRDefault="0072713A" w:rsidP="004F2D2F">
    <w:pPr>
      <w:pStyle w:val="Footer"/>
      <w:jc w:val="right"/>
    </w:pPr>
    <w:r>
      <w:fldChar w:fldCharType="begin"/>
    </w:r>
    <w:r>
      <w:instrText xml:space="preserve"> PAGE   \* MERGEFORMAT </w:instrText>
    </w:r>
    <w:r>
      <w:fldChar w:fldCharType="separate"/>
    </w:r>
    <w:r w:rsidR="00564971">
      <w:rPr>
        <w:noProof/>
      </w:rPr>
      <w:t>28</w:t>
    </w:r>
    <w:r>
      <w:rPr>
        <w:noProof/>
      </w:rPr>
      <w:fldChar w:fldCharType="end"/>
    </w:r>
  </w:p>
  <w:p w14:paraId="50550EEB" w14:textId="77777777" w:rsidR="0072713A" w:rsidRPr="00BB5EAA" w:rsidRDefault="0072713A" w:rsidP="004F2D2F">
    <w:pPr>
      <w:pStyle w:val="Footer"/>
      <w:ind w:right="360"/>
      <w:jc w:val="center"/>
    </w:pPr>
  </w:p>
  <w:p w14:paraId="6A2A32E6" w14:textId="77777777" w:rsidR="0072713A" w:rsidRDefault="0072713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821EE" w14:textId="6F38A002" w:rsidR="0072713A" w:rsidRDefault="00564971" w:rsidP="00564971">
    <w:pPr>
      <w:pStyle w:val="Footer"/>
      <w:rPr>
        <w:sz w:val="17"/>
      </w:rPr>
    </w:pPr>
    <w:bookmarkStart w:id="16" w:name="TITUS3FooterPrimary"/>
    <w:r>
      <w:rPr>
        <w:sz w:val="17"/>
      </w:rPr>
      <w:t> </w:t>
    </w:r>
  </w:p>
  <w:bookmarkEnd w:id="16"/>
  <w:p w14:paraId="55F21F40" w14:textId="77777777" w:rsidR="0072713A" w:rsidRDefault="0072713A">
    <w:pPr>
      <w:pStyle w:val="Footer"/>
      <w:jc w:val="right"/>
    </w:pPr>
  </w:p>
  <w:p w14:paraId="63AA52D8" w14:textId="35EF422D" w:rsidR="0072713A" w:rsidRDefault="0072713A">
    <w:pPr>
      <w:pStyle w:val="Footer"/>
      <w:jc w:val="right"/>
    </w:pPr>
    <w:r>
      <w:fldChar w:fldCharType="begin"/>
    </w:r>
    <w:r>
      <w:instrText xml:space="preserve"> PAGE   \* MERGEFORMAT </w:instrText>
    </w:r>
    <w:r>
      <w:fldChar w:fldCharType="separate"/>
    </w:r>
    <w:r w:rsidR="00564971">
      <w:rPr>
        <w:noProof/>
      </w:rPr>
      <w:t>27</w:t>
    </w:r>
    <w:r>
      <w:rPr>
        <w:noProof/>
      </w:rPr>
      <w:fldChar w:fldCharType="end"/>
    </w:r>
  </w:p>
  <w:p w14:paraId="183908D4" w14:textId="77777777" w:rsidR="0072713A" w:rsidRPr="00BB5EAA" w:rsidRDefault="0072713A"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45551" w14:textId="4498FA66" w:rsidR="0072713A" w:rsidRDefault="00564971" w:rsidP="00564971">
    <w:pPr>
      <w:pStyle w:val="Footer"/>
      <w:rPr>
        <w:sz w:val="17"/>
      </w:rPr>
    </w:pPr>
    <w:bookmarkStart w:id="18" w:name="TITUS3FooterFirstPage"/>
    <w:r>
      <w:rPr>
        <w:sz w:val="17"/>
      </w:rPr>
      <w:t> </w:t>
    </w:r>
  </w:p>
  <w:bookmarkEnd w:id="18"/>
  <w:p w14:paraId="62998D2E" w14:textId="77777777" w:rsidR="0072713A" w:rsidRDefault="0072713A" w:rsidP="004F2D2F">
    <w:pPr>
      <w:pStyle w:val="Footer"/>
      <w:jc w:val="right"/>
    </w:pPr>
  </w:p>
  <w:p w14:paraId="62D9E89A" w14:textId="17186105" w:rsidR="0072713A" w:rsidRDefault="0072713A" w:rsidP="004F2D2F">
    <w:pPr>
      <w:pStyle w:val="Footer"/>
      <w:jc w:val="right"/>
    </w:pPr>
    <w:r>
      <w:fldChar w:fldCharType="begin"/>
    </w:r>
    <w:r>
      <w:instrText xml:space="preserve"> PAGE   \* MERGEFORMAT </w:instrText>
    </w:r>
    <w:r>
      <w:fldChar w:fldCharType="separate"/>
    </w:r>
    <w:r w:rsidR="00564971">
      <w:rPr>
        <w:noProof/>
      </w:rPr>
      <w:t>23</w:t>
    </w:r>
    <w:r>
      <w:rPr>
        <w:noProof/>
      </w:rPr>
      <w:fldChar w:fldCharType="end"/>
    </w:r>
  </w:p>
  <w:p w14:paraId="5CBD569A" w14:textId="77777777" w:rsidR="0072713A" w:rsidRPr="00BB5EAA" w:rsidRDefault="0072713A" w:rsidP="004F2D2F">
    <w:pPr>
      <w:pStyle w:val="Footer"/>
      <w:ind w:right="360"/>
      <w:jc w:val="center"/>
    </w:pPr>
  </w:p>
  <w:p w14:paraId="604601E8" w14:textId="77777777" w:rsidR="0072713A" w:rsidRDefault="0072713A">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697B7" w14:textId="27165FEB" w:rsidR="0072713A" w:rsidRDefault="00564971" w:rsidP="00564971">
    <w:pPr>
      <w:pStyle w:val="Footer"/>
      <w:rPr>
        <w:sz w:val="17"/>
      </w:rPr>
    </w:pPr>
    <w:bookmarkStart w:id="21" w:name="TITUS4FooterEvenPages"/>
    <w:r>
      <w:rPr>
        <w:sz w:val="17"/>
      </w:rPr>
      <w:t> </w:t>
    </w:r>
  </w:p>
  <w:bookmarkEnd w:id="21"/>
  <w:p w14:paraId="7ED7730D" w14:textId="77777777" w:rsidR="0072713A" w:rsidRDefault="0072713A" w:rsidP="004F2D2F">
    <w:pPr>
      <w:pStyle w:val="Footer"/>
      <w:jc w:val="right"/>
    </w:pPr>
  </w:p>
  <w:p w14:paraId="61471794" w14:textId="77777777" w:rsidR="0072713A" w:rsidRDefault="0072713A" w:rsidP="004F2D2F">
    <w:pPr>
      <w:pStyle w:val="Footer"/>
      <w:jc w:val="right"/>
    </w:pPr>
    <w:r>
      <w:fldChar w:fldCharType="begin"/>
    </w:r>
    <w:r>
      <w:instrText xml:space="preserve"> PAGE   \* MERGEFORMAT </w:instrText>
    </w:r>
    <w:r>
      <w:fldChar w:fldCharType="separate"/>
    </w:r>
    <w:r>
      <w:rPr>
        <w:noProof/>
      </w:rPr>
      <w:t>24</w:t>
    </w:r>
    <w:r>
      <w:rPr>
        <w:noProof/>
      </w:rPr>
      <w:fldChar w:fldCharType="end"/>
    </w:r>
  </w:p>
  <w:p w14:paraId="7F606945" w14:textId="77777777" w:rsidR="0072713A" w:rsidRPr="00BB5EAA" w:rsidRDefault="0072713A" w:rsidP="004F2D2F">
    <w:pPr>
      <w:pStyle w:val="Footer"/>
      <w:ind w:right="360"/>
      <w:jc w:val="center"/>
    </w:pPr>
  </w:p>
  <w:p w14:paraId="30B37A79" w14:textId="77777777" w:rsidR="0072713A" w:rsidRDefault="0072713A">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92A1DB" w14:textId="55D84755" w:rsidR="0072713A" w:rsidRDefault="00564971" w:rsidP="00564971">
    <w:pPr>
      <w:pStyle w:val="Footer"/>
      <w:rPr>
        <w:sz w:val="17"/>
      </w:rPr>
    </w:pPr>
    <w:bookmarkStart w:id="22" w:name="TITUS4FooterPrimary"/>
    <w:r>
      <w:rPr>
        <w:sz w:val="17"/>
      </w:rPr>
      <w:t> </w:t>
    </w:r>
  </w:p>
  <w:bookmarkEnd w:id="22"/>
  <w:p w14:paraId="1677ED3C" w14:textId="77777777" w:rsidR="0072713A" w:rsidRDefault="0072713A">
    <w:pPr>
      <w:pStyle w:val="Footer"/>
      <w:jc w:val="right"/>
    </w:pPr>
  </w:p>
  <w:p w14:paraId="34581943" w14:textId="77777777" w:rsidR="0072713A" w:rsidRDefault="0072713A">
    <w:pPr>
      <w:pStyle w:val="Footer"/>
      <w:jc w:val="right"/>
    </w:pPr>
    <w:r>
      <w:fldChar w:fldCharType="begin"/>
    </w:r>
    <w:r>
      <w:instrText xml:space="preserve"> PAGE   \* MERGEFORMAT </w:instrText>
    </w:r>
    <w:r>
      <w:fldChar w:fldCharType="separate"/>
    </w:r>
    <w:r>
      <w:rPr>
        <w:noProof/>
      </w:rPr>
      <w:t>25</w:t>
    </w:r>
    <w:r>
      <w:rPr>
        <w:noProof/>
      </w:rPr>
      <w:fldChar w:fldCharType="end"/>
    </w:r>
  </w:p>
  <w:p w14:paraId="32CDFCDA" w14:textId="77777777" w:rsidR="0072713A" w:rsidRPr="00BB5EAA" w:rsidRDefault="0072713A"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8B6587" w14:textId="02FB9411" w:rsidR="0072713A" w:rsidRDefault="00564971" w:rsidP="00564971">
    <w:pPr>
      <w:pStyle w:val="Footer"/>
      <w:rPr>
        <w:sz w:val="17"/>
      </w:rPr>
    </w:pPr>
    <w:bookmarkStart w:id="24" w:name="TITUS4FooterFirstPage"/>
    <w:r>
      <w:rPr>
        <w:sz w:val="17"/>
      </w:rPr>
      <w:t> </w:t>
    </w:r>
  </w:p>
  <w:bookmarkEnd w:id="24"/>
  <w:p w14:paraId="1A10BCA4" w14:textId="77777777" w:rsidR="0072713A" w:rsidRDefault="0072713A" w:rsidP="004F2D2F">
    <w:pPr>
      <w:pStyle w:val="Footer"/>
      <w:jc w:val="right"/>
    </w:pPr>
  </w:p>
  <w:p w14:paraId="13C2B972" w14:textId="486C296B" w:rsidR="0072713A" w:rsidRDefault="0072713A" w:rsidP="004F2D2F">
    <w:pPr>
      <w:pStyle w:val="Footer"/>
      <w:jc w:val="right"/>
    </w:pPr>
    <w:r>
      <w:fldChar w:fldCharType="begin"/>
    </w:r>
    <w:r>
      <w:instrText xml:space="preserve"> PAGE   \* MERGEFORMAT </w:instrText>
    </w:r>
    <w:r>
      <w:fldChar w:fldCharType="separate"/>
    </w:r>
    <w:r w:rsidR="00564971">
      <w:rPr>
        <w:noProof/>
      </w:rPr>
      <w:t>29</w:t>
    </w:r>
    <w:r>
      <w:rPr>
        <w:noProof/>
      </w:rPr>
      <w:fldChar w:fldCharType="end"/>
    </w:r>
  </w:p>
  <w:p w14:paraId="3051163E" w14:textId="77777777" w:rsidR="0072713A" w:rsidRPr="00BB5EAA" w:rsidRDefault="0072713A" w:rsidP="004F2D2F">
    <w:pPr>
      <w:pStyle w:val="Footer"/>
      <w:ind w:right="360"/>
      <w:jc w:val="center"/>
    </w:pPr>
  </w:p>
  <w:p w14:paraId="36A270C6" w14:textId="77777777" w:rsidR="0072713A" w:rsidRDefault="007271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72713A" w:rsidRDefault="0072713A">
      <w:r>
        <w:separator/>
      </w:r>
    </w:p>
  </w:footnote>
  <w:footnote w:type="continuationSeparator" w:id="0">
    <w:p w14:paraId="09396778" w14:textId="77777777" w:rsidR="0072713A" w:rsidRDefault="007271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C823F" w14:textId="49B37F2F" w:rsidR="0072713A" w:rsidRDefault="00564971" w:rsidP="00564971">
    <w:pPr>
      <w:pStyle w:val="Header"/>
      <w:rPr>
        <w:sz w:val="17"/>
      </w:rPr>
    </w:pPr>
    <w:bookmarkStart w:id="0" w:name="TITUS1HeaderEvenPages"/>
    <w:r>
      <w:rPr>
        <w:sz w:val="17"/>
      </w:rPr>
      <w:t> </w:t>
    </w:r>
  </w:p>
  <w:bookmarkEnd w:id="0"/>
  <w:p w14:paraId="03F9D5B5" w14:textId="77777777" w:rsidR="0072713A" w:rsidRDefault="0072713A" w:rsidP="00E56829">
    <w:pPr>
      <w:pStyle w:val="Header"/>
    </w:pPr>
  </w:p>
  <w:p w14:paraId="12A47DE5" w14:textId="77777777" w:rsidR="0072713A" w:rsidRDefault="007271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40DD0DB4" w:rsidR="0072713A" w:rsidRDefault="00564971" w:rsidP="00564971">
    <w:pPr>
      <w:pStyle w:val="Header"/>
      <w:rPr>
        <w:sz w:val="17"/>
      </w:rPr>
    </w:pPr>
    <w:bookmarkStart w:id="1" w:name="TITUS1HeaderPrimary"/>
    <w:r>
      <w:rPr>
        <w:sz w:val="17"/>
      </w:rPr>
      <w:t> </w:t>
    </w:r>
  </w:p>
  <w:bookmarkEnd w:id="1"/>
  <w:p w14:paraId="6B155F88" w14:textId="77777777" w:rsidR="0072713A" w:rsidRDefault="007271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1BCAA089" w:rsidR="0072713A" w:rsidRDefault="00564971" w:rsidP="00564971">
    <w:pPr>
      <w:pStyle w:val="Header"/>
      <w:rPr>
        <w:sz w:val="17"/>
      </w:rPr>
    </w:pPr>
    <w:bookmarkStart w:id="4" w:name="TITUS1HeaderFirstPage"/>
    <w:r>
      <w:rPr>
        <w:sz w:val="17"/>
      </w:rPr>
      <w:t> </w:t>
    </w:r>
  </w:p>
  <w:bookmarkEnd w:id="4"/>
  <w:p w14:paraId="3A7EB1E2" w14:textId="77777777" w:rsidR="0072713A" w:rsidRDefault="0072713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D4D6E7" w14:textId="0D26B856" w:rsidR="0072713A" w:rsidRDefault="00564971" w:rsidP="00564971">
    <w:pPr>
      <w:pStyle w:val="Header"/>
      <w:rPr>
        <w:sz w:val="17"/>
      </w:rPr>
    </w:pPr>
    <w:bookmarkStart w:id="6" w:name="TITUS2HeaderEvenPages"/>
    <w:r>
      <w:rPr>
        <w:sz w:val="17"/>
      </w:rPr>
      <w:t> </w:t>
    </w:r>
  </w:p>
  <w:bookmarkEnd w:id="6"/>
  <w:p w14:paraId="7100B117" w14:textId="77777777" w:rsidR="0072713A" w:rsidRDefault="0072713A" w:rsidP="004F2D2F">
    <w:pPr>
      <w:pStyle w:val="Header"/>
    </w:pPr>
  </w:p>
  <w:p w14:paraId="5CB9C928" w14:textId="77777777" w:rsidR="0072713A" w:rsidRDefault="0072713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8B530E" w14:textId="4C91FE2C" w:rsidR="0072713A" w:rsidRDefault="00564971" w:rsidP="00564971">
    <w:pPr>
      <w:pStyle w:val="Header"/>
      <w:rPr>
        <w:sz w:val="17"/>
      </w:rPr>
    </w:pPr>
    <w:bookmarkStart w:id="7" w:name="TITUS2HeaderPrimary"/>
    <w:r>
      <w:rPr>
        <w:sz w:val="17"/>
      </w:rPr>
      <w:t> </w:t>
    </w:r>
  </w:p>
  <w:bookmarkEnd w:id="7"/>
  <w:p w14:paraId="6E1852CF" w14:textId="77777777" w:rsidR="0072713A" w:rsidRDefault="0072713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89E61" w14:textId="31F424D3" w:rsidR="0072713A" w:rsidRDefault="00564971" w:rsidP="00564971">
    <w:pPr>
      <w:pStyle w:val="Header"/>
      <w:rPr>
        <w:sz w:val="17"/>
      </w:rPr>
    </w:pPr>
    <w:bookmarkStart w:id="10" w:name="TITUS2HeaderFirstPage"/>
    <w:r>
      <w:rPr>
        <w:sz w:val="17"/>
      </w:rPr>
      <w:t> </w:t>
    </w:r>
  </w:p>
  <w:bookmarkEnd w:id="10"/>
  <w:p w14:paraId="5EB4E523" w14:textId="77777777" w:rsidR="0072713A" w:rsidRDefault="0072713A" w:rsidP="004F2D2F">
    <w:pPr>
      <w:pStyle w:val="Header"/>
    </w:pPr>
  </w:p>
  <w:p w14:paraId="30246796" w14:textId="77777777" w:rsidR="0072713A" w:rsidRDefault="0072713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937F99" w14:textId="73C5FE47" w:rsidR="0072713A" w:rsidRDefault="00564971" w:rsidP="00564971">
    <w:pPr>
      <w:pStyle w:val="Header"/>
      <w:rPr>
        <w:sz w:val="17"/>
      </w:rPr>
    </w:pPr>
    <w:bookmarkStart w:id="13" w:name="TITUS3HeaderEvenPages"/>
    <w:r>
      <w:rPr>
        <w:sz w:val="17"/>
      </w:rPr>
      <w:t> </w:t>
    </w:r>
  </w:p>
  <w:bookmarkEnd w:id="13"/>
  <w:p w14:paraId="06CE2DA3" w14:textId="77777777" w:rsidR="0072713A" w:rsidRDefault="0072713A" w:rsidP="004F2D2F">
    <w:pPr>
      <w:pStyle w:val="Header"/>
    </w:pPr>
  </w:p>
  <w:p w14:paraId="3592CA0E" w14:textId="77777777" w:rsidR="0072713A" w:rsidRDefault="0072713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550A2" w14:textId="3C82067D" w:rsidR="0072713A" w:rsidRDefault="00564971" w:rsidP="00564971">
    <w:pPr>
      <w:pStyle w:val="Header"/>
      <w:rPr>
        <w:sz w:val="17"/>
      </w:rPr>
    </w:pPr>
    <w:bookmarkStart w:id="14" w:name="TITUS3HeaderPrimary"/>
    <w:r>
      <w:rPr>
        <w:sz w:val="17"/>
      </w:rPr>
      <w:t> </w:t>
    </w:r>
  </w:p>
  <w:bookmarkEnd w:id="14"/>
  <w:p w14:paraId="4E510CA9" w14:textId="77777777" w:rsidR="0072713A" w:rsidRDefault="0072713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13BB18" w14:textId="610F063D" w:rsidR="0072713A" w:rsidRDefault="00564971" w:rsidP="00564971">
    <w:pPr>
      <w:pStyle w:val="Header"/>
      <w:rPr>
        <w:sz w:val="17"/>
      </w:rPr>
    </w:pPr>
    <w:bookmarkStart w:id="17" w:name="TITUS3HeaderFirstPage"/>
    <w:r>
      <w:rPr>
        <w:sz w:val="17"/>
      </w:rPr>
      <w:t> </w:t>
    </w:r>
  </w:p>
  <w:bookmarkEnd w:id="17"/>
  <w:p w14:paraId="68C9D677" w14:textId="77777777" w:rsidR="0072713A" w:rsidRDefault="0072713A" w:rsidP="004F2D2F">
    <w:pPr>
      <w:pStyle w:val="Header"/>
    </w:pPr>
  </w:p>
  <w:p w14:paraId="397C0CAC" w14:textId="77777777" w:rsidR="0072713A" w:rsidRDefault="0072713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A202E5" w14:textId="0B53B7B7" w:rsidR="0072713A" w:rsidRDefault="00564971" w:rsidP="00564971">
    <w:pPr>
      <w:pStyle w:val="Header"/>
      <w:rPr>
        <w:sz w:val="17"/>
      </w:rPr>
    </w:pPr>
    <w:bookmarkStart w:id="19" w:name="TITUS4HeaderEvenPages"/>
    <w:r>
      <w:rPr>
        <w:sz w:val="17"/>
      </w:rPr>
      <w:t> </w:t>
    </w:r>
  </w:p>
  <w:bookmarkEnd w:id="19"/>
  <w:p w14:paraId="202E5916" w14:textId="77777777" w:rsidR="0072713A" w:rsidRDefault="0072713A" w:rsidP="004F2D2F">
    <w:pPr>
      <w:pStyle w:val="Header"/>
    </w:pPr>
  </w:p>
  <w:p w14:paraId="1B55D00E" w14:textId="77777777" w:rsidR="0072713A" w:rsidRDefault="0072713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0E5C2" w14:textId="0DEA3A1C" w:rsidR="0072713A" w:rsidRDefault="00564971" w:rsidP="00564971">
    <w:pPr>
      <w:pStyle w:val="Header"/>
      <w:rPr>
        <w:sz w:val="17"/>
      </w:rPr>
    </w:pPr>
    <w:bookmarkStart w:id="20" w:name="TITUS4HeaderPrimary"/>
    <w:r>
      <w:rPr>
        <w:sz w:val="17"/>
      </w:rPr>
      <w:t> </w:t>
    </w:r>
  </w:p>
  <w:bookmarkEnd w:id="20"/>
  <w:p w14:paraId="683D260D" w14:textId="77777777" w:rsidR="0072713A" w:rsidRDefault="0072713A">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B72886" w14:textId="1D2F4419" w:rsidR="0072713A" w:rsidRDefault="00564971" w:rsidP="00564971">
    <w:pPr>
      <w:pStyle w:val="Header"/>
      <w:rPr>
        <w:sz w:val="17"/>
      </w:rPr>
    </w:pPr>
    <w:bookmarkStart w:id="23" w:name="TITUS4HeaderFirstPage"/>
    <w:r>
      <w:rPr>
        <w:sz w:val="17"/>
      </w:rPr>
      <w:t> </w:t>
    </w:r>
  </w:p>
  <w:bookmarkEnd w:id="23"/>
  <w:p w14:paraId="35C41008" w14:textId="77777777" w:rsidR="0072713A" w:rsidRDefault="0072713A" w:rsidP="004F2D2F">
    <w:pPr>
      <w:pStyle w:val="Header"/>
    </w:pPr>
  </w:p>
  <w:p w14:paraId="272FF1BB" w14:textId="77777777" w:rsidR="0072713A" w:rsidRDefault="007271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C432F"/>
    <w:multiLevelType w:val="hybridMultilevel"/>
    <w:tmpl w:val="C21C2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E469FA"/>
    <w:multiLevelType w:val="hybridMultilevel"/>
    <w:tmpl w:val="78503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15:restartNumberingAfterBreak="0">
    <w:nsid w:val="67CA00EC"/>
    <w:multiLevelType w:val="hybridMultilevel"/>
    <w:tmpl w:val="2CEE2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6"/>
  </w:num>
  <w:num w:numId="5">
    <w:abstractNumId w:val="0"/>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B3BF6"/>
    <w:rsid w:val="003C19F1"/>
    <w:rsid w:val="003C4186"/>
    <w:rsid w:val="003C458C"/>
    <w:rsid w:val="003C4D7B"/>
    <w:rsid w:val="003C6185"/>
    <w:rsid w:val="003D0D2D"/>
    <w:rsid w:val="003D4710"/>
    <w:rsid w:val="003E16D7"/>
    <w:rsid w:val="003E197E"/>
    <w:rsid w:val="003E7108"/>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2D2F"/>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4971"/>
    <w:rsid w:val="0056684C"/>
    <w:rsid w:val="00574A0C"/>
    <w:rsid w:val="00575A8F"/>
    <w:rsid w:val="00576E4C"/>
    <w:rsid w:val="0057780F"/>
    <w:rsid w:val="00581E0A"/>
    <w:rsid w:val="00586D89"/>
    <w:rsid w:val="005916B8"/>
    <w:rsid w:val="005A1B4C"/>
    <w:rsid w:val="005A3850"/>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6DDA"/>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13A"/>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672C7"/>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420"/>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56DF"/>
    <w:rsid w:val="00E17160"/>
    <w:rsid w:val="00E35BEC"/>
    <w:rsid w:val="00E50821"/>
    <w:rsid w:val="00E51F91"/>
    <w:rsid w:val="00E56829"/>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17B7"/>
    <w:rsid w:val="00FD3D7C"/>
    <w:rsid w:val="00FD4F8F"/>
    <w:rsid w:val="00FE0C16"/>
    <w:rsid w:val="00FE14AD"/>
    <w:rsid w:val="00FE14B1"/>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1035810">
      <w:bodyDiv w:val="1"/>
      <w:marLeft w:val="0"/>
      <w:marRight w:val="0"/>
      <w:marTop w:val="0"/>
      <w:marBottom w:val="0"/>
      <w:divBdr>
        <w:top w:val="none" w:sz="0" w:space="0" w:color="auto"/>
        <w:left w:val="none" w:sz="0" w:space="0" w:color="auto"/>
        <w:bottom w:val="none" w:sz="0" w:space="0" w:color="auto"/>
        <w:right w:val="none" w:sz="0" w:space="0" w:color="auto"/>
      </w:divBdr>
    </w:div>
    <w:div w:id="109478490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pp.college.police.uk/app-content/national-decision-model/the-national-decision-model/" TargetMode="External"/><Relationship Id="rId39" Type="http://schemas.openxmlformats.org/officeDocument/2006/relationships/hyperlink" Target="https://gov.wales/hate-has-no-home-wales" TargetMode="Externa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yperlink" Target="https://www.legislation.gov.uk/ukpga/1998/42/schedule/1/part/I/chapter/4" TargetMode="External"/><Relationship Id="rId42" Type="http://schemas.openxmlformats.org/officeDocument/2006/relationships/footer" Target="footer7.xml"/><Relationship Id="rId47" Type="http://schemas.openxmlformats.org/officeDocument/2006/relationships/header" Target="header11.xml"/><Relationship Id="rId50" Type="http://schemas.openxmlformats.org/officeDocument/2006/relationships/header" Target="header1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legislation.gov.uk/ukpga/Vict/24-25/100/section/47" TargetMode="External"/><Relationship Id="rId38" Type="http://schemas.openxmlformats.org/officeDocument/2006/relationships/hyperlink" Target="https://www.lawtonslaw.co.uk/news/what-is-a-postal-requisition-2/" TargetMode="External"/><Relationship Id="rId46"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legislation.gov.uk/ukpga/1984/60/section/24" TargetMode="External"/><Relationship Id="rId41"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legislation.gov.uk/ukpga/1967/58/section/3" TargetMode="External"/><Relationship Id="rId37" Type="http://schemas.openxmlformats.org/officeDocument/2006/relationships/hyperlink" Target="https://www.lawtonslaw.co.uk/our-team/nick-titchener/" TargetMode="External"/><Relationship Id="rId40" Type="http://schemas.openxmlformats.org/officeDocument/2006/relationships/header" Target="header7.xml"/><Relationship Id="rId45" Type="http://schemas.openxmlformats.org/officeDocument/2006/relationships/footer" Target="footer9.xm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cps.gov.uk/legal-guidance/offences-against-person-incorporating-charging-standard" TargetMode="External"/><Relationship Id="rId36" Type="http://schemas.openxmlformats.org/officeDocument/2006/relationships/hyperlink" Target="https://www.south-wales.police.uk/advice/advice-and-information/hco/hate-crime/what-is-hate-crime/" TargetMode="External"/><Relationship Id="rId49" Type="http://schemas.openxmlformats.org/officeDocument/2006/relationships/footer" Target="footer1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legislation.gov.uk/ukpga/2018/12/section/38/enacted" TargetMode="External"/><Relationship Id="rId44" Type="http://schemas.openxmlformats.org/officeDocument/2006/relationships/header" Target="header9.xm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cps.gov.uk/legal-guidance/minor-offences" TargetMode="External"/><Relationship Id="rId30" Type="http://schemas.openxmlformats.org/officeDocument/2006/relationships/hyperlink" Target="https://www.legislation.gov.uk/ukpga/1968/60/section/1" TargetMode="External"/><Relationship Id="rId35" Type="http://schemas.openxmlformats.org/officeDocument/2006/relationships/hyperlink" Target="https://assets.publishing.service.gov.uk/government/uploads/system/uploads/attachment_data/file/447967/code-of-practice-approved.pdf" TargetMode="External"/><Relationship Id="rId43" Type="http://schemas.openxmlformats.org/officeDocument/2006/relationships/footer" Target="footer8.xml"/><Relationship Id="rId48" Type="http://schemas.openxmlformats.org/officeDocument/2006/relationships/footer" Target="footer10.xml"/><Relationship Id="rId8" Type="http://schemas.openxmlformats.org/officeDocument/2006/relationships/webSettings" Target="webSettings.xml"/><Relationship Id="rId51"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5AF9C1-C805-4BF1-8A46-EFD9E1E01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29</Pages>
  <Words>11151</Words>
  <Characters>60371</Characters>
  <Application>Microsoft Office Word</Application>
  <DocSecurity>0</DocSecurity>
  <Lines>503</Lines>
  <Paragraphs>142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Chinnock,Ellis swp6748</cp:lastModifiedBy>
  <cp:revision>9</cp:revision>
  <cp:lastPrinted>2019-08-13T11:47:00Z</cp:lastPrinted>
  <dcterms:created xsi:type="dcterms:W3CDTF">2021-06-23T14:54:00Z</dcterms:created>
  <dcterms:modified xsi:type="dcterms:W3CDTF">2021-06-26T19:35:00Z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cf85d4ca-3803-4755-a704-8ef4007ea97f</vt:lpwstr>
  </property>
  <property fmtid="{D5CDD505-2E9C-101B-9397-08002B2CF9AE}" pid="4" name="Classification">
    <vt:lpwstr>OFFICIAL</vt:lpwstr>
  </property>
  <property fmtid="{D5CDD505-2E9C-101B-9397-08002B2CF9AE}" pid="5" name="Visibility">
    <vt:lpwstr>NOT VISIBLE</vt:lpwstr>
  </property>
</Properties>
</file>