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B5D64" w14:textId="77777777" w:rsidR="00DB2F4B" w:rsidRDefault="00DB2F4B"/>
    <w:p w14:paraId="6D3B5D65" w14:textId="77777777" w:rsidR="00DB2F4B" w:rsidRDefault="00DB2F4B"/>
    <w:p w14:paraId="6D3B5D66" w14:textId="77777777" w:rsidR="00DB2F4B" w:rsidRDefault="00DB2F4B"/>
    <w:p w14:paraId="6D3B5D67" w14:textId="77777777" w:rsidR="00DB2F4B" w:rsidRDefault="00DB2F4B"/>
    <w:p w14:paraId="6D3B5D68" w14:textId="77777777" w:rsidR="00DB2F4B" w:rsidRDefault="00DB2F4B">
      <w:pPr>
        <w:rPr>
          <w:rFonts w:ascii="Arial" w:hAnsi="Arial" w:cs="Arial"/>
          <w:sz w:val="22"/>
        </w:rPr>
      </w:pPr>
    </w:p>
    <w:p w14:paraId="6D3B5D69" w14:textId="77777777" w:rsidR="00DB2F4B" w:rsidRDefault="00DB2F4B">
      <w:pPr>
        <w:rPr>
          <w:rFonts w:ascii="Arial" w:hAnsi="Arial" w:cs="Arial"/>
          <w:sz w:val="22"/>
        </w:rPr>
      </w:pPr>
    </w:p>
    <w:p w14:paraId="6D3B5D6A" w14:textId="77777777" w:rsidR="00DB2F4B" w:rsidRDefault="00DB2F4B">
      <w:pPr>
        <w:rPr>
          <w:rFonts w:ascii="Arial" w:hAnsi="Arial" w:cs="Arial"/>
          <w:sz w:val="22"/>
        </w:rPr>
      </w:pPr>
    </w:p>
    <w:p w14:paraId="6D3B5D6B" w14:textId="77777777" w:rsidR="00DB2F4B" w:rsidRDefault="00DB2F4B">
      <w:pPr>
        <w:rPr>
          <w:rFonts w:ascii="Arial" w:hAnsi="Arial" w:cs="Arial"/>
          <w:sz w:val="22"/>
        </w:rPr>
      </w:pPr>
    </w:p>
    <w:p w14:paraId="6D3B5D6C" w14:textId="77777777" w:rsidR="00DB2F4B" w:rsidRDefault="00507DA5">
      <w:pPr>
        <w:jc w:val="center"/>
        <w:rPr>
          <w:rFonts w:ascii="Arial" w:hAnsi="Arial" w:cs="Arial"/>
          <w:b/>
          <w:sz w:val="22"/>
        </w:rPr>
      </w:pPr>
      <w:r>
        <w:rPr>
          <w:rFonts w:ascii="Arial" w:hAnsi="Arial" w:cs="Arial"/>
          <w:b/>
          <w:sz w:val="22"/>
        </w:rPr>
        <w:t>Student Name: Fiquriyah Maflahi</w:t>
      </w:r>
    </w:p>
    <w:p w14:paraId="6D3B5D6D" w14:textId="77777777" w:rsidR="00DB2F4B" w:rsidRDefault="00DB2F4B">
      <w:pPr>
        <w:jc w:val="center"/>
        <w:rPr>
          <w:rFonts w:ascii="Arial" w:hAnsi="Arial" w:cs="Arial"/>
          <w:b/>
          <w:sz w:val="22"/>
        </w:rPr>
      </w:pPr>
    </w:p>
    <w:p w14:paraId="6D3B5D6E" w14:textId="77777777" w:rsidR="00DB2F4B" w:rsidRDefault="00507DA5">
      <w:pPr>
        <w:jc w:val="center"/>
        <w:rPr>
          <w:rFonts w:ascii="Arial" w:hAnsi="Arial" w:cs="Arial"/>
          <w:b/>
          <w:sz w:val="22"/>
        </w:rPr>
      </w:pPr>
      <w:r>
        <w:rPr>
          <w:rFonts w:ascii="Arial" w:hAnsi="Arial" w:cs="Arial"/>
          <w:b/>
          <w:sz w:val="22"/>
        </w:rPr>
        <w:t>Student Number: 2313052</w:t>
      </w:r>
    </w:p>
    <w:p w14:paraId="6D3B5D6F" w14:textId="77777777" w:rsidR="00DB2F4B" w:rsidRDefault="00DB2F4B">
      <w:pPr>
        <w:jc w:val="center"/>
        <w:rPr>
          <w:rFonts w:ascii="Arial" w:hAnsi="Arial" w:cs="Arial"/>
          <w:b/>
          <w:sz w:val="22"/>
        </w:rPr>
      </w:pPr>
    </w:p>
    <w:p w14:paraId="6D3B5D70" w14:textId="77777777" w:rsidR="00DB2F4B" w:rsidRDefault="00DB2F4B">
      <w:pPr>
        <w:jc w:val="center"/>
        <w:rPr>
          <w:rFonts w:ascii="Arial" w:hAnsi="Arial" w:cs="Arial"/>
          <w:b/>
          <w:sz w:val="22"/>
        </w:rPr>
      </w:pPr>
    </w:p>
    <w:p w14:paraId="6D3B5D71" w14:textId="77777777" w:rsidR="00DB2F4B" w:rsidRDefault="00507DA5">
      <w:pPr>
        <w:jc w:val="center"/>
        <w:rPr>
          <w:rFonts w:ascii="Arial" w:hAnsi="Arial" w:cs="Arial"/>
          <w:b/>
          <w:sz w:val="22"/>
        </w:rPr>
      </w:pPr>
      <w:r>
        <w:rPr>
          <w:rFonts w:ascii="Arial" w:hAnsi="Arial" w:cs="Arial"/>
          <w:b/>
          <w:sz w:val="22"/>
        </w:rPr>
        <w:t>Module Name: BMHP6030 - Health, Wellbeing and Sustainable Development</w:t>
      </w:r>
    </w:p>
    <w:p w14:paraId="6D3B5D72" w14:textId="77777777" w:rsidR="00DB2F4B" w:rsidRDefault="00507DA5">
      <w:pPr>
        <w:jc w:val="center"/>
        <w:rPr>
          <w:rFonts w:ascii="Arial" w:hAnsi="Arial" w:cs="Arial"/>
          <w:b/>
          <w:sz w:val="22"/>
        </w:rPr>
      </w:pPr>
      <w:r>
        <w:rPr>
          <w:rFonts w:ascii="Arial" w:hAnsi="Arial" w:cs="Arial"/>
          <w:b/>
          <w:sz w:val="22"/>
        </w:rPr>
        <w:t>Assignment Title: Component 2: Written Assignment (Report)</w:t>
      </w:r>
    </w:p>
    <w:p w14:paraId="6D3B5D73" w14:textId="77777777" w:rsidR="00DB2F4B" w:rsidRDefault="00DB2F4B">
      <w:pPr>
        <w:jc w:val="center"/>
        <w:rPr>
          <w:rFonts w:ascii="Arial" w:hAnsi="Arial" w:cs="Arial"/>
          <w:b/>
          <w:sz w:val="22"/>
        </w:rPr>
      </w:pPr>
    </w:p>
    <w:p w14:paraId="6D3B5D74" w14:textId="77777777" w:rsidR="00DB2F4B" w:rsidRDefault="00DB2F4B">
      <w:pPr>
        <w:jc w:val="center"/>
        <w:rPr>
          <w:rFonts w:ascii="Arial" w:hAnsi="Arial" w:cs="Arial"/>
          <w:b/>
          <w:sz w:val="22"/>
        </w:rPr>
      </w:pPr>
    </w:p>
    <w:p w14:paraId="6D3B5D75" w14:textId="77777777" w:rsidR="00DB2F4B" w:rsidRDefault="00507DA5">
      <w:pPr>
        <w:jc w:val="center"/>
        <w:rPr>
          <w:rFonts w:ascii="Arial" w:hAnsi="Arial" w:cs="Arial"/>
          <w:b/>
          <w:sz w:val="22"/>
        </w:rPr>
      </w:pPr>
      <w:r>
        <w:rPr>
          <w:rFonts w:ascii="Arial" w:hAnsi="Arial" w:cs="Arial"/>
          <w:b/>
          <w:sz w:val="22"/>
        </w:rPr>
        <w:t xml:space="preserve">Lecturer Name: Hamdi Hussian </w:t>
      </w:r>
    </w:p>
    <w:p w14:paraId="6D3B5D76" w14:textId="77777777" w:rsidR="00DB2F4B" w:rsidRDefault="00DB2F4B">
      <w:pPr>
        <w:rPr>
          <w:rFonts w:ascii="Arial" w:hAnsi="Arial" w:cs="Arial"/>
          <w:sz w:val="22"/>
        </w:rPr>
      </w:pPr>
    </w:p>
    <w:p w14:paraId="6D3B5D77" w14:textId="77777777" w:rsidR="00DB2F4B" w:rsidRDefault="00DB2F4B">
      <w:pPr>
        <w:rPr>
          <w:rFonts w:ascii="Arial" w:hAnsi="Arial" w:cs="Arial"/>
          <w:sz w:val="22"/>
        </w:rPr>
      </w:pPr>
    </w:p>
    <w:p w14:paraId="6D3B5D78" w14:textId="77777777" w:rsidR="00DB2F4B" w:rsidRDefault="00DB2F4B">
      <w:pPr>
        <w:pageBreakBefore/>
        <w:spacing w:line="251" w:lineRule="auto"/>
        <w:rPr>
          <w:rFonts w:ascii="Arial" w:hAnsi="Arial" w:cs="Arial"/>
          <w:sz w:val="22"/>
        </w:rPr>
      </w:pPr>
    </w:p>
    <w:p w14:paraId="6D3B5D79" w14:textId="77777777" w:rsidR="00DB2F4B" w:rsidRDefault="00507DA5">
      <w:pPr>
        <w:pStyle w:val="TOCHeading"/>
        <w:outlineLvl w:val="9"/>
        <w:rPr>
          <w:rFonts w:ascii="Arial" w:hAnsi="Arial" w:cs="Arial"/>
          <w:color w:val="auto"/>
          <w:sz w:val="22"/>
          <w:szCs w:val="22"/>
        </w:rPr>
      </w:pPr>
      <w:r>
        <w:rPr>
          <w:rFonts w:ascii="Arial" w:hAnsi="Arial" w:cs="Arial"/>
          <w:color w:val="auto"/>
          <w:sz w:val="22"/>
          <w:szCs w:val="22"/>
        </w:rPr>
        <w:t>Table of Contents</w:t>
      </w:r>
    </w:p>
    <w:p w14:paraId="7902AA5A" w14:textId="59F0BD48" w:rsidR="001C550A" w:rsidRDefault="00507DA5">
      <w:pPr>
        <w:pStyle w:val="TOC1"/>
        <w:tabs>
          <w:tab w:val="right" w:leader="dot" w:pos="9350"/>
        </w:tabs>
        <w:rPr>
          <w:rFonts w:asciiTheme="minorHAnsi" w:eastAsiaTheme="minorEastAsia" w:hAnsiTheme="minorHAnsi" w:cstheme="minorBidi"/>
          <w:noProof/>
          <w:kern w:val="2"/>
          <w:szCs w:val="24"/>
          <w:lang w:eastAsia="en-GB"/>
          <w14:ligatures w14:val="standardContextual"/>
        </w:rPr>
      </w:pPr>
      <w:r>
        <w:rPr>
          <w:rFonts w:ascii="Aptos Display" w:eastAsia="Times New Roman" w:hAnsi="Aptos Display"/>
          <w:color w:val="0F4761"/>
          <w:sz w:val="32"/>
          <w:szCs w:val="32"/>
          <w:lang w:val="en-US"/>
        </w:rPr>
        <w:fldChar w:fldCharType="begin"/>
      </w:r>
      <w:r>
        <w:instrText xml:space="preserve"> TOC \o "1-3" \u \h </w:instrText>
      </w:r>
      <w:r>
        <w:rPr>
          <w:rFonts w:ascii="Aptos Display" w:eastAsia="Times New Roman" w:hAnsi="Aptos Display"/>
          <w:color w:val="0F4761"/>
          <w:sz w:val="32"/>
          <w:szCs w:val="32"/>
          <w:lang w:val="en-US"/>
        </w:rPr>
        <w:fldChar w:fldCharType="separate"/>
      </w:r>
      <w:hyperlink w:anchor="_Toc234878806" w:history="1">
        <w:r w:rsidR="001C550A" w:rsidRPr="00522BD8">
          <w:rPr>
            <w:rStyle w:val="Hyperlink"/>
            <w:rFonts w:ascii="Arial" w:hAnsi="Arial" w:cs="Arial"/>
            <w:noProof/>
          </w:rPr>
          <w:t>Introduction</w:t>
        </w:r>
        <w:r w:rsidR="001C550A">
          <w:rPr>
            <w:noProof/>
          </w:rPr>
          <w:tab/>
        </w:r>
        <w:r w:rsidR="001C550A">
          <w:rPr>
            <w:noProof/>
          </w:rPr>
          <w:fldChar w:fldCharType="begin"/>
        </w:r>
        <w:r w:rsidR="001C550A">
          <w:rPr>
            <w:noProof/>
          </w:rPr>
          <w:instrText xml:space="preserve"> PAGEREF _Toc234878806 \h </w:instrText>
        </w:r>
        <w:r w:rsidR="001C550A">
          <w:rPr>
            <w:noProof/>
          </w:rPr>
        </w:r>
        <w:r w:rsidR="001C550A">
          <w:rPr>
            <w:noProof/>
          </w:rPr>
          <w:fldChar w:fldCharType="separate"/>
        </w:r>
        <w:r w:rsidR="001C550A">
          <w:rPr>
            <w:noProof/>
          </w:rPr>
          <w:t>3</w:t>
        </w:r>
        <w:r w:rsidR="001C550A">
          <w:rPr>
            <w:noProof/>
          </w:rPr>
          <w:fldChar w:fldCharType="end"/>
        </w:r>
      </w:hyperlink>
    </w:p>
    <w:p w14:paraId="764E3228" w14:textId="53884D4A" w:rsidR="001C550A" w:rsidRDefault="001C550A">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34878807" w:history="1">
        <w:r w:rsidRPr="00522BD8">
          <w:rPr>
            <w:rStyle w:val="Hyperlink"/>
            <w:rFonts w:ascii="Arial" w:hAnsi="Arial" w:cs="Arial"/>
            <w:noProof/>
          </w:rPr>
          <w:t>Section 1: SDG 3</w:t>
        </w:r>
        <w:r>
          <w:rPr>
            <w:noProof/>
          </w:rPr>
          <w:tab/>
        </w:r>
        <w:r>
          <w:rPr>
            <w:noProof/>
          </w:rPr>
          <w:fldChar w:fldCharType="begin"/>
        </w:r>
        <w:r>
          <w:rPr>
            <w:noProof/>
          </w:rPr>
          <w:instrText xml:space="preserve"> PAGEREF _Toc234878807 \h </w:instrText>
        </w:r>
        <w:r>
          <w:rPr>
            <w:noProof/>
          </w:rPr>
        </w:r>
        <w:r>
          <w:rPr>
            <w:noProof/>
          </w:rPr>
          <w:fldChar w:fldCharType="separate"/>
        </w:r>
        <w:r>
          <w:rPr>
            <w:noProof/>
          </w:rPr>
          <w:t>3</w:t>
        </w:r>
        <w:r>
          <w:rPr>
            <w:noProof/>
          </w:rPr>
          <w:fldChar w:fldCharType="end"/>
        </w:r>
      </w:hyperlink>
    </w:p>
    <w:p w14:paraId="30E7254A" w14:textId="2994B8AD" w:rsidR="001C550A" w:rsidRDefault="001C550A">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34878808" w:history="1">
        <w:r w:rsidRPr="00522BD8">
          <w:rPr>
            <w:rStyle w:val="Hyperlink"/>
            <w:rFonts w:ascii="Arial" w:hAnsi="Arial" w:cs="Arial"/>
            <w:noProof/>
          </w:rPr>
          <w:t>SDG 3 Overview</w:t>
        </w:r>
        <w:r>
          <w:rPr>
            <w:noProof/>
          </w:rPr>
          <w:tab/>
        </w:r>
        <w:r>
          <w:rPr>
            <w:noProof/>
          </w:rPr>
          <w:fldChar w:fldCharType="begin"/>
        </w:r>
        <w:r>
          <w:rPr>
            <w:noProof/>
          </w:rPr>
          <w:instrText xml:space="preserve"> PAGEREF _Toc234878808 \h </w:instrText>
        </w:r>
        <w:r>
          <w:rPr>
            <w:noProof/>
          </w:rPr>
        </w:r>
        <w:r>
          <w:rPr>
            <w:noProof/>
          </w:rPr>
          <w:fldChar w:fldCharType="separate"/>
        </w:r>
        <w:r>
          <w:rPr>
            <w:noProof/>
          </w:rPr>
          <w:t>3</w:t>
        </w:r>
        <w:r>
          <w:rPr>
            <w:noProof/>
          </w:rPr>
          <w:fldChar w:fldCharType="end"/>
        </w:r>
      </w:hyperlink>
    </w:p>
    <w:p w14:paraId="2E8E4BFE" w14:textId="6F2D066C" w:rsidR="001C550A" w:rsidRDefault="001C550A">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34878809" w:history="1">
        <w:r w:rsidRPr="00522BD8">
          <w:rPr>
            <w:rStyle w:val="Hyperlink"/>
            <w:rFonts w:ascii="Arial" w:hAnsi="Arial" w:cs="Arial"/>
            <w:noProof/>
          </w:rPr>
          <w:t>Global Policies and Initiatives of SDG 3</w:t>
        </w:r>
        <w:r>
          <w:rPr>
            <w:noProof/>
          </w:rPr>
          <w:tab/>
        </w:r>
        <w:r>
          <w:rPr>
            <w:noProof/>
          </w:rPr>
          <w:fldChar w:fldCharType="begin"/>
        </w:r>
        <w:r>
          <w:rPr>
            <w:noProof/>
          </w:rPr>
          <w:instrText xml:space="preserve"> PAGEREF _Toc234878809 \h </w:instrText>
        </w:r>
        <w:r>
          <w:rPr>
            <w:noProof/>
          </w:rPr>
        </w:r>
        <w:r>
          <w:rPr>
            <w:noProof/>
          </w:rPr>
          <w:fldChar w:fldCharType="separate"/>
        </w:r>
        <w:r>
          <w:rPr>
            <w:noProof/>
          </w:rPr>
          <w:t>4</w:t>
        </w:r>
        <w:r>
          <w:rPr>
            <w:noProof/>
          </w:rPr>
          <w:fldChar w:fldCharType="end"/>
        </w:r>
      </w:hyperlink>
    </w:p>
    <w:p w14:paraId="24062D63" w14:textId="4AC16BB6" w:rsidR="001C550A" w:rsidRDefault="001C550A">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34878810" w:history="1">
        <w:r w:rsidRPr="00522BD8">
          <w:rPr>
            <w:rStyle w:val="Hyperlink"/>
            <w:rFonts w:ascii="Arial" w:hAnsi="Arial" w:cs="Arial"/>
            <w:noProof/>
          </w:rPr>
          <w:t>SDG 3 in the UK</w:t>
        </w:r>
        <w:r>
          <w:rPr>
            <w:noProof/>
          </w:rPr>
          <w:tab/>
        </w:r>
        <w:r>
          <w:rPr>
            <w:noProof/>
          </w:rPr>
          <w:fldChar w:fldCharType="begin"/>
        </w:r>
        <w:r>
          <w:rPr>
            <w:noProof/>
          </w:rPr>
          <w:instrText xml:space="preserve"> PAGEREF _Toc234878810 \h </w:instrText>
        </w:r>
        <w:r>
          <w:rPr>
            <w:noProof/>
          </w:rPr>
        </w:r>
        <w:r>
          <w:rPr>
            <w:noProof/>
          </w:rPr>
          <w:fldChar w:fldCharType="separate"/>
        </w:r>
        <w:r>
          <w:rPr>
            <w:noProof/>
          </w:rPr>
          <w:t>4</w:t>
        </w:r>
        <w:r>
          <w:rPr>
            <w:noProof/>
          </w:rPr>
          <w:fldChar w:fldCharType="end"/>
        </w:r>
      </w:hyperlink>
    </w:p>
    <w:p w14:paraId="1C07E7D7" w14:textId="407CEBB4" w:rsidR="001C550A" w:rsidRDefault="001C550A">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34878811" w:history="1">
        <w:r w:rsidRPr="00522BD8">
          <w:rPr>
            <w:rStyle w:val="Hyperlink"/>
            <w:rFonts w:ascii="Arial" w:hAnsi="Arial" w:cs="Arial"/>
            <w:noProof/>
          </w:rPr>
          <w:t>Theoretical/Conceptual Frameworks</w:t>
        </w:r>
        <w:r>
          <w:rPr>
            <w:noProof/>
          </w:rPr>
          <w:tab/>
        </w:r>
        <w:r>
          <w:rPr>
            <w:noProof/>
          </w:rPr>
          <w:fldChar w:fldCharType="begin"/>
        </w:r>
        <w:r>
          <w:rPr>
            <w:noProof/>
          </w:rPr>
          <w:instrText xml:space="preserve"> PAGEREF _Toc234878811 \h </w:instrText>
        </w:r>
        <w:r>
          <w:rPr>
            <w:noProof/>
          </w:rPr>
        </w:r>
        <w:r>
          <w:rPr>
            <w:noProof/>
          </w:rPr>
          <w:fldChar w:fldCharType="separate"/>
        </w:r>
        <w:r>
          <w:rPr>
            <w:noProof/>
          </w:rPr>
          <w:t>5</w:t>
        </w:r>
        <w:r>
          <w:rPr>
            <w:noProof/>
          </w:rPr>
          <w:fldChar w:fldCharType="end"/>
        </w:r>
      </w:hyperlink>
    </w:p>
    <w:p w14:paraId="7655D168" w14:textId="0FAFB2EC" w:rsidR="001C550A" w:rsidRDefault="001C550A">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34878812" w:history="1">
        <w:r w:rsidRPr="00522BD8">
          <w:rPr>
            <w:rStyle w:val="Hyperlink"/>
            <w:rFonts w:ascii="Arial" w:hAnsi="Arial" w:cs="Arial"/>
            <w:noProof/>
          </w:rPr>
          <w:t>Recommendations</w:t>
        </w:r>
        <w:r>
          <w:rPr>
            <w:noProof/>
          </w:rPr>
          <w:tab/>
        </w:r>
        <w:r>
          <w:rPr>
            <w:noProof/>
          </w:rPr>
          <w:fldChar w:fldCharType="begin"/>
        </w:r>
        <w:r>
          <w:rPr>
            <w:noProof/>
          </w:rPr>
          <w:instrText xml:space="preserve"> PAGEREF _Toc234878812 \h </w:instrText>
        </w:r>
        <w:r>
          <w:rPr>
            <w:noProof/>
          </w:rPr>
        </w:r>
        <w:r>
          <w:rPr>
            <w:noProof/>
          </w:rPr>
          <w:fldChar w:fldCharType="separate"/>
        </w:r>
        <w:r>
          <w:rPr>
            <w:noProof/>
          </w:rPr>
          <w:t>5</w:t>
        </w:r>
        <w:r>
          <w:rPr>
            <w:noProof/>
          </w:rPr>
          <w:fldChar w:fldCharType="end"/>
        </w:r>
      </w:hyperlink>
    </w:p>
    <w:p w14:paraId="554F8CB9" w14:textId="75CF3CDE" w:rsidR="001C550A" w:rsidRDefault="001C550A">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34878813" w:history="1">
        <w:r w:rsidRPr="00522BD8">
          <w:rPr>
            <w:rStyle w:val="Hyperlink"/>
            <w:rFonts w:ascii="Arial" w:hAnsi="Arial" w:cs="Arial"/>
            <w:noProof/>
          </w:rPr>
          <w:t>Section 2: SDG 7</w:t>
        </w:r>
        <w:r>
          <w:rPr>
            <w:noProof/>
          </w:rPr>
          <w:tab/>
        </w:r>
        <w:r>
          <w:rPr>
            <w:noProof/>
          </w:rPr>
          <w:fldChar w:fldCharType="begin"/>
        </w:r>
        <w:r>
          <w:rPr>
            <w:noProof/>
          </w:rPr>
          <w:instrText xml:space="preserve"> PAGEREF _Toc234878813 \h </w:instrText>
        </w:r>
        <w:r>
          <w:rPr>
            <w:noProof/>
          </w:rPr>
        </w:r>
        <w:r>
          <w:rPr>
            <w:noProof/>
          </w:rPr>
          <w:fldChar w:fldCharType="separate"/>
        </w:r>
        <w:r>
          <w:rPr>
            <w:noProof/>
          </w:rPr>
          <w:t>6</w:t>
        </w:r>
        <w:r>
          <w:rPr>
            <w:noProof/>
          </w:rPr>
          <w:fldChar w:fldCharType="end"/>
        </w:r>
      </w:hyperlink>
    </w:p>
    <w:p w14:paraId="67D67E7B" w14:textId="1D527EB8" w:rsidR="001C550A" w:rsidRDefault="001C550A">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34878814" w:history="1">
        <w:r w:rsidRPr="00522BD8">
          <w:rPr>
            <w:rStyle w:val="Hyperlink"/>
            <w:rFonts w:ascii="Arial" w:hAnsi="Arial" w:cs="Arial"/>
            <w:noProof/>
          </w:rPr>
          <w:t>SDG 7 Overview</w:t>
        </w:r>
        <w:r>
          <w:rPr>
            <w:noProof/>
          </w:rPr>
          <w:tab/>
        </w:r>
        <w:r>
          <w:rPr>
            <w:noProof/>
          </w:rPr>
          <w:fldChar w:fldCharType="begin"/>
        </w:r>
        <w:r>
          <w:rPr>
            <w:noProof/>
          </w:rPr>
          <w:instrText xml:space="preserve"> PAGEREF _Toc234878814 \h </w:instrText>
        </w:r>
        <w:r>
          <w:rPr>
            <w:noProof/>
          </w:rPr>
        </w:r>
        <w:r>
          <w:rPr>
            <w:noProof/>
          </w:rPr>
          <w:fldChar w:fldCharType="separate"/>
        </w:r>
        <w:r>
          <w:rPr>
            <w:noProof/>
          </w:rPr>
          <w:t>6</w:t>
        </w:r>
        <w:r>
          <w:rPr>
            <w:noProof/>
          </w:rPr>
          <w:fldChar w:fldCharType="end"/>
        </w:r>
      </w:hyperlink>
    </w:p>
    <w:p w14:paraId="2ABF1664" w14:textId="63F1C00D" w:rsidR="001C550A" w:rsidRDefault="001C550A">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34878815" w:history="1">
        <w:r w:rsidRPr="00522BD8">
          <w:rPr>
            <w:rStyle w:val="Hyperlink"/>
            <w:rFonts w:ascii="Arial" w:hAnsi="Arial" w:cs="Arial"/>
            <w:noProof/>
          </w:rPr>
          <w:t>Global Policies and Initiatives of SDG 7</w:t>
        </w:r>
        <w:r>
          <w:rPr>
            <w:noProof/>
          </w:rPr>
          <w:tab/>
        </w:r>
        <w:r>
          <w:rPr>
            <w:noProof/>
          </w:rPr>
          <w:fldChar w:fldCharType="begin"/>
        </w:r>
        <w:r>
          <w:rPr>
            <w:noProof/>
          </w:rPr>
          <w:instrText xml:space="preserve"> PAGEREF _Toc234878815 \h </w:instrText>
        </w:r>
        <w:r>
          <w:rPr>
            <w:noProof/>
          </w:rPr>
        </w:r>
        <w:r>
          <w:rPr>
            <w:noProof/>
          </w:rPr>
          <w:fldChar w:fldCharType="separate"/>
        </w:r>
        <w:r>
          <w:rPr>
            <w:noProof/>
          </w:rPr>
          <w:t>6</w:t>
        </w:r>
        <w:r>
          <w:rPr>
            <w:noProof/>
          </w:rPr>
          <w:fldChar w:fldCharType="end"/>
        </w:r>
      </w:hyperlink>
    </w:p>
    <w:p w14:paraId="7FCACEC5" w14:textId="587C495E" w:rsidR="001C550A" w:rsidRDefault="001C550A">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34878816" w:history="1">
        <w:r w:rsidRPr="00522BD8">
          <w:rPr>
            <w:rStyle w:val="Hyperlink"/>
            <w:rFonts w:ascii="Arial" w:hAnsi="Arial" w:cs="Arial"/>
            <w:noProof/>
          </w:rPr>
          <w:t>SDG 7 in the UK</w:t>
        </w:r>
        <w:r>
          <w:rPr>
            <w:noProof/>
          </w:rPr>
          <w:tab/>
        </w:r>
        <w:r>
          <w:rPr>
            <w:noProof/>
          </w:rPr>
          <w:fldChar w:fldCharType="begin"/>
        </w:r>
        <w:r>
          <w:rPr>
            <w:noProof/>
          </w:rPr>
          <w:instrText xml:space="preserve"> PAGEREF _Toc234878816 \h </w:instrText>
        </w:r>
        <w:r>
          <w:rPr>
            <w:noProof/>
          </w:rPr>
        </w:r>
        <w:r>
          <w:rPr>
            <w:noProof/>
          </w:rPr>
          <w:fldChar w:fldCharType="separate"/>
        </w:r>
        <w:r>
          <w:rPr>
            <w:noProof/>
          </w:rPr>
          <w:t>6</w:t>
        </w:r>
        <w:r>
          <w:rPr>
            <w:noProof/>
          </w:rPr>
          <w:fldChar w:fldCharType="end"/>
        </w:r>
      </w:hyperlink>
    </w:p>
    <w:p w14:paraId="226B509B" w14:textId="24D62C42" w:rsidR="001C550A" w:rsidRDefault="001C550A">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34878817" w:history="1">
        <w:r w:rsidRPr="00522BD8">
          <w:rPr>
            <w:rStyle w:val="Hyperlink"/>
            <w:rFonts w:ascii="Arial" w:hAnsi="Arial" w:cs="Arial"/>
            <w:noProof/>
          </w:rPr>
          <w:t>Theoretical/Conceptual Frameworks</w:t>
        </w:r>
        <w:r>
          <w:rPr>
            <w:noProof/>
          </w:rPr>
          <w:tab/>
        </w:r>
        <w:r>
          <w:rPr>
            <w:noProof/>
          </w:rPr>
          <w:fldChar w:fldCharType="begin"/>
        </w:r>
        <w:r>
          <w:rPr>
            <w:noProof/>
          </w:rPr>
          <w:instrText xml:space="preserve"> PAGEREF _Toc234878817 \h </w:instrText>
        </w:r>
        <w:r>
          <w:rPr>
            <w:noProof/>
          </w:rPr>
        </w:r>
        <w:r>
          <w:rPr>
            <w:noProof/>
          </w:rPr>
          <w:fldChar w:fldCharType="separate"/>
        </w:r>
        <w:r>
          <w:rPr>
            <w:noProof/>
          </w:rPr>
          <w:t>7</w:t>
        </w:r>
        <w:r>
          <w:rPr>
            <w:noProof/>
          </w:rPr>
          <w:fldChar w:fldCharType="end"/>
        </w:r>
      </w:hyperlink>
    </w:p>
    <w:p w14:paraId="0A0019A9" w14:textId="2E5878AC" w:rsidR="001C550A" w:rsidRDefault="001C550A">
      <w:pPr>
        <w:pStyle w:val="TOC2"/>
        <w:tabs>
          <w:tab w:val="right" w:leader="dot" w:pos="9350"/>
        </w:tabs>
        <w:rPr>
          <w:rFonts w:asciiTheme="minorHAnsi" w:eastAsiaTheme="minorEastAsia" w:hAnsiTheme="minorHAnsi" w:cstheme="minorBidi"/>
          <w:noProof/>
          <w:kern w:val="2"/>
          <w:szCs w:val="24"/>
          <w:lang w:eastAsia="en-GB"/>
          <w14:ligatures w14:val="standardContextual"/>
        </w:rPr>
      </w:pPr>
      <w:hyperlink w:anchor="_Toc234878818" w:history="1">
        <w:r w:rsidRPr="00522BD8">
          <w:rPr>
            <w:rStyle w:val="Hyperlink"/>
            <w:rFonts w:ascii="Arial" w:hAnsi="Arial" w:cs="Arial"/>
            <w:noProof/>
          </w:rPr>
          <w:t>Recommendations</w:t>
        </w:r>
        <w:r>
          <w:rPr>
            <w:noProof/>
          </w:rPr>
          <w:tab/>
        </w:r>
        <w:r>
          <w:rPr>
            <w:noProof/>
          </w:rPr>
          <w:fldChar w:fldCharType="begin"/>
        </w:r>
        <w:r>
          <w:rPr>
            <w:noProof/>
          </w:rPr>
          <w:instrText xml:space="preserve"> PAGEREF _Toc234878818 \h </w:instrText>
        </w:r>
        <w:r>
          <w:rPr>
            <w:noProof/>
          </w:rPr>
        </w:r>
        <w:r>
          <w:rPr>
            <w:noProof/>
          </w:rPr>
          <w:fldChar w:fldCharType="separate"/>
        </w:r>
        <w:r>
          <w:rPr>
            <w:noProof/>
          </w:rPr>
          <w:t>8</w:t>
        </w:r>
        <w:r>
          <w:rPr>
            <w:noProof/>
          </w:rPr>
          <w:fldChar w:fldCharType="end"/>
        </w:r>
      </w:hyperlink>
    </w:p>
    <w:p w14:paraId="40E52995" w14:textId="6DCD7265" w:rsidR="001C550A" w:rsidRDefault="001C550A">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34878819" w:history="1">
        <w:r w:rsidRPr="00522BD8">
          <w:rPr>
            <w:rStyle w:val="Hyperlink"/>
            <w:rFonts w:ascii="Arial" w:hAnsi="Arial" w:cs="Arial"/>
            <w:noProof/>
          </w:rPr>
          <w:t>Conclusion</w:t>
        </w:r>
        <w:r>
          <w:rPr>
            <w:noProof/>
          </w:rPr>
          <w:tab/>
        </w:r>
        <w:r>
          <w:rPr>
            <w:noProof/>
          </w:rPr>
          <w:fldChar w:fldCharType="begin"/>
        </w:r>
        <w:r>
          <w:rPr>
            <w:noProof/>
          </w:rPr>
          <w:instrText xml:space="preserve"> PAGEREF _Toc234878819 \h </w:instrText>
        </w:r>
        <w:r>
          <w:rPr>
            <w:noProof/>
          </w:rPr>
        </w:r>
        <w:r>
          <w:rPr>
            <w:noProof/>
          </w:rPr>
          <w:fldChar w:fldCharType="separate"/>
        </w:r>
        <w:r>
          <w:rPr>
            <w:noProof/>
          </w:rPr>
          <w:t>8</w:t>
        </w:r>
        <w:r>
          <w:rPr>
            <w:noProof/>
          </w:rPr>
          <w:fldChar w:fldCharType="end"/>
        </w:r>
      </w:hyperlink>
    </w:p>
    <w:p w14:paraId="32791405" w14:textId="0F76A6C6" w:rsidR="001C550A" w:rsidRDefault="001C550A">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34878820" w:history="1">
        <w:r w:rsidRPr="00522BD8">
          <w:rPr>
            <w:rStyle w:val="Hyperlink"/>
            <w:rFonts w:ascii="Arial" w:hAnsi="Arial" w:cs="Arial"/>
            <w:noProof/>
          </w:rPr>
          <w:t>References</w:t>
        </w:r>
        <w:r>
          <w:rPr>
            <w:noProof/>
          </w:rPr>
          <w:tab/>
        </w:r>
        <w:r>
          <w:rPr>
            <w:noProof/>
          </w:rPr>
          <w:fldChar w:fldCharType="begin"/>
        </w:r>
        <w:r>
          <w:rPr>
            <w:noProof/>
          </w:rPr>
          <w:instrText xml:space="preserve"> PAGEREF _Toc234878820 \h </w:instrText>
        </w:r>
        <w:r>
          <w:rPr>
            <w:noProof/>
          </w:rPr>
        </w:r>
        <w:r>
          <w:rPr>
            <w:noProof/>
          </w:rPr>
          <w:fldChar w:fldCharType="separate"/>
        </w:r>
        <w:r>
          <w:rPr>
            <w:noProof/>
          </w:rPr>
          <w:t>9</w:t>
        </w:r>
        <w:r>
          <w:rPr>
            <w:noProof/>
          </w:rPr>
          <w:fldChar w:fldCharType="end"/>
        </w:r>
      </w:hyperlink>
    </w:p>
    <w:p w14:paraId="6D3B5D89" w14:textId="6A01C3F4" w:rsidR="00DB2F4B" w:rsidRDefault="00507DA5">
      <w:r>
        <w:fldChar w:fldCharType="end"/>
      </w:r>
    </w:p>
    <w:p w14:paraId="6D3B5D8A" w14:textId="77777777" w:rsidR="00DB2F4B" w:rsidRDefault="00DB2F4B">
      <w:pPr>
        <w:rPr>
          <w:rFonts w:ascii="Arial" w:hAnsi="Arial" w:cs="Arial"/>
          <w:sz w:val="22"/>
        </w:rPr>
      </w:pPr>
    </w:p>
    <w:p w14:paraId="6D3B5D8B" w14:textId="77777777" w:rsidR="00DB2F4B" w:rsidRDefault="00DB2F4B">
      <w:pPr>
        <w:rPr>
          <w:rFonts w:ascii="Arial" w:hAnsi="Arial" w:cs="Arial"/>
          <w:sz w:val="22"/>
        </w:rPr>
      </w:pPr>
    </w:p>
    <w:p w14:paraId="6D3B5D8C" w14:textId="77777777" w:rsidR="00DB2F4B" w:rsidRDefault="00DB2F4B" w:rsidP="001C550A">
      <w:pPr>
        <w:pageBreakBefore/>
        <w:spacing w:line="360" w:lineRule="auto"/>
        <w:rPr>
          <w:rFonts w:ascii="Arial" w:hAnsi="Arial" w:cs="Arial"/>
          <w:sz w:val="22"/>
        </w:rPr>
      </w:pPr>
    </w:p>
    <w:p w14:paraId="6D3B5D8D" w14:textId="77777777" w:rsidR="00DB2F4B" w:rsidRDefault="00507DA5" w:rsidP="001C550A">
      <w:pPr>
        <w:pStyle w:val="Heading1"/>
        <w:spacing w:line="360" w:lineRule="auto"/>
        <w:rPr>
          <w:rFonts w:ascii="Arial" w:hAnsi="Arial" w:cs="Arial"/>
          <w:color w:val="auto"/>
          <w:sz w:val="22"/>
          <w:szCs w:val="22"/>
        </w:rPr>
      </w:pPr>
      <w:bookmarkStart w:id="0" w:name="_Toc234878806"/>
      <w:r>
        <w:rPr>
          <w:rFonts w:ascii="Arial" w:hAnsi="Arial" w:cs="Arial"/>
          <w:color w:val="auto"/>
          <w:sz w:val="22"/>
          <w:szCs w:val="22"/>
        </w:rPr>
        <w:t>Introduction</w:t>
      </w:r>
      <w:bookmarkEnd w:id="0"/>
    </w:p>
    <w:p w14:paraId="6D3B5D8E" w14:textId="77777777" w:rsidR="00DB2F4B" w:rsidRDefault="00507DA5" w:rsidP="001C550A">
      <w:pPr>
        <w:spacing w:line="360" w:lineRule="auto"/>
        <w:rPr>
          <w:rFonts w:ascii="Arial" w:hAnsi="Arial" w:cs="Arial"/>
          <w:sz w:val="22"/>
        </w:rPr>
      </w:pPr>
      <w:r>
        <w:rPr>
          <w:rFonts w:ascii="Arial" w:hAnsi="Arial" w:cs="Arial"/>
          <w:sz w:val="22"/>
        </w:rPr>
        <w:t>The Sustainable Development Goals (SDGs) adopted by the United Nations in 2015 offer a global agenda to address interconnected issues related to health, inequality, and environmental sustainability (UN, 2025). Good Health and Well-being SDG 3 and Affordable and Clean Energy SDG 7 are goals that change how people live and feel, both directly and indirectly. SDG 3 aims to stop preventable deaths, pushing mental health into the spotlight, and making sure everyone can get healthcare. On the other hand, SDG 7 zeroes in on giving everyone steady, affordable clean energy. These two issues run side by side because things like air pollution or poor living conditions shape who stays healthy and who does not. The UK is wrestling with noteworthy health gaps between its regions and groups, rising pressure on the NHS, and growing inequalities (Heaslip et al., 2022). On top of that, the energy crisis and fuel poverty keep piling stress on vulnerable people, hurting both their mental and physical health (Katoch et al., 2024). This report aims to understand how SDG 3 and SDG 7 influence health and wellbeing in the UK. Section 1 goes into SDG 3, Section 2 looks at SDG 7, and Section 3 is the conclusion.</w:t>
      </w:r>
    </w:p>
    <w:p w14:paraId="6D3B5D8F" w14:textId="77777777" w:rsidR="00DB2F4B" w:rsidRDefault="00DB2F4B" w:rsidP="001C550A">
      <w:pPr>
        <w:spacing w:line="360" w:lineRule="auto"/>
        <w:rPr>
          <w:rFonts w:ascii="Arial" w:hAnsi="Arial" w:cs="Arial"/>
          <w:sz w:val="22"/>
        </w:rPr>
      </w:pPr>
    </w:p>
    <w:p w14:paraId="6D3B5D90" w14:textId="77777777" w:rsidR="00DB2F4B" w:rsidRDefault="00507DA5" w:rsidP="001C550A">
      <w:pPr>
        <w:pStyle w:val="Heading1"/>
        <w:spacing w:line="360" w:lineRule="auto"/>
        <w:rPr>
          <w:rFonts w:ascii="Arial" w:hAnsi="Arial" w:cs="Arial"/>
          <w:color w:val="auto"/>
          <w:sz w:val="22"/>
          <w:szCs w:val="22"/>
        </w:rPr>
      </w:pPr>
      <w:bookmarkStart w:id="1" w:name="_Toc234878807"/>
      <w:r>
        <w:rPr>
          <w:rFonts w:ascii="Arial" w:hAnsi="Arial" w:cs="Arial"/>
          <w:color w:val="auto"/>
          <w:sz w:val="22"/>
          <w:szCs w:val="22"/>
        </w:rPr>
        <w:t>Section 1: SDG 3</w:t>
      </w:r>
      <w:bookmarkEnd w:id="1"/>
    </w:p>
    <w:p w14:paraId="6D3B5D91" w14:textId="77777777" w:rsidR="00DB2F4B" w:rsidRDefault="00507DA5" w:rsidP="001C550A">
      <w:pPr>
        <w:pStyle w:val="Heading2"/>
        <w:spacing w:line="360" w:lineRule="auto"/>
        <w:rPr>
          <w:rFonts w:ascii="Arial" w:hAnsi="Arial" w:cs="Arial"/>
          <w:color w:val="auto"/>
          <w:sz w:val="22"/>
          <w:szCs w:val="22"/>
        </w:rPr>
      </w:pPr>
      <w:bookmarkStart w:id="2" w:name="_Toc234878808"/>
      <w:r>
        <w:rPr>
          <w:rFonts w:ascii="Arial" w:hAnsi="Arial" w:cs="Arial"/>
          <w:color w:val="auto"/>
          <w:sz w:val="22"/>
          <w:szCs w:val="22"/>
        </w:rPr>
        <w:t>SDG 3 Overview</w:t>
      </w:r>
      <w:bookmarkEnd w:id="2"/>
    </w:p>
    <w:p w14:paraId="6D3B5D92" w14:textId="77777777" w:rsidR="00DB2F4B" w:rsidRDefault="00507DA5" w:rsidP="001C550A">
      <w:pPr>
        <w:spacing w:line="360" w:lineRule="auto"/>
        <w:rPr>
          <w:rFonts w:ascii="Arial" w:hAnsi="Arial" w:cs="Arial"/>
          <w:sz w:val="22"/>
        </w:rPr>
      </w:pPr>
      <w:r>
        <w:rPr>
          <w:rFonts w:ascii="Arial" w:hAnsi="Arial" w:cs="Arial"/>
          <w:sz w:val="22"/>
        </w:rPr>
        <w:t>The SDG 3 target, to ensure healthy lives and promote wellbeing for all at all ages (United Nations, 2025) explicitly references healthy lives and wellbeing. Its core priorities are maternal and child mortality, communicable and non-communicable diseases, mental health, and universal health coverage (UHC). Along with the focus on promoting equity, the goal also highlights the need for access to quality health services, essential medicines and prevention services. Health systems are directly impacted by SDG 3, as it shapes policy agendas, receives funding, and impacts the quality of health services provided in practice, which in turn influences population health, inequities, and the ability of systems to adapt to new public health challenges globally.</w:t>
      </w:r>
    </w:p>
    <w:p w14:paraId="6D3B5D93" w14:textId="77777777" w:rsidR="00DB2F4B" w:rsidRDefault="00DB2F4B" w:rsidP="001C550A">
      <w:pPr>
        <w:spacing w:line="360" w:lineRule="auto"/>
        <w:rPr>
          <w:rFonts w:ascii="Arial" w:hAnsi="Arial" w:cs="Arial"/>
          <w:sz w:val="22"/>
        </w:rPr>
      </w:pPr>
    </w:p>
    <w:p w14:paraId="6D3B5D94" w14:textId="77777777" w:rsidR="00DB2F4B" w:rsidRDefault="00507DA5" w:rsidP="001C550A">
      <w:pPr>
        <w:pStyle w:val="Heading2"/>
        <w:spacing w:line="360" w:lineRule="auto"/>
        <w:rPr>
          <w:rFonts w:ascii="Arial" w:hAnsi="Arial" w:cs="Arial"/>
          <w:color w:val="auto"/>
          <w:sz w:val="22"/>
          <w:szCs w:val="22"/>
        </w:rPr>
      </w:pPr>
      <w:bookmarkStart w:id="3" w:name="_Toc234878809"/>
      <w:r>
        <w:rPr>
          <w:rFonts w:ascii="Arial" w:hAnsi="Arial" w:cs="Arial"/>
          <w:color w:val="auto"/>
          <w:sz w:val="22"/>
          <w:szCs w:val="22"/>
        </w:rPr>
        <w:lastRenderedPageBreak/>
        <w:t>Global Policies and Initiatives of SDG 3</w:t>
      </w:r>
      <w:bookmarkEnd w:id="3"/>
    </w:p>
    <w:p w14:paraId="6D3B5D95" w14:textId="77777777" w:rsidR="00DB2F4B" w:rsidRDefault="00507DA5" w:rsidP="001C550A">
      <w:pPr>
        <w:spacing w:line="360" w:lineRule="auto"/>
        <w:rPr>
          <w:rFonts w:ascii="Arial" w:hAnsi="Arial" w:cs="Arial"/>
          <w:sz w:val="22"/>
        </w:rPr>
      </w:pPr>
      <w:r>
        <w:rPr>
          <w:rFonts w:ascii="Arial" w:hAnsi="Arial" w:cs="Arial"/>
          <w:sz w:val="22"/>
        </w:rPr>
        <w:t xml:space="preserve">SDG 3 is key for advancing initiatives aimed at improving mental health, like the Mental Health Action Plan (2013–2030) and the World Health Organisation efforts on Universal Health Coverage (World Health Organisation, 2013). UHC aims to provide all people with the healthcare services they need without suffering hardship, and a growing body of evidence indicates that countries that are moving toward UHC have increased coverage and decreased catastrophic health payments (WHO, 2025). Likewise, the Mental Health Action Plan has helped build awareness of mental health in policy, resulting in more than 80% of WHOM member states having a mental health policy (World Health Organisation, 2013). There are still considerable differences, however, between high- and low-income countries, both regarding the capacity of the healthcare workforce </w:t>
      </w:r>
      <w:proofErr w:type="gramStart"/>
      <w:r>
        <w:rPr>
          <w:rFonts w:ascii="Arial" w:hAnsi="Arial" w:cs="Arial"/>
          <w:sz w:val="22"/>
        </w:rPr>
        <w:t>and also</w:t>
      </w:r>
      <w:proofErr w:type="gramEnd"/>
      <w:r>
        <w:rPr>
          <w:rFonts w:ascii="Arial" w:hAnsi="Arial" w:cs="Arial"/>
          <w:sz w:val="22"/>
        </w:rPr>
        <w:t xml:space="preserve"> in terms of epidemiology. Now, while SDG progress is important everywhere, there is a huge gap between rich and poor countries. Low-income countries handle a bigger share of the world’s disease but get less than 1% of global health spending (World Bank, 2022). Similarly, mental health remains a neglected area, with UK spending on it is usually under 2%, drastically below the 10% that is </w:t>
      </w:r>
      <w:proofErr w:type="gramStart"/>
      <w:r>
        <w:rPr>
          <w:rFonts w:ascii="Arial" w:hAnsi="Arial" w:cs="Arial"/>
          <w:sz w:val="22"/>
        </w:rPr>
        <w:t>actually needed</w:t>
      </w:r>
      <w:proofErr w:type="gramEnd"/>
      <w:r>
        <w:rPr>
          <w:rFonts w:ascii="Arial" w:hAnsi="Arial" w:cs="Arial"/>
          <w:sz w:val="22"/>
        </w:rPr>
        <w:t xml:space="preserve"> (World Health Organization, 2022).</w:t>
      </w:r>
    </w:p>
    <w:p w14:paraId="6D3B5D96" w14:textId="77777777" w:rsidR="00DB2F4B" w:rsidRDefault="00DB2F4B" w:rsidP="001C550A">
      <w:pPr>
        <w:spacing w:line="360" w:lineRule="auto"/>
        <w:rPr>
          <w:rFonts w:ascii="Arial" w:hAnsi="Arial" w:cs="Arial"/>
          <w:sz w:val="22"/>
          <w:shd w:val="clear" w:color="auto" w:fill="FFFF00"/>
        </w:rPr>
      </w:pPr>
    </w:p>
    <w:p w14:paraId="6D3B5D97" w14:textId="77777777" w:rsidR="00DB2F4B" w:rsidRDefault="00507DA5" w:rsidP="001C550A">
      <w:pPr>
        <w:pStyle w:val="Heading2"/>
        <w:spacing w:line="360" w:lineRule="auto"/>
        <w:rPr>
          <w:rFonts w:ascii="Arial" w:hAnsi="Arial" w:cs="Arial"/>
          <w:color w:val="auto"/>
          <w:sz w:val="22"/>
          <w:szCs w:val="22"/>
        </w:rPr>
      </w:pPr>
      <w:bookmarkStart w:id="4" w:name="_Toc234878810"/>
      <w:r>
        <w:rPr>
          <w:rFonts w:ascii="Arial" w:hAnsi="Arial" w:cs="Arial"/>
          <w:color w:val="auto"/>
          <w:sz w:val="22"/>
          <w:szCs w:val="22"/>
        </w:rPr>
        <w:t>SDG 3 in the UK</w:t>
      </w:r>
      <w:bookmarkEnd w:id="4"/>
    </w:p>
    <w:p w14:paraId="6D3B5D98" w14:textId="77777777" w:rsidR="00DB2F4B" w:rsidRDefault="00507DA5" w:rsidP="001C550A">
      <w:pPr>
        <w:spacing w:line="360" w:lineRule="auto"/>
        <w:rPr>
          <w:rFonts w:ascii="Arial" w:hAnsi="Arial" w:cs="Arial"/>
          <w:sz w:val="22"/>
        </w:rPr>
      </w:pPr>
      <w:r>
        <w:rPr>
          <w:rFonts w:ascii="Arial" w:hAnsi="Arial" w:cs="Arial"/>
          <w:sz w:val="22"/>
        </w:rPr>
        <w:t xml:space="preserve">In the UK, SDG 3 has been actively integrated into the NHS Long Term Plan and public health drives on problems like obesity and mental health (England, 2023). The NHS recorded about 1.6 million people using mental health services in a single year (NHS England, 2022). Similarly. obesity strategies, such as sugar reduction strategies, have also helped to reduce sugar consumption by a small amount (Gomes et al., 2023). </w:t>
      </w:r>
      <w:proofErr w:type="spellStart"/>
      <w:r>
        <w:rPr>
          <w:rFonts w:ascii="Arial" w:hAnsi="Arial" w:cs="Arial"/>
          <w:sz w:val="22"/>
        </w:rPr>
        <w:t>Yenet</w:t>
      </w:r>
      <w:proofErr w:type="spellEnd"/>
      <w:r>
        <w:rPr>
          <w:rFonts w:ascii="Arial" w:hAnsi="Arial" w:cs="Arial"/>
          <w:sz w:val="22"/>
        </w:rPr>
        <w:t xml:space="preserve"> et al. (2023), however, counter this by stating that these policies would be ineffective over the long-term if backed by inadequate funding or increased demand. Integrated Care Systems (ICSs) and community health programmes in the local community focus on improving connectivity between services and on social determinants of health at a local level. Collaboration between health services has focused on treating patients as a whole epidemic, with ICSs improving this cooperation (McKeown, 2023). However, there are still key barriers to overcome. There is a significant concern about waiting times, with more than 7 million people waiting for NHS treatment in 2023 (Warner and Zaranko, 2024). The objective of SDG3 is limited in its potential to deliver equity, highlighted by the growing disparity between regions and within them, in disadvantaged regions exacerbated by a shortage in workforce and uneven distribution of resources (Feng et al., 2023).</w:t>
      </w:r>
    </w:p>
    <w:p w14:paraId="6D3B5D99" w14:textId="77777777" w:rsidR="00DB2F4B" w:rsidRDefault="00DB2F4B" w:rsidP="001C550A">
      <w:pPr>
        <w:spacing w:line="360" w:lineRule="auto"/>
        <w:rPr>
          <w:rFonts w:ascii="Arial" w:hAnsi="Arial" w:cs="Arial"/>
          <w:sz w:val="22"/>
        </w:rPr>
      </w:pPr>
    </w:p>
    <w:p w14:paraId="6D3B5D9A" w14:textId="77777777" w:rsidR="00DB2F4B" w:rsidRDefault="00507DA5" w:rsidP="001C550A">
      <w:pPr>
        <w:pStyle w:val="Heading2"/>
        <w:spacing w:line="360" w:lineRule="auto"/>
        <w:rPr>
          <w:rFonts w:ascii="Arial" w:hAnsi="Arial" w:cs="Arial"/>
          <w:color w:val="auto"/>
          <w:sz w:val="22"/>
          <w:szCs w:val="22"/>
        </w:rPr>
      </w:pPr>
      <w:bookmarkStart w:id="5" w:name="_Toc234878811"/>
      <w:r>
        <w:rPr>
          <w:rFonts w:ascii="Arial" w:hAnsi="Arial" w:cs="Arial"/>
          <w:color w:val="auto"/>
          <w:sz w:val="22"/>
          <w:szCs w:val="22"/>
        </w:rPr>
        <w:t>Theoretical/Conceptual Frameworks</w:t>
      </w:r>
      <w:bookmarkEnd w:id="5"/>
    </w:p>
    <w:p w14:paraId="6D3B5D9B" w14:textId="77777777" w:rsidR="00DB2F4B" w:rsidRDefault="00507DA5" w:rsidP="001C550A">
      <w:pPr>
        <w:spacing w:line="360" w:lineRule="auto"/>
        <w:rPr>
          <w:rFonts w:ascii="Arial" w:hAnsi="Arial" w:cs="Arial"/>
          <w:sz w:val="22"/>
        </w:rPr>
      </w:pPr>
      <w:r>
        <w:rPr>
          <w:rFonts w:ascii="Arial" w:hAnsi="Arial" w:cs="Arial"/>
          <w:sz w:val="22"/>
        </w:rPr>
        <w:t xml:space="preserve">The Social Determinants of Health model of Dahlgren and Whitehead captures an understanding of the SDG 3 outcomes in the UK and how income, education, housing and environment influence inequalities related to health (MacDonald and Dixon, 2022). Expansionary socioeconomic inequalities in the UK have resulted in unchanged life expectancy and higher morbidity rates in vulnerable and deprived groups, underscoring the applicability of the model. The applicability of the model is illustrated by Case and </w:t>
      </w:r>
      <w:proofErr w:type="spellStart"/>
      <w:r>
        <w:rPr>
          <w:rFonts w:ascii="Arial" w:hAnsi="Arial" w:cs="Arial"/>
          <w:sz w:val="22"/>
        </w:rPr>
        <w:t>Kraftman</w:t>
      </w:r>
      <w:proofErr w:type="spellEnd"/>
      <w:r>
        <w:rPr>
          <w:rFonts w:ascii="Arial" w:hAnsi="Arial" w:cs="Arial"/>
          <w:sz w:val="22"/>
        </w:rPr>
        <w:t xml:space="preserve"> (2022), highlighting that in the UK, widening socioeconomic inequalities have caused the life expectancy of the poor to stagnate and morbidity levels to increase.</w:t>
      </w:r>
    </w:p>
    <w:p w14:paraId="6D3B5D9C" w14:textId="77777777" w:rsidR="00DB2F4B" w:rsidRDefault="00507DA5" w:rsidP="001C550A">
      <w:pPr>
        <w:spacing w:line="360" w:lineRule="auto"/>
        <w:rPr>
          <w:rFonts w:ascii="Arial" w:hAnsi="Arial" w:cs="Arial"/>
          <w:sz w:val="22"/>
        </w:rPr>
      </w:pPr>
      <w:r>
        <w:rPr>
          <w:rFonts w:ascii="Arial" w:hAnsi="Arial" w:cs="Arial"/>
          <w:sz w:val="22"/>
        </w:rPr>
        <w:t>The biomedical approach emphasises treatment of disease, but it is criticised for not reaching up the care continuum to upstream determinants of health. Conversely, the social aspect favours a preventative approach and community-based work represented in NHS policies (Donnison, 2022). The health belief model helps to explain why and how people make health choices like getting vaccines or trying to lose weight. Basically, people act based on what risks they see and what blocks them from getting help (Devi et al., 2022). The problem here is that both societal inequalities and personal decisions of people must be resolved to confirm the success of SDG 3.</w:t>
      </w:r>
    </w:p>
    <w:p w14:paraId="6D3B5D9D" w14:textId="77777777" w:rsidR="00DB2F4B" w:rsidRDefault="00DB2F4B" w:rsidP="001C550A">
      <w:pPr>
        <w:spacing w:line="360" w:lineRule="auto"/>
        <w:rPr>
          <w:rFonts w:ascii="Arial" w:hAnsi="Arial" w:cs="Arial"/>
          <w:sz w:val="22"/>
        </w:rPr>
      </w:pPr>
    </w:p>
    <w:p w14:paraId="6D3B5D9E" w14:textId="77777777" w:rsidR="00DB2F4B" w:rsidRDefault="00507DA5" w:rsidP="001C550A">
      <w:pPr>
        <w:pStyle w:val="Heading2"/>
        <w:spacing w:line="360" w:lineRule="auto"/>
        <w:rPr>
          <w:rFonts w:ascii="Arial" w:hAnsi="Arial" w:cs="Arial"/>
          <w:color w:val="auto"/>
          <w:sz w:val="22"/>
          <w:szCs w:val="22"/>
        </w:rPr>
      </w:pPr>
      <w:bookmarkStart w:id="6" w:name="_Toc234878812"/>
      <w:r>
        <w:rPr>
          <w:rFonts w:ascii="Arial" w:hAnsi="Arial" w:cs="Arial"/>
          <w:color w:val="auto"/>
          <w:sz w:val="22"/>
          <w:szCs w:val="22"/>
        </w:rPr>
        <w:t>Recommendations</w:t>
      </w:r>
      <w:bookmarkEnd w:id="6"/>
    </w:p>
    <w:p w14:paraId="6D3B5D9F" w14:textId="77777777" w:rsidR="00DB2F4B" w:rsidRDefault="00507DA5" w:rsidP="001C550A">
      <w:pPr>
        <w:spacing w:line="360" w:lineRule="auto"/>
        <w:rPr>
          <w:rFonts w:ascii="Arial" w:hAnsi="Arial" w:cs="Arial"/>
          <w:sz w:val="22"/>
        </w:rPr>
      </w:pPr>
      <w:r>
        <w:rPr>
          <w:rFonts w:ascii="Arial" w:hAnsi="Arial" w:cs="Arial"/>
          <w:sz w:val="22"/>
        </w:rPr>
        <w:t xml:space="preserve">Investment in preventive care and early intervention is needed to further build indicators of SDG 3 in the UK, especially those related to non-communicable diseases and mental health (Watkins et al., 2025). Policies which address disparities at a regional level, through the specific redistribution of resources to deprived parts, are also vital and are mentioned by Arvanitidis and </w:t>
      </w:r>
      <w:proofErr w:type="spellStart"/>
      <w:r>
        <w:rPr>
          <w:rFonts w:ascii="Arial" w:hAnsi="Arial" w:cs="Arial"/>
          <w:sz w:val="22"/>
        </w:rPr>
        <w:t>Tsiapa</w:t>
      </w:r>
      <w:proofErr w:type="spellEnd"/>
      <w:r>
        <w:rPr>
          <w:rFonts w:ascii="Arial" w:hAnsi="Arial" w:cs="Arial"/>
          <w:sz w:val="22"/>
        </w:rPr>
        <w:t xml:space="preserve"> (2024). In addition, strategies that help grow the healthcare workforce and improve retention rates can help ease service pressures and help decrease wait times. Without closing the above structural and systemic inequities, there will be limited progress towards attaining equitable health outcomes with the current policy frameworks in place. </w:t>
      </w:r>
    </w:p>
    <w:p w14:paraId="6D3B5DA0" w14:textId="77777777" w:rsidR="00DB2F4B" w:rsidRDefault="00DB2F4B" w:rsidP="001C550A">
      <w:pPr>
        <w:spacing w:line="360" w:lineRule="auto"/>
        <w:rPr>
          <w:rFonts w:ascii="Arial" w:hAnsi="Arial" w:cs="Arial"/>
          <w:sz w:val="22"/>
        </w:rPr>
      </w:pPr>
    </w:p>
    <w:p w14:paraId="6D3B5DA1" w14:textId="77777777" w:rsidR="00DB2F4B" w:rsidRDefault="00507DA5" w:rsidP="001C550A">
      <w:pPr>
        <w:pStyle w:val="Heading1"/>
        <w:spacing w:line="360" w:lineRule="auto"/>
        <w:rPr>
          <w:rFonts w:ascii="Arial" w:hAnsi="Arial" w:cs="Arial"/>
          <w:color w:val="auto"/>
          <w:sz w:val="22"/>
          <w:szCs w:val="22"/>
        </w:rPr>
      </w:pPr>
      <w:bookmarkStart w:id="7" w:name="_Toc234878813"/>
      <w:r>
        <w:rPr>
          <w:rFonts w:ascii="Arial" w:hAnsi="Arial" w:cs="Arial"/>
          <w:color w:val="auto"/>
          <w:sz w:val="22"/>
          <w:szCs w:val="22"/>
        </w:rPr>
        <w:lastRenderedPageBreak/>
        <w:t>Section 2: SDG 7</w:t>
      </w:r>
      <w:bookmarkEnd w:id="7"/>
    </w:p>
    <w:p w14:paraId="6D3B5DA2" w14:textId="77777777" w:rsidR="00DB2F4B" w:rsidRDefault="00507DA5" w:rsidP="001C550A">
      <w:pPr>
        <w:pStyle w:val="Heading2"/>
        <w:spacing w:line="360" w:lineRule="auto"/>
        <w:rPr>
          <w:rFonts w:ascii="Arial" w:hAnsi="Arial" w:cs="Arial"/>
          <w:color w:val="auto"/>
          <w:sz w:val="22"/>
          <w:szCs w:val="22"/>
        </w:rPr>
      </w:pPr>
      <w:bookmarkStart w:id="8" w:name="_Toc234878814"/>
      <w:r>
        <w:rPr>
          <w:rFonts w:ascii="Arial" w:hAnsi="Arial" w:cs="Arial"/>
          <w:color w:val="auto"/>
          <w:sz w:val="22"/>
          <w:szCs w:val="22"/>
        </w:rPr>
        <w:t>SDG 7 Overview</w:t>
      </w:r>
      <w:bookmarkEnd w:id="8"/>
    </w:p>
    <w:p w14:paraId="6D3B5DA3" w14:textId="77777777" w:rsidR="00DB2F4B" w:rsidRDefault="00507DA5" w:rsidP="001C550A">
      <w:pPr>
        <w:spacing w:line="360" w:lineRule="auto"/>
        <w:rPr>
          <w:rFonts w:ascii="Arial" w:hAnsi="Arial" w:cs="Arial"/>
          <w:sz w:val="22"/>
        </w:rPr>
      </w:pPr>
      <w:r>
        <w:rPr>
          <w:rFonts w:ascii="Arial" w:hAnsi="Arial" w:cs="Arial"/>
          <w:sz w:val="22"/>
        </w:rPr>
        <w:t>The objective of SDG 7 is "to ensure access to affordable, reliable, sustainable and modern energy for all" (</w:t>
      </w:r>
      <w:proofErr w:type="spellStart"/>
      <w:r>
        <w:rPr>
          <w:rFonts w:ascii="Arial" w:hAnsi="Arial" w:cs="Arial"/>
          <w:sz w:val="22"/>
        </w:rPr>
        <w:t>Mierlus</w:t>
      </w:r>
      <w:proofErr w:type="spellEnd"/>
      <w:r>
        <w:rPr>
          <w:rFonts w:ascii="Arial" w:hAnsi="Arial" w:cs="Arial"/>
          <w:sz w:val="22"/>
        </w:rPr>
        <w:t xml:space="preserve"> Mazilu, 2025). This SDG has a general scope that includes the promotion of renewable energy sources, improving energy efficiency, and ensuring access to clean energy for all people. SDG 7 is primarily ecological and economical; however, it is also linked to health and wellbeing concerns. Fighting poverty associated with fuels will improve life quality and mental wellbeing. Access to clean energy could be useful in reducing air pollution, which has a strong link to cardiovascular and respiratory diseases. Therefore, there is an indirect effect of SDG 7 on health outcomes.</w:t>
      </w:r>
    </w:p>
    <w:p w14:paraId="6D3B5DA4" w14:textId="77777777" w:rsidR="00DB2F4B" w:rsidRDefault="00DB2F4B" w:rsidP="001C550A">
      <w:pPr>
        <w:spacing w:line="360" w:lineRule="auto"/>
        <w:rPr>
          <w:rFonts w:ascii="Arial" w:hAnsi="Arial" w:cs="Arial"/>
          <w:sz w:val="22"/>
        </w:rPr>
      </w:pPr>
    </w:p>
    <w:p w14:paraId="6D3B5DA5" w14:textId="77777777" w:rsidR="00DB2F4B" w:rsidRDefault="00507DA5" w:rsidP="001C550A">
      <w:pPr>
        <w:pStyle w:val="Heading2"/>
        <w:spacing w:line="360" w:lineRule="auto"/>
        <w:rPr>
          <w:rFonts w:ascii="Arial" w:hAnsi="Arial" w:cs="Arial"/>
          <w:color w:val="auto"/>
          <w:sz w:val="22"/>
          <w:szCs w:val="22"/>
        </w:rPr>
      </w:pPr>
      <w:bookmarkStart w:id="9" w:name="_Toc234878815"/>
      <w:r>
        <w:rPr>
          <w:rFonts w:ascii="Arial" w:hAnsi="Arial" w:cs="Arial"/>
          <w:color w:val="auto"/>
          <w:sz w:val="22"/>
          <w:szCs w:val="22"/>
        </w:rPr>
        <w:t>Global Policies and Initiatives of SDG 7</w:t>
      </w:r>
      <w:bookmarkEnd w:id="9"/>
    </w:p>
    <w:p w14:paraId="6D3B5DA6" w14:textId="77777777" w:rsidR="00DB2F4B" w:rsidRDefault="00507DA5" w:rsidP="001C550A">
      <w:pPr>
        <w:spacing w:line="360" w:lineRule="auto"/>
        <w:rPr>
          <w:rFonts w:ascii="Arial" w:hAnsi="Arial" w:cs="Arial"/>
          <w:sz w:val="22"/>
        </w:rPr>
      </w:pPr>
      <w:r>
        <w:rPr>
          <w:rFonts w:ascii="Arial" w:hAnsi="Arial" w:cs="Arial"/>
          <w:sz w:val="22"/>
        </w:rPr>
        <w:t>Global projects like the Paris Agreement and the Sustainable Energy for All (</w:t>
      </w:r>
      <w:proofErr w:type="spellStart"/>
      <w:r>
        <w:rPr>
          <w:rFonts w:ascii="Arial" w:hAnsi="Arial" w:cs="Arial"/>
          <w:sz w:val="22"/>
        </w:rPr>
        <w:t>SEforALL</w:t>
      </w:r>
      <w:proofErr w:type="spellEnd"/>
      <w:r>
        <w:rPr>
          <w:rFonts w:ascii="Arial" w:hAnsi="Arial" w:cs="Arial"/>
          <w:sz w:val="22"/>
        </w:rPr>
        <w:t>) program push SDG 7 forward. The Paris Agreement</w:t>
      </w:r>
      <w:proofErr w:type="gramStart"/>
      <w:r>
        <w:rPr>
          <w:rFonts w:ascii="Arial" w:hAnsi="Arial" w:cs="Arial"/>
          <w:sz w:val="22"/>
        </w:rPr>
        <w:t>, in particular, fuels</w:t>
      </w:r>
      <w:proofErr w:type="gramEnd"/>
      <w:r>
        <w:rPr>
          <w:rFonts w:ascii="Arial" w:hAnsi="Arial" w:cs="Arial"/>
          <w:sz w:val="22"/>
        </w:rPr>
        <w:t xml:space="preserve"> the shift to lower emissions and net-zero targets. Renewables now make almost a third of the world’s electricity (</w:t>
      </w:r>
      <w:proofErr w:type="spellStart"/>
      <w:r>
        <w:rPr>
          <w:rFonts w:ascii="Arial" w:hAnsi="Arial" w:cs="Arial"/>
          <w:sz w:val="22"/>
        </w:rPr>
        <w:t>Mierlus</w:t>
      </w:r>
      <w:proofErr w:type="spellEnd"/>
      <w:r>
        <w:rPr>
          <w:rFonts w:ascii="Arial" w:hAnsi="Arial" w:cs="Arial"/>
          <w:sz w:val="22"/>
        </w:rPr>
        <w:t xml:space="preserve"> Mazilu, 2025). Additionally, since </w:t>
      </w:r>
      <w:proofErr w:type="spellStart"/>
      <w:r>
        <w:rPr>
          <w:rFonts w:ascii="Arial" w:hAnsi="Arial" w:cs="Arial"/>
          <w:sz w:val="22"/>
        </w:rPr>
        <w:t>SEforALL</w:t>
      </w:r>
      <w:proofErr w:type="spellEnd"/>
      <w:r>
        <w:rPr>
          <w:rFonts w:ascii="Arial" w:hAnsi="Arial" w:cs="Arial"/>
          <w:sz w:val="22"/>
        </w:rPr>
        <w:t xml:space="preserve"> kicked off, there’s real progress; about 91% of people worldwide had electricity by 2020 (</w:t>
      </w:r>
      <w:proofErr w:type="spellStart"/>
      <w:r>
        <w:rPr>
          <w:rFonts w:ascii="Arial" w:hAnsi="Arial" w:cs="Arial"/>
          <w:sz w:val="22"/>
        </w:rPr>
        <w:t>Antonoglou</w:t>
      </w:r>
      <w:proofErr w:type="spellEnd"/>
      <w:r>
        <w:rPr>
          <w:rFonts w:ascii="Arial" w:hAnsi="Arial" w:cs="Arial"/>
          <w:sz w:val="22"/>
        </w:rPr>
        <w:t xml:space="preserve">, 2025). The problem lies in the disconnect between policy ambition and implementation, as current national commitments under the Paris Agreement are not enough to limit global warming to 1.5°C, as argued by Matthews and Wynes (2022). Moreover, the notion that </w:t>
      </w:r>
      <w:proofErr w:type="spellStart"/>
      <w:r>
        <w:rPr>
          <w:rFonts w:ascii="Arial" w:hAnsi="Arial" w:cs="Arial"/>
          <w:sz w:val="22"/>
        </w:rPr>
        <w:t>SEforALL</w:t>
      </w:r>
      <w:proofErr w:type="spellEnd"/>
      <w:r>
        <w:rPr>
          <w:rFonts w:ascii="Arial" w:hAnsi="Arial" w:cs="Arial"/>
          <w:sz w:val="22"/>
        </w:rPr>
        <w:t xml:space="preserve"> has seen uneven progress has been criticised, with Sub-Saharan Africa still showing significant energy access deficits (Abbas, 2025). The results of </w:t>
      </w:r>
      <w:proofErr w:type="spellStart"/>
      <w:r>
        <w:rPr>
          <w:rFonts w:ascii="Arial" w:hAnsi="Arial" w:cs="Arial"/>
          <w:sz w:val="22"/>
        </w:rPr>
        <w:t>Awolesi</w:t>
      </w:r>
      <w:proofErr w:type="spellEnd"/>
      <w:r>
        <w:rPr>
          <w:rFonts w:ascii="Arial" w:hAnsi="Arial" w:cs="Arial"/>
          <w:sz w:val="22"/>
        </w:rPr>
        <w:t xml:space="preserve"> et al. (2024) corroborate this critique, pointing to several political, monetary, and infrastructural obstacles that impede equitable energy transitions. The setbacks put into perspective; however, the power of global efforts is held back by uneven political support and disparities of resources. </w:t>
      </w:r>
    </w:p>
    <w:p w14:paraId="6D3B5DA7" w14:textId="77777777" w:rsidR="00DB2F4B" w:rsidRDefault="00DB2F4B" w:rsidP="001C550A">
      <w:pPr>
        <w:spacing w:line="360" w:lineRule="auto"/>
        <w:rPr>
          <w:rFonts w:ascii="Arial" w:hAnsi="Arial" w:cs="Arial"/>
          <w:sz w:val="22"/>
        </w:rPr>
      </w:pPr>
    </w:p>
    <w:p w14:paraId="6D3B5DA8" w14:textId="77777777" w:rsidR="00DB2F4B" w:rsidRDefault="00507DA5" w:rsidP="001C550A">
      <w:pPr>
        <w:pStyle w:val="Heading2"/>
        <w:spacing w:line="360" w:lineRule="auto"/>
        <w:rPr>
          <w:rFonts w:ascii="Arial" w:hAnsi="Arial" w:cs="Arial"/>
          <w:color w:val="auto"/>
          <w:sz w:val="22"/>
          <w:szCs w:val="22"/>
        </w:rPr>
      </w:pPr>
      <w:bookmarkStart w:id="10" w:name="_Toc234878816"/>
      <w:r>
        <w:rPr>
          <w:rFonts w:ascii="Arial" w:hAnsi="Arial" w:cs="Arial"/>
          <w:color w:val="auto"/>
          <w:sz w:val="22"/>
          <w:szCs w:val="22"/>
        </w:rPr>
        <w:t>SDG 7 in the UK</w:t>
      </w:r>
      <w:bookmarkEnd w:id="10"/>
    </w:p>
    <w:p w14:paraId="6D3B5DA9" w14:textId="77777777" w:rsidR="00DB2F4B" w:rsidRDefault="00507DA5" w:rsidP="001C550A">
      <w:pPr>
        <w:spacing w:line="360" w:lineRule="auto"/>
        <w:rPr>
          <w:rFonts w:ascii="Arial" w:hAnsi="Arial" w:cs="Arial"/>
          <w:sz w:val="22"/>
        </w:rPr>
      </w:pPr>
      <w:r>
        <w:rPr>
          <w:rFonts w:ascii="Arial" w:hAnsi="Arial" w:cs="Arial"/>
          <w:sz w:val="22"/>
        </w:rPr>
        <w:t xml:space="preserve">SDG 7 is addressed in the UK through national policies, including the Net Zero Strategy and the Energy Security Strategy and regulations such as the Ofgem energy price cap (GOV.UK, 2022). As a result of the Net Zero Strategy, significant investment has been made in offshore wind, with the UK producing more than 40% of its electricity from offshore wind by 2023 (Shahzad et </w:t>
      </w:r>
      <w:r>
        <w:rPr>
          <w:rFonts w:ascii="Arial" w:hAnsi="Arial" w:cs="Arial"/>
          <w:sz w:val="22"/>
        </w:rPr>
        <w:lastRenderedPageBreak/>
        <w:t>al., 2024), and this is associated with improved air quality and health benefits. The Climate Change Committee question the pace of progress in home energy efficiency and heating decarbonisation and argues that this is posing challenges to wider health benefits (</w:t>
      </w:r>
      <w:proofErr w:type="spellStart"/>
      <w:r>
        <w:rPr>
          <w:rFonts w:ascii="Arial" w:hAnsi="Arial" w:cs="Arial"/>
          <w:sz w:val="22"/>
        </w:rPr>
        <w:t>Royapoor</w:t>
      </w:r>
      <w:proofErr w:type="spellEnd"/>
      <w:r>
        <w:rPr>
          <w:rFonts w:ascii="Arial" w:hAnsi="Arial" w:cs="Arial"/>
          <w:sz w:val="22"/>
        </w:rPr>
        <w:t xml:space="preserve"> et al., 2023). Established during the energy crisis, the Energy Price Guarantee gave short-term relief; however, Gardner and Grey (2024) state that affordability concerns remain, especially for low-income households.</w:t>
      </w:r>
    </w:p>
    <w:p w14:paraId="6D3B5DAA" w14:textId="77777777" w:rsidR="00DB2F4B" w:rsidRDefault="00507DA5" w:rsidP="001C550A">
      <w:pPr>
        <w:spacing w:line="360" w:lineRule="auto"/>
        <w:rPr>
          <w:rFonts w:ascii="Arial" w:hAnsi="Arial" w:cs="Arial"/>
          <w:sz w:val="22"/>
        </w:rPr>
      </w:pPr>
      <w:r>
        <w:rPr>
          <w:rFonts w:ascii="Arial" w:hAnsi="Arial" w:cs="Arial"/>
          <w:sz w:val="22"/>
        </w:rPr>
        <w:t xml:space="preserve">Developing a warmer home and making it energy efficient are a key goal of local initiatives like the Greater London Authority's “Warmer Homes” project and retrofitting programmes in Manchester. Lazo Green et al. (2024) found that insulating and improving heating systems have raised thermal comfort and reduced health effects associated with cold homes. Likewise, the uptake of local alternatives such as the local community solar scheme in Bristol has helped to boost access to clean energy. However, </w:t>
      </w:r>
      <w:proofErr w:type="spellStart"/>
      <w:r>
        <w:rPr>
          <w:rFonts w:ascii="Arial" w:hAnsi="Arial" w:cs="Arial"/>
          <w:sz w:val="22"/>
        </w:rPr>
        <w:t>Adekpedjou</w:t>
      </w:r>
      <w:proofErr w:type="spellEnd"/>
      <w:r>
        <w:rPr>
          <w:rFonts w:ascii="Arial" w:hAnsi="Arial" w:cs="Arial"/>
          <w:sz w:val="22"/>
        </w:rPr>
        <w:t xml:space="preserve"> et al. (2023) maintain that such interventions are not uniformly available and tend not to be targeted at those most vulnerable. This demonstrates a string of regional disparities, indicating that although UK policies may help achieve SDG 7, their effect on health and wellbeing is limited by structural and socioeconomic disadvantages. </w:t>
      </w:r>
    </w:p>
    <w:p w14:paraId="6D3B5DAB" w14:textId="77777777" w:rsidR="00DB2F4B" w:rsidRDefault="00DB2F4B" w:rsidP="001C550A">
      <w:pPr>
        <w:spacing w:line="360" w:lineRule="auto"/>
        <w:rPr>
          <w:rFonts w:ascii="Arial" w:hAnsi="Arial" w:cs="Arial"/>
          <w:sz w:val="22"/>
        </w:rPr>
      </w:pPr>
    </w:p>
    <w:p w14:paraId="6D3B5DAC" w14:textId="77777777" w:rsidR="00DB2F4B" w:rsidRDefault="00507DA5" w:rsidP="001C550A">
      <w:pPr>
        <w:pStyle w:val="Heading2"/>
        <w:spacing w:line="360" w:lineRule="auto"/>
        <w:rPr>
          <w:rFonts w:ascii="Arial" w:hAnsi="Arial" w:cs="Arial"/>
          <w:color w:val="auto"/>
          <w:sz w:val="22"/>
          <w:szCs w:val="22"/>
        </w:rPr>
      </w:pPr>
      <w:bookmarkStart w:id="11" w:name="_Toc234878817"/>
      <w:r>
        <w:rPr>
          <w:rFonts w:ascii="Arial" w:hAnsi="Arial" w:cs="Arial"/>
          <w:color w:val="auto"/>
          <w:sz w:val="22"/>
          <w:szCs w:val="22"/>
        </w:rPr>
        <w:t>Theoretical/Conceptual Frameworks</w:t>
      </w:r>
      <w:bookmarkEnd w:id="11"/>
    </w:p>
    <w:p w14:paraId="6D3B5DAD" w14:textId="77777777" w:rsidR="00DB2F4B" w:rsidRDefault="00507DA5" w:rsidP="001C550A">
      <w:pPr>
        <w:spacing w:line="360" w:lineRule="auto"/>
        <w:rPr>
          <w:rFonts w:ascii="Arial" w:hAnsi="Arial" w:cs="Arial"/>
          <w:sz w:val="22"/>
        </w:rPr>
      </w:pPr>
      <w:r>
        <w:rPr>
          <w:rFonts w:ascii="Arial" w:hAnsi="Arial" w:cs="Arial"/>
          <w:sz w:val="22"/>
        </w:rPr>
        <w:t>To properly observe the implementation of SDG 7 in the UK, it is necessary to see SDG 7 through the lens of an energy justice framework. This is a way of checking if energy systems treat people fairly by focusing on energy distribution (</w:t>
      </w:r>
      <w:proofErr w:type="spellStart"/>
      <w:r>
        <w:rPr>
          <w:rFonts w:ascii="Arial" w:hAnsi="Arial" w:cs="Arial"/>
          <w:sz w:val="22"/>
        </w:rPr>
        <w:t>Awolesi</w:t>
      </w:r>
      <w:proofErr w:type="spellEnd"/>
      <w:r>
        <w:rPr>
          <w:rFonts w:ascii="Arial" w:hAnsi="Arial" w:cs="Arial"/>
          <w:sz w:val="22"/>
        </w:rPr>
        <w:t xml:space="preserve"> et al., 2024). This is very important for low-income households, which still struggle with expensive or dirty energy. UK policymakers still have not solved these basic injustices; thus, health inequalities continue to persist (</w:t>
      </w:r>
      <w:proofErr w:type="spellStart"/>
      <w:r>
        <w:rPr>
          <w:rFonts w:ascii="Arial" w:hAnsi="Arial" w:cs="Arial"/>
          <w:sz w:val="22"/>
        </w:rPr>
        <w:t>Volodzkiene</w:t>
      </w:r>
      <w:proofErr w:type="spellEnd"/>
      <w:r>
        <w:rPr>
          <w:rFonts w:ascii="Arial" w:hAnsi="Arial" w:cs="Arial"/>
          <w:sz w:val="22"/>
        </w:rPr>
        <w:t xml:space="preserve"> and </w:t>
      </w:r>
      <w:proofErr w:type="spellStart"/>
      <w:r>
        <w:rPr>
          <w:rFonts w:ascii="Arial" w:hAnsi="Arial" w:cs="Arial"/>
          <w:sz w:val="22"/>
        </w:rPr>
        <w:t>Streimikiene</w:t>
      </w:r>
      <w:proofErr w:type="spellEnd"/>
      <w:r>
        <w:rPr>
          <w:rFonts w:ascii="Arial" w:hAnsi="Arial" w:cs="Arial"/>
          <w:sz w:val="22"/>
        </w:rPr>
        <w:t>, 2023). The Environmental Health model spells this out clearly, as things like cold, badly insulated homes make respiratory and heart problems more common, especially in poorer areas (Bentley et al., 2023). Similarly, when energy’s inefficient, more people die in winter, particularly in poorer areas. This is a clear link that cannot be ignored. Access to affordable, clean energy is not just about comfort; it’s about health and fairness.</w:t>
      </w:r>
    </w:p>
    <w:p w14:paraId="6D3B5DAE" w14:textId="77777777" w:rsidR="00DB2F4B" w:rsidRDefault="00DB2F4B" w:rsidP="001C550A">
      <w:pPr>
        <w:spacing w:line="360" w:lineRule="auto"/>
        <w:rPr>
          <w:rFonts w:ascii="Arial" w:hAnsi="Arial" w:cs="Arial"/>
          <w:sz w:val="22"/>
        </w:rPr>
      </w:pPr>
    </w:p>
    <w:p w14:paraId="6D3B5DAF" w14:textId="77777777" w:rsidR="00DB2F4B" w:rsidRDefault="00507DA5" w:rsidP="001C550A">
      <w:pPr>
        <w:pStyle w:val="Heading2"/>
        <w:spacing w:line="360" w:lineRule="auto"/>
        <w:rPr>
          <w:rFonts w:ascii="Arial" w:hAnsi="Arial" w:cs="Arial"/>
          <w:color w:val="auto"/>
          <w:sz w:val="22"/>
          <w:szCs w:val="22"/>
        </w:rPr>
      </w:pPr>
      <w:bookmarkStart w:id="12" w:name="_Toc234878818"/>
      <w:r>
        <w:rPr>
          <w:rFonts w:ascii="Arial" w:hAnsi="Arial" w:cs="Arial"/>
          <w:color w:val="auto"/>
          <w:sz w:val="22"/>
          <w:szCs w:val="22"/>
        </w:rPr>
        <w:lastRenderedPageBreak/>
        <w:t>Recommendations</w:t>
      </w:r>
      <w:bookmarkEnd w:id="12"/>
    </w:p>
    <w:p w14:paraId="6D3B5DB0" w14:textId="77777777" w:rsidR="00DB2F4B" w:rsidRDefault="00507DA5" w:rsidP="001C550A">
      <w:pPr>
        <w:spacing w:line="360" w:lineRule="auto"/>
        <w:rPr>
          <w:rFonts w:ascii="Arial" w:hAnsi="Arial" w:cs="Arial"/>
          <w:sz w:val="22"/>
        </w:rPr>
      </w:pPr>
      <w:r>
        <w:rPr>
          <w:rFonts w:ascii="Arial" w:hAnsi="Arial" w:cs="Arial"/>
          <w:sz w:val="22"/>
        </w:rPr>
        <w:t xml:space="preserve">Improving access to renewable energies, through targeted subsidies and community-based schemes, is key to improving the SDG7 outcome in the UK. Voitenko and Polishchuk (2025) state that decentralised energy systems have the potential to enhance both affordability and resilience of energy systems. Comprehensive programmes should be prioritised to tackle fuel poverty, including those by </w:t>
      </w:r>
      <w:proofErr w:type="spellStart"/>
      <w:r>
        <w:rPr>
          <w:rFonts w:ascii="Arial" w:hAnsi="Arial" w:cs="Arial"/>
          <w:sz w:val="22"/>
        </w:rPr>
        <w:t>Sovacool</w:t>
      </w:r>
      <w:proofErr w:type="spellEnd"/>
      <w:r>
        <w:rPr>
          <w:rFonts w:ascii="Arial" w:hAnsi="Arial" w:cs="Arial"/>
          <w:sz w:val="22"/>
        </w:rPr>
        <w:t xml:space="preserve"> et al. (2023), which have highlighted a targeted approach to housing and vulnerable populations at scale. In addition, better energy policy–public health policy linkages are needed to ensure energy policy interventions are explicit about their focus on health outcomes. An energy transition to sustainable and health-promoting energy systems will suffer from not tackling these systemic inequalities. </w:t>
      </w:r>
    </w:p>
    <w:p w14:paraId="6D3B5DB1" w14:textId="77777777" w:rsidR="00DB2F4B" w:rsidRDefault="00DB2F4B" w:rsidP="001C550A">
      <w:pPr>
        <w:spacing w:line="360" w:lineRule="auto"/>
        <w:rPr>
          <w:rFonts w:ascii="Arial" w:hAnsi="Arial" w:cs="Arial"/>
          <w:sz w:val="22"/>
        </w:rPr>
      </w:pPr>
    </w:p>
    <w:p w14:paraId="6D3B5DB2" w14:textId="77777777" w:rsidR="00DB2F4B" w:rsidRDefault="00507DA5" w:rsidP="001C550A">
      <w:pPr>
        <w:pStyle w:val="Heading1"/>
        <w:spacing w:line="360" w:lineRule="auto"/>
        <w:rPr>
          <w:rFonts w:ascii="Arial" w:hAnsi="Arial" w:cs="Arial"/>
          <w:color w:val="auto"/>
          <w:sz w:val="22"/>
          <w:szCs w:val="22"/>
        </w:rPr>
      </w:pPr>
      <w:bookmarkStart w:id="13" w:name="_Toc234878819"/>
      <w:r>
        <w:rPr>
          <w:rFonts w:ascii="Arial" w:hAnsi="Arial" w:cs="Arial"/>
          <w:color w:val="auto"/>
          <w:sz w:val="22"/>
          <w:szCs w:val="22"/>
        </w:rPr>
        <w:t>Conclusion</w:t>
      </w:r>
      <w:bookmarkEnd w:id="13"/>
    </w:p>
    <w:p w14:paraId="6D3B5DB3" w14:textId="77777777" w:rsidR="00DB2F4B" w:rsidRDefault="00507DA5" w:rsidP="001C550A">
      <w:pPr>
        <w:spacing w:line="360" w:lineRule="auto"/>
        <w:rPr>
          <w:rFonts w:ascii="Arial" w:hAnsi="Arial" w:cs="Arial"/>
          <w:sz w:val="22"/>
        </w:rPr>
      </w:pPr>
      <w:r>
        <w:rPr>
          <w:rFonts w:ascii="Arial" w:hAnsi="Arial" w:cs="Arial"/>
          <w:sz w:val="22"/>
        </w:rPr>
        <w:t xml:space="preserve">This report has shown that the role of SDG 3 coexists with but is different to SDG 7 in influencing health and wellbeing in the UK. SDG 3 directly impacts through enhancing healthcare systems, increasing access to services, and supporting prevention. But its impact on inequality, hard work and regional disparities is limited. SDG 7 has a more indirect effect on health through the environment and economy, such as air quality, housing and energy prices. Renewable energy and policy initiatives have made strides, but problems like fuel poverty and access to clean energy remain obstacles to full utilisation. These goals are strongly linked and connected: Cleaner energy is a direct contributor to better health outcomes, which in turn is tied to populations that are living in a healthier environment, thereby enabling sustainable development over the long term. Overall, while the two SDGs have proved productive of "meaningful progress" in the UK, their impact is not uniform; there is greater need for consolidation and alignment. It underscores the critical importance of a multi-sectoral policy approach to health that considers both access to health care and social and environmental factors </w:t>
      </w:r>
      <w:proofErr w:type="gramStart"/>
      <w:r>
        <w:rPr>
          <w:rFonts w:ascii="Arial" w:hAnsi="Arial" w:cs="Arial"/>
          <w:sz w:val="22"/>
        </w:rPr>
        <w:t>in order to</w:t>
      </w:r>
      <w:proofErr w:type="gramEnd"/>
      <w:r>
        <w:rPr>
          <w:rFonts w:ascii="Arial" w:hAnsi="Arial" w:cs="Arial"/>
          <w:sz w:val="22"/>
        </w:rPr>
        <w:t xml:space="preserve"> promote greater health equity and sustainability.</w:t>
      </w:r>
    </w:p>
    <w:p w14:paraId="6D3B5DB4" w14:textId="77777777" w:rsidR="00DB2F4B" w:rsidRDefault="00DB2F4B">
      <w:pPr>
        <w:rPr>
          <w:rFonts w:ascii="Arial" w:hAnsi="Arial" w:cs="Arial"/>
          <w:sz w:val="22"/>
          <w:shd w:val="clear" w:color="auto" w:fill="FFFF00"/>
        </w:rPr>
      </w:pPr>
    </w:p>
    <w:p w14:paraId="6D3B5DB5" w14:textId="77777777" w:rsidR="00DB2F4B" w:rsidRDefault="00DB2F4B">
      <w:pPr>
        <w:pageBreakBefore/>
        <w:spacing w:line="251" w:lineRule="auto"/>
        <w:rPr>
          <w:rFonts w:ascii="Arial" w:hAnsi="Arial" w:cs="Arial"/>
          <w:sz w:val="22"/>
        </w:rPr>
      </w:pPr>
    </w:p>
    <w:p w14:paraId="6D3B5DB6" w14:textId="77777777" w:rsidR="00DB2F4B" w:rsidRDefault="00507DA5">
      <w:pPr>
        <w:pStyle w:val="Heading1"/>
        <w:rPr>
          <w:rFonts w:ascii="Arial" w:hAnsi="Arial" w:cs="Arial"/>
          <w:color w:val="auto"/>
          <w:sz w:val="22"/>
          <w:szCs w:val="22"/>
        </w:rPr>
      </w:pPr>
      <w:bookmarkStart w:id="14" w:name="_Toc234878820"/>
      <w:r>
        <w:rPr>
          <w:rFonts w:ascii="Arial" w:hAnsi="Arial" w:cs="Arial"/>
          <w:color w:val="auto"/>
          <w:sz w:val="22"/>
          <w:szCs w:val="22"/>
        </w:rPr>
        <w:t>References</w:t>
      </w:r>
      <w:bookmarkEnd w:id="14"/>
    </w:p>
    <w:p w14:paraId="6D3B5DB7" w14:textId="77777777" w:rsidR="00DB2F4B" w:rsidRDefault="00507DA5">
      <w:pPr>
        <w:ind w:left="720" w:hanging="720"/>
      </w:pPr>
      <w:r>
        <w:rPr>
          <w:rFonts w:ascii="Arial" w:hAnsi="Arial" w:cs="Arial"/>
          <w:sz w:val="22"/>
        </w:rPr>
        <w:t>Abbas, A.J. (2025). Energy Access and Development in Africa: Strategic Role of Natural Gas.</w:t>
      </w:r>
      <w:r>
        <w:rPr>
          <w:rFonts w:ascii="Arial" w:hAnsi="Arial" w:cs="Arial"/>
          <w:sz w:val="22"/>
        </w:rPr>
        <w:br/>
      </w:r>
      <w:hyperlink r:id="rId7" w:history="1">
        <w:r>
          <w:rPr>
            <w:rStyle w:val="Hyperlink"/>
            <w:rFonts w:ascii="Arial" w:hAnsi="Arial" w:cs="Arial"/>
            <w:color w:val="auto"/>
            <w:sz w:val="22"/>
          </w:rPr>
          <w:t>https://www.gecf.org/Portals/0/xBlog/uploads/2025/10/14/gecf_ec_energy-access-and-development-in-africa--strategic-role-of-natural-gas.pdf</w:t>
        </w:r>
      </w:hyperlink>
      <w:r>
        <w:rPr>
          <w:rFonts w:ascii="Arial" w:hAnsi="Arial" w:cs="Arial"/>
          <w:sz w:val="22"/>
        </w:rPr>
        <w:t xml:space="preserve"> </w:t>
      </w:r>
    </w:p>
    <w:p w14:paraId="6D3B5DB8" w14:textId="77777777" w:rsidR="00DB2F4B" w:rsidRDefault="00507DA5">
      <w:pPr>
        <w:ind w:left="720" w:hanging="720"/>
      </w:pPr>
      <w:proofErr w:type="spellStart"/>
      <w:r>
        <w:rPr>
          <w:rFonts w:ascii="Arial" w:hAnsi="Arial" w:cs="Arial"/>
          <w:sz w:val="22"/>
        </w:rPr>
        <w:t>Adekpedjou</w:t>
      </w:r>
      <w:proofErr w:type="spellEnd"/>
      <w:r>
        <w:rPr>
          <w:rFonts w:ascii="Arial" w:hAnsi="Arial" w:cs="Arial"/>
          <w:sz w:val="22"/>
        </w:rPr>
        <w:t xml:space="preserve">, R., Léon, P., Dewidar, O., Al-Zubaidi, A., Jbilou, J., Kaczorowski, J., </w:t>
      </w:r>
      <w:proofErr w:type="spellStart"/>
      <w:r>
        <w:rPr>
          <w:rFonts w:ascii="Arial" w:hAnsi="Arial" w:cs="Arial"/>
          <w:sz w:val="22"/>
        </w:rPr>
        <w:t>Muscedere</w:t>
      </w:r>
      <w:proofErr w:type="spellEnd"/>
      <w:r>
        <w:rPr>
          <w:rFonts w:ascii="Arial" w:hAnsi="Arial" w:cs="Arial"/>
          <w:sz w:val="22"/>
        </w:rPr>
        <w:t>, J., Hirdes, J., Heckman, G., Girard, M. and Hébert, P.C. (2023). Effectiveness of interventions to address different types of vulnerabilities in community-dwelling older adults: an umbrella review. </w:t>
      </w:r>
      <w:r>
        <w:rPr>
          <w:rFonts w:ascii="Arial" w:hAnsi="Arial" w:cs="Arial"/>
          <w:i/>
          <w:iCs/>
          <w:sz w:val="22"/>
        </w:rPr>
        <w:t>Campbell Systematic Reviews</w:t>
      </w:r>
      <w:r>
        <w:rPr>
          <w:rFonts w:ascii="Arial" w:hAnsi="Arial" w:cs="Arial"/>
          <w:sz w:val="22"/>
        </w:rPr>
        <w:t>, </w:t>
      </w:r>
      <w:r>
        <w:rPr>
          <w:rFonts w:ascii="Arial" w:hAnsi="Arial" w:cs="Arial"/>
          <w:i/>
          <w:iCs/>
          <w:sz w:val="22"/>
        </w:rPr>
        <w:t>19</w:t>
      </w:r>
      <w:r>
        <w:rPr>
          <w:rFonts w:ascii="Arial" w:hAnsi="Arial" w:cs="Arial"/>
          <w:sz w:val="22"/>
        </w:rPr>
        <w:t xml:space="preserve">(2), pp.cl2-1323. </w:t>
      </w:r>
      <w:hyperlink r:id="rId8" w:history="1">
        <w:r>
          <w:rPr>
            <w:rStyle w:val="Hyperlink"/>
            <w:rFonts w:ascii="Arial" w:hAnsi="Arial" w:cs="Arial"/>
            <w:color w:val="auto"/>
            <w:sz w:val="22"/>
          </w:rPr>
          <w:t>https://doi.org/10.1002/cl2.1323</w:t>
        </w:r>
      </w:hyperlink>
      <w:r>
        <w:rPr>
          <w:rFonts w:ascii="Arial" w:hAnsi="Arial" w:cs="Arial"/>
          <w:sz w:val="22"/>
        </w:rPr>
        <w:t xml:space="preserve"> </w:t>
      </w:r>
    </w:p>
    <w:p w14:paraId="6D3B5DB9" w14:textId="77777777" w:rsidR="00DB2F4B" w:rsidRDefault="00507DA5">
      <w:pPr>
        <w:ind w:left="720" w:hanging="720"/>
      </w:pPr>
      <w:r>
        <w:rPr>
          <w:rFonts w:ascii="Arial" w:hAnsi="Arial" w:cs="Arial"/>
          <w:sz w:val="22"/>
        </w:rPr>
        <w:t xml:space="preserve">Antonoglou, A.N. (2025). United Nations Environment Programme and its contribution to the field of Energy. </w:t>
      </w:r>
      <w:hyperlink r:id="rId9" w:history="1">
        <w:r>
          <w:rPr>
            <w:rStyle w:val="Hyperlink"/>
            <w:rFonts w:ascii="Arial" w:hAnsi="Arial" w:cs="Arial"/>
            <w:color w:val="auto"/>
            <w:sz w:val="22"/>
          </w:rPr>
          <w:t>http://dx.doi.org/10.26257/heal.duth.18760</w:t>
        </w:r>
      </w:hyperlink>
      <w:r>
        <w:rPr>
          <w:rFonts w:ascii="Arial" w:hAnsi="Arial" w:cs="Arial"/>
          <w:sz w:val="22"/>
        </w:rPr>
        <w:t xml:space="preserve"> </w:t>
      </w:r>
    </w:p>
    <w:p w14:paraId="6D3B5DBA" w14:textId="77777777" w:rsidR="00DB2F4B" w:rsidRDefault="00507DA5">
      <w:pPr>
        <w:ind w:left="720" w:hanging="720"/>
      </w:pPr>
      <w:r>
        <w:rPr>
          <w:rFonts w:ascii="Arial" w:hAnsi="Arial" w:cs="Arial"/>
          <w:sz w:val="22"/>
        </w:rPr>
        <w:t xml:space="preserve">Arvanitidis, P. and </w:t>
      </w:r>
      <w:proofErr w:type="spellStart"/>
      <w:r>
        <w:rPr>
          <w:rFonts w:ascii="Arial" w:hAnsi="Arial" w:cs="Arial"/>
          <w:sz w:val="22"/>
        </w:rPr>
        <w:t>Tsiapa</w:t>
      </w:r>
      <w:proofErr w:type="spellEnd"/>
      <w:r>
        <w:rPr>
          <w:rFonts w:ascii="Arial" w:hAnsi="Arial" w:cs="Arial"/>
          <w:sz w:val="22"/>
        </w:rPr>
        <w:t>, M. (2024). Poverty in the Era of AI: Analysis of Material Deprivation in Europe. </w:t>
      </w:r>
      <w:r>
        <w:rPr>
          <w:rFonts w:ascii="Arial" w:hAnsi="Arial" w:cs="Arial"/>
          <w:i/>
          <w:iCs/>
          <w:sz w:val="22"/>
        </w:rPr>
        <w:t>SPOUDAI Journal of Economics and Business</w:t>
      </w:r>
      <w:r>
        <w:rPr>
          <w:rFonts w:ascii="Arial" w:hAnsi="Arial" w:cs="Arial"/>
          <w:sz w:val="22"/>
        </w:rPr>
        <w:t>, </w:t>
      </w:r>
      <w:r>
        <w:rPr>
          <w:rFonts w:ascii="Arial" w:hAnsi="Arial" w:cs="Arial"/>
          <w:i/>
          <w:iCs/>
          <w:sz w:val="22"/>
        </w:rPr>
        <w:t>74</w:t>
      </w:r>
      <w:r>
        <w:rPr>
          <w:rFonts w:ascii="Arial" w:hAnsi="Arial" w:cs="Arial"/>
          <w:sz w:val="22"/>
        </w:rPr>
        <w:t xml:space="preserve">(1-2), pp.41-60. </w:t>
      </w:r>
      <w:hyperlink r:id="rId10" w:history="1">
        <w:r>
          <w:rPr>
            <w:rStyle w:val="Hyperlink"/>
            <w:rFonts w:ascii="Arial" w:hAnsi="Arial" w:cs="Arial"/>
            <w:color w:val="auto"/>
            <w:sz w:val="22"/>
          </w:rPr>
          <w:t>https://spoudai.org/index.php/journal/article/view/556</w:t>
        </w:r>
      </w:hyperlink>
      <w:r>
        <w:rPr>
          <w:rFonts w:ascii="Arial" w:hAnsi="Arial" w:cs="Arial"/>
          <w:sz w:val="22"/>
        </w:rPr>
        <w:t xml:space="preserve"> </w:t>
      </w:r>
    </w:p>
    <w:p w14:paraId="6D3B5DBB" w14:textId="77777777" w:rsidR="00DB2F4B" w:rsidRDefault="00507DA5">
      <w:pPr>
        <w:ind w:left="720" w:hanging="720"/>
      </w:pPr>
      <w:r>
        <w:rPr>
          <w:rFonts w:ascii="Arial" w:hAnsi="Arial" w:cs="Arial"/>
          <w:sz w:val="22"/>
        </w:rPr>
        <w:t>Awolesi, O., Salter, C.A. and Reams, M. (2024). A systematic review on the path to inclusive and sustainable energy transitions. </w:t>
      </w:r>
      <w:r>
        <w:rPr>
          <w:rFonts w:ascii="Arial" w:hAnsi="Arial" w:cs="Arial"/>
          <w:i/>
          <w:iCs/>
          <w:sz w:val="22"/>
        </w:rPr>
        <w:t>Energies</w:t>
      </w:r>
      <w:r>
        <w:rPr>
          <w:rFonts w:ascii="Arial" w:hAnsi="Arial" w:cs="Arial"/>
          <w:sz w:val="22"/>
        </w:rPr>
        <w:t>, </w:t>
      </w:r>
      <w:r>
        <w:rPr>
          <w:rFonts w:ascii="Arial" w:hAnsi="Arial" w:cs="Arial"/>
          <w:i/>
          <w:iCs/>
          <w:sz w:val="22"/>
        </w:rPr>
        <w:t>17</w:t>
      </w:r>
      <w:r>
        <w:rPr>
          <w:rFonts w:ascii="Arial" w:hAnsi="Arial" w:cs="Arial"/>
          <w:sz w:val="22"/>
        </w:rPr>
        <w:t xml:space="preserve">(14), p.3512. </w:t>
      </w:r>
      <w:hyperlink r:id="rId11" w:history="1">
        <w:r>
          <w:rPr>
            <w:rStyle w:val="Hyperlink"/>
            <w:rFonts w:ascii="Arial" w:hAnsi="Arial" w:cs="Arial"/>
            <w:color w:val="auto"/>
            <w:sz w:val="22"/>
          </w:rPr>
          <w:t>https://doi.org/10.3390/en17143512</w:t>
        </w:r>
      </w:hyperlink>
      <w:r>
        <w:rPr>
          <w:rFonts w:ascii="Arial" w:hAnsi="Arial" w:cs="Arial"/>
          <w:sz w:val="22"/>
        </w:rPr>
        <w:t xml:space="preserve"> </w:t>
      </w:r>
    </w:p>
    <w:p w14:paraId="6D3B5DBC" w14:textId="77777777" w:rsidR="00DB2F4B" w:rsidRDefault="00507DA5">
      <w:pPr>
        <w:ind w:left="720" w:hanging="720"/>
      </w:pPr>
      <w:r>
        <w:rPr>
          <w:rFonts w:ascii="Arial" w:hAnsi="Arial" w:cs="Arial"/>
          <w:sz w:val="22"/>
        </w:rPr>
        <w:t>Bentley, R., Daniel, L., Li, Y., Baker, E. and Li, A. (2023). The effect of energy poverty on mental health, cardiovascular disease and respiratory health: a longitudinal analysis. </w:t>
      </w:r>
      <w:r>
        <w:rPr>
          <w:rFonts w:ascii="Arial" w:hAnsi="Arial" w:cs="Arial"/>
          <w:i/>
          <w:iCs/>
          <w:sz w:val="22"/>
        </w:rPr>
        <w:t>The Lancet Regional Health–Western Pacific</w:t>
      </w:r>
      <w:r>
        <w:rPr>
          <w:rFonts w:ascii="Arial" w:hAnsi="Arial" w:cs="Arial"/>
          <w:sz w:val="22"/>
        </w:rPr>
        <w:t>, </w:t>
      </w:r>
      <w:r>
        <w:rPr>
          <w:rFonts w:ascii="Arial" w:hAnsi="Arial" w:cs="Arial"/>
          <w:i/>
          <w:iCs/>
          <w:sz w:val="22"/>
        </w:rPr>
        <w:t>35</w:t>
      </w:r>
      <w:r>
        <w:rPr>
          <w:rFonts w:ascii="Arial" w:hAnsi="Arial" w:cs="Arial"/>
          <w:sz w:val="22"/>
        </w:rPr>
        <w:t xml:space="preserve">. </w:t>
      </w:r>
      <w:hyperlink r:id="rId12" w:history="1">
        <w:r>
          <w:rPr>
            <w:rStyle w:val="Hyperlink"/>
            <w:rFonts w:ascii="Arial" w:hAnsi="Arial" w:cs="Arial"/>
            <w:color w:val="auto"/>
            <w:sz w:val="22"/>
          </w:rPr>
          <w:t>10.1016/j.lanwpc.2023.100734</w:t>
        </w:r>
      </w:hyperlink>
    </w:p>
    <w:p w14:paraId="6D3B5DBD" w14:textId="77777777" w:rsidR="00DB2F4B" w:rsidRDefault="00507DA5">
      <w:pPr>
        <w:ind w:left="720" w:hanging="720"/>
      </w:pPr>
      <w:r>
        <w:rPr>
          <w:rFonts w:ascii="Arial" w:hAnsi="Arial" w:cs="Arial"/>
          <w:sz w:val="22"/>
        </w:rPr>
        <w:t xml:space="preserve">Case, A. and </w:t>
      </w:r>
      <w:proofErr w:type="spellStart"/>
      <w:r>
        <w:rPr>
          <w:rFonts w:ascii="Arial" w:hAnsi="Arial" w:cs="Arial"/>
          <w:sz w:val="22"/>
        </w:rPr>
        <w:t>Kraftman</w:t>
      </w:r>
      <w:proofErr w:type="spellEnd"/>
      <w:r>
        <w:rPr>
          <w:rFonts w:ascii="Arial" w:hAnsi="Arial" w:cs="Arial"/>
          <w:sz w:val="22"/>
        </w:rPr>
        <w:t>, L. (2022). </w:t>
      </w:r>
      <w:r>
        <w:rPr>
          <w:rFonts w:ascii="Arial" w:hAnsi="Arial" w:cs="Arial"/>
          <w:i/>
          <w:iCs/>
          <w:sz w:val="22"/>
        </w:rPr>
        <w:t>Health inequalities</w:t>
      </w:r>
      <w:r>
        <w:rPr>
          <w:rFonts w:ascii="Arial" w:hAnsi="Arial" w:cs="Arial"/>
          <w:sz w:val="22"/>
        </w:rPr>
        <w:t xml:space="preserve"> (No. R227). IFS Report. </w:t>
      </w:r>
      <w:hyperlink r:id="rId13" w:history="1">
        <w:proofErr w:type="gramStart"/>
        <w:r>
          <w:rPr>
            <w:rStyle w:val="Hyperlink"/>
            <w:rFonts w:ascii="Arial" w:hAnsi="Arial" w:cs="Arial"/>
            <w:color w:val="auto"/>
            <w:sz w:val="22"/>
          </w:rPr>
          <w:t>doi:10.1920/re.ifs</w:t>
        </w:r>
        <w:proofErr w:type="gramEnd"/>
        <w:r>
          <w:rPr>
            <w:rStyle w:val="Hyperlink"/>
            <w:rFonts w:ascii="Arial" w:hAnsi="Arial" w:cs="Arial"/>
            <w:color w:val="auto"/>
            <w:sz w:val="22"/>
          </w:rPr>
          <w:t>.2022.0227</w:t>
        </w:r>
      </w:hyperlink>
      <w:r>
        <w:rPr>
          <w:rFonts w:ascii="Arial" w:hAnsi="Arial" w:cs="Arial"/>
          <w:sz w:val="22"/>
        </w:rPr>
        <w:t xml:space="preserve"> </w:t>
      </w:r>
    </w:p>
    <w:p w14:paraId="6D3B5DBE" w14:textId="77777777" w:rsidR="00DB2F4B" w:rsidRDefault="00507DA5">
      <w:pPr>
        <w:ind w:left="720" w:hanging="720"/>
      </w:pPr>
      <w:r>
        <w:rPr>
          <w:rFonts w:ascii="Arial" w:hAnsi="Arial" w:cs="Arial"/>
          <w:sz w:val="22"/>
        </w:rPr>
        <w:t xml:space="preserve">Devi, B., Devi, R., Pradhan, S. and Lepcha, N. (2022). Theory </w:t>
      </w:r>
      <w:proofErr w:type="gramStart"/>
      <w:r>
        <w:rPr>
          <w:rFonts w:ascii="Arial" w:hAnsi="Arial" w:cs="Arial"/>
          <w:sz w:val="22"/>
        </w:rPr>
        <w:t>at a glance</w:t>
      </w:r>
      <w:proofErr w:type="gramEnd"/>
      <w:r>
        <w:rPr>
          <w:rFonts w:ascii="Arial" w:hAnsi="Arial" w:cs="Arial"/>
          <w:sz w:val="22"/>
        </w:rPr>
        <w:t xml:space="preserve">: health belief models in predicting health behaviours. </w:t>
      </w:r>
      <w:r>
        <w:rPr>
          <w:rFonts w:ascii="Arial" w:hAnsi="Arial" w:cs="Arial"/>
          <w:i/>
          <w:iCs/>
          <w:sz w:val="22"/>
        </w:rPr>
        <w:t>Journal of Bio Innovation</w:t>
      </w:r>
      <w:r>
        <w:rPr>
          <w:rFonts w:ascii="Arial" w:hAnsi="Arial" w:cs="Arial"/>
          <w:sz w:val="22"/>
        </w:rPr>
        <w:t>, </w:t>
      </w:r>
      <w:r>
        <w:rPr>
          <w:rFonts w:ascii="Arial" w:hAnsi="Arial" w:cs="Arial"/>
          <w:i/>
          <w:iCs/>
          <w:sz w:val="22"/>
        </w:rPr>
        <w:t>11</w:t>
      </w:r>
      <w:r>
        <w:rPr>
          <w:rFonts w:ascii="Arial" w:hAnsi="Arial" w:cs="Arial"/>
          <w:sz w:val="22"/>
        </w:rPr>
        <w:t xml:space="preserve">(2), pp.410-21. </w:t>
      </w:r>
      <w:hyperlink r:id="rId14" w:history="1">
        <w:r>
          <w:rPr>
            <w:rStyle w:val="Hyperlink"/>
            <w:rFonts w:ascii="Arial" w:hAnsi="Arial" w:cs="Arial"/>
            <w:color w:val="auto"/>
            <w:sz w:val="22"/>
          </w:rPr>
          <w:t>https://doi.org/10.46344/JBINO.2022.v11i02.13</w:t>
        </w:r>
      </w:hyperlink>
      <w:r>
        <w:rPr>
          <w:rFonts w:ascii="Arial" w:hAnsi="Arial" w:cs="Arial"/>
          <w:sz w:val="22"/>
        </w:rPr>
        <w:t xml:space="preserve"> </w:t>
      </w:r>
    </w:p>
    <w:p w14:paraId="6D3B5DBF" w14:textId="77777777" w:rsidR="00DB2F4B" w:rsidRDefault="00507DA5">
      <w:pPr>
        <w:ind w:left="720" w:hanging="720"/>
      </w:pPr>
      <w:r>
        <w:rPr>
          <w:rFonts w:ascii="Arial" w:hAnsi="Arial" w:cs="Arial"/>
          <w:sz w:val="22"/>
        </w:rPr>
        <w:t>Donnison, D. (2022). Social policy: the community-based approach. In </w:t>
      </w:r>
      <w:r>
        <w:rPr>
          <w:rFonts w:ascii="Arial" w:hAnsi="Arial" w:cs="Arial"/>
          <w:i/>
          <w:iCs/>
          <w:sz w:val="22"/>
        </w:rPr>
        <w:t>The Goals of Social Policy</w:t>
      </w:r>
      <w:r>
        <w:rPr>
          <w:rFonts w:ascii="Arial" w:hAnsi="Arial" w:cs="Arial"/>
          <w:sz w:val="22"/>
        </w:rPr>
        <w:t xml:space="preserve"> (pp. 199-220). Routledge. </w:t>
      </w:r>
      <w:r>
        <w:rPr>
          <w:rFonts w:ascii="Arial" w:hAnsi="Arial" w:cs="Arial"/>
          <w:sz w:val="22"/>
        </w:rPr>
        <w:br/>
      </w:r>
      <w:hyperlink r:id="rId15" w:history="1">
        <w:r>
          <w:rPr>
            <w:rStyle w:val="Hyperlink"/>
            <w:rFonts w:ascii="Arial" w:hAnsi="Arial" w:cs="Arial"/>
            <w:color w:val="auto"/>
            <w:sz w:val="22"/>
          </w:rPr>
          <w:t>https://www.taylorfrancis.com/chapters/edit/10.4324/9781003281672-16/social-policy-community-based-approach-david-donnison</w:t>
        </w:r>
      </w:hyperlink>
      <w:r>
        <w:rPr>
          <w:rFonts w:ascii="Arial" w:hAnsi="Arial" w:cs="Arial"/>
          <w:sz w:val="22"/>
        </w:rPr>
        <w:t xml:space="preserve"> </w:t>
      </w:r>
    </w:p>
    <w:p w14:paraId="6D3B5DC0" w14:textId="77777777" w:rsidR="00DB2F4B" w:rsidRDefault="00507DA5">
      <w:pPr>
        <w:ind w:left="720" w:hanging="720"/>
      </w:pPr>
      <w:r>
        <w:rPr>
          <w:rFonts w:ascii="Arial" w:hAnsi="Arial" w:cs="Arial"/>
          <w:sz w:val="22"/>
        </w:rPr>
        <w:t>England, N.H.S. (2023). </w:t>
      </w:r>
      <w:r>
        <w:rPr>
          <w:rFonts w:ascii="Arial" w:hAnsi="Arial" w:cs="Arial"/>
          <w:i/>
          <w:iCs/>
          <w:sz w:val="22"/>
        </w:rPr>
        <w:t>NHS long term workforce plan</w:t>
      </w:r>
      <w:r>
        <w:rPr>
          <w:rFonts w:ascii="Arial" w:hAnsi="Arial" w:cs="Arial"/>
          <w:sz w:val="22"/>
        </w:rPr>
        <w:t xml:space="preserve"> [online] </w:t>
      </w:r>
      <w:r>
        <w:rPr>
          <w:rFonts w:ascii="Arial" w:hAnsi="Arial" w:cs="Arial"/>
          <w:sz w:val="22"/>
        </w:rPr>
        <w:br/>
      </w:r>
      <w:hyperlink r:id="rId16" w:history="1">
        <w:r>
          <w:rPr>
            <w:rStyle w:val="Hyperlink"/>
            <w:rFonts w:ascii="Arial" w:hAnsi="Arial" w:cs="Arial"/>
            <w:color w:val="auto"/>
            <w:sz w:val="22"/>
          </w:rPr>
          <w:t>https://www.rcpath.org/static/bf6094b6-2087-45a3-bef230c097d328ae/Letter-to-Medical-Royal-Colleges-and-Faculties-110723-final-WP.pdf</w:t>
        </w:r>
      </w:hyperlink>
      <w:r>
        <w:rPr>
          <w:rFonts w:ascii="Arial" w:hAnsi="Arial" w:cs="Arial"/>
          <w:sz w:val="22"/>
        </w:rPr>
        <w:t xml:space="preserve"> </w:t>
      </w:r>
    </w:p>
    <w:p w14:paraId="6D3B5DC1" w14:textId="77777777" w:rsidR="00DB2F4B" w:rsidRDefault="00507DA5">
      <w:pPr>
        <w:ind w:left="720" w:hanging="720"/>
      </w:pPr>
      <w:r>
        <w:rPr>
          <w:rFonts w:ascii="Arial" w:hAnsi="Arial" w:cs="Arial"/>
          <w:sz w:val="22"/>
        </w:rPr>
        <w:t>Feng, Y., Hu, J., Afshan, S., Irfan, M., Hu, M. and Abbas, S. (2023). Bridging resource disparities for sustainable development: A comparative analysis of resource-rich and resource-scarce countries. </w:t>
      </w:r>
      <w:r>
        <w:rPr>
          <w:rFonts w:ascii="Arial" w:hAnsi="Arial" w:cs="Arial"/>
          <w:i/>
          <w:iCs/>
          <w:sz w:val="22"/>
        </w:rPr>
        <w:t>Resources Policy</w:t>
      </w:r>
      <w:r>
        <w:rPr>
          <w:rFonts w:ascii="Arial" w:hAnsi="Arial" w:cs="Arial"/>
          <w:sz w:val="22"/>
        </w:rPr>
        <w:t>, </w:t>
      </w:r>
      <w:r>
        <w:rPr>
          <w:rFonts w:ascii="Arial" w:hAnsi="Arial" w:cs="Arial"/>
          <w:i/>
          <w:iCs/>
          <w:sz w:val="22"/>
        </w:rPr>
        <w:t>85</w:t>
      </w:r>
      <w:r>
        <w:rPr>
          <w:rFonts w:ascii="Arial" w:hAnsi="Arial" w:cs="Arial"/>
          <w:sz w:val="22"/>
        </w:rPr>
        <w:t xml:space="preserve">, p.103981. </w:t>
      </w:r>
      <w:hyperlink r:id="rId17" w:history="1">
        <w:r>
          <w:rPr>
            <w:rStyle w:val="Hyperlink"/>
            <w:rFonts w:ascii="Arial" w:hAnsi="Arial" w:cs="Arial"/>
            <w:color w:val="auto"/>
            <w:sz w:val="22"/>
          </w:rPr>
          <w:t>10.1016/j.resourpol.2023.103981</w:t>
        </w:r>
      </w:hyperlink>
      <w:r>
        <w:rPr>
          <w:rFonts w:ascii="Arial" w:hAnsi="Arial" w:cs="Arial"/>
          <w:sz w:val="22"/>
        </w:rPr>
        <w:t xml:space="preserve"> </w:t>
      </w:r>
    </w:p>
    <w:p w14:paraId="6D3B5DC2" w14:textId="77777777" w:rsidR="00DB2F4B" w:rsidRDefault="00507DA5">
      <w:pPr>
        <w:ind w:left="720" w:hanging="720"/>
      </w:pPr>
      <w:r>
        <w:rPr>
          <w:rFonts w:ascii="Arial" w:hAnsi="Arial" w:cs="Arial"/>
          <w:sz w:val="22"/>
        </w:rPr>
        <w:lastRenderedPageBreak/>
        <w:t>Gardner, J. and Gray, M. (2024). The UK’s energy crises: A study of market and institutional precarity. </w:t>
      </w:r>
      <w:r>
        <w:rPr>
          <w:rFonts w:ascii="Arial" w:hAnsi="Arial" w:cs="Arial"/>
          <w:i/>
          <w:iCs/>
          <w:sz w:val="22"/>
        </w:rPr>
        <w:t>King's Law Journal</w:t>
      </w:r>
      <w:r>
        <w:rPr>
          <w:rFonts w:ascii="Arial" w:hAnsi="Arial" w:cs="Arial"/>
          <w:sz w:val="22"/>
        </w:rPr>
        <w:t>, </w:t>
      </w:r>
      <w:r>
        <w:rPr>
          <w:rFonts w:ascii="Arial" w:hAnsi="Arial" w:cs="Arial"/>
          <w:i/>
          <w:iCs/>
          <w:sz w:val="22"/>
        </w:rPr>
        <w:t>35</w:t>
      </w:r>
      <w:r>
        <w:rPr>
          <w:rFonts w:ascii="Arial" w:hAnsi="Arial" w:cs="Arial"/>
          <w:sz w:val="22"/>
        </w:rPr>
        <w:t xml:space="preserve">(2), pp.286-311. </w:t>
      </w:r>
      <w:hyperlink r:id="rId18" w:history="1">
        <w:r>
          <w:rPr>
            <w:rStyle w:val="Hyperlink"/>
            <w:rFonts w:ascii="Arial" w:hAnsi="Arial" w:cs="Arial"/>
            <w:color w:val="auto"/>
            <w:sz w:val="22"/>
          </w:rPr>
          <w:t>https://doi.org/10.1080/09615768.2024.2381623</w:t>
        </w:r>
      </w:hyperlink>
      <w:r>
        <w:rPr>
          <w:rFonts w:ascii="Arial" w:hAnsi="Arial" w:cs="Arial"/>
          <w:sz w:val="22"/>
        </w:rPr>
        <w:t xml:space="preserve"> </w:t>
      </w:r>
    </w:p>
    <w:p w14:paraId="6D3B5DC3" w14:textId="77777777" w:rsidR="00DB2F4B" w:rsidRDefault="00507DA5">
      <w:pPr>
        <w:ind w:left="720" w:hanging="720"/>
      </w:pPr>
      <w:r>
        <w:rPr>
          <w:rFonts w:ascii="Arial" w:hAnsi="Arial" w:cs="Arial"/>
          <w:sz w:val="22"/>
        </w:rPr>
        <w:t>Gomes, A., Bourbon, A.I., Peixoto, A.R., Silva, A.S., Tasso, A., Almeida, C., Nobre, C., Nunes, C., Sánchez, C., Gonçalves, D.A. and Castelo-Branco, D. (2023). Strategies for the reduction of sugar in food products. In </w:t>
      </w:r>
      <w:r>
        <w:rPr>
          <w:rFonts w:ascii="Arial" w:hAnsi="Arial" w:cs="Arial"/>
          <w:i/>
          <w:iCs/>
          <w:sz w:val="22"/>
        </w:rPr>
        <w:t>Food structure engineering and design for improved nutrition, health and well-being</w:t>
      </w:r>
      <w:r>
        <w:rPr>
          <w:rFonts w:ascii="Arial" w:hAnsi="Arial" w:cs="Arial"/>
          <w:sz w:val="22"/>
        </w:rPr>
        <w:t xml:space="preserve"> (pp. 219-241). Academic Press. </w:t>
      </w:r>
      <w:hyperlink r:id="rId19" w:history="1">
        <w:r>
          <w:rPr>
            <w:rStyle w:val="Hyperlink"/>
            <w:rFonts w:ascii="Arial" w:hAnsi="Arial" w:cs="Arial"/>
            <w:color w:val="auto"/>
            <w:sz w:val="22"/>
          </w:rPr>
          <w:t>https://doi.org/10.1016/B978-0-323-85513-6.00008-6</w:t>
        </w:r>
      </w:hyperlink>
      <w:r>
        <w:rPr>
          <w:rFonts w:ascii="Arial" w:hAnsi="Arial" w:cs="Arial"/>
          <w:sz w:val="22"/>
        </w:rPr>
        <w:t xml:space="preserve">  </w:t>
      </w:r>
    </w:p>
    <w:p w14:paraId="6D3B5DC4" w14:textId="77777777" w:rsidR="00DB2F4B" w:rsidRDefault="00507DA5">
      <w:pPr>
        <w:ind w:left="720" w:hanging="720"/>
      </w:pPr>
      <w:r>
        <w:rPr>
          <w:rFonts w:ascii="Arial" w:hAnsi="Arial" w:cs="Arial"/>
          <w:sz w:val="22"/>
          <w:lang w:val="en-US"/>
        </w:rPr>
        <w:t xml:space="preserve">GOV.UK. (2022, April 5). </w:t>
      </w:r>
      <w:r>
        <w:rPr>
          <w:rFonts w:ascii="Arial" w:hAnsi="Arial" w:cs="Arial"/>
          <w:i/>
          <w:iCs/>
          <w:sz w:val="22"/>
          <w:lang w:val="en-US"/>
        </w:rPr>
        <w:t xml:space="preserve">Net zero strategy: Build back </w:t>
      </w:r>
      <w:proofErr w:type="gramStart"/>
      <w:r>
        <w:rPr>
          <w:rFonts w:ascii="Arial" w:hAnsi="Arial" w:cs="Arial"/>
          <w:i/>
          <w:iCs/>
          <w:sz w:val="22"/>
          <w:lang w:val="en-US"/>
        </w:rPr>
        <w:t>greener</w:t>
      </w:r>
      <w:proofErr w:type="gramEnd"/>
      <w:r>
        <w:rPr>
          <w:rFonts w:ascii="Arial" w:hAnsi="Arial" w:cs="Arial"/>
          <w:sz w:val="22"/>
          <w:lang w:val="en-US"/>
        </w:rPr>
        <w:t xml:space="preserve">. </w:t>
      </w:r>
      <w:hyperlink r:id="rId20" w:history="1">
        <w:r>
          <w:rPr>
            <w:rStyle w:val="Hyperlink"/>
            <w:rFonts w:ascii="Arial" w:hAnsi="Arial" w:cs="Arial"/>
            <w:color w:val="auto"/>
            <w:sz w:val="22"/>
            <w:lang w:val="en-US"/>
          </w:rPr>
          <w:t>https://www.gov.uk/government/publications/net-zero-strategy</w:t>
        </w:r>
      </w:hyperlink>
      <w:r>
        <w:rPr>
          <w:rStyle w:val="Hyperlink"/>
          <w:rFonts w:ascii="Arial" w:hAnsi="Arial" w:cs="Arial"/>
          <w:color w:val="auto"/>
          <w:sz w:val="22"/>
          <w:lang w:val="en-US"/>
        </w:rPr>
        <w:t xml:space="preserve"> </w:t>
      </w:r>
      <w:r>
        <w:rPr>
          <w:rFonts w:ascii="Arial" w:hAnsi="Arial" w:cs="Arial"/>
          <w:sz w:val="22"/>
        </w:rPr>
        <w:t>(Accessed 16 Jun. 2026).</w:t>
      </w:r>
    </w:p>
    <w:p w14:paraId="6D3B5DC5" w14:textId="77777777" w:rsidR="00DB2F4B" w:rsidRDefault="00507DA5">
      <w:pPr>
        <w:ind w:left="720" w:hanging="720"/>
      </w:pPr>
      <w:r>
        <w:rPr>
          <w:rFonts w:ascii="Arial" w:hAnsi="Arial" w:cs="Arial"/>
          <w:sz w:val="22"/>
        </w:rPr>
        <w:t xml:space="preserve">Heaslip, V., Thompson, R., </w:t>
      </w:r>
      <w:proofErr w:type="spellStart"/>
      <w:r>
        <w:rPr>
          <w:rFonts w:ascii="Arial" w:hAnsi="Arial" w:cs="Arial"/>
          <w:sz w:val="22"/>
        </w:rPr>
        <w:t>Tauringana</w:t>
      </w:r>
      <w:proofErr w:type="spellEnd"/>
      <w:r>
        <w:rPr>
          <w:rFonts w:ascii="Arial" w:hAnsi="Arial" w:cs="Arial"/>
          <w:sz w:val="22"/>
        </w:rPr>
        <w:t>, M., Holland, S. and Glendening, N. (2022). Health inequity in the UK: exploring health inequality and inequity. </w:t>
      </w:r>
      <w:r>
        <w:rPr>
          <w:rFonts w:ascii="Arial" w:hAnsi="Arial" w:cs="Arial"/>
          <w:i/>
          <w:iCs/>
          <w:sz w:val="22"/>
        </w:rPr>
        <w:t>Practice Nursing</w:t>
      </w:r>
      <w:r>
        <w:rPr>
          <w:rFonts w:ascii="Arial" w:hAnsi="Arial" w:cs="Arial"/>
          <w:sz w:val="22"/>
        </w:rPr>
        <w:t>, </w:t>
      </w:r>
      <w:r>
        <w:rPr>
          <w:rFonts w:ascii="Arial" w:hAnsi="Arial" w:cs="Arial"/>
          <w:i/>
          <w:iCs/>
          <w:sz w:val="22"/>
        </w:rPr>
        <w:t>33</w:t>
      </w:r>
      <w:r>
        <w:rPr>
          <w:rFonts w:ascii="Arial" w:hAnsi="Arial" w:cs="Arial"/>
          <w:sz w:val="22"/>
        </w:rPr>
        <w:t xml:space="preserve">(2), pp.72-76. </w:t>
      </w:r>
      <w:hyperlink r:id="rId21" w:history="1">
        <w:r>
          <w:rPr>
            <w:rStyle w:val="Hyperlink"/>
            <w:rFonts w:ascii="Arial" w:hAnsi="Arial" w:cs="Arial"/>
            <w:color w:val="auto"/>
            <w:sz w:val="22"/>
          </w:rPr>
          <w:t>https://doi.org/10.12968/pnur.2022.33.2.72</w:t>
        </w:r>
      </w:hyperlink>
      <w:r>
        <w:rPr>
          <w:rFonts w:ascii="Arial" w:hAnsi="Arial" w:cs="Arial"/>
          <w:sz w:val="22"/>
        </w:rPr>
        <w:t xml:space="preserve"> </w:t>
      </w:r>
    </w:p>
    <w:p w14:paraId="6D3B5DC6" w14:textId="77777777" w:rsidR="00DB2F4B" w:rsidRDefault="00507DA5">
      <w:pPr>
        <w:ind w:left="720" w:hanging="720"/>
      </w:pPr>
      <w:r>
        <w:rPr>
          <w:rFonts w:ascii="Arial" w:hAnsi="Arial" w:cs="Arial"/>
          <w:sz w:val="22"/>
        </w:rPr>
        <w:t>Katoch, O.R., Sharma, R., Parihar, S. and Nawaz, A. (2024). Energy poverty and its impacts on health and education: a systematic review. </w:t>
      </w:r>
      <w:r>
        <w:rPr>
          <w:rFonts w:ascii="Arial" w:hAnsi="Arial" w:cs="Arial"/>
          <w:i/>
          <w:iCs/>
          <w:sz w:val="22"/>
        </w:rPr>
        <w:t>International Journal of Energy Sector Management</w:t>
      </w:r>
      <w:r>
        <w:rPr>
          <w:rFonts w:ascii="Arial" w:hAnsi="Arial" w:cs="Arial"/>
          <w:sz w:val="22"/>
        </w:rPr>
        <w:t>, </w:t>
      </w:r>
      <w:r>
        <w:rPr>
          <w:rFonts w:ascii="Arial" w:hAnsi="Arial" w:cs="Arial"/>
          <w:i/>
          <w:iCs/>
          <w:sz w:val="22"/>
        </w:rPr>
        <w:t>18</w:t>
      </w:r>
      <w:r>
        <w:rPr>
          <w:rFonts w:ascii="Arial" w:hAnsi="Arial" w:cs="Arial"/>
          <w:sz w:val="22"/>
        </w:rPr>
        <w:t xml:space="preserve">(2), pp.411-431. </w:t>
      </w:r>
      <w:hyperlink r:id="rId22" w:history="1">
        <w:r>
          <w:rPr>
            <w:rStyle w:val="Hyperlink"/>
            <w:rFonts w:ascii="Arial" w:hAnsi="Arial" w:cs="Arial"/>
            <w:color w:val="auto"/>
            <w:sz w:val="22"/>
          </w:rPr>
          <w:t>https://doi.org/10.1108/IJESM-10-2022-0007</w:t>
        </w:r>
      </w:hyperlink>
      <w:r>
        <w:rPr>
          <w:rFonts w:ascii="Arial" w:hAnsi="Arial" w:cs="Arial"/>
          <w:sz w:val="22"/>
        </w:rPr>
        <w:t xml:space="preserve"> </w:t>
      </w:r>
    </w:p>
    <w:p w14:paraId="6D3B5DC7" w14:textId="77777777" w:rsidR="00DB2F4B" w:rsidRDefault="00507DA5">
      <w:pPr>
        <w:ind w:left="720" w:hanging="720"/>
      </w:pPr>
      <w:r>
        <w:rPr>
          <w:rFonts w:ascii="Arial" w:hAnsi="Arial" w:cs="Arial"/>
          <w:sz w:val="22"/>
        </w:rPr>
        <w:t>Lazo Green, K., Tan, M.M., Johnson, E.E., Ahmed, N., Eastaugh, C., Beyer, F., Craig, D., Spiers, G.F. and Hanratty, B. (2024). Interventions for cold homes: a rapid review of the health impacts. </w:t>
      </w:r>
      <w:r>
        <w:rPr>
          <w:rFonts w:ascii="Arial" w:hAnsi="Arial" w:cs="Arial"/>
          <w:i/>
          <w:iCs/>
          <w:sz w:val="22"/>
        </w:rPr>
        <w:t>European Journal of Public Health</w:t>
      </w:r>
      <w:r>
        <w:rPr>
          <w:rFonts w:ascii="Arial" w:hAnsi="Arial" w:cs="Arial"/>
          <w:sz w:val="22"/>
        </w:rPr>
        <w:t>, </w:t>
      </w:r>
      <w:r>
        <w:rPr>
          <w:rFonts w:ascii="Arial" w:hAnsi="Arial" w:cs="Arial"/>
          <w:i/>
          <w:iCs/>
          <w:sz w:val="22"/>
        </w:rPr>
        <w:t>34</w:t>
      </w:r>
      <w:r>
        <w:rPr>
          <w:rFonts w:ascii="Arial" w:hAnsi="Arial" w:cs="Arial"/>
          <w:sz w:val="22"/>
        </w:rPr>
        <w:t xml:space="preserve">(4), pp.682-695. </w:t>
      </w:r>
      <w:hyperlink r:id="rId23" w:history="1">
        <w:r>
          <w:rPr>
            <w:rStyle w:val="Hyperlink"/>
            <w:rFonts w:ascii="Arial" w:hAnsi="Arial" w:cs="Arial"/>
            <w:color w:val="auto"/>
            <w:sz w:val="22"/>
          </w:rPr>
          <w:t>https://doi.org/10.1093/eurpub/ckae058</w:t>
        </w:r>
      </w:hyperlink>
      <w:r>
        <w:rPr>
          <w:rFonts w:ascii="Arial" w:hAnsi="Arial" w:cs="Arial"/>
          <w:sz w:val="22"/>
        </w:rPr>
        <w:t xml:space="preserve"> </w:t>
      </w:r>
    </w:p>
    <w:p w14:paraId="6D3B5DC8" w14:textId="77777777" w:rsidR="00DB2F4B" w:rsidRDefault="00507DA5">
      <w:pPr>
        <w:ind w:left="720" w:hanging="720"/>
      </w:pPr>
      <w:r>
        <w:rPr>
          <w:rFonts w:ascii="Arial" w:hAnsi="Arial" w:cs="Arial"/>
          <w:sz w:val="22"/>
        </w:rPr>
        <w:t>MacDonald, C. and Dixon, L. (2022). Social and environmental determinants of health. </w:t>
      </w:r>
      <w:r>
        <w:rPr>
          <w:rFonts w:ascii="Arial" w:hAnsi="Arial" w:cs="Arial"/>
          <w:i/>
          <w:iCs/>
          <w:sz w:val="22"/>
        </w:rPr>
        <w:t>Midwifery Preparation for Practice</w:t>
      </w:r>
      <w:r>
        <w:rPr>
          <w:rFonts w:ascii="Arial" w:hAnsi="Arial" w:cs="Arial"/>
          <w:sz w:val="22"/>
        </w:rPr>
        <w:t>, p.173.</w:t>
      </w:r>
      <w:r>
        <w:rPr>
          <w:rFonts w:ascii="Arial" w:hAnsi="Arial" w:cs="Arial"/>
          <w:sz w:val="22"/>
        </w:rPr>
        <w:br/>
      </w:r>
      <w:hyperlink r:id="rId24" w:history="1">
        <w:r>
          <w:rPr>
            <w:rStyle w:val="Hyperlink"/>
            <w:rFonts w:ascii="Arial" w:hAnsi="Arial" w:cs="Arial"/>
            <w:color w:val="auto"/>
            <w:sz w:val="22"/>
          </w:rPr>
          <w:t>https://library.canberra.edu.au/permalink/61ARL_CNB/9qh04q/alma991005093124203996</w:t>
        </w:r>
      </w:hyperlink>
      <w:r>
        <w:rPr>
          <w:rFonts w:ascii="Arial" w:hAnsi="Arial" w:cs="Arial"/>
          <w:sz w:val="22"/>
        </w:rPr>
        <w:t xml:space="preserve"> </w:t>
      </w:r>
    </w:p>
    <w:p w14:paraId="6D3B5DC9" w14:textId="77777777" w:rsidR="00DB2F4B" w:rsidRDefault="00507DA5">
      <w:pPr>
        <w:ind w:left="720" w:hanging="720"/>
      </w:pPr>
      <w:r>
        <w:rPr>
          <w:rFonts w:ascii="Arial" w:hAnsi="Arial" w:cs="Arial"/>
          <w:sz w:val="22"/>
        </w:rPr>
        <w:t>Matthews, H.D. and Wynes, S. (2022). Current global efforts are insufficient to limit warming to 1.5 C. </w:t>
      </w:r>
      <w:r>
        <w:rPr>
          <w:rFonts w:ascii="Arial" w:hAnsi="Arial" w:cs="Arial"/>
          <w:i/>
          <w:iCs/>
          <w:sz w:val="22"/>
        </w:rPr>
        <w:t>Science</w:t>
      </w:r>
      <w:r>
        <w:rPr>
          <w:rFonts w:ascii="Arial" w:hAnsi="Arial" w:cs="Arial"/>
          <w:sz w:val="22"/>
        </w:rPr>
        <w:t>, </w:t>
      </w:r>
      <w:r>
        <w:rPr>
          <w:rFonts w:ascii="Arial" w:hAnsi="Arial" w:cs="Arial"/>
          <w:i/>
          <w:iCs/>
          <w:sz w:val="22"/>
        </w:rPr>
        <w:t>376</w:t>
      </w:r>
      <w:r>
        <w:rPr>
          <w:rFonts w:ascii="Arial" w:hAnsi="Arial" w:cs="Arial"/>
          <w:sz w:val="22"/>
        </w:rPr>
        <w:t xml:space="preserve">(6600), pp.1404-1409. </w:t>
      </w:r>
      <w:hyperlink r:id="rId25" w:history="1">
        <w:r>
          <w:rPr>
            <w:rStyle w:val="Hyperlink"/>
            <w:rFonts w:ascii="Arial" w:hAnsi="Arial" w:cs="Arial"/>
            <w:color w:val="auto"/>
            <w:sz w:val="22"/>
          </w:rPr>
          <w:t>https://doi.org/10.1126/science.abo3378</w:t>
        </w:r>
      </w:hyperlink>
      <w:r>
        <w:rPr>
          <w:rFonts w:ascii="Arial" w:hAnsi="Arial" w:cs="Arial"/>
          <w:sz w:val="22"/>
        </w:rPr>
        <w:t xml:space="preserve"> </w:t>
      </w:r>
    </w:p>
    <w:p w14:paraId="6D3B5DCA" w14:textId="77777777" w:rsidR="00DB2F4B" w:rsidRDefault="00507DA5">
      <w:pPr>
        <w:ind w:left="720" w:hanging="720"/>
      </w:pPr>
      <w:r>
        <w:rPr>
          <w:rFonts w:ascii="Arial" w:hAnsi="Arial" w:cs="Arial"/>
          <w:sz w:val="22"/>
        </w:rPr>
        <w:t>McKeown, A. (2023). Ethical challenges and principles in integrated care. </w:t>
      </w:r>
      <w:r>
        <w:rPr>
          <w:rFonts w:ascii="Arial" w:hAnsi="Arial" w:cs="Arial"/>
          <w:i/>
          <w:iCs/>
          <w:sz w:val="22"/>
        </w:rPr>
        <w:t>British Medical Bulletin</w:t>
      </w:r>
      <w:r>
        <w:rPr>
          <w:rFonts w:ascii="Arial" w:hAnsi="Arial" w:cs="Arial"/>
          <w:sz w:val="22"/>
        </w:rPr>
        <w:t>, </w:t>
      </w:r>
      <w:r>
        <w:rPr>
          <w:rFonts w:ascii="Arial" w:hAnsi="Arial" w:cs="Arial"/>
          <w:i/>
          <w:iCs/>
          <w:sz w:val="22"/>
        </w:rPr>
        <w:t>146</w:t>
      </w:r>
      <w:r>
        <w:rPr>
          <w:rFonts w:ascii="Arial" w:hAnsi="Arial" w:cs="Arial"/>
          <w:sz w:val="22"/>
        </w:rPr>
        <w:t xml:space="preserve">(1), pp.4-18. </w:t>
      </w:r>
      <w:hyperlink r:id="rId26" w:history="1">
        <w:r>
          <w:rPr>
            <w:rStyle w:val="Hyperlink"/>
            <w:rFonts w:ascii="Arial" w:hAnsi="Arial" w:cs="Arial"/>
            <w:color w:val="auto"/>
            <w:sz w:val="22"/>
          </w:rPr>
          <w:t>https://doi.org/10.1093/bmb/ldac030</w:t>
        </w:r>
      </w:hyperlink>
      <w:r>
        <w:rPr>
          <w:rFonts w:ascii="Arial" w:hAnsi="Arial" w:cs="Arial"/>
          <w:sz w:val="22"/>
        </w:rPr>
        <w:t xml:space="preserve"> </w:t>
      </w:r>
    </w:p>
    <w:p w14:paraId="6D3B5DCB" w14:textId="77777777" w:rsidR="00DB2F4B" w:rsidRDefault="00507DA5">
      <w:pPr>
        <w:ind w:left="720" w:hanging="720"/>
      </w:pPr>
      <w:proofErr w:type="spellStart"/>
      <w:r>
        <w:rPr>
          <w:rFonts w:ascii="Arial" w:hAnsi="Arial" w:cs="Arial"/>
          <w:sz w:val="22"/>
        </w:rPr>
        <w:t>Mierlus</w:t>
      </w:r>
      <w:proofErr w:type="spellEnd"/>
      <w:r>
        <w:rPr>
          <w:rFonts w:ascii="Arial" w:hAnsi="Arial" w:cs="Arial"/>
          <w:sz w:val="22"/>
        </w:rPr>
        <w:t xml:space="preserve"> Mazilu, I. (2025). SDG 7: Affordable and Clean Energy. In </w:t>
      </w:r>
      <w:r>
        <w:rPr>
          <w:rFonts w:ascii="Arial" w:hAnsi="Arial" w:cs="Arial"/>
          <w:i/>
          <w:iCs/>
          <w:sz w:val="22"/>
        </w:rPr>
        <w:t>Innovation, Resilience, Leadership and Sustainability in Higher Education</w:t>
      </w:r>
      <w:r>
        <w:rPr>
          <w:rFonts w:ascii="Arial" w:hAnsi="Arial" w:cs="Arial"/>
          <w:sz w:val="22"/>
        </w:rPr>
        <w:t xml:space="preserve"> (pp. 89-106). Cham: Springer Nature Switzerland. </w:t>
      </w:r>
      <w:hyperlink r:id="rId27" w:history="1">
        <w:r>
          <w:rPr>
            <w:rStyle w:val="Hyperlink"/>
            <w:rFonts w:ascii="Arial" w:hAnsi="Arial" w:cs="Arial"/>
            <w:color w:val="auto"/>
            <w:sz w:val="22"/>
          </w:rPr>
          <w:t>https://doi.org/10.1007/978-3-031-99713-6_7</w:t>
        </w:r>
      </w:hyperlink>
      <w:r>
        <w:rPr>
          <w:rFonts w:ascii="Arial" w:hAnsi="Arial" w:cs="Arial"/>
          <w:sz w:val="22"/>
        </w:rPr>
        <w:t xml:space="preserve"> </w:t>
      </w:r>
    </w:p>
    <w:p w14:paraId="6D3B5DCC" w14:textId="77777777" w:rsidR="00DB2F4B" w:rsidRDefault="00507DA5">
      <w:pPr>
        <w:ind w:left="720" w:hanging="720"/>
      </w:pPr>
      <w:proofErr w:type="spellStart"/>
      <w:r>
        <w:rPr>
          <w:rFonts w:ascii="Arial" w:hAnsi="Arial" w:cs="Arial"/>
          <w:sz w:val="22"/>
        </w:rPr>
        <w:t>Royapoor</w:t>
      </w:r>
      <w:proofErr w:type="spellEnd"/>
      <w:r>
        <w:rPr>
          <w:rFonts w:ascii="Arial" w:hAnsi="Arial" w:cs="Arial"/>
          <w:sz w:val="22"/>
        </w:rPr>
        <w:t xml:space="preserve">, M., </w:t>
      </w:r>
      <w:proofErr w:type="spellStart"/>
      <w:r>
        <w:rPr>
          <w:rFonts w:ascii="Arial" w:hAnsi="Arial" w:cs="Arial"/>
          <w:sz w:val="22"/>
        </w:rPr>
        <w:t>Allahham</w:t>
      </w:r>
      <w:proofErr w:type="spellEnd"/>
      <w:r>
        <w:rPr>
          <w:rFonts w:ascii="Arial" w:hAnsi="Arial" w:cs="Arial"/>
          <w:sz w:val="22"/>
        </w:rPr>
        <w:t xml:space="preserve">, A., Hosseini, S.H.R., </w:t>
      </w:r>
      <w:proofErr w:type="spellStart"/>
      <w:r>
        <w:rPr>
          <w:rFonts w:ascii="Arial" w:hAnsi="Arial" w:cs="Arial"/>
          <w:sz w:val="22"/>
        </w:rPr>
        <w:t>Rufa’I</w:t>
      </w:r>
      <w:proofErr w:type="spellEnd"/>
      <w:r>
        <w:rPr>
          <w:rFonts w:ascii="Arial" w:hAnsi="Arial" w:cs="Arial"/>
          <w:sz w:val="22"/>
        </w:rPr>
        <w:t>, N.A. and Walker, S.L. (2023). Towards 2050 net zero carbon infrastructure: a critical review of key decarbonization challenges in the domestic heating sector in the UK. </w:t>
      </w:r>
      <w:r>
        <w:rPr>
          <w:rFonts w:ascii="Arial" w:hAnsi="Arial" w:cs="Arial"/>
          <w:i/>
          <w:iCs/>
          <w:sz w:val="22"/>
        </w:rPr>
        <w:t>Energy Sources, Part B: Economics, Planning, and Policy</w:t>
      </w:r>
      <w:r>
        <w:rPr>
          <w:rFonts w:ascii="Arial" w:hAnsi="Arial" w:cs="Arial"/>
          <w:sz w:val="22"/>
        </w:rPr>
        <w:t>, </w:t>
      </w:r>
      <w:r>
        <w:rPr>
          <w:rFonts w:ascii="Arial" w:hAnsi="Arial" w:cs="Arial"/>
          <w:i/>
          <w:iCs/>
          <w:sz w:val="22"/>
        </w:rPr>
        <w:t>18</w:t>
      </w:r>
      <w:r>
        <w:rPr>
          <w:rFonts w:ascii="Arial" w:hAnsi="Arial" w:cs="Arial"/>
          <w:sz w:val="22"/>
        </w:rPr>
        <w:t xml:space="preserve">(1), p.2272264. </w:t>
      </w:r>
      <w:hyperlink r:id="rId28" w:history="1">
        <w:r>
          <w:rPr>
            <w:rStyle w:val="Hyperlink"/>
            <w:rFonts w:ascii="Arial" w:hAnsi="Arial" w:cs="Arial"/>
            <w:color w:val="auto"/>
            <w:sz w:val="22"/>
          </w:rPr>
          <w:t>https://doi.org/10.1080/15567249.2023.2272264</w:t>
        </w:r>
      </w:hyperlink>
      <w:r>
        <w:rPr>
          <w:rFonts w:ascii="Arial" w:hAnsi="Arial" w:cs="Arial"/>
          <w:sz w:val="22"/>
        </w:rPr>
        <w:t xml:space="preserve"> </w:t>
      </w:r>
    </w:p>
    <w:p w14:paraId="6D3B5DCD" w14:textId="77777777" w:rsidR="00DB2F4B" w:rsidRDefault="00507DA5">
      <w:pPr>
        <w:ind w:left="720" w:hanging="720"/>
      </w:pPr>
      <w:r>
        <w:rPr>
          <w:rFonts w:ascii="Arial" w:hAnsi="Arial" w:cs="Arial"/>
          <w:sz w:val="22"/>
        </w:rPr>
        <w:t>Shahzad, S., Faheem, M., Muqeet, H.A. and Waseem, M. (2024). Charting the UK's path to net zero emissions by 2050: Challenges, strategies, and future directions. </w:t>
      </w:r>
      <w:r>
        <w:rPr>
          <w:rFonts w:ascii="Arial" w:hAnsi="Arial" w:cs="Arial"/>
          <w:i/>
          <w:iCs/>
          <w:sz w:val="22"/>
        </w:rPr>
        <w:t>IET Smart Grid</w:t>
      </w:r>
      <w:r>
        <w:rPr>
          <w:rFonts w:ascii="Arial" w:hAnsi="Arial" w:cs="Arial"/>
          <w:sz w:val="22"/>
        </w:rPr>
        <w:t>, </w:t>
      </w:r>
      <w:r>
        <w:rPr>
          <w:rFonts w:ascii="Arial" w:hAnsi="Arial" w:cs="Arial"/>
          <w:i/>
          <w:iCs/>
          <w:sz w:val="22"/>
        </w:rPr>
        <w:t>7</w:t>
      </w:r>
      <w:r>
        <w:rPr>
          <w:rFonts w:ascii="Arial" w:hAnsi="Arial" w:cs="Arial"/>
          <w:sz w:val="22"/>
        </w:rPr>
        <w:t xml:space="preserve">(6), pp.716-736. </w:t>
      </w:r>
      <w:hyperlink r:id="rId29" w:history="1">
        <w:r>
          <w:rPr>
            <w:rStyle w:val="Hyperlink"/>
            <w:rFonts w:ascii="Arial" w:hAnsi="Arial" w:cs="Arial"/>
            <w:color w:val="auto"/>
            <w:sz w:val="22"/>
          </w:rPr>
          <w:t>https://doi.org/10.1049/stg2.12185</w:t>
        </w:r>
      </w:hyperlink>
      <w:r>
        <w:rPr>
          <w:rFonts w:ascii="Arial" w:hAnsi="Arial" w:cs="Arial"/>
          <w:sz w:val="22"/>
        </w:rPr>
        <w:t xml:space="preserve"> </w:t>
      </w:r>
    </w:p>
    <w:p w14:paraId="6D3B5DCE" w14:textId="77777777" w:rsidR="00DB2F4B" w:rsidRDefault="00507DA5">
      <w:pPr>
        <w:ind w:left="720" w:hanging="720"/>
      </w:pPr>
      <w:proofErr w:type="spellStart"/>
      <w:r>
        <w:rPr>
          <w:rFonts w:ascii="Arial" w:hAnsi="Arial" w:cs="Arial"/>
          <w:sz w:val="22"/>
        </w:rPr>
        <w:lastRenderedPageBreak/>
        <w:t>Sovacool</w:t>
      </w:r>
      <w:proofErr w:type="spellEnd"/>
      <w:r>
        <w:rPr>
          <w:rFonts w:ascii="Arial" w:hAnsi="Arial" w:cs="Arial"/>
          <w:sz w:val="22"/>
        </w:rPr>
        <w:t xml:space="preserve">, B.K., Upham, P., </w:t>
      </w:r>
      <w:proofErr w:type="spellStart"/>
      <w:r>
        <w:rPr>
          <w:rFonts w:ascii="Arial" w:hAnsi="Arial" w:cs="Arial"/>
          <w:sz w:val="22"/>
        </w:rPr>
        <w:t>Martiskainen</w:t>
      </w:r>
      <w:proofErr w:type="spellEnd"/>
      <w:r>
        <w:rPr>
          <w:rFonts w:ascii="Arial" w:hAnsi="Arial" w:cs="Arial"/>
          <w:sz w:val="22"/>
        </w:rPr>
        <w:t>, M., Jenkins, K.E., Torres Contreras, G.A. and Simcock, N. (2023). Policy prescriptions to address energy and transport poverty in the United Kingdom. </w:t>
      </w:r>
      <w:r>
        <w:rPr>
          <w:rFonts w:ascii="Arial" w:hAnsi="Arial" w:cs="Arial"/>
          <w:i/>
          <w:iCs/>
          <w:sz w:val="22"/>
        </w:rPr>
        <w:t>Nature Energy</w:t>
      </w:r>
      <w:r>
        <w:rPr>
          <w:rFonts w:ascii="Arial" w:hAnsi="Arial" w:cs="Arial"/>
          <w:sz w:val="22"/>
        </w:rPr>
        <w:t>, </w:t>
      </w:r>
      <w:r>
        <w:rPr>
          <w:rFonts w:ascii="Arial" w:hAnsi="Arial" w:cs="Arial"/>
          <w:i/>
          <w:iCs/>
          <w:sz w:val="22"/>
        </w:rPr>
        <w:t>8</w:t>
      </w:r>
      <w:r>
        <w:rPr>
          <w:rFonts w:ascii="Arial" w:hAnsi="Arial" w:cs="Arial"/>
          <w:sz w:val="22"/>
        </w:rPr>
        <w:t xml:space="preserve">(3), pp.273-283. </w:t>
      </w:r>
      <w:hyperlink r:id="rId30" w:history="1">
        <w:r>
          <w:rPr>
            <w:rStyle w:val="Hyperlink"/>
            <w:rFonts w:ascii="Arial" w:hAnsi="Arial" w:cs="Arial"/>
            <w:color w:val="auto"/>
            <w:sz w:val="22"/>
          </w:rPr>
          <w:t>https://doi.org/10.1038/s41560-023-01196-w</w:t>
        </w:r>
      </w:hyperlink>
      <w:r>
        <w:rPr>
          <w:rFonts w:ascii="Arial" w:hAnsi="Arial" w:cs="Arial"/>
          <w:sz w:val="22"/>
        </w:rPr>
        <w:t xml:space="preserve"> </w:t>
      </w:r>
    </w:p>
    <w:p w14:paraId="6D3B5DCF" w14:textId="77777777" w:rsidR="00DB2F4B" w:rsidRDefault="00507DA5">
      <w:pPr>
        <w:ind w:left="720" w:hanging="720"/>
      </w:pPr>
      <w:r>
        <w:rPr>
          <w:rFonts w:ascii="Arial" w:hAnsi="Arial" w:cs="Arial"/>
          <w:sz w:val="22"/>
          <w:lang w:val="en-US"/>
        </w:rPr>
        <w:t xml:space="preserve">UN. (2025a). </w:t>
      </w:r>
      <w:r>
        <w:rPr>
          <w:rFonts w:ascii="Arial" w:hAnsi="Arial" w:cs="Arial"/>
          <w:i/>
          <w:iCs/>
          <w:sz w:val="22"/>
          <w:lang w:val="en-US"/>
        </w:rPr>
        <w:t>Goal 3 | Department of Economic and Social Affairs</w:t>
      </w:r>
      <w:r>
        <w:rPr>
          <w:rFonts w:ascii="Arial" w:hAnsi="Arial" w:cs="Arial"/>
          <w:sz w:val="22"/>
          <w:lang w:val="en-US"/>
        </w:rPr>
        <w:t xml:space="preserve">. United Nations. </w:t>
      </w:r>
      <w:hyperlink r:id="rId31" w:history="1">
        <w:r>
          <w:rPr>
            <w:rStyle w:val="Hyperlink"/>
            <w:rFonts w:ascii="Arial" w:hAnsi="Arial" w:cs="Arial"/>
            <w:color w:val="auto"/>
            <w:sz w:val="22"/>
            <w:lang w:val="en-US"/>
          </w:rPr>
          <w:t>https://sdgs.un.o</w:t>
        </w:r>
        <w:bookmarkStart w:id="15" w:name="_Hlt234874155"/>
        <w:bookmarkStart w:id="16" w:name="_Hlt234874156"/>
        <w:r>
          <w:rPr>
            <w:rStyle w:val="Hyperlink"/>
            <w:rFonts w:ascii="Arial" w:hAnsi="Arial" w:cs="Arial"/>
            <w:color w:val="auto"/>
            <w:sz w:val="22"/>
            <w:lang w:val="en-US"/>
          </w:rPr>
          <w:t>r</w:t>
        </w:r>
        <w:bookmarkStart w:id="17" w:name="_Hlt234874025"/>
        <w:bookmarkStart w:id="18" w:name="_Hlt234874026"/>
        <w:bookmarkEnd w:id="15"/>
        <w:bookmarkEnd w:id="16"/>
        <w:r>
          <w:rPr>
            <w:rStyle w:val="Hyperlink"/>
            <w:rFonts w:ascii="Arial" w:hAnsi="Arial" w:cs="Arial"/>
            <w:color w:val="auto"/>
            <w:sz w:val="22"/>
            <w:lang w:val="en-US"/>
          </w:rPr>
          <w:t>g</w:t>
        </w:r>
        <w:bookmarkEnd w:id="17"/>
        <w:bookmarkEnd w:id="18"/>
        <w:r>
          <w:rPr>
            <w:rStyle w:val="Hyperlink"/>
            <w:rFonts w:ascii="Arial" w:hAnsi="Arial" w:cs="Arial"/>
            <w:color w:val="auto"/>
            <w:sz w:val="22"/>
            <w:lang w:val="en-US"/>
          </w:rPr>
          <w:t>/goals/goal3</w:t>
        </w:r>
      </w:hyperlink>
      <w:r>
        <w:rPr>
          <w:rFonts w:ascii="Arial" w:hAnsi="Arial" w:cs="Arial"/>
          <w:sz w:val="22"/>
          <w:lang w:val="en-US"/>
        </w:rPr>
        <w:t xml:space="preserve"> </w:t>
      </w:r>
      <w:r>
        <w:rPr>
          <w:rFonts w:ascii="Arial" w:hAnsi="Arial" w:cs="Arial"/>
          <w:sz w:val="22"/>
        </w:rPr>
        <w:t>(Accessed 16 Jun. 2026).</w:t>
      </w:r>
    </w:p>
    <w:p w14:paraId="6D3B5DD0" w14:textId="77777777" w:rsidR="00DB2F4B" w:rsidRDefault="00507DA5">
      <w:pPr>
        <w:ind w:left="720" w:hanging="720"/>
      </w:pPr>
      <w:r>
        <w:rPr>
          <w:rFonts w:ascii="Arial" w:hAnsi="Arial" w:cs="Arial"/>
          <w:sz w:val="22"/>
          <w:lang w:val="en-US"/>
        </w:rPr>
        <w:t xml:space="preserve">UN. (2025b). </w:t>
      </w:r>
      <w:r>
        <w:rPr>
          <w:rFonts w:ascii="Arial" w:hAnsi="Arial" w:cs="Arial"/>
          <w:i/>
          <w:iCs/>
          <w:sz w:val="22"/>
          <w:lang w:val="en-US"/>
        </w:rPr>
        <w:t>The 17 goals | sustainable development</w:t>
      </w:r>
      <w:r>
        <w:rPr>
          <w:rFonts w:ascii="Arial" w:hAnsi="Arial" w:cs="Arial"/>
          <w:sz w:val="22"/>
          <w:lang w:val="en-US"/>
        </w:rPr>
        <w:t xml:space="preserve">. United Nations. </w:t>
      </w:r>
      <w:hyperlink r:id="rId32" w:history="1">
        <w:r>
          <w:rPr>
            <w:rStyle w:val="Hyperlink"/>
            <w:rFonts w:ascii="Arial" w:hAnsi="Arial" w:cs="Arial"/>
            <w:color w:val="auto"/>
            <w:sz w:val="22"/>
            <w:lang w:val="en-US"/>
          </w:rPr>
          <w:t>https://sdgs.un.org/goals</w:t>
        </w:r>
      </w:hyperlink>
      <w:r>
        <w:rPr>
          <w:rFonts w:ascii="Arial" w:hAnsi="Arial" w:cs="Arial"/>
          <w:sz w:val="22"/>
          <w:lang w:val="en-US"/>
        </w:rPr>
        <w:t xml:space="preserve"> </w:t>
      </w:r>
      <w:r>
        <w:rPr>
          <w:rFonts w:ascii="Arial" w:hAnsi="Arial" w:cs="Arial"/>
          <w:sz w:val="22"/>
        </w:rPr>
        <w:t>(Accessed: 16 June 2026).</w:t>
      </w:r>
    </w:p>
    <w:p w14:paraId="6D3B5DD1" w14:textId="77777777" w:rsidR="00DB2F4B" w:rsidRDefault="00507DA5">
      <w:pPr>
        <w:ind w:left="720" w:hanging="720"/>
      </w:pPr>
      <w:r>
        <w:rPr>
          <w:rFonts w:ascii="Arial" w:hAnsi="Arial" w:cs="Arial"/>
          <w:sz w:val="22"/>
        </w:rPr>
        <w:t>Voitenko, V. and Polishchuk, R. (2025). Decentralised generation and its role in enhancing the resilience of energy islands and critical infrastructure: Current trends and prospects. </w:t>
      </w:r>
      <w:r>
        <w:rPr>
          <w:rFonts w:ascii="Arial" w:hAnsi="Arial" w:cs="Arial"/>
          <w:i/>
          <w:iCs/>
          <w:sz w:val="22"/>
        </w:rPr>
        <w:t>Technologies and Engineering</w:t>
      </w:r>
      <w:r>
        <w:rPr>
          <w:rFonts w:ascii="Arial" w:hAnsi="Arial" w:cs="Arial"/>
          <w:sz w:val="22"/>
        </w:rPr>
        <w:t>, </w:t>
      </w:r>
      <w:r>
        <w:rPr>
          <w:rFonts w:ascii="Arial" w:hAnsi="Arial" w:cs="Arial"/>
          <w:i/>
          <w:iCs/>
          <w:sz w:val="22"/>
        </w:rPr>
        <w:t>26</w:t>
      </w:r>
      <w:r>
        <w:rPr>
          <w:rFonts w:ascii="Arial" w:hAnsi="Arial" w:cs="Arial"/>
          <w:sz w:val="22"/>
        </w:rPr>
        <w:t xml:space="preserve">(2), pp.11-26. </w:t>
      </w:r>
      <w:hyperlink r:id="rId33" w:history="1">
        <w:r>
          <w:rPr>
            <w:rStyle w:val="Hyperlink"/>
            <w:rFonts w:ascii="Arial" w:hAnsi="Arial" w:cs="Arial"/>
            <w:color w:val="auto"/>
            <w:sz w:val="22"/>
          </w:rPr>
          <w:t>https://doi.org/10.30857/2786-5371.2025.2.1</w:t>
        </w:r>
      </w:hyperlink>
      <w:r>
        <w:rPr>
          <w:rFonts w:ascii="Arial" w:hAnsi="Arial" w:cs="Arial"/>
          <w:sz w:val="22"/>
        </w:rPr>
        <w:t xml:space="preserve"> </w:t>
      </w:r>
    </w:p>
    <w:p w14:paraId="6D3B5DD2" w14:textId="77777777" w:rsidR="00DB2F4B" w:rsidRDefault="00507DA5">
      <w:pPr>
        <w:ind w:left="720" w:hanging="720"/>
      </w:pPr>
      <w:proofErr w:type="spellStart"/>
      <w:r>
        <w:rPr>
          <w:rFonts w:ascii="Arial" w:hAnsi="Arial" w:cs="Arial"/>
          <w:sz w:val="22"/>
        </w:rPr>
        <w:t>Volodzkiene</w:t>
      </w:r>
      <w:proofErr w:type="spellEnd"/>
      <w:r>
        <w:rPr>
          <w:rFonts w:ascii="Arial" w:hAnsi="Arial" w:cs="Arial"/>
          <w:sz w:val="22"/>
        </w:rPr>
        <w:t xml:space="preserve">, L. and </w:t>
      </w:r>
      <w:proofErr w:type="spellStart"/>
      <w:r>
        <w:rPr>
          <w:rFonts w:ascii="Arial" w:hAnsi="Arial" w:cs="Arial"/>
          <w:sz w:val="22"/>
        </w:rPr>
        <w:t>Streimikiene</w:t>
      </w:r>
      <w:proofErr w:type="spellEnd"/>
      <w:r>
        <w:rPr>
          <w:rFonts w:ascii="Arial" w:hAnsi="Arial" w:cs="Arial"/>
          <w:sz w:val="22"/>
        </w:rPr>
        <w:t>, D. (2023). Energy inequality indicators: a comprehensive review for exploring ways to reduce inequality. </w:t>
      </w:r>
      <w:r>
        <w:rPr>
          <w:rFonts w:ascii="Arial" w:hAnsi="Arial" w:cs="Arial"/>
          <w:i/>
          <w:iCs/>
          <w:sz w:val="22"/>
        </w:rPr>
        <w:t>Energies</w:t>
      </w:r>
      <w:r>
        <w:rPr>
          <w:rFonts w:ascii="Arial" w:hAnsi="Arial" w:cs="Arial"/>
          <w:sz w:val="22"/>
        </w:rPr>
        <w:t>, </w:t>
      </w:r>
      <w:r>
        <w:rPr>
          <w:rFonts w:ascii="Arial" w:hAnsi="Arial" w:cs="Arial"/>
          <w:i/>
          <w:iCs/>
          <w:sz w:val="22"/>
        </w:rPr>
        <w:t>16</w:t>
      </w:r>
      <w:r>
        <w:rPr>
          <w:rFonts w:ascii="Arial" w:hAnsi="Arial" w:cs="Arial"/>
          <w:sz w:val="22"/>
        </w:rPr>
        <w:t xml:space="preserve">(16), p.6075. </w:t>
      </w:r>
      <w:hyperlink r:id="rId34" w:history="1">
        <w:r>
          <w:rPr>
            <w:rStyle w:val="Hyperlink"/>
            <w:rFonts w:ascii="Arial" w:hAnsi="Arial" w:cs="Arial"/>
            <w:color w:val="auto"/>
            <w:sz w:val="22"/>
          </w:rPr>
          <w:t>https://doi.org/10.3390/en16166075</w:t>
        </w:r>
      </w:hyperlink>
      <w:r>
        <w:rPr>
          <w:rFonts w:ascii="Arial" w:hAnsi="Arial" w:cs="Arial"/>
          <w:sz w:val="22"/>
        </w:rPr>
        <w:t xml:space="preserve"> </w:t>
      </w:r>
    </w:p>
    <w:p w14:paraId="6D3B5DD3" w14:textId="77777777" w:rsidR="00DB2F4B" w:rsidRDefault="00507DA5">
      <w:pPr>
        <w:ind w:left="720" w:hanging="720"/>
      </w:pPr>
      <w:r>
        <w:rPr>
          <w:rFonts w:ascii="Arial" w:hAnsi="Arial" w:cs="Arial"/>
          <w:sz w:val="22"/>
        </w:rPr>
        <w:t>Warner, M. and Zaranko, B. (2024). </w:t>
      </w:r>
      <w:r>
        <w:rPr>
          <w:rFonts w:ascii="Arial" w:hAnsi="Arial" w:cs="Arial"/>
          <w:i/>
          <w:iCs/>
          <w:sz w:val="22"/>
        </w:rPr>
        <w:t>The past and future of NHS waiting lists in England</w:t>
      </w:r>
      <w:r>
        <w:rPr>
          <w:rFonts w:ascii="Arial" w:hAnsi="Arial" w:cs="Arial"/>
          <w:sz w:val="22"/>
        </w:rPr>
        <w:t xml:space="preserve"> (No. R302). IFS Report. </w:t>
      </w:r>
      <w:hyperlink r:id="rId35" w:history="1">
        <w:r>
          <w:rPr>
            <w:rStyle w:val="Hyperlink"/>
            <w:rFonts w:ascii="Arial" w:hAnsi="Arial" w:cs="Arial"/>
            <w:color w:val="auto"/>
            <w:sz w:val="22"/>
          </w:rPr>
          <w:t>https://doi.org/10.1920/re.ifs.2024.0302</w:t>
        </w:r>
      </w:hyperlink>
      <w:r>
        <w:rPr>
          <w:rFonts w:ascii="Arial" w:hAnsi="Arial" w:cs="Arial"/>
          <w:sz w:val="22"/>
        </w:rPr>
        <w:t xml:space="preserve"> </w:t>
      </w:r>
    </w:p>
    <w:p w14:paraId="6D3B5DD4" w14:textId="77777777" w:rsidR="00DB2F4B" w:rsidRDefault="00507DA5">
      <w:pPr>
        <w:ind w:left="720" w:hanging="720"/>
      </w:pPr>
      <w:r>
        <w:rPr>
          <w:rFonts w:ascii="Arial" w:hAnsi="Arial" w:cs="Arial"/>
          <w:sz w:val="22"/>
        </w:rPr>
        <w:t xml:space="preserve">Watkins, D.A., Danforth, K., Ahmed, S., Chisholm, D., Cieza, A., </w:t>
      </w:r>
      <w:proofErr w:type="spellStart"/>
      <w:r>
        <w:rPr>
          <w:rFonts w:ascii="Arial" w:hAnsi="Arial" w:cs="Arial"/>
          <w:sz w:val="22"/>
        </w:rPr>
        <w:t>Iunes</w:t>
      </w:r>
      <w:proofErr w:type="spellEnd"/>
      <w:r>
        <w:rPr>
          <w:rFonts w:ascii="Arial" w:hAnsi="Arial" w:cs="Arial"/>
          <w:sz w:val="22"/>
        </w:rPr>
        <w:t xml:space="preserve">, R., Kumar, A., </w:t>
      </w:r>
      <w:proofErr w:type="spellStart"/>
      <w:r>
        <w:rPr>
          <w:rFonts w:ascii="Arial" w:hAnsi="Arial" w:cs="Arial"/>
          <w:sz w:val="22"/>
        </w:rPr>
        <w:t>Kutzin</w:t>
      </w:r>
      <w:proofErr w:type="spellEnd"/>
      <w:r>
        <w:rPr>
          <w:rFonts w:ascii="Arial" w:hAnsi="Arial" w:cs="Arial"/>
          <w:sz w:val="22"/>
        </w:rPr>
        <w:t xml:space="preserve">, J., Luong, J., </w:t>
      </w:r>
      <w:proofErr w:type="spellStart"/>
      <w:r>
        <w:rPr>
          <w:rFonts w:ascii="Arial" w:hAnsi="Arial" w:cs="Arial"/>
          <w:sz w:val="22"/>
        </w:rPr>
        <w:t>Meessen</w:t>
      </w:r>
      <w:proofErr w:type="spellEnd"/>
      <w:r>
        <w:rPr>
          <w:rFonts w:ascii="Arial" w:hAnsi="Arial" w:cs="Arial"/>
          <w:sz w:val="22"/>
        </w:rPr>
        <w:t>, B. and Meheus, F. (2025). Financing policies to sustain improved prevention, control, and management of non-communicable diseases and mental health conditions. </w:t>
      </w:r>
      <w:r>
        <w:rPr>
          <w:rFonts w:ascii="Arial" w:hAnsi="Arial" w:cs="Arial"/>
          <w:i/>
          <w:iCs/>
          <w:sz w:val="22"/>
        </w:rPr>
        <w:t>The Lancet Global Health</w:t>
      </w:r>
      <w:r>
        <w:rPr>
          <w:rFonts w:ascii="Arial" w:hAnsi="Arial" w:cs="Arial"/>
          <w:sz w:val="22"/>
        </w:rPr>
        <w:t>, </w:t>
      </w:r>
      <w:r>
        <w:rPr>
          <w:rFonts w:ascii="Arial" w:hAnsi="Arial" w:cs="Arial"/>
          <w:i/>
          <w:iCs/>
          <w:sz w:val="22"/>
        </w:rPr>
        <w:t>13</w:t>
      </w:r>
      <w:r>
        <w:rPr>
          <w:rFonts w:ascii="Arial" w:hAnsi="Arial" w:cs="Arial"/>
          <w:sz w:val="22"/>
        </w:rPr>
        <w:t xml:space="preserve">(11), </w:t>
      </w:r>
      <w:proofErr w:type="gramStart"/>
      <w:r>
        <w:rPr>
          <w:rFonts w:ascii="Arial" w:hAnsi="Arial" w:cs="Arial"/>
          <w:sz w:val="22"/>
        </w:rPr>
        <w:t>pp.e</w:t>
      </w:r>
      <w:proofErr w:type="gramEnd"/>
      <w:r>
        <w:rPr>
          <w:rFonts w:ascii="Arial" w:hAnsi="Arial" w:cs="Arial"/>
          <w:sz w:val="22"/>
        </w:rPr>
        <w:t xml:space="preserve">1973-e1982. </w:t>
      </w:r>
      <w:hyperlink r:id="rId36" w:history="1">
        <w:r>
          <w:rPr>
            <w:rStyle w:val="Hyperlink"/>
            <w:rFonts w:ascii="Arial" w:hAnsi="Arial" w:cs="Arial"/>
            <w:color w:val="auto"/>
            <w:sz w:val="22"/>
          </w:rPr>
          <w:t>https://doi.org/10.1016/</w:t>
        </w:r>
        <w:bookmarkStart w:id="19" w:name="_Hlt234874229"/>
        <w:bookmarkStart w:id="20" w:name="_Hlt234874230"/>
        <w:r>
          <w:rPr>
            <w:rStyle w:val="Hyperlink"/>
            <w:rFonts w:ascii="Arial" w:hAnsi="Arial" w:cs="Arial"/>
            <w:color w:val="auto"/>
            <w:sz w:val="22"/>
          </w:rPr>
          <w:t>S</w:t>
        </w:r>
        <w:bookmarkEnd w:id="19"/>
        <w:bookmarkEnd w:id="20"/>
        <w:r>
          <w:rPr>
            <w:rStyle w:val="Hyperlink"/>
            <w:rFonts w:ascii="Arial" w:hAnsi="Arial" w:cs="Arial"/>
            <w:color w:val="auto"/>
            <w:sz w:val="22"/>
          </w:rPr>
          <w:t>2214-109X(25)00347-X</w:t>
        </w:r>
      </w:hyperlink>
      <w:r>
        <w:rPr>
          <w:rFonts w:ascii="Arial" w:hAnsi="Arial" w:cs="Arial"/>
          <w:sz w:val="22"/>
        </w:rPr>
        <w:t xml:space="preserve"> </w:t>
      </w:r>
    </w:p>
    <w:p w14:paraId="6D3B5DD5" w14:textId="77777777" w:rsidR="00DB2F4B" w:rsidRDefault="00507DA5">
      <w:pPr>
        <w:ind w:left="720" w:hanging="720"/>
      </w:pPr>
      <w:r>
        <w:rPr>
          <w:rFonts w:ascii="Arial" w:hAnsi="Arial" w:cs="Arial"/>
          <w:sz w:val="22"/>
        </w:rPr>
        <w:t>World Health Organization (2022a). </w:t>
      </w:r>
      <w:r>
        <w:rPr>
          <w:rFonts w:ascii="Arial" w:hAnsi="Arial" w:cs="Arial"/>
          <w:i/>
          <w:iCs/>
          <w:sz w:val="22"/>
        </w:rPr>
        <w:t>Global spending on health: rising to the pandemic’s challenges</w:t>
      </w:r>
      <w:r>
        <w:rPr>
          <w:rFonts w:ascii="Arial" w:hAnsi="Arial" w:cs="Arial"/>
          <w:sz w:val="22"/>
        </w:rPr>
        <w:t xml:space="preserve">. World Health Organization. </w:t>
      </w:r>
    </w:p>
    <w:p w14:paraId="6D3B5DD6" w14:textId="77777777" w:rsidR="00DB2F4B" w:rsidRDefault="00507DA5">
      <w:pPr>
        <w:ind w:left="720" w:hanging="720"/>
      </w:pPr>
      <w:r>
        <w:rPr>
          <w:rFonts w:ascii="Arial" w:hAnsi="Arial" w:cs="Arial"/>
          <w:sz w:val="22"/>
        </w:rPr>
        <w:t>World Health Organization (2022b). </w:t>
      </w:r>
      <w:r>
        <w:rPr>
          <w:rFonts w:ascii="Arial" w:hAnsi="Arial" w:cs="Arial"/>
          <w:i/>
          <w:iCs/>
          <w:sz w:val="22"/>
        </w:rPr>
        <w:t>World mental health report: Transforming mental health for all</w:t>
      </w:r>
      <w:r>
        <w:rPr>
          <w:rFonts w:ascii="Arial" w:hAnsi="Arial" w:cs="Arial"/>
          <w:sz w:val="22"/>
        </w:rPr>
        <w:t xml:space="preserve">. World Health Organization. </w:t>
      </w:r>
    </w:p>
    <w:p w14:paraId="6D3B5DD7" w14:textId="77777777" w:rsidR="00DB2F4B" w:rsidRDefault="00507DA5">
      <w:pPr>
        <w:ind w:left="720" w:hanging="720"/>
      </w:pPr>
      <w:r>
        <w:rPr>
          <w:rFonts w:ascii="Arial" w:hAnsi="Arial" w:cs="Arial"/>
          <w:sz w:val="22"/>
          <w:lang w:val="en-US"/>
        </w:rPr>
        <w:t xml:space="preserve">World Health Organization. (2013). </w:t>
      </w:r>
      <w:r>
        <w:rPr>
          <w:rFonts w:ascii="Arial" w:hAnsi="Arial" w:cs="Arial"/>
          <w:i/>
          <w:iCs/>
          <w:sz w:val="22"/>
          <w:lang w:val="en-US"/>
        </w:rPr>
        <w:t>Comprehensive Mental Health Action Plan 2013–2020</w:t>
      </w:r>
      <w:r>
        <w:rPr>
          <w:rFonts w:ascii="Arial" w:hAnsi="Arial" w:cs="Arial"/>
          <w:sz w:val="22"/>
          <w:lang w:val="en-US"/>
        </w:rPr>
        <w:t xml:space="preserve">. </w:t>
      </w:r>
      <w:hyperlink r:id="rId37" w:history="1">
        <w:r>
          <w:rPr>
            <w:rStyle w:val="Hyperlink"/>
            <w:rFonts w:ascii="Arial" w:hAnsi="Arial" w:cs="Arial"/>
            <w:color w:val="auto"/>
            <w:sz w:val="22"/>
            <w:lang w:val="en-US"/>
          </w:rPr>
          <w:t>https://www.emro.who.int/emhj-volume-21-2015/volume-21-issue-7/comprehensive-mental-health-action-plan-20132020.html</w:t>
        </w:r>
      </w:hyperlink>
      <w:r>
        <w:rPr>
          <w:rFonts w:ascii="Arial" w:hAnsi="Arial" w:cs="Arial"/>
          <w:sz w:val="22"/>
          <w:lang w:val="en-US"/>
        </w:rPr>
        <w:t xml:space="preserve"> </w:t>
      </w:r>
      <w:r>
        <w:rPr>
          <w:rFonts w:ascii="Arial" w:hAnsi="Arial" w:cs="Arial"/>
          <w:sz w:val="22"/>
        </w:rPr>
        <w:t>(Accessed: 16 June 2026).</w:t>
      </w:r>
    </w:p>
    <w:p w14:paraId="6D3B5DD8" w14:textId="77777777" w:rsidR="00DB2F4B" w:rsidRDefault="00507DA5">
      <w:pPr>
        <w:ind w:left="720" w:hanging="720"/>
      </w:pPr>
      <w:r>
        <w:rPr>
          <w:rFonts w:ascii="Arial" w:hAnsi="Arial" w:cs="Arial"/>
          <w:sz w:val="22"/>
          <w:lang w:val="en-US"/>
        </w:rPr>
        <w:t xml:space="preserve">World Health Organization. (2025). </w:t>
      </w:r>
      <w:r>
        <w:rPr>
          <w:rFonts w:ascii="Arial" w:hAnsi="Arial" w:cs="Arial"/>
          <w:i/>
          <w:iCs/>
          <w:sz w:val="22"/>
          <w:lang w:val="en-US"/>
        </w:rPr>
        <w:t>Universal Health Coverage (UHC)</w:t>
      </w:r>
      <w:r>
        <w:rPr>
          <w:rFonts w:ascii="Arial" w:hAnsi="Arial" w:cs="Arial"/>
          <w:sz w:val="22"/>
          <w:lang w:val="en-US"/>
        </w:rPr>
        <w:t xml:space="preserve">. </w:t>
      </w:r>
      <w:hyperlink r:id="rId38" w:history="1">
        <w:r>
          <w:rPr>
            <w:rStyle w:val="Hyperlink"/>
            <w:rFonts w:ascii="Arial" w:hAnsi="Arial" w:cs="Arial"/>
            <w:color w:val="auto"/>
            <w:sz w:val="22"/>
            <w:lang w:val="en-US"/>
          </w:rPr>
          <w:t>https://www.who.int/news-room/fact-sheets/detail/universal-health-coverage-(uhc)</w:t>
        </w:r>
      </w:hyperlink>
      <w:r>
        <w:rPr>
          <w:rFonts w:ascii="Arial" w:hAnsi="Arial" w:cs="Arial"/>
          <w:sz w:val="22"/>
          <w:lang w:val="en-US"/>
        </w:rPr>
        <w:t xml:space="preserve"> </w:t>
      </w:r>
      <w:r>
        <w:rPr>
          <w:rFonts w:ascii="Arial" w:hAnsi="Arial" w:cs="Arial"/>
          <w:sz w:val="22"/>
        </w:rPr>
        <w:t>(Accessed: 16 June 2026).</w:t>
      </w:r>
    </w:p>
    <w:p w14:paraId="6D3B5DD9" w14:textId="77777777" w:rsidR="00DB2F4B" w:rsidRDefault="00507DA5">
      <w:pPr>
        <w:ind w:left="720" w:hanging="720"/>
      </w:pPr>
      <w:proofErr w:type="spellStart"/>
      <w:r>
        <w:rPr>
          <w:rFonts w:ascii="Arial" w:hAnsi="Arial" w:cs="Arial"/>
          <w:sz w:val="22"/>
        </w:rPr>
        <w:t>Yenet</w:t>
      </w:r>
      <w:proofErr w:type="spellEnd"/>
      <w:r>
        <w:rPr>
          <w:rFonts w:ascii="Arial" w:hAnsi="Arial" w:cs="Arial"/>
          <w:sz w:val="22"/>
        </w:rPr>
        <w:t xml:space="preserve">, A., </w:t>
      </w:r>
      <w:proofErr w:type="spellStart"/>
      <w:r>
        <w:rPr>
          <w:rFonts w:ascii="Arial" w:hAnsi="Arial" w:cs="Arial"/>
          <w:sz w:val="22"/>
        </w:rPr>
        <w:t>Nibret</w:t>
      </w:r>
      <w:proofErr w:type="spellEnd"/>
      <w:r>
        <w:rPr>
          <w:rFonts w:ascii="Arial" w:hAnsi="Arial" w:cs="Arial"/>
          <w:sz w:val="22"/>
        </w:rPr>
        <w:t>, G. and Tegegne, B.A. (2023). Challenges to the availability and affordability of essential medicines in African countries: a scoping review. </w:t>
      </w:r>
      <w:proofErr w:type="spellStart"/>
      <w:r>
        <w:rPr>
          <w:rFonts w:ascii="Arial" w:hAnsi="Arial" w:cs="Arial"/>
          <w:i/>
          <w:iCs/>
          <w:sz w:val="22"/>
        </w:rPr>
        <w:t>ClinicoEconomics</w:t>
      </w:r>
      <w:proofErr w:type="spellEnd"/>
      <w:r>
        <w:rPr>
          <w:rFonts w:ascii="Arial" w:hAnsi="Arial" w:cs="Arial"/>
          <w:i/>
          <w:iCs/>
          <w:sz w:val="22"/>
        </w:rPr>
        <w:t xml:space="preserve"> and outcomes research</w:t>
      </w:r>
      <w:r>
        <w:rPr>
          <w:rFonts w:ascii="Arial" w:hAnsi="Arial" w:cs="Arial"/>
          <w:sz w:val="22"/>
        </w:rPr>
        <w:t xml:space="preserve">, pp.443-458. </w:t>
      </w:r>
      <w:hyperlink r:id="rId39" w:history="1">
        <w:r>
          <w:rPr>
            <w:rStyle w:val="Hyperlink"/>
            <w:rFonts w:ascii="Arial" w:hAnsi="Arial" w:cs="Arial"/>
            <w:color w:val="auto"/>
            <w:sz w:val="22"/>
          </w:rPr>
          <w:t>https://doi.org/10.2147/CEOR.S413546</w:t>
        </w:r>
      </w:hyperlink>
      <w:r>
        <w:rPr>
          <w:rFonts w:ascii="Arial" w:hAnsi="Arial" w:cs="Arial"/>
          <w:sz w:val="22"/>
        </w:rPr>
        <w:t xml:space="preserve"> </w:t>
      </w:r>
    </w:p>
    <w:p w14:paraId="6D3B5DDA" w14:textId="77777777" w:rsidR="00DB2F4B" w:rsidRDefault="00DB2F4B">
      <w:pPr>
        <w:ind w:left="720" w:hanging="720"/>
        <w:rPr>
          <w:rFonts w:ascii="Arial" w:hAnsi="Arial" w:cs="Arial"/>
          <w:sz w:val="22"/>
        </w:rPr>
      </w:pPr>
    </w:p>
    <w:p w14:paraId="6D3B5DDB" w14:textId="77777777" w:rsidR="00DB2F4B" w:rsidRDefault="00DB2F4B">
      <w:pPr>
        <w:rPr>
          <w:rFonts w:ascii="Arial" w:hAnsi="Arial" w:cs="Arial"/>
          <w:sz w:val="22"/>
        </w:rPr>
      </w:pPr>
    </w:p>
    <w:sectPr w:rsidR="00DB2F4B">
      <w:footerReference w:type="default" r:id="rId4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F190A" w14:textId="77777777" w:rsidR="004A7515" w:rsidRDefault="004A7515">
      <w:pPr>
        <w:spacing w:after="0" w:line="240" w:lineRule="auto"/>
      </w:pPr>
      <w:r>
        <w:separator/>
      </w:r>
    </w:p>
  </w:endnote>
  <w:endnote w:type="continuationSeparator" w:id="0">
    <w:p w14:paraId="5F930275" w14:textId="77777777" w:rsidR="004A7515" w:rsidRDefault="004A7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B5D6C" w14:textId="77777777" w:rsidR="00507DA5" w:rsidRDefault="00507DA5">
    <w:pPr>
      <w:pStyle w:val="Footer"/>
      <w:pBdr>
        <w:top w:val="single" w:sz="4" w:space="1" w:color="D9D9D9"/>
      </w:pBdr>
    </w:pPr>
    <w:r>
      <w:rPr>
        <w:b/>
        <w:bCs/>
      </w:rPr>
      <w:fldChar w:fldCharType="begin"/>
    </w:r>
    <w:r>
      <w:rPr>
        <w:b/>
        <w:bCs/>
      </w:rPr>
      <w:instrText xml:space="preserve"> PAGE </w:instrText>
    </w:r>
    <w:r>
      <w:rPr>
        <w:b/>
        <w:bCs/>
      </w:rPr>
      <w:fldChar w:fldCharType="separate"/>
    </w:r>
    <w:r>
      <w:rPr>
        <w:b/>
        <w:bCs/>
      </w:rPr>
      <w:t>2</w:t>
    </w:r>
    <w:r>
      <w:rPr>
        <w:b/>
        <w:bCs/>
      </w:rPr>
      <w:fldChar w:fldCharType="end"/>
    </w:r>
    <w:r>
      <w:rPr>
        <w:b/>
        <w:bCs/>
      </w:rPr>
      <w:t xml:space="preserve"> | </w:t>
    </w:r>
    <w:r>
      <w:rPr>
        <w:color w:val="7F7F7F"/>
        <w:spacing w:val="60"/>
      </w:rPr>
      <w:t>Page</w:t>
    </w:r>
  </w:p>
  <w:p w14:paraId="6D3B5D6D" w14:textId="77777777" w:rsidR="00507DA5" w:rsidRDefault="00507D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27B60C" w14:textId="77777777" w:rsidR="004A7515" w:rsidRDefault="004A7515">
      <w:pPr>
        <w:spacing w:after="0" w:line="240" w:lineRule="auto"/>
      </w:pPr>
      <w:r>
        <w:rPr>
          <w:color w:val="000000"/>
        </w:rPr>
        <w:separator/>
      </w:r>
    </w:p>
  </w:footnote>
  <w:footnote w:type="continuationSeparator" w:id="0">
    <w:p w14:paraId="4DA385C3" w14:textId="77777777" w:rsidR="004A7515" w:rsidRDefault="004A75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2F4B"/>
    <w:rsid w:val="001C550A"/>
    <w:rsid w:val="00261DE9"/>
    <w:rsid w:val="002A365B"/>
    <w:rsid w:val="002C7C3F"/>
    <w:rsid w:val="004A7515"/>
    <w:rsid w:val="00507DA5"/>
    <w:rsid w:val="00DB2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B5D64"/>
  <w15:docId w15:val="{67FF2D66-BC52-4BAC-975A-381F0FCCC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hAnsi="Times New Roman"/>
      <w:kern w:val="0"/>
      <w:szCs w:val="22"/>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kern w:val="3"/>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kern w:val="3"/>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ascii="Aptos" w:eastAsia="Times New Roman" w:hAnsi="Aptos"/>
      <w:color w:val="0F4761"/>
      <w:kern w:val="3"/>
      <w:sz w:val="28"/>
      <w:szCs w:val="28"/>
    </w:rPr>
  </w:style>
  <w:style w:type="paragraph" w:styleId="Heading4">
    <w:name w:val="heading 4"/>
    <w:basedOn w:val="Normal"/>
    <w:next w:val="Normal"/>
    <w:uiPriority w:val="9"/>
    <w:semiHidden/>
    <w:unhideWhenUsed/>
    <w:qFormat/>
    <w:pPr>
      <w:keepNext/>
      <w:keepLines/>
      <w:spacing w:before="80" w:after="40"/>
      <w:outlineLvl w:val="3"/>
    </w:pPr>
    <w:rPr>
      <w:rFonts w:ascii="Aptos" w:eastAsia="Times New Roman" w:hAnsi="Aptos"/>
      <w:i/>
      <w:iCs/>
      <w:color w:val="0F4761"/>
      <w:kern w:val="3"/>
      <w:szCs w:val="24"/>
    </w:rPr>
  </w:style>
  <w:style w:type="paragraph" w:styleId="Heading5">
    <w:name w:val="heading 5"/>
    <w:basedOn w:val="Normal"/>
    <w:next w:val="Normal"/>
    <w:uiPriority w:val="9"/>
    <w:semiHidden/>
    <w:unhideWhenUsed/>
    <w:qFormat/>
    <w:pPr>
      <w:keepNext/>
      <w:keepLines/>
      <w:spacing w:before="80" w:after="40"/>
      <w:outlineLvl w:val="4"/>
    </w:pPr>
    <w:rPr>
      <w:rFonts w:ascii="Aptos" w:eastAsia="Times New Roman" w:hAnsi="Aptos"/>
      <w:color w:val="0F4761"/>
      <w:kern w:val="3"/>
      <w:szCs w:val="24"/>
    </w:rPr>
  </w:style>
  <w:style w:type="paragraph" w:styleId="Heading6">
    <w:name w:val="heading 6"/>
    <w:basedOn w:val="Normal"/>
    <w:next w:val="Normal"/>
    <w:uiPriority w:val="9"/>
    <w:semiHidden/>
    <w:unhideWhenUsed/>
    <w:qFormat/>
    <w:pPr>
      <w:keepNext/>
      <w:keepLines/>
      <w:spacing w:before="40" w:after="0"/>
      <w:outlineLvl w:val="5"/>
    </w:pPr>
    <w:rPr>
      <w:rFonts w:ascii="Aptos" w:eastAsia="Times New Roman" w:hAnsi="Aptos"/>
      <w:i/>
      <w:iCs/>
      <w:color w:val="595959"/>
      <w:kern w:val="3"/>
      <w:szCs w:val="24"/>
    </w:rPr>
  </w:style>
  <w:style w:type="paragraph" w:styleId="Heading7">
    <w:name w:val="heading 7"/>
    <w:basedOn w:val="Normal"/>
    <w:next w:val="Normal"/>
    <w:pPr>
      <w:keepNext/>
      <w:keepLines/>
      <w:spacing w:before="40" w:after="0"/>
      <w:outlineLvl w:val="6"/>
    </w:pPr>
    <w:rPr>
      <w:rFonts w:ascii="Aptos" w:eastAsia="Times New Roman" w:hAnsi="Aptos"/>
      <w:color w:val="595959"/>
      <w:kern w:val="3"/>
      <w:szCs w:val="24"/>
    </w:rPr>
  </w:style>
  <w:style w:type="paragraph" w:styleId="Heading8">
    <w:name w:val="heading 8"/>
    <w:basedOn w:val="Normal"/>
    <w:next w:val="Normal"/>
    <w:pPr>
      <w:keepNext/>
      <w:keepLines/>
      <w:spacing w:after="0"/>
      <w:outlineLvl w:val="7"/>
    </w:pPr>
    <w:rPr>
      <w:rFonts w:ascii="Aptos" w:eastAsia="Times New Roman" w:hAnsi="Aptos"/>
      <w:i/>
      <w:iCs/>
      <w:color w:val="272727"/>
      <w:kern w:val="3"/>
      <w:szCs w:val="24"/>
    </w:rPr>
  </w:style>
  <w:style w:type="paragraph" w:styleId="Heading9">
    <w:name w:val="heading 9"/>
    <w:basedOn w:val="Normal"/>
    <w:next w:val="Normal"/>
    <w:pPr>
      <w:keepNext/>
      <w:keepLines/>
      <w:spacing w:after="0"/>
      <w:outlineLvl w:val="8"/>
    </w:pPr>
    <w:rPr>
      <w:rFonts w:ascii="Aptos" w:eastAsia="Times New Roman" w:hAnsi="Aptos"/>
      <w:color w:val="272727"/>
      <w:kern w:val="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kern w:val="3"/>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ascii="Aptos" w:eastAsia="Times New Roman" w:hAnsi="Aptos"/>
      <w:color w:val="595959"/>
      <w:spacing w:val="15"/>
      <w:kern w:val="3"/>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rFonts w:ascii="Aptos" w:hAnsi="Aptos"/>
      <w:i/>
      <w:iCs/>
      <w:color w:val="404040"/>
      <w:kern w:val="3"/>
      <w:szCs w:val="24"/>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rPr>
      <w:rFonts w:ascii="Aptos" w:hAnsi="Aptos"/>
      <w:kern w:val="3"/>
      <w:szCs w:val="24"/>
    </w:r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rFonts w:ascii="Aptos" w:hAnsi="Aptos"/>
      <w:i/>
      <w:iCs/>
      <w:color w:val="0F4761"/>
      <w:kern w:val="3"/>
      <w:szCs w:val="24"/>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680"/>
        <w:tab w:val="right" w:pos="9360"/>
      </w:tabs>
      <w:spacing w:after="0" w:line="240" w:lineRule="auto"/>
    </w:pPr>
  </w:style>
  <w:style w:type="character" w:customStyle="1" w:styleId="HeaderChar">
    <w:name w:val="Header Char"/>
    <w:basedOn w:val="DefaultParagraphFont"/>
    <w:rPr>
      <w:rFonts w:ascii="Times New Roman" w:hAnsi="Times New Roman"/>
      <w:kern w:val="0"/>
      <w:szCs w:val="22"/>
    </w:rPr>
  </w:style>
  <w:style w:type="paragraph" w:styleId="Footer">
    <w:name w:val="footer"/>
    <w:basedOn w:val="Normal"/>
    <w:pPr>
      <w:tabs>
        <w:tab w:val="center" w:pos="4680"/>
        <w:tab w:val="right" w:pos="9360"/>
      </w:tabs>
      <w:spacing w:after="0" w:line="240" w:lineRule="auto"/>
    </w:pPr>
  </w:style>
  <w:style w:type="character" w:customStyle="1" w:styleId="FooterChar">
    <w:name w:val="Footer Char"/>
    <w:basedOn w:val="DefaultParagraphFont"/>
    <w:rPr>
      <w:rFonts w:ascii="Times New Roman" w:hAnsi="Times New Roman"/>
      <w:kern w:val="0"/>
      <w:szCs w:val="22"/>
    </w:rPr>
  </w:style>
  <w:style w:type="character" w:styleId="Hyperlink">
    <w:name w:val="Hyperlink"/>
    <w:basedOn w:val="DefaultParagraphFont"/>
    <w:uiPriority w:val="99"/>
    <w:rPr>
      <w:color w:val="467886"/>
      <w:u w:val="single"/>
    </w:rPr>
  </w:style>
  <w:style w:type="paragraph" w:styleId="TOCHeading">
    <w:name w:val="TOC Heading"/>
    <w:basedOn w:val="Heading1"/>
    <w:next w:val="Normal"/>
    <w:pPr>
      <w:spacing w:before="240" w:after="0" w:line="251" w:lineRule="auto"/>
    </w:pPr>
    <w:rPr>
      <w:kern w:val="0"/>
      <w:sz w:val="32"/>
      <w:szCs w:val="32"/>
      <w:lang w:val="en-US"/>
    </w:rPr>
  </w:style>
  <w:style w:type="paragraph" w:styleId="TOC1">
    <w:name w:val="toc 1"/>
    <w:basedOn w:val="Normal"/>
    <w:next w:val="Normal"/>
    <w:autoRedefine/>
    <w:uiPriority w:val="39"/>
    <w:pPr>
      <w:spacing w:after="100"/>
    </w:pPr>
  </w:style>
  <w:style w:type="paragraph" w:styleId="TOC2">
    <w:name w:val="toc 2"/>
    <w:basedOn w:val="Normal"/>
    <w:next w:val="Normal"/>
    <w:autoRedefine/>
    <w:uiPriority w:val="39"/>
    <w:pPr>
      <w:spacing w:after="100"/>
      <w:ind w:left="240"/>
    </w:pPr>
  </w:style>
  <w:style w:type="character" w:styleId="FollowedHyperlink">
    <w:name w:val="FollowedHyperlink"/>
    <w:basedOn w:val="DefaultParagraphFont"/>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econstor.eu/handle/10419/282916" TargetMode="External"/><Relationship Id="rId18" Type="http://schemas.openxmlformats.org/officeDocument/2006/relationships/hyperlink" Target="https://doi.org/10.1080/09615768.2024.2381623" TargetMode="External"/><Relationship Id="rId26" Type="http://schemas.openxmlformats.org/officeDocument/2006/relationships/hyperlink" Target="https://doi.org/10.1093/bmb/ldac030" TargetMode="External"/><Relationship Id="rId39" Type="http://schemas.openxmlformats.org/officeDocument/2006/relationships/hyperlink" Target="https://doi.org/10.2147/CEOR.S413546" TargetMode="External"/><Relationship Id="rId21" Type="http://schemas.openxmlformats.org/officeDocument/2006/relationships/hyperlink" Target="https://doi.org/10.12968/pnur.2022.33.2.72" TargetMode="External"/><Relationship Id="rId34" Type="http://schemas.openxmlformats.org/officeDocument/2006/relationships/hyperlink" Target="https://doi.org/10.3390/en16166075" TargetMode="External"/><Relationship Id="rId42" Type="http://schemas.openxmlformats.org/officeDocument/2006/relationships/theme" Target="theme/theme1.xml"/><Relationship Id="rId7" Type="http://schemas.openxmlformats.org/officeDocument/2006/relationships/hyperlink" Target="https://www.gecf.org/Portals/0/xBlog/uploads/2025/10/14/gecf_ec_energy-access-and-development-in-africa--strategic-role-of-natural-gas.pdf" TargetMode="External"/><Relationship Id="rId2" Type="http://schemas.openxmlformats.org/officeDocument/2006/relationships/styles" Target="styles.xml"/><Relationship Id="rId16" Type="http://schemas.openxmlformats.org/officeDocument/2006/relationships/hyperlink" Target="https://www.rcpath.org/static/bf6094b6-2087-45a3-bef230c097d328ae/Letter-to-Medical-Royal-Colleges-and-Faculties-110723-final-WP.pdf" TargetMode="External"/><Relationship Id="rId20" Type="http://schemas.openxmlformats.org/officeDocument/2006/relationships/hyperlink" Target="https://www.gov.uk/government/publications/net-zero-strategy" TargetMode="External"/><Relationship Id="rId29" Type="http://schemas.openxmlformats.org/officeDocument/2006/relationships/hyperlink" Target="https://doi.org/10.1049/stg2.1218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390/en17143512" TargetMode="External"/><Relationship Id="rId24" Type="http://schemas.openxmlformats.org/officeDocument/2006/relationships/hyperlink" Target="https://library.canberra.edu.au/permalink/61ARL_CNB/9qh04q/alma991005093124203996" TargetMode="External"/><Relationship Id="rId32" Type="http://schemas.openxmlformats.org/officeDocument/2006/relationships/hyperlink" Target="https://sdgs.un.org/goals" TargetMode="External"/><Relationship Id="rId37" Type="http://schemas.openxmlformats.org/officeDocument/2006/relationships/hyperlink" Target="https://www.emro.who.int/emhj-volume-21-2015/volume-21-issue-7/comprehensive-mental-health-action-plan-20132020.html"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taylorfrancis.com/chapters/edit/10.4324/9781003281672-16/social-policy-community-based-approach-david-donnison" TargetMode="External"/><Relationship Id="rId23" Type="http://schemas.openxmlformats.org/officeDocument/2006/relationships/hyperlink" Target="https://doi.org/10.1093/eurpub/ckae058" TargetMode="External"/><Relationship Id="rId28" Type="http://schemas.openxmlformats.org/officeDocument/2006/relationships/hyperlink" Target="https://doi.org/10.1080/15567249.2023.2272264" TargetMode="External"/><Relationship Id="rId36" Type="http://schemas.openxmlformats.org/officeDocument/2006/relationships/hyperlink" Target="https://doi.org/10.1016/S2214-109X(25)00347-X" TargetMode="External"/><Relationship Id="rId10" Type="http://schemas.openxmlformats.org/officeDocument/2006/relationships/hyperlink" Target="https://spoudai.org/index.php/journal/article/view/556" TargetMode="External"/><Relationship Id="rId19" Type="http://schemas.openxmlformats.org/officeDocument/2006/relationships/hyperlink" Target="https://doi.org/10.1016/B978-0-323-85513-6.00008-6" TargetMode="External"/><Relationship Id="rId31" Type="http://schemas.openxmlformats.org/officeDocument/2006/relationships/hyperlink" Target="https://sdgs.un.org/goals/goal3" TargetMode="External"/><Relationship Id="rId4" Type="http://schemas.openxmlformats.org/officeDocument/2006/relationships/webSettings" Target="webSettings.xml"/><Relationship Id="rId9" Type="http://schemas.openxmlformats.org/officeDocument/2006/relationships/hyperlink" Target="http://dx.doi.org/10.26257/heal.duth.18760" TargetMode="External"/><Relationship Id="rId14" Type="http://schemas.openxmlformats.org/officeDocument/2006/relationships/hyperlink" Target="https://doi.org/10.46344/JBINO.2022.v11i02.13" TargetMode="External"/><Relationship Id="rId22" Type="http://schemas.openxmlformats.org/officeDocument/2006/relationships/hyperlink" Target="https://doi.org/10.1108/IJESM-10-2022-0007" TargetMode="External"/><Relationship Id="rId27" Type="http://schemas.openxmlformats.org/officeDocument/2006/relationships/hyperlink" Target="https://doi.org/10.1007/978-3-031-99713-6_7" TargetMode="External"/><Relationship Id="rId30" Type="http://schemas.openxmlformats.org/officeDocument/2006/relationships/hyperlink" Target="https://doi.org/10.1038/s41560-023-01196-w" TargetMode="External"/><Relationship Id="rId35" Type="http://schemas.openxmlformats.org/officeDocument/2006/relationships/hyperlink" Target="https://doi.org/10.1920/re.ifs.2024.0302" TargetMode="External"/><Relationship Id="rId8" Type="http://schemas.openxmlformats.org/officeDocument/2006/relationships/hyperlink" Target="https://doi.org/10.1002/cl2.1323" TargetMode="External"/><Relationship Id="rId3" Type="http://schemas.openxmlformats.org/officeDocument/2006/relationships/settings" Target="settings.xml"/><Relationship Id="rId12" Type="http://schemas.openxmlformats.org/officeDocument/2006/relationships/hyperlink" Target="https://www.thelancet.com/journals/lanwpc/article/PIIS2666-6065(23)00052-4/fulltext" TargetMode="External"/><Relationship Id="rId17" Type="http://schemas.openxmlformats.org/officeDocument/2006/relationships/hyperlink" Target="https://www.sciencedirect.com/science/article/abs/pii/S030142072300692X" TargetMode="External"/><Relationship Id="rId25" Type="http://schemas.openxmlformats.org/officeDocument/2006/relationships/hyperlink" Target="https://doi.org/10.1126/science.abo3378" TargetMode="External"/><Relationship Id="rId33" Type="http://schemas.openxmlformats.org/officeDocument/2006/relationships/hyperlink" Target="https://doi.org/10.30857/2786-5371.2025.2.1" TargetMode="External"/><Relationship Id="rId38" Type="http://schemas.openxmlformats.org/officeDocument/2006/relationships/hyperlink" Target="https://www.who.int/news-room/fact-sheets/detail/universal-health-coverage-(uh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EF39E-3541-48F6-9976-D93AC89AC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3778</Words>
  <Characters>21536</Characters>
  <Application>Microsoft Office Word</Application>
  <DocSecurity>0</DocSecurity>
  <Lines>179</Lines>
  <Paragraphs>50</Paragraphs>
  <ScaleCrop>false</ScaleCrop>
  <Company/>
  <LinksUpToDate>false</LinksUpToDate>
  <CharactersWithSpaces>25264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Fiquriyah Maflahi (2313052)</dc:creator>
  <dc:description/>
  <cp:lastModifiedBy>Fiquriyah Maflahi (2313052)</cp:lastModifiedBy>
  <cp:revision>3</cp:revision>
  <dcterms:created xsi:type="dcterms:W3CDTF">2026-07-13T22:42:00Z</dcterms:created>
  <dcterms:modified xsi:type="dcterms:W3CDTF">2026-07-13T22:46:00Z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f8da06e3-dd89-44c1-9151-c4e868e9c0b0</vt:lpwstr>
  </property>
</Properties>
</file>