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68EBF" w14:textId="77777777" w:rsidR="00173B71" w:rsidRDefault="00173B71">
      <w:pPr>
        <w:jc w:val="center"/>
        <w:rPr>
          <w:b/>
          <w:sz w:val="32"/>
          <w:szCs w:val="32"/>
        </w:rPr>
      </w:pPr>
    </w:p>
    <w:p w14:paraId="7A7F1E0F" w14:textId="77777777" w:rsidR="00173B71" w:rsidRDefault="00173B71">
      <w:pPr>
        <w:jc w:val="center"/>
        <w:rPr>
          <w:b/>
          <w:sz w:val="32"/>
          <w:szCs w:val="32"/>
        </w:rPr>
      </w:pPr>
    </w:p>
    <w:p w14:paraId="7CBAEB46" w14:textId="608624A1" w:rsidR="00A84C39" w:rsidRPr="00365D79"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LCBB</w:t>
      </w:r>
      <w:r w:rsidRPr="00365D79">
        <w:rPr>
          <w:rFonts w:ascii="Times New Roman" w:eastAsia="Times New Roman" w:hAnsi="Times New Roman" w:cs="Times New Roman"/>
          <w:b/>
          <w:sz w:val="32"/>
          <w:szCs w:val="32"/>
          <w:lang w:val="en-GB"/>
        </w:rPr>
        <w:t xml:space="preserve">6002 </w:t>
      </w:r>
      <w:r>
        <w:rPr>
          <w:rFonts w:ascii="Times New Roman" w:eastAsia="Times New Roman" w:hAnsi="Times New Roman" w:cs="Times New Roman"/>
          <w:b/>
          <w:sz w:val="32"/>
          <w:szCs w:val="32"/>
          <w:lang w:val="en-GB"/>
        </w:rPr>
        <w:t>International</w:t>
      </w:r>
      <w:r w:rsidRPr="00365D79">
        <w:rPr>
          <w:rFonts w:ascii="Times New Roman" w:eastAsia="Times New Roman" w:hAnsi="Times New Roman" w:cs="Times New Roman"/>
          <w:b/>
          <w:sz w:val="32"/>
          <w:szCs w:val="32"/>
          <w:lang w:val="en-GB"/>
        </w:rPr>
        <w:t xml:space="preserve"> Financial Management </w:t>
      </w:r>
    </w:p>
    <w:p w14:paraId="29E0E88C" w14:textId="00A56648" w:rsidR="00A84C39" w:rsidRPr="00365D79"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 xml:space="preserve">Assessment 1 </w:t>
      </w:r>
    </w:p>
    <w:p w14:paraId="3446101D" w14:textId="77777777" w:rsidR="00A84C39" w:rsidRPr="00365D79"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 xml:space="preserve">Lecture: </w:t>
      </w:r>
      <w:proofErr w:type="spellStart"/>
      <w:proofErr w:type="gramStart"/>
      <w:r w:rsidRPr="00365D79">
        <w:rPr>
          <w:rFonts w:ascii="Times New Roman" w:eastAsia="Times New Roman" w:hAnsi="Times New Roman" w:cs="Times New Roman"/>
          <w:b/>
          <w:sz w:val="32"/>
          <w:szCs w:val="32"/>
          <w:lang w:val="en-GB"/>
        </w:rPr>
        <w:t>Dr.Taye</w:t>
      </w:r>
      <w:proofErr w:type="spellEnd"/>
      <w:proofErr w:type="gramEnd"/>
      <w:r w:rsidRPr="00365D79">
        <w:rPr>
          <w:rFonts w:ascii="Times New Roman" w:eastAsia="Times New Roman" w:hAnsi="Times New Roman" w:cs="Times New Roman"/>
          <w:b/>
          <w:sz w:val="32"/>
          <w:szCs w:val="32"/>
          <w:lang w:val="en-GB"/>
        </w:rPr>
        <w:t xml:space="preserve"> Timothy </w:t>
      </w:r>
      <w:proofErr w:type="spellStart"/>
      <w:r w:rsidRPr="00365D79">
        <w:rPr>
          <w:rFonts w:ascii="Times New Roman" w:eastAsia="Times New Roman" w:hAnsi="Times New Roman" w:cs="Times New Roman"/>
          <w:b/>
          <w:sz w:val="32"/>
          <w:szCs w:val="32"/>
          <w:lang w:val="en-GB"/>
        </w:rPr>
        <w:t>Osadiya</w:t>
      </w:r>
      <w:proofErr w:type="spellEnd"/>
    </w:p>
    <w:p w14:paraId="7EE4E66C" w14:textId="77777777" w:rsidR="00A84C39" w:rsidRPr="00365D79"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 xml:space="preserve">Student: Nadya </w:t>
      </w:r>
      <w:proofErr w:type="spellStart"/>
      <w:r w:rsidRPr="00365D79">
        <w:rPr>
          <w:rFonts w:ascii="Times New Roman" w:eastAsia="Times New Roman" w:hAnsi="Times New Roman" w:cs="Times New Roman"/>
          <w:b/>
          <w:sz w:val="32"/>
          <w:szCs w:val="32"/>
          <w:lang w:val="en-GB"/>
        </w:rPr>
        <w:t>Vasileva</w:t>
      </w:r>
      <w:proofErr w:type="spellEnd"/>
    </w:p>
    <w:p w14:paraId="2E68BEC9" w14:textId="77777777" w:rsidR="00A84C39" w:rsidRPr="00365D79"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Student ID: 1908838</w:t>
      </w:r>
    </w:p>
    <w:p w14:paraId="036C011C" w14:textId="77777777" w:rsidR="00A84C39" w:rsidRPr="0014175B" w:rsidRDefault="00A84C39" w:rsidP="00A84C39">
      <w:pPr>
        <w:pStyle w:val="Normal1"/>
        <w:spacing w:line="360" w:lineRule="auto"/>
        <w:jc w:val="center"/>
        <w:rPr>
          <w:rFonts w:ascii="Times New Roman" w:eastAsia="Times New Roman" w:hAnsi="Times New Roman" w:cs="Times New Roman"/>
          <w:b/>
          <w:sz w:val="32"/>
          <w:szCs w:val="32"/>
          <w:lang w:val="en-GB"/>
        </w:rPr>
      </w:pPr>
      <w:r w:rsidRPr="00365D79">
        <w:rPr>
          <w:rFonts w:ascii="Times New Roman" w:eastAsia="Times New Roman" w:hAnsi="Times New Roman" w:cs="Times New Roman"/>
          <w:b/>
          <w:sz w:val="32"/>
          <w:szCs w:val="32"/>
          <w:lang w:val="en-GB"/>
        </w:rPr>
        <w:t>Group 1BAMB</w:t>
      </w:r>
    </w:p>
    <w:p w14:paraId="79B11C35" w14:textId="77777777" w:rsidR="00173B71" w:rsidRDefault="00173B71">
      <w:pPr>
        <w:jc w:val="center"/>
        <w:rPr>
          <w:b/>
          <w:sz w:val="32"/>
          <w:szCs w:val="32"/>
        </w:rPr>
      </w:pPr>
    </w:p>
    <w:p w14:paraId="1A9419B6" w14:textId="77777777" w:rsidR="00173B71" w:rsidRDefault="00173B71">
      <w:pPr>
        <w:jc w:val="center"/>
        <w:rPr>
          <w:b/>
          <w:sz w:val="32"/>
          <w:szCs w:val="32"/>
        </w:rPr>
      </w:pPr>
    </w:p>
    <w:p w14:paraId="3EAB29B8" w14:textId="77777777" w:rsidR="00173B71" w:rsidRDefault="00173B71">
      <w:pPr>
        <w:jc w:val="center"/>
        <w:rPr>
          <w:b/>
          <w:sz w:val="32"/>
          <w:szCs w:val="32"/>
        </w:rPr>
      </w:pPr>
    </w:p>
    <w:p w14:paraId="041CADF9" w14:textId="08AA7BFC" w:rsidR="00173B71" w:rsidRDefault="00C54A4B">
      <w:pPr>
        <w:jc w:val="center"/>
        <w:rPr>
          <w:b/>
          <w:sz w:val="32"/>
          <w:szCs w:val="32"/>
        </w:rPr>
      </w:pPr>
      <w:r>
        <w:br w:type="page"/>
      </w:r>
    </w:p>
    <w:p w14:paraId="5B4AEC5E" w14:textId="77777777" w:rsidR="00173B71" w:rsidRDefault="00C54A4B">
      <w:pPr>
        <w:jc w:val="center"/>
        <w:rPr>
          <w:b/>
        </w:rPr>
      </w:pPr>
      <w:r>
        <w:rPr>
          <w:b/>
        </w:rPr>
        <w:lastRenderedPageBreak/>
        <w:t>Table of Contents</w:t>
      </w:r>
    </w:p>
    <w:p w14:paraId="3A52C9BF" w14:textId="213AD8BF" w:rsidR="00A84C39" w:rsidRDefault="00416689">
      <w:pPr>
        <w:pStyle w:val="TOC1"/>
        <w:tabs>
          <w:tab w:val="right" w:leader="dot" w:pos="9019"/>
        </w:tabs>
        <w:rPr>
          <w:rFonts w:asciiTheme="minorHAnsi" w:eastAsiaTheme="minorEastAsia" w:hAnsiTheme="minorHAnsi" w:cs="Vrinda"/>
          <w:noProof/>
          <w:szCs w:val="30"/>
          <w:lang w:eastAsia="en-GB" w:bidi="bn-IN"/>
        </w:rPr>
      </w:pPr>
      <w:r>
        <w:fldChar w:fldCharType="begin"/>
      </w:r>
      <w:r w:rsidR="007E3FA5">
        <w:instrText xml:space="preserve"> TOC \o "1-3" \h \z \u </w:instrText>
      </w:r>
      <w:r>
        <w:fldChar w:fldCharType="separate"/>
      </w:r>
      <w:hyperlink w:anchor="_Toc100571577" w:history="1">
        <w:r w:rsidR="00A84C39" w:rsidRPr="002B6B47">
          <w:rPr>
            <w:rStyle w:val="Hyperlink"/>
            <w:noProof/>
          </w:rPr>
          <w:t>Introduction</w:t>
        </w:r>
        <w:r w:rsidR="00A84C39">
          <w:rPr>
            <w:noProof/>
            <w:webHidden/>
          </w:rPr>
          <w:tab/>
        </w:r>
        <w:r w:rsidR="00A84C39">
          <w:rPr>
            <w:noProof/>
            <w:webHidden/>
          </w:rPr>
          <w:fldChar w:fldCharType="begin"/>
        </w:r>
        <w:r w:rsidR="00A84C39">
          <w:rPr>
            <w:noProof/>
            <w:webHidden/>
          </w:rPr>
          <w:instrText xml:space="preserve"> PAGEREF _Toc100571577 \h </w:instrText>
        </w:r>
        <w:r w:rsidR="00A84C39">
          <w:rPr>
            <w:noProof/>
            <w:webHidden/>
          </w:rPr>
        </w:r>
        <w:r w:rsidR="00A84C39">
          <w:rPr>
            <w:noProof/>
            <w:webHidden/>
          </w:rPr>
          <w:fldChar w:fldCharType="separate"/>
        </w:r>
        <w:r w:rsidR="00A84C39">
          <w:rPr>
            <w:noProof/>
            <w:webHidden/>
          </w:rPr>
          <w:t>2</w:t>
        </w:r>
        <w:r w:rsidR="00A84C39">
          <w:rPr>
            <w:noProof/>
            <w:webHidden/>
          </w:rPr>
          <w:fldChar w:fldCharType="end"/>
        </w:r>
      </w:hyperlink>
    </w:p>
    <w:p w14:paraId="15128366" w14:textId="6D7A25E3"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78" w:history="1">
        <w:r w:rsidRPr="002B6B47">
          <w:rPr>
            <w:rStyle w:val="Hyperlink"/>
            <w:noProof/>
          </w:rPr>
          <w:t>Dividend Distribution Policy</w:t>
        </w:r>
        <w:r>
          <w:rPr>
            <w:noProof/>
            <w:webHidden/>
          </w:rPr>
          <w:tab/>
        </w:r>
        <w:r>
          <w:rPr>
            <w:noProof/>
            <w:webHidden/>
          </w:rPr>
          <w:fldChar w:fldCharType="begin"/>
        </w:r>
        <w:r>
          <w:rPr>
            <w:noProof/>
            <w:webHidden/>
          </w:rPr>
          <w:instrText xml:space="preserve"> PAGEREF _Toc100571578 \h </w:instrText>
        </w:r>
        <w:r>
          <w:rPr>
            <w:noProof/>
            <w:webHidden/>
          </w:rPr>
        </w:r>
        <w:r>
          <w:rPr>
            <w:noProof/>
            <w:webHidden/>
          </w:rPr>
          <w:fldChar w:fldCharType="separate"/>
        </w:r>
        <w:r>
          <w:rPr>
            <w:noProof/>
            <w:webHidden/>
          </w:rPr>
          <w:t>2</w:t>
        </w:r>
        <w:r>
          <w:rPr>
            <w:noProof/>
            <w:webHidden/>
          </w:rPr>
          <w:fldChar w:fldCharType="end"/>
        </w:r>
      </w:hyperlink>
    </w:p>
    <w:p w14:paraId="02479FD3" w14:textId="3CB049CF"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79" w:history="1">
        <w:r w:rsidRPr="002B6B47">
          <w:rPr>
            <w:rStyle w:val="Hyperlink"/>
            <w:noProof/>
          </w:rPr>
          <w:t>Market Hypothesis Theory</w:t>
        </w:r>
        <w:r>
          <w:rPr>
            <w:noProof/>
            <w:webHidden/>
          </w:rPr>
          <w:tab/>
        </w:r>
        <w:r>
          <w:rPr>
            <w:noProof/>
            <w:webHidden/>
          </w:rPr>
          <w:fldChar w:fldCharType="begin"/>
        </w:r>
        <w:r>
          <w:rPr>
            <w:noProof/>
            <w:webHidden/>
          </w:rPr>
          <w:instrText xml:space="preserve"> PAGEREF _Toc100571579 \h </w:instrText>
        </w:r>
        <w:r>
          <w:rPr>
            <w:noProof/>
            <w:webHidden/>
          </w:rPr>
        </w:r>
        <w:r>
          <w:rPr>
            <w:noProof/>
            <w:webHidden/>
          </w:rPr>
          <w:fldChar w:fldCharType="separate"/>
        </w:r>
        <w:r>
          <w:rPr>
            <w:noProof/>
            <w:webHidden/>
          </w:rPr>
          <w:t>3</w:t>
        </w:r>
        <w:r>
          <w:rPr>
            <w:noProof/>
            <w:webHidden/>
          </w:rPr>
          <w:fldChar w:fldCharType="end"/>
        </w:r>
      </w:hyperlink>
    </w:p>
    <w:p w14:paraId="10CB04DF" w14:textId="6A6B65D2"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80" w:history="1">
        <w:r w:rsidRPr="002B6B47">
          <w:rPr>
            <w:rStyle w:val="Hyperlink"/>
            <w:noProof/>
          </w:rPr>
          <w:t>Methods of appraising Projects</w:t>
        </w:r>
        <w:r>
          <w:rPr>
            <w:noProof/>
            <w:webHidden/>
          </w:rPr>
          <w:tab/>
        </w:r>
        <w:r>
          <w:rPr>
            <w:noProof/>
            <w:webHidden/>
          </w:rPr>
          <w:fldChar w:fldCharType="begin"/>
        </w:r>
        <w:r>
          <w:rPr>
            <w:noProof/>
            <w:webHidden/>
          </w:rPr>
          <w:instrText xml:space="preserve"> PAGEREF _Toc100571580 \h </w:instrText>
        </w:r>
        <w:r>
          <w:rPr>
            <w:noProof/>
            <w:webHidden/>
          </w:rPr>
        </w:r>
        <w:r>
          <w:rPr>
            <w:noProof/>
            <w:webHidden/>
          </w:rPr>
          <w:fldChar w:fldCharType="separate"/>
        </w:r>
        <w:r>
          <w:rPr>
            <w:noProof/>
            <w:webHidden/>
          </w:rPr>
          <w:t>3</w:t>
        </w:r>
        <w:r>
          <w:rPr>
            <w:noProof/>
            <w:webHidden/>
          </w:rPr>
          <w:fldChar w:fldCharType="end"/>
        </w:r>
      </w:hyperlink>
    </w:p>
    <w:p w14:paraId="5786A0BA" w14:textId="44C028DD"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81" w:history="1">
        <w:r w:rsidRPr="002B6B47">
          <w:rPr>
            <w:rStyle w:val="Hyperlink"/>
            <w:noProof/>
          </w:rPr>
          <w:t>Challenges faced in different International Financial Markets</w:t>
        </w:r>
        <w:r>
          <w:rPr>
            <w:noProof/>
            <w:webHidden/>
          </w:rPr>
          <w:tab/>
        </w:r>
        <w:r>
          <w:rPr>
            <w:noProof/>
            <w:webHidden/>
          </w:rPr>
          <w:fldChar w:fldCharType="begin"/>
        </w:r>
        <w:r>
          <w:rPr>
            <w:noProof/>
            <w:webHidden/>
          </w:rPr>
          <w:instrText xml:space="preserve"> PAGEREF _Toc100571581 \h </w:instrText>
        </w:r>
        <w:r>
          <w:rPr>
            <w:noProof/>
            <w:webHidden/>
          </w:rPr>
        </w:r>
        <w:r>
          <w:rPr>
            <w:noProof/>
            <w:webHidden/>
          </w:rPr>
          <w:fldChar w:fldCharType="separate"/>
        </w:r>
        <w:r>
          <w:rPr>
            <w:noProof/>
            <w:webHidden/>
          </w:rPr>
          <w:t>4</w:t>
        </w:r>
        <w:r>
          <w:rPr>
            <w:noProof/>
            <w:webHidden/>
          </w:rPr>
          <w:fldChar w:fldCharType="end"/>
        </w:r>
      </w:hyperlink>
    </w:p>
    <w:p w14:paraId="62D0D583" w14:textId="41C0E083"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82" w:history="1">
        <w:r w:rsidRPr="002B6B47">
          <w:rPr>
            <w:rStyle w:val="Hyperlink"/>
            <w:noProof/>
          </w:rPr>
          <w:t>Importance of International Management of Finance</w:t>
        </w:r>
        <w:r>
          <w:rPr>
            <w:noProof/>
            <w:webHidden/>
          </w:rPr>
          <w:tab/>
        </w:r>
        <w:r>
          <w:rPr>
            <w:noProof/>
            <w:webHidden/>
          </w:rPr>
          <w:fldChar w:fldCharType="begin"/>
        </w:r>
        <w:r>
          <w:rPr>
            <w:noProof/>
            <w:webHidden/>
          </w:rPr>
          <w:instrText xml:space="preserve"> PAGEREF _Toc100571582 \h </w:instrText>
        </w:r>
        <w:r>
          <w:rPr>
            <w:noProof/>
            <w:webHidden/>
          </w:rPr>
        </w:r>
        <w:r>
          <w:rPr>
            <w:noProof/>
            <w:webHidden/>
          </w:rPr>
          <w:fldChar w:fldCharType="separate"/>
        </w:r>
        <w:r>
          <w:rPr>
            <w:noProof/>
            <w:webHidden/>
          </w:rPr>
          <w:t>5</w:t>
        </w:r>
        <w:r>
          <w:rPr>
            <w:noProof/>
            <w:webHidden/>
          </w:rPr>
          <w:fldChar w:fldCharType="end"/>
        </w:r>
      </w:hyperlink>
    </w:p>
    <w:p w14:paraId="009BE98C" w14:textId="3B5812C3"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83" w:history="1">
        <w:r w:rsidRPr="002B6B47">
          <w:rPr>
            <w:rStyle w:val="Hyperlink"/>
            <w:noProof/>
          </w:rPr>
          <w:t>Conclusion</w:t>
        </w:r>
        <w:r>
          <w:rPr>
            <w:noProof/>
            <w:webHidden/>
          </w:rPr>
          <w:tab/>
        </w:r>
        <w:r>
          <w:rPr>
            <w:noProof/>
            <w:webHidden/>
          </w:rPr>
          <w:fldChar w:fldCharType="begin"/>
        </w:r>
        <w:r>
          <w:rPr>
            <w:noProof/>
            <w:webHidden/>
          </w:rPr>
          <w:instrText xml:space="preserve"> PAGEREF _Toc100571583 \h </w:instrText>
        </w:r>
        <w:r>
          <w:rPr>
            <w:noProof/>
            <w:webHidden/>
          </w:rPr>
        </w:r>
        <w:r>
          <w:rPr>
            <w:noProof/>
            <w:webHidden/>
          </w:rPr>
          <w:fldChar w:fldCharType="separate"/>
        </w:r>
        <w:r>
          <w:rPr>
            <w:noProof/>
            <w:webHidden/>
          </w:rPr>
          <w:t>5</w:t>
        </w:r>
        <w:r>
          <w:rPr>
            <w:noProof/>
            <w:webHidden/>
          </w:rPr>
          <w:fldChar w:fldCharType="end"/>
        </w:r>
      </w:hyperlink>
    </w:p>
    <w:p w14:paraId="785B42FF" w14:textId="55C0816E" w:rsidR="00A84C39" w:rsidRDefault="00A84C39">
      <w:pPr>
        <w:pStyle w:val="TOC1"/>
        <w:tabs>
          <w:tab w:val="right" w:leader="dot" w:pos="9019"/>
        </w:tabs>
        <w:rPr>
          <w:rFonts w:asciiTheme="minorHAnsi" w:eastAsiaTheme="minorEastAsia" w:hAnsiTheme="minorHAnsi" w:cs="Vrinda"/>
          <w:noProof/>
          <w:szCs w:val="30"/>
          <w:lang w:eastAsia="en-GB" w:bidi="bn-IN"/>
        </w:rPr>
      </w:pPr>
      <w:hyperlink w:anchor="_Toc100571584" w:history="1">
        <w:r w:rsidRPr="002B6B47">
          <w:rPr>
            <w:rStyle w:val="Hyperlink"/>
            <w:noProof/>
          </w:rPr>
          <w:t>Reference List</w:t>
        </w:r>
        <w:r>
          <w:rPr>
            <w:noProof/>
            <w:webHidden/>
          </w:rPr>
          <w:tab/>
        </w:r>
        <w:r>
          <w:rPr>
            <w:noProof/>
            <w:webHidden/>
          </w:rPr>
          <w:fldChar w:fldCharType="begin"/>
        </w:r>
        <w:r>
          <w:rPr>
            <w:noProof/>
            <w:webHidden/>
          </w:rPr>
          <w:instrText xml:space="preserve"> PAGEREF _Toc100571584 \h </w:instrText>
        </w:r>
        <w:r>
          <w:rPr>
            <w:noProof/>
            <w:webHidden/>
          </w:rPr>
        </w:r>
        <w:r>
          <w:rPr>
            <w:noProof/>
            <w:webHidden/>
          </w:rPr>
          <w:fldChar w:fldCharType="separate"/>
        </w:r>
        <w:r>
          <w:rPr>
            <w:noProof/>
            <w:webHidden/>
          </w:rPr>
          <w:t>6</w:t>
        </w:r>
        <w:r>
          <w:rPr>
            <w:noProof/>
            <w:webHidden/>
          </w:rPr>
          <w:fldChar w:fldCharType="end"/>
        </w:r>
      </w:hyperlink>
    </w:p>
    <w:p w14:paraId="66841133" w14:textId="6026381B" w:rsidR="00173B71" w:rsidRDefault="00416689">
      <w:pPr>
        <w:jc w:val="center"/>
        <w:rPr>
          <w:b/>
        </w:rPr>
      </w:pPr>
      <w:r>
        <w:fldChar w:fldCharType="end"/>
      </w:r>
      <w:r w:rsidR="00C54A4B">
        <w:br w:type="page"/>
      </w:r>
    </w:p>
    <w:p w14:paraId="7394B554" w14:textId="77777777" w:rsidR="00173B71" w:rsidRDefault="00C54A4B">
      <w:pPr>
        <w:pStyle w:val="Heading1"/>
      </w:pPr>
      <w:bookmarkStart w:id="0" w:name="_opklrp11vca7" w:colFirst="0" w:colLast="0"/>
      <w:bookmarkStart w:id="1" w:name="_Toc100571577"/>
      <w:bookmarkEnd w:id="0"/>
      <w:r>
        <w:lastRenderedPageBreak/>
        <w:t>Introduction</w:t>
      </w:r>
      <w:bookmarkEnd w:id="1"/>
    </w:p>
    <w:p w14:paraId="2AFD559F" w14:textId="77777777" w:rsidR="00173B71" w:rsidRDefault="00C54A4B">
      <w:r>
        <w:t>International financial management could be interpreted as managing financial perspectives of an entity for gaining global benefits. In this case, corporate entities make money by exchanging foreign currency due to extended forms of operations. This study will concentrate on all those aspects to provide concentrated understanding in terms of AstraZeneca Plc. It has been cited that this firm is listed on FTSE 100 Index and London Stock Exchange, primarily.</w:t>
      </w:r>
    </w:p>
    <w:p w14:paraId="53CA8336" w14:textId="77777777" w:rsidR="00173B71" w:rsidRDefault="00C54A4B">
      <w:pPr>
        <w:pStyle w:val="Heading1"/>
      </w:pPr>
      <w:bookmarkStart w:id="2" w:name="_ah1twgc4z3it" w:colFirst="0" w:colLast="0"/>
      <w:bookmarkStart w:id="3" w:name="_Toc100571578"/>
      <w:bookmarkEnd w:id="2"/>
      <w:r>
        <w:t>Dividend Distribution Policy</w:t>
      </w:r>
      <w:bookmarkEnd w:id="3"/>
    </w:p>
    <w:p w14:paraId="1B188F47" w14:textId="77777777" w:rsidR="00173B71" w:rsidRDefault="00C54A4B">
      <w:r>
        <w:t>Dividend policy of any company is subject to its structure for paying out necessary cash payments to investors in return of their capital engaged in such company. Shareholders are paid out with some minimal amount as an appreciation towards their invested amount of funds. Every company designs their dividend distribution to propagate an effective pool of investors who shall be continuing with such capital engagement in future periods. Companies are likely to be benefited from the existence of such capital in their business. Distribution of dividends must be planned by companies to maintain their balance between retention of profits and payment to shareholders. AstraZeneca has confirmed to maintain their funds in interest of creditors, business, and shareholders. They insisted on providing dividends to their investors twice a year (</w:t>
      </w:r>
      <w:proofErr w:type="spellStart"/>
      <w:r>
        <w:t>Astrazeneca</w:t>
      </w:r>
      <w:proofErr w:type="spellEnd"/>
      <w:r>
        <w:t xml:space="preserve">, 2022). Second and final dividend shall be of greater amount than interim session. Such policy was designed to </w:t>
      </w:r>
      <w:r w:rsidR="00664FEF">
        <w:t>protect</w:t>
      </w:r>
      <w:r>
        <w:t xml:space="preserve"> their ability to meet investor’s expectations after having settled with company requirements.</w:t>
      </w:r>
    </w:p>
    <w:p w14:paraId="183D5669" w14:textId="77777777" w:rsidR="00173B71" w:rsidRDefault="00C54A4B">
      <w:r>
        <w:t>It has been reported that this company had paid out 100 percent dividend on their shares during its last two interim sessions. Current market price of shares of this company is reported at 35.03 dollars. They had agreed to force a cent percent dividend on the face value of their shares. Currently this company has been yielding dividends at 0.07 percent of their fair market value. It has also been known that they have been paying out dividends consistently throughout their past 5 years. There are 3 types of dividend policies, namely, stable, constant, and residual (</w:t>
      </w:r>
      <w:proofErr w:type="spellStart"/>
      <w:r>
        <w:rPr>
          <w:highlight w:val="white"/>
        </w:rPr>
        <w:t>Surasmi</w:t>
      </w:r>
      <w:r>
        <w:rPr>
          <w:i/>
          <w:highlight w:val="white"/>
        </w:rPr>
        <w:t>et</w:t>
      </w:r>
      <w:proofErr w:type="spellEnd"/>
      <w:r>
        <w:rPr>
          <w:i/>
          <w:highlight w:val="white"/>
        </w:rPr>
        <w:t xml:space="preserve"> al</w:t>
      </w:r>
      <w:r>
        <w:rPr>
          <w:highlight w:val="white"/>
        </w:rPr>
        <w:t>., 2019</w:t>
      </w:r>
      <w:r>
        <w:t xml:space="preserve">). It can be said that this company has followed a stable policy of dividend distribution since they have been paying out dividends consistently over the past few years. As argued by </w:t>
      </w:r>
      <w:r>
        <w:rPr>
          <w:highlight w:val="white"/>
        </w:rPr>
        <w:t xml:space="preserve">Yildirim </w:t>
      </w:r>
      <w:r>
        <w:rPr>
          <w:i/>
          <w:highlight w:val="white"/>
        </w:rPr>
        <w:t>et al</w:t>
      </w:r>
      <w:r>
        <w:rPr>
          <w:highlight w:val="white"/>
        </w:rPr>
        <w:t>.</w:t>
      </w:r>
      <w:r>
        <w:t xml:space="preserve"> (2018), retention of profits can add to capital for future expansion of operations. It could be cited that they have been able to manage their finances very efficiently.</w:t>
      </w:r>
    </w:p>
    <w:p w14:paraId="0428B5CB" w14:textId="77777777" w:rsidR="00173B71" w:rsidRDefault="00C54A4B">
      <w:pPr>
        <w:pStyle w:val="Heading1"/>
      </w:pPr>
      <w:bookmarkStart w:id="4" w:name="_f12ddkcoajni" w:colFirst="0" w:colLast="0"/>
      <w:bookmarkStart w:id="5" w:name="_Toc100571579"/>
      <w:bookmarkEnd w:id="4"/>
      <w:r>
        <w:lastRenderedPageBreak/>
        <w:t>Market Hypothesis Theory</w:t>
      </w:r>
      <w:bookmarkEnd w:id="5"/>
    </w:p>
    <w:p w14:paraId="28D2D057" w14:textId="77777777" w:rsidR="00173B71" w:rsidRDefault="00C54A4B">
      <w:r>
        <w:t xml:space="preserve">According to this concept of market hypothesis theory, share prices of a company reflect valuable information about their scope of operations. Investors often study such prices to contemplate their portfolios. It ascertains that share prices are vulnerable to company information being publicly announced. Any information that adds to their future potential of market operations shall affect their investors directly. This theory states that investors can gain from short term fluctuation of share prices but will not be able to sustain higher benefits in the long run. As per </w:t>
      </w:r>
      <w:r>
        <w:rPr>
          <w:highlight w:val="white"/>
        </w:rPr>
        <w:t xml:space="preserve">Ying </w:t>
      </w:r>
      <w:r>
        <w:rPr>
          <w:i/>
          <w:highlight w:val="white"/>
        </w:rPr>
        <w:t>et al.</w:t>
      </w:r>
      <w:r>
        <w:t xml:space="preserve"> (2019), they will be able to reap profits as much as market average suggests. There are 3 types of market hypothesis which suggests relativity of share prices with reflection of company’s information. </w:t>
      </w:r>
    </w:p>
    <w:p w14:paraId="3A8F57CC" w14:textId="77777777" w:rsidR="00173B71" w:rsidRDefault="00C54A4B">
      <w:r>
        <w:t xml:space="preserve">Weak form of such hypothesis declares that share prices will reflect all such information about AstraZeneca Plc except for those data which has not been declared publicly. Current market </w:t>
      </w:r>
      <w:r w:rsidR="00E71193">
        <w:t>price of this company’s shares is</w:t>
      </w:r>
      <w:r>
        <w:t xml:space="preserve"> 9406 GBX (</w:t>
      </w:r>
      <w:proofErr w:type="spellStart"/>
      <w:r>
        <w:t>Londonstockexchange</w:t>
      </w:r>
      <w:proofErr w:type="spellEnd"/>
      <w:r>
        <w:t xml:space="preserve">, 2022). Such information does not describe any past information about this company. Future potential of this company is sought to improve with increasing demand for pharmaceutical stocks. It can be cited that this company is subject to a semi-strong form of market hypothesis rather than strong form. In case of this company, information about future earning opportunities </w:t>
      </w:r>
      <w:r w:rsidR="00E71193">
        <w:t>is</w:t>
      </w:r>
      <w:r>
        <w:t xml:space="preserve"> more conclusive for ranging their share prices. Thus, AstraZeneca shall be able to acquire better finance in case their company is projected to make profit-making deals with external firms.</w:t>
      </w:r>
    </w:p>
    <w:p w14:paraId="2827FDCF" w14:textId="77777777" w:rsidR="00173B71" w:rsidRDefault="00C54A4B">
      <w:pPr>
        <w:pStyle w:val="Heading1"/>
      </w:pPr>
      <w:bookmarkStart w:id="6" w:name="_tdiw7fhhlxel" w:colFirst="0" w:colLast="0"/>
      <w:bookmarkStart w:id="7" w:name="_Toc100571580"/>
      <w:bookmarkEnd w:id="6"/>
      <w:r>
        <w:t>Methods of appraising Projects</w:t>
      </w:r>
      <w:bookmarkEnd w:id="7"/>
    </w:p>
    <w:p w14:paraId="2140B9BB" w14:textId="77777777" w:rsidR="00173B71" w:rsidRDefault="00C54A4B">
      <w:r>
        <w:t xml:space="preserve">Project appraisal is a typical form of evaluating the whereabouts of a project. It is entitled to verify the viability of such a project to perform in future scenarios. It will take financial, economic, and market factors into account while comprehending the effectiveness of such projects. In application of this concern, one company shall also look into their existing management desk to understand how competent their workforce is to proceed with addition of new dimensions. As opined by </w:t>
      </w:r>
      <w:r>
        <w:rPr>
          <w:highlight w:val="white"/>
        </w:rPr>
        <w:t xml:space="preserve">Zhou </w:t>
      </w:r>
      <w:r>
        <w:rPr>
          <w:i/>
          <w:highlight w:val="white"/>
        </w:rPr>
        <w:t>et al.</w:t>
      </w:r>
      <w:r>
        <w:t xml:space="preserve"> (2019), financial aspects are very important components for this concern since it provides as their main source of capital to initiate with such project. AstraZeneca has been learnt to have merged with different entities since its establishment. Seeking financial benefits, this company has dealt with several firms across this globe.</w:t>
      </w:r>
    </w:p>
    <w:p w14:paraId="4B21F201" w14:textId="77777777" w:rsidR="00173B71" w:rsidRDefault="00C54A4B">
      <w:r>
        <w:lastRenderedPageBreak/>
        <w:t xml:space="preserve">In order to cater to their expansion of operations, AstraZeneca has sought to merge their business and acquire firms to propagate new and efficient ways of treating diseases. This company has gone on to produce efficient medicines that could cure cardiovascular, respiratory, gastrointestinal, and cancerous diseases. Their sole purpose was to create an expanded base of customers. Such an approach has taken this firm to higher notes with every extension. Successful </w:t>
      </w:r>
      <w:r w:rsidR="00E71193">
        <w:t>delivery of medicines for different diseases has</w:t>
      </w:r>
      <w:r>
        <w:t xml:space="preserve"> diversified their channel of operation. As described by </w:t>
      </w:r>
      <w:proofErr w:type="spellStart"/>
      <w:r>
        <w:rPr>
          <w:highlight w:val="white"/>
        </w:rPr>
        <w:t>Runiewicz-Wardyn</w:t>
      </w:r>
      <w:proofErr w:type="spellEnd"/>
      <w:r>
        <w:rPr>
          <w:highlight w:val="white"/>
        </w:rPr>
        <w:t xml:space="preserve"> and </w:t>
      </w:r>
      <w:proofErr w:type="spellStart"/>
      <w:r>
        <w:rPr>
          <w:highlight w:val="white"/>
        </w:rPr>
        <w:t>Eliashvili</w:t>
      </w:r>
      <w:proofErr w:type="spellEnd"/>
      <w:r>
        <w:t xml:space="preserve"> (2022), they invested in different projects with a view to develop human lives along with creation of profits. Economic and market perspectives have always been in favour of this firm. Growth of new symptoms and increasing rates of global population has allowed them to excavate new regions of concern.</w:t>
      </w:r>
    </w:p>
    <w:p w14:paraId="704DFD9B" w14:textId="77777777" w:rsidR="00173B71" w:rsidRDefault="00C54A4B">
      <w:pPr>
        <w:pStyle w:val="Heading1"/>
      </w:pPr>
      <w:bookmarkStart w:id="8" w:name="_arjd9vkbyizm" w:colFirst="0" w:colLast="0"/>
      <w:bookmarkStart w:id="9" w:name="_Toc100571581"/>
      <w:bookmarkEnd w:id="8"/>
      <w:r>
        <w:t>Challenges faced in different International Financial Markets</w:t>
      </w:r>
      <w:bookmarkEnd w:id="9"/>
    </w:p>
    <w:p w14:paraId="7B071D10" w14:textId="77777777" w:rsidR="00173B71" w:rsidRDefault="00C54A4B">
      <w:r>
        <w:t xml:space="preserve">Companies often face challenges in terms of acquiring finance from global markets due to specific factors. AstraZeneca has been victim </w:t>
      </w:r>
      <w:proofErr w:type="spellStart"/>
      <w:r>
        <w:t>to</w:t>
      </w:r>
      <w:proofErr w:type="spellEnd"/>
      <w:r>
        <w:t xml:space="preserve"> few of those concerns that forced them to rearrange their financial structures. Global intervention sought this company to concentrate on multiple projects simultaneously. It required them to increase their operational capacity and restructure their entire system to imbibe efficiency and transparency in their operations. Thus, in 2013, this company had gone to reorganise their entire research and development unit. Prevalently, it existed in London and few other cities. At this point of time, they sought to shift such facilities to Cambridge, Gothenburg, and Maryland. It had cost them a whopping amount of 500 million dollars (</w:t>
      </w:r>
      <w:proofErr w:type="spellStart"/>
      <w:r>
        <w:rPr>
          <w:highlight w:val="white"/>
        </w:rPr>
        <w:t>Theguardian</w:t>
      </w:r>
      <w:proofErr w:type="spellEnd"/>
      <w:r>
        <w:rPr>
          <w:highlight w:val="white"/>
        </w:rPr>
        <w:t>, 2022</w:t>
      </w:r>
      <w:r>
        <w:t xml:space="preserve">). </w:t>
      </w:r>
    </w:p>
    <w:p w14:paraId="5AF2F575" w14:textId="77777777" w:rsidR="00173B71" w:rsidRDefault="00C54A4B">
      <w:r>
        <w:t xml:space="preserve">In addition to this, this company went on to acquire </w:t>
      </w:r>
      <w:proofErr w:type="spellStart"/>
      <w:r>
        <w:t>Almirall</w:t>
      </w:r>
      <w:proofErr w:type="spellEnd"/>
      <w:r>
        <w:t>. This had cost them around 2.1 billion dollars out of which 1.2 billion was meant for development of a respiratory franchise. Thus, while operating in this segment, it had to come across several such instances to establish new units for which they had to spend huge lumps of money (</w:t>
      </w:r>
      <w:proofErr w:type="spellStart"/>
      <w:r>
        <w:t>Morice</w:t>
      </w:r>
      <w:proofErr w:type="spellEnd"/>
      <w:r>
        <w:rPr>
          <w:i/>
        </w:rPr>
        <w:t xml:space="preserve"> et al</w:t>
      </w:r>
      <w:r>
        <w:t xml:space="preserve">., 2021). Although this company earned huge revenues, they were subject to </w:t>
      </w:r>
      <w:proofErr w:type="gramStart"/>
      <w:r>
        <w:t>billion dollar</w:t>
      </w:r>
      <w:proofErr w:type="gramEnd"/>
      <w:r>
        <w:t xml:space="preserve"> payments for establishment of new concerns. Expansion was required to be extended with advanced facilities and machineries that produce efficient results. Such items cost them huge sums of money thereby reducing their reserves for future market captivity. All of their products required extensive research before being launched in the market. Such researches charged them with high amounts of dollars.</w:t>
      </w:r>
    </w:p>
    <w:p w14:paraId="35BF7314" w14:textId="77777777" w:rsidR="00173B71" w:rsidRDefault="00C54A4B">
      <w:r>
        <w:lastRenderedPageBreak/>
        <w:t xml:space="preserve">Similarly, while operating in different nations, this company was always vulnerable to political mishaps. In case of political dilemma, there was substantial scope for them to lose on their stock’s values. Share prices of this company were highly affected by </w:t>
      </w:r>
      <w:r w:rsidR="007E3FA5">
        <w:t>nationwide</w:t>
      </w:r>
      <w:r>
        <w:t xml:space="preserve"> modifications. In case of any unfavourable condition, their value decreased in global market thereby discounting their market capitalisation rate. Any major loss in operations shall devalue their brand in global market thus, affecting investor’s interests directly.</w:t>
      </w:r>
    </w:p>
    <w:p w14:paraId="0CAE9D7C" w14:textId="77777777" w:rsidR="00173B71" w:rsidRDefault="00C54A4B">
      <w:pPr>
        <w:pStyle w:val="Heading1"/>
      </w:pPr>
      <w:bookmarkStart w:id="10" w:name="_c68v2sr46brx" w:colFirst="0" w:colLast="0"/>
      <w:bookmarkStart w:id="11" w:name="_Toc100571582"/>
      <w:bookmarkEnd w:id="10"/>
      <w:r>
        <w:t>Importance of International Management of Finance</w:t>
      </w:r>
      <w:bookmarkEnd w:id="11"/>
    </w:p>
    <w:p w14:paraId="21DC6202" w14:textId="77777777" w:rsidR="00173B71" w:rsidRDefault="00C54A4B">
      <w:r>
        <w:t xml:space="preserve">International management of finance is an efficient way to interpret economic status of different countries and such relevant companies. In case of AstraZeneca, it was possible for them to study economic implications of a region while contemplating their deal with such company. Sheer understanding of their operatives and external opportunities concluded them with sufficient details for proceeding with particular ventures. Alongside, this company also used management of international finance to understand financial statements of different companies before approaching them for merger. As suggested by </w:t>
      </w:r>
      <w:r>
        <w:rPr>
          <w:highlight w:val="white"/>
        </w:rPr>
        <w:t>Steffen</w:t>
      </w:r>
      <w:r>
        <w:t xml:space="preserve"> (2018), valuation of assets is very important in this aspect. It is necessary for companies to correctly assess their company’s worth before concluding any deal. Having such wide scopes of information, AstraZeneca was able to construct efficient financial conclusions. As and when this company sought to deal with another firm, it was very important to have a good note of exchange rates. This helped them to configure appropriate deals. International Financial Reporting Systems proposed an efficient way to evaluate financial statements of relevant firms.</w:t>
      </w:r>
    </w:p>
    <w:p w14:paraId="1EA8B6E7" w14:textId="77777777" w:rsidR="00173B71" w:rsidRDefault="00C54A4B">
      <w:pPr>
        <w:pStyle w:val="Heading1"/>
      </w:pPr>
      <w:bookmarkStart w:id="12" w:name="_o3eyg5hzncae" w:colFirst="0" w:colLast="0"/>
      <w:bookmarkStart w:id="13" w:name="_Toc100571583"/>
      <w:bookmarkEnd w:id="12"/>
      <w:r>
        <w:t>Conclusion</w:t>
      </w:r>
      <w:bookmarkEnd w:id="13"/>
    </w:p>
    <w:p w14:paraId="497D7D08" w14:textId="77777777" w:rsidR="00173B71" w:rsidRDefault="00C54A4B">
      <w:r>
        <w:t xml:space="preserve">AstraZeneca Plc has been operating with firms that specialise in research of efficient medicine for curing various diseases. Due amount of capital shall be required for this purpose. Accordingly, they have required </w:t>
      </w:r>
      <w:r w:rsidR="00E71193">
        <w:t>financing</w:t>
      </w:r>
      <w:r>
        <w:t xml:space="preserve"> such activities with adequate financing to extract maximum benefits from such a market. Moreover, with availability of finance from global investors, </w:t>
      </w:r>
      <w:r w:rsidR="00E71193">
        <w:t>substantial amounts of collection have</w:t>
      </w:r>
      <w:r>
        <w:t xml:space="preserve"> been generated to scope its regulated operations. Efficient dividend policies have helped them to persist their grip upon this market.</w:t>
      </w:r>
      <w:r>
        <w:br w:type="page"/>
      </w:r>
    </w:p>
    <w:p w14:paraId="6E326FD3" w14:textId="77777777" w:rsidR="00173B71" w:rsidRDefault="00C54A4B">
      <w:pPr>
        <w:pStyle w:val="Heading1"/>
      </w:pPr>
      <w:bookmarkStart w:id="14" w:name="_gnqaifkd3ein" w:colFirst="0" w:colLast="0"/>
      <w:bookmarkStart w:id="15" w:name="_Toc100571584"/>
      <w:bookmarkEnd w:id="14"/>
      <w:r>
        <w:lastRenderedPageBreak/>
        <w:t>Reference List</w:t>
      </w:r>
      <w:bookmarkEnd w:id="15"/>
    </w:p>
    <w:p w14:paraId="1FF8DC47" w14:textId="77777777" w:rsidR="00173B71" w:rsidRDefault="00C54A4B">
      <w:pPr>
        <w:spacing w:before="240" w:after="240"/>
      </w:pPr>
      <w:proofErr w:type="spellStart"/>
      <w:r>
        <w:t>Astrazeneca</w:t>
      </w:r>
      <w:proofErr w:type="spellEnd"/>
      <w:r>
        <w:t xml:space="preserve">, (2022). </w:t>
      </w:r>
      <w:r>
        <w:rPr>
          <w:i/>
        </w:rPr>
        <w:t>About dividend distribution policy of this company.</w:t>
      </w:r>
      <w:r>
        <w:t xml:space="preserve"> Available at: https://www.astrazeneca.com/investorrelations/shareholderinformation.html#:~:text=Shareholder%20information-,Dividend%20policy,paid%20as%20a%20second%20interm. [Accessed on 11.3.2022]</w:t>
      </w:r>
    </w:p>
    <w:p w14:paraId="2927558E" w14:textId="77777777" w:rsidR="00173B71" w:rsidRDefault="00C54A4B">
      <w:pPr>
        <w:spacing w:before="240" w:after="240"/>
      </w:pPr>
      <w:proofErr w:type="spellStart"/>
      <w:r>
        <w:t>Londonstockexchange</w:t>
      </w:r>
      <w:proofErr w:type="spellEnd"/>
      <w:r>
        <w:t xml:space="preserve">, (2022). </w:t>
      </w:r>
      <w:r>
        <w:rPr>
          <w:i/>
        </w:rPr>
        <w:t>About share price of this company</w:t>
      </w:r>
      <w:r>
        <w:t>. Available at: https://www.londonstockexchange.com/stock/AZN/astrazeneca-plc/company-page [Accessed on 11.3.2022]</w:t>
      </w:r>
    </w:p>
    <w:p w14:paraId="6509E02E" w14:textId="77777777" w:rsidR="00173B71" w:rsidRDefault="00C54A4B">
      <w:pPr>
        <w:spacing w:before="240" w:after="240"/>
      </w:pPr>
      <w:proofErr w:type="spellStart"/>
      <w:r>
        <w:rPr>
          <w:highlight w:val="white"/>
        </w:rPr>
        <w:t>Morice</w:t>
      </w:r>
      <w:proofErr w:type="spellEnd"/>
      <w:r>
        <w:rPr>
          <w:highlight w:val="white"/>
        </w:rPr>
        <w:t xml:space="preserve">, A.H., </w:t>
      </w:r>
      <w:proofErr w:type="spellStart"/>
      <w:r>
        <w:rPr>
          <w:highlight w:val="white"/>
        </w:rPr>
        <w:t>Millqvist</w:t>
      </w:r>
      <w:proofErr w:type="spellEnd"/>
      <w:r>
        <w:rPr>
          <w:highlight w:val="white"/>
        </w:rPr>
        <w:t xml:space="preserve">, E., </w:t>
      </w:r>
      <w:proofErr w:type="spellStart"/>
      <w:r>
        <w:rPr>
          <w:highlight w:val="white"/>
        </w:rPr>
        <w:t>Bieksiene</w:t>
      </w:r>
      <w:proofErr w:type="spellEnd"/>
      <w:r>
        <w:rPr>
          <w:highlight w:val="white"/>
        </w:rPr>
        <w:t xml:space="preserve">, K., Birring, S.S., </w:t>
      </w:r>
      <w:proofErr w:type="spellStart"/>
      <w:r>
        <w:rPr>
          <w:highlight w:val="white"/>
        </w:rPr>
        <w:t>Dicpinigaitis</w:t>
      </w:r>
      <w:proofErr w:type="spellEnd"/>
      <w:r>
        <w:rPr>
          <w:highlight w:val="white"/>
        </w:rPr>
        <w:t xml:space="preserve">, P., </w:t>
      </w:r>
      <w:proofErr w:type="spellStart"/>
      <w:r>
        <w:rPr>
          <w:highlight w:val="white"/>
        </w:rPr>
        <w:t>Ribas</w:t>
      </w:r>
      <w:proofErr w:type="spellEnd"/>
      <w:r>
        <w:rPr>
          <w:highlight w:val="white"/>
        </w:rPr>
        <w:t xml:space="preserve">, C.D., Boon, M.H., Kantar, A., Lai, K., McGarvey, L. and </w:t>
      </w:r>
      <w:proofErr w:type="spellStart"/>
      <w:r>
        <w:rPr>
          <w:highlight w:val="white"/>
        </w:rPr>
        <w:t>Rigau</w:t>
      </w:r>
      <w:proofErr w:type="spellEnd"/>
      <w:r>
        <w:rPr>
          <w:highlight w:val="white"/>
        </w:rPr>
        <w:t xml:space="preserve">, D., (2021). European Respiratory Society guidelines on the diagnosis and treatment of chronic cough in adults and children. </w:t>
      </w:r>
      <w:proofErr w:type="spellStart"/>
      <w:r>
        <w:rPr>
          <w:i/>
        </w:rPr>
        <w:t>Pulmonologiya</w:t>
      </w:r>
      <w:proofErr w:type="spellEnd"/>
      <w:r>
        <w:t xml:space="preserve">, </w:t>
      </w:r>
      <w:r>
        <w:rPr>
          <w:i/>
        </w:rPr>
        <w:t>31</w:t>
      </w:r>
      <w:r>
        <w:t>(4), pp.418-438.</w:t>
      </w:r>
    </w:p>
    <w:p w14:paraId="46EA3C5F" w14:textId="77777777" w:rsidR="00173B71" w:rsidRDefault="00C54A4B">
      <w:pPr>
        <w:spacing w:before="240" w:after="240"/>
      </w:pPr>
      <w:proofErr w:type="spellStart"/>
      <w:r>
        <w:rPr>
          <w:highlight w:val="white"/>
        </w:rPr>
        <w:t>Runiewicz-Wardyn</w:t>
      </w:r>
      <w:proofErr w:type="spellEnd"/>
      <w:r>
        <w:rPr>
          <w:highlight w:val="white"/>
        </w:rPr>
        <w:t xml:space="preserve">, M. and </w:t>
      </w:r>
      <w:proofErr w:type="spellStart"/>
      <w:r>
        <w:rPr>
          <w:highlight w:val="white"/>
        </w:rPr>
        <w:t>Eliashvili</w:t>
      </w:r>
      <w:proofErr w:type="spellEnd"/>
      <w:r>
        <w:rPr>
          <w:highlight w:val="white"/>
        </w:rPr>
        <w:t xml:space="preserve">, T., (2022). Open Innovation Practices and Open Innovation Culture in the Life-Sciences Clusters. The Case of AstraZeneca. </w:t>
      </w:r>
      <w:r>
        <w:rPr>
          <w:i/>
        </w:rPr>
        <w:t>European Journal of Business and Management Research</w:t>
      </w:r>
      <w:r>
        <w:t xml:space="preserve">, </w:t>
      </w:r>
      <w:r>
        <w:rPr>
          <w:i/>
        </w:rPr>
        <w:t>7</w:t>
      </w:r>
      <w:r>
        <w:t>(1), pp.35-43.</w:t>
      </w:r>
    </w:p>
    <w:p w14:paraId="231AE56D" w14:textId="77777777" w:rsidR="00173B71" w:rsidRDefault="00C54A4B">
      <w:pPr>
        <w:spacing w:before="240" w:after="240"/>
      </w:pPr>
      <w:r>
        <w:rPr>
          <w:highlight w:val="white"/>
        </w:rPr>
        <w:t xml:space="preserve">Steffen, B., (2018). The importance of project finance for renewable energy projects. </w:t>
      </w:r>
      <w:r>
        <w:rPr>
          <w:i/>
        </w:rPr>
        <w:t>Energy Economics</w:t>
      </w:r>
      <w:r>
        <w:t xml:space="preserve">, </w:t>
      </w:r>
      <w:r>
        <w:rPr>
          <w:i/>
        </w:rPr>
        <w:t>69</w:t>
      </w:r>
      <w:r>
        <w:t>, pp.280-294.</w:t>
      </w:r>
    </w:p>
    <w:p w14:paraId="59E04310" w14:textId="77777777" w:rsidR="00173B71" w:rsidRDefault="00C54A4B">
      <w:pPr>
        <w:spacing w:before="240" w:after="240"/>
      </w:pPr>
      <w:proofErr w:type="spellStart"/>
      <w:r>
        <w:rPr>
          <w:highlight w:val="white"/>
        </w:rPr>
        <w:t>Surasmi</w:t>
      </w:r>
      <w:proofErr w:type="spellEnd"/>
      <w:r>
        <w:rPr>
          <w:highlight w:val="white"/>
        </w:rPr>
        <w:t xml:space="preserve">, I.A., </w:t>
      </w:r>
      <w:proofErr w:type="spellStart"/>
      <w:r>
        <w:rPr>
          <w:highlight w:val="white"/>
        </w:rPr>
        <w:t>Widari</w:t>
      </w:r>
      <w:proofErr w:type="spellEnd"/>
      <w:r>
        <w:rPr>
          <w:highlight w:val="white"/>
        </w:rPr>
        <w:t xml:space="preserve">, D.A.P.N., </w:t>
      </w:r>
      <w:proofErr w:type="spellStart"/>
      <w:r>
        <w:rPr>
          <w:highlight w:val="white"/>
        </w:rPr>
        <w:t>Warmana</w:t>
      </w:r>
      <w:proofErr w:type="spellEnd"/>
      <w:r>
        <w:rPr>
          <w:highlight w:val="white"/>
        </w:rPr>
        <w:t xml:space="preserve">, G.O. and </w:t>
      </w:r>
      <w:proofErr w:type="spellStart"/>
      <w:r>
        <w:rPr>
          <w:highlight w:val="white"/>
        </w:rPr>
        <w:t>Widnyana</w:t>
      </w:r>
      <w:proofErr w:type="spellEnd"/>
      <w:r>
        <w:rPr>
          <w:highlight w:val="white"/>
        </w:rPr>
        <w:t xml:space="preserve">, I.W., (2019). The Impact of Business Risk on Dividend Policy in Manufacturing Companies Listed on Indonesia Stock Exchange. </w:t>
      </w:r>
      <w:r>
        <w:rPr>
          <w:i/>
        </w:rPr>
        <w:t>Academy of Social Science Journal</w:t>
      </w:r>
      <w:r>
        <w:t xml:space="preserve">, </w:t>
      </w:r>
      <w:r>
        <w:rPr>
          <w:i/>
        </w:rPr>
        <w:t>4</w:t>
      </w:r>
      <w:r>
        <w:t>(11), pp.1488-1493.</w:t>
      </w:r>
    </w:p>
    <w:p w14:paraId="0B79AD0F" w14:textId="77777777" w:rsidR="00173B71" w:rsidRDefault="00C54A4B">
      <w:pPr>
        <w:spacing w:before="240" w:after="240"/>
      </w:pPr>
      <w:proofErr w:type="spellStart"/>
      <w:r>
        <w:rPr>
          <w:highlight w:val="white"/>
        </w:rPr>
        <w:t>Theguardian</w:t>
      </w:r>
      <w:proofErr w:type="spellEnd"/>
      <w:r>
        <w:rPr>
          <w:highlight w:val="white"/>
        </w:rPr>
        <w:t xml:space="preserve">, (2022). </w:t>
      </w:r>
      <w:r>
        <w:rPr>
          <w:i/>
          <w:highlight w:val="white"/>
        </w:rPr>
        <w:t>About amounts spent by this company to gain new R&amp;D facilities</w:t>
      </w:r>
      <w:r>
        <w:rPr>
          <w:highlight w:val="white"/>
        </w:rPr>
        <w:t xml:space="preserve">. Available at: https://www.theguardian.com/business/2010/mar/02/astrazeneca-close-uk-research-centre </w:t>
      </w:r>
      <w:r>
        <w:t>[Accessed on 11.3.2022]</w:t>
      </w:r>
    </w:p>
    <w:p w14:paraId="55F0CFAC" w14:textId="77777777" w:rsidR="00173B71" w:rsidRDefault="00C54A4B">
      <w:pPr>
        <w:spacing w:before="240" w:after="240"/>
      </w:pPr>
      <w:r>
        <w:rPr>
          <w:highlight w:val="white"/>
        </w:rPr>
        <w:t xml:space="preserve">Yildirim, R., Masih, M. and Bacha, O.I., (2018). Determinants of capital structure: evidence from </w:t>
      </w:r>
      <w:proofErr w:type="spellStart"/>
      <w:r>
        <w:rPr>
          <w:highlight w:val="white"/>
        </w:rPr>
        <w:t>Shari'ah</w:t>
      </w:r>
      <w:proofErr w:type="spellEnd"/>
      <w:r>
        <w:rPr>
          <w:highlight w:val="white"/>
        </w:rPr>
        <w:t xml:space="preserve"> compliant and non-compliant firms. </w:t>
      </w:r>
      <w:r>
        <w:rPr>
          <w:i/>
        </w:rPr>
        <w:t>Pacific-Basin Finance Journal</w:t>
      </w:r>
      <w:r>
        <w:t xml:space="preserve">, </w:t>
      </w:r>
      <w:r>
        <w:rPr>
          <w:i/>
        </w:rPr>
        <w:t>51</w:t>
      </w:r>
      <w:r>
        <w:t>, pp.198-219.</w:t>
      </w:r>
    </w:p>
    <w:p w14:paraId="125BCE4E" w14:textId="77777777" w:rsidR="00173B71" w:rsidRDefault="00C54A4B">
      <w:pPr>
        <w:spacing w:before="240" w:after="240"/>
      </w:pPr>
      <w:r>
        <w:rPr>
          <w:highlight w:val="white"/>
        </w:rPr>
        <w:lastRenderedPageBreak/>
        <w:t xml:space="preserve">Ying, Q., Yousaf, T., Ain, Q.U., Akhtar, Y. and Rasheed, M.S., (2019). Stock investment and excess returns: a critical review in the light of the efficient market hypothesis. </w:t>
      </w:r>
      <w:r>
        <w:rPr>
          <w:i/>
        </w:rPr>
        <w:t>Journal of Risk and Financial Management</w:t>
      </w:r>
      <w:r>
        <w:t xml:space="preserve">, </w:t>
      </w:r>
      <w:r>
        <w:rPr>
          <w:i/>
        </w:rPr>
        <w:t>12</w:t>
      </w:r>
      <w:r>
        <w:t>(2), p.97.</w:t>
      </w:r>
    </w:p>
    <w:p w14:paraId="6706517D" w14:textId="77777777" w:rsidR="00173B71" w:rsidRDefault="00C54A4B">
      <w:pPr>
        <w:spacing w:before="240" w:after="240"/>
      </w:pPr>
      <w:r>
        <w:rPr>
          <w:highlight w:val="white"/>
        </w:rPr>
        <w:t xml:space="preserve">Zhou, P., Zhou, P., </w:t>
      </w:r>
      <w:proofErr w:type="spellStart"/>
      <w:r>
        <w:rPr>
          <w:highlight w:val="white"/>
        </w:rPr>
        <w:t>Yüksel</w:t>
      </w:r>
      <w:proofErr w:type="spellEnd"/>
      <w:r>
        <w:rPr>
          <w:highlight w:val="white"/>
        </w:rPr>
        <w:t xml:space="preserve">, S., </w:t>
      </w:r>
      <w:proofErr w:type="spellStart"/>
      <w:r>
        <w:rPr>
          <w:highlight w:val="white"/>
        </w:rPr>
        <w:t>Dinçer</w:t>
      </w:r>
      <w:proofErr w:type="spellEnd"/>
      <w:r>
        <w:rPr>
          <w:highlight w:val="white"/>
        </w:rPr>
        <w:t xml:space="preserve">, H. and </w:t>
      </w:r>
      <w:proofErr w:type="spellStart"/>
      <w:r>
        <w:rPr>
          <w:highlight w:val="white"/>
        </w:rPr>
        <w:t>Uluer</w:t>
      </w:r>
      <w:proofErr w:type="spellEnd"/>
      <w:r>
        <w:rPr>
          <w:highlight w:val="white"/>
        </w:rPr>
        <w:t xml:space="preserve">, G.S., (2019). Balanced scorecard-based evaluation of sustainable energy investment projects with it2 fuzzy hybrid decision making approach. </w:t>
      </w:r>
      <w:r>
        <w:rPr>
          <w:i/>
        </w:rPr>
        <w:t>Energies</w:t>
      </w:r>
      <w:r>
        <w:t xml:space="preserve">, </w:t>
      </w:r>
      <w:r>
        <w:rPr>
          <w:i/>
        </w:rPr>
        <w:t>13</w:t>
      </w:r>
      <w:r>
        <w:t>(1), p.82.</w:t>
      </w:r>
    </w:p>
    <w:p w14:paraId="7871095D" w14:textId="77777777" w:rsidR="00173B71" w:rsidRDefault="00173B71"/>
    <w:sectPr w:rsidR="00173B71" w:rsidSect="007E3FA5">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5F800" w14:textId="77777777" w:rsidR="00294853" w:rsidRDefault="00294853">
      <w:pPr>
        <w:spacing w:before="0" w:after="0" w:line="240" w:lineRule="auto"/>
      </w:pPr>
      <w:r>
        <w:separator/>
      </w:r>
    </w:p>
  </w:endnote>
  <w:endnote w:type="continuationSeparator" w:id="0">
    <w:p w14:paraId="79207485" w14:textId="77777777" w:rsidR="00294853" w:rsidRDefault="002948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FA77A" w14:textId="77777777" w:rsidR="007B3AFD" w:rsidRDefault="007B3A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390AC" w14:textId="77777777" w:rsidR="00173B71" w:rsidRDefault="00416689">
    <w:pPr>
      <w:jc w:val="right"/>
    </w:pPr>
    <w:r>
      <w:fldChar w:fldCharType="begin"/>
    </w:r>
    <w:r w:rsidR="00C54A4B">
      <w:instrText>PAGE</w:instrText>
    </w:r>
    <w:r>
      <w:fldChar w:fldCharType="separate"/>
    </w:r>
    <w:r w:rsidR="007B3AFD">
      <w:rPr>
        <w:noProof/>
      </w:rPr>
      <w:t>7</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717FD" w14:textId="77777777" w:rsidR="00173B71" w:rsidRDefault="00173B7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F6CA4" w14:textId="77777777" w:rsidR="00294853" w:rsidRDefault="00294853">
      <w:pPr>
        <w:spacing w:before="0" w:after="0" w:line="240" w:lineRule="auto"/>
      </w:pPr>
      <w:r>
        <w:separator/>
      </w:r>
    </w:p>
  </w:footnote>
  <w:footnote w:type="continuationSeparator" w:id="0">
    <w:p w14:paraId="2612B07D" w14:textId="77777777" w:rsidR="00294853" w:rsidRDefault="0029485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2FC03" w14:textId="77777777" w:rsidR="007B3AFD" w:rsidRDefault="007B3A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BA037" w14:textId="77777777" w:rsidR="007B3AFD" w:rsidRDefault="007B3A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C117E" w14:textId="77777777" w:rsidR="007B3AFD" w:rsidRDefault="007B3A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3B71"/>
    <w:rsid w:val="00173B71"/>
    <w:rsid w:val="00294853"/>
    <w:rsid w:val="00416689"/>
    <w:rsid w:val="00664FEF"/>
    <w:rsid w:val="007B3AFD"/>
    <w:rsid w:val="007E3FA5"/>
    <w:rsid w:val="00A84C39"/>
    <w:rsid w:val="00B21434"/>
    <w:rsid w:val="00C54A4B"/>
    <w:rsid w:val="00E71193"/>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45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689"/>
  </w:style>
  <w:style w:type="paragraph" w:styleId="Heading1">
    <w:name w:val="heading 1"/>
    <w:basedOn w:val="Normal"/>
    <w:next w:val="Normal"/>
    <w:uiPriority w:val="9"/>
    <w:qFormat/>
    <w:rsid w:val="00416689"/>
    <w:pPr>
      <w:keepNext/>
      <w:keepLines/>
      <w:outlineLvl w:val="0"/>
    </w:pPr>
    <w:rPr>
      <w:b/>
    </w:rPr>
  </w:style>
  <w:style w:type="paragraph" w:styleId="Heading2">
    <w:name w:val="heading 2"/>
    <w:basedOn w:val="Normal"/>
    <w:next w:val="Normal"/>
    <w:uiPriority w:val="9"/>
    <w:semiHidden/>
    <w:unhideWhenUsed/>
    <w:qFormat/>
    <w:rsid w:val="0041668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41668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16689"/>
    <w:pPr>
      <w:keepNext/>
      <w:keepLines/>
      <w:spacing w:before="280" w:after="80"/>
      <w:outlineLvl w:val="3"/>
    </w:pPr>
    <w:rPr>
      <w:color w:val="666666"/>
    </w:rPr>
  </w:style>
  <w:style w:type="paragraph" w:styleId="Heading5">
    <w:name w:val="heading 5"/>
    <w:basedOn w:val="Normal"/>
    <w:next w:val="Normal"/>
    <w:uiPriority w:val="9"/>
    <w:semiHidden/>
    <w:unhideWhenUsed/>
    <w:qFormat/>
    <w:rsid w:val="00416689"/>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1668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16689"/>
    <w:pPr>
      <w:keepNext/>
      <w:keepLines/>
      <w:spacing w:before="0" w:after="60"/>
    </w:pPr>
    <w:rPr>
      <w:sz w:val="52"/>
      <w:szCs w:val="52"/>
    </w:rPr>
  </w:style>
  <w:style w:type="paragraph" w:styleId="Subtitle">
    <w:name w:val="Subtitle"/>
    <w:basedOn w:val="Normal"/>
    <w:next w:val="Normal"/>
    <w:uiPriority w:val="11"/>
    <w:qFormat/>
    <w:rsid w:val="00416689"/>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E3FA5"/>
    <w:pPr>
      <w:spacing w:after="100"/>
    </w:pPr>
  </w:style>
  <w:style w:type="character" w:styleId="Hyperlink">
    <w:name w:val="Hyperlink"/>
    <w:basedOn w:val="DefaultParagraphFont"/>
    <w:uiPriority w:val="99"/>
    <w:unhideWhenUsed/>
    <w:rsid w:val="007E3FA5"/>
    <w:rPr>
      <w:color w:val="0000FF" w:themeColor="hyperlink"/>
      <w:u w:val="single"/>
    </w:rPr>
  </w:style>
  <w:style w:type="paragraph" w:styleId="Header">
    <w:name w:val="header"/>
    <w:basedOn w:val="Normal"/>
    <w:link w:val="HeaderChar"/>
    <w:uiPriority w:val="99"/>
    <w:semiHidden/>
    <w:unhideWhenUsed/>
    <w:rsid w:val="007B3AF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B3AFD"/>
  </w:style>
  <w:style w:type="paragraph" w:styleId="Footer">
    <w:name w:val="footer"/>
    <w:basedOn w:val="Normal"/>
    <w:link w:val="FooterChar"/>
    <w:uiPriority w:val="99"/>
    <w:semiHidden/>
    <w:unhideWhenUsed/>
    <w:rsid w:val="007B3AFD"/>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7B3AFD"/>
  </w:style>
  <w:style w:type="paragraph" w:customStyle="1" w:styleId="Normal1">
    <w:name w:val="Normal1"/>
    <w:rsid w:val="00A84C39"/>
    <w:pPr>
      <w:spacing w:before="0" w:after="0"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8D9F46F-0793-40BC-B4C4-37B073E1D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1870</Words>
  <Characters>11260</Characters>
  <Application>Microsoft Office Word</Application>
  <DocSecurity>0</DocSecurity>
  <Lines>184</Lines>
  <Paragraphs>53</Paragraphs>
  <ScaleCrop>false</ScaleCrop>
  <Company/>
  <LinksUpToDate>false</LinksUpToDate>
  <CharactersWithSpaces>13077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2022-03-16T11:46:00Z</dcterms:created>
  <dcterms:modified xsi:type="dcterms:W3CDTF">2022-04-11T11:13:00Z</dcterms:modified>
</cp:coreProperties>
</file>