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18D95" w14:textId="77777777" w:rsidR="00B41B7D" w:rsidRDefault="00B41B7D" w:rsidP="00B41B7D">
      <w:pPr>
        <w:spacing w:line="360" w:lineRule="auto"/>
        <w:jc w:val="center"/>
        <w:rPr>
          <w:rFonts w:ascii="Arial" w:eastAsia="Arial" w:hAnsi="Arial" w:cs="Arial"/>
          <w:b/>
          <w:bCs/>
        </w:rPr>
      </w:pPr>
    </w:p>
    <w:p w14:paraId="7A71829D" w14:textId="77777777" w:rsidR="00B41B7D" w:rsidRDefault="00B41B7D" w:rsidP="00B41B7D">
      <w:pPr>
        <w:spacing w:line="360" w:lineRule="auto"/>
        <w:jc w:val="center"/>
        <w:rPr>
          <w:rFonts w:ascii="Arial" w:eastAsia="Arial" w:hAnsi="Arial" w:cs="Arial"/>
          <w:b/>
          <w:bCs/>
        </w:rPr>
      </w:pPr>
    </w:p>
    <w:p w14:paraId="6FACBA0B" w14:textId="77777777" w:rsidR="00B41B7D" w:rsidRDefault="00B41B7D" w:rsidP="00B41B7D">
      <w:pPr>
        <w:spacing w:line="360" w:lineRule="auto"/>
        <w:jc w:val="center"/>
        <w:rPr>
          <w:rFonts w:ascii="Arial" w:eastAsia="Arial" w:hAnsi="Arial" w:cs="Arial"/>
          <w:b/>
          <w:bCs/>
        </w:rPr>
      </w:pPr>
    </w:p>
    <w:p w14:paraId="506A1F52" w14:textId="77777777" w:rsidR="00B41B7D" w:rsidRDefault="00B41B7D" w:rsidP="00B41B7D">
      <w:pPr>
        <w:spacing w:line="360" w:lineRule="auto"/>
        <w:jc w:val="center"/>
        <w:rPr>
          <w:rFonts w:ascii="Arial" w:eastAsia="Arial" w:hAnsi="Arial" w:cs="Arial"/>
          <w:b/>
          <w:bCs/>
        </w:rPr>
      </w:pPr>
      <w:r>
        <w:rPr>
          <w:rFonts w:ascii="Arial" w:eastAsia="Arial" w:hAnsi="Arial" w:cs="Arial"/>
          <w:b/>
          <w:bCs/>
        </w:rPr>
        <w:t>The Complex Care Role in Health and Social Care</w:t>
      </w:r>
    </w:p>
    <w:p w14:paraId="12407937" w14:textId="77777777" w:rsidR="00B41B7D" w:rsidRDefault="00B41B7D" w:rsidP="00B41B7D">
      <w:pPr>
        <w:spacing w:line="360" w:lineRule="auto"/>
        <w:jc w:val="center"/>
        <w:rPr>
          <w:rFonts w:ascii="Arial" w:eastAsia="Arial" w:hAnsi="Arial" w:cs="Arial"/>
        </w:rPr>
      </w:pPr>
      <w:r>
        <w:rPr>
          <w:rFonts w:ascii="Arial" w:eastAsia="Arial" w:hAnsi="Arial" w:cs="Arial"/>
        </w:rPr>
        <w:t xml:space="preserve">Student </w:t>
      </w:r>
      <w:proofErr w:type="spellStart"/>
      <w:proofErr w:type="gramStart"/>
      <w:r>
        <w:rPr>
          <w:rFonts w:ascii="Arial" w:eastAsia="Arial" w:hAnsi="Arial" w:cs="Arial"/>
        </w:rPr>
        <w:t>Name:NAYAB</w:t>
      </w:r>
      <w:proofErr w:type="spellEnd"/>
      <w:proofErr w:type="gramEnd"/>
      <w:r>
        <w:rPr>
          <w:rFonts w:ascii="Arial" w:eastAsia="Arial" w:hAnsi="Arial" w:cs="Arial"/>
        </w:rPr>
        <w:t xml:space="preserve"> BILAL</w:t>
      </w:r>
    </w:p>
    <w:p w14:paraId="4E76E016" w14:textId="77777777" w:rsidR="00B41B7D" w:rsidRDefault="00B41B7D" w:rsidP="00B41B7D">
      <w:pPr>
        <w:spacing w:line="360" w:lineRule="auto"/>
        <w:jc w:val="center"/>
        <w:rPr>
          <w:rFonts w:ascii="Arial" w:eastAsia="Arial" w:hAnsi="Arial" w:cs="Arial"/>
          <w:b/>
          <w:bCs/>
        </w:rPr>
      </w:pPr>
      <w:r>
        <w:rPr>
          <w:rFonts w:ascii="Arial" w:eastAsia="Arial" w:hAnsi="Arial" w:cs="Arial"/>
        </w:rPr>
        <w:t>Student ID Number:</w:t>
      </w:r>
      <w:r>
        <w:rPr>
          <w:rFonts w:ascii="Arial" w:eastAsia="Arial" w:hAnsi="Arial" w:cs="Arial"/>
          <w:b/>
          <w:bCs/>
        </w:rPr>
        <w:t xml:space="preserve"> 2535409</w:t>
      </w:r>
    </w:p>
    <w:p w14:paraId="417F932B" w14:textId="77777777" w:rsidR="00B41B7D" w:rsidRDefault="00B41B7D" w:rsidP="00B41B7D">
      <w:pPr>
        <w:spacing w:line="360" w:lineRule="auto"/>
        <w:jc w:val="center"/>
        <w:rPr>
          <w:rFonts w:ascii="Arial" w:eastAsia="Arial" w:hAnsi="Arial" w:cs="Arial"/>
          <w:b/>
          <w:bCs/>
        </w:rPr>
      </w:pPr>
      <w:proofErr w:type="spellStart"/>
      <w:r>
        <w:rPr>
          <w:rFonts w:ascii="Arial" w:eastAsia="Arial" w:hAnsi="Arial" w:cs="Arial"/>
          <w:b/>
          <w:bCs/>
        </w:rPr>
        <w:t>Programme</w:t>
      </w:r>
      <w:proofErr w:type="spellEnd"/>
      <w:r>
        <w:rPr>
          <w:rFonts w:ascii="Arial" w:eastAsia="Arial" w:hAnsi="Arial" w:cs="Arial"/>
          <w:b/>
          <w:bCs/>
        </w:rPr>
        <w:t xml:space="preserve">: </w:t>
      </w:r>
      <w:r>
        <w:rPr>
          <w:rFonts w:ascii="Arial" w:eastAsia="Arial" w:hAnsi="Arial" w:cs="Arial"/>
        </w:rPr>
        <w:t>Certificate of Higher Education Skills for Workplace (Health and Social Care)</w:t>
      </w:r>
    </w:p>
    <w:p w14:paraId="563DB708" w14:textId="77777777" w:rsidR="00B41B7D" w:rsidRDefault="00B41B7D" w:rsidP="00B41B7D">
      <w:pPr>
        <w:spacing w:line="360" w:lineRule="auto"/>
        <w:jc w:val="center"/>
        <w:rPr>
          <w:rFonts w:ascii="Arial" w:eastAsia="Arial" w:hAnsi="Arial" w:cs="Arial"/>
          <w:b/>
          <w:bCs/>
        </w:rPr>
      </w:pPr>
      <w:r>
        <w:rPr>
          <w:rFonts w:ascii="Arial" w:eastAsia="Arial" w:hAnsi="Arial" w:cs="Arial"/>
          <w:b/>
          <w:bCs/>
        </w:rPr>
        <w:t xml:space="preserve">Module Title: </w:t>
      </w:r>
      <w:r>
        <w:rPr>
          <w:rFonts w:ascii="Arial" w:eastAsia="Arial" w:hAnsi="Arial" w:cs="Arial"/>
        </w:rPr>
        <w:t>Academic and Employability Skills</w:t>
      </w:r>
    </w:p>
    <w:p w14:paraId="18A382A7" w14:textId="77777777" w:rsidR="00B41B7D" w:rsidRDefault="00B41B7D" w:rsidP="00B41B7D">
      <w:pPr>
        <w:spacing w:line="360" w:lineRule="auto"/>
        <w:jc w:val="center"/>
        <w:rPr>
          <w:rFonts w:ascii="Arial" w:eastAsia="Arial" w:hAnsi="Arial" w:cs="Arial"/>
          <w:b/>
          <w:bCs/>
        </w:rPr>
      </w:pPr>
      <w:r>
        <w:rPr>
          <w:rFonts w:ascii="Arial" w:eastAsia="Arial" w:hAnsi="Arial" w:cs="Arial"/>
          <w:b/>
          <w:bCs/>
        </w:rPr>
        <w:t xml:space="preserve">Module Code: </w:t>
      </w:r>
      <w:r>
        <w:rPr>
          <w:rFonts w:ascii="Arial" w:eastAsia="Arial" w:hAnsi="Arial" w:cs="Arial"/>
        </w:rPr>
        <w:t>LCHS4001</w:t>
      </w:r>
    </w:p>
    <w:p w14:paraId="53D804DA" w14:textId="77777777" w:rsidR="00B41B7D" w:rsidRDefault="00B41B7D" w:rsidP="00B41B7D">
      <w:pPr>
        <w:spacing w:line="360" w:lineRule="auto"/>
        <w:jc w:val="center"/>
        <w:rPr>
          <w:rFonts w:ascii="Arial" w:eastAsia="Arial" w:hAnsi="Arial" w:cs="Arial"/>
          <w:b/>
          <w:bCs/>
        </w:rPr>
      </w:pPr>
      <w:r>
        <w:rPr>
          <w:rFonts w:ascii="Arial" w:eastAsia="Arial" w:hAnsi="Arial" w:cs="Arial"/>
          <w:b/>
          <w:bCs/>
        </w:rPr>
        <w:t xml:space="preserve">Lecturer: </w:t>
      </w:r>
      <w:r>
        <w:rPr>
          <w:rFonts w:ascii="Arial" w:eastAsia="Arial" w:hAnsi="Arial" w:cs="Arial"/>
        </w:rPr>
        <w:t>Markus Klingelfuss</w:t>
      </w:r>
    </w:p>
    <w:p w14:paraId="213F0447" w14:textId="77777777" w:rsidR="00B41B7D" w:rsidRDefault="00B41B7D" w:rsidP="00B41B7D">
      <w:pPr>
        <w:spacing w:line="360" w:lineRule="auto"/>
        <w:jc w:val="center"/>
        <w:rPr>
          <w:rFonts w:ascii="Arial" w:eastAsia="Arial" w:hAnsi="Arial" w:cs="Arial"/>
          <w:b/>
          <w:bCs/>
        </w:rPr>
      </w:pPr>
      <w:r>
        <w:rPr>
          <w:rFonts w:ascii="Arial" w:eastAsia="Arial" w:hAnsi="Arial" w:cs="Arial"/>
          <w:b/>
          <w:bCs/>
        </w:rPr>
        <w:t xml:space="preserve">Assignment Title: </w:t>
      </w:r>
      <w:r>
        <w:rPr>
          <w:rFonts w:ascii="Arial" w:eastAsia="Arial" w:hAnsi="Arial" w:cs="Arial"/>
        </w:rPr>
        <w:t>Practical Portfolio of Work</w:t>
      </w:r>
    </w:p>
    <w:p w14:paraId="0993CC8C" w14:textId="77777777" w:rsidR="00B41B7D" w:rsidRDefault="00B41B7D" w:rsidP="00B41B7D">
      <w:pPr>
        <w:spacing w:line="360" w:lineRule="auto"/>
        <w:jc w:val="center"/>
        <w:rPr>
          <w:rFonts w:ascii="Arial" w:eastAsia="Arial" w:hAnsi="Arial" w:cs="Arial"/>
          <w:b/>
          <w:bCs/>
        </w:rPr>
      </w:pPr>
      <w:r>
        <w:rPr>
          <w:rFonts w:ascii="Arial" w:eastAsia="Arial" w:hAnsi="Arial" w:cs="Arial"/>
          <w:b/>
          <w:bCs/>
        </w:rPr>
        <w:t>Due Date:</w:t>
      </w:r>
    </w:p>
    <w:p w14:paraId="061AC58B" w14:textId="77777777" w:rsidR="00B41B7D" w:rsidRDefault="00B41B7D" w:rsidP="00B41B7D">
      <w:pPr>
        <w:spacing w:line="360" w:lineRule="auto"/>
        <w:rPr>
          <w:rFonts w:ascii="Arial" w:eastAsia="Arial" w:hAnsi="Arial" w:cs="Arial"/>
          <w:b/>
          <w:bCs/>
        </w:rPr>
      </w:pPr>
    </w:p>
    <w:p w14:paraId="4C191F31" w14:textId="77777777" w:rsidR="00B41B7D" w:rsidRDefault="00B41B7D" w:rsidP="00B41B7D">
      <w:pPr>
        <w:spacing w:line="360" w:lineRule="auto"/>
        <w:rPr>
          <w:rFonts w:ascii="Arial" w:eastAsia="Arial" w:hAnsi="Arial" w:cs="Arial"/>
          <w:b/>
          <w:bCs/>
        </w:rPr>
      </w:pPr>
    </w:p>
    <w:p w14:paraId="7ACE6F64" w14:textId="77777777" w:rsidR="00B41B7D" w:rsidRDefault="00B41B7D" w:rsidP="00B41B7D">
      <w:pPr>
        <w:spacing w:line="360" w:lineRule="auto"/>
        <w:rPr>
          <w:rFonts w:ascii="Arial" w:eastAsia="Arial" w:hAnsi="Arial" w:cs="Arial"/>
          <w:b/>
          <w:bCs/>
        </w:rPr>
      </w:pPr>
    </w:p>
    <w:p w14:paraId="5C94524D" w14:textId="77777777" w:rsidR="00B41B7D" w:rsidRDefault="00B41B7D" w:rsidP="00B41B7D">
      <w:pPr>
        <w:spacing w:line="360" w:lineRule="auto"/>
        <w:rPr>
          <w:rFonts w:ascii="Arial" w:eastAsia="Arial" w:hAnsi="Arial" w:cs="Arial"/>
          <w:b/>
          <w:bCs/>
        </w:rPr>
      </w:pPr>
    </w:p>
    <w:p w14:paraId="4F761B06" w14:textId="42DC2F9D" w:rsidR="003145AB" w:rsidRDefault="003145AB"/>
    <w:p w14:paraId="141B7706" w14:textId="77777777" w:rsidR="003145AB" w:rsidRDefault="003145AB">
      <w:pPr>
        <w:spacing w:line="278" w:lineRule="auto"/>
      </w:pPr>
      <w:r>
        <w:br w:type="page"/>
      </w:r>
    </w:p>
    <w:p w14:paraId="202604EC" w14:textId="77777777" w:rsidR="003145AB" w:rsidRDefault="003145AB" w:rsidP="003145AB">
      <w:pPr>
        <w:spacing w:line="360" w:lineRule="auto"/>
        <w:rPr>
          <w:rFonts w:ascii="Arial" w:eastAsia="Arial" w:hAnsi="Arial" w:cs="Arial"/>
          <w:b/>
          <w:bCs/>
        </w:rPr>
      </w:pPr>
      <w:r>
        <w:rPr>
          <w:rFonts w:ascii="Arial" w:eastAsia="Arial" w:hAnsi="Arial" w:cs="Arial"/>
          <w:b/>
          <w:bCs/>
        </w:rPr>
        <w:lastRenderedPageBreak/>
        <w:t>TASK 3: Academic Report</w:t>
      </w:r>
    </w:p>
    <w:p w14:paraId="6D979AB6" w14:textId="77777777" w:rsidR="003145AB" w:rsidRDefault="003145AB" w:rsidP="003145AB">
      <w:pPr>
        <w:spacing w:line="360" w:lineRule="auto"/>
        <w:rPr>
          <w:rFonts w:ascii="Arial" w:eastAsia="Arial" w:hAnsi="Arial" w:cs="Arial"/>
          <w:b/>
          <w:bCs/>
        </w:rPr>
      </w:pPr>
      <w:r>
        <w:rPr>
          <w:rFonts w:ascii="Arial" w:eastAsia="Arial" w:hAnsi="Arial" w:cs="Arial"/>
          <w:b/>
          <w:bCs/>
        </w:rPr>
        <w:t>Essential Skills and Strategies for Professional Development.</w:t>
      </w:r>
    </w:p>
    <w:p w14:paraId="6C17352C" w14:textId="77777777" w:rsidR="003145AB" w:rsidRDefault="003145AB" w:rsidP="003145AB">
      <w:pPr>
        <w:spacing w:line="360" w:lineRule="auto"/>
        <w:rPr>
          <w:rFonts w:ascii="Arial" w:eastAsia="Arial" w:hAnsi="Arial" w:cs="Arial"/>
          <w:b/>
          <w:bCs/>
        </w:rPr>
      </w:pPr>
      <w:r>
        <w:rPr>
          <w:rFonts w:ascii="Arial" w:eastAsia="Arial" w:hAnsi="Arial" w:cs="Arial"/>
          <w:b/>
          <w:bCs/>
        </w:rPr>
        <w:t>Introduction</w:t>
      </w:r>
    </w:p>
    <w:p w14:paraId="515FB8F7"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The role of a complex care worker is specialist, critical and gaining </w:t>
      </w:r>
      <w:proofErr w:type="gramStart"/>
      <w:r>
        <w:rPr>
          <w:rFonts w:ascii="Arial" w:eastAsia="Arial" w:hAnsi="Arial" w:cs="Arial"/>
        </w:rPr>
        <w:t>more and more</w:t>
      </w:r>
      <w:proofErr w:type="gramEnd"/>
      <w:r>
        <w:rPr>
          <w:rFonts w:ascii="Arial" w:eastAsia="Arial" w:hAnsi="Arial" w:cs="Arial"/>
        </w:rPr>
        <w:t xml:space="preserve"> importance in the health and social care sector in the United Kingdom. Complex care practitioners (sometimes known as complex care nurses or specialist community nurses) work to support people with multiple, long-term, and often interdependent health needs that need to be managed for a long period and in a coordinated way. These can encompass patients with an acquired brain injury, spinal cord injury, degenerative neurological conditions (e.g. multiple sclerosis) or mechanical ventilation/enteral feeding systems. Complex care requires the practitioner to apply their knowledge, skills and abilities to a variety of tasks that involve different agencies, therapeutic relationship building and clinical aspects. This report outlines what the complex care role entails, lists the three key skills essential to the successful performance of the role and outlines three strategies for developing each of the skills.</w:t>
      </w:r>
    </w:p>
    <w:p w14:paraId="6047CFCB" w14:textId="77777777" w:rsidR="003145AB" w:rsidRDefault="003145AB" w:rsidP="003145AB">
      <w:pPr>
        <w:spacing w:line="360" w:lineRule="auto"/>
        <w:rPr>
          <w:rFonts w:ascii="Arial" w:eastAsia="Arial" w:hAnsi="Arial" w:cs="Arial"/>
          <w:b/>
          <w:bCs/>
        </w:rPr>
      </w:pPr>
      <w:r>
        <w:rPr>
          <w:rFonts w:ascii="Arial" w:eastAsia="Arial" w:hAnsi="Arial" w:cs="Arial"/>
          <w:b/>
          <w:bCs/>
        </w:rPr>
        <w:t>Description of the Complex Care Role</w:t>
      </w:r>
    </w:p>
    <w:p w14:paraId="3DFB8673" w14:textId="77777777" w:rsidR="003145AB" w:rsidRDefault="003145AB" w:rsidP="003145AB">
      <w:pPr>
        <w:spacing w:line="360" w:lineRule="auto"/>
        <w:ind w:firstLine="720"/>
        <w:rPr>
          <w:rFonts w:ascii="Arial" w:eastAsia="Arial" w:hAnsi="Arial" w:cs="Arial"/>
          <w:b/>
          <w:bCs/>
        </w:rPr>
      </w:pPr>
      <w:r>
        <w:rPr>
          <w:rFonts w:ascii="Arial" w:eastAsia="Arial" w:hAnsi="Arial" w:cs="Arial"/>
        </w:rPr>
        <w:t>A complex care practitioner works in an integrated, person-</w:t>
      </w:r>
      <w:proofErr w:type="spellStart"/>
      <w:r>
        <w:rPr>
          <w:rFonts w:ascii="Arial" w:eastAsia="Arial" w:hAnsi="Arial" w:cs="Arial"/>
        </w:rPr>
        <w:t>centred</w:t>
      </w:r>
      <w:proofErr w:type="spellEnd"/>
      <w:r>
        <w:rPr>
          <w:rFonts w:ascii="Arial" w:eastAsia="Arial" w:hAnsi="Arial" w:cs="Arial"/>
        </w:rPr>
        <w:t xml:space="preserve"> way with a person who can't access the help they need from the community or the hospital. Functions and responsibilities are wide-ranging and clinical and social. In clinical practice, complex care practitioners are the ones who administer and manage advanced care and interventions such as the management of percutaneous endoscopic gastrostomy (PEG) feeding tubes, tracheostomy care, catheter management and monitoring of patients who require ventilator assistance (Royal College of Nursing, 2022). They carry out in-depth assessments of the care required and formulate, deliver and review individual care plans with the patient, their family and the rest of the multi-professional team (MDT) which can include physiotherapists, occupational therapists, speech and language therapists, and consultant doctors.</w:t>
      </w:r>
    </w:p>
    <w:p w14:paraId="7561AC3C"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In addition to their clinical work, complex care practitioners voice patients' rights and preferences, especially when patients' communication may be limited. They liaise with commissioners, social workers and voluntary </w:t>
      </w:r>
      <w:proofErr w:type="spellStart"/>
      <w:r>
        <w:rPr>
          <w:rFonts w:ascii="Arial" w:eastAsia="Arial" w:hAnsi="Arial" w:cs="Arial"/>
        </w:rPr>
        <w:t>organisations</w:t>
      </w:r>
      <w:proofErr w:type="spellEnd"/>
      <w:r>
        <w:rPr>
          <w:rFonts w:ascii="Arial" w:eastAsia="Arial" w:hAnsi="Arial" w:cs="Arial"/>
        </w:rPr>
        <w:t xml:space="preserve"> to ensure that there is a seamless service between settings, </w:t>
      </w:r>
      <w:proofErr w:type="spellStart"/>
      <w:proofErr w:type="gramStart"/>
      <w:r>
        <w:rPr>
          <w:rFonts w:ascii="Arial" w:eastAsia="Arial" w:hAnsi="Arial" w:cs="Arial"/>
        </w:rPr>
        <w:t>eg</w:t>
      </w:r>
      <w:proofErr w:type="gramEnd"/>
      <w:r>
        <w:rPr>
          <w:rFonts w:ascii="Arial" w:eastAsia="Arial" w:hAnsi="Arial" w:cs="Arial"/>
        </w:rPr>
        <w:t>.</w:t>
      </w:r>
      <w:proofErr w:type="spellEnd"/>
      <w:r>
        <w:rPr>
          <w:rFonts w:ascii="Arial" w:eastAsia="Arial" w:hAnsi="Arial" w:cs="Arial"/>
        </w:rPr>
        <w:t xml:space="preserve">, from acute </w:t>
      </w:r>
      <w:proofErr w:type="gramStart"/>
      <w:r>
        <w:rPr>
          <w:rFonts w:ascii="Arial" w:eastAsia="Arial" w:hAnsi="Arial" w:cs="Arial"/>
        </w:rPr>
        <w:t>hospital</w:t>
      </w:r>
      <w:proofErr w:type="gramEnd"/>
      <w:r>
        <w:rPr>
          <w:rFonts w:ascii="Arial" w:eastAsia="Arial" w:hAnsi="Arial" w:cs="Arial"/>
        </w:rPr>
        <w:t xml:space="preserve"> to </w:t>
      </w:r>
      <w:proofErr w:type="gramStart"/>
      <w:r>
        <w:rPr>
          <w:rFonts w:ascii="Arial" w:eastAsia="Arial" w:hAnsi="Arial" w:cs="Arial"/>
        </w:rPr>
        <w:t>home based</w:t>
      </w:r>
      <w:proofErr w:type="gramEnd"/>
      <w:r>
        <w:rPr>
          <w:rFonts w:ascii="Arial" w:eastAsia="Arial" w:hAnsi="Arial" w:cs="Arial"/>
        </w:rPr>
        <w:t xml:space="preserve"> care. Complex care practitioners are also responsible for documentation and risk management, which are integral to their responsibilities, as they need to keep accurate, up-to-date records in line with NMC (2018) professional standards and local safeguarding procedures.</w:t>
      </w:r>
    </w:p>
    <w:p w14:paraId="3F197E6C" w14:textId="77777777" w:rsidR="003145AB" w:rsidRDefault="003145AB" w:rsidP="003145AB">
      <w:pPr>
        <w:spacing w:line="360" w:lineRule="auto"/>
        <w:rPr>
          <w:rFonts w:ascii="Arial" w:eastAsia="Arial" w:hAnsi="Arial" w:cs="Arial"/>
          <w:b/>
          <w:bCs/>
        </w:rPr>
      </w:pPr>
      <w:r>
        <w:rPr>
          <w:rFonts w:ascii="Arial" w:eastAsia="Arial" w:hAnsi="Arial" w:cs="Arial"/>
          <w:b/>
          <w:bCs/>
        </w:rPr>
        <w:t>Three Essential Skills for the Complex Care Role</w:t>
      </w:r>
    </w:p>
    <w:p w14:paraId="5013BC31" w14:textId="77777777" w:rsidR="003145AB" w:rsidRDefault="003145AB" w:rsidP="003145AB">
      <w:pPr>
        <w:spacing w:line="360" w:lineRule="auto"/>
        <w:rPr>
          <w:rFonts w:ascii="Arial" w:eastAsia="Arial" w:hAnsi="Arial" w:cs="Arial"/>
          <w:b/>
          <w:bCs/>
        </w:rPr>
      </w:pPr>
      <w:r>
        <w:rPr>
          <w:rFonts w:ascii="Arial" w:eastAsia="Arial" w:hAnsi="Arial" w:cs="Arial"/>
          <w:b/>
          <w:bCs/>
        </w:rPr>
        <w:lastRenderedPageBreak/>
        <w:t>Clinical Assessment and Critical Thinking</w:t>
      </w:r>
    </w:p>
    <w:p w14:paraId="20277E2B"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Rigorous and systematic clinical assessment and the use of critical thinking are essential skills of the complex care role. The conditions that are often encountered by service users are likely to be changing and complex and practitioners need to be able to identify where there is a change or deterioration of the baseline condition (Nursing and Midwifery Council, 2018). For instance, a complex care nurse caring for a patient with motor neuron disease (MND) and a tracheostomy will need to complete a range of assessments (such as assessing the consistency of the secretions, respiratory rate and a patient's level of consciousness) all at once, and make quick, evidence-based decisions about suctioning or emergency escalation. In this </w:t>
      </w:r>
      <w:proofErr w:type="gramStart"/>
      <w:r>
        <w:rPr>
          <w:rFonts w:ascii="Arial" w:eastAsia="Arial" w:hAnsi="Arial" w:cs="Arial"/>
        </w:rPr>
        <w:t>particular field</w:t>
      </w:r>
      <w:proofErr w:type="gramEnd"/>
      <w:r>
        <w:rPr>
          <w:rFonts w:ascii="Arial" w:eastAsia="Arial" w:hAnsi="Arial" w:cs="Arial"/>
        </w:rPr>
        <w:t xml:space="preserve">, the ramifications of under-diagnosis can be deadly serious, making clinical acuteness a must-have in this discipline. Critical thinking also helps practitioners to question the assumptions, </w:t>
      </w:r>
      <w:proofErr w:type="spellStart"/>
      <w:r>
        <w:rPr>
          <w:rFonts w:ascii="Arial" w:eastAsia="Arial" w:hAnsi="Arial" w:cs="Arial"/>
        </w:rPr>
        <w:t>analyse</w:t>
      </w:r>
      <w:proofErr w:type="spellEnd"/>
      <w:r>
        <w:rPr>
          <w:rFonts w:ascii="Arial" w:eastAsia="Arial" w:hAnsi="Arial" w:cs="Arial"/>
        </w:rPr>
        <w:t xml:space="preserve"> the evidence, and modify the care plan when they </w:t>
      </w:r>
      <w:proofErr w:type="gramStart"/>
      <w:r>
        <w:rPr>
          <w:rFonts w:ascii="Arial" w:eastAsia="Arial" w:hAnsi="Arial" w:cs="Arial"/>
        </w:rPr>
        <w:t>are not able to</w:t>
      </w:r>
      <w:proofErr w:type="gramEnd"/>
      <w:r>
        <w:rPr>
          <w:rFonts w:ascii="Arial" w:eastAsia="Arial" w:hAnsi="Arial" w:cs="Arial"/>
        </w:rPr>
        <w:t xml:space="preserve"> access the standard care plan for highly </w:t>
      </w:r>
      <w:proofErr w:type="spellStart"/>
      <w:r>
        <w:rPr>
          <w:rFonts w:ascii="Arial" w:eastAsia="Arial" w:hAnsi="Arial" w:cs="Arial"/>
        </w:rPr>
        <w:t>individualised</w:t>
      </w:r>
      <w:proofErr w:type="spellEnd"/>
      <w:r>
        <w:rPr>
          <w:rFonts w:ascii="Arial" w:eastAsia="Arial" w:hAnsi="Arial" w:cs="Arial"/>
        </w:rPr>
        <w:t xml:space="preserve"> presentations (Everson et al., 2020).</w:t>
      </w:r>
    </w:p>
    <w:p w14:paraId="261FED59" w14:textId="77777777" w:rsidR="003145AB" w:rsidRDefault="003145AB" w:rsidP="003145AB">
      <w:pPr>
        <w:spacing w:line="360" w:lineRule="auto"/>
        <w:rPr>
          <w:rFonts w:ascii="Arial" w:eastAsia="Arial" w:hAnsi="Arial" w:cs="Arial"/>
          <w:b/>
          <w:bCs/>
        </w:rPr>
      </w:pPr>
      <w:r>
        <w:rPr>
          <w:rFonts w:ascii="Arial" w:eastAsia="Arial" w:hAnsi="Arial" w:cs="Arial"/>
          <w:b/>
          <w:bCs/>
        </w:rPr>
        <w:t>Communication and Person-</w:t>
      </w:r>
      <w:proofErr w:type="spellStart"/>
      <w:r>
        <w:rPr>
          <w:rFonts w:ascii="Arial" w:eastAsia="Arial" w:hAnsi="Arial" w:cs="Arial"/>
          <w:b/>
          <w:bCs/>
        </w:rPr>
        <w:t>Centred</w:t>
      </w:r>
      <w:proofErr w:type="spellEnd"/>
      <w:r>
        <w:rPr>
          <w:rFonts w:ascii="Arial" w:eastAsia="Arial" w:hAnsi="Arial" w:cs="Arial"/>
          <w:b/>
          <w:bCs/>
        </w:rPr>
        <w:t xml:space="preserve"> Care</w:t>
      </w:r>
    </w:p>
    <w:p w14:paraId="31E12BE0"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Communication is key to good complex care, both with patients and within the MDT. Many of the users involved with this service have communication problems </w:t>
      </w:r>
      <w:proofErr w:type="gramStart"/>
      <w:r>
        <w:rPr>
          <w:rFonts w:ascii="Arial" w:eastAsia="Arial" w:hAnsi="Arial" w:cs="Arial"/>
        </w:rPr>
        <w:t>as a result of</w:t>
      </w:r>
      <w:proofErr w:type="gramEnd"/>
      <w:r>
        <w:rPr>
          <w:rFonts w:ascii="Arial" w:eastAsia="Arial" w:hAnsi="Arial" w:cs="Arial"/>
        </w:rPr>
        <w:t xml:space="preserve"> their condition, such as aphasia after stroke, or reduced verbal output with a progressive neurological disease. It is therefore important that practitioners have experience in using augmentative and alternative communication (AAC) such as the use of symbol boards and digital communication devices, so that patient voices are kept at the heart of decisions around their care (RCSLT, 2024). Inter-professional communication is also crucial; complex care coordinators chair MDT meetings, create and hand out written handover records, and meet with specialist consultants. This poor communication can lead to poorly coordinated care, medication mistakes or delayed treatment - all of which poses a great risk for clinically vulnerable people. Thus, communication is not only a soft skill, but a Clinical Safety Must Have!</w:t>
      </w:r>
    </w:p>
    <w:p w14:paraId="265D0139" w14:textId="77777777" w:rsidR="003145AB" w:rsidRDefault="003145AB" w:rsidP="003145AB">
      <w:pPr>
        <w:spacing w:line="360" w:lineRule="auto"/>
        <w:rPr>
          <w:rFonts w:ascii="Arial" w:eastAsia="Arial" w:hAnsi="Arial" w:cs="Arial"/>
          <w:b/>
          <w:bCs/>
        </w:rPr>
      </w:pPr>
      <w:r>
        <w:rPr>
          <w:rFonts w:ascii="Arial" w:eastAsia="Arial" w:hAnsi="Arial" w:cs="Arial"/>
          <w:b/>
          <w:bCs/>
        </w:rPr>
        <w:t>Care Coordination and Multi-Agency Working</w:t>
      </w:r>
    </w:p>
    <w:p w14:paraId="5904C12C"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Co-ordination of care across agencies and professionals is a key aspect of the complex care role and one that differentiates it from most of the health and social care roles (Department of Health and Social Care, 2022). The complex care nurse could have input from a hospital consultant, a community physiotherapist, a local authority social worker, a housing officer, and a patient's family carers, each of whom has their own </w:t>
      </w:r>
      <w:proofErr w:type="spellStart"/>
      <w:r>
        <w:rPr>
          <w:rFonts w:ascii="Arial" w:eastAsia="Arial" w:hAnsi="Arial" w:cs="Arial"/>
        </w:rPr>
        <w:t>organisational</w:t>
      </w:r>
      <w:proofErr w:type="spellEnd"/>
      <w:r>
        <w:rPr>
          <w:rFonts w:ascii="Arial" w:eastAsia="Arial" w:hAnsi="Arial" w:cs="Arial"/>
        </w:rPr>
        <w:t xml:space="preserve"> structures, funding and communication. The practitioner needs to have a broad perspective of the patient's care trajectory, </w:t>
      </w:r>
      <w:proofErr w:type="spellStart"/>
      <w:r>
        <w:rPr>
          <w:rFonts w:ascii="Arial" w:eastAsia="Arial" w:hAnsi="Arial" w:cs="Arial"/>
        </w:rPr>
        <w:t>recognise</w:t>
      </w:r>
      <w:proofErr w:type="spellEnd"/>
      <w:r>
        <w:rPr>
          <w:rFonts w:ascii="Arial" w:eastAsia="Arial" w:hAnsi="Arial" w:cs="Arial"/>
        </w:rPr>
        <w:t xml:space="preserve"> where care may be missing, where there is overlap </w:t>
      </w:r>
      <w:r>
        <w:rPr>
          <w:rFonts w:ascii="Arial" w:eastAsia="Arial" w:hAnsi="Arial" w:cs="Arial"/>
        </w:rPr>
        <w:lastRenderedPageBreak/>
        <w:t>in care and take a proactive approach to resolving agency conflicts. For example: A practitioner may be involved in coordinating the purchase of equipment, training of carers and risk assessments when a patient is being discharged from hospital to a home package of complex care, and it may be necessary to do this all at once, usually within a short time frame. If coordination is poor, it may lead to substandard discharge or readmission to the hospital, or it may lead to breakdown of the care package.</w:t>
      </w:r>
    </w:p>
    <w:p w14:paraId="26738A2E" w14:textId="77777777" w:rsidR="003145AB" w:rsidRDefault="003145AB" w:rsidP="003145AB">
      <w:pPr>
        <w:spacing w:line="360" w:lineRule="auto"/>
        <w:rPr>
          <w:rFonts w:ascii="Arial" w:eastAsia="Arial" w:hAnsi="Arial" w:cs="Arial"/>
          <w:b/>
          <w:bCs/>
        </w:rPr>
      </w:pPr>
      <w:r>
        <w:rPr>
          <w:rFonts w:ascii="Arial" w:eastAsia="Arial" w:hAnsi="Arial" w:cs="Arial"/>
          <w:b/>
          <w:bCs/>
        </w:rPr>
        <w:t>Three Strategies to Develop Each Skill</w:t>
      </w:r>
    </w:p>
    <w:p w14:paraId="3988CE58" w14:textId="77777777" w:rsidR="003145AB" w:rsidRDefault="003145AB" w:rsidP="003145AB">
      <w:pPr>
        <w:spacing w:line="360" w:lineRule="auto"/>
        <w:rPr>
          <w:rFonts w:ascii="Arial" w:eastAsia="Arial" w:hAnsi="Arial" w:cs="Arial"/>
          <w:b/>
          <w:bCs/>
        </w:rPr>
      </w:pPr>
      <w:r>
        <w:rPr>
          <w:rFonts w:ascii="Arial" w:eastAsia="Arial" w:hAnsi="Arial" w:cs="Arial"/>
          <w:b/>
          <w:bCs/>
        </w:rPr>
        <w:t>Developing Clinical Assessment and Critical Thinking</w:t>
      </w:r>
    </w:p>
    <w:p w14:paraId="5060D252"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One very effective way to acquire clinical assessment skills is by attending simulation training. High fidelity clinical simulations are frequently employed in both NHS trusts and HE institutions and enable practitioners to practice scenarios of high complexity, which may involve managing, for example, the deterioration in an acute respiratory scenario in a tracheostomy patient, without risk to the patient (Everson et al., 2020). Simulation training has been shown to enhance clinical decision making, situational awareness and confidence in time critical situations. In tandem with this, the use of reflective practice, like Gibbs' Reflective </w:t>
      </w:r>
      <w:proofErr w:type="gramStart"/>
      <w:r>
        <w:rPr>
          <w:rFonts w:ascii="Arial" w:eastAsia="Arial" w:hAnsi="Arial" w:cs="Arial"/>
        </w:rPr>
        <w:t>Cycle</w:t>
      </w:r>
      <w:proofErr w:type="gramEnd"/>
      <w:r>
        <w:rPr>
          <w:rFonts w:ascii="Arial" w:eastAsia="Arial" w:hAnsi="Arial" w:cs="Arial"/>
        </w:rPr>
        <w:t xml:space="preserve"> helps practitioners to systematically review their clinical interactions, detect areas of weakness in their assessment process and develop specific plans for practice enhancement. As complex cases are </w:t>
      </w:r>
      <w:proofErr w:type="gramStart"/>
      <w:r>
        <w:rPr>
          <w:rFonts w:ascii="Arial" w:eastAsia="Arial" w:hAnsi="Arial" w:cs="Arial"/>
        </w:rPr>
        <w:t>reflected on</w:t>
      </w:r>
      <w:proofErr w:type="gramEnd"/>
      <w:r>
        <w:rPr>
          <w:rFonts w:ascii="Arial" w:eastAsia="Arial" w:hAnsi="Arial" w:cs="Arial"/>
        </w:rPr>
        <w:t xml:space="preserve"> regularly, critical thinking capacity will be enriched over time.</w:t>
      </w:r>
    </w:p>
    <w:p w14:paraId="2D717127" w14:textId="77777777" w:rsidR="003145AB" w:rsidRDefault="003145AB" w:rsidP="003145AB">
      <w:pPr>
        <w:spacing w:line="360" w:lineRule="auto"/>
        <w:rPr>
          <w:rFonts w:ascii="Arial" w:eastAsia="Arial" w:hAnsi="Arial" w:cs="Arial"/>
          <w:b/>
          <w:bCs/>
        </w:rPr>
      </w:pPr>
      <w:r>
        <w:rPr>
          <w:rFonts w:ascii="Arial" w:eastAsia="Arial" w:hAnsi="Arial" w:cs="Arial"/>
          <w:b/>
          <w:bCs/>
        </w:rPr>
        <w:t>Developing Communication and Person-</w:t>
      </w:r>
      <w:proofErr w:type="spellStart"/>
      <w:r>
        <w:rPr>
          <w:rFonts w:ascii="Arial" w:eastAsia="Arial" w:hAnsi="Arial" w:cs="Arial"/>
          <w:b/>
          <w:bCs/>
        </w:rPr>
        <w:t>Centred</w:t>
      </w:r>
      <w:proofErr w:type="spellEnd"/>
      <w:r>
        <w:rPr>
          <w:rFonts w:ascii="Arial" w:eastAsia="Arial" w:hAnsi="Arial" w:cs="Arial"/>
          <w:b/>
          <w:bCs/>
        </w:rPr>
        <w:t xml:space="preserve"> Care</w:t>
      </w:r>
    </w:p>
    <w:p w14:paraId="740EA514" w14:textId="77777777" w:rsidR="003145AB" w:rsidRDefault="003145AB" w:rsidP="003145AB">
      <w:pPr>
        <w:spacing w:line="360" w:lineRule="auto"/>
        <w:ind w:firstLine="720"/>
        <w:rPr>
          <w:rFonts w:ascii="Arial" w:eastAsia="Arial" w:hAnsi="Arial" w:cs="Arial"/>
        </w:rPr>
      </w:pPr>
      <w:r>
        <w:rPr>
          <w:rFonts w:ascii="Arial" w:eastAsia="Arial" w:hAnsi="Arial" w:cs="Arial"/>
        </w:rPr>
        <w:t>Practitioners need to complete specialist training in augmentative and alternative communication (AAC) systems to build communication skills specific to the complex care context. The Royal College of Speech and Language Therapists offers comprehensive clinical information and CPD-appropriate materials about AAC strategies, helping nurses and carers to better support patients who have expressive communication skills that are impaired (RCSLT, 2024). Furthermore, by engaging in MDT meetings, learning from the experience of your more senior colleagues and asking for input on your written documentation, practitioners can enhance their inter-professional communication. Another key dimension is the development of plain language communication skills - making care information accessible to patients and lay carers - which will also help to support the delivery of truly person-</w:t>
      </w:r>
      <w:proofErr w:type="spellStart"/>
      <w:r>
        <w:rPr>
          <w:rFonts w:ascii="Arial" w:eastAsia="Arial" w:hAnsi="Arial" w:cs="Arial"/>
        </w:rPr>
        <w:t>centred</w:t>
      </w:r>
      <w:proofErr w:type="spellEnd"/>
      <w:r>
        <w:rPr>
          <w:rFonts w:ascii="Arial" w:eastAsia="Arial" w:hAnsi="Arial" w:cs="Arial"/>
        </w:rPr>
        <w:t xml:space="preserve"> care as outlined in the NHS Long Term Plan.</w:t>
      </w:r>
    </w:p>
    <w:p w14:paraId="70DFEE24" w14:textId="77777777" w:rsidR="003145AB" w:rsidRDefault="003145AB" w:rsidP="003145AB">
      <w:pPr>
        <w:spacing w:line="360" w:lineRule="auto"/>
        <w:rPr>
          <w:rFonts w:ascii="Arial" w:eastAsia="Arial" w:hAnsi="Arial" w:cs="Arial"/>
          <w:b/>
          <w:bCs/>
        </w:rPr>
      </w:pPr>
      <w:r>
        <w:rPr>
          <w:rFonts w:ascii="Arial" w:eastAsia="Arial" w:hAnsi="Arial" w:cs="Arial"/>
          <w:b/>
          <w:bCs/>
        </w:rPr>
        <w:t>Developing Care Coordination and Multi-Agency Working</w:t>
      </w:r>
    </w:p>
    <w:p w14:paraId="59BFE146"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Practitioners should immerse themselves in the NHS Continuing Healthcare (CHC) framework and training materials to build up their CHC skills. The National Framework for </w:t>
      </w:r>
      <w:r>
        <w:rPr>
          <w:rFonts w:ascii="Arial" w:eastAsia="Arial" w:hAnsi="Arial" w:cs="Arial"/>
        </w:rPr>
        <w:lastRenderedPageBreak/>
        <w:t>NHS Continuing Healthcare and NHS-Funded Nursing Care was revised in 2022, and understanding this policy structure is critical for anyone involved in the planning of discharging care packages or NHS-funded nursing home care, where the care is complex and came from multiple agencies (</w:t>
      </w:r>
      <w:proofErr w:type="spellStart"/>
      <w:r>
        <w:rPr>
          <w:rFonts w:ascii="Arial" w:eastAsia="Arial" w:hAnsi="Arial" w:cs="Arial"/>
        </w:rPr>
        <w:t>DoHSC</w:t>
      </w:r>
      <w:proofErr w:type="spellEnd"/>
      <w:r>
        <w:rPr>
          <w:rFonts w:ascii="Arial" w:eastAsia="Arial" w:hAnsi="Arial" w:cs="Arial"/>
        </w:rPr>
        <w:t xml:space="preserve">, 2022). Shared digital care records and care planning platforms within the ICS structures are another practical approach that </w:t>
      </w:r>
      <w:proofErr w:type="gramStart"/>
      <w:r>
        <w:rPr>
          <w:rFonts w:ascii="Arial" w:eastAsia="Arial" w:hAnsi="Arial" w:cs="Arial"/>
        </w:rPr>
        <w:t>facilitate</w:t>
      </w:r>
      <w:proofErr w:type="gramEnd"/>
      <w:r>
        <w:rPr>
          <w:rFonts w:ascii="Arial" w:eastAsia="Arial" w:hAnsi="Arial" w:cs="Arial"/>
        </w:rPr>
        <w:t xml:space="preserve"> the seamless and up-to-date sharing of information across </w:t>
      </w:r>
      <w:proofErr w:type="spellStart"/>
      <w:r>
        <w:rPr>
          <w:rFonts w:ascii="Arial" w:eastAsia="Arial" w:hAnsi="Arial" w:cs="Arial"/>
        </w:rPr>
        <w:t>organisational</w:t>
      </w:r>
      <w:proofErr w:type="spellEnd"/>
      <w:r>
        <w:rPr>
          <w:rFonts w:ascii="Arial" w:eastAsia="Arial" w:hAnsi="Arial" w:cs="Arial"/>
        </w:rPr>
        <w:t xml:space="preserve"> borders, </w:t>
      </w:r>
      <w:proofErr w:type="spellStart"/>
      <w:r>
        <w:rPr>
          <w:rFonts w:ascii="Arial" w:eastAsia="Arial" w:hAnsi="Arial" w:cs="Arial"/>
        </w:rPr>
        <w:t>minimising</w:t>
      </w:r>
      <w:proofErr w:type="spellEnd"/>
      <w:r>
        <w:rPr>
          <w:rFonts w:ascii="Arial" w:eastAsia="Arial" w:hAnsi="Arial" w:cs="Arial"/>
        </w:rPr>
        <w:t xml:space="preserve"> duplication and enhancing continuity. Formal mentoring or shadowing with experienced care coordinators too can deliver much experiential learning around the systemic and relational aspects of multi-agency working.</w:t>
      </w:r>
    </w:p>
    <w:p w14:paraId="3132208F" w14:textId="77777777" w:rsidR="003145AB" w:rsidRDefault="003145AB" w:rsidP="003145AB">
      <w:pPr>
        <w:spacing w:line="360" w:lineRule="auto"/>
        <w:rPr>
          <w:rFonts w:ascii="Arial" w:eastAsia="Arial" w:hAnsi="Arial" w:cs="Arial"/>
          <w:b/>
          <w:bCs/>
        </w:rPr>
      </w:pPr>
      <w:r>
        <w:rPr>
          <w:rFonts w:ascii="Arial" w:eastAsia="Arial" w:hAnsi="Arial" w:cs="Arial"/>
          <w:b/>
          <w:bCs/>
        </w:rPr>
        <w:t>Conclusion</w:t>
      </w:r>
    </w:p>
    <w:p w14:paraId="6B17D787" w14:textId="77777777" w:rsidR="003145AB" w:rsidRDefault="003145AB" w:rsidP="003145AB">
      <w:pPr>
        <w:spacing w:line="360" w:lineRule="auto"/>
        <w:ind w:firstLine="720"/>
        <w:rPr>
          <w:rFonts w:ascii="Arial" w:eastAsia="Arial" w:hAnsi="Arial" w:cs="Arial"/>
        </w:rPr>
      </w:pPr>
      <w:r>
        <w:rPr>
          <w:rFonts w:ascii="Arial" w:eastAsia="Arial" w:hAnsi="Arial" w:cs="Arial"/>
        </w:rPr>
        <w:t xml:space="preserve">The complex care role is one of the most challenging and comprehensive roles in the health and social care </w:t>
      </w:r>
      <w:proofErr w:type="gramStart"/>
      <w:r>
        <w:rPr>
          <w:rFonts w:ascii="Arial" w:eastAsia="Arial" w:hAnsi="Arial" w:cs="Arial"/>
        </w:rPr>
        <w:t>sector, and</w:t>
      </w:r>
      <w:proofErr w:type="gramEnd"/>
      <w:r>
        <w:rPr>
          <w:rFonts w:ascii="Arial" w:eastAsia="Arial" w:hAnsi="Arial" w:cs="Arial"/>
        </w:rPr>
        <w:t xml:space="preserve"> demands practitioners to have high level clinical assessment skills, advanced communication skills and sound coordination skills. The need for complex care services is on the increase, driven by the growing prevalence of </w:t>
      </w:r>
      <w:proofErr w:type="gramStart"/>
      <w:r>
        <w:rPr>
          <w:rFonts w:ascii="Arial" w:eastAsia="Arial" w:hAnsi="Arial" w:cs="Arial"/>
        </w:rPr>
        <w:t>long term</w:t>
      </w:r>
      <w:proofErr w:type="gramEnd"/>
      <w:r>
        <w:rPr>
          <w:rFonts w:ascii="Arial" w:eastAsia="Arial" w:hAnsi="Arial" w:cs="Arial"/>
        </w:rPr>
        <w:t xml:space="preserve"> conditions and an ageing population, and investment in developing these key skills is not only professionally essential, but ethically necessary. It involves targeted approaches and practice, such as simulation training, AAC education, and interaction with the CHC framework, to systematically develop the skills needed to provide effective, safe and truly person-</w:t>
      </w:r>
      <w:proofErr w:type="spellStart"/>
      <w:r>
        <w:rPr>
          <w:rFonts w:ascii="Arial" w:eastAsia="Arial" w:hAnsi="Arial" w:cs="Arial"/>
        </w:rPr>
        <w:t>centred</w:t>
      </w:r>
      <w:proofErr w:type="spellEnd"/>
      <w:r>
        <w:rPr>
          <w:rFonts w:ascii="Arial" w:eastAsia="Arial" w:hAnsi="Arial" w:cs="Arial"/>
        </w:rPr>
        <w:t xml:space="preserve"> complex care.</w:t>
      </w:r>
    </w:p>
    <w:p w14:paraId="0CB43E1F" w14:textId="77777777" w:rsidR="003145AB" w:rsidRDefault="003145AB" w:rsidP="003145AB">
      <w:pPr>
        <w:spacing w:line="360" w:lineRule="auto"/>
        <w:rPr>
          <w:rFonts w:ascii="Arial" w:eastAsia="Arial" w:hAnsi="Arial" w:cs="Arial"/>
          <w:b/>
          <w:bCs/>
        </w:rPr>
      </w:pPr>
    </w:p>
    <w:p w14:paraId="79BFEA46" w14:textId="77777777" w:rsidR="003145AB" w:rsidRDefault="003145AB" w:rsidP="003145AB">
      <w:pPr>
        <w:spacing w:line="360" w:lineRule="auto"/>
        <w:rPr>
          <w:rFonts w:ascii="Arial" w:eastAsia="Arial" w:hAnsi="Arial" w:cs="Arial"/>
          <w:b/>
          <w:bCs/>
        </w:rPr>
      </w:pPr>
    </w:p>
    <w:p w14:paraId="528B766A" w14:textId="77777777" w:rsidR="003145AB" w:rsidRDefault="003145AB" w:rsidP="003145AB">
      <w:pPr>
        <w:spacing w:line="360" w:lineRule="auto"/>
        <w:rPr>
          <w:rFonts w:ascii="Arial" w:eastAsia="Arial" w:hAnsi="Arial" w:cs="Arial"/>
          <w:b/>
          <w:bCs/>
        </w:rPr>
      </w:pPr>
    </w:p>
    <w:p w14:paraId="4B4AAB6E" w14:textId="77777777" w:rsidR="003145AB" w:rsidRDefault="003145AB" w:rsidP="003145AB">
      <w:pPr>
        <w:spacing w:line="360" w:lineRule="auto"/>
        <w:rPr>
          <w:rFonts w:ascii="Arial" w:eastAsia="Arial" w:hAnsi="Arial" w:cs="Arial"/>
          <w:b/>
          <w:bCs/>
        </w:rPr>
      </w:pPr>
    </w:p>
    <w:p w14:paraId="0A9F7C85" w14:textId="77777777" w:rsidR="003145AB" w:rsidRDefault="003145AB" w:rsidP="003145AB">
      <w:pPr>
        <w:spacing w:line="360" w:lineRule="auto"/>
        <w:rPr>
          <w:rFonts w:ascii="Arial" w:eastAsia="Arial" w:hAnsi="Arial" w:cs="Arial"/>
          <w:b/>
          <w:bCs/>
        </w:rPr>
      </w:pPr>
    </w:p>
    <w:p w14:paraId="2378C0D3" w14:textId="77777777" w:rsidR="003145AB" w:rsidRDefault="003145AB" w:rsidP="003145AB">
      <w:pPr>
        <w:spacing w:line="360" w:lineRule="auto"/>
        <w:rPr>
          <w:rFonts w:ascii="Arial" w:eastAsia="Arial" w:hAnsi="Arial" w:cs="Arial"/>
          <w:b/>
          <w:bCs/>
        </w:rPr>
      </w:pPr>
    </w:p>
    <w:p w14:paraId="6A8A3591" w14:textId="77777777" w:rsidR="003145AB" w:rsidRDefault="003145AB" w:rsidP="003145AB">
      <w:pPr>
        <w:spacing w:line="360" w:lineRule="auto"/>
        <w:rPr>
          <w:rFonts w:ascii="Arial" w:eastAsia="Arial" w:hAnsi="Arial" w:cs="Arial"/>
          <w:b/>
          <w:bCs/>
        </w:rPr>
      </w:pPr>
      <w:r>
        <w:rPr>
          <w:rFonts w:ascii="Arial" w:eastAsia="Arial" w:hAnsi="Arial" w:cs="Arial"/>
          <w:b/>
          <w:bCs/>
        </w:rPr>
        <w:t>References</w:t>
      </w:r>
    </w:p>
    <w:p w14:paraId="5335F07D" w14:textId="77777777" w:rsidR="003145AB" w:rsidRDefault="003145AB" w:rsidP="003145AB">
      <w:pPr>
        <w:spacing w:line="360" w:lineRule="auto"/>
        <w:rPr>
          <w:rFonts w:ascii="Arial" w:eastAsia="Arial" w:hAnsi="Arial" w:cs="Arial"/>
        </w:rPr>
      </w:pPr>
      <w:r>
        <w:rPr>
          <w:rFonts w:ascii="Arial" w:eastAsia="Arial" w:hAnsi="Arial" w:cs="Arial"/>
        </w:rPr>
        <w:t xml:space="preserve">Department of Health and Social Care (2022) </w:t>
      </w:r>
      <w:r>
        <w:rPr>
          <w:rFonts w:ascii="Arial" w:eastAsia="Arial" w:hAnsi="Arial" w:cs="Arial"/>
          <w:i/>
          <w:iCs/>
        </w:rPr>
        <w:t>National Framework for NHS Continuing Healthcare and NHS-funded Nursing Care</w:t>
      </w:r>
      <w:r>
        <w:rPr>
          <w:rFonts w:ascii="Arial" w:eastAsia="Arial" w:hAnsi="Arial" w:cs="Arial"/>
        </w:rPr>
        <w:t xml:space="preserve"> (Revised July 2022). London: DHSC. Available at: </w:t>
      </w:r>
      <w:hyperlink r:id="rId6">
        <w:r>
          <w:rPr>
            <w:rFonts w:ascii="Arial" w:eastAsia="Arial" w:hAnsi="Arial" w:cs="Arial"/>
            <w:color w:val="0563C1"/>
            <w:u w:val="single"/>
          </w:rPr>
          <w:t>https://assets.publishing.service.gov.uk/media/64b0f7cdc033c100108062f9/National-Framework-for-NHS-Continuing-Healthcare-and-NHS-funded-Nursing-Care_July-2022-revised_corrected-July-2023.pdf</w:t>
        </w:r>
      </w:hyperlink>
      <w:r>
        <w:rPr>
          <w:rFonts w:ascii="Arial" w:eastAsia="Arial" w:hAnsi="Arial" w:cs="Arial"/>
        </w:rPr>
        <w:t xml:space="preserve"> </w:t>
      </w:r>
    </w:p>
    <w:p w14:paraId="5757CC11" w14:textId="77777777" w:rsidR="003145AB" w:rsidRDefault="003145AB" w:rsidP="003145AB">
      <w:pPr>
        <w:spacing w:line="360" w:lineRule="auto"/>
        <w:rPr>
          <w:rFonts w:ascii="Arial" w:eastAsia="Arial" w:hAnsi="Arial" w:cs="Arial"/>
        </w:rPr>
      </w:pPr>
      <w:r>
        <w:rPr>
          <w:rFonts w:ascii="Arial" w:eastAsia="Arial" w:hAnsi="Arial" w:cs="Arial"/>
        </w:rPr>
        <w:lastRenderedPageBreak/>
        <w:t xml:space="preserve">Everson, J., Gao, A., </w:t>
      </w:r>
      <w:proofErr w:type="spellStart"/>
      <w:r>
        <w:rPr>
          <w:rFonts w:ascii="Arial" w:eastAsia="Arial" w:hAnsi="Arial" w:cs="Arial"/>
        </w:rPr>
        <w:t>Roder</w:t>
      </w:r>
      <w:proofErr w:type="spellEnd"/>
      <w:r>
        <w:rPr>
          <w:rFonts w:ascii="Arial" w:eastAsia="Arial" w:hAnsi="Arial" w:cs="Arial"/>
        </w:rPr>
        <w:t>, C. and Kinnear, J. (2020) 'Impact of simulation training on undergraduate clinical decision-making in emergencies: a non-blinded, single-</w:t>
      </w:r>
      <w:proofErr w:type="spellStart"/>
      <w:r>
        <w:rPr>
          <w:rFonts w:ascii="Arial" w:eastAsia="Arial" w:hAnsi="Arial" w:cs="Arial"/>
        </w:rPr>
        <w:t>centre</w:t>
      </w:r>
      <w:proofErr w:type="spellEnd"/>
      <w:r>
        <w:rPr>
          <w:rFonts w:ascii="Arial" w:eastAsia="Arial" w:hAnsi="Arial" w:cs="Arial"/>
        </w:rPr>
        <w:t xml:space="preserve">, </w:t>
      </w:r>
      <w:proofErr w:type="spellStart"/>
      <w:r>
        <w:rPr>
          <w:rFonts w:ascii="Arial" w:eastAsia="Arial" w:hAnsi="Arial" w:cs="Arial"/>
        </w:rPr>
        <w:t>randomised</w:t>
      </w:r>
      <w:proofErr w:type="spellEnd"/>
      <w:r>
        <w:rPr>
          <w:rFonts w:ascii="Arial" w:eastAsia="Arial" w:hAnsi="Arial" w:cs="Arial"/>
        </w:rPr>
        <w:t xml:space="preserve"> pilot study', </w:t>
      </w:r>
      <w:proofErr w:type="spellStart"/>
      <w:r>
        <w:rPr>
          <w:rFonts w:ascii="Arial" w:eastAsia="Arial" w:hAnsi="Arial" w:cs="Arial"/>
          <w:i/>
          <w:iCs/>
        </w:rPr>
        <w:t>Cureus</w:t>
      </w:r>
      <w:proofErr w:type="spellEnd"/>
      <w:r>
        <w:rPr>
          <w:rFonts w:ascii="Arial" w:eastAsia="Arial" w:hAnsi="Arial" w:cs="Arial"/>
        </w:rPr>
        <w:t xml:space="preserve">, 12(4), e7650. Available at: </w:t>
      </w:r>
      <w:hyperlink r:id="rId7">
        <w:r>
          <w:rPr>
            <w:rFonts w:ascii="Arial" w:eastAsia="Arial" w:hAnsi="Arial" w:cs="Arial"/>
            <w:color w:val="0563C1"/>
            <w:u w:val="single"/>
          </w:rPr>
          <w:t>https://www.ncbi.nlm.nih.gov/pmc/articles/PMC7217257/</w:t>
        </w:r>
      </w:hyperlink>
      <w:r>
        <w:rPr>
          <w:rFonts w:ascii="Arial" w:eastAsia="Arial" w:hAnsi="Arial" w:cs="Arial"/>
        </w:rPr>
        <w:t xml:space="preserve"> </w:t>
      </w:r>
    </w:p>
    <w:p w14:paraId="5E3C8E27" w14:textId="77777777" w:rsidR="003145AB" w:rsidRDefault="003145AB" w:rsidP="003145AB">
      <w:pPr>
        <w:spacing w:line="360" w:lineRule="auto"/>
        <w:rPr>
          <w:rFonts w:ascii="Arial" w:eastAsia="Arial" w:hAnsi="Arial" w:cs="Arial"/>
        </w:rPr>
      </w:pPr>
      <w:r>
        <w:rPr>
          <w:rFonts w:ascii="Arial" w:eastAsia="Arial" w:hAnsi="Arial" w:cs="Arial"/>
        </w:rPr>
        <w:t xml:space="preserve">Nursing and Midwifery Council (2018) </w:t>
      </w:r>
      <w:r>
        <w:rPr>
          <w:rFonts w:ascii="Arial" w:eastAsia="Arial" w:hAnsi="Arial" w:cs="Arial"/>
          <w:i/>
          <w:iCs/>
        </w:rPr>
        <w:t xml:space="preserve">The Code: Professional Standards of Practice and </w:t>
      </w:r>
      <w:proofErr w:type="spellStart"/>
      <w:r>
        <w:rPr>
          <w:rFonts w:ascii="Arial" w:eastAsia="Arial" w:hAnsi="Arial" w:cs="Arial"/>
          <w:i/>
          <w:iCs/>
        </w:rPr>
        <w:t>Behaviour</w:t>
      </w:r>
      <w:proofErr w:type="spellEnd"/>
      <w:r>
        <w:rPr>
          <w:rFonts w:ascii="Arial" w:eastAsia="Arial" w:hAnsi="Arial" w:cs="Arial"/>
          <w:i/>
          <w:iCs/>
        </w:rPr>
        <w:t xml:space="preserve"> for Nurses, Midwives and Nursing Associates</w:t>
      </w:r>
      <w:r>
        <w:rPr>
          <w:rFonts w:ascii="Arial" w:eastAsia="Arial" w:hAnsi="Arial" w:cs="Arial"/>
        </w:rPr>
        <w:t xml:space="preserve">. London: NMC. Available at: </w:t>
      </w:r>
      <w:hyperlink r:id="rId8">
        <w:r>
          <w:rPr>
            <w:rFonts w:ascii="Arial" w:eastAsia="Arial" w:hAnsi="Arial" w:cs="Arial"/>
            <w:color w:val="0563C1"/>
            <w:u w:val="single"/>
          </w:rPr>
          <w:t>https://www.nmc.org.uk/standards/code/</w:t>
        </w:r>
      </w:hyperlink>
      <w:r>
        <w:rPr>
          <w:rFonts w:ascii="Arial" w:eastAsia="Arial" w:hAnsi="Arial" w:cs="Arial"/>
        </w:rPr>
        <w:t xml:space="preserve"> (Accessed: 6 June 2026).</w:t>
      </w:r>
    </w:p>
    <w:p w14:paraId="5426502C" w14:textId="77777777" w:rsidR="003145AB" w:rsidRDefault="003145AB" w:rsidP="003145AB">
      <w:pPr>
        <w:spacing w:line="360" w:lineRule="auto"/>
        <w:rPr>
          <w:rFonts w:ascii="Arial" w:eastAsia="Arial" w:hAnsi="Arial" w:cs="Arial"/>
        </w:rPr>
      </w:pPr>
      <w:r>
        <w:rPr>
          <w:rFonts w:ascii="Arial" w:eastAsia="Arial" w:hAnsi="Arial" w:cs="Arial"/>
        </w:rPr>
        <w:t xml:space="preserve">Royal College of Nursing (2022) 'Tracheostomy care close to home', </w:t>
      </w:r>
      <w:r>
        <w:rPr>
          <w:rFonts w:ascii="Arial" w:eastAsia="Arial" w:hAnsi="Arial" w:cs="Arial"/>
          <w:i/>
          <w:iCs/>
        </w:rPr>
        <w:t>RCN Nursing Magazines</w:t>
      </w:r>
      <w:r>
        <w:rPr>
          <w:rFonts w:ascii="Arial" w:eastAsia="Arial" w:hAnsi="Arial" w:cs="Arial"/>
        </w:rPr>
        <w:t xml:space="preserve">. Available at: </w:t>
      </w:r>
      <w:hyperlink r:id="rId9">
        <w:r>
          <w:rPr>
            <w:rFonts w:ascii="Arial" w:eastAsia="Arial" w:hAnsi="Arial" w:cs="Arial"/>
            <w:color w:val="0563C1"/>
            <w:u w:val="single"/>
          </w:rPr>
          <w:t>https://www.rcn.org.uk/magazines/Clinical/2022/Sep/Specialist-tracheostomy-care-in-residential-home</w:t>
        </w:r>
      </w:hyperlink>
      <w:r>
        <w:rPr>
          <w:rFonts w:ascii="Arial" w:eastAsia="Arial" w:hAnsi="Arial" w:cs="Arial"/>
        </w:rPr>
        <w:t xml:space="preserve"> </w:t>
      </w:r>
    </w:p>
    <w:p w14:paraId="693C2173" w14:textId="5CDE984D" w:rsidR="00563650" w:rsidRDefault="003145AB" w:rsidP="003145AB">
      <w:r>
        <w:rPr>
          <w:rFonts w:ascii="Arial" w:eastAsia="Arial" w:hAnsi="Arial" w:cs="Arial"/>
        </w:rPr>
        <w:t xml:space="preserve">Royal College of Speech and Language Therapists (2024) </w:t>
      </w:r>
      <w:r>
        <w:rPr>
          <w:rFonts w:ascii="Arial" w:eastAsia="Arial" w:hAnsi="Arial" w:cs="Arial"/>
          <w:i/>
          <w:iCs/>
        </w:rPr>
        <w:t>RCSLT Position Statement: Augmentative and Alternative Communication (AAC)</w:t>
      </w:r>
      <w:r>
        <w:rPr>
          <w:rFonts w:ascii="Arial" w:eastAsia="Arial" w:hAnsi="Arial" w:cs="Arial"/>
        </w:rPr>
        <w:t xml:space="preserve">. London: RCSLT. Available at: </w:t>
      </w:r>
      <w:hyperlink r:id="rId10">
        <w:r>
          <w:rPr>
            <w:rFonts w:ascii="Arial" w:eastAsia="Arial" w:hAnsi="Arial" w:cs="Arial"/>
            <w:color w:val="0563C1"/>
            <w:u w:val="single"/>
          </w:rPr>
          <w:t>https://www.rcslt.org/wp-content/uploads/2024/05/RCSLT-AAC_position-statement_May2024.pdf</w:t>
        </w:r>
      </w:hyperlink>
    </w:p>
    <w:sectPr w:rsidR="0056365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19DD0" w14:textId="77777777" w:rsidR="00C12DEF" w:rsidRDefault="00C12DEF" w:rsidP="00B42A38">
      <w:pPr>
        <w:spacing w:after="0" w:line="240" w:lineRule="auto"/>
      </w:pPr>
      <w:r>
        <w:separator/>
      </w:r>
    </w:p>
  </w:endnote>
  <w:endnote w:type="continuationSeparator" w:id="0">
    <w:p w14:paraId="1F53743B" w14:textId="77777777" w:rsidR="00C12DEF" w:rsidRDefault="00C12DEF" w:rsidP="00B42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1AFC00" w14:textId="77777777" w:rsidR="00C12DEF" w:rsidRDefault="00C12DEF" w:rsidP="00B42A38">
      <w:pPr>
        <w:spacing w:after="0" w:line="240" w:lineRule="auto"/>
      </w:pPr>
      <w:r>
        <w:separator/>
      </w:r>
    </w:p>
  </w:footnote>
  <w:footnote w:type="continuationSeparator" w:id="0">
    <w:p w14:paraId="521D97CE" w14:textId="77777777" w:rsidR="00C12DEF" w:rsidRDefault="00C12DEF" w:rsidP="00B42A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0504869"/>
      <w:docPartObj>
        <w:docPartGallery w:val="Page Numbers (Top of Page)"/>
        <w:docPartUnique/>
      </w:docPartObj>
    </w:sdtPr>
    <w:sdtContent>
      <w:p w14:paraId="1BE13706" w14:textId="25F10611" w:rsidR="00B42A38" w:rsidRDefault="00B42A38">
        <w:pPr>
          <w:pStyle w:val="Header"/>
        </w:pPr>
        <w:r>
          <w:fldChar w:fldCharType="begin"/>
        </w:r>
        <w:r>
          <w:instrText>PAGE   \* MERGEFORMAT</w:instrText>
        </w:r>
        <w:r>
          <w:fldChar w:fldCharType="separate"/>
        </w:r>
        <w:r>
          <w:rPr>
            <w:lang w:val="en-GB"/>
          </w:rPr>
          <w:t>2</w:t>
        </w:r>
        <w:r>
          <w:fldChar w:fldCharType="end"/>
        </w:r>
      </w:p>
    </w:sdtContent>
  </w:sdt>
  <w:p w14:paraId="2A0802B9" w14:textId="77777777" w:rsidR="00B42A38" w:rsidRDefault="00B42A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650"/>
    <w:rsid w:val="003145AB"/>
    <w:rsid w:val="00563650"/>
    <w:rsid w:val="00A720CE"/>
    <w:rsid w:val="00B41B7D"/>
    <w:rsid w:val="00B42A38"/>
    <w:rsid w:val="00C12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6F389"/>
  <w15:chartTrackingRefBased/>
  <w15:docId w15:val="{4069C038-0CE0-4334-86AB-B55A7F6B9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B7D"/>
    <w:pPr>
      <w:spacing w:line="259" w:lineRule="auto"/>
    </w:pPr>
    <w:rPr>
      <w:rFonts w:ascii="Calibri" w:eastAsia="Calibri" w:hAnsi="Calibri" w:cs="Calibri"/>
      <w:kern w:val="0"/>
      <w:sz w:val="22"/>
      <w:szCs w:val="22"/>
      <w:lang w:val="en" w:eastAsia="en-GB"/>
      <w14:ligatures w14:val="none"/>
    </w:rPr>
  </w:style>
  <w:style w:type="paragraph" w:styleId="Heading1">
    <w:name w:val="heading 1"/>
    <w:basedOn w:val="Normal"/>
    <w:next w:val="Normal"/>
    <w:link w:val="Heading1Char"/>
    <w:uiPriority w:val="9"/>
    <w:qFormat/>
    <w:rsid w:val="0056365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56365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56365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563650"/>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GB" w:eastAsia="en-US"/>
      <w14:ligatures w14:val="standardContextual"/>
    </w:rPr>
  </w:style>
  <w:style w:type="paragraph" w:styleId="Heading5">
    <w:name w:val="heading 5"/>
    <w:basedOn w:val="Normal"/>
    <w:next w:val="Normal"/>
    <w:link w:val="Heading5Char"/>
    <w:uiPriority w:val="9"/>
    <w:semiHidden/>
    <w:unhideWhenUsed/>
    <w:qFormat/>
    <w:rsid w:val="00563650"/>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GB" w:eastAsia="en-US"/>
      <w14:ligatures w14:val="standardContextual"/>
    </w:rPr>
  </w:style>
  <w:style w:type="paragraph" w:styleId="Heading6">
    <w:name w:val="heading 6"/>
    <w:basedOn w:val="Normal"/>
    <w:next w:val="Normal"/>
    <w:link w:val="Heading6Char"/>
    <w:uiPriority w:val="9"/>
    <w:semiHidden/>
    <w:unhideWhenUsed/>
    <w:qFormat/>
    <w:rsid w:val="00563650"/>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val="en-GB" w:eastAsia="en-US"/>
      <w14:ligatures w14:val="standardContextual"/>
    </w:rPr>
  </w:style>
  <w:style w:type="paragraph" w:styleId="Heading7">
    <w:name w:val="heading 7"/>
    <w:basedOn w:val="Normal"/>
    <w:next w:val="Normal"/>
    <w:link w:val="Heading7Char"/>
    <w:uiPriority w:val="9"/>
    <w:semiHidden/>
    <w:unhideWhenUsed/>
    <w:qFormat/>
    <w:rsid w:val="00563650"/>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val="en-GB" w:eastAsia="en-US"/>
      <w14:ligatures w14:val="standardContextual"/>
    </w:rPr>
  </w:style>
  <w:style w:type="paragraph" w:styleId="Heading8">
    <w:name w:val="heading 8"/>
    <w:basedOn w:val="Normal"/>
    <w:next w:val="Normal"/>
    <w:link w:val="Heading8Char"/>
    <w:uiPriority w:val="9"/>
    <w:semiHidden/>
    <w:unhideWhenUsed/>
    <w:qFormat/>
    <w:rsid w:val="00563650"/>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val="en-GB" w:eastAsia="en-US"/>
      <w14:ligatures w14:val="standardContextual"/>
    </w:rPr>
  </w:style>
  <w:style w:type="paragraph" w:styleId="Heading9">
    <w:name w:val="heading 9"/>
    <w:basedOn w:val="Normal"/>
    <w:next w:val="Normal"/>
    <w:link w:val="Heading9Char"/>
    <w:uiPriority w:val="9"/>
    <w:semiHidden/>
    <w:unhideWhenUsed/>
    <w:qFormat/>
    <w:rsid w:val="00563650"/>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6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3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36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36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36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36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36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36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3650"/>
    <w:rPr>
      <w:rFonts w:eastAsiaTheme="majorEastAsia" w:cstheme="majorBidi"/>
      <w:color w:val="272727" w:themeColor="text1" w:themeTint="D8"/>
    </w:rPr>
  </w:style>
  <w:style w:type="paragraph" w:styleId="Title">
    <w:name w:val="Title"/>
    <w:basedOn w:val="Normal"/>
    <w:next w:val="Normal"/>
    <w:link w:val="TitleChar"/>
    <w:uiPriority w:val="10"/>
    <w:qFormat/>
    <w:rsid w:val="00563650"/>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5636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3650"/>
    <w:pPr>
      <w:numPr>
        <w:ilvl w:val="1"/>
      </w:numPr>
      <w:spacing w:line="278" w:lineRule="auto"/>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5636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3650"/>
    <w:pPr>
      <w:spacing w:before="160" w:line="278" w:lineRule="auto"/>
      <w:jc w:val="center"/>
    </w:pPr>
    <w:rPr>
      <w:rFonts w:asciiTheme="minorHAnsi" w:eastAsiaTheme="minorHAnsi" w:hAnsiTheme="minorHAnsi" w:cstheme="minorBidi"/>
      <w:i/>
      <w:iCs/>
      <w:color w:val="404040" w:themeColor="text1" w:themeTint="BF"/>
      <w:kern w:val="2"/>
      <w:sz w:val="24"/>
      <w:szCs w:val="24"/>
      <w:lang w:val="en-GB" w:eastAsia="en-US"/>
      <w14:ligatures w14:val="standardContextual"/>
    </w:rPr>
  </w:style>
  <w:style w:type="character" w:customStyle="1" w:styleId="QuoteChar">
    <w:name w:val="Quote Char"/>
    <w:basedOn w:val="DefaultParagraphFont"/>
    <w:link w:val="Quote"/>
    <w:uiPriority w:val="29"/>
    <w:rsid w:val="00563650"/>
    <w:rPr>
      <w:i/>
      <w:iCs/>
      <w:color w:val="404040" w:themeColor="text1" w:themeTint="BF"/>
    </w:rPr>
  </w:style>
  <w:style w:type="paragraph" w:styleId="ListParagraph">
    <w:name w:val="List Paragraph"/>
    <w:basedOn w:val="Normal"/>
    <w:uiPriority w:val="34"/>
    <w:qFormat/>
    <w:rsid w:val="00563650"/>
    <w:pPr>
      <w:spacing w:line="278" w:lineRule="auto"/>
      <w:ind w:left="720"/>
      <w:contextualSpacing/>
    </w:pPr>
    <w:rPr>
      <w:rFonts w:asciiTheme="minorHAnsi" w:eastAsiaTheme="minorHAnsi" w:hAnsiTheme="minorHAnsi" w:cstheme="minorBidi"/>
      <w:kern w:val="2"/>
      <w:sz w:val="24"/>
      <w:szCs w:val="24"/>
      <w:lang w:val="en-GB" w:eastAsia="en-US"/>
      <w14:ligatures w14:val="standardContextual"/>
    </w:rPr>
  </w:style>
  <w:style w:type="character" w:styleId="IntenseEmphasis">
    <w:name w:val="Intense Emphasis"/>
    <w:basedOn w:val="DefaultParagraphFont"/>
    <w:uiPriority w:val="21"/>
    <w:qFormat/>
    <w:rsid w:val="00563650"/>
    <w:rPr>
      <w:i/>
      <w:iCs/>
      <w:color w:val="0F4761" w:themeColor="accent1" w:themeShade="BF"/>
    </w:rPr>
  </w:style>
  <w:style w:type="paragraph" w:styleId="IntenseQuote">
    <w:name w:val="Intense Quote"/>
    <w:basedOn w:val="Normal"/>
    <w:next w:val="Normal"/>
    <w:link w:val="IntenseQuoteChar"/>
    <w:uiPriority w:val="30"/>
    <w:qFormat/>
    <w:rsid w:val="0056365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GB" w:eastAsia="en-US"/>
      <w14:ligatures w14:val="standardContextual"/>
    </w:rPr>
  </w:style>
  <w:style w:type="character" w:customStyle="1" w:styleId="IntenseQuoteChar">
    <w:name w:val="Intense Quote Char"/>
    <w:basedOn w:val="DefaultParagraphFont"/>
    <w:link w:val="IntenseQuote"/>
    <w:uiPriority w:val="30"/>
    <w:rsid w:val="00563650"/>
    <w:rPr>
      <w:i/>
      <w:iCs/>
      <w:color w:val="0F4761" w:themeColor="accent1" w:themeShade="BF"/>
    </w:rPr>
  </w:style>
  <w:style w:type="character" w:styleId="IntenseReference">
    <w:name w:val="Intense Reference"/>
    <w:basedOn w:val="DefaultParagraphFont"/>
    <w:uiPriority w:val="32"/>
    <w:qFormat/>
    <w:rsid w:val="00563650"/>
    <w:rPr>
      <w:b/>
      <w:bCs/>
      <w:smallCaps/>
      <w:color w:val="0F4761" w:themeColor="accent1" w:themeShade="BF"/>
      <w:spacing w:val="5"/>
    </w:rPr>
  </w:style>
  <w:style w:type="paragraph" w:styleId="Header">
    <w:name w:val="header"/>
    <w:basedOn w:val="Normal"/>
    <w:link w:val="HeaderChar"/>
    <w:uiPriority w:val="99"/>
    <w:unhideWhenUsed/>
    <w:rsid w:val="00B42A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A38"/>
    <w:rPr>
      <w:rFonts w:ascii="Calibri" w:eastAsia="Calibri" w:hAnsi="Calibri" w:cs="Calibri"/>
      <w:kern w:val="0"/>
      <w:sz w:val="22"/>
      <w:szCs w:val="22"/>
      <w:lang w:val="en" w:eastAsia="en-GB"/>
      <w14:ligatures w14:val="none"/>
    </w:rPr>
  </w:style>
  <w:style w:type="paragraph" w:styleId="Footer">
    <w:name w:val="footer"/>
    <w:basedOn w:val="Normal"/>
    <w:link w:val="FooterChar"/>
    <w:uiPriority w:val="99"/>
    <w:unhideWhenUsed/>
    <w:rsid w:val="00B42A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A38"/>
    <w:rPr>
      <w:rFonts w:ascii="Calibri" w:eastAsia="Calibri" w:hAnsi="Calibri" w:cs="Calibri"/>
      <w:kern w:val="0"/>
      <w:sz w:val="22"/>
      <w:szCs w:val="22"/>
      <w:lang w:val="en"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standards/cod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cbi.nlm.nih.gov/pmc/articles/PMC721725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media/64b0f7cdc033c100108062f9/National-Framework-for-NHS-Continuing-Healthcare-and-NHS-funded-Nursing-Care_July-2022-revised_corrected-July-2023.pdf"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rcslt.org/wp-content/uploads/2024/05/RCSLT-AAC_position-statement_May2024.pdf" TargetMode="External"/><Relationship Id="rId4" Type="http://schemas.openxmlformats.org/officeDocument/2006/relationships/footnotes" Target="footnotes.xml"/><Relationship Id="rId9" Type="http://schemas.openxmlformats.org/officeDocument/2006/relationships/hyperlink" Target="https://www.rcn.org.uk/magazines/Clinical/2022/Sep/Specialist-tracheostomy-care-in-residential-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1792</Words>
  <Characters>10221</Characters>
  <Application>Microsoft Office Word</Application>
  <DocSecurity>0</DocSecurity>
  <Lines>85</Lines>
  <Paragraphs>23</Paragraphs>
  <ScaleCrop>false</ScaleCrop>
  <Company/>
  <LinksUpToDate>false</LinksUpToDate>
  <CharactersWithSpaces>11990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Nayab BILAL</dc:creator>
  <cp:keywords/>
  <dc:description/>
  <cp:lastModifiedBy>Nayab BILAL</cp:lastModifiedBy>
  <cp:revision>4</cp:revision>
  <dcterms:created xsi:type="dcterms:W3CDTF">2026-07-05T18:30:00Z</dcterms:created>
  <dcterms:modified xsi:type="dcterms:W3CDTF">2026-07-05T18:37:00Z</dcterms:modified>
</cp:coreProperties>
</file>