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04ED3"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95B27EB"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C35A4B">
        <w:rPr>
          <w:rFonts w:ascii="Arial" w:hAnsi="Arial" w:cs="Arial"/>
          <w:sz w:val="28"/>
          <w:szCs w:val="28"/>
          <w:lang w:val="nl-NL"/>
        </w:rPr>
        <w:t>introduction to health and social care</w:t>
      </w:r>
    </w:p>
    <w:p w14:paraId="537571AF" w14:textId="3CB4FE21"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proofErr w:type="gramStart"/>
      <w:r w:rsidRPr="00CD33A8">
        <w:rPr>
          <w:rFonts w:ascii="Arial" w:hAnsi="Arial" w:cs="Arial"/>
          <w:b/>
          <w:bCs/>
          <w:sz w:val="28"/>
          <w:szCs w:val="28"/>
        </w:rPr>
        <w:t>code</w:t>
      </w:r>
      <w:r w:rsidRPr="00CD33A8">
        <w:rPr>
          <w:rFonts w:ascii="Arial" w:hAnsi="Arial" w:cs="Arial"/>
          <w:sz w:val="28"/>
          <w:szCs w:val="28"/>
        </w:rPr>
        <w:t>:</w:t>
      </w:r>
      <w:r w:rsidR="00C35A4B">
        <w:rPr>
          <w:rFonts w:ascii="Arial" w:hAnsi="Arial" w:cs="Arial"/>
          <w:sz w:val="28"/>
          <w:szCs w:val="28"/>
        </w:rPr>
        <w:t>lchs</w:t>
      </w:r>
      <w:proofErr w:type="gramEnd"/>
      <w:r w:rsidR="00C35A4B">
        <w:rPr>
          <w:rFonts w:ascii="Arial" w:hAnsi="Arial" w:cs="Arial"/>
          <w:sz w:val="28"/>
          <w:szCs w:val="28"/>
        </w:rPr>
        <w:t>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1984E5D2"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35A4B">
        <w:rPr>
          <w:rFonts w:ascii="Arial" w:hAnsi="Arial" w:cs="Arial"/>
          <w:sz w:val="28"/>
          <w:szCs w:val="28"/>
          <w:lang w:val="nl-NL"/>
        </w:rPr>
        <w:t>Ivana balogova</w:t>
      </w:r>
    </w:p>
    <w:p w14:paraId="39AA4413" w14:textId="4D41E7F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35A4B">
        <w:rPr>
          <w:rFonts w:ascii="Arial" w:hAnsi="Arial" w:cs="Arial"/>
          <w:sz w:val="28"/>
          <w:szCs w:val="28"/>
          <w:lang w:val="nl-NL"/>
        </w:rPr>
        <w:t>1916775</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50F42B7"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 xml:space="preserve">Lecturer’s </w:t>
      </w:r>
      <w:proofErr w:type="spellStart"/>
      <w:r>
        <w:rPr>
          <w:rFonts w:ascii="Arial" w:hAnsi="Arial" w:cs="Arial"/>
          <w:b/>
          <w:bCs/>
          <w:sz w:val="28"/>
          <w:szCs w:val="28"/>
        </w:rPr>
        <w:t>name</w:t>
      </w:r>
      <w:r w:rsidR="00074402" w:rsidRPr="00CD33A8">
        <w:rPr>
          <w:rFonts w:ascii="Arial" w:hAnsi="Arial" w:cs="Arial"/>
          <w:sz w:val="28"/>
          <w:szCs w:val="28"/>
        </w:rPr>
        <w:t>:</w:t>
      </w:r>
      <w:r w:rsidR="00C35A4B">
        <w:rPr>
          <w:rFonts w:ascii="Arial" w:hAnsi="Arial" w:cs="Arial"/>
          <w:sz w:val="28"/>
          <w:szCs w:val="28"/>
        </w:rPr>
        <w:t>Muhammed</w:t>
      </w:r>
      <w:proofErr w:type="spellEnd"/>
      <w:r w:rsidR="00C35A4B">
        <w:rPr>
          <w:rFonts w:ascii="Arial" w:hAnsi="Arial" w:cs="Arial"/>
          <w:sz w:val="28"/>
          <w:szCs w:val="28"/>
        </w:rPr>
        <w:t xml:space="preserve">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r w:rsidRPr="00CD33A8">
        <w:lastRenderedPageBreak/>
        <w:t>1. Introduction</w:t>
      </w:r>
    </w:p>
    <w:p w14:paraId="14BF3272" w14:textId="0A8CBA10" w:rsidR="0026393A" w:rsidRDefault="00B46560" w:rsidP="008E3943">
      <w:pPr>
        <w:tabs>
          <w:tab w:val="left" w:pos="6540"/>
        </w:tabs>
        <w:spacing w:line="360" w:lineRule="auto"/>
        <w:rPr>
          <w:rFonts w:ascii="Arial" w:hAnsi="Arial" w:cs="Arial"/>
          <w:sz w:val="22"/>
        </w:rPr>
      </w:pPr>
      <w:r w:rsidRPr="00B46560">
        <w:rPr>
          <w:rFonts w:ascii="Arial" w:hAnsi="Arial" w:cs="Arial"/>
          <w:sz w:val="22"/>
        </w:rPr>
        <w:t>This report analyses the care needs of Mr Ahmed, a 68-year-old man recovering from a stroke and receiving domiciliary support following hospital discharge. His care involves multiple professionals, including a general practitioner (GP), district nurse, speech and language therapist, and care workers, alongside support from his wife. Mr Ahmed’s limited English proficiency and post-stroke communication difficulties present additional challenges that require careful consideration within health and social care practice. Furthermore, a recent missed care visit, which resulted in delayed medication, highlights potential risks associated with ineffective communication, poor administrative systems, and fragmented teamwork. This report will critically examine three key areas relevant to his care: effective communication supported by equality legislation and theory, the role of administrative skills and legal frameworks such as data protection, and the importance of collaborative working within multidisciplinary teams. These aspects are essential to ensuring safe, ethical, and person-centred care delivery.</w:t>
      </w:r>
    </w:p>
    <w:p w14:paraId="68C53673" w14:textId="77777777" w:rsidR="008E3943" w:rsidRPr="00CD33A8" w:rsidRDefault="008E3943" w:rsidP="008E3943">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3D497EA7"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Effective communication is a fundamental component of safe and person-centred care, particularly in complex cases such as Mr Ahmed’s. His ability to communicate is affected by both language barriers and the consequences of a stroke, which may include aphasia or reduced comprehension. Without appropriate communication strategies, there is a significant risk of misunderstandings that could compromise his safety and wellbeing.</w:t>
      </w:r>
    </w:p>
    <w:p w14:paraId="478C96EC"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To communicate effectively, professionals should adopt a person-centred approach that prioritises clarity and inclusivity. This includes using simple language, avoiding technical terminology, and allowing additional time for Mr Ahmed to process information and respond. Non-verbal communication, such as gestures and facial expressions, may also support understanding. According to Arnold and Boggs (2019), effective communication in healthcare requires adapting methods to meet individual needs, particularly when barriers are present.</w:t>
      </w:r>
    </w:p>
    <w:p w14:paraId="7786B5CC"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The Equality Act 2010 provides a legal framework that supports inclusive communication. It requires health and social care providers to make reasonable adjustments for individuals with protected characteristics, including disability and race. In this case, Mr Ahmed’s linguistic needs and communication impairment must be addressed to ensure equitable </w:t>
      </w:r>
      <w:r w:rsidRPr="00B46560">
        <w:rPr>
          <w:rFonts w:asciiTheme="minorBidi" w:hAnsiTheme="minorBidi"/>
          <w:sz w:val="22"/>
        </w:rPr>
        <w:lastRenderedPageBreak/>
        <w:t>access to care. Reasonable adjustments may include providing translation services, culturally appropriate care, and accessible information formats (Equality Act, 2010).</w:t>
      </w:r>
    </w:p>
    <w:p w14:paraId="05F939B1"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One theoretical model that can be applied is the Shannon and Weaver model of communication, which conceptualises communication as a process involving a sender, message, channel, and receiver, with potential interference or “noise” (Shannon and Weaver, 1949). In Mr Ahmed’s situation, noise may arise from language differences, cognitive impairment, or environmental distractions. To minimise this, professionals should confirm understanding through feedback, repetition, and clarification.</w:t>
      </w:r>
    </w:p>
    <w:p w14:paraId="4526E20A"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While Mr Ahmed’s wife plays a vital role in supporting communication, reliance solely on family members can raise concerns about confidentiality, consent, and accuracy. Professional interpreters should be considered where appropriate to ensure that Mr Ahmed’s voice remains central in decision-making (NICE, 2021).</w:t>
      </w:r>
    </w:p>
    <w:p w14:paraId="7FBA6FF2"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Active listening is also essential. This involves paying attention to verbal and non-verbal cues, demonstrating empathy, and responding appropriately. It helps build trust and encourages engagement, which is particularly important for individuals who may feel vulnerable following a stroke.</w:t>
      </w:r>
    </w:p>
    <w:p w14:paraId="2E65A0B5"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In summary, effective communication in Mr Ahmed’s care requires a combination of legal awareness, theoretical understanding, and practical adaptation. By implementing inclusive strategies, professionals can enhance understanding, promote autonomy, and reduce the risk of errors.</w:t>
      </w: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2EE5464" w:rsidR="00B87E75" w:rsidRPr="00CD33A8"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p>
    <w:p w14:paraId="53716F95"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Administrative competence is a critical aspect of professional practice in health and social care, directly influencing patient safety, continuity of care, and organisational accountability. In Mr Ahmed’s case, the missed domiciliary visit highlights the consequences of inadequate administrative systems and poor communication between care providers.</w:t>
      </w:r>
    </w:p>
    <w:p w14:paraId="41D298A5"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Accurate record keeping is essential to ensure that all aspects of care are documented clearly and consistently. Records should include details of care provided, medication administration, observations, and any incidents or concerns. According to the Nursing and Midwifery Council (NMC, 2018), records must be accurate, timely, and reflective of the care </w:t>
      </w:r>
      <w:r w:rsidRPr="00B46560">
        <w:rPr>
          <w:rFonts w:asciiTheme="minorBidi" w:hAnsiTheme="minorBidi"/>
          <w:sz w:val="22"/>
        </w:rPr>
        <w:lastRenderedPageBreak/>
        <w:t>delivered. This ensures that all professionals involved in Mr Ahmed’s care have access to up-to-date information, enabling informed decision-making.</w:t>
      </w:r>
    </w:p>
    <w:p w14:paraId="4736D2E6"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The Data Protection Act 2018 governs the handling of personal information in the UK and is aligned with the UK General Data Protection Regulation (UK GDPR). It requires that data is processed lawfully, fairly, and transparently, and that it is kept secure and confidential (ICO, 2023). For Mr Ahmed, this means that his personal and medical information must only be shared with authorised individuals involved in his care.</w:t>
      </w:r>
    </w:p>
    <w:p w14:paraId="1D459D0B"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Key principles of data protection include data minimisation, accuracy, storage limitation, and integrity. Care providers must ensure that only necessary information is collected and that it is regularly updated. For example, changes in Mr Ahmed’s condition or medication must be recorded promptly to avoid errors such as missed or duplicated doses.</w:t>
      </w:r>
    </w:p>
    <w:p w14:paraId="12A68085"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Confidentiality is particularly important in situations where family members are involved. While Mr Ahmed’s wife supports communication, professionals must ensure that information sharing is based on informed consent wherever possible. This aligns with ethical principles of autonomy and respect (Beauchamp and Childress, 2019).</w:t>
      </w:r>
    </w:p>
    <w:p w14:paraId="189D39C6"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Policy frameworks such as those set by the Care Quality Commission (CQC) emphasise the importance of effective record keeping and governance. These standards require organisations to maintain accurate records to demonstrate safe and effective care (CQC, 2022).</w:t>
      </w:r>
    </w:p>
    <w:p w14:paraId="62BE1108"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The increasing use of digital record systems has improved information sharing and accessibility. However, it also requires staff to be trained in data security practices, such as password protection and secure data storage.</w:t>
      </w:r>
    </w:p>
    <w:p w14:paraId="4FC14C6B" w14:textId="51D72811" w:rsidR="00B87E75" w:rsidRDefault="00B46560" w:rsidP="00CD33A8">
      <w:pPr>
        <w:tabs>
          <w:tab w:val="left" w:pos="6540"/>
        </w:tabs>
        <w:spacing w:line="360" w:lineRule="auto"/>
        <w:rPr>
          <w:rFonts w:asciiTheme="minorBidi" w:hAnsiTheme="minorBidi"/>
          <w:sz w:val="22"/>
        </w:rPr>
      </w:pPr>
      <w:r w:rsidRPr="00B46560">
        <w:rPr>
          <w:rFonts w:asciiTheme="minorBidi" w:hAnsiTheme="minorBidi"/>
          <w:sz w:val="22"/>
        </w:rPr>
        <w:t>In conclusion, strong administrative skills are essential in preventing errors, supporting accountability, and ensuring continuity of care. In Mr Ahmed’s case, improved record keeping and adherence to data protection principles are crucial to avoiding incidents and maintaining high standards of care.</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682D1769" w14:textId="188E00C2" w:rsidR="003E4ECF" w:rsidRPr="00B46560" w:rsidRDefault="004A736E" w:rsidP="00B46560">
      <w:pPr>
        <w:pStyle w:val="Heading1"/>
      </w:pPr>
      <w:r w:rsidRPr="00CD33A8">
        <w:t>4</w:t>
      </w:r>
      <w:r w:rsidR="00B87E75" w:rsidRPr="00CD33A8">
        <w:t xml:space="preserve">. </w:t>
      </w:r>
      <w:r w:rsidR="008E3943">
        <w:t>I</w:t>
      </w:r>
      <w:r w:rsidR="008E3943" w:rsidRPr="008E3943">
        <w:t>mportance of working collaboratively</w:t>
      </w:r>
    </w:p>
    <w:p w14:paraId="2C036D2E"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Collaborative working is essential in addressing the complex needs of individuals like Mr Ahmed, whose care involves multiple professionals across health and social care settings. Effective teamwork ensures that care is coordinated, consistent, and responsive to changing needs.</w:t>
      </w:r>
    </w:p>
    <w:p w14:paraId="1A804917"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lastRenderedPageBreak/>
        <w:t>A multidisciplinary approach allows each professional to contribute their expertise. For example, the GP oversees medical management, the district nurse monitors physical health, the speech and language therapist supports communication and swallowing, and care workers assist with daily living activities. According to Reeves et al. (2017), interprofessional collaboration improves patient outcomes by promoting shared decision-making and coordinated care.</w:t>
      </w:r>
    </w:p>
    <w:p w14:paraId="4680C6DB"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To foster effective collaboration, clear communication and shared goals are essential. Regular team meetings, shared care plans, and effective handover processes can help ensure that all professionals are informed and aligned. Involving Mr Ahmed and his wife in care planning also supports person-centred care.</w:t>
      </w:r>
    </w:p>
    <w:p w14:paraId="55598EAF"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However, challenges in multi-agency working are common. These may include communication breakdowns, role ambiguity, and organisational differences. The missed care visit suggests a potential failure in coordination or information sharing.</w:t>
      </w:r>
    </w:p>
    <w:p w14:paraId="67C3A238"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Strategies to address these challenges include establishing clear roles and responsibilities, implementing standardised communication protocols, and using integrated digital systems. Leadership and mutual respect among professionals also play a key role in fostering effective teamwork.</w:t>
      </w:r>
    </w:p>
    <w:p w14:paraId="57332598"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In summary, collaborative working enhances the quality and safety of care. By improving coordination and communication, professionals can reduce risks and ensure that Mr Ahmed receives comprehensive and consistent support.</w:t>
      </w: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6DBC958B" w14:textId="1E8E948C" w:rsidR="00CD33A8" w:rsidRDefault="00B46560" w:rsidP="008E3943">
      <w:pPr>
        <w:tabs>
          <w:tab w:val="left" w:pos="6540"/>
        </w:tabs>
        <w:spacing w:line="360" w:lineRule="auto"/>
        <w:rPr>
          <w:rFonts w:asciiTheme="minorBidi" w:hAnsiTheme="minorBidi"/>
          <w:sz w:val="22"/>
        </w:rPr>
      </w:pPr>
      <w:r w:rsidRPr="00B46560">
        <w:rPr>
          <w:rFonts w:asciiTheme="minorBidi" w:hAnsiTheme="minorBidi"/>
          <w:sz w:val="22"/>
        </w:rPr>
        <w:t>In conclusion, Mr Ahmed’s case illustrates the importance of effective communication, robust administrative practices, and collaborative working in health and social care. Communication strategies must be adapted to address language barriers and post-stroke impairments while adhering to legal frameworks such as the Equality Act 2010. Accurate record keeping and compliance with the Data Protection Act 2018 are essential for ensuring safe, accountable, and confidential care. Additionally, strong collaboration between professionals supports coordinated and person-centred care delivery. The incident involving a missed care visit highlights how failures in these areas can compromise patient safety. By strengthening communication, improving administrative systems, and fostering effective teamwork, care providers can enhance outcomes and reduce risks. Ultimately, a holistic and legally informed approach is required to support Mr Ahmed’s recovery and maintain his dignity and wellbeing.</w:t>
      </w:r>
    </w:p>
    <w:p w14:paraId="03979A24"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b/>
          <w:bCs/>
          <w:sz w:val="22"/>
        </w:rPr>
        <w:lastRenderedPageBreak/>
        <w:t>Reference List (Harvard Style)</w:t>
      </w:r>
      <w:r w:rsidRPr="00B46560">
        <w:rPr>
          <w:rFonts w:asciiTheme="minorBidi" w:hAnsiTheme="minorBidi"/>
          <w:sz w:val="22"/>
        </w:rPr>
        <w:br/>
        <w:t xml:space="preserve">Arnold, E. and Boggs, K. (2019) </w:t>
      </w:r>
      <w:r w:rsidRPr="00B46560">
        <w:rPr>
          <w:rFonts w:asciiTheme="minorBidi" w:hAnsiTheme="minorBidi"/>
          <w:i/>
          <w:iCs/>
          <w:sz w:val="22"/>
        </w:rPr>
        <w:t>Interpersonal Relationships: Professional Communication Skills for Nurses</w:t>
      </w:r>
      <w:r w:rsidRPr="00B46560">
        <w:rPr>
          <w:rFonts w:asciiTheme="minorBidi" w:hAnsiTheme="minorBidi"/>
          <w:sz w:val="22"/>
        </w:rPr>
        <w:t xml:space="preserve">. 8th </w:t>
      </w:r>
      <w:proofErr w:type="spellStart"/>
      <w:r w:rsidRPr="00B46560">
        <w:rPr>
          <w:rFonts w:asciiTheme="minorBidi" w:hAnsiTheme="minorBidi"/>
          <w:sz w:val="22"/>
        </w:rPr>
        <w:t>edn</w:t>
      </w:r>
      <w:proofErr w:type="spellEnd"/>
      <w:r w:rsidRPr="00B46560">
        <w:rPr>
          <w:rFonts w:asciiTheme="minorBidi" w:hAnsiTheme="minorBidi"/>
          <w:sz w:val="22"/>
        </w:rPr>
        <w:t>. St. Louis: Elsevier.</w:t>
      </w:r>
    </w:p>
    <w:p w14:paraId="6A010083"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Beauchamp, T.L. and Childress, J.F. (2019) </w:t>
      </w:r>
      <w:r w:rsidRPr="00B46560">
        <w:rPr>
          <w:rFonts w:asciiTheme="minorBidi" w:hAnsiTheme="minorBidi"/>
          <w:i/>
          <w:iCs/>
          <w:sz w:val="22"/>
        </w:rPr>
        <w:t>Principles of Biomedical Ethics</w:t>
      </w:r>
      <w:r w:rsidRPr="00B46560">
        <w:rPr>
          <w:rFonts w:asciiTheme="minorBidi" w:hAnsiTheme="minorBidi"/>
          <w:sz w:val="22"/>
        </w:rPr>
        <w:t xml:space="preserve">. 8th </w:t>
      </w:r>
      <w:proofErr w:type="spellStart"/>
      <w:r w:rsidRPr="00B46560">
        <w:rPr>
          <w:rFonts w:asciiTheme="minorBidi" w:hAnsiTheme="minorBidi"/>
          <w:sz w:val="22"/>
        </w:rPr>
        <w:t>edn</w:t>
      </w:r>
      <w:proofErr w:type="spellEnd"/>
      <w:r w:rsidRPr="00B46560">
        <w:rPr>
          <w:rFonts w:asciiTheme="minorBidi" w:hAnsiTheme="minorBidi"/>
          <w:sz w:val="22"/>
        </w:rPr>
        <w:t>. Oxford: Oxford University Press.</w:t>
      </w:r>
    </w:p>
    <w:p w14:paraId="437D8C96"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Care Quality Commission (CQC) (2022) </w:t>
      </w:r>
      <w:r w:rsidRPr="00B46560">
        <w:rPr>
          <w:rFonts w:asciiTheme="minorBidi" w:hAnsiTheme="minorBidi"/>
          <w:i/>
          <w:iCs/>
          <w:sz w:val="22"/>
        </w:rPr>
        <w:t>Regulation and inspection framework</w:t>
      </w:r>
      <w:r w:rsidRPr="00B46560">
        <w:rPr>
          <w:rFonts w:asciiTheme="minorBidi" w:hAnsiTheme="minorBidi"/>
          <w:sz w:val="22"/>
        </w:rPr>
        <w:t xml:space="preserve">. Available at: </w:t>
      </w:r>
      <w:hyperlink r:id="rId8" w:history="1">
        <w:r w:rsidRPr="00B46560">
          <w:rPr>
            <w:rStyle w:val="Hyperlink"/>
            <w:rFonts w:asciiTheme="minorBidi" w:hAnsiTheme="minorBidi"/>
            <w:sz w:val="22"/>
          </w:rPr>
          <w:t>https://www.cqc.org.uk</w:t>
        </w:r>
      </w:hyperlink>
    </w:p>
    <w:p w14:paraId="42873F04"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Equality Act (2010) </w:t>
      </w:r>
      <w:r w:rsidRPr="00B46560">
        <w:rPr>
          <w:rFonts w:asciiTheme="minorBidi" w:hAnsiTheme="minorBidi"/>
          <w:i/>
          <w:iCs/>
          <w:sz w:val="22"/>
        </w:rPr>
        <w:t>Equality Act 2010</w:t>
      </w:r>
      <w:r w:rsidRPr="00B46560">
        <w:rPr>
          <w:rFonts w:asciiTheme="minorBidi" w:hAnsiTheme="minorBidi"/>
          <w:sz w:val="22"/>
        </w:rPr>
        <w:t>. London: The Stationery Office.</w:t>
      </w:r>
    </w:p>
    <w:p w14:paraId="59896534"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Information Commissioner’s Office (ICO) (2023) </w:t>
      </w:r>
      <w:r w:rsidRPr="00B46560">
        <w:rPr>
          <w:rFonts w:asciiTheme="minorBidi" w:hAnsiTheme="minorBidi"/>
          <w:i/>
          <w:iCs/>
          <w:sz w:val="22"/>
        </w:rPr>
        <w:t>Guide to data protection</w:t>
      </w:r>
      <w:r w:rsidRPr="00B46560">
        <w:rPr>
          <w:rFonts w:asciiTheme="minorBidi" w:hAnsiTheme="minorBidi"/>
          <w:sz w:val="22"/>
        </w:rPr>
        <w:t xml:space="preserve">. Available at: </w:t>
      </w:r>
      <w:hyperlink r:id="rId9" w:history="1">
        <w:r w:rsidRPr="00B46560">
          <w:rPr>
            <w:rStyle w:val="Hyperlink"/>
            <w:rFonts w:asciiTheme="minorBidi" w:hAnsiTheme="minorBidi"/>
            <w:sz w:val="22"/>
          </w:rPr>
          <w:t>https://ico.org.uk</w:t>
        </w:r>
      </w:hyperlink>
    </w:p>
    <w:p w14:paraId="06FC5330"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Nursing and Midwifery Council (NMC) (2018) </w:t>
      </w:r>
      <w:r w:rsidRPr="00B46560">
        <w:rPr>
          <w:rFonts w:asciiTheme="minorBidi" w:hAnsiTheme="minorBidi"/>
          <w:i/>
          <w:iCs/>
          <w:sz w:val="22"/>
        </w:rPr>
        <w:t>The Code: Professional standards of practice and behaviour for nurses, midwives and nursing associates</w:t>
      </w:r>
      <w:r w:rsidRPr="00B46560">
        <w:rPr>
          <w:rFonts w:asciiTheme="minorBidi" w:hAnsiTheme="minorBidi"/>
          <w:sz w:val="22"/>
        </w:rPr>
        <w:t>. London: NMC.</w:t>
      </w:r>
    </w:p>
    <w:p w14:paraId="190FFD01"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National Institute for Health and Care Excellence (NICE) (2021) </w:t>
      </w:r>
      <w:r w:rsidRPr="00B46560">
        <w:rPr>
          <w:rFonts w:asciiTheme="minorBidi" w:hAnsiTheme="minorBidi"/>
          <w:i/>
          <w:iCs/>
          <w:sz w:val="22"/>
        </w:rPr>
        <w:t>Patient experience in adult NHS services</w:t>
      </w:r>
      <w:r w:rsidRPr="00B46560">
        <w:rPr>
          <w:rFonts w:asciiTheme="minorBidi" w:hAnsiTheme="minorBidi"/>
          <w:sz w:val="22"/>
        </w:rPr>
        <w:t>. London: NICE.</w:t>
      </w:r>
    </w:p>
    <w:p w14:paraId="1569DB6B"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Reeves, S., Lewin, S., Espin, S. and </w:t>
      </w:r>
      <w:proofErr w:type="spellStart"/>
      <w:r w:rsidRPr="00B46560">
        <w:rPr>
          <w:rFonts w:asciiTheme="minorBidi" w:hAnsiTheme="minorBidi"/>
          <w:sz w:val="22"/>
        </w:rPr>
        <w:t>Zwarenstein</w:t>
      </w:r>
      <w:proofErr w:type="spellEnd"/>
      <w:r w:rsidRPr="00B46560">
        <w:rPr>
          <w:rFonts w:asciiTheme="minorBidi" w:hAnsiTheme="minorBidi"/>
          <w:sz w:val="22"/>
        </w:rPr>
        <w:t xml:space="preserve">, M. (2017) </w:t>
      </w:r>
      <w:r w:rsidRPr="00B46560">
        <w:rPr>
          <w:rFonts w:asciiTheme="minorBidi" w:hAnsiTheme="minorBidi"/>
          <w:i/>
          <w:iCs/>
          <w:sz w:val="22"/>
        </w:rPr>
        <w:t>Interprofessional Teamwork for Health and Social Care</w:t>
      </w:r>
      <w:r w:rsidRPr="00B46560">
        <w:rPr>
          <w:rFonts w:asciiTheme="minorBidi" w:hAnsiTheme="minorBidi"/>
          <w:sz w:val="22"/>
        </w:rPr>
        <w:t xml:space="preserve">. 2nd </w:t>
      </w:r>
      <w:proofErr w:type="spellStart"/>
      <w:r w:rsidRPr="00B46560">
        <w:rPr>
          <w:rFonts w:asciiTheme="minorBidi" w:hAnsiTheme="minorBidi"/>
          <w:sz w:val="22"/>
        </w:rPr>
        <w:t>edn</w:t>
      </w:r>
      <w:proofErr w:type="spellEnd"/>
      <w:r w:rsidRPr="00B46560">
        <w:rPr>
          <w:rFonts w:asciiTheme="minorBidi" w:hAnsiTheme="minorBidi"/>
          <w:sz w:val="22"/>
        </w:rPr>
        <w:t>. Oxford: Wiley-Blackwell.</w:t>
      </w:r>
    </w:p>
    <w:p w14:paraId="1913595C" w14:textId="77777777" w:rsidR="00B46560" w:rsidRPr="00B46560" w:rsidRDefault="00B46560" w:rsidP="00B46560">
      <w:pPr>
        <w:tabs>
          <w:tab w:val="left" w:pos="6540"/>
        </w:tabs>
        <w:spacing w:line="360" w:lineRule="auto"/>
        <w:rPr>
          <w:rFonts w:asciiTheme="minorBidi" w:hAnsiTheme="minorBidi"/>
          <w:sz w:val="22"/>
        </w:rPr>
      </w:pPr>
      <w:r w:rsidRPr="00B46560">
        <w:rPr>
          <w:rFonts w:asciiTheme="minorBidi" w:hAnsiTheme="minorBidi"/>
          <w:sz w:val="22"/>
        </w:rPr>
        <w:t xml:space="preserve">Shannon, C.E. and Weaver, W. (1949) </w:t>
      </w:r>
      <w:r w:rsidRPr="00B46560">
        <w:rPr>
          <w:rFonts w:asciiTheme="minorBidi" w:hAnsiTheme="minorBidi"/>
          <w:i/>
          <w:iCs/>
          <w:sz w:val="22"/>
        </w:rPr>
        <w:t>The Mathematical Theory of Communication</w:t>
      </w:r>
      <w:r w:rsidRPr="00B46560">
        <w:rPr>
          <w:rFonts w:asciiTheme="minorBidi" w:hAnsiTheme="minorBidi"/>
          <w:sz w:val="22"/>
        </w:rPr>
        <w:t>. Urbana: University of Illinois Press.</w:t>
      </w:r>
    </w:p>
    <w:p w14:paraId="089B57B0" w14:textId="77777777" w:rsidR="00B46560" w:rsidRPr="00CD33A8" w:rsidRDefault="00B46560" w:rsidP="008E3943">
      <w:pPr>
        <w:tabs>
          <w:tab w:val="left" w:pos="6540"/>
        </w:tabs>
        <w:spacing w:line="360" w:lineRule="auto"/>
        <w:rPr>
          <w:rFonts w:asciiTheme="minorBidi" w:hAnsiTheme="minorBidi"/>
          <w:sz w:val="22"/>
        </w:rPr>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67489" w14:textId="77777777" w:rsidR="004866B0" w:rsidRDefault="004866B0" w:rsidP="003E4ECF">
      <w:pPr>
        <w:spacing w:after="0" w:line="240" w:lineRule="auto"/>
      </w:pPr>
      <w:r>
        <w:separator/>
      </w:r>
    </w:p>
  </w:endnote>
  <w:endnote w:type="continuationSeparator" w:id="0">
    <w:p w14:paraId="7FC4CCDB" w14:textId="77777777" w:rsidR="004866B0" w:rsidRDefault="004866B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F1265" w14:textId="77777777" w:rsidR="004866B0" w:rsidRDefault="004866B0" w:rsidP="003E4ECF">
      <w:pPr>
        <w:spacing w:after="0" w:line="240" w:lineRule="auto"/>
      </w:pPr>
      <w:r>
        <w:separator/>
      </w:r>
    </w:p>
  </w:footnote>
  <w:footnote w:type="continuationSeparator" w:id="0">
    <w:p w14:paraId="0CC29036" w14:textId="77777777" w:rsidR="004866B0" w:rsidRDefault="004866B0"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C3965"/>
    <w:rsid w:val="00321C4C"/>
    <w:rsid w:val="00392BBC"/>
    <w:rsid w:val="003E4ECF"/>
    <w:rsid w:val="004866B0"/>
    <w:rsid w:val="004A736E"/>
    <w:rsid w:val="006925AA"/>
    <w:rsid w:val="006F0F47"/>
    <w:rsid w:val="00725177"/>
    <w:rsid w:val="007A1B8D"/>
    <w:rsid w:val="00814A9E"/>
    <w:rsid w:val="008E3943"/>
    <w:rsid w:val="0090040D"/>
    <w:rsid w:val="009D052C"/>
    <w:rsid w:val="009D1D1E"/>
    <w:rsid w:val="009E6B9A"/>
    <w:rsid w:val="00A035FD"/>
    <w:rsid w:val="00AD23A0"/>
    <w:rsid w:val="00B46560"/>
    <w:rsid w:val="00B87E75"/>
    <w:rsid w:val="00C35A4B"/>
    <w:rsid w:val="00CD33A8"/>
    <w:rsid w:val="00E569FD"/>
    <w:rsid w:val="00E620E7"/>
    <w:rsid w:val="00F04ED3"/>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B46560"/>
    <w:rPr>
      <w:color w:val="0563C1" w:themeColor="hyperlink"/>
      <w:u w:val="single"/>
    </w:rPr>
  </w:style>
  <w:style w:type="character" w:styleId="UnresolvedMention">
    <w:name w:val="Unresolved Mention"/>
    <w:basedOn w:val="DefaultParagraphFont"/>
    <w:uiPriority w:val="99"/>
    <w:semiHidden/>
    <w:unhideWhenUsed/>
    <w:rsid w:val="00B46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Lubos gorol</cp:lastModifiedBy>
  <cp:revision>3</cp:revision>
  <dcterms:created xsi:type="dcterms:W3CDTF">2026-04-15T18:22:00Z</dcterms:created>
  <dcterms:modified xsi:type="dcterms:W3CDTF">2026-04-15T18:25:00Z</dcterms:modified>
</cp:coreProperties>
</file>