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61CB241" w:rsidP="161CB241" w:rsidRDefault="161CB241" w14:paraId="07EBFCB4" w14:textId="6FDFF01C">
      <w:pPr>
        <w:spacing w:line="360" w:lineRule="auto"/>
        <w:jc w:val="center"/>
        <w:rPr>
          <w:rFonts w:ascii="Arial" w:hAnsi="Arial" w:eastAsia="Arial" w:cs="Arial"/>
          <w:sz w:val="22"/>
          <w:szCs w:val="22"/>
        </w:rPr>
      </w:pPr>
    </w:p>
    <w:p w:rsidR="161CB241" w:rsidP="161CB241" w:rsidRDefault="161CB241" w14:paraId="316F7F02" w14:textId="6EF80DA3">
      <w:pPr>
        <w:spacing w:line="360" w:lineRule="auto"/>
        <w:jc w:val="center"/>
        <w:rPr>
          <w:rFonts w:ascii="Arial" w:hAnsi="Arial" w:eastAsia="Arial" w:cs="Arial"/>
          <w:sz w:val="22"/>
          <w:szCs w:val="22"/>
        </w:rPr>
      </w:pPr>
    </w:p>
    <w:p w:rsidR="161CB241" w:rsidP="161CB241" w:rsidRDefault="161CB241" w14:paraId="04320698" w14:textId="47FEBA11">
      <w:pPr>
        <w:pStyle w:val="Normal"/>
        <w:spacing w:line="360" w:lineRule="auto"/>
        <w:jc w:val="center"/>
        <w:rPr>
          <w:rFonts w:ascii="Arial" w:hAnsi="Arial" w:eastAsia="Arial" w:cs="Arial"/>
          <w:sz w:val="22"/>
          <w:szCs w:val="22"/>
        </w:rPr>
      </w:pPr>
    </w:p>
    <w:p w:rsidR="161CB241" w:rsidP="161CB241" w:rsidRDefault="161CB241" w14:paraId="0A3E4019" w14:textId="1C2C4FD1">
      <w:pPr>
        <w:spacing w:line="360" w:lineRule="auto"/>
        <w:jc w:val="center"/>
        <w:rPr>
          <w:rFonts w:ascii="Arial" w:hAnsi="Arial" w:eastAsia="Arial" w:cs="Arial"/>
          <w:sz w:val="22"/>
          <w:szCs w:val="22"/>
        </w:rPr>
      </w:pPr>
    </w:p>
    <w:p xmlns:wp14="http://schemas.microsoft.com/office/word/2010/wordml" w:rsidP="161CB241" wp14:paraId="2C078E63" wp14:textId="54EE62BA">
      <w:pPr>
        <w:spacing w:line="360" w:lineRule="auto"/>
        <w:jc w:val="center"/>
        <w:rPr>
          <w:rFonts w:ascii="Arial" w:hAnsi="Arial" w:eastAsia="Arial" w:cs="Arial"/>
          <w:sz w:val="22"/>
          <w:szCs w:val="22"/>
        </w:rPr>
      </w:pPr>
      <w:r w:rsidRPr="161CB241" w:rsidR="38BECE9A">
        <w:rPr>
          <w:rFonts w:ascii="Arial" w:hAnsi="Arial" w:eastAsia="Arial" w:cs="Arial"/>
          <w:sz w:val="22"/>
          <w:szCs w:val="22"/>
        </w:rPr>
        <w:t>Module Code: LCHS4007</w:t>
      </w:r>
    </w:p>
    <w:p w:rsidR="38BECE9A" w:rsidP="161CB241" w:rsidRDefault="38BECE9A" w14:paraId="429FA577" w14:textId="1999144D">
      <w:pPr>
        <w:spacing w:line="360" w:lineRule="auto"/>
        <w:jc w:val="center"/>
        <w:rPr>
          <w:rFonts w:ascii="Arial" w:hAnsi="Arial" w:eastAsia="Arial" w:cs="Arial"/>
          <w:sz w:val="22"/>
          <w:szCs w:val="22"/>
        </w:rPr>
      </w:pPr>
      <w:r w:rsidRPr="161CB241" w:rsidR="38BECE9A">
        <w:rPr>
          <w:rFonts w:ascii="Arial" w:hAnsi="Arial" w:eastAsia="Arial" w:cs="Arial"/>
          <w:sz w:val="22"/>
          <w:szCs w:val="22"/>
        </w:rPr>
        <w:t>Module Title: Digital Skills and Research Methods</w:t>
      </w:r>
    </w:p>
    <w:p w:rsidR="38BECE9A" w:rsidP="161CB241" w:rsidRDefault="38BECE9A" w14:paraId="0D8A6C46" w14:textId="275893DF">
      <w:pPr>
        <w:spacing w:line="360" w:lineRule="auto"/>
        <w:jc w:val="center"/>
        <w:rPr>
          <w:rFonts w:ascii="Arial" w:hAnsi="Arial" w:eastAsia="Arial" w:cs="Arial"/>
          <w:sz w:val="22"/>
          <w:szCs w:val="22"/>
        </w:rPr>
      </w:pPr>
      <w:r w:rsidRPr="161CB241" w:rsidR="38BECE9A">
        <w:rPr>
          <w:rFonts w:ascii="Arial" w:hAnsi="Arial" w:eastAsia="Arial" w:cs="Arial"/>
          <w:sz w:val="22"/>
          <w:szCs w:val="22"/>
        </w:rPr>
        <w:t>Assignment Title Component 2 –</w:t>
      </w:r>
      <w:r w:rsidRPr="161CB241" w:rsidR="38BECE9A">
        <w:rPr>
          <w:rFonts w:ascii="Arial" w:hAnsi="Arial" w:eastAsia="Arial" w:cs="Arial"/>
          <w:sz w:val="22"/>
          <w:szCs w:val="22"/>
        </w:rPr>
        <w:t>–</w:t>
      </w:r>
      <w:r w:rsidRPr="161CB241" w:rsidR="38BECE9A">
        <w:rPr>
          <w:rFonts w:ascii="Arial" w:hAnsi="Arial" w:eastAsia="Arial" w:cs="Arial"/>
          <w:sz w:val="22"/>
          <w:szCs w:val="22"/>
        </w:rPr>
        <w:t xml:space="preserve"> R</w:t>
      </w:r>
      <w:r w:rsidRPr="161CB241" w:rsidR="38BECE9A">
        <w:rPr>
          <w:rFonts w:ascii="Arial" w:hAnsi="Arial" w:eastAsia="Arial" w:cs="Arial"/>
          <w:sz w:val="22"/>
          <w:szCs w:val="22"/>
        </w:rPr>
        <w:t>esearch Report</w:t>
      </w:r>
      <w:r>
        <w:br/>
      </w:r>
      <w:r w:rsidRPr="161CB241" w:rsidR="556B325B">
        <w:rPr>
          <w:rFonts w:ascii="Arial" w:hAnsi="Arial" w:eastAsia="Arial" w:cs="Arial"/>
          <w:sz w:val="22"/>
          <w:szCs w:val="22"/>
        </w:rPr>
        <w:t>Lecturer’s Name: Anika Tahsin Ahmed</w:t>
      </w:r>
    </w:p>
    <w:p w:rsidR="161CB241" w:rsidP="161CB241" w:rsidRDefault="161CB241" w14:paraId="37358E61" w14:textId="68A528EF">
      <w:pPr>
        <w:spacing w:line="360" w:lineRule="auto"/>
        <w:jc w:val="center"/>
        <w:rPr>
          <w:rFonts w:ascii="Arial" w:hAnsi="Arial" w:eastAsia="Arial" w:cs="Arial"/>
          <w:sz w:val="22"/>
          <w:szCs w:val="22"/>
        </w:rPr>
      </w:pPr>
    </w:p>
    <w:p w:rsidR="556B325B" w:rsidP="161CB241" w:rsidRDefault="556B325B" w14:paraId="749B5534" w14:textId="211ED819">
      <w:pPr>
        <w:spacing w:line="360" w:lineRule="auto"/>
        <w:jc w:val="center"/>
        <w:rPr>
          <w:rFonts w:ascii="Arial" w:hAnsi="Arial" w:eastAsia="Arial" w:cs="Arial"/>
          <w:sz w:val="22"/>
          <w:szCs w:val="22"/>
        </w:rPr>
      </w:pPr>
      <w:r w:rsidRPr="161CB241" w:rsidR="556B325B">
        <w:rPr>
          <w:rFonts w:ascii="Arial" w:hAnsi="Arial" w:eastAsia="Arial" w:cs="Arial"/>
          <w:sz w:val="22"/>
          <w:szCs w:val="22"/>
        </w:rPr>
        <w:t>Student’s Name: Sabia Alam</w:t>
      </w:r>
    </w:p>
    <w:p w:rsidR="556B325B" w:rsidP="161CB241" w:rsidRDefault="556B325B" w14:paraId="57AFAF60" w14:textId="34A2A087">
      <w:pPr>
        <w:spacing w:line="360" w:lineRule="auto"/>
        <w:jc w:val="center"/>
        <w:rPr>
          <w:rFonts w:ascii="Arial" w:hAnsi="Arial" w:eastAsia="Arial" w:cs="Arial"/>
          <w:sz w:val="22"/>
          <w:szCs w:val="22"/>
        </w:rPr>
      </w:pPr>
      <w:r w:rsidRPr="161CB241" w:rsidR="556B325B">
        <w:rPr>
          <w:rFonts w:ascii="Arial" w:hAnsi="Arial" w:eastAsia="Arial" w:cs="Arial"/>
          <w:sz w:val="22"/>
          <w:szCs w:val="22"/>
        </w:rPr>
        <w:t>Student’s ID:</w:t>
      </w:r>
      <w:r w:rsidRPr="161CB241" w:rsidR="556B325B">
        <w:rPr>
          <w:rFonts w:ascii="Arial" w:hAnsi="Arial" w:eastAsia="Arial" w:cs="Arial"/>
          <w:sz w:val="22"/>
          <w:szCs w:val="22"/>
        </w:rPr>
        <w:t xml:space="preserve"> 2507875</w:t>
      </w:r>
    </w:p>
    <w:p w:rsidR="161CB241" w:rsidP="161CB241" w:rsidRDefault="161CB241" w14:paraId="7669C07E" w14:textId="25A2863F">
      <w:pPr>
        <w:spacing w:line="360" w:lineRule="auto"/>
        <w:jc w:val="center"/>
        <w:rPr>
          <w:rFonts w:ascii="Arial" w:hAnsi="Arial" w:eastAsia="Arial" w:cs="Arial"/>
          <w:sz w:val="22"/>
          <w:szCs w:val="22"/>
        </w:rPr>
      </w:pPr>
    </w:p>
    <w:p w:rsidR="161CB241" w:rsidP="161CB241" w:rsidRDefault="161CB241" w14:paraId="35C46938" w14:textId="59B7EB3A">
      <w:pPr>
        <w:spacing w:line="360" w:lineRule="auto"/>
        <w:jc w:val="center"/>
        <w:rPr>
          <w:rFonts w:ascii="Arial" w:hAnsi="Arial" w:eastAsia="Arial" w:cs="Arial"/>
          <w:sz w:val="22"/>
          <w:szCs w:val="22"/>
        </w:rPr>
      </w:pPr>
    </w:p>
    <w:p w:rsidR="161CB241" w:rsidP="161CB241" w:rsidRDefault="161CB241" w14:paraId="36594108" w14:textId="7149B56C">
      <w:pPr>
        <w:spacing w:line="360" w:lineRule="auto"/>
        <w:jc w:val="center"/>
        <w:rPr>
          <w:rFonts w:ascii="Arial" w:hAnsi="Arial" w:eastAsia="Arial" w:cs="Arial"/>
          <w:sz w:val="22"/>
          <w:szCs w:val="22"/>
        </w:rPr>
      </w:pPr>
    </w:p>
    <w:p w:rsidR="161CB241" w:rsidP="161CB241" w:rsidRDefault="161CB241" w14:paraId="35498B0B" w14:textId="0E7474B3">
      <w:pPr>
        <w:spacing w:line="360" w:lineRule="auto"/>
        <w:jc w:val="center"/>
        <w:rPr>
          <w:rFonts w:ascii="Arial" w:hAnsi="Arial" w:eastAsia="Arial" w:cs="Arial"/>
          <w:sz w:val="22"/>
          <w:szCs w:val="22"/>
        </w:rPr>
      </w:pPr>
    </w:p>
    <w:p w:rsidR="161CB241" w:rsidP="161CB241" w:rsidRDefault="161CB241" w14:paraId="47B59ACF" w14:textId="0271C544">
      <w:pPr>
        <w:spacing w:line="360" w:lineRule="auto"/>
        <w:jc w:val="center"/>
        <w:rPr>
          <w:rFonts w:ascii="Arial" w:hAnsi="Arial" w:eastAsia="Arial" w:cs="Arial"/>
          <w:sz w:val="22"/>
          <w:szCs w:val="22"/>
        </w:rPr>
      </w:pPr>
    </w:p>
    <w:p w:rsidR="161CB241" w:rsidP="161CB241" w:rsidRDefault="161CB241" w14:paraId="60341A1B" w14:textId="30075057">
      <w:pPr>
        <w:spacing w:line="360" w:lineRule="auto"/>
        <w:jc w:val="center"/>
        <w:rPr>
          <w:rFonts w:ascii="Arial" w:hAnsi="Arial" w:eastAsia="Arial" w:cs="Arial"/>
          <w:sz w:val="22"/>
          <w:szCs w:val="22"/>
        </w:rPr>
      </w:pPr>
    </w:p>
    <w:p w:rsidR="161CB241" w:rsidP="161CB241" w:rsidRDefault="161CB241" w14:paraId="6B365192" w14:textId="090B770A">
      <w:pPr>
        <w:spacing w:line="360" w:lineRule="auto"/>
        <w:jc w:val="center"/>
        <w:rPr>
          <w:rFonts w:ascii="Arial" w:hAnsi="Arial" w:eastAsia="Arial" w:cs="Arial"/>
          <w:sz w:val="22"/>
          <w:szCs w:val="22"/>
        </w:rPr>
      </w:pPr>
    </w:p>
    <w:p w:rsidR="161CB241" w:rsidP="161CB241" w:rsidRDefault="161CB241" w14:paraId="67F555D9" w14:textId="6402C55C">
      <w:pPr>
        <w:spacing w:line="360" w:lineRule="auto"/>
        <w:jc w:val="center"/>
        <w:rPr>
          <w:rFonts w:ascii="Arial" w:hAnsi="Arial" w:eastAsia="Arial" w:cs="Arial"/>
          <w:sz w:val="22"/>
          <w:szCs w:val="22"/>
        </w:rPr>
      </w:pPr>
    </w:p>
    <w:p w:rsidR="161CB241" w:rsidP="161CB241" w:rsidRDefault="161CB241" w14:paraId="6DFACCE1" w14:textId="76C2834A">
      <w:pPr>
        <w:spacing w:line="360" w:lineRule="auto"/>
        <w:jc w:val="center"/>
        <w:rPr>
          <w:rFonts w:ascii="Arial" w:hAnsi="Arial" w:eastAsia="Arial" w:cs="Arial"/>
          <w:sz w:val="22"/>
          <w:szCs w:val="22"/>
        </w:rPr>
      </w:pPr>
    </w:p>
    <w:p w:rsidR="161CB241" w:rsidP="161CB241" w:rsidRDefault="161CB241" w14:paraId="5E63A2F1" w14:textId="75D0FBF3">
      <w:pPr>
        <w:spacing w:line="360" w:lineRule="auto"/>
        <w:jc w:val="center"/>
        <w:rPr>
          <w:rFonts w:ascii="Arial" w:hAnsi="Arial" w:eastAsia="Arial" w:cs="Arial"/>
          <w:sz w:val="22"/>
          <w:szCs w:val="22"/>
        </w:rPr>
      </w:pPr>
    </w:p>
    <w:p w:rsidR="161CB241" w:rsidP="161CB241" w:rsidRDefault="161CB241" w14:paraId="155B5612" w14:textId="3F5A30E2">
      <w:pPr>
        <w:spacing w:line="360" w:lineRule="auto"/>
        <w:jc w:val="center"/>
        <w:rPr>
          <w:rFonts w:ascii="Arial" w:hAnsi="Arial" w:eastAsia="Arial" w:cs="Arial"/>
          <w:sz w:val="22"/>
          <w:szCs w:val="22"/>
        </w:rPr>
      </w:pPr>
    </w:p>
    <w:p w:rsidR="161CB241" w:rsidP="161CB241" w:rsidRDefault="161CB241" w14:paraId="0AE97D16" w14:textId="21A8DB80">
      <w:pPr>
        <w:spacing w:line="360" w:lineRule="auto"/>
        <w:jc w:val="center"/>
        <w:rPr>
          <w:rFonts w:ascii="Arial" w:hAnsi="Arial" w:eastAsia="Arial" w:cs="Arial"/>
          <w:sz w:val="22"/>
          <w:szCs w:val="22"/>
        </w:rPr>
      </w:pPr>
    </w:p>
    <w:p w:rsidR="161CB241" w:rsidP="161CB241" w:rsidRDefault="161CB241" w14:paraId="62C18495" w14:textId="477EEDB1">
      <w:pPr>
        <w:spacing w:line="360" w:lineRule="auto"/>
        <w:jc w:val="center"/>
        <w:rPr>
          <w:rFonts w:ascii="Arial" w:hAnsi="Arial" w:eastAsia="Arial" w:cs="Arial"/>
          <w:sz w:val="22"/>
          <w:szCs w:val="22"/>
        </w:rPr>
      </w:pPr>
    </w:p>
    <w:p w:rsidR="7BDB4D71" w:rsidP="161CB241" w:rsidRDefault="7BDB4D71" w14:paraId="03C787AB" w14:textId="679D79A5">
      <w:pPr>
        <w:spacing w:line="360" w:lineRule="auto"/>
        <w:jc w:val="center"/>
        <w:rPr>
          <w:rFonts w:ascii="Arial" w:hAnsi="Arial" w:eastAsia="Arial" w:cs="Arial"/>
          <w:b w:val="0"/>
          <w:bCs w:val="0"/>
          <w:sz w:val="22"/>
          <w:szCs w:val="22"/>
        </w:rPr>
      </w:pPr>
      <w:r w:rsidRPr="39EBA25B" w:rsidR="7BDB4D71">
        <w:rPr>
          <w:rFonts w:ascii="Arial" w:hAnsi="Arial" w:eastAsia="Arial" w:cs="Arial"/>
          <w:b w:val="1"/>
          <w:bCs w:val="1"/>
          <w:sz w:val="22"/>
          <w:szCs w:val="22"/>
        </w:rPr>
        <w:t>Contents Page</w:t>
      </w:r>
    </w:p>
    <w:p w:rsidR="161CB241" w:rsidP="39EBA25B" w:rsidRDefault="161CB241" w14:paraId="7BDB805C" w14:textId="36FDF7E8">
      <w:pPr>
        <w:spacing w:line="360" w:lineRule="auto"/>
        <w:jc w:val="center"/>
        <w:rPr>
          <w:rFonts w:ascii="Arial" w:hAnsi="Arial" w:eastAsia="Arial" w:cs="Arial"/>
          <w:b w:val="1"/>
          <w:bCs w:val="1"/>
          <w:sz w:val="22"/>
          <w:szCs w:val="22"/>
        </w:rPr>
      </w:pPr>
    </w:p>
    <w:p w:rsidR="161CB241" w:rsidP="39EBA25B" w:rsidRDefault="161CB241" w14:paraId="35836916" w14:textId="7113D2C7">
      <w:pPr>
        <w:spacing w:line="360" w:lineRule="auto"/>
        <w:jc w:val="both"/>
        <w:rPr>
          <w:rFonts w:ascii="Arial" w:hAnsi="Arial" w:eastAsia="Arial" w:cs="Arial"/>
          <w:b w:val="1"/>
          <w:bCs w:val="1"/>
          <w:sz w:val="22"/>
          <w:szCs w:val="22"/>
        </w:rPr>
      </w:pPr>
      <w:r w:rsidRPr="39EBA25B" w:rsidR="402ED8A2">
        <w:rPr>
          <w:rFonts w:ascii="Arial" w:hAnsi="Arial" w:eastAsia="Arial" w:cs="Arial"/>
          <w:b w:val="1"/>
          <w:bCs w:val="1"/>
          <w:sz w:val="22"/>
          <w:szCs w:val="22"/>
        </w:rPr>
        <w:t>Introduction</w:t>
      </w:r>
      <w:r w:rsidRPr="39EBA25B" w:rsidR="2C9729B7">
        <w:rPr>
          <w:rFonts w:ascii="Arial" w:hAnsi="Arial" w:eastAsia="Arial" w:cs="Arial"/>
          <w:b w:val="1"/>
          <w:bCs w:val="1"/>
          <w:sz w:val="22"/>
          <w:szCs w:val="22"/>
        </w:rPr>
        <w:t xml:space="preserve"> </w:t>
      </w:r>
      <w:r w:rsidRPr="39EBA25B" w:rsidR="402ED8A2">
        <w:rPr>
          <w:rFonts w:ascii="Arial" w:hAnsi="Arial" w:eastAsia="Arial" w:cs="Arial"/>
          <w:b w:val="1"/>
          <w:bCs w:val="1"/>
          <w:sz w:val="22"/>
          <w:szCs w:val="22"/>
        </w:rPr>
        <w:t>...............................................................................................................................3</w:t>
      </w:r>
    </w:p>
    <w:p w:rsidR="161CB241" w:rsidP="39EBA25B" w:rsidRDefault="161CB241" w14:paraId="2397BE83" w14:textId="7C4262DF">
      <w:pPr>
        <w:spacing w:line="360" w:lineRule="auto"/>
        <w:jc w:val="both"/>
        <w:rPr>
          <w:rFonts w:ascii="Arial" w:hAnsi="Arial" w:eastAsia="Arial" w:cs="Arial"/>
          <w:b w:val="1"/>
          <w:bCs w:val="1"/>
          <w:sz w:val="22"/>
          <w:szCs w:val="22"/>
        </w:rPr>
      </w:pPr>
      <w:r w:rsidRPr="39EBA25B" w:rsidR="402ED8A2">
        <w:rPr>
          <w:rFonts w:ascii="Arial" w:hAnsi="Arial" w:eastAsia="Arial" w:cs="Arial"/>
          <w:b w:val="1"/>
          <w:bCs w:val="1"/>
          <w:sz w:val="22"/>
          <w:szCs w:val="22"/>
        </w:rPr>
        <w:t>Research Topic Identification</w:t>
      </w:r>
      <w:r w:rsidRPr="39EBA25B" w:rsidR="00336081">
        <w:rPr>
          <w:rFonts w:ascii="Arial" w:hAnsi="Arial" w:eastAsia="Arial" w:cs="Arial"/>
          <w:b w:val="1"/>
          <w:bCs w:val="1"/>
          <w:sz w:val="22"/>
          <w:szCs w:val="22"/>
        </w:rPr>
        <w:t xml:space="preserve"> </w:t>
      </w:r>
      <w:r w:rsidRPr="39EBA25B" w:rsidR="402ED8A2">
        <w:rPr>
          <w:rFonts w:ascii="Arial" w:hAnsi="Arial" w:eastAsia="Arial" w:cs="Arial"/>
          <w:b w:val="1"/>
          <w:bCs w:val="1"/>
          <w:sz w:val="22"/>
          <w:szCs w:val="22"/>
        </w:rPr>
        <w:t>..................................................................................................3</w:t>
      </w:r>
    </w:p>
    <w:p w:rsidR="161CB241" w:rsidP="39EBA25B" w:rsidRDefault="161CB241" w14:paraId="6E448191" w14:textId="2C4026B0">
      <w:pPr>
        <w:spacing w:line="360" w:lineRule="auto"/>
        <w:jc w:val="both"/>
        <w:rPr>
          <w:rFonts w:ascii="Arial" w:hAnsi="Arial" w:eastAsia="Arial" w:cs="Arial"/>
          <w:b w:val="1"/>
          <w:bCs w:val="1"/>
          <w:sz w:val="22"/>
          <w:szCs w:val="22"/>
        </w:rPr>
      </w:pPr>
      <w:r w:rsidRPr="39EBA25B" w:rsidR="402ED8A2">
        <w:rPr>
          <w:rFonts w:ascii="Arial" w:hAnsi="Arial" w:eastAsia="Arial" w:cs="Arial"/>
          <w:b w:val="1"/>
          <w:bCs w:val="1"/>
          <w:sz w:val="22"/>
          <w:szCs w:val="22"/>
        </w:rPr>
        <w:t>Discussion of Three Relevant Sources</w:t>
      </w:r>
      <w:r w:rsidRPr="39EBA25B" w:rsidR="0BE40AA0">
        <w:rPr>
          <w:rFonts w:ascii="Arial" w:hAnsi="Arial" w:eastAsia="Arial" w:cs="Arial"/>
          <w:b w:val="1"/>
          <w:bCs w:val="1"/>
          <w:sz w:val="22"/>
          <w:szCs w:val="22"/>
        </w:rPr>
        <w:t xml:space="preserve"> </w:t>
      </w:r>
      <w:r w:rsidRPr="39EBA25B" w:rsidR="402ED8A2">
        <w:rPr>
          <w:rFonts w:ascii="Arial" w:hAnsi="Arial" w:eastAsia="Arial" w:cs="Arial"/>
          <w:b w:val="1"/>
          <w:bCs w:val="1"/>
          <w:sz w:val="22"/>
          <w:szCs w:val="22"/>
        </w:rPr>
        <w:t>...................................................................................5</w:t>
      </w:r>
    </w:p>
    <w:p w:rsidR="161CB241" w:rsidP="39EBA25B" w:rsidRDefault="161CB241" w14:paraId="57507C11" w14:textId="753FC813">
      <w:pPr>
        <w:spacing w:line="360" w:lineRule="auto"/>
        <w:jc w:val="both"/>
        <w:rPr>
          <w:rFonts w:ascii="Arial" w:hAnsi="Arial" w:eastAsia="Arial" w:cs="Arial"/>
          <w:b w:val="1"/>
          <w:bCs w:val="1"/>
          <w:sz w:val="22"/>
          <w:szCs w:val="22"/>
        </w:rPr>
      </w:pPr>
      <w:r w:rsidRPr="39EBA25B" w:rsidR="402ED8A2">
        <w:rPr>
          <w:rFonts w:ascii="Arial" w:hAnsi="Arial" w:eastAsia="Arial" w:cs="Arial"/>
          <w:b w:val="1"/>
          <w:bCs w:val="1"/>
          <w:sz w:val="22"/>
          <w:szCs w:val="22"/>
        </w:rPr>
        <w:t>Research Methodologies</w:t>
      </w:r>
      <w:r w:rsidRPr="39EBA25B" w:rsidR="09EC562B">
        <w:rPr>
          <w:rFonts w:ascii="Arial" w:hAnsi="Arial" w:eastAsia="Arial" w:cs="Arial"/>
          <w:b w:val="1"/>
          <w:bCs w:val="1"/>
          <w:sz w:val="22"/>
          <w:szCs w:val="22"/>
        </w:rPr>
        <w:t xml:space="preserve"> </w:t>
      </w:r>
      <w:r w:rsidRPr="39EBA25B" w:rsidR="402ED8A2">
        <w:rPr>
          <w:rFonts w:ascii="Arial" w:hAnsi="Arial" w:eastAsia="Arial" w:cs="Arial"/>
          <w:b w:val="1"/>
          <w:bCs w:val="1"/>
          <w:sz w:val="22"/>
          <w:szCs w:val="22"/>
        </w:rPr>
        <w:t>..........................................................................................................6</w:t>
      </w:r>
    </w:p>
    <w:p w:rsidR="161CB241" w:rsidP="39EBA25B" w:rsidRDefault="161CB241" w14:paraId="2F909878" w14:textId="5A7A5A39">
      <w:pPr>
        <w:spacing w:line="360" w:lineRule="auto"/>
        <w:jc w:val="both"/>
        <w:rPr>
          <w:rFonts w:ascii="Arial" w:hAnsi="Arial" w:eastAsia="Arial" w:cs="Arial"/>
          <w:b w:val="1"/>
          <w:bCs w:val="1"/>
          <w:sz w:val="22"/>
          <w:szCs w:val="22"/>
        </w:rPr>
      </w:pPr>
      <w:r w:rsidRPr="39EBA25B" w:rsidR="402ED8A2">
        <w:rPr>
          <w:rFonts w:ascii="Arial" w:hAnsi="Arial" w:eastAsia="Arial" w:cs="Arial"/>
          <w:b w:val="1"/>
          <w:bCs w:val="1"/>
          <w:sz w:val="22"/>
          <w:szCs w:val="22"/>
        </w:rPr>
        <w:t>Data Collection</w:t>
      </w:r>
      <w:r w:rsidRPr="39EBA25B" w:rsidR="09F66F38">
        <w:rPr>
          <w:rFonts w:ascii="Arial" w:hAnsi="Arial" w:eastAsia="Arial" w:cs="Arial"/>
          <w:b w:val="1"/>
          <w:bCs w:val="1"/>
          <w:sz w:val="22"/>
          <w:szCs w:val="22"/>
        </w:rPr>
        <w:t xml:space="preserve"> </w:t>
      </w:r>
      <w:r w:rsidRPr="39EBA25B" w:rsidR="402ED8A2">
        <w:rPr>
          <w:rFonts w:ascii="Arial" w:hAnsi="Arial" w:eastAsia="Arial" w:cs="Arial"/>
          <w:b w:val="1"/>
          <w:bCs w:val="1"/>
          <w:sz w:val="22"/>
          <w:szCs w:val="22"/>
        </w:rPr>
        <w:t>........................................................................................................................</w:t>
      </w:r>
      <w:r w:rsidRPr="39EBA25B" w:rsidR="131D9C00">
        <w:rPr>
          <w:rFonts w:ascii="Arial" w:hAnsi="Arial" w:eastAsia="Arial" w:cs="Arial"/>
          <w:b w:val="1"/>
          <w:bCs w:val="1"/>
          <w:sz w:val="22"/>
          <w:szCs w:val="22"/>
        </w:rPr>
        <w:t>..</w:t>
      </w:r>
      <w:r w:rsidRPr="39EBA25B" w:rsidR="402ED8A2">
        <w:rPr>
          <w:rFonts w:ascii="Arial" w:hAnsi="Arial" w:eastAsia="Arial" w:cs="Arial"/>
          <w:b w:val="1"/>
          <w:bCs w:val="1"/>
          <w:sz w:val="22"/>
          <w:szCs w:val="22"/>
        </w:rPr>
        <w:t>6</w:t>
      </w:r>
    </w:p>
    <w:p w:rsidR="161CB241" w:rsidP="39EBA25B" w:rsidRDefault="161CB241" w14:paraId="33C9FAC1" w14:textId="1E4AD064">
      <w:pPr>
        <w:spacing w:line="360" w:lineRule="auto"/>
        <w:jc w:val="both"/>
        <w:rPr>
          <w:rFonts w:ascii="Arial" w:hAnsi="Arial" w:eastAsia="Arial" w:cs="Arial"/>
          <w:b w:val="1"/>
          <w:bCs w:val="1"/>
          <w:sz w:val="22"/>
          <w:szCs w:val="22"/>
        </w:rPr>
      </w:pPr>
      <w:r w:rsidRPr="39EBA25B" w:rsidR="0F6B5FB0">
        <w:rPr>
          <w:rFonts w:ascii="Arial" w:hAnsi="Arial" w:eastAsia="Arial" w:cs="Arial"/>
          <w:b w:val="1"/>
          <w:bCs w:val="1"/>
          <w:sz w:val="22"/>
          <w:szCs w:val="22"/>
        </w:rPr>
        <w:t>Conclusion</w:t>
      </w:r>
      <w:r w:rsidRPr="39EBA25B" w:rsidR="4FA7D64F">
        <w:rPr>
          <w:rFonts w:ascii="Arial" w:hAnsi="Arial" w:eastAsia="Arial" w:cs="Arial"/>
          <w:b w:val="1"/>
          <w:bCs w:val="1"/>
          <w:sz w:val="22"/>
          <w:szCs w:val="22"/>
        </w:rPr>
        <w:t xml:space="preserve"> </w:t>
      </w:r>
      <w:r w:rsidRPr="39EBA25B" w:rsidR="0F6B5FB0">
        <w:rPr>
          <w:rFonts w:ascii="Arial" w:hAnsi="Arial" w:eastAsia="Arial" w:cs="Arial"/>
          <w:b w:val="1"/>
          <w:bCs w:val="1"/>
          <w:sz w:val="22"/>
          <w:szCs w:val="22"/>
        </w:rPr>
        <w:t>.................................................................................................................................7</w:t>
      </w:r>
    </w:p>
    <w:p w:rsidR="161CB241" w:rsidP="39EBA25B" w:rsidRDefault="161CB241" w14:paraId="6B3049D4" w14:textId="2EF8E653">
      <w:pPr>
        <w:spacing w:line="360" w:lineRule="auto"/>
        <w:jc w:val="both"/>
        <w:rPr>
          <w:rFonts w:ascii="Arial" w:hAnsi="Arial" w:eastAsia="Arial" w:cs="Arial"/>
          <w:b w:val="1"/>
          <w:bCs w:val="1"/>
          <w:sz w:val="22"/>
          <w:szCs w:val="22"/>
        </w:rPr>
      </w:pPr>
      <w:r w:rsidRPr="39EBA25B" w:rsidR="0F6B5FB0">
        <w:rPr>
          <w:rFonts w:ascii="Arial" w:hAnsi="Arial" w:eastAsia="Arial" w:cs="Arial"/>
          <w:b w:val="1"/>
          <w:bCs w:val="1"/>
          <w:sz w:val="22"/>
          <w:szCs w:val="22"/>
        </w:rPr>
        <w:t>References</w:t>
      </w:r>
      <w:r w:rsidRPr="39EBA25B" w:rsidR="0F6B5FB0">
        <w:rPr>
          <w:rFonts w:ascii="Arial" w:hAnsi="Arial" w:eastAsia="Arial" w:cs="Arial"/>
          <w:b w:val="1"/>
          <w:bCs w:val="1"/>
          <w:sz w:val="22"/>
          <w:szCs w:val="22"/>
        </w:rPr>
        <w:t>..................................................................................................................................8</w:t>
      </w:r>
    </w:p>
    <w:p w:rsidR="161CB241" w:rsidP="39EBA25B" w:rsidRDefault="161CB241" w14:paraId="5F22FC61" w14:textId="72C6CDDD">
      <w:pPr>
        <w:spacing w:line="360" w:lineRule="auto"/>
        <w:jc w:val="left"/>
        <w:rPr>
          <w:rFonts w:ascii="Arial" w:hAnsi="Arial" w:eastAsia="Arial" w:cs="Arial"/>
          <w:b w:val="1"/>
          <w:bCs w:val="1"/>
          <w:sz w:val="22"/>
          <w:szCs w:val="22"/>
        </w:rPr>
      </w:pPr>
    </w:p>
    <w:p w:rsidR="161CB241" w:rsidP="161CB241" w:rsidRDefault="161CB241" w14:paraId="3313DFA9" w14:textId="77E23039" w14:noSpellErr="1">
      <w:pPr>
        <w:spacing w:line="360" w:lineRule="auto"/>
        <w:jc w:val="center"/>
        <w:rPr>
          <w:rFonts w:ascii="Arial" w:hAnsi="Arial" w:eastAsia="Arial" w:cs="Arial"/>
          <w:b w:val="1"/>
          <w:bCs w:val="1"/>
          <w:sz w:val="22"/>
          <w:szCs w:val="22"/>
        </w:rPr>
      </w:pPr>
    </w:p>
    <w:p w:rsidR="161CB241" w:rsidP="161CB241" w:rsidRDefault="161CB241" w14:paraId="312D6008" w14:textId="58DA5DAC">
      <w:pPr>
        <w:spacing w:line="360" w:lineRule="auto"/>
        <w:jc w:val="center"/>
        <w:rPr>
          <w:rFonts w:ascii="Arial" w:hAnsi="Arial" w:eastAsia="Arial" w:cs="Arial"/>
          <w:b w:val="1"/>
          <w:bCs w:val="1"/>
          <w:sz w:val="22"/>
          <w:szCs w:val="22"/>
        </w:rPr>
      </w:pPr>
    </w:p>
    <w:p w:rsidR="161CB241" w:rsidP="161CB241" w:rsidRDefault="161CB241" w14:paraId="2B2BA620" w14:textId="699D3256">
      <w:pPr>
        <w:spacing w:line="360" w:lineRule="auto"/>
        <w:jc w:val="center"/>
        <w:rPr>
          <w:rFonts w:ascii="Arial" w:hAnsi="Arial" w:eastAsia="Arial" w:cs="Arial"/>
          <w:b w:val="1"/>
          <w:bCs w:val="1"/>
          <w:sz w:val="22"/>
          <w:szCs w:val="22"/>
        </w:rPr>
      </w:pPr>
    </w:p>
    <w:p w:rsidR="161CB241" w:rsidP="161CB241" w:rsidRDefault="161CB241" w14:paraId="7C9A43AB" w14:textId="6FE7E449">
      <w:pPr>
        <w:spacing w:line="360" w:lineRule="auto"/>
        <w:jc w:val="center"/>
        <w:rPr>
          <w:rFonts w:ascii="Arial" w:hAnsi="Arial" w:eastAsia="Arial" w:cs="Arial"/>
          <w:b w:val="1"/>
          <w:bCs w:val="1"/>
          <w:sz w:val="22"/>
          <w:szCs w:val="22"/>
        </w:rPr>
      </w:pPr>
    </w:p>
    <w:p w:rsidR="161CB241" w:rsidP="161CB241" w:rsidRDefault="161CB241" w14:paraId="383F61C8" w14:textId="1523277E">
      <w:pPr>
        <w:spacing w:line="360" w:lineRule="auto"/>
        <w:jc w:val="center"/>
        <w:rPr>
          <w:rFonts w:ascii="Arial" w:hAnsi="Arial" w:eastAsia="Arial" w:cs="Arial"/>
          <w:b w:val="1"/>
          <w:bCs w:val="1"/>
          <w:sz w:val="22"/>
          <w:szCs w:val="22"/>
        </w:rPr>
      </w:pPr>
    </w:p>
    <w:p w:rsidR="161CB241" w:rsidP="161CB241" w:rsidRDefault="161CB241" w14:paraId="0B738EBB" w14:textId="12F86A14">
      <w:pPr>
        <w:spacing w:line="360" w:lineRule="auto"/>
        <w:jc w:val="center"/>
        <w:rPr>
          <w:rFonts w:ascii="Arial" w:hAnsi="Arial" w:eastAsia="Arial" w:cs="Arial"/>
          <w:b w:val="1"/>
          <w:bCs w:val="1"/>
          <w:sz w:val="22"/>
          <w:szCs w:val="22"/>
        </w:rPr>
      </w:pPr>
    </w:p>
    <w:p w:rsidR="161CB241" w:rsidP="161CB241" w:rsidRDefault="161CB241" w14:paraId="2BC3410A" w14:textId="22C49370">
      <w:pPr>
        <w:spacing w:line="360" w:lineRule="auto"/>
        <w:jc w:val="center"/>
        <w:rPr>
          <w:rFonts w:ascii="Arial" w:hAnsi="Arial" w:eastAsia="Arial" w:cs="Arial"/>
          <w:b w:val="1"/>
          <w:bCs w:val="1"/>
          <w:sz w:val="22"/>
          <w:szCs w:val="22"/>
        </w:rPr>
      </w:pPr>
    </w:p>
    <w:p w:rsidR="161CB241" w:rsidP="161CB241" w:rsidRDefault="161CB241" w14:paraId="2F074A49" w14:textId="15975C65">
      <w:pPr>
        <w:spacing w:line="360" w:lineRule="auto"/>
        <w:jc w:val="center"/>
        <w:rPr>
          <w:rFonts w:ascii="Arial" w:hAnsi="Arial" w:eastAsia="Arial" w:cs="Arial"/>
          <w:b w:val="1"/>
          <w:bCs w:val="1"/>
          <w:sz w:val="22"/>
          <w:szCs w:val="22"/>
        </w:rPr>
      </w:pPr>
    </w:p>
    <w:p w:rsidR="161CB241" w:rsidP="161CB241" w:rsidRDefault="161CB241" w14:paraId="4B0C4C5C" w14:textId="37F14FEC">
      <w:pPr>
        <w:spacing w:line="360" w:lineRule="auto"/>
        <w:jc w:val="center"/>
        <w:rPr>
          <w:rFonts w:ascii="Arial" w:hAnsi="Arial" w:eastAsia="Arial" w:cs="Arial"/>
          <w:b w:val="1"/>
          <w:bCs w:val="1"/>
          <w:sz w:val="22"/>
          <w:szCs w:val="22"/>
        </w:rPr>
      </w:pPr>
    </w:p>
    <w:p w:rsidR="161CB241" w:rsidP="161CB241" w:rsidRDefault="161CB241" w14:paraId="1D3693AC" w14:textId="38042A3D">
      <w:pPr>
        <w:spacing w:line="360" w:lineRule="auto"/>
        <w:jc w:val="center"/>
        <w:rPr>
          <w:rFonts w:ascii="Arial" w:hAnsi="Arial" w:eastAsia="Arial" w:cs="Arial"/>
          <w:b w:val="1"/>
          <w:bCs w:val="1"/>
          <w:sz w:val="22"/>
          <w:szCs w:val="22"/>
        </w:rPr>
      </w:pPr>
    </w:p>
    <w:p w:rsidR="39EBA25B" w:rsidP="39EBA25B" w:rsidRDefault="39EBA25B" w14:noSpellErr="1" w14:paraId="343DD1B9" w14:textId="4D7A8019">
      <w:pPr>
        <w:pStyle w:val="Normal"/>
        <w:spacing w:line="360" w:lineRule="auto"/>
        <w:jc w:val="center"/>
        <w:rPr>
          <w:rFonts w:ascii="Arial" w:hAnsi="Arial" w:eastAsia="Arial" w:cs="Arial"/>
          <w:b w:val="1"/>
          <w:bCs w:val="1"/>
          <w:sz w:val="22"/>
          <w:szCs w:val="22"/>
        </w:rPr>
      </w:pPr>
    </w:p>
    <w:p w:rsidR="39EBA25B" w:rsidP="39EBA25B" w:rsidRDefault="39EBA25B" w14:paraId="49B24491" w14:textId="3C0CF807">
      <w:pPr>
        <w:pStyle w:val="Normal"/>
        <w:spacing w:line="360" w:lineRule="auto"/>
        <w:jc w:val="center"/>
        <w:rPr>
          <w:rFonts w:ascii="Arial" w:hAnsi="Arial" w:eastAsia="Arial" w:cs="Arial"/>
          <w:b w:val="1"/>
          <w:bCs w:val="1"/>
          <w:sz w:val="22"/>
          <w:szCs w:val="22"/>
        </w:rPr>
      </w:pPr>
    </w:p>
    <w:p w:rsidR="140E6E89" w:rsidP="140E6E89" w:rsidRDefault="140E6E89" w14:paraId="780A9492" w14:textId="2FF8D49C">
      <w:pPr>
        <w:pStyle w:val="Normal"/>
        <w:spacing w:line="360" w:lineRule="auto"/>
        <w:jc w:val="center"/>
        <w:rPr>
          <w:rFonts w:ascii="Arial" w:hAnsi="Arial" w:eastAsia="Arial" w:cs="Arial"/>
          <w:b w:val="1"/>
          <w:bCs w:val="1"/>
          <w:sz w:val="22"/>
          <w:szCs w:val="22"/>
        </w:rPr>
      </w:pPr>
    </w:p>
    <w:p w:rsidR="4171060B" w:rsidP="161CB241" w:rsidRDefault="4171060B" w14:paraId="1C212BD5" w14:noSpellErr="1" w14:textId="220115E7">
      <w:pPr>
        <w:pStyle w:val="Normal"/>
        <w:spacing w:line="360" w:lineRule="auto"/>
        <w:jc w:val="center"/>
        <w:rPr>
          <w:rFonts w:ascii="Arial" w:hAnsi="Arial" w:eastAsia="Arial" w:cs="Arial"/>
          <w:b w:val="1"/>
          <w:bCs w:val="1"/>
          <w:sz w:val="22"/>
          <w:szCs w:val="22"/>
        </w:rPr>
      </w:pPr>
      <w:r w:rsidRPr="140E6E89" w:rsidR="4171060B">
        <w:rPr>
          <w:rFonts w:ascii="Arial" w:hAnsi="Arial" w:eastAsia="Arial" w:cs="Arial"/>
          <w:b w:val="1"/>
          <w:bCs w:val="1"/>
          <w:sz w:val="22"/>
          <w:szCs w:val="22"/>
        </w:rPr>
        <w:t>Investigat</w:t>
      </w:r>
      <w:r w:rsidRPr="140E6E89" w:rsidR="74B90A82">
        <w:rPr>
          <w:rFonts w:ascii="Arial" w:hAnsi="Arial" w:eastAsia="Arial" w:cs="Arial"/>
          <w:b w:val="1"/>
          <w:bCs w:val="1"/>
          <w:sz w:val="22"/>
          <w:szCs w:val="22"/>
        </w:rPr>
        <w:t>ing</w:t>
      </w:r>
      <w:r w:rsidRPr="140E6E89" w:rsidR="4171060B">
        <w:rPr>
          <w:rFonts w:ascii="Arial" w:hAnsi="Arial" w:eastAsia="Arial" w:cs="Arial"/>
          <w:b w:val="1"/>
          <w:bCs w:val="1"/>
          <w:sz w:val="22"/>
          <w:szCs w:val="22"/>
        </w:rPr>
        <w:t xml:space="preserve"> the reason for Drug use.</w:t>
      </w:r>
    </w:p>
    <w:p w:rsidR="7D5E059F" w:rsidP="39EBA25B" w:rsidRDefault="7D5E059F" w14:paraId="5346C442" w14:textId="3474035D" w14:noSpellErr="1">
      <w:pPr>
        <w:pStyle w:val="Normal"/>
        <w:spacing w:line="360" w:lineRule="auto"/>
        <w:jc w:val="both"/>
        <w:rPr>
          <w:rFonts w:ascii="Arial" w:hAnsi="Arial" w:eastAsia="Arial" w:cs="Arial"/>
          <w:b w:val="1"/>
          <w:bCs w:val="1"/>
          <w:sz w:val="22"/>
          <w:szCs w:val="22"/>
        </w:rPr>
      </w:pPr>
      <w:r w:rsidRPr="39EBA25B" w:rsidR="7D5E059F">
        <w:rPr>
          <w:rFonts w:ascii="Arial" w:hAnsi="Arial" w:eastAsia="Arial" w:cs="Arial"/>
          <w:b w:val="1"/>
          <w:bCs w:val="1"/>
          <w:sz w:val="22"/>
          <w:szCs w:val="22"/>
        </w:rPr>
        <w:t>Introduction</w:t>
      </w:r>
    </w:p>
    <w:p w:rsidR="7D5E059F" w:rsidP="3D82D8A6" w:rsidRDefault="7D5E059F" w14:paraId="0B2118E7" w14:textId="4DDECF05" w14:noSpellErr="1">
      <w:pPr>
        <w:spacing w:before="0" w:beforeAutospacing="off" w:after="160" w:afterAutospacing="off" w:line="360" w:lineRule="auto"/>
        <w:ind w:firstLine="0"/>
        <w:jc w:val="both"/>
        <w:rPr>
          <w:rFonts w:ascii="Arial" w:hAnsi="Arial" w:eastAsia="Arial" w:cs="Arial"/>
          <w:noProof w:val="0"/>
          <w:sz w:val="22"/>
          <w:szCs w:val="22"/>
          <w:lang w:val="en-US"/>
        </w:rPr>
      </w:pPr>
      <w:r w:rsidRPr="3D82D8A6" w:rsidR="3F3DCAF9">
        <w:rPr>
          <w:rFonts w:ascii="Arial" w:hAnsi="Arial" w:eastAsia="Arial" w:cs="Arial"/>
          <w:noProof w:val="0"/>
          <w:sz w:val="22"/>
          <w:szCs w:val="22"/>
          <w:lang w:val="en-US"/>
        </w:rPr>
        <w:t>The United Kingdom’s health and social care sectors confront the challenges posed by drug use and addiction as a public health emergency. In England and Wales alone, there were over 3,000 drug-related deaths in 2022 (Office for National Statistics, 2023). This crisis touches the lives of individuals and families and extends to whole communities, putting significant strain on the services offered by the NHS and social care systems. Young people and those in economically challenged communities become more vulnerable due to increasing opioid misuse, synthetic drug use, and difficulties in accessing treatment. This report focuses on the nature and dimensions of drug addiction including its impact and systemic challenges to drug addiction, and underscores the necessity for integrated approaches to prevention, harm reduction, and recovery in the UK health and social care sector.</w:t>
      </w:r>
    </w:p>
    <w:p w:rsidR="7D5E059F" w:rsidP="3D82D8A6" w:rsidRDefault="7D5E059F" w14:paraId="3077EFA8" w14:textId="1C24BB14" w14:noSpellErr="1">
      <w:pPr>
        <w:spacing w:before="0" w:beforeAutospacing="off" w:after="160" w:afterAutospacing="off" w:line="360" w:lineRule="auto"/>
        <w:jc w:val="both"/>
        <w:rPr>
          <w:rFonts w:ascii="Arial" w:hAnsi="Arial" w:eastAsia="Arial" w:cs="Arial"/>
          <w:b w:val="1"/>
          <w:bCs w:val="1"/>
          <w:noProof w:val="0"/>
          <w:sz w:val="22"/>
          <w:szCs w:val="22"/>
          <w:lang w:val="en-US"/>
        </w:rPr>
      </w:pPr>
      <w:r w:rsidRPr="3D82D8A6" w:rsidR="1A2B5D95">
        <w:rPr>
          <w:rFonts w:ascii="Arial" w:hAnsi="Arial" w:eastAsia="Arial" w:cs="Arial"/>
          <w:b w:val="1"/>
          <w:bCs w:val="1"/>
          <w:noProof w:val="0"/>
          <w:sz w:val="22"/>
          <w:szCs w:val="22"/>
          <w:lang w:val="en-US"/>
        </w:rPr>
        <w:t xml:space="preserve">Research </w:t>
      </w:r>
      <w:r w:rsidRPr="3D82D8A6" w:rsidR="3D230B42">
        <w:rPr>
          <w:rFonts w:ascii="Arial" w:hAnsi="Arial" w:eastAsia="Arial" w:cs="Arial"/>
          <w:b w:val="1"/>
          <w:bCs w:val="1"/>
          <w:noProof w:val="0"/>
          <w:sz w:val="22"/>
          <w:szCs w:val="22"/>
          <w:lang w:val="en-US"/>
        </w:rPr>
        <w:t>T</w:t>
      </w:r>
      <w:r w:rsidRPr="3D82D8A6" w:rsidR="1A2B5D95">
        <w:rPr>
          <w:rFonts w:ascii="Arial" w:hAnsi="Arial" w:eastAsia="Arial" w:cs="Arial"/>
          <w:b w:val="1"/>
          <w:bCs w:val="1"/>
          <w:noProof w:val="0"/>
          <w:sz w:val="22"/>
          <w:szCs w:val="22"/>
          <w:lang w:val="en-US"/>
        </w:rPr>
        <w:t xml:space="preserve">opic and </w:t>
      </w:r>
      <w:r w:rsidRPr="3D82D8A6" w:rsidR="7A4404DD">
        <w:rPr>
          <w:rFonts w:ascii="Arial" w:hAnsi="Arial" w:eastAsia="Arial" w:cs="Arial"/>
          <w:b w:val="1"/>
          <w:bCs w:val="1"/>
          <w:noProof w:val="0"/>
          <w:sz w:val="22"/>
          <w:szCs w:val="22"/>
          <w:lang w:val="en-US"/>
        </w:rPr>
        <w:t>I</w:t>
      </w:r>
      <w:r w:rsidRPr="3D82D8A6" w:rsidR="1A2B5D95">
        <w:rPr>
          <w:rFonts w:ascii="Arial" w:hAnsi="Arial" w:eastAsia="Arial" w:cs="Arial"/>
          <w:b w:val="1"/>
          <w:bCs w:val="1"/>
          <w:noProof w:val="0"/>
          <w:sz w:val="22"/>
          <w:szCs w:val="22"/>
          <w:lang w:val="en-US"/>
        </w:rPr>
        <w:t>dentificatio</w:t>
      </w:r>
      <w:r w:rsidRPr="3D82D8A6" w:rsidR="7BC87E44">
        <w:rPr>
          <w:rFonts w:ascii="Arial" w:hAnsi="Arial" w:eastAsia="Arial" w:cs="Arial"/>
          <w:b w:val="1"/>
          <w:bCs w:val="1"/>
          <w:noProof w:val="0"/>
          <w:sz w:val="22"/>
          <w:szCs w:val="22"/>
          <w:lang w:val="en-US"/>
        </w:rPr>
        <w:t>n</w:t>
      </w:r>
    </w:p>
    <w:p w:rsidR="7D5E059F" w:rsidP="3D82D8A6" w:rsidRDefault="7D5E059F" w14:paraId="29DBAB0C" w14:textId="425F90D9" w14:noSpellErr="1">
      <w:pPr>
        <w:spacing w:before="0" w:beforeAutospacing="off" w:after="160" w:afterAutospacing="off" w:line="360" w:lineRule="auto"/>
        <w:ind w:firstLine="0"/>
        <w:jc w:val="both"/>
        <w:rPr>
          <w:rFonts w:ascii="Arial" w:hAnsi="Arial" w:eastAsia="Arial" w:cs="Arial"/>
          <w:noProof w:val="0"/>
          <w:sz w:val="22"/>
          <w:szCs w:val="22"/>
          <w:lang w:val="en-US"/>
        </w:rPr>
      </w:pPr>
      <w:r w:rsidRPr="3D82D8A6" w:rsidR="257D4FFE">
        <w:rPr>
          <w:rFonts w:ascii="Arial" w:hAnsi="Arial" w:eastAsia="Arial" w:cs="Arial"/>
          <w:noProof w:val="0"/>
          <w:sz w:val="22"/>
          <w:szCs w:val="22"/>
          <w:lang w:val="en-US"/>
        </w:rPr>
        <w:t>Drugs use and addiction in the United Kingdom represent a persistent and escalating public health crisis. The 2022 figures, which registered 3,026 drug poisoning deaths in England and Wales, are the highest on record (Office for National Statistics, 2023). Opioids, including heroin and synthetic analogues like fentanyl, remain the leading cause of death, accounting for 49% of drug poisoning deaths. The challenges posed by new psychoactive substances (NPS) and polydrug use have become significant in the treatment of cocaine-related deaths, which have tripled in the last decade.</w:t>
      </w:r>
    </w:p>
    <w:p w:rsidR="7D5E059F" w:rsidP="3D82D8A6" w:rsidRDefault="7D5E059F" w14:paraId="3789B9CD" w14:textId="1009A437" w14:noSpellErr="1">
      <w:pPr>
        <w:spacing w:before="0" w:beforeAutospacing="off" w:after="160" w:afterAutospacing="off" w:line="360" w:lineRule="auto"/>
        <w:jc w:val="both"/>
        <w:rPr>
          <w:rFonts w:ascii="Arial" w:hAnsi="Arial" w:eastAsia="Arial" w:cs="Arial"/>
          <w:noProof w:val="0"/>
          <w:sz w:val="22"/>
          <w:szCs w:val="22"/>
          <w:lang w:val="en-US"/>
        </w:rPr>
      </w:pPr>
      <w:r w:rsidRPr="3D82D8A6" w:rsidR="257D4FFE">
        <w:rPr>
          <w:rFonts w:ascii="Arial" w:hAnsi="Arial" w:eastAsia="Arial" w:cs="Arial"/>
          <w:noProof w:val="0"/>
          <w:sz w:val="22"/>
          <w:szCs w:val="22"/>
          <w:lang w:val="en-US"/>
        </w:rPr>
        <w:t xml:space="preserve">Young adults aged 20–39 are being admitted to hospitals more </w:t>
      </w:r>
      <w:r w:rsidRPr="3D82D8A6" w:rsidR="257D4FFE">
        <w:rPr>
          <w:rFonts w:ascii="Arial" w:hAnsi="Arial" w:eastAsia="Arial" w:cs="Arial"/>
          <w:noProof w:val="0"/>
          <w:sz w:val="22"/>
          <w:szCs w:val="22"/>
          <w:lang w:val="en-US"/>
        </w:rPr>
        <w:t>frequently</w:t>
      </w:r>
      <w:r w:rsidRPr="3D82D8A6" w:rsidR="257D4FFE">
        <w:rPr>
          <w:rFonts w:ascii="Arial" w:hAnsi="Arial" w:eastAsia="Arial" w:cs="Arial"/>
          <w:noProof w:val="0"/>
          <w:sz w:val="22"/>
          <w:szCs w:val="22"/>
          <w:lang w:val="en-US"/>
        </w:rPr>
        <w:t xml:space="preserve"> due to crises surrounding mental health and overdose, and they are disproportionately affected. Problematic drug use is more frequent in socioeconomically deprived areas because of unemployment, unstable housing, and a lack of support services (Advisory Council on the Misuse of Drugs, 2021). Having a mental health condition in addition to substance use disorder creates even more challenges, resulting in a cycle of addiction, homelessness, and involvement with the criminal justice system</w:t>
      </w:r>
      <w:r w:rsidRPr="3D82D8A6" w:rsidR="257D4FFE">
        <w:rPr>
          <w:rFonts w:ascii="Arial" w:hAnsi="Arial" w:eastAsia="Arial" w:cs="Arial"/>
          <w:noProof w:val="0"/>
          <w:sz w:val="22"/>
          <w:szCs w:val="22"/>
          <w:lang w:val="en-US"/>
        </w:rPr>
        <w:t xml:space="preserve">.  </w:t>
      </w:r>
      <w:r w:rsidRPr="3D82D8A6" w:rsidR="257D4FFE">
        <w:rPr>
          <w:rFonts w:ascii="Arial" w:hAnsi="Arial" w:eastAsia="Arial" w:cs="Arial"/>
          <w:noProof w:val="0"/>
          <w:sz w:val="22"/>
          <w:szCs w:val="22"/>
          <w:lang w:val="en-US"/>
        </w:rPr>
        <w:t xml:space="preserve">Frontline health and social care </w:t>
      </w:r>
      <w:r w:rsidRPr="3D82D8A6" w:rsidR="0130CB5F">
        <w:rPr>
          <w:rFonts w:ascii="Arial" w:hAnsi="Arial" w:eastAsia="Arial" w:cs="Arial"/>
          <w:noProof w:val="0"/>
          <w:sz w:val="22"/>
          <w:szCs w:val="22"/>
          <w:lang w:val="en-US"/>
        </w:rPr>
        <w:t>professionals,</w:t>
      </w:r>
      <w:r w:rsidRPr="3D82D8A6" w:rsidR="257D4FFE">
        <w:rPr>
          <w:rFonts w:ascii="Arial" w:hAnsi="Arial" w:eastAsia="Arial" w:cs="Arial"/>
          <w:noProof w:val="0"/>
          <w:sz w:val="22"/>
          <w:szCs w:val="22"/>
          <w:lang w:val="en-US"/>
        </w:rPr>
        <w:t xml:space="preserve"> particularly GPs, addiction specialists, and housing support staff</w:t>
      </w:r>
      <w:r w:rsidRPr="3D82D8A6" w:rsidR="58EDBF02">
        <w:rPr>
          <w:rFonts w:ascii="Arial" w:hAnsi="Arial" w:eastAsia="Arial" w:cs="Arial"/>
          <w:noProof w:val="0"/>
          <w:sz w:val="22"/>
          <w:szCs w:val="22"/>
          <w:lang w:val="en-US"/>
        </w:rPr>
        <w:t xml:space="preserve"> </w:t>
      </w:r>
      <w:r w:rsidRPr="3D82D8A6" w:rsidR="257D4FFE">
        <w:rPr>
          <w:rFonts w:ascii="Arial" w:hAnsi="Arial" w:eastAsia="Arial" w:cs="Arial"/>
          <w:noProof w:val="0"/>
          <w:sz w:val="22"/>
          <w:szCs w:val="22"/>
          <w:lang w:val="en-US"/>
        </w:rPr>
        <w:t xml:space="preserve">experience burnout and report unmanageable caseloads. </w:t>
      </w:r>
      <w:r w:rsidRPr="3D82D8A6" w:rsidR="257D4FFE">
        <w:rPr>
          <w:rFonts w:ascii="Arial" w:hAnsi="Arial" w:eastAsia="Arial" w:cs="Arial"/>
          <w:noProof w:val="0"/>
          <w:sz w:val="22"/>
          <w:szCs w:val="22"/>
          <w:lang w:val="en-US"/>
        </w:rPr>
        <w:t xml:space="preserve">Long waits </w:t>
      </w:r>
      <w:r w:rsidRPr="3D82D8A6" w:rsidR="257D4FFE">
        <w:rPr>
          <w:rFonts w:ascii="Arial" w:hAnsi="Arial" w:eastAsia="Arial" w:cs="Arial"/>
          <w:noProof w:val="0"/>
          <w:sz w:val="22"/>
          <w:szCs w:val="22"/>
          <w:lang w:val="en-US"/>
        </w:rPr>
        <w:t>in excess of</w:t>
      </w:r>
      <w:r w:rsidRPr="3D82D8A6" w:rsidR="257D4FFE">
        <w:rPr>
          <w:rFonts w:ascii="Arial" w:hAnsi="Arial" w:eastAsia="Arial" w:cs="Arial"/>
          <w:noProof w:val="0"/>
          <w:sz w:val="22"/>
          <w:szCs w:val="22"/>
          <w:lang w:val="en-US"/>
        </w:rPr>
        <w:t xml:space="preserve"> </w:t>
      </w:r>
      <w:r w:rsidRPr="3D82D8A6" w:rsidR="257D4FFE">
        <w:rPr>
          <w:rFonts w:ascii="Arial" w:hAnsi="Arial" w:eastAsia="Arial" w:cs="Arial"/>
          <w:noProof w:val="0"/>
          <w:sz w:val="22"/>
          <w:szCs w:val="22"/>
          <w:lang w:val="en-US"/>
        </w:rPr>
        <w:t>12 weeks</w:t>
      </w:r>
      <w:r w:rsidRPr="3D82D8A6" w:rsidR="257D4FFE">
        <w:rPr>
          <w:rFonts w:ascii="Arial" w:hAnsi="Arial" w:eastAsia="Arial" w:cs="Arial"/>
          <w:noProof w:val="0"/>
          <w:sz w:val="22"/>
          <w:szCs w:val="22"/>
          <w:lang w:val="en-US"/>
        </w:rPr>
        <w:t xml:space="preserve"> before treatment </w:t>
      </w:r>
      <w:r w:rsidRPr="3D82D8A6" w:rsidR="6EC2EF9F">
        <w:rPr>
          <w:rFonts w:ascii="Arial" w:hAnsi="Arial" w:eastAsia="Arial" w:cs="Arial"/>
          <w:noProof w:val="0"/>
          <w:sz w:val="22"/>
          <w:szCs w:val="22"/>
          <w:lang w:val="en-US"/>
        </w:rPr>
        <w:t>starts and</w:t>
      </w:r>
      <w:r w:rsidRPr="3D82D8A6" w:rsidR="257D4FFE">
        <w:rPr>
          <w:rFonts w:ascii="Arial" w:hAnsi="Arial" w:eastAsia="Arial" w:cs="Arial"/>
          <w:noProof w:val="0"/>
          <w:sz w:val="22"/>
          <w:szCs w:val="22"/>
          <w:lang w:val="en-US"/>
        </w:rPr>
        <w:t xml:space="preserve"> waits to access opioid substitution therapy (OST) and psychological support, are common (Public Health England, 2021).</w:t>
      </w:r>
      <w:r w:rsidRPr="3D82D8A6" w:rsidR="257D4FFE">
        <w:rPr>
          <w:rFonts w:ascii="Arial" w:hAnsi="Arial" w:eastAsia="Arial" w:cs="Arial"/>
          <w:noProof w:val="0"/>
          <w:sz w:val="22"/>
          <w:szCs w:val="22"/>
          <w:lang w:val="en-US"/>
        </w:rPr>
        <w:t xml:space="preserve"> Social care providers come under extreme pressure to </w:t>
      </w:r>
      <w:r w:rsidRPr="3D82D8A6" w:rsidR="257D4FFE">
        <w:rPr>
          <w:rFonts w:ascii="Arial" w:hAnsi="Arial" w:eastAsia="Arial" w:cs="Arial"/>
          <w:noProof w:val="0"/>
          <w:sz w:val="22"/>
          <w:szCs w:val="22"/>
          <w:lang w:val="en-US"/>
        </w:rPr>
        <w:t>assist</w:t>
      </w:r>
      <w:r w:rsidRPr="3D82D8A6" w:rsidR="257D4FFE">
        <w:rPr>
          <w:rFonts w:ascii="Arial" w:hAnsi="Arial" w:eastAsia="Arial" w:cs="Arial"/>
          <w:noProof w:val="0"/>
          <w:sz w:val="22"/>
          <w:szCs w:val="22"/>
          <w:lang w:val="en-US"/>
        </w:rPr>
        <w:t xml:space="preserve"> individuals in recovery, particularly with complex issues like dual diagnosis or trauma, because support is incoherently funded. Families are not only emotionally traumatized, but also financially burdened and over-extended in caregiving, while the emergency admissions to the NHS in addition to long-term health sequelae like HIV, hepatitis C, and HIV result in soaring NHS costs. Given the intersectional nature of this crisis, urgent primary research is needed to guide integrated policy and service design.</w:t>
      </w:r>
    </w:p>
    <w:p w:rsidR="7D5E059F" w:rsidP="3D82D8A6" w:rsidRDefault="7D5E059F" w14:paraId="61B327CB" w14:textId="64404C6B" w14:noSpellErr="1">
      <w:pPr>
        <w:spacing w:before="0" w:beforeAutospacing="off" w:after="160" w:afterAutospacing="off" w:line="360" w:lineRule="auto"/>
        <w:jc w:val="both"/>
        <w:rPr>
          <w:rFonts w:ascii="Arial" w:hAnsi="Arial" w:eastAsia="Arial" w:cs="Arial"/>
          <w:noProof w:val="0"/>
          <w:sz w:val="22"/>
          <w:szCs w:val="22"/>
          <w:lang w:val="en-US"/>
        </w:rPr>
      </w:pPr>
      <w:r w:rsidRPr="3D82D8A6" w:rsidR="257D4FFE">
        <w:rPr>
          <w:rFonts w:ascii="Arial" w:hAnsi="Arial" w:eastAsia="Arial" w:cs="Arial"/>
          <w:noProof w:val="0"/>
          <w:sz w:val="22"/>
          <w:szCs w:val="22"/>
          <w:lang w:val="en-US"/>
        </w:rPr>
        <w:t xml:space="preserve">Research on drug use and addiction is important to prevent avoidable deaths and health inequities and ease system-wide pressures. Yet despite the 10-Year Drugs Plan (HM Government, 2021), access to treatment </w:t>
      </w:r>
      <w:r w:rsidRPr="3D82D8A6" w:rsidR="257D4FFE">
        <w:rPr>
          <w:rFonts w:ascii="Arial" w:hAnsi="Arial" w:eastAsia="Arial" w:cs="Arial"/>
          <w:noProof w:val="0"/>
          <w:sz w:val="22"/>
          <w:szCs w:val="22"/>
          <w:lang w:val="en-US"/>
        </w:rPr>
        <w:t>remains</w:t>
      </w:r>
      <w:r w:rsidRPr="3D82D8A6" w:rsidR="257D4FFE">
        <w:rPr>
          <w:rFonts w:ascii="Arial" w:hAnsi="Arial" w:eastAsia="Arial" w:cs="Arial"/>
          <w:noProof w:val="0"/>
          <w:sz w:val="22"/>
          <w:szCs w:val="22"/>
          <w:lang w:val="en-US"/>
        </w:rPr>
        <w:t xml:space="preserve"> patchy and fatal overdoses keep rising. </w:t>
      </w:r>
      <w:r w:rsidRPr="3D82D8A6" w:rsidR="257D4FFE">
        <w:rPr>
          <w:rFonts w:ascii="Arial" w:hAnsi="Arial" w:eastAsia="Arial" w:cs="Arial"/>
          <w:noProof w:val="0"/>
          <w:sz w:val="22"/>
          <w:szCs w:val="22"/>
          <w:lang w:val="en-US"/>
        </w:rPr>
        <w:t>Understanding the blockers to treatment</w:t>
      </w:r>
      <w:r w:rsidRPr="3D82D8A6" w:rsidR="660A9EFC">
        <w:rPr>
          <w:rFonts w:ascii="Arial" w:hAnsi="Arial" w:eastAsia="Arial" w:cs="Arial"/>
          <w:noProof w:val="0"/>
          <w:sz w:val="22"/>
          <w:szCs w:val="22"/>
          <w:lang w:val="en-US"/>
        </w:rPr>
        <w:t xml:space="preserve"> </w:t>
      </w:r>
      <w:r w:rsidRPr="3D82D8A6" w:rsidR="257D4FFE">
        <w:rPr>
          <w:rFonts w:ascii="Arial" w:hAnsi="Arial" w:eastAsia="Arial" w:cs="Arial"/>
          <w:noProof w:val="0"/>
          <w:sz w:val="22"/>
          <w:szCs w:val="22"/>
          <w:lang w:val="en-US"/>
        </w:rPr>
        <w:t>such as stigma, poorly funded services, and gaps between regions</w:t>
      </w:r>
      <w:r w:rsidRPr="3D82D8A6" w:rsidR="7EA4A8B6">
        <w:rPr>
          <w:rFonts w:ascii="Arial" w:hAnsi="Arial" w:eastAsia="Arial" w:cs="Arial"/>
          <w:noProof w:val="0"/>
          <w:sz w:val="22"/>
          <w:szCs w:val="22"/>
          <w:lang w:val="en-US"/>
        </w:rPr>
        <w:t xml:space="preserve"> </w:t>
      </w:r>
      <w:r w:rsidRPr="3D82D8A6" w:rsidR="257D4FFE">
        <w:rPr>
          <w:rFonts w:ascii="Arial" w:hAnsi="Arial" w:eastAsia="Arial" w:cs="Arial"/>
          <w:noProof w:val="0"/>
          <w:sz w:val="22"/>
          <w:szCs w:val="22"/>
          <w:lang w:val="en-US"/>
        </w:rPr>
        <w:t xml:space="preserve">will </w:t>
      </w:r>
      <w:r w:rsidRPr="3D82D8A6" w:rsidR="4E2B11B4">
        <w:rPr>
          <w:rFonts w:ascii="Arial" w:hAnsi="Arial" w:eastAsia="Arial" w:cs="Arial"/>
          <w:noProof w:val="0"/>
          <w:sz w:val="22"/>
          <w:szCs w:val="22"/>
          <w:lang w:val="en-US"/>
        </w:rPr>
        <w:t>assist in</w:t>
      </w:r>
      <w:r w:rsidRPr="3D82D8A6" w:rsidR="257D4FFE">
        <w:rPr>
          <w:rFonts w:ascii="Arial" w:hAnsi="Arial" w:eastAsia="Arial" w:cs="Arial"/>
          <w:noProof w:val="0"/>
          <w:sz w:val="22"/>
          <w:szCs w:val="22"/>
          <w:lang w:val="en-US"/>
        </w:rPr>
        <w:t xml:space="preserve"> the design of focused initiatives, particularly the widening of access to harm reduction and early intervention services.</w:t>
      </w:r>
      <w:r w:rsidRPr="3D82D8A6" w:rsidR="257D4FFE">
        <w:rPr>
          <w:rFonts w:ascii="Arial" w:hAnsi="Arial" w:eastAsia="Arial" w:cs="Arial"/>
          <w:noProof w:val="0"/>
          <w:sz w:val="22"/>
          <w:szCs w:val="22"/>
          <w:lang w:val="en-US"/>
        </w:rPr>
        <w:t xml:space="preserve">  </w:t>
      </w:r>
    </w:p>
    <w:p w:rsidR="7D5E059F" w:rsidP="3D82D8A6" w:rsidRDefault="7D5E059F" w14:paraId="6138B3B8" w14:textId="651A99D1" w14:noSpellErr="1">
      <w:pPr>
        <w:spacing w:before="0" w:beforeAutospacing="off" w:after="160" w:afterAutospacing="off" w:line="360" w:lineRule="auto"/>
        <w:ind w:firstLine="0"/>
        <w:jc w:val="both"/>
        <w:rPr>
          <w:rFonts w:ascii="Arial" w:hAnsi="Arial" w:eastAsia="Arial" w:cs="Arial"/>
          <w:noProof w:val="0"/>
          <w:sz w:val="22"/>
          <w:szCs w:val="22"/>
          <w:lang w:val="en-US"/>
        </w:rPr>
      </w:pPr>
      <w:r w:rsidRPr="3D82D8A6" w:rsidR="257D4FFE">
        <w:rPr>
          <w:rFonts w:ascii="Arial" w:hAnsi="Arial" w:eastAsia="Arial" w:cs="Arial"/>
          <w:noProof w:val="0"/>
          <w:sz w:val="22"/>
          <w:szCs w:val="22"/>
          <w:lang w:val="en-US"/>
        </w:rPr>
        <w:t xml:space="preserve">Analyzing the social determinants of addiction, and especially where the most deprived communities are, will encourage </w:t>
      </w:r>
      <w:r w:rsidRPr="3D82D8A6" w:rsidR="14CB1C9B">
        <w:rPr>
          <w:rFonts w:ascii="Arial" w:hAnsi="Arial" w:eastAsia="Arial" w:cs="Arial"/>
          <w:noProof w:val="0"/>
          <w:sz w:val="22"/>
          <w:szCs w:val="22"/>
          <w:lang w:val="en-US"/>
        </w:rPr>
        <w:t>equity-oriented</w:t>
      </w:r>
      <w:r w:rsidRPr="3D82D8A6" w:rsidR="257D4FFE">
        <w:rPr>
          <w:rFonts w:ascii="Arial" w:hAnsi="Arial" w:eastAsia="Arial" w:cs="Arial"/>
          <w:noProof w:val="0"/>
          <w:sz w:val="22"/>
          <w:szCs w:val="22"/>
          <w:lang w:val="en-US"/>
        </w:rPr>
        <w:t xml:space="preserve"> initiatives. The research will also inform evaluation efforts of the collaborative Drug Treatment and Recovery Pilots to ensure resource allocation is justified. Understanding gaps in the workforce and the lived experience of service users will bolster advocacy for the construction of integrated service models. </w:t>
      </w:r>
      <w:r w:rsidRPr="3D82D8A6" w:rsidR="257D4FFE">
        <w:rPr>
          <w:rFonts w:ascii="Arial" w:hAnsi="Arial" w:eastAsia="Arial" w:cs="Arial"/>
          <w:noProof w:val="0"/>
          <w:sz w:val="22"/>
          <w:szCs w:val="22"/>
          <w:lang w:val="en-US"/>
        </w:rPr>
        <w:t xml:space="preserve">In the end, needle and drug provision research will help the system in harmonizing poorly aligned priorities toward drug-related harm reduction, </w:t>
      </w:r>
      <w:r w:rsidRPr="3D82D8A6" w:rsidR="0CF4B002">
        <w:rPr>
          <w:rFonts w:ascii="Arial" w:hAnsi="Arial" w:eastAsia="Arial" w:cs="Arial"/>
          <w:noProof w:val="0"/>
          <w:sz w:val="22"/>
          <w:szCs w:val="22"/>
          <w:lang w:val="en-US"/>
        </w:rPr>
        <w:t>optimizing</w:t>
      </w:r>
      <w:r w:rsidRPr="3D82D8A6" w:rsidR="257D4FFE">
        <w:rPr>
          <w:rFonts w:ascii="Arial" w:hAnsi="Arial" w:eastAsia="Arial" w:cs="Arial"/>
          <w:noProof w:val="0"/>
          <w:sz w:val="22"/>
          <w:szCs w:val="22"/>
          <w:lang w:val="en-US"/>
        </w:rPr>
        <w:t xml:space="preserve"> recovery outcomes, and </w:t>
      </w:r>
      <w:r w:rsidRPr="3D82D8A6" w:rsidR="4DB99FC5">
        <w:rPr>
          <w:rFonts w:ascii="Arial" w:hAnsi="Arial" w:eastAsia="Arial" w:cs="Arial"/>
          <w:noProof w:val="0"/>
          <w:sz w:val="22"/>
          <w:szCs w:val="22"/>
          <w:lang w:val="en-US"/>
        </w:rPr>
        <w:t>creating</w:t>
      </w:r>
      <w:r w:rsidRPr="3D82D8A6" w:rsidR="257D4FFE">
        <w:rPr>
          <w:rFonts w:ascii="Arial" w:hAnsi="Arial" w:eastAsia="Arial" w:cs="Arial"/>
          <w:noProof w:val="0"/>
          <w:sz w:val="22"/>
          <w:szCs w:val="22"/>
          <w:lang w:val="en-US"/>
        </w:rPr>
        <w:t xml:space="preserve"> empathy across health and social care as well as the health system.</w:t>
      </w:r>
    </w:p>
    <w:p w:rsidR="7D5E059F" w:rsidP="3D82D8A6" w:rsidRDefault="7D5E059F" w14:paraId="351B7FB0" w14:textId="0441BFCD" w14:noSpellErr="1">
      <w:pPr>
        <w:spacing w:before="0" w:beforeAutospacing="off" w:after="160" w:afterAutospacing="off" w:line="360" w:lineRule="auto"/>
        <w:jc w:val="both"/>
        <w:rPr>
          <w:rFonts w:ascii="Arial" w:hAnsi="Arial" w:eastAsia="Arial" w:cs="Arial"/>
          <w:b w:val="1"/>
          <w:bCs w:val="1"/>
          <w:noProof w:val="0"/>
          <w:sz w:val="22"/>
          <w:szCs w:val="22"/>
          <w:lang w:val="en-US"/>
        </w:rPr>
      </w:pPr>
      <w:r w:rsidRPr="3D82D8A6" w:rsidR="257D4FFE">
        <w:rPr>
          <w:rFonts w:ascii="Arial" w:hAnsi="Arial" w:eastAsia="Arial" w:cs="Arial"/>
          <w:b w:val="1"/>
          <w:bCs w:val="1"/>
          <w:noProof w:val="0"/>
          <w:sz w:val="22"/>
          <w:szCs w:val="22"/>
          <w:lang w:val="en-US"/>
        </w:rPr>
        <w:t xml:space="preserve">Discussion of Three Relevant Sources   </w:t>
      </w:r>
    </w:p>
    <w:p w:rsidR="7D5E059F" w:rsidP="3D82D8A6" w:rsidRDefault="7D5E059F" w14:paraId="1596F087" w14:textId="215358EB" w14:noSpellErr="1">
      <w:pPr>
        <w:spacing w:before="0" w:beforeAutospacing="off" w:after="160" w:afterAutospacing="off" w:line="360" w:lineRule="auto"/>
        <w:jc w:val="both"/>
        <w:rPr>
          <w:rFonts w:ascii="Arial" w:hAnsi="Arial" w:eastAsia="Arial" w:cs="Arial"/>
          <w:noProof w:val="0"/>
          <w:sz w:val="22"/>
          <w:szCs w:val="22"/>
          <w:lang w:val="en-US"/>
        </w:rPr>
      </w:pPr>
      <w:r w:rsidRPr="3D82D8A6" w:rsidR="257D4FFE">
        <w:rPr>
          <w:rFonts w:ascii="Arial" w:hAnsi="Arial" w:eastAsia="Arial" w:cs="Arial"/>
          <w:noProof w:val="0"/>
          <w:sz w:val="22"/>
          <w:szCs w:val="22"/>
          <w:lang w:val="en-US"/>
        </w:rPr>
        <w:t xml:space="preserve">1. Office for National Statistics (2023) ‘Deaths related to drug poisoning in England and Wales: 2022 </w:t>
      </w:r>
      <w:r w:rsidRPr="3D82D8A6" w:rsidR="6BF07425">
        <w:rPr>
          <w:rFonts w:ascii="Arial" w:hAnsi="Arial" w:eastAsia="Arial" w:cs="Arial"/>
          <w:noProof w:val="0"/>
          <w:sz w:val="22"/>
          <w:szCs w:val="22"/>
          <w:lang w:val="en-US"/>
        </w:rPr>
        <w:t>registrations</w:t>
      </w:r>
      <w:r w:rsidRPr="3D82D8A6" w:rsidR="257D4FFE">
        <w:rPr>
          <w:rFonts w:ascii="Arial" w:hAnsi="Arial" w:eastAsia="Arial" w:cs="Arial"/>
          <w:noProof w:val="0"/>
          <w:sz w:val="22"/>
          <w:szCs w:val="22"/>
          <w:lang w:val="en-US"/>
        </w:rPr>
        <w:t xml:space="preserve">.  </w:t>
      </w:r>
      <w:r w:rsidRPr="3D82D8A6" w:rsidR="257D4FFE">
        <w:rPr>
          <w:rFonts w:ascii="Arial" w:hAnsi="Arial" w:eastAsia="Arial" w:cs="Arial"/>
          <w:noProof w:val="0"/>
          <w:sz w:val="22"/>
          <w:szCs w:val="22"/>
          <w:lang w:val="en-US"/>
        </w:rPr>
        <w:t xml:space="preserve"> </w:t>
      </w:r>
    </w:p>
    <w:p w:rsidR="7D5E059F" w:rsidP="3D82D8A6" w:rsidRDefault="7D5E059F" w14:paraId="1F24A1A5" w14:noSpellErr="1" w14:textId="37884777">
      <w:pPr>
        <w:pStyle w:val="Normal"/>
        <w:spacing w:before="0" w:beforeAutospacing="off" w:after="160" w:afterAutospacing="off" w:line="360" w:lineRule="auto"/>
        <w:jc w:val="both"/>
        <w:rPr>
          <w:rFonts w:ascii="Arial" w:hAnsi="Arial" w:eastAsia="Arial" w:cs="Arial"/>
          <w:noProof w:val="0"/>
          <w:sz w:val="22"/>
          <w:szCs w:val="22"/>
          <w:lang w:val="en-US"/>
        </w:rPr>
      </w:pPr>
      <w:r w:rsidRPr="3D82D8A6" w:rsidR="257D4FFE">
        <w:rPr>
          <w:rFonts w:ascii="Arial" w:hAnsi="Arial" w:eastAsia="Arial" w:cs="Arial"/>
          <w:noProof w:val="0"/>
          <w:sz w:val="22"/>
          <w:szCs w:val="22"/>
          <w:lang w:val="en-US"/>
        </w:rPr>
        <w:t>This document gives detailed statistics on death registrations, including trends and demographics related to misuse of drugs, especially opioids, and how it varies across different regions</w:t>
      </w:r>
      <w:r w:rsidRPr="3D82D8A6" w:rsidR="3C54E15A">
        <w:rPr>
          <w:rFonts w:ascii="Arial" w:hAnsi="Arial" w:eastAsia="Arial" w:cs="Arial"/>
          <w:noProof w:val="0"/>
          <w:sz w:val="22"/>
          <w:szCs w:val="22"/>
          <w:lang w:val="en-US"/>
        </w:rPr>
        <w:t xml:space="preserve"> (Office for National Statistics, 2023).</w:t>
      </w:r>
      <w:r w:rsidRPr="3D82D8A6" w:rsidR="7670A25C">
        <w:rPr>
          <w:rFonts w:ascii="Arial" w:hAnsi="Arial" w:eastAsia="Arial" w:cs="Arial"/>
          <w:noProof w:val="0"/>
          <w:sz w:val="22"/>
          <w:szCs w:val="22"/>
          <w:lang w:val="en-US"/>
        </w:rPr>
        <w:t xml:space="preserve"> </w:t>
      </w:r>
      <w:r w:rsidRPr="3D82D8A6" w:rsidR="7670A25C">
        <w:rPr>
          <w:rFonts w:ascii="Arial" w:hAnsi="Arial" w:eastAsia="Arial" w:cs="Arial"/>
          <w:noProof w:val="0"/>
          <w:sz w:val="32"/>
          <w:szCs w:val="32"/>
          <w:lang w:val="en-US"/>
        </w:rPr>
        <w:t xml:space="preserve"> </w:t>
      </w:r>
    </w:p>
    <w:p w:rsidR="7D5E059F" w:rsidP="3D82D8A6" w:rsidRDefault="7D5E059F" w14:paraId="457B03E6" w14:textId="1D38FA6D" w14:noSpellErr="1">
      <w:pPr>
        <w:spacing w:before="0" w:beforeAutospacing="off" w:after="160" w:afterAutospacing="off" w:line="360" w:lineRule="auto"/>
        <w:jc w:val="both"/>
        <w:rPr>
          <w:rFonts w:ascii="Arial" w:hAnsi="Arial" w:eastAsia="Arial" w:cs="Arial"/>
          <w:noProof w:val="0"/>
          <w:sz w:val="22"/>
          <w:szCs w:val="22"/>
          <w:lang w:val="en-US"/>
        </w:rPr>
      </w:pPr>
      <w:r w:rsidRPr="3D82D8A6" w:rsidR="257D4FFE">
        <w:rPr>
          <w:rFonts w:ascii="Arial" w:hAnsi="Arial" w:eastAsia="Arial" w:cs="Arial"/>
          <w:noProof w:val="0"/>
          <w:sz w:val="22"/>
          <w:szCs w:val="22"/>
          <w:lang w:val="en-US"/>
        </w:rPr>
        <w:t xml:space="preserve">Justification: Chosen for its timeliness and comprehensive vital statistics, which are crucial in </w:t>
      </w:r>
      <w:r w:rsidRPr="3D82D8A6" w:rsidR="666657D4">
        <w:rPr>
          <w:rFonts w:ascii="Arial" w:hAnsi="Arial" w:eastAsia="Arial" w:cs="Arial"/>
          <w:noProof w:val="0"/>
          <w:sz w:val="22"/>
          <w:szCs w:val="22"/>
          <w:lang w:val="en-US"/>
        </w:rPr>
        <w:t>gauging at</w:t>
      </w:r>
      <w:r w:rsidRPr="3D82D8A6" w:rsidR="257D4FFE">
        <w:rPr>
          <w:rFonts w:ascii="Arial" w:hAnsi="Arial" w:eastAsia="Arial" w:cs="Arial"/>
          <w:noProof w:val="0"/>
          <w:sz w:val="22"/>
          <w:szCs w:val="22"/>
          <w:lang w:val="en-US"/>
        </w:rPr>
        <w:t xml:space="preserve"> the </w:t>
      </w:r>
      <w:r w:rsidRPr="3D82D8A6" w:rsidR="257D4FFE">
        <w:rPr>
          <w:rFonts w:ascii="Arial" w:hAnsi="Arial" w:eastAsia="Arial" w:cs="Arial"/>
          <w:noProof w:val="0"/>
          <w:sz w:val="22"/>
          <w:szCs w:val="22"/>
          <w:lang w:val="en-US"/>
        </w:rPr>
        <w:t>magnitude</w:t>
      </w:r>
      <w:r w:rsidRPr="3D82D8A6" w:rsidR="257D4FFE">
        <w:rPr>
          <w:rFonts w:ascii="Arial" w:hAnsi="Arial" w:eastAsia="Arial" w:cs="Arial"/>
          <w:noProof w:val="0"/>
          <w:sz w:val="22"/>
          <w:szCs w:val="22"/>
          <w:lang w:val="en-US"/>
        </w:rPr>
        <w:t xml:space="preserve"> of the problem and </w:t>
      </w:r>
      <w:r w:rsidRPr="3D82D8A6" w:rsidR="257D4FFE">
        <w:rPr>
          <w:rFonts w:ascii="Arial" w:hAnsi="Arial" w:eastAsia="Arial" w:cs="Arial"/>
          <w:noProof w:val="0"/>
          <w:sz w:val="22"/>
          <w:szCs w:val="22"/>
          <w:lang w:val="en-US"/>
        </w:rPr>
        <w:t>determining</w:t>
      </w:r>
      <w:r w:rsidRPr="3D82D8A6" w:rsidR="257D4FFE">
        <w:rPr>
          <w:rFonts w:ascii="Arial" w:hAnsi="Arial" w:eastAsia="Arial" w:cs="Arial"/>
          <w:noProof w:val="0"/>
          <w:sz w:val="22"/>
          <w:szCs w:val="22"/>
          <w:lang w:val="en-US"/>
        </w:rPr>
        <w:t xml:space="preserve"> the most affected populations</w:t>
      </w:r>
      <w:r w:rsidRPr="3D82D8A6" w:rsidR="257D4FFE">
        <w:rPr>
          <w:rFonts w:ascii="Arial" w:hAnsi="Arial" w:eastAsia="Arial" w:cs="Arial"/>
          <w:noProof w:val="0"/>
          <w:sz w:val="22"/>
          <w:szCs w:val="22"/>
          <w:lang w:val="en-US"/>
        </w:rPr>
        <w:t xml:space="preserve">.  </w:t>
      </w:r>
      <w:r w:rsidRPr="3D82D8A6" w:rsidR="257D4FFE">
        <w:rPr>
          <w:rFonts w:ascii="Arial" w:hAnsi="Arial" w:eastAsia="Arial" w:cs="Arial"/>
          <w:noProof w:val="0"/>
          <w:sz w:val="22"/>
          <w:szCs w:val="22"/>
          <w:lang w:val="en-US"/>
        </w:rPr>
        <w:t xml:space="preserve"> </w:t>
      </w:r>
    </w:p>
    <w:p w:rsidR="7D5E059F" w:rsidP="3D82D8A6" w:rsidRDefault="7D5E059F" w14:paraId="01AE3A66" w14:textId="3F481C8C" w14:noSpellErr="1">
      <w:pPr>
        <w:spacing w:before="0" w:beforeAutospacing="off" w:after="160" w:afterAutospacing="off" w:line="360" w:lineRule="auto"/>
        <w:jc w:val="both"/>
        <w:rPr>
          <w:rFonts w:ascii="Arial" w:hAnsi="Arial" w:eastAsia="Arial" w:cs="Arial"/>
          <w:noProof w:val="0"/>
          <w:sz w:val="22"/>
          <w:szCs w:val="22"/>
          <w:lang w:val="en-US"/>
        </w:rPr>
      </w:pPr>
      <w:r w:rsidRPr="3D82D8A6" w:rsidR="257D4FFE">
        <w:rPr>
          <w:rFonts w:ascii="Arial" w:hAnsi="Arial" w:eastAsia="Arial" w:cs="Arial"/>
          <w:noProof w:val="0"/>
          <w:sz w:val="22"/>
          <w:szCs w:val="22"/>
          <w:lang w:val="en-US"/>
        </w:rPr>
        <w:t>2. Advisory Council on the Misuse of Drugs (2021) ‘Drug misuse and dependence: UK guidelines on clinical management’</w:t>
      </w:r>
      <w:r w:rsidRPr="3D82D8A6" w:rsidR="257D4FFE">
        <w:rPr>
          <w:rFonts w:ascii="Arial" w:hAnsi="Arial" w:eastAsia="Arial" w:cs="Arial"/>
          <w:noProof w:val="0"/>
          <w:sz w:val="22"/>
          <w:szCs w:val="22"/>
          <w:lang w:val="en-US"/>
        </w:rPr>
        <w:t xml:space="preserve">.  </w:t>
      </w:r>
    </w:p>
    <w:p w:rsidR="7D5E059F" w:rsidP="3D82D8A6" w:rsidRDefault="7D5E059F" w14:paraId="410A9238" w14:noSpellErr="1" w14:textId="4221524E">
      <w:pPr>
        <w:pStyle w:val="Normal"/>
        <w:spacing w:before="0" w:beforeAutospacing="off" w:after="160" w:afterAutospacing="off" w:line="360" w:lineRule="auto"/>
        <w:jc w:val="both"/>
        <w:rPr>
          <w:rFonts w:ascii="Arial" w:hAnsi="Arial" w:eastAsia="Arial" w:cs="Arial"/>
          <w:noProof w:val="0"/>
          <w:sz w:val="22"/>
          <w:szCs w:val="22"/>
          <w:lang w:val="en-US"/>
        </w:rPr>
      </w:pPr>
      <w:r w:rsidRPr="3D82D8A6" w:rsidR="257D4FFE">
        <w:rPr>
          <w:rFonts w:ascii="Arial" w:hAnsi="Arial" w:eastAsia="Arial" w:cs="Arial"/>
          <w:noProof w:val="0"/>
          <w:sz w:val="22"/>
          <w:szCs w:val="22"/>
          <w:lang w:val="en-US"/>
        </w:rPr>
        <w:t>This report provides information on evidence-based treatment protocols that include barriers to care and integration of services</w:t>
      </w:r>
      <w:r w:rsidRPr="3D82D8A6" w:rsidR="257D4FFE">
        <w:rPr>
          <w:rFonts w:ascii="Arial" w:hAnsi="Arial" w:eastAsia="Arial" w:cs="Arial"/>
          <w:noProof w:val="0"/>
          <w:sz w:val="22"/>
          <w:szCs w:val="22"/>
          <w:lang w:val="en-US"/>
        </w:rPr>
        <w:t xml:space="preserve"> </w:t>
      </w:r>
      <w:r w:rsidRPr="3D82D8A6" w:rsidR="58B621F0">
        <w:rPr>
          <w:rFonts w:ascii="Arial" w:hAnsi="Arial" w:eastAsia="Arial" w:cs="Arial"/>
          <w:noProof w:val="0"/>
          <w:sz w:val="22"/>
          <w:szCs w:val="22"/>
          <w:lang w:val="en-US"/>
        </w:rPr>
        <w:t>(Advisory Council on the Misuse of Drugs, 2021).</w:t>
      </w:r>
    </w:p>
    <w:p w:rsidR="7D5E059F" w:rsidP="3D82D8A6" w:rsidRDefault="7D5E059F" w14:paraId="0B20E328" w14:textId="68DDD583" w14:noSpellErr="1">
      <w:pPr>
        <w:spacing w:before="0" w:beforeAutospacing="off" w:after="160" w:afterAutospacing="off" w:line="360" w:lineRule="auto"/>
        <w:jc w:val="both"/>
        <w:rPr>
          <w:rFonts w:ascii="Arial" w:hAnsi="Arial" w:eastAsia="Arial" w:cs="Arial"/>
          <w:noProof w:val="0"/>
          <w:sz w:val="22"/>
          <w:szCs w:val="22"/>
          <w:lang w:val="en-US"/>
        </w:rPr>
      </w:pPr>
      <w:r w:rsidRPr="3D82D8A6" w:rsidR="257D4FFE">
        <w:rPr>
          <w:rFonts w:ascii="Arial" w:hAnsi="Arial" w:eastAsia="Arial" w:cs="Arial"/>
          <w:noProof w:val="0"/>
          <w:sz w:val="22"/>
          <w:szCs w:val="22"/>
          <w:lang w:val="en-US"/>
        </w:rPr>
        <w:t xml:space="preserve">Justification: Included for its relevance to practice and the authority it holds in the field since it directly </w:t>
      </w:r>
      <w:r w:rsidRPr="3D82D8A6" w:rsidR="257D4FFE">
        <w:rPr>
          <w:rFonts w:ascii="Arial" w:hAnsi="Arial" w:eastAsia="Arial" w:cs="Arial"/>
          <w:noProof w:val="0"/>
          <w:sz w:val="22"/>
          <w:szCs w:val="22"/>
          <w:lang w:val="en-US"/>
        </w:rPr>
        <w:t>impacts</w:t>
      </w:r>
      <w:r w:rsidRPr="3D82D8A6" w:rsidR="257D4FFE">
        <w:rPr>
          <w:rFonts w:ascii="Arial" w:hAnsi="Arial" w:eastAsia="Arial" w:cs="Arial"/>
          <w:noProof w:val="0"/>
          <w:sz w:val="22"/>
          <w:szCs w:val="22"/>
          <w:lang w:val="en-US"/>
        </w:rPr>
        <w:t xml:space="preserve"> the development of services</w:t>
      </w:r>
      <w:r w:rsidRPr="3D82D8A6" w:rsidR="257D4FFE">
        <w:rPr>
          <w:rFonts w:ascii="Arial" w:hAnsi="Arial" w:eastAsia="Arial" w:cs="Arial"/>
          <w:noProof w:val="0"/>
          <w:sz w:val="22"/>
          <w:szCs w:val="22"/>
          <w:lang w:val="en-US"/>
        </w:rPr>
        <w:t xml:space="preserve">.  </w:t>
      </w:r>
    </w:p>
    <w:p w:rsidR="7D5E059F" w:rsidP="3D82D8A6" w:rsidRDefault="7D5E059F" w14:paraId="13ABBCDD" w14:textId="2E8B1191" w14:noSpellErr="1">
      <w:pPr>
        <w:spacing w:before="0" w:beforeAutospacing="off" w:after="160" w:afterAutospacing="off" w:line="360" w:lineRule="auto"/>
        <w:jc w:val="both"/>
        <w:rPr>
          <w:rFonts w:ascii="Arial" w:hAnsi="Arial" w:eastAsia="Arial" w:cs="Arial"/>
          <w:noProof w:val="0"/>
          <w:sz w:val="22"/>
          <w:szCs w:val="22"/>
          <w:lang w:val="en-US"/>
        </w:rPr>
      </w:pPr>
      <w:r w:rsidRPr="3D82D8A6" w:rsidR="257D4FFE">
        <w:rPr>
          <w:rFonts w:ascii="Arial" w:hAnsi="Arial" w:eastAsia="Arial" w:cs="Arial"/>
          <w:noProof w:val="0"/>
          <w:sz w:val="22"/>
          <w:szCs w:val="22"/>
          <w:lang w:val="en-US"/>
        </w:rPr>
        <w:t>3. Public Health England (2021) ‘Adult substance misuse treatment statistics 2020 to 2021’</w:t>
      </w:r>
      <w:r w:rsidRPr="3D82D8A6" w:rsidR="257D4FFE">
        <w:rPr>
          <w:rFonts w:ascii="Arial" w:hAnsi="Arial" w:eastAsia="Arial" w:cs="Arial"/>
          <w:noProof w:val="0"/>
          <w:sz w:val="22"/>
          <w:szCs w:val="22"/>
          <w:lang w:val="en-US"/>
        </w:rPr>
        <w:t xml:space="preserve">.  </w:t>
      </w:r>
      <w:r w:rsidRPr="3D82D8A6" w:rsidR="257D4FFE">
        <w:rPr>
          <w:rFonts w:ascii="Arial" w:hAnsi="Arial" w:eastAsia="Arial" w:cs="Arial"/>
          <w:noProof w:val="0"/>
          <w:sz w:val="22"/>
          <w:szCs w:val="22"/>
          <w:lang w:val="en-US"/>
        </w:rPr>
        <w:t xml:space="preserve"> </w:t>
      </w:r>
    </w:p>
    <w:p w:rsidR="7D5E059F" w:rsidP="3D82D8A6" w:rsidRDefault="7D5E059F" w14:paraId="78B7D39B" w14:noSpellErr="1" w14:textId="099484E6">
      <w:pPr>
        <w:pStyle w:val="Normal"/>
        <w:spacing w:before="0" w:beforeAutospacing="off" w:after="160" w:afterAutospacing="off" w:line="360" w:lineRule="auto"/>
        <w:jc w:val="both"/>
        <w:rPr>
          <w:rFonts w:ascii="Arial" w:hAnsi="Arial" w:eastAsia="Arial" w:cs="Arial"/>
          <w:noProof w:val="0"/>
          <w:sz w:val="22"/>
          <w:szCs w:val="22"/>
          <w:lang w:val="en-US"/>
        </w:rPr>
      </w:pPr>
      <w:r w:rsidRPr="3D82D8A6" w:rsidR="257D4FFE">
        <w:rPr>
          <w:rFonts w:ascii="Arial" w:hAnsi="Arial" w:eastAsia="Arial" w:cs="Arial"/>
          <w:noProof w:val="0"/>
          <w:sz w:val="22"/>
          <w:szCs w:val="22"/>
          <w:lang w:val="en-US"/>
        </w:rPr>
        <w:t>This report provides an analysis of treatment accessibility, waiting times, and outcomes, which brought to light the gaps in OST and mental health integration</w:t>
      </w:r>
      <w:r w:rsidRPr="3D82D8A6" w:rsidR="7B3EB744">
        <w:rPr>
          <w:rFonts w:ascii="Arial" w:hAnsi="Arial" w:eastAsia="Arial" w:cs="Arial"/>
          <w:noProof w:val="0"/>
          <w:sz w:val="22"/>
          <w:szCs w:val="22"/>
          <w:lang w:val="en-US"/>
        </w:rPr>
        <w:t xml:space="preserve"> (Public Health England, 2021)</w:t>
      </w:r>
    </w:p>
    <w:p w:rsidR="7D5E059F" w:rsidP="3D82D8A6" w:rsidRDefault="7D5E059F" w14:paraId="233E2BD4" w14:textId="2232A9D2" w14:noSpellErr="1">
      <w:pPr>
        <w:spacing w:before="0" w:beforeAutospacing="off" w:after="160" w:afterAutospacing="off" w:line="360" w:lineRule="auto"/>
        <w:jc w:val="both"/>
        <w:rPr>
          <w:rFonts w:ascii="Arial" w:hAnsi="Arial" w:eastAsia="Arial" w:cs="Arial"/>
          <w:b w:val="1"/>
          <w:bCs w:val="1"/>
          <w:sz w:val="22"/>
          <w:szCs w:val="22"/>
        </w:rPr>
      </w:pPr>
      <w:r w:rsidRPr="3D82D8A6" w:rsidR="257D4FFE">
        <w:rPr>
          <w:rFonts w:ascii="Arial" w:hAnsi="Arial" w:eastAsia="Arial" w:cs="Arial"/>
          <w:noProof w:val="0"/>
          <w:sz w:val="22"/>
          <w:szCs w:val="22"/>
          <w:lang w:val="en-US"/>
        </w:rPr>
        <w:t xml:space="preserve">Justification: Included for </w:t>
      </w:r>
      <w:r w:rsidRPr="3D82D8A6" w:rsidR="507D2171">
        <w:rPr>
          <w:rFonts w:ascii="Arial" w:hAnsi="Arial" w:eastAsia="Arial" w:cs="Arial"/>
          <w:noProof w:val="0"/>
          <w:sz w:val="22"/>
          <w:szCs w:val="22"/>
          <w:lang w:val="en-US"/>
        </w:rPr>
        <w:t>its</w:t>
      </w:r>
      <w:r w:rsidRPr="3D82D8A6" w:rsidR="257D4FFE">
        <w:rPr>
          <w:rFonts w:ascii="Arial" w:hAnsi="Arial" w:eastAsia="Arial" w:cs="Arial"/>
          <w:noProof w:val="0"/>
          <w:sz w:val="22"/>
          <w:szCs w:val="22"/>
          <w:lang w:val="en-US"/>
        </w:rPr>
        <w:t xml:space="preserve"> detailed insight at the system level since understanding system gaps is critical to addressing the challenges of recovery.</w:t>
      </w:r>
    </w:p>
    <w:p w:rsidR="7D5E059F" w:rsidP="3D82D8A6" w:rsidRDefault="7D5E059F" w14:paraId="696697F4" w14:textId="69A7D8F2" w14:noSpellErr="1">
      <w:pPr>
        <w:spacing w:before="0" w:beforeAutospacing="off" w:after="160" w:afterAutospacing="off" w:line="360" w:lineRule="auto"/>
        <w:jc w:val="both"/>
        <w:rPr>
          <w:rFonts w:ascii="Arial" w:hAnsi="Arial" w:eastAsia="Arial" w:cs="Arial"/>
          <w:b w:val="1"/>
          <w:bCs w:val="1"/>
          <w:sz w:val="22"/>
          <w:szCs w:val="22"/>
        </w:rPr>
      </w:pPr>
      <w:r w:rsidRPr="3D82D8A6" w:rsidR="7D5E059F">
        <w:rPr>
          <w:rFonts w:ascii="Arial" w:hAnsi="Arial" w:eastAsia="Arial" w:cs="Arial"/>
          <w:b w:val="1"/>
          <w:bCs w:val="1"/>
          <w:sz w:val="22"/>
          <w:szCs w:val="22"/>
        </w:rPr>
        <w:t xml:space="preserve">Research </w:t>
      </w:r>
      <w:r w:rsidRPr="3D82D8A6" w:rsidR="7D5E059F">
        <w:rPr>
          <w:rFonts w:ascii="Arial" w:hAnsi="Arial" w:eastAsia="Arial" w:cs="Arial"/>
          <w:b w:val="1"/>
          <w:bCs w:val="1"/>
          <w:sz w:val="22"/>
          <w:szCs w:val="22"/>
        </w:rPr>
        <w:t>Methodologies</w:t>
      </w:r>
    </w:p>
    <w:p w:rsidR="161CB241" w:rsidP="3D82D8A6" w:rsidRDefault="161CB241" w14:paraId="56887BBC" w14:textId="294FD5E5" w14:noSpellErr="1">
      <w:pPr>
        <w:spacing w:before="0" w:beforeAutospacing="off" w:after="160" w:afterAutospacing="off" w:line="360" w:lineRule="auto"/>
        <w:ind w:firstLine="0"/>
        <w:jc w:val="both"/>
        <w:rPr>
          <w:rFonts w:ascii="Arial" w:hAnsi="Arial" w:eastAsia="Arial" w:cs="Arial"/>
          <w:noProof w:val="0"/>
          <w:sz w:val="22"/>
          <w:szCs w:val="22"/>
          <w:lang w:val="en-US"/>
        </w:rPr>
      </w:pPr>
      <w:r w:rsidRPr="3D82D8A6" w:rsidR="252AECBC">
        <w:rPr>
          <w:rFonts w:ascii="Arial" w:hAnsi="Arial" w:eastAsia="Arial" w:cs="Arial"/>
          <w:noProof w:val="0"/>
          <w:sz w:val="22"/>
          <w:szCs w:val="22"/>
          <w:lang w:val="en-US"/>
        </w:rPr>
        <w:t xml:space="preserve">To understand and assess drug-related deaths, treatment uptake, and hospital admissions, one can </w:t>
      </w:r>
      <w:r w:rsidRPr="3D82D8A6" w:rsidR="41AD33B4">
        <w:rPr>
          <w:rFonts w:ascii="Arial" w:hAnsi="Arial" w:eastAsia="Arial" w:cs="Arial"/>
          <w:noProof w:val="0"/>
          <w:sz w:val="22"/>
          <w:szCs w:val="22"/>
          <w:lang w:val="en-US"/>
        </w:rPr>
        <w:t>utilize</w:t>
      </w:r>
      <w:r w:rsidRPr="3D82D8A6" w:rsidR="252AECBC">
        <w:rPr>
          <w:rFonts w:ascii="Arial" w:hAnsi="Arial" w:eastAsia="Arial" w:cs="Arial"/>
          <w:noProof w:val="0"/>
          <w:sz w:val="22"/>
          <w:szCs w:val="22"/>
          <w:lang w:val="en-US"/>
        </w:rPr>
        <w:t xml:space="preserve"> quantitative research and its statistical procedures (Creswell and Creswell, 2018). The method provides objectivity and generalizability but may lack understanding of contextual intricacies. In contrast, qualitative research aims to understand context and reason, which can be through interviews or focus groups, and may uncover barriers such as stigma or distrust towards a service. Qualitative research provides </w:t>
      </w:r>
      <w:r w:rsidRPr="3D82D8A6" w:rsidR="74C73930">
        <w:rPr>
          <w:rFonts w:ascii="Arial" w:hAnsi="Arial" w:eastAsia="Arial" w:cs="Arial"/>
          <w:noProof w:val="0"/>
          <w:sz w:val="22"/>
          <w:szCs w:val="22"/>
          <w:lang w:val="en-US"/>
        </w:rPr>
        <w:t>depth but</w:t>
      </w:r>
      <w:r w:rsidRPr="3D82D8A6" w:rsidR="252AECBC">
        <w:rPr>
          <w:rFonts w:ascii="Arial" w:hAnsi="Arial" w:eastAsia="Arial" w:cs="Arial"/>
          <w:noProof w:val="0"/>
          <w:sz w:val="22"/>
          <w:szCs w:val="22"/>
          <w:lang w:val="en-US"/>
        </w:rPr>
        <w:t xml:space="preserve"> is difficult when there is a need to generalize results</w:t>
      </w:r>
      <w:r w:rsidRPr="3D82D8A6" w:rsidR="252AECBC">
        <w:rPr>
          <w:rFonts w:ascii="Arial" w:hAnsi="Arial" w:eastAsia="Arial" w:cs="Arial"/>
          <w:noProof w:val="0"/>
          <w:sz w:val="22"/>
          <w:szCs w:val="22"/>
          <w:lang w:val="en-US"/>
        </w:rPr>
        <w:t xml:space="preserve">.  </w:t>
      </w:r>
    </w:p>
    <w:p w:rsidR="161CB241" w:rsidP="39EBA25B" w:rsidRDefault="161CB241" w14:paraId="197C0C0A" w14:textId="15A7F814">
      <w:pPr>
        <w:pStyle w:val="Normal"/>
        <w:spacing w:line="360" w:lineRule="auto"/>
        <w:jc w:val="both"/>
        <w:rPr>
          <w:rFonts w:ascii="Arial" w:hAnsi="Arial" w:eastAsia="Arial" w:cs="Arial"/>
          <w:noProof w:val="0"/>
          <w:sz w:val="22"/>
          <w:szCs w:val="22"/>
          <w:lang w:val="en-US"/>
        </w:rPr>
      </w:pPr>
      <w:r w:rsidRPr="3D82D8A6" w:rsidR="252AECBC">
        <w:rPr>
          <w:rFonts w:ascii="Arial" w:hAnsi="Arial" w:eastAsia="Arial" w:cs="Arial"/>
          <w:noProof w:val="0"/>
          <w:sz w:val="22"/>
          <w:szCs w:val="22"/>
          <w:lang w:val="en-US"/>
        </w:rPr>
        <w:t>This study on drug use and addiction employs a mixed-</w:t>
      </w:r>
      <w:r w:rsidRPr="3D82D8A6" w:rsidR="252AECBC">
        <w:rPr>
          <w:rFonts w:ascii="Arial" w:hAnsi="Arial" w:eastAsia="Arial" w:cs="Arial"/>
          <w:noProof w:val="0"/>
          <w:sz w:val="22"/>
          <w:szCs w:val="22"/>
          <w:lang w:val="en-US"/>
        </w:rPr>
        <w:t>methods</w:t>
      </w:r>
      <w:r w:rsidRPr="3D82D8A6" w:rsidR="252AECBC">
        <w:rPr>
          <w:rFonts w:ascii="Arial" w:hAnsi="Arial" w:eastAsia="Arial" w:cs="Arial"/>
          <w:noProof w:val="0"/>
          <w:sz w:val="22"/>
          <w:szCs w:val="22"/>
          <w:lang w:val="en-US"/>
        </w:rPr>
        <w:t xml:space="preserve"> approach. To understand and quantify the severity of the crisis, the study will use quantitative data from the Office for National Statistics (2023), which assesses mortality rates, demographic and geographic variations, and disparities. Furthermore, qualitative data from </w:t>
      </w:r>
      <w:r w:rsidRPr="3D82D8A6" w:rsidR="252AECBC">
        <w:rPr>
          <w:rFonts w:ascii="Arial" w:hAnsi="Arial" w:eastAsia="Arial" w:cs="Arial"/>
          <w:noProof w:val="0"/>
          <w:sz w:val="22"/>
          <w:szCs w:val="22"/>
          <w:lang w:val="en-US"/>
        </w:rPr>
        <w:t>previous</w:t>
      </w:r>
      <w:r w:rsidRPr="3D82D8A6" w:rsidR="252AECBC">
        <w:rPr>
          <w:rFonts w:ascii="Arial" w:hAnsi="Arial" w:eastAsia="Arial" w:cs="Arial"/>
          <w:noProof w:val="0"/>
          <w:sz w:val="22"/>
          <w:szCs w:val="22"/>
          <w:lang w:val="en-US"/>
        </w:rPr>
        <w:t xml:space="preserve"> work, such as ACMD (2021), will point to the systemic problems of issues such as delays in treatment and workforce shortages. This approach is necessary because addiction is a measurable public health consequence and a complex phenomenon from a socio-psychological angle. </w:t>
      </w:r>
      <w:r w:rsidRPr="3D82D8A6" w:rsidR="252AECBC">
        <w:rPr>
          <w:rFonts w:ascii="Arial" w:hAnsi="Arial" w:eastAsia="Arial" w:cs="Arial"/>
          <w:noProof w:val="0"/>
          <w:sz w:val="22"/>
          <w:szCs w:val="22"/>
          <w:lang w:val="en-US"/>
        </w:rPr>
        <w:t>Quantitative assessment captures the who, as well as how many, and qualitative data captures the reason as to why existing measures are ineffective.</w:t>
      </w:r>
      <w:r w:rsidRPr="3D82D8A6" w:rsidR="252AECBC">
        <w:rPr>
          <w:rFonts w:ascii="Arial" w:hAnsi="Arial" w:eastAsia="Arial" w:cs="Arial"/>
          <w:noProof w:val="0"/>
          <w:sz w:val="22"/>
          <w:szCs w:val="22"/>
          <w:lang w:val="en-US"/>
        </w:rPr>
        <w:t xml:space="preserve"> Advocating for policy change employs a similar strategy as outlined in the 'From Harm to Hope' plan (HM Government, 2021) and other UK strategies which calls for a multidisciplinary, evidence-based approach to minimizing the impact of drugs and enhancing pathways to recovery.</w:t>
      </w:r>
    </w:p>
    <w:p w:rsidR="3D82D8A6" w:rsidP="3D82D8A6" w:rsidRDefault="3D82D8A6" w14:paraId="73495376" w14:textId="0F85D904">
      <w:pPr>
        <w:pStyle w:val="Normal"/>
        <w:spacing w:line="360" w:lineRule="auto"/>
        <w:jc w:val="both"/>
        <w:rPr>
          <w:rFonts w:ascii="Arial" w:hAnsi="Arial" w:eastAsia="Arial" w:cs="Arial"/>
          <w:noProof w:val="0"/>
          <w:sz w:val="22"/>
          <w:szCs w:val="22"/>
          <w:lang w:val="en-US"/>
        </w:rPr>
      </w:pPr>
    </w:p>
    <w:p w:rsidR="7D5E059F" w:rsidP="39EBA25B" w:rsidRDefault="7D5E059F" w14:paraId="17850078" w14:textId="0E288BA7" w14:noSpellErr="1">
      <w:pPr>
        <w:pStyle w:val="Normal"/>
        <w:spacing w:line="360" w:lineRule="auto"/>
        <w:jc w:val="both"/>
        <w:rPr>
          <w:rFonts w:ascii="Arial" w:hAnsi="Arial" w:eastAsia="Arial" w:cs="Arial"/>
          <w:b w:val="1"/>
          <w:bCs w:val="1"/>
          <w:sz w:val="22"/>
          <w:szCs w:val="22"/>
        </w:rPr>
      </w:pPr>
      <w:r w:rsidRPr="39EBA25B" w:rsidR="7D5E059F">
        <w:rPr>
          <w:rFonts w:ascii="Arial" w:hAnsi="Arial" w:eastAsia="Arial" w:cs="Arial"/>
          <w:b w:val="1"/>
          <w:bCs w:val="1"/>
          <w:sz w:val="22"/>
          <w:szCs w:val="22"/>
        </w:rPr>
        <w:t>Data Collection</w:t>
      </w:r>
    </w:p>
    <w:p w:rsidR="161CB241" w:rsidP="3D82D8A6" w:rsidRDefault="161CB241" w14:paraId="593CD00C" w14:textId="57CD5925" w14:noSpellErr="1">
      <w:pPr>
        <w:spacing w:before="0" w:beforeAutospacing="off" w:after="160" w:afterAutospacing="off" w:line="360" w:lineRule="auto"/>
        <w:ind w:firstLine="0"/>
        <w:jc w:val="both"/>
        <w:rPr>
          <w:rFonts w:ascii="Arial" w:hAnsi="Arial" w:eastAsia="Arial" w:cs="Arial"/>
          <w:noProof w:val="0"/>
          <w:sz w:val="22"/>
          <w:szCs w:val="22"/>
          <w:lang w:val="en-US"/>
        </w:rPr>
      </w:pPr>
      <w:r w:rsidRPr="3D82D8A6" w:rsidR="037157D1">
        <w:rPr>
          <w:rFonts w:ascii="Arial" w:hAnsi="Arial" w:eastAsia="Arial" w:cs="Arial"/>
          <w:noProof w:val="0"/>
          <w:sz w:val="22"/>
          <w:szCs w:val="22"/>
          <w:lang w:val="en-US"/>
        </w:rPr>
        <w:t xml:space="preserve">Primary data collection involves original methods </w:t>
      </w:r>
      <w:r w:rsidRPr="3D82D8A6" w:rsidR="109C909C">
        <w:rPr>
          <w:rFonts w:ascii="Arial" w:hAnsi="Arial" w:eastAsia="Arial" w:cs="Arial"/>
          <w:noProof w:val="0"/>
          <w:sz w:val="22"/>
          <w:szCs w:val="22"/>
          <w:lang w:val="en-US"/>
        </w:rPr>
        <w:t>whe</w:t>
      </w:r>
      <w:r w:rsidRPr="3D82D8A6" w:rsidR="44669A00">
        <w:rPr>
          <w:rFonts w:ascii="Arial" w:hAnsi="Arial" w:eastAsia="Arial" w:cs="Arial"/>
          <w:noProof w:val="0"/>
          <w:sz w:val="22"/>
          <w:szCs w:val="22"/>
          <w:lang w:val="en-US"/>
        </w:rPr>
        <w:t>re</w:t>
      </w:r>
      <w:r w:rsidRPr="3D82D8A6" w:rsidR="109C909C">
        <w:rPr>
          <w:rFonts w:ascii="Arial" w:hAnsi="Arial" w:eastAsia="Arial" w:cs="Arial"/>
          <w:noProof w:val="0"/>
          <w:sz w:val="22"/>
          <w:szCs w:val="22"/>
          <w:lang w:val="en-US"/>
        </w:rPr>
        <w:t xml:space="preserve"> researchers conduct the research </w:t>
      </w:r>
      <w:r w:rsidRPr="3D82D8A6" w:rsidR="109C909C">
        <w:rPr>
          <w:rFonts w:ascii="Arial" w:hAnsi="Arial" w:eastAsia="Arial" w:cs="Arial"/>
          <w:noProof w:val="0"/>
          <w:sz w:val="22"/>
          <w:szCs w:val="22"/>
          <w:lang w:val="en-US"/>
        </w:rPr>
        <w:t>themselves,</w:t>
      </w:r>
      <w:r w:rsidRPr="3D82D8A6" w:rsidR="109C909C">
        <w:rPr>
          <w:rFonts w:ascii="Arial" w:hAnsi="Arial" w:eastAsia="Arial" w:cs="Arial"/>
          <w:noProof w:val="0"/>
          <w:sz w:val="22"/>
          <w:szCs w:val="22"/>
          <w:lang w:val="en-US"/>
        </w:rPr>
        <w:t xml:space="preserve"> </w:t>
      </w:r>
      <w:r w:rsidRPr="3D82D8A6" w:rsidR="508DD36A">
        <w:rPr>
          <w:rFonts w:ascii="Arial" w:hAnsi="Arial" w:eastAsia="Arial" w:cs="Arial"/>
          <w:noProof w:val="0"/>
          <w:sz w:val="22"/>
          <w:szCs w:val="22"/>
          <w:lang w:val="en-US"/>
        </w:rPr>
        <w:t xml:space="preserve">gathering </w:t>
      </w:r>
      <w:r w:rsidRPr="3D82D8A6" w:rsidR="508DD36A">
        <w:rPr>
          <w:rFonts w:ascii="Arial" w:hAnsi="Arial" w:eastAsia="Arial" w:cs="Arial"/>
          <w:noProof w:val="0"/>
          <w:sz w:val="22"/>
          <w:szCs w:val="22"/>
          <w:lang w:val="en-US"/>
        </w:rPr>
        <w:t>new information</w:t>
      </w:r>
      <w:r w:rsidRPr="3D82D8A6" w:rsidR="508DD36A">
        <w:rPr>
          <w:rFonts w:ascii="Arial" w:hAnsi="Arial" w:eastAsia="Arial" w:cs="Arial"/>
          <w:noProof w:val="0"/>
          <w:sz w:val="22"/>
          <w:szCs w:val="22"/>
          <w:lang w:val="en-US"/>
        </w:rPr>
        <w:t xml:space="preserve"> firsthand </w:t>
      </w:r>
      <w:r w:rsidRPr="3D82D8A6" w:rsidR="109C909C">
        <w:rPr>
          <w:rFonts w:ascii="Arial" w:hAnsi="Arial" w:eastAsia="Arial" w:cs="Arial"/>
          <w:noProof w:val="0"/>
          <w:sz w:val="22"/>
          <w:szCs w:val="22"/>
          <w:lang w:val="en-US"/>
        </w:rPr>
        <w:t>like</w:t>
      </w:r>
      <w:r w:rsidRPr="3D82D8A6" w:rsidR="037157D1">
        <w:rPr>
          <w:rFonts w:ascii="Arial" w:hAnsi="Arial" w:eastAsia="Arial" w:cs="Arial"/>
          <w:noProof w:val="0"/>
          <w:sz w:val="22"/>
          <w:szCs w:val="22"/>
          <w:lang w:val="en-US"/>
        </w:rPr>
        <w:t xml:space="preserve"> surveys of treatment providers or interviews with recovering individuals, offering tailored insights into local barriers or service gaps. While highly relevant, it requires ethical approval, participant recruitment, and significant resources—impractical within this report’s scope. Reports, national-level data, and peer-reviewed research can be </w:t>
      </w:r>
      <w:r w:rsidRPr="3D82D8A6" w:rsidR="037157D1">
        <w:rPr>
          <w:rFonts w:ascii="Arial" w:hAnsi="Arial" w:eastAsia="Arial" w:cs="Arial"/>
          <w:noProof w:val="0"/>
          <w:sz w:val="22"/>
          <w:szCs w:val="22"/>
          <w:lang w:val="en-US"/>
        </w:rPr>
        <w:t>u</w:t>
      </w:r>
      <w:r w:rsidRPr="3D82D8A6" w:rsidR="037157D1">
        <w:rPr>
          <w:rFonts w:ascii="Arial" w:hAnsi="Arial" w:eastAsia="Arial" w:cs="Arial"/>
          <w:noProof w:val="0"/>
          <w:sz w:val="22"/>
          <w:szCs w:val="22"/>
          <w:lang w:val="en-US"/>
        </w:rPr>
        <w:t>tilized</w:t>
      </w:r>
      <w:r w:rsidRPr="3D82D8A6" w:rsidR="037157D1">
        <w:rPr>
          <w:rFonts w:ascii="Arial" w:hAnsi="Arial" w:eastAsia="Arial" w:cs="Arial"/>
          <w:noProof w:val="0"/>
          <w:sz w:val="22"/>
          <w:szCs w:val="22"/>
          <w:lang w:val="en-US"/>
        </w:rPr>
        <w:t xml:space="preserve"> </w:t>
      </w:r>
      <w:r w:rsidRPr="3D82D8A6" w:rsidR="037157D1">
        <w:rPr>
          <w:rFonts w:ascii="Arial" w:hAnsi="Arial" w:eastAsia="Arial" w:cs="Arial"/>
          <w:noProof w:val="0"/>
          <w:sz w:val="22"/>
          <w:szCs w:val="22"/>
          <w:lang w:val="en-US"/>
        </w:rPr>
        <w:t>for secondary data collection. Data sources that have been vetted in terms of their quality are also significant in the research process because they are already available for use and can be cost-effective. The evidence base for a study can be strengthened by using secondary data. For this study, the secondary data sources available from the Office for National Statistics (2023) related to mortality and demographics, Public Health England (2021) on treatment data, and the Advisory Council on the Misuse of Drugs (2021) for clinical and policy analysis.</w:t>
      </w:r>
    </w:p>
    <w:p w:rsidR="161CB241" w:rsidP="39EBA25B" w:rsidRDefault="161CB241" w14:paraId="3C6A1A6D" w14:textId="75A9C562">
      <w:pPr>
        <w:pStyle w:val="Normal"/>
        <w:spacing w:line="360" w:lineRule="auto"/>
        <w:jc w:val="both"/>
        <w:rPr>
          <w:rFonts w:ascii="Arial" w:hAnsi="Arial" w:eastAsia="Arial" w:cs="Arial"/>
          <w:noProof w:val="0"/>
          <w:sz w:val="22"/>
          <w:szCs w:val="22"/>
          <w:lang w:val="en-US"/>
        </w:rPr>
      </w:pPr>
      <w:r w:rsidRPr="39EBA25B" w:rsidR="037157D1">
        <w:rPr>
          <w:rFonts w:ascii="Arial" w:hAnsi="Arial" w:eastAsia="Arial" w:cs="Arial"/>
          <w:noProof w:val="0"/>
          <w:sz w:val="22"/>
          <w:szCs w:val="22"/>
          <w:lang w:val="en-US"/>
        </w:rPr>
        <w:t>Understanding national patterns, like increased deaths attributed to cocaine and lengthy OST waiting lists, and systemic deficiencies, such as poorly funded initiatives, makes this approach justifiable. Secondary data helps integrate the mixed-methods framework by providing quantitative data and qualitative insights from existing studies, which makes it possible and credible. The absence of primary data collection is compensated by the synthesis of substantial and authoritative evidence, which enables this study to offer policy-ready recommendations on increasing treatment accessibility, incorporating mental health, and fortified harm reduction.</w:t>
      </w:r>
    </w:p>
    <w:p w:rsidR="7D5E059F" w:rsidP="39EBA25B" w:rsidRDefault="7D5E059F" w14:paraId="4424EAD1" w14:textId="71BA2BBE" w14:noSpellErr="1">
      <w:pPr>
        <w:pStyle w:val="Normal"/>
        <w:spacing w:line="360" w:lineRule="auto"/>
        <w:jc w:val="both"/>
        <w:rPr>
          <w:rFonts w:ascii="Arial" w:hAnsi="Arial" w:eastAsia="Arial" w:cs="Arial"/>
          <w:b w:val="1"/>
          <w:bCs w:val="1"/>
          <w:sz w:val="22"/>
          <w:szCs w:val="22"/>
        </w:rPr>
      </w:pPr>
      <w:r w:rsidRPr="140E6E89" w:rsidR="7D5E059F">
        <w:rPr>
          <w:rFonts w:ascii="Arial" w:hAnsi="Arial" w:eastAsia="Arial" w:cs="Arial"/>
          <w:b w:val="1"/>
          <w:bCs w:val="1"/>
          <w:sz w:val="22"/>
          <w:szCs w:val="22"/>
        </w:rPr>
        <w:t>Conclusion</w:t>
      </w:r>
    </w:p>
    <w:p w:rsidR="161CB241" w:rsidP="3D82D8A6" w:rsidRDefault="161CB241" w14:paraId="33CFA0DE" w14:textId="72ACFEE8" w14:noSpellErr="1">
      <w:pPr>
        <w:spacing w:before="0" w:beforeAutospacing="off" w:after="160" w:afterAutospacing="off" w:line="360" w:lineRule="auto"/>
        <w:ind w:firstLine="0"/>
        <w:jc w:val="both"/>
        <w:rPr>
          <w:rFonts w:ascii="Arial" w:hAnsi="Arial" w:eastAsia="Arial" w:cs="Arial"/>
          <w:noProof w:val="0"/>
          <w:sz w:val="22"/>
          <w:szCs w:val="22"/>
          <w:lang w:val="en-US"/>
        </w:rPr>
      </w:pPr>
      <w:r w:rsidRPr="3D82D8A6" w:rsidR="3E3C6034">
        <w:rPr>
          <w:rFonts w:ascii="Arial" w:hAnsi="Arial" w:eastAsia="Arial" w:cs="Arial"/>
          <w:noProof w:val="0"/>
          <w:sz w:val="22"/>
          <w:szCs w:val="22"/>
          <w:lang w:val="en-US"/>
        </w:rPr>
        <w:t xml:space="preserve">The report focuses on drug use and addiction, which is a growing crisis in the UK, within health and social care. Approximately 3,026 drug-related deaths have been reported in 2022 and increasing treatment needs. Underfunded and poorly designed services face the greatest challenges, </w:t>
      </w:r>
      <w:r w:rsidRPr="3D82D8A6" w:rsidR="3E3C6034">
        <w:rPr>
          <w:rFonts w:ascii="Arial" w:hAnsi="Arial" w:eastAsia="Arial" w:cs="Arial"/>
          <w:noProof w:val="0"/>
          <w:sz w:val="22"/>
          <w:szCs w:val="22"/>
          <w:lang w:val="en-US"/>
        </w:rPr>
        <w:t>impacting</w:t>
      </w:r>
      <w:r w:rsidRPr="3D82D8A6" w:rsidR="3E3C6034">
        <w:rPr>
          <w:rFonts w:ascii="Arial" w:hAnsi="Arial" w:eastAsia="Arial" w:cs="Arial"/>
          <w:noProof w:val="0"/>
          <w:sz w:val="22"/>
          <w:szCs w:val="22"/>
          <w:lang w:val="en-US"/>
        </w:rPr>
        <w:t xml:space="preserve"> young and mentally ill adults from deprived communities and increasing drug-related deaths. Mortality rates, unbalanced treatment provisions, and policy implications from three key sources that have been discussed here, </w:t>
      </w:r>
      <w:r w:rsidRPr="3D82D8A6" w:rsidR="3E3C6034">
        <w:rPr>
          <w:rFonts w:ascii="Arial" w:hAnsi="Arial" w:eastAsia="Arial" w:cs="Arial"/>
          <w:noProof w:val="0"/>
          <w:sz w:val="22"/>
          <w:szCs w:val="22"/>
          <w:lang w:val="en-US"/>
        </w:rPr>
        <w:t>lay in</w:t>
      </w:r>
      <w:r w:rsidRPr="3D82D8A6" w:rsidR="3E3C6034">
        <w:rPr>
          <w:rFonts w:ascii="Arial" w:hAnsi="Arial" w:eastAsia="Arial" w:cs="Arial"/>
          <w:noProof w:val="0"/>
          <w:sz w:val="22"/>
          <w:szCs w:val="22"/>
          <w:lang w:val="en-US"/>
        </w:rPr>
        <w:t xml:space="preserve"> a foundational framework. The need and the data hollow out an integrated mixed-methods approach from the secondary data. Findings strengthen the consensus on the urgent need for integrated care, workforce metrics, and expanded harm reduction strategies.</w:t>
      </w:r>
    </w:p>
    <w:p w:rsidR="4CB34C9B" w:rsidP="3D82D8A6" w:rsidRDefault="4CB34C9B" w14:paraId="3F40B4FA" w14:noSpellErr="1" w14:textId="55A17FA4">
      <w:pPr>
        <w:pStyle w:val="Normal"/>
        <w:spacing w:line="360" w:lineRule="auto"/>
        <w:jc w:val="both"/>
        <w:rPr>
          <w:rFonts w:ascii="Arial" w:hAnsi="Arial" w:eastAsia="Arial" w:cs="Arial"/>
          <w:b w:val="0"/>
          <w:bCs w:val="0"/>
          <w:noProof w:val="0"/>
          <w:sz w:val="22"/>
          <w:szCs w:val="22"/>
          <w:lang w:val="en-US"/>
        </w:rPr>
      </w:pPr>
    </w:p>
    <w:p w:rsidR="4CB34C9B" w:rsidP="39EBA25B" w:rsidRDefault="4CB34C9B" w14:paraId="2A90F882" w14:textId="6A065411">
      <w:pPr>
        <w:pStyle w:val="Normal"/>
        <w:spacing w:line="360" w:lineRule="auto"/>
        <w:jc w:val="both"/>
        <w:rPr>
          <w:rFonts w:ascii="Arial" w:hAnsi="Arial" w:eastAsia="Arial" w:cs="Arial"/>
          <w:b w:val="1"/>
          <w:bCs w:val="1"/>
          <w:noProof w:val="0"/>
          <w:sz w:val="22"/>
          <w:szCs w:val="22"/>
          <w:lang w:val="en-US"/>
        </w:rPr>
      </w:pPr>
      <w:r w:rsidRPr="140E6E89" w:rsidR="4CB34C9B">
        <w:rPr>
          <w:rFonts w:ascii="Arial" w:hAnsi="Arial" w:eastAsia="Arial" w:cs="Arial"/>
          <w:b w:val="1"/>
          <w:bCs w:val="1"/>
          <w:noProof w:val="0"/>
          <w:sz w:val="22"/>
          <w:szCs w:val="22"/>
          <w:lang w:val="en-US"/>
        </w:rPr>
        <w:t xml:space="preserve">References  </w:t>
      </w:r>
    </w:p>
    <w:p w:rsidR="4CB34C9B" w:rsidP="3D82D8A6" w:rsidRDefault="4CB34C9B" w14:paraId="71613A97" w14:textId="2CCF52CD" w14:noSpellErr="1">
      <w:pPr>
        <w:spacing w:before="0" w:beforeAutospacing="off" w:after="160" w:afterAutospacing="off" w:line="360" w:lineRule="auto"/>
        <w:ind w:left="720" w:right="0" w:hanging="720"/>
        <w:jc w:val="both"/>
        <w:rPr>
          <w:rFonts w:ascii="Arial" w:hAnsi="Arial" w:eastAsia="Arial" w:cs="Arial"/>
          <w:noProof w:val="0"/>
          <w:sz w:val="22"/>
          <w:szCs w:val="22"/>
          <w:lang w:val="en-US"/>
        </w:rPr>
      </w:pPr>
      <w:r w:rsidRPr="3D82D8A6" w:rsidR="50AA218D">
        <w:rPr>
          <w:rFonts w:ascii="Arial" w:hAnsi="Arial" w:eastAsia="Arial" w:cs="Arial"/>
          <w:i w:val="0"/>
          <w:iCs w:val="0"/>
          <w:noProof w:val="0"/>
          <w:sz w:val="22"/>
          <w:szCs w:val="22"/>
          <w:lang w:val="en-US"/>
        </w:rPr>
        <w:t>Advisory Council on the Misuse of Drugs (2021)</w:t>
      </w:r>
      <w:r w:rsidRPr="3D82D8A6" w:rsidR="50AA218D">
        <w:rPr>
          <w:rFonts w:ascii="Arial" w:hAnsi="Arial" w:eastAsia="Arial" w:cs="Arial"/>
          <w:i w:val="1"/>
          <w:iCs w:val="1"/>
          <w:noProof w:val="0"/>
          <w:sz w:val="22"/>
          <w:szCs w:val="22"/>
          <w:lang w:val="en-US"/>
        </w:rPr>
        <w:t xml:space="preserve"> Drug misuse and dependence</w:t>
      </w:r>
      <w:r w:rsidRPr="3D82D8A6" w:rsidR="50AA218D">
        <w:rPr>
          <w:rFonts w:ascii="Arial" w:hAnsi="Arial" w:eastAsia="Arial" w:cs="Arial"/>
          <w:noProof w:val="0"/>
          <w:sz w:val="22"/>
          <w:szCs w:val="22"/>
          <w:lang w:val="en-US"/>
        </w:rPr>
        <w:t xml:space="preserve">: UK guidelines on clinical management. London: ACMD. Available at: </w:t>
      </w:r>
      <w:hyperlink r:id="Rda56eff990d74073">
        <w:r w:rsidRPr="3D82D8A6" w:rsidR="50AA218D">
          <w:rPr>
            <w:rStyle w:val="Hyperlink"/>
            <w:rFonts w:ascii="Arial" w:hAnsi="Arial" w:eastAsia="Arial" w:cs="Arial"/>
            <w:noProof w:val="0"/>
            <w:sz w:val="22"/>
            <w:szCs w:val="22"/>
            <w:lang w:val="en-US"/>
          </w:rPr>
          <w:t>https://www.gov.uk/government/publications/drug-misuse-and-dependence-uk-guidelines-on-clinical-management</w:t>
        </w:r>
      </w:hyperlink>
      <w:r w:rsidRPr="3D82D8A6" w:rsidR="50AA218D">
        <w:rPr>
          <w:rFonts w:ascii="Arial" w:hAnsi="Arial" w:eastAsia="Arial" w:cs="Arial"/>
          <w:noProof w:val="0"/>
          <w:sz w:val="22"/>
          <w:szCs w:val="22"/>
          <w:lang w:val="en-US"/>
        </w:rPr>
        <w:t xml:space="preserve"> (Accessed: 31 October 2025)</w:t>
      </w:r>
      <w:r w:rsidRPr="3D82D8A6" w:rsidR="50AA218D">
        <w:rPr>
          <w:rFonts w:ascii="Arial" w:hAnsi="Arial" w:eastAsia="Arial" w:cs="Arial"/>
          <w:noProof w:val="0"/>
          <w:sz w:val="22"/>
          <w:szCs w:val="22"/>
          <w:lang w:val="en-US"/>
        </w:rPr>
        <w:t xml:space="preserve">.  </w:t>
      </w:r>
    </w:p>
    <w:p w:rsidR="4CB34C9B" w:rsidP="3D82D8A6" w:rsidRDefault="4CB34C9B" w14:paraId="5D05C522" w14:textId="2FD77D27" w14:noSpellErr="1">
      <w:pPr>
        <w:spacing w:before="0" w:beforeAutospacing="off" w:after="160" w:afterAutospacing="off" w:line="360" w:lineRule="auto"/>
        <w:ind w:left="720" w:right="0" w:hanging="720"/>
        <w:jc w:val="both"/>
        <w:rPr>
          <w:rFonts w:ascii="Arial" w:hAnsi="Arial" w:eastAsia="Arial" w:cs="Arial"/>
          <w:noProof w:val="0"/>
          <w:sz w:val="22"/>
          <w:szCs w:val="22"/>
          <w:lang w:val="en-US"/>
        </w:rPr>
      </w:pPr>
      <w:r w:rsidRPr="3D82D8A6" w:rsidR="50AA218D">
        <w:rPr>
          <w:rFonts w:ascii="Arial" w:hAnsi="Arial" w:eastAsia="Arial" w:cs="Arial"/>
          <w:noProof w:val="0"/>
          <w:sz w:val="22"/>
          <w:szCs w:val="22"/>
          <w:lang w:val="en-US"/>
        </w:rPr>
        <w:t xml:space="preserve">Creswell, J. </w:t>
      </w:r>
      <w:r w:rsidRPr="3D82D8A6" w:rsidR="50AA218D">
        <w:rPr>
          <w:rFonts w:ascii="Arial" w:hAnsi="Arial" w:eastAsia="Arial" w:cs="Arial"/>
          <w:noProof w:val="0"/>
          <w:sz w:val="22"/>
          <w:szCs w:val="22"/>
          <w:lang w:val="en-US"/>
        </w:rPr>
        <w:t>W.</w:t>
      </w:r>
      <w:r w:rsidRPr="3D82D8A6" w:rsidR="50AA218D">
        <w:rPr>
          <w:rFonts w:ascii="Arial" w:hAnsi="Arial" w:eastAsia="Arial" w:cs="Arial"/>
          <w:noProof w:val="0"/>
          <w:sz w:val="22"/>
          <w:szCs w:val="22"/>
          <w:lang w:val="en-US"/>
        </w:rPr>
        <w:t xml:space="preserve"> and Creswell, J. D. (2018)</w:t>
      </w:r>
      <w:r w:rsidRPr="3D82D8A6" w:rsidR="50AA218D">
        <w:rPr>
          <w:rFonts w:ascii="Arial" w:hAnsi="Arial" w:eastAsia="Arial" w:cs="Arial"/>
          <w:noProof w:val="0"/>
          <w:sz w:val="22"/>
          <w:szCs w:val="22"/>
          <w:lang w:val="en-US"/>
        </w:rPr>
        <w:t xml:space="preserve"> </w:t>
      </w:r>
      <w:r w:rsidRPr="3D82D8A6" w:rsidR="50AA218D">
        <w:rPr>
          <w:rFonts w:ascii="Arial" w:hAnsi="Arial" w:eastAsia="Arial" w:cs="Arial"/>
          <w:i w:val="1"/>
          <w:iCs w:val="1"/>
          <w:noProof w:val="0"/>
          <w:sz w:val="22"/>
          <w:szCs w:val="22"/>
          <w:lang w:val="en-US"/>
        </w:rPr>
        <w:t>Research</w:t>
      </w:r>
      <w:r w:rsidRPr="3D82D8A6" w:rsidR="50AA218D">
        <w:rPr>
          <w:rFonts w:ascii="Arial" w:hAnsi="Arial" w:eastAsia="Arial" w:cs="Arial"/>
          <w:i w:val="1"/>
          <w:iCs w:val="1"/>
          <w:noProof w:val="0"/>
          <w:sz w:val="22"/>
          <w:szCs w:val="22"/>
          <w:lang w:val="en-US"/>
        </w:rPr>
        <w:t xml:space="preserve"> design: qualitative, quantitative, and mixed </w:t>
      </w:r>
      <w:r w:rsidRPr="3D82D8A6" w:rsidR="50AA218D">
        <w:rPr>
          <w:rFonts w:ascii="Arial" w:hAnsi="Arial" w:eastAsia="Arial" w:cs="Arial"/>
          <w:i w:val="1"/>
          <w:iCs w:val="1"/>
          <w:noProof w:val="0"/>
          <w:sz w:val="22"/>
          <w:szCs w:val="22"/>
          <w:lang w:val="en-US"/>
        </w:rPr>
        <w:t>methods</w:t>
      </w:r>
      <w:r w:rsidRPr="3D82D8A6" w:rsidR="50AA218D">
        <w:rPr>
          <w:rFonts w:ascii="Arial" w:hAnsi="Arial" w:eastAsia="Arial" w:cs="Arial"/>
          <w:i w:val="1"/>
          <w:iCs w:val="1"/>
          <w:noProof w:val="0"/>
          <w:sz w:val="22"/>
          <w:szCs w:val="22"/>
          <w:lang w:val="en-US"/>
        </w:rPr>
        <w:t xml:space="preserve"> </w:t>
      </w:r>
      <w:r w:rsidRPr="3D82D8A6" w:rsidR="50AA218D">
        <w:rPr>
          <w:rFonts w:ascii="Arial" w:hAnsi="Arial" w:eastAsia="Arial" w:cs="Arial"/>
          <w:i w:val="1"/>
          <w:iCs w:val="1"/>
          <w:noProof w:val="0"/>
          <w:sz w:val="22"/>
          <w:szCs w:val="22"/>
          <w:lang w:val="en-US"/>
        </w:rPr>
        <w:t>approaches</w:t>
      </w:r>
      <w:r w:rsidRPr="3D82D8A6" w:rsidR="50AA218D">
        <w:rPr>
          <w:rFonts w:ascii="Arial" w:hAnsi="Arial" w:eastAsia="Arial" w:cs="Arial"/>
          <w:noProof w:val="0"/>
          <w:sz w:val="22"/>
          <w:szCs w:val="22"/>
          <w:lang w:val="en-US"/>
        </w:rPr>
        <w:t xml:space="preserve">. 5th </w:t>
      </w:r>
      <w:r w:rsidRPr="3D82D8A6" w:rsidR="50AA218D">
        <w:rPr>
          <w:rFonts w:ascii="Arial" w:hAnsi="Arial" w:eastAsia="Arial" w:cs="Arial"/>
          <w:noProof w:val="0"/>
          <w:sz w:val="22"/>
          <w:szCs w:val="22"/>
          <w:lang w:val="en-US"/>
        </w:rPr>
        <w:t>edn</w:t>
      </w:r>
      <w:r w:rsidRPr="3D82D8A6" w:rsidR="50AA218D">
        <w:rPr>
          <w:rFonts w:ascii="Arial" w:hAnsi="Arial" w:eastAsia="Arial" w:cs="Arial"/>
          <w:noProof w:val="0"/>
          <w:sz w:val="22"/>
          <w:szCs w:val="22"/>
          <w:lang w:val="en-US"/>
        </w:rPr>
        <w:t>. London: SAGE Publications</w:t>
      </w:r>
      <w:r w:rsidRPr="3D82D8A6" w:rsidR="50AA218D">
        <w:rPr>
          <w:rFonts w:ascii="Arial" w:hAnsi="Arial" w:eastAsia="Arial" w:cs="Arial"/>
          <w:noProof w:val="0"/>
          <w:sz w:val="22"/>
          <w:szCs w:val="22"/>
          <w:lang w:val="en-US"/>
        </w:rPr>
        <w:t xml:space="preserve">.  </w:t>
      </w:r>
    </w:p>
    <w:p w:rsidR="4CB34C9B" w:rsidP="3D82D8A6" w:rsidRDefault="4CB34C9B" w14:paraId="1BE8C342" w14:textId="26CDACA6" w14:noSpellErr="1">
      <w:pPr>
        <w:spacing w:before="0" w:beforeAutospacing="off" w:after="160" w:afterAutospacing="off" w:line="360" w:lineRule="auto"/>
        <w:ind w:left="720" w:right="0" w:hanging="720"/>
        <w:jc w:val="both"/>
        <w:rPr>
          <w:rFonts w:ascii="Arial" w:hAnsi="Arial" w:eastAsia="Arial" w:cs="Arial"/>
          <w:noProof w:val="0"/>
          <w:sz w:val="22"/>
          <w:szCs w:val="22"/>
          <w:lang w:val="en-US"/>
        </w:rPr>
      </w:pPr>
      <w:r w:rsidRPr="3D82D8A6" w:rsidR="50AA218D">
        <w:rPr>
          <w:rFonts w:ascii="Arial" w:hAnsi="Arial" w:eastAsia="Arial" w:cs="Arial"/>
          <w:noProof w:val="0"/>
          <w:sz w:val="22"/>
          <w:szCs w:val="22"/>
          <w:lang w:val="en-US"/>
        </w:rPr>
        <w:t xml:space="preserve">HM Government (2021) </w:t>
      </w:r>
      <w:r w:rsidRPr="3D82D8A6" w:rsidR="50AA218D">
        <w:rPr>
          <w:rFonts w:ascii="Arial" w:hAnsi="Arial" w:eastAsia="Arial" w:cs="Arial"/>
          <w:i w:val="1"/>
          <w:iCs w:val="1"/>
          <w:noProof w:val="0"/>
          <w:sz w:val="22"/>
          <w:szCs w:val="22"/>
          <w:lang w:val="en-US"/>
        </w:rPr>
        <w:t>From harm to hope: a 10-year drugs plan to cut crime and save lives</w:t>
      </w:r>
      <w:r w:rsidRPr="3D82D8A6" w:rsidR="50AA218D">
        <w:rPr>
          <w:rFonts w:ascii="Arial" w:hAnsi="Arial" w:eastAsia="Arial" w:cs="Arial"/>
          <w:noProof w:val="0"/>
          <w:sz w:val="22"/>
          <w:szCs w:val="22"/>
          <w:lang w:val="en-US"/>
        </w:rPr>
        <w:t xml:space="preserve">. London: Home Office. Available at: </w:t>
      </w:r>
      <w:hyperlink r:id="R20e48498cd3647ad">
        <w:r w:rsidRPr="3D82D8A6" w:rsidR="50AA218D">
          <w:rPr>
            <w:rStyle w:val="Hyperlink"/>
            <w:rFonts w:ascii="Arial" w:hAnsi="Arial" w:eastAsia="Arial" w:cs="Arial"/>
            <w:noProof w:val="0"/>
            <w:sz w:val="22"/>
            <w:szCs w:val="22"/>
            <w:lang w:val="en-US"/>
          </w:rPr>
          <w:t>https://www.gov.uk/government/publications/from-harm-to-hope-a-10-year-drugs-plan</w:t>
        </w:r>
      </w:hyperlink>
      <w:r w:rsidRPr="3D82D8A6" w:rsidR="50AA218D">
        <w:rPr>
          <w:rFonts w:ascii="Arial" w:hAnsi="Arial" w:eastAsia="Arial" w:cs="Arial"/>
          <w:noProof w:val="0"/>
          <w:sz w:val="22"/>
          <w:szCs w:val="22"/>
          <w:lang w:val="en-US"/>
        </w:rPr>
        <w:t xml:space="preserve"> (Accessed: 31 October 2025)</w:t>
      </w:r>
      <w:r w:rsidRPr="3D82D8A6" w:rsidR="50AA218D">
        <w:rPr>
          <w:rFonts w:ascii="Arial" w:hAnsi="Arial" w:eastAsia="Arial" w:cs="Arial"/>
          <w:noProof w:val="0"/>
          <w:sz w:val="22"/>
          <w:szCs w:val="22"/>
          <w:lang w:val="en-US"/>
        </w:rPr>
        <w:t xml:space="preserve">.  </w:t>
      </w:r>
    </w:p>
    <w:p w:rsidR="4CB34C9B" w:rsidP="3D82D8A6" w:rsidRDefault="4CB34C9B" w14:paraId="46D8A3B7" w14:textId="282F2BD3" w14:noSpellErr="1">
      <w:pPr>
        <w:spacing w:before="0" w:beforeAutospacing="off" w:after="160" w:afterAutospacing="off" w:line="360" w:lineRule="auto"/>
        <w:ind w:left="720" w:right="0" w:hanging="720"/>
        <w:jc w:val="both"/>
        <w:rPr>
          <w:rFonts w:ascii="Arial" w:hAnsi="Arial" w:eastAsia="Arial" w:cs="Arial"/>
          <w:noProof w:val="0"/>
          <w:sz w:val="22"/>
          <w:szCs w:val="22"/>
          <w:lang w:val="en-US"/>
        </w:rPr>
      </w:pPr>
      <w:r w:rsidRPr="3D82D8A6" w:rsidR="50AA218D">
        <w:rPr>
          <w:rFonts w:ascii="Arial" w:hAnsi="Arial" w:eastAsia="Arial" w:cs="Arial"/>
          <w:noProof w:val="0"/>
          <w:sz w:val="22"/>
          <w:szCs w:val="22"/>
          <w:lang w:val="en-US"/>
        </w:rPr>
        <w:t>Office for National Statistics (2023) ‘</w:t>
      </w:r>
      <w:r w:rsidRPr="3D82D8A6" w:rsidR="50AA218D">
        <w:rPr>
          <w:rFonts w:ascii="Arial" w:hAnsi="Arial" w:eastAsia="Arial" w:cs="Arial"/>
          <w:i w:val="1"/>
          <w:iCs w:val="1"/>
          <w:noProof w:val="0"/>
          <w:sz w:val="22"/>
          <w:szCs w:val="22"/>
          <w:lang w:val="en-US"/>
        </w:rPr>
        <w:t>Deaths related to drug poisoning in England and Wales</w:t>
      </w:r>
      <w:r w:rsidRPr="3D82D8A6" w:rsidR="50AA218D">
        <w:rPr>
          <w:rFonts w:ascii="Arial" w:hAnsi="Arial" w:eastAsia="Arial" w:cs="Arial"/>
          <w:noProof w:val="0"/>
          <w:sz w:val="22"/>
          <w:szCs w:val="22"/>
          <w:lang w:val="en-US"/>
        </w:rPr>
        <w:t xml:space="preserve">: 2022 </w:t>
      </w:r>
      <w:r w:rsidRPr="3D82D8A6" w:rsidR="50AA218D">
        <w:rPr>
          <w:rFonts w:ascii="Arial" w:hAnsi="Arial" w:eastAsia="Arial" w:cs="Arial"/>
          <w:noProof w:val="0"/>
          <w:sz w:val="22"/>
          <w:szCs w:val="22"/>
          <w:lang w:val="en-US"/>
        </w:rPr>
        <w:t>registrations’</w:t>
      </w:r>
      <w:r w:rsidRPr="3D82D8A6" w:rsidR="50AA218D">
        <w:rPr>
          <w:rFonts w:ascii="Arial" w:hAnsi="Arial" w:eastAsia="Arial" w:cs="Arial"/>
          <w:noProof w:val="0"/>
          <w:sz w:val="22"/>
          <w:szCs w:val="22"/>
          <w:lang w:val="en-US"/>
        </w:rPr>
        <w:t xml:space="preserve">. Available at: </w:t>
      </w:r>
      <w:hyperlink r:id="R2e0d3eae0be545ea">
        <w:r w:rsidRPr="3D82D8A6" w:rsidR="50AA218D">
          <w:rPr>
            <w:rStyle w:val="Hyperlink"/>
            <w:rFonts w:ascii="Arial" w:hAnsi="Arial" w:eastAsia="Arial" w:cs="Arial"/>
            <w:noProof w:val="0"/>
            <w:sz w:val="22"/>
            <w:szCs w:val="22"/>
            <w:lang w:val="en-US"/>
          </w:rPr>
          <w:t>https://www.ons.gov.uk/peoplepopulationandcommunity/birthsdeathsandmarriages/deaths/bulletins/deathsrelatedtodrugpoisoninginenglandandwales/2022registrations</w:t>
        </w:r>
      </w:hyperlink>
      <w:r w:rsidRPr="3D82D8A6" w:rsidR="50AA218D">
        <w:rPr>
          <w:rFonts w:ascii="Arial" w:hAnsi="Arial" w:eastAsia="Arial" w:cs="Arial"/>
          <w:noProof w:val="0"/>
          <w:sz w:val="22"/>
          <w:szCs w:val="22"/>
          <w:lang w:val="en-US"/>
        </w:rPr>
        <w:t xml:space="preserve"> (Accessed: 31 October 2025)</w:t>
      </w:r>
      <w:r w:rsidRPr="3D82D8A6" w:rsidR="50AA218D">
        <w:rPr>
          <w:rFonts w:ascii="Arial" w:hAnsi="Arial" w:eastAsia="Arial" w:cs="Arial"/>
          <w:noProof w:val="0"/>
          <w:sz w:val="22"/>
          <w:szCs w:val="22"/>
          <w:lang w:val="en-US"/>
        </w:rPr>
        <w:t xml:space="preserve">.  </w:t>
      </w:r>
    </w:p>
    <w:p w:rsidR="4CB34C9B" w:rsidP="3D82D8A6" w:rsidRDefault="4CB34C9B" w14:paraId="12382C79" w14:textId="79C6CF30" w14:noSpellErr="1">
      <w:pPr>
        <w:spacing w:before="0" w:beforeAutospacing="off" w:after="160" w:afterAutospacing="off" w:line="360" w:lineRule="auto"/>
        <w:ind w:left="720" w:right="0" w:hanging="720"/>
        <w:jc w:val="both"/>
        <w:rPr>
          <w:rFonts w:ascii="Arial" w:hAnsi="Arial" w:eastAsia="Arial" w:cs="Arial"/>
          <w:noProof w:val="0"/>
          <w:sz w:val="22"/>
          <w:szCs w:val="22"/>
          <w:lang w:val="en-US"/>
        </w:rPr>
      </w:pPr>
      <w:r w:rsidRPr="3D82D8A6" w:rsidR="50AA218D">
        <w:rPr>
          <w:rFonts w:ascii="Arial" w:hAnsi="Arial" w:eastAsia="Arial" w:cs="Arial"/>
          <w:noProof w:val="0"/>
          <w:sz w:val="22"/>
          <w:szCs w:val="22"/>
          <w:lang w:val="en-US"/>
        </w:rPr>
        <w:t>Public Health England (2021) ‘</w:t>
      </w:r>
      <w:r w:rsidRPr="3D82D8A6" w:rsidR="50AA218D">
        <w:rPr>
          <w:rFonts w:ascii="Arial" w:hAnsi="Arial" w:eastAsia="Arial" w:cs="Arial"/>
          <w:i w:val="1"/>
          <w:iCs w:val="1"/>
          <w:noProof w:val="0"/>
          <w:sz w:val="22"/>
          <w:szCs w:val="22"/>
          <w:lang w:val="en-US"/>
        </w:rPr>
        <w:t>Adult substance misuse treatment statistics 2020 to 2021’</w:t>
      </w:r>
      <w:r w:rsidRPr="3D82D8A6" w:rsidR="50AA218D">
        <w:rPr>
          <w:rFonts w:ascii="Arial" w:hAnsi="Arial" w:eastAsia="Arial" w:cs="Arial"/>
          <w:noProof w:val="0"/>
          <w:sz w:val="22"/>
          <w:szCs w:val="22"/>
          <w:lang w:val="en-US"/>
        </w:rPr>
        <w:t xml:space="preserve">. Available at: </w:t>
      </w:r>
      <w:hyperlink r:id="R7f471b617e1c4176">
        <w:r w:rsidRPr="3D82D8A6" w:rsidR="50AA218D">
          <w:rPr>
            <w:rStyle w:val="Hyperlink"/>
            <w:rFonts w:ascii="Arial" w:hAnsi="Arial" w:eastAsia="Arial" w:cs="Arial"/>
            <w:noProof w:val="0"/>
            <w:sz w:val="22"/>
            <w:szCs w:val="22"/>
            <w:lang w:val="en-US"/>
          </w:rPr>
          <w:t>https://www.gov.uk/government/statistics/substance-misuse-treatment-for-adults-statistics-2020-to-2021</w:t>
        </w:r>
      </w:hyperlink>
      <w:r w:rsidRPr="3D82D8A6" w:rsidR="50AA218D">
        <w:rPr>
          <w:rFonts w:ascii="Arial" w:hAnsi="Arial" w:eastAsia="Arial" w:cs="Arial"/>
          <w:noProof w:val="0"/>
          <w:sz w:val="22"/>
          <w:szCs w:val="22"/>
          <w:lang w:val="en-US"/>
        </w:rPr>
        <w:t xml:space="preserve"> (Accessed: 31 October 2025)</w:t>
      </w:r>
      <w:r w:rsidRPr="3D82D8A6" w:rsidR="50AA218D">
        <w:rPr>
          <w:rFonts w:ascii="Arial" w:hAnsi="Arial" w:eastAsia="Arial" w:cs="Arial"/>
          <w:noProof w:val="0"/>
          <w:sz w:val="22"/>
          <w:szCs w:val="22"/>
          <w:lang w:val="en-US"/>
        </w:rPr>
        <w:t xml:space="preserve">.  </w:t>
      </w:r>
    </w:p>
    <w:p w:rsidR="4CB34C9B" w:rsidP="3D82D8A6" w:rsidRDefault="4CB34C9B" w14:paraId="4C3A2009" w14:textId="4C2EC6B2" w14:noSpellErr="1">
      <w:pPr>
        <w:spacing w:before="0" w:beforeAutospacing="off" w:after="160" w:afterAutospacing="off" w:line="360" w:lineRule="auto"/>
        <w:ind w:left="720" w:right="0" w:hanging="720"/>
        <w:jc w:val="both"/>
        <w:rPr>
          <w:rFonts w:ascii="Arial" w:hAnsi="Arial" w:eastAsia="Arial" w:cs="Arial"/>
          <w:noProof w:val="0"/>
          <w:sz w:val="22"/>
          <w:szCs w:val="22"/>
          <w:lang w:val="en-US"/>
        </w:rPr>
      </w:pPr>
      <w:r w:rsidRPr="3D82D8A6" w:rsidR="50AA218D">
        <w:rPr>
          <w:rFonts w:ascii="Arial" w:hAnsi="Arial" w:eastAsia="Arial" w:cs="Arial"/>
          <w:noProof w:val="0"/>
          <w:sz w:val="22"/>
          <w:szCs w:val="22"/>
          <w:lang w:val="en-US"/>
        </w:rPr>
        <w:t>Turnpenny, A. and Hussein, S. (2021) ‘</w:t>
      </w:r>
      <w:r w:rsidRPr="3D82D8A6" w:rsidR="50AA218D">
        <w:rPr>
          <w:rFonts w:ascii="Arial" w:hAnsi="Arial" w:eastAsia="Arial" w:cs="Arial"/>
          <w:i w:val="1"/>
          <w:iCs w:val="1"/>
          <w:noProof w:val="0"/>
          <w:sz w:val="22"/>
          <w:szCs w:val="22"/>
          <w:lang w:val="en-US"/>
        </w:rPr>
        <w:t>Recruitment and retention in adult social care: a rapid evidence review’, Social Policy and Society</w:t>
      </w:r>
      <w:r w:rsidRPr="3D82D8A6" w:rsidR="50AA218D">
        <w:rPr>
          <w:rFonts w:ascii="Arial" w:hAnsi="Arial" w:eastAsia="Arial" w:cs="Arial"/>
          <w:noProof w:val="0"/>
          <w:sz w:val="22"/>
          <w:szCs w:val="22"/>
          <w:lang w:val="en-US"/>
        </w:rPr>
        <w:t xml:space="preserve">, 20(4), pp. 597–613. </w:t>
      </w:r>
      <w:r w:rsidRPr="3D82D8A6" w:rsidR="50AA218D">
        <w:rPr>
          <w:rFonts w:ascii="Arial" w:hAnsi="Arial" w:eastAsia="Arial" w:cs="Arial"/>
          <w:noProof w:val="0"/>
          <w:sz w:val="22"/>
          <w:szCs w:val="22"/>
          <w:lang w:val="en-US"/>
        </w:rPr>
        <w:t>doi</w:t>
      </w:r>
      <w:r w:rsidRPr="3D82D8A6" w:rsidR="50AA218D">
        <w:rPr>
          <w:rFonts w:ascii="Arial" w:hAnsi="Arial" w:eastAsia="Arial" w:cs="Arial"/>
          <w:noProof w:val="0"/>
          <w:sz w:val="22"/>
          <w:szCs w:val="22"/>
          <w:lang w:val="en-US"/>
        </w:rPr>
        <w:t>: 10.1017/S1474746421000254</w:t>
      </w:r>
      <w:r w:rsidRPr="3D82D8A6" w:rsidR="50AA218D">
        <w:rPr>
          <w:rFonts w:ascii="Arial" w:hAnsi="Arial" w:eastAsia="Arial" w:cs="Arial"/>
          <w:noProof w:val="0"/>
          <w:sz w:val="22"/>
          <w:szCs w:val="22"/>
          <w:lang w:val="en-US"/>
        </w:rPr>
        <w:t xml:space="preserve">.  </w:t>
      </w:r>
    </w:p>
    <w:sectPr>
      <w:pgSz w:w="12240" w:h="15840" w:orient="portrait"/>
      <w:pgMar w:top="1440" w:right="1440" w:bottom="1440" w:left="1440" w:header="720" w:footer="720" w:gutter="0"/>
      <w:cols w:space="720"/>
      <w:docGrid w:linePitch="360"/>
      <w:headerReference w:type="default" r:id="R00737e444bf54ea3"/>
      <w:footerReference w:type="default" r:id="R6f8dca5ffd04427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61CB241" w:rsidTr="161CB241" w14:paraId="3B1BB27B">
      <w:trPr>
        <w:trHeight w:val="300"/>
      </w:trPr>
      <w:tc>
        <w:tcPr>
          <w:tcW w:w="3120" w:type="dxa"/>
          <w:tcMar/>
        </w:tcPr>
        <w:p w:rsidR="161CB241" w:rsidP="161CB241" w:rsidRDefault="161CB241" w14:paraId="469B65A6" w14:textId="5001E25B">
          <w:pPr>
            <w:pStyle w:val="Header"/>
            <w:bidi w:val="0"/>
            <w:ind w:left="-115"/>
            <w:jc w:val="left"/>
          </w:pPr>
        </w:p>
      </w:tc>
      <w:tc>
        <w:tcPr>
          <w:tcW w:w="3120" w:type="dxa"/>
          <w:tcMar/>
        </w:tcPr>
        <w:p w:rsidR="161CB241" w:rsidP="161CB241" w:rsidRDefault="161CB241" w14:paraId="59F4E511" w14:textId="0472F1C5">
          <w:pPr>
            <w:pStyle w:val="Header"/>
            <w:bidi w:val="0"/>
            <w:jc w:val="center"/>
          </w:pPr>
          <w:r>
            <w:fldChar w:fldCharType="begin"/>
          </w:r>
          <w:r>
            <w:instrText xml:space="preserve">PAGE</w:instrText>
          </w:r>
          <w:r>
            <w:fldChar w:fldCharType="separate"/>
          </w:r>
          <w:r>
            <w:fldChar w:fldCharType="end"/>
          </w:r>
        </w:p>
      </w:tc>
      <w:tc>
        <w:tcPr>
          <w:tcW w:w="3120" w:type="dxa"/>
          <w:tcMar/>
        </w:tcPr>
        <w:p w:rsidR="161CB241" w:rsidP="161CB241" w:rsidRDefault="161CB241" w14:paraId="15B78EC3" w14:textId="7C97F638">
          <w:pPr>
            <w:pStyle w:val="Header"/>
            <w:bidi w:val="0"/>
            <w:ind w:right="-115"/>
            <w:jc w:val="right"/>
          </w:pPr>
        </w:p>
      </w:tc>
    </w:tr>
  </w:tbl>
  <w:p w:rsidR="161CB241" w:rsidP="161CB241" w:rsidRDefault="161CB241" w14:paraId="14F92073" w14:textId="0433C48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61CB241" w:rsidTr="161CB241" w14:paraId="3698FA88">
      <w:trPr>
        <w:trHeight w:val="300"/>
      </w:trPr>
      <w:tc>
        <w:tcPr>
          <w:tcW w:w="3120" w:type="dxa"/>
          <w:tcMar/>
        </w:tcPr>
        <w:p w:rsidR="161CB241" w:rsidP="161CB241" w:rsidRDefault="161CB241" w14:paraId="1FE9BC49" w14:textId="07A5CE5E">
          <w:pPr>
            <w:pStyle w:val="Header"/>
            <w:bidi w:val="0"/>
            <w:ind w:left="-115"/>
            <w:jc w:val="left"/>
          </w:pPr>
        </w:p>
      </w:tc>
      <w:tc>
        <w:tcPr>
          <w:tcW w:w="3120" w:type="dxa"/>
          <w:tcMar/>
        </w:tcPr>
        <w:p w:rsidR="161CB241" w:rsidP="161CB241" w:rsidRDefault="161CB241" w14:paraId="14C26151" w14:textId="591BE0ED">
          <w:pPr>
            <w:pStyle w:val="Header"/>
            <w:bidi w:val="0"/>
            <w:jc w:val="center"/>
          </w:pPr>
        </w:p>
      </w:tc>
      <w:tc>
        <w:tcPr>
          <w:tcW w:w="3120" w:type="dxa"/>
          <w:tcMar/>
        </w:tcPr>
        <w:p w:rsidR="161CB241" w:rsidP="161CB241" w:rsidRDefault="161CB241" w14:paraId="53305B28" w14:textId="7C257E6D">
          <w:pPr>
            <w:pStyle w:val="Header"/>
            <w:bidi w:val="0"/>
            <w:ind w:right="-115"/>
            <w:jc w:val="right"/>
          </w:pPr>
        </w:p>
      </w:tc>
    </w:tr>
  </w:tbl>
  <w:p w:rsidR="161CB241" w:rsidP="161CB241" w:rsidRDefault="161CB241" w14:paraId="4A7D615D" w14:textId="28E468F6">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6A2CB0"/>
    <w:rsid w:val="00052006"/>
    <w:rsid w:val="00336081"/>
    <w:rsid w:val="00967113"/>
    <w:rsid w:val="011A2773"/>
    <w:rsid w:val="0130CB5F"/>
    <w:rsid w:val="01507420"/>
    <w:rsid w:val="02CADB42"/>
    <w:rsid w:val="037157D1"/>
    <w:rsid w:val="0575F5EA"/>
    <w:rsid w:val="079EF45E"/>
    <w:rsid w:val="0881B520"/>
    <w:rsid w:val="09D0ADBF"/>
    <w:rsid w:val="09EC562B"/>
    <w:rsid w:val="09F66F38"/>
    <w:rsid w:val="0A061EBB"/>
    <w:rsid w:val="0BE40AA0"/>
    <w:rsid w:val="0C01D142"/>
    <w:rsid w:val="0C94B43C"/>
    <w:rsid w:val="0CF4B002"/>
    <w:rsid w:val="0F6B5FB0"/>
    <w:rsid w:val="109C909C"/>
    <w:rsid w:val="11123EDA"/>
    <w:rsid w:val="1243A38D"/>
    <w:rsid w:val="131D9C00"/>
    <w:rsid w:val="132998B3"/>
    <w:rsid w:val="140E6E89"/>
    <w:rsid w:val="14CB1C9B"/>
    <w:rsid w:val="14D7DC39"/>
    <w:rsid w:val="151EC672"/>
    <w:rsid w:val="15807A6B"/>
    <w:rsid w:val="159C6E53"/>
    <w:rsid w:val="161CB241"/>
    <w:rsid w:val="19C88372"/>
    <w:rsid w:val="1A2B5D95"/>
    <w:rsid w:val="1C9C60DF"/>
    <w:rsid w:val="1E955BEE"/>
    <w:rsid w:val="1F6A2CB0"/>
    <w:rsid w:val="1FD93328"/>
    <w:rsid w:val="21FB0948"/>
    <w:rsid w:val="24DF22B3"/>
    <w:rsid w:val="24E58D57"/>
    <w:rsid w:val="252AECBC"/>
    <w:rsid w:val="257D4FFE"/>
    <w:rsid w:val="2849711D"/>
    <w:rsid w:val="298E3EEB"/>
    <w:rsid w:val="29BA858F"/>
    <w:rsid w:val="2C9729B7"/>
    <w:rsid w:val="2D5600FE"/>
    <w:rsid w:val="2E505EB1"/>
    <w:rsid w:val="2F270D89"/>
    <w:rsid w:val="3077BFCE"/>
    <w:rsid w:val="3148289D"/>
    <w:rsid w:val="351263A2"/>
    <w:rsid w:val="351DFC34"/>
    <w:rsid w:val="36D4EEB7"/>
    <w:rsid w:val="37044EB7"/>
    <w:rsid w:val="38BECE9A"/>
    <w:rsid w:val="39375EBC"/>
    <w:rsid w:val="39A01EA3"/>
    <w:rsid w:val="39EBA25B"/>
    <w:rsid w:val="3C54E15A"/>
    <w:rsid w:val="3C5C44AC"/>
    <w:rsid w:val="3D230B42"/>
    <w:rsid w:val="3D82D8A6"/>
    <w:rsid w:val="3E3C6034"/>
    <w:rsid w:val="3E993CA8"/>
    <w:rsid w:val="3F3DCAF9"/>
    <w:rsid w:val="40023E99"/>
    <w:rsid w:val="402ED8A2"/>
    <w:rsid w:val="4074F59A"/>
    <w:rsid w:val="4171060B"/>
    <w:rsid w:val="41AD33B4"/>
    <w:rsid w:val="42D067F5"/>
    <w:rsid w:val="4431AC1F"/>
    <w:rsid w:val="44669A00"/>
    <w:rsid w:val="44E7EA87"/>
    <w:rsid w:val="48A1ED7D"/>
    <w:rsid w:val="48A67C14"/>
    <w:rsid w:val="499E8D74"/>
    <w:rsid w:val="4AC7E5BD"/>
    <w:rsid w:val="4CB34C9B"/>
    <w:rsid w:val="4DB99FC5"/>
    <w:rsid w:val="4E2B11B4"/>
    <w:rsid w:val="4F8B19F8"/>
    <w:rsid w:val="4FA7D64F"/>
    <w:rsid w:val="4FADB8A2"/>
    <w:rsid w:val="507D2171"/>
    <w:rsid w:val="508DD36A"/>
    <w:rsid w:val="50AA218D"/>
    <w:rsid w:val="52079771"/>
    <w:rsid w:val="5440FFE5"/>
    <w:rsid w:val="556B325B"/>
    <w:rsid w:val="56361883"/>
    <w:rsid w:val="56F7B5BD"/>
    <w:rsid w:val="5781D02F"/>
    <w:rsid w:val="57A93D66"/>
    <w:rsid w:val="58B621F0"/>
    <w:rsid w:val="58EDBF02"/>
    <w:rsid w:val="5924B7B5"/>
    <w:rsid w:val="5C689A7D"/>
    <w:rsid w:val="5CC48A81"/>
    <w:rsid w:val="5D583AAB"/>
    <w:rsid w:val="5DABAE73"/>
    <w:rsid w:val="5E2AF277"/>
    <w:rsid w:val="610C1E65"/>
    <w:rsid w:val="63892E13"/>
    <w:rsid w:val="65133DAD"/>
    <w:rsid w:val="6583AC02"/>
    <w:rsid w:val="660A9EFC"/>
    <w:rsid w:val="666657D4"/>
    <w:rsid w:val="67560697"/>
    <w:rsid w:val="68DBEC29"/>
    <w:rsid w:val="6B45BFDB"/>
    <w:rsid w:val="6BF07425"/>
    <w:rsid w:val="6CDE563A"/>
    <w:rsid w:val="6DD0F2BB"/>
    <w:rsid w:val="6EC2EF9F"/>
    <w:rsid w:val="6F1A62CB"/>
    <w:rsid w:val="6FDEB99B"/>
    <w:rsid w:val="7200CC42"/>
    <w:rsid w:val="7247CB02"/>
    <w:rsid w:val="737848AC"/>
    <w:rsid w:val="74B90A82"/>
    <w:rsid w:val="74C73930"/>
    <w:rsid w:val="7670A25C"/>
    <w:rsid w:val="78EAFF73"/>
    <w:rsid w:val="79F52244"/>
    <w:rsid w:val="7A4404DD"/>
    <w:rsid w:val="7A6824FB"/>
    <w:rsid w:val="7B3EB744"/>
    <w:rsid w:val="7BC87E44"/>
    <w:rsid w:val="7BDB4D71"/>
    <w:rsid w:val="7C224C51"/>
    <w:rsid w:val="7D5E059F"/>
    <w:rsid w:val="7E71F1A6"/>
    <w:rsid w:val="7EA4A8B6"/>
    <w:rsid w:val="7FE8F9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77F68"/>
  <w15:chartTrackingRefBased/>
  <w15:docId w15:val="{D14590A8-E013-4D60-BA78-F2A75CBE68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61CB241"/>
    <w:pPr>
      <w:tabs>
        <w:tab w:val="center" w:leader="none" w:pos="4680"/>
        <w:tab w:val="right" w:leader="none" w:pos="9360"/>
      </w:tabs>
      <w:spacing w:after="0" w:line="240" w:lineRule="auto"/>
    </w:pPr>
  </w:style>
  <w:style w:type="paragraph" w:styleId="Footer">
    <w:uiPriority w:val="99"/>
    <w:name w:val="footer"/>
    <w:basedOn w:val="Normal"/>
    <w:unhideWhenUsed/>
    <w:rsid w:val="161CB24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39EBA25B"/>
    <w:rPr>
      <w:color w:val="467886"/>
      <w:u w:val="single"/>
    </w:rPr>
  </w:style>
  <w:style w:type="paragraph" w:styleId="Heading1">
    <w:uiPriority w:val="9"/>
    <w:name w:val="heading 1"/>
    <w:basedOn w:val="Normal"/>
    <w:next w:val="Normal"/>
    <w:qFormat/>
    <w:rsid w:val="140E6E8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00737e444bf54ea3" /><Relationship Type="http://schemas.openxmlformats.org/officeDocument/2006/relationships/footer" Target="footer.xml" Id="R6f8dca5ffd044277" /><Relationship Type="http://schemas.openxmlformats.org/officeDocument/2006/relationships/hyperlink" Target="https://www.gov.uk/government/publications/drug-misuse-and-dependence-uk-guidelines-on-clinical-management" TargetMode="External" Id="Rda56eff990d74073" /><Relationship Type="http://schemas.openxmlformats.org/officeDocument/2006/relationships/hyperlink" Target="https://www.gov.uk/government/publications/from-harm-to-hope-a-10-year-drugs-plan" TargetMode="External" Id="R20e48498cd3647ad" /><Relationship Type="http://schemas.openxmlformats.org/officeDocument/2006/relationships/hyperlink" Target="https://www.ons.gov.uk/peoplepopulationandcommunity/birthsdeathsandmarriages/deaths/bulletins/deathsrelatedtodrugpoisoninginenglandandwales/2022registrations" TargetMode="External" Id="R2e0d3eae0be545ea" /><Relationship Type="http://schemas.openxmlformats.org/officeDocument/2006/relationships/hyperlink" Target="https://www.gov.uk/government/statistics/substance-misuse-treatment-for-adults-statistics-2020-to-2021" TargetMode="External" Id="R7f471b617e1c417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2025-10-24T10:14:05.7552785Z</dcterms:created>
  <dcterms:modified xsi:type="dcterms:W3CDTF">2025-11-16T15:41:22.1880294Z</dcterms:modified>
  <dc:creator>Sabia Alam (2507875)</dc:creator>
  <lastModifiedBy>Sabia Alam (2507875)</lastModifiedBy>
</coreProperties>
</file>