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4221D" w:rsidP="692E7A2C" w:rsidRDefault="4357A722" w14:paraId="30155517" w14:textId="526AF3F9">
      <w:pPr>
        <w:pStyle w:val="Title"/>
        <w:jc w:val="center"/>
        <w:rPr>
          <w:color w:val="153D63" w:themeColor="text2" w:themeTint="E6"/>
        </w:rPr>
      </w:pPr>
      <w:r w:rsidRPr="692E7A2C">
        <w:rPr>
          <w:color w:val="153D63" w:themeColor="text2" w:themeTint="E6"/>
        </w:rPr>
        <w:t xml:space="preserve">Community Profile: </w:t>
      </w:r>
    </w:p>
    <w:p w:rsidR="00A4221D" w:rsidP="692E7A2C" w:rsidRDefault="4357A722" w14:paraId="2C078E63" w14:textId="1E24D18F">
      <w:pPr>
        <w:pStyle w:val="Title"/>
        <w:jc w:val="center"/>
      </w:pPr>
      <w:r w:rsidRPr="316D6CA7" w:rsidR="4357A722">
        <w:rPr>
          <w:rStyle w:val="SubtitleChar"/>
        </w:rPr>
        <w:t>Understanding Youth Needs in Morriston</w:t>
      </w:r>
    </w:p>
    <w:p w:rsidR="46F913E5" w:rsidRDefault="46F913E5" w14:paraId="612476E5" w14:textId="5C1FF7EB">
      <w:r>
        <w:rPr>
          <w:noProof/>
        </w:rPr>
        <w:drawing>
          <wp:inline distT="0" distB="0" distL="0" distR="0" wp14:anchorId="6C6F0804" wp14:editId="20F0F580">
            <wp:extent cx="5943600" cy="3162300"/>
            <wp:effectExtent l="0" t="0" r="0" b="0"/>
            <wp:docPr id="11022908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290822" name=""/>
                    <pic:cNvPicPr/>
                  </pic:nvPicPr>
                  <pic:blipFill>
                    <a:blip r:embed="rId7">
                      <a:extLst>
                        <a:ext uri="{28A0092B-C50C-407E-A947-70E740481C1C}">
                          <a14:useLocalDpi xmlns:a14="http://schemas.microsoft.com/office/drawing/2010/main" val="0"/>
                        </a:ext>
                      </a:extLst>
                    </a:blip>
                    <a:stretch>
                      <a:fillRect/>
                    </a:stretch>
                  </pic:blipFill>
                  <pic:spPr>
                    <a:xfrm>
                      <a:off x="0" y="0"/>
                      <a:ext cx="5943600" cy="3162300"/>
                    </a:xfrm>
                    <a:prstGeom prst="rect">
                      <a:avLst/>
                    </a:prstGeom>
                  </pic:spPr>
                </pic:pic>
              </a:graphicData>
            </a:graphic>
          </wp:inline>
        </w:drawing>
      </w:r>
    </w:p>
    <w:p w:rsidR="1463ACCF" w:rsidP="692E7A2C" w:rsidRDefault="1463ACCF" w14:paraId="10AB23D6" w14:textId="2797C185">
      <w:pPr>
        <w:rPr>
          <w:b/>
          <w:bCs/>
          <w:color w:val="153D63" w:themeColor="text2" w:themeTint="E6"/>
        </w:rPr>
      </w:pPr>
      <w:r w:rsidRPr="692E7A2C">
        <w:rPr>
          <w:b/>
          <w:bCs/>
          <w:color w:val="153D63" w:themeColor="text2" w:themeTint="E6"/>
        </w:rPr>
        <w:t>Introduction</w:t>
      </w:r>
    </w:p>
    <w:p w:rsidR="46D90480" w:rsidRDefault="46D90480" w14:paraId="7CB0974E" w14:textId="0FF340E1">
      <w:r w:rsidRPr="692E7A2C">
        <w:rPr>
          <w:rFonts w:ascii="Aptos" w:hAnsi="Aptos" w:eastAsia="Aptos" w:cs="Aptos"/>
        </w:rPr>
        <w:t xml:space="preserve">Morriston is a well-populated residential area in the north of Swansea, with around 16,000 residents (City &amp; County of Swansea, 2024). Historically known for its industrial roots, the area has experienced economic and social changes over time, which have created new challenges for young people living there today. As my youth work placement is based at Evolve Swansea in nearby Brynhyfryd, understanding the local context of Morriston is important in recognising the wider needs of the young people we support. Creating a community profile helps to highlight both the strengths and the issues within the area, which is key to taking a needs-led approach to youth work (Smith, 2003). This profile draws on local data, observations, and wider reading to explore the barriers and opportunities facing young people in Morriston. It also reflects the core principles of informal education (Jeffs &amp; Smith, 2005), which emphasized voluntary participation, relationship-building, and supporting young people through everyday experiences. </w:t>
      </w:r>
    </w:p>
    <w:p w:rsidR="6C2B7DD4" w:rsidP="692E7A2C" w:rsidRDefault="6C2B7DD4" w14:paraId="51B23D7D" w14:textId="1F499980">
      <w:pPr>
        <w:rPr>
          <w:rFonts w:ascii="Aptos" w:hAnsi="Aptos" w:eastAsia="Aptos" w:cs="Aptos"/>
          <w:b/>
          <w:bCs/>
          <w:color w:val="153D63" w:themeColor="text2" w:themeTint="E6"/>
        </w:rPr>
      </w:pPr>
      <w:r w:rsidRPr="692E7A2C">
        <w:rPr>
          <w:rFonts w:ascii="Aptos" w:hAnsi="Aptos" w:eastAsia="Aptos" w:cs="Aptos"/>
          <w:b/>
          <w:bCs/>
          <w:color w:val="153D63" w:themeColor="text2" w:themeTint="E6"/>
        </w:rPr>
        <w:t>Social Challenges in Morriston</w:t>
      </w:r>
    </w:p>
    <w:p w:rsidR="6C2B7DD4" w:rsidP="692E7A2C" w:rsidRDefault="6C2B7DD4" w14:paraId="75BE09C0" w14:textId="77477E49">
      <w:pPr>
        <w:rPr>
          <w:rFonts w:ascii="Aptos" w:hAnsi="Aptos" w:eastAsia="Aptos" w:cs="Aptos"/>
        </w:rPr>
      </w:pPr>
      <w:r w:rsidRPr="692E7A2C">
        <w:rPr>
          <w:rFonts w:ascii="Aptos" w:hAnsi="Aptos" w:eastAsia="Aptos" w:cs="Aptos"/>
        </w:rPr>
        <w:t>Morriston has a population of around 16,000 people, with lots of families and many young people under 25 (City &amp; County of Swansea, 2024). Most of the community identify as White British, and there isn’t as much cultural diversity here compared to other parts of Swansea. Morriston faces some big challenges, especially when it comes to poverty and access to opportunities. According to the Welsh Index of Multiple Deprivation (2022), parts of the area are among the most deprived in Wales, with high unemployment and lower income levels. For young people, this can mean struggling with things like mental health, feeling isolated, or finding it hard to get into education, training or work. This is where youth work has an important role by building positive relationships, helping young people feel heard, and offering support that’s based on their needs. A person-centred and empowerment approach (Young, 2006) is key to this, along with respecting young people’s rights as set out in the UNCRC (1989).</w:t>
      </w:r>
    </w:p>
    <w:p w:rsidR="250C381F" w:rsidP="692E7A2C" w:rsidRDefault="250C381F" w14:paraId="5E22A9C7" w14:textId="270B0512">
      <w:pPr>
        <w:rPr>
          <w:rFonts w:ascii="Aptos" w:hAnsi="Aptos" w:eastAsia="Aptos" w:cs="Aptos"/>
          <w:b/>
          <w:bCs/>
          <w:color w:val="153D63" w:themeColor="text2" w:themeTint="E6"/>
        </w:rPr>
      </w:pPr>
      <w:r w:rsidRPr="692E7A2C">
        <w:rPr>
          <w:rFonts w:ascii="Aptos" w:hAnsi="Aptos" w:eastAsia="Aptos" w:cs="Aptos"/>
          <w:b/>
          <w:bCs/>
          <w:color w:val="153D63" w:themeColor="text2" w:themeTint="E6"/>
        </w:rPr>
        <w:t>Community Assets and Services for Young People</w:t>
      </w:r>
    </w:p>
    <w:p w:rsidR="250C381F" w:rsidP="4960B13A" w:rsidRDefault="250C381F" w14:paraId="0F24D0CB" w14:textId="27E35B91">
      <w:pPr>
        <w:rPr>
          <w:rFonts w:ascii="Aptos" w:hAnsi="Aptos" w:eastAsia="Aptos" w:cs="Aptos"/>
        </w:rPr>
      </w:pPr>
      <w:r w:rsidRPr="5F63607F">
        <w:rPr>
          <w:rFonts w:ascii="Aptos" w:hAnsi="Aptos" w:eastAsia="Aptos" w:cs="Aptos"/>
        </w:rPr>
        <w:t>Despite some of the challenges in Morriston, there are several positive spaces and services that aim to support young people in the area. The Morriston Young People's Group is a great example of youth-led participation, offering events like discos, talent shows, film nights and community activities for ages 11–20. Groups like this give young people a chance to take ownership, develop skills and feel connected to where they live. Other services such as R-Gen Youth Club at Lifewell Church offer safe spaces for socialising, games, and conversations about everyday life and faith. Sport is also a big part of community life, with Morriston RFC Minis &amp; Juniors providing team activities and physical development for ages 3–16. Venues like the Morriston Community Centre and Memorial Hall are regularly used for youth clubs and group activities. These community-based spaces help reduce isolation and support informal learning, which links closely to youth work values around inclusion, relationship-building and supporting development through voluntary participation (Jeffs &amp; Smith, 2005).</w:t>
      </w:r>
    </w:p>
    <w:p w:rsidR="5A4B640F" w:rsidRDefault="3A3FB696" w14:paraId="504D4952" w14:textId="63238F69">
      <w:r>
        <w:rPr>
          <w:noProof/>
        </w:rPr>
        <w:drawing>
          <wp:anchor distT="0" distB="0" distL="114300" distR="114300" simplePos="0" relativeHeight="251655168" behindDoc="0" locked="0" layoutInCell="1" allowOverlap="1" wp14:anchorId="63E2352C" wp14:editId="6D5C3D30">
            <wp:simplePos x="0" y="0"/>
            <wp:positionH relativeFrom="column">
              <wp:posOffset>4257675</wp:posOffset>
            </wp:positionH>
            <wp:positionV relativeFrom="paragraph">
              <wp:posOffset>266700</wp:posOffset>
            </wp:positionV>
            <wp:extent cx="1885950" cy="1333500"/>
            <wp:effectExtent l="0" t="0" r="0" b="0"/>
            <wp:wrapNone/>
            <wp:docPr id="5644127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412773" name=""/>
                    <pic:cNvPicPr/>
                  </pic:nvPicPr>
                  <pic:blipFill>
                    <a:blip r:embed="rId8">
                      <a:extLst>
                        <a:ext uri="{28A0092B-C50C-407E-A947-70E740481C1C}">
                          <a14:useLocalDpi xmlns:a14="http://schemas.microsoft.com/office/drawing/2010/main"/>
                        </a:ext>
                      </a:extLst>
                    </a:blip>
                    <a:stretch>
                      <a:fillRect/>
                    </a:stretch>
                  </pic:blipFill>
                  <pic:spPr>
                    <a:xfrm>
                      <a:off x="0" y="0"/>
                      <a:ext cx="1885950" cy="1333500"/>
                    </a:xfrm>
                    <a:prstGeom prst="rect">
                      <a:avLst/>
                    </a:prstGeom>
                  </pic:spPr>
                </pic:pic>
              </a:graphicData>
            </a:graphic>
            <wp14:sizeRelH relativeFrom="page">
              <wp14:pctWidth>0</wp14:pctWidth>
            </wp14:sizeRelH>
            <wp14:sizeRelV relativeFrom="page">
              <wp14:pctHeight>0</wp14:pctHeight>
            </wp14:sizeRelV>
          </wp:anchor>
        </w:drawing>
      </w:r>
      <w:r w:rsidR="5A4B640F">
        <w:rPr>
          <w:noProof/>
        </w:rPr>
        <w:drawing>
          <wp:anchor distT="0" distB="0" distL="114300" distR="114300" simplePos="0" relativeHeight="251656192" behindDoc="0" locked="0" layoutInCell="1" allowOverlap="1" wp14:anchorId="6E41FBD4" wp14:editId="06A452ED">
            <wp:simplePos x="0" y="0"/>
            <wp:positionH relativeFrom="column">
              <wp:posOffset>2209800</wp:posOffset>
            </wp:positionH>
            <wp:positionV relativeFrom="paragraph">
              <wp:posOffset>85725</wp:posOffset>
            </wp:positionV>
            <wp:extent cx="1874326" cy="1220247"/>
            <wp:effectExtent l="0" t="0" r="0" b="0"/>
            <wp:wrapNone/>
            <wp:docPr id="10696834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683411" name=""/>
                    <pic:cNvPicPr/>
                  </pic:nvPicPr>
                  <pic:blipFill>
                    <a:blip r:embed="rId9">
                      <a:extLst>
                        <a:ext uri="{28A0092B-C50C-407E-A947-70E740481C1C}">
                          <a14:useLocalDpi xmlns:a14="http://schemas.microsoft.com/office/drawing/2010/main"/>
                        </a:ext>
                      </a:extLst>
                    </a:blip>
                    <a:stretch>
                      <a:fillRect/>
                    </a:stretch>
                  </pic:blipFill>
                  <pic:spPr>
                    <a:xfrm>
                      <a:off x="0" y="0"/>
                      <a:ext cx="1874326" cy="1220247"/>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0E24F5CB" wp14:editId="7887C38E">
            <wp:extent cx="2009775" cy="1177493"/>
            <wp:effectExtent l="0" t="0" r="0" b="0"/>
            <wp:docPr id="16372742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274293" name=""/>
                    <pic:cNvPicPr/>
                  </pic:nvPicPr>
                  <pic:blipFill>
                    <a:blip r:embed="rId10">
                      <a:extLst>
                        <a:ext uri="{28A0092B-C50C-407E-A947-70E740481C1C}">
                          <a14:useLocalDpi xmlns:a14="http://schemas.microsoft.com/office/drawing/2010/main"/>
                        </a:ext>
                      </a:extLst>
                    </a:blip>
                    <a:stretch>
                      <a:fillRect/>
                    </a:stretch>
                  </pic:blipFill>
                  <pic:spPr>
                    <a:xfrm>
                      <a:off x="0" y="0"/>
                      <a:ext cx="2009775" cy="1177493"/>
                    </a:xfrm>
                    <a:prstGeom prst="rect">
                      <a:avLst/>
                    </a:prstGeom>
                  </pic:spPr>
                </pic:pic>
              </a:graphicData>
            </a:graphic>
          </wp:inline>
        </w:drawing>
      </w:r>
    </w:p>
    <w:p w:rsidR="5161E80E" w:rsidP="692E7A2C" w:rsidRDefault="5161E80E" w14:paraId="27246F2D" w14:textId="5D1B908B">
      <w:pPr>
        <w:rPr>
          <w:rFonts w:ascii="Aptos" w:hAnsi="Aptos" w:eastAsia="Aptos" w:cs="Aptos"/>
          <w:b/>
          <w:bCs/>
          <w:color w:val="153D63" w:themeColor="text2" w:themeTint="E6"/>
        </w:rPr>
      </w:pPr>
      <w:r w:rsidRPr="692E7A2C">
        <w:rPr>
          <w:rFonts w:ascii="Aptos" w:hAnsi="Aptos" w:eastAsia="Aptos" w:cs="Aptos"/>
          <w:b/>
          <w:bCs/>
          <w:color w:val="153D63" w:themeColor="text2" w:themeTint="E6"/>
        </w:rPr>
        <w:t>Challenges and Barriers for Young People</w:t>
      </w:r>
    </w:p>
    <w:p w:rsidR="2E468EBB" w:rsidP="692E7A2C" w:rsidRDefault="2E468EBB" w14:paraId="030B4455" w14:textId="29122860">
      <w:pPr>
        <w:spacing w:before="240" w:after="240"/>
      </w:pPr>
      <w:r w:rsidRPr="6E1F9810">
        <w:rPr>
          <w:rFonts w:ascii="Aptos" w:hAnsi="Aptos" w:eastAsia="Aptos" w:cs="Aptos"/>
        </w:rPr>
        <w:t>Even though there are some great services in Morriston, young people still face a lot of challenges. Mental health issues are common, and many teens feel isolated or alone (Mental Health Foundation, 2023). On top of that, things like school, training, and finding jobs can be tough because of things like lack of support or opportunities nearby (Youth Employment UK, 2024). Some young people also struggle with things like transport or not knowing where to get help, which makes it harder for them to join in or get the support they need (Local Government Association, 2022). Recognising these barriers is important for youth workers, so they can find ways to help young people overcome them and make sure services are easy to access (Jeffs &amp; Smith, 2005).</w:t>
      </w:r>
    </w:p>
    <w:p w:rsidR="332E3A20" w:rsidP="6E1F9810" w:rsidRDefault="4449D37A" w14:paraId="75E5CA36" w14:textId="406BA624">
      <w:pPr>
        <w:spacing w:before="240" w:after="240"/>
        <w:rPr>
          <w:rFonts w:ascii="Aptos" w:hAnsi="Aptos" w:eastAsia="Aptos" w:cs="Aptos"/>
          <w:b/>
          <w:bCs/>
          <w:color w:val="0E2740"/>
        </w:rPr>
      </w:pPr>
      <w:r>
        <w:rPr>
          <w:noProof/>
        </w:rPr>
        <w:drawing>
          <wp:inline distT="0" distB="0" distL="0" distR="0" wp14:anchorId="49904FC4" wp14:editId="360C3508">
            <wp:extent cx="5943600" cy="3609975"/>
            <wp:effectExtent l="0" t="0" r="0" b="0"/>
            <wp:docPr id="16324539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453915"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609975"/>
                    </a:xfrm>
                    <a:prstGeom prst="rect">
                      <a:avLst/>
                    </a:prstGeom>
                  </pic:spPr>
                </pic:pic>
              </a:graphicData>
            </a:graphic>
          </wp:inline>
        </w:drawing>
      </w:r>
      <w:r w:rsidRPr="6E1F9810" w:rsidR="5134382C">
        <w:rPr>
          <w:rFonts w:ascii="Aptos" w:hAnsi="Aptos" w:eastAsia="Aptos" w:cs="Aptos"/>
        </w:rPr>
        <w:t xml:space="preserve"> </w:t>
      </w:r>
      <w:r w:rsidRPr="6E1F9810" w:rsidR="5134382C">
        <w:rPr>
          <w:rFonts w:ascii="Aptos" w:hAnsi="Aptos" w:eastAsia="Aptos" w:cs="Aptos"/>
          <w:b/>
          <w:bCs/>
        </w:rPr>
        <w:t>Image source:</w:t>
      </w:r>
      <w:r w:rsidRPr="6E1F9810" w:rsidR="5134382C">
        <w:rPr>
          <w:rFonts w:ascii="Aptos" w:hAnsi="Aptos" w:eastAsia="Aptos" w:cs="Aptos"/>
        </w:rPr>
        <w:t xml:space="preserve"> Matthies, R. (2023) </w:t>
      </w:r>
      <w:r w:rsidRPr="6E1F9810" w:rsidR="5134382C">
        <w:rPr>
          <w:rFonts w:ascii="Aptos" w:hAnsi="Aptos" w:eastAsia="Aptos" w:cs="Aptos"/>
          <w:i/>
          <w:iCs/>
        </w:rPr>
        <w:t>Youth are in crisis and we can help</w:t>
      </w:r>
      <w:r w:rsidRPr="6E1F9810" w:rsidR="5134382C">
        <w:rPr>
          <w:rFonts w:ascii="Aptos" w:hAnsi="Aptos" w:eastAsia="Aptos" w:cs="Aptos"/>
        </w:rPr>
        <w:t xml:space="preserve">. ASTHO.  </w:t>
      </w:r>
      <w:hyperlink r:id="rId12">
        <w:r w:rsidRPr="6E1F9810" w:rsidR="5134382C">
          <w:rPr>
            <w:rStyle w:val="Hyperlink"/>
            <w:rFonts w:ascii="Aptos" w:hAnsi="Aptos" w:eastAsia="Aptos" w:cs="Aptos"/>
          </w:rPr>
          <w:t>https://www.astho.org/communications/blog/youth-are-in-crisis-we-can-help/</w:t>
        </w:r>
      </w:hyperlink>
      <w:r w:rsidRPr="6E1F9810" w:rsidR="5134382C">
        <w:rPr>
          <w:rFonts w:ascii="Aptos" w:hAnsi="Aptos" w:eastAsia="Aptos" w:cs="Aptos"/>
        </w:rPr>
        <w:t xml:space="preserve"> (Accessed: 30 July 2025).</w:t>
      </w:r>
    </w:p>
    <w:p w:rsidR="332E3A20" w:rsidP="6E1F9810" w:rsidRDefault="332E3A20" w14:paraId="5B57A298" w14:textId="50805649">
      <w:pPr>
        <w:rPr>
          <w:rFonts w:ascii="Aptos" w:hAnsi="Aptos" w:eastAsia="Aptos" w:cs="Aptos"/>
          <w:b/>
          <w:bCs/>
          <w:color w:val="153D63" w:themeColor="text2" w:themeTint="E6"/>
        </w:rPr>
      </w:pPr>
      <w:r w:rsidRPr="6E1F9810">
        <w:rPr>
          <w:rFonts w:ascii="Aptos" w:hAnsi="Aptos" w:eastAsia="Aptos" w:cs="Aptos"/>
          <w:b/>
          <w:bCs/>
          <w:color w:val="0E2740"/>
        </w:rPr>
        <w:t>Challenges Faced by Young People in Morriston</w:t>
      </w:r>
    </w:p>
    <w:p w:rsidR="314C50E6" w:rsidRDefault="314C50E6" w14:paraId="107E1F5B" w14:textId="38766024">
      <w:r w:rsidRPr="692E7A2C">
        <w:rPr>
          <w:rFonts w:ascii="Aptos" w:hAnsi="Aptos" w:eastAsia="Aptos" w:cs="Aptos"/>
        </w:rPr>
        <w:t>Young people in Morriston face several challenges that impact on their wellbeing and opportunities. Mental health issues, like anxiety and depression, are a big concern, especially since many young people feel isolated or don’t have enough support. Social isolation can come from things like limited transport options, not enough safe spaces to hang out, or simply feeling disconnected from the community. Another big barrier is education and employment some young people struggle with school attendance or face difficulties finding jobs after finishing education. These challenges can make it harder for young people to reach their potential. As a youth worker, understanding these difficulties is key because it helps shape the kind of support and opportunities you offer. It also links to the idea that basic needs like safety, belonging, and self-esteem must be met before young people can thrive and grow. Addressing these challenges in youth work means creating safe, welcoming environments and programs that help young people build confidence and skills, so they can overcome barriers and feel part of their community.</w:t>
      </w:r>
    </w:p>
    <w:p w:rsidR="77DB2166" w:rsidP="316D6CA7" w:rsidRDefault="77DB2166" w14:paraId="70B31440" w14:textId="44FF1655">
      <w:pPr>
        <w:jc w:val="left"/>
      </w:pPr>
      <w:r w:rsidRPr="76994088" w:rsidR="77DB2166">
        <w:rPr>
          <w:rFonts w:ascii="Aptos" w:hAnsi="Aptos" w:eastAsia="Aptos" w:cs="Aptos"/>
          <w:b w:val="1"/>
          <w:bCs w:val="1"/>
          <w:color w:val="0E2740" w:themeColor="text2" w:themeTint="E6" w:themeShade="FF"/>
        </w:rPr>
        <w:t>Connecting My Placement at Evolve with the Local Area</w:t>
      </w:r>
      <w:r w:rsidR="76994088">
        <w:drawing>
          <wp:anchor distT="0" distB="0" distL="114300" distR="114300" simplePos="0" relativeHeight="251658240" behindDoc="0" locked="0" layoutInCell="1" allowOverlap="1" wp14:anchorId="6056717B" wp14:editId="4854939D">
            <wp:simplePos x="0" y="0"/>
            <wp:positionH relativeFrom="column">
              <wp:align>right</wp:align>
            </wp:positionH>
            <wp:positionV relativeFrom="paragraph">
              <wp:posOffset>0</wp:posOffset>
            </wp:positionV>
            <wp:extent cx="2590800" cy="1358390"/>
            <wp:effectExtent l="0" t="0" r="0" b="0"/>
            <wp:wrapSquare wrapText="bothSides"/>
            <wp:docPr id="2865777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6577762" name=""/>
                    <pic:cNvPicPr/>
                  </pic:nvPicPr>
                  <pic:blipFill>
                    <a:blip xmlns:r="http://schemas.openxmlformats.org/officeDocument/2006/relationships" r:embed="rId253373424">
                      <a:extLst>
                        <a:ext uri="{28A0092B-C50C-407E-A947-70E740481C1C}">
                          <a14:useLocalDpi xmlns:a14="http://schemas.microsoft.com/office/drawing/2010/main"/>
                        </a:ext>
                      </a:extLst>
                    </a:blip>
                    <a:stretch>
                      <a:fillRect/>
                    </a:stretch>
                  </pic:blipFill>
                  <pic:spPr>
                    <a:xfrm rot="0">
                      <a:off x="0" y="0"/>
                      <a:ext cx="2590800" cy="1358390"/>
                    </a:xfrm>
                    <a:prstGeom prst="rect">
                      <a:avLst/>
                    </a:prstGeom>
                  </pic:spPr>
                </pic:pic>
              </a:graphicData>
            </a:graphic>
            <wp14:sizeRelH relativeFrom="page">
              <wp14:pctWidth>0</wp14:pctWidth>
            </wp14:sizeRelH>
            <wp14:sizeRelV relativeFrom="page">
              <wp14:pctHeight>0</wp14:pctHeight>
            </wp14:sizeRelV>
          </wp:anchor>
        </w:drawing>
      </w:r>
    </w:p>
    <w:p w:rsidR="77DB2166" w:rsidP="561F4039" w:rsidRDefault="00F93A48" w14:paraId="19708ACF" w14:textId="3BE32190">
      <w:pPr>
        <w:rPr>
          <w:rFonts w:ascii="Aptos" w:hAnsi="Aptos" w:eastAsia="Aptos" w:cs="Aptos"/>
        </w:rPr>
      </w:pPr>
      <w:r w:rsidRPr="6E1F9810" w:rsidR="77DB2166">
        <w:rPr>
          <w:rFonts w:ascii="Aptos" w:hAnsi="Aptos" w:eastAsia="Aptos" w:cs="Aptos"/>
        </w:rPr>
        <w:t xml:space="preserve">My placement at Evolve Swansea links </w:t>
      </w:r>
      <w:r w:rsidRPr="6E1F9810" w:rsidR="77DB2166">
        <w:rPr>
          <w:rFonts w:ascii="Aptos" w:hAnsi="Aptos" w:eastAsia="Aptos" w:cs="Aptos"/>
        </w:rPr>
        <w:t xml:space="preserve">closely to the local community around Morriston and </w:t>
      </w:r>
      <w:r w:rsidRPr="6E1F9810" w:rsidR="77DB2166">
        <w:rPr>
          <w:rFonts w:ascii="Aptos" w:hAnsi="Aptos" w:eastAsia="Aptos" w:cs="Aptos"/>
        </w:rPr>
        <w:t>Brynhyfryd</w:t>
      </w:r>
      <w:r w:rsidRPr="6E1F9810" w:rsidR="77DB2166">
        <w:rPr>
          <w:rFonts w:ascii="Aptos" w:hAnsi="Aptos" w:eastAsia="Aptos" w:cs="Aptos"/>
        </w:rPr>
        <w:t xml:space="preserve">. Since Evolve runs youth clubs in these areas, including the </w:t>
      </w:r>
      <w:r w:rsidRPr="6E1F9810" w:rsidR="77DB2166">
        <w:rPr>
          <w:rFonts w:ascii="Aptos" w:hAnsi="Aptos" w:eastAsia="Aptos" w:cs="Aptos"/>
        </w:rPr>
        <w:t>Brynhyfryd</w:t>
      </w:r>
      <w:r w:rsidRPr="6E1F9810" w:rsidR="77DB2166">
        <w:rPr>
          <w:rFonts w:ascii="Aptos" w:hAnsi="Aptos" w:eastAsia="Aptos" w:cs="Aptos"/>
        </w:rPr>
        <w:t xml:space="preserve"> </w:t>
      </w:r>
      <w:r w:rsidRPr="6E1F9810" w:rsidR="77DB2166">
        <w:rPr>
          <w:rFonts w:ascii="Aptos" w:hAnsi="Aptos" w:eastAsia="Aptos" w:cs="Aptos"/>
        </w:rPr>
        <w:t>centre</w:t>
      </w:r>
      <w:r w:rsidRPr="6E1F9810" w:rsidR="77DB2166">
        <w:rPr>
          <w:rFonts w:ascii="Aptos" w:hAnsi="Aptos" w:eastAsia="Aptos" w:cs="Aptos"/>
        </w:rPr>
        <w:t xml:space="preserve"> where I worked, it offers a space where young people from Morriston and nearby </w:t>
      </w:r>
      <w:r w:rsidRPr="6E1F9810" w:rsidR="77DB2166">
        <w:rPr>
          <w:rFonts w:ascii="Aptos" w:hAnsi="Aptos" w:eastAsia="Aptos" w:cs="Aptos"/>
        </w:rPr>
        <w:t>neighbourhoods</w:t>
      </w:r>
      <w:r w:rsidRPr="6E1F9810" w:rsidR="77DB2166">
        <w:rPr>
          <w:rFonts w:ascii="Aptos" w:hAnsi="Aptos" w:eastAsia="Aptos" w:cs="Aptos"/>
        </w:rPr>
        <w:t xml:space="preserve"> can come together, get support, and take part in activities. The issues faced by young people in Morriston like mental health struggles, social isolation, and difficulties with education or work are things Evolve actively works to address through both drop-in sessions and targeted help. Being based in </w:t>
      </w:r>
      <w:r w:rsidRPr="6E1F9810" w:rsidR="77DB2166">
        <w:rPr>
          <w:rFonts w:ascii="Aptos" w:hAnsi="Aptos" w:eastAsia="Aptos" w:cs="Aptos"/>
        </w:rPr>
        <w:t>Brynhyfryd</w:t>
      </w:r>
      <w:r w:rsidRPr="6E1F9810" w:rsidR="77DB2166">
        <w:rPr>
          <w:rFonts w:ascii="Aptos" w:hAnsi="Aptos" w:eastAsia="Aptos" w:cs="Aptos"/>
        </w:rPr>
        <w:t xml:space="preserve"> means the service is easy for local young people to access, helping them feel supported close to home. During my placement, I saw how the team builds trusting relationships and listens carefully to young people’s needs, which makes the service feel welcoming and relevant. This connection between Evolve and the local area shows how youth work can respond directly to community needs, offering practical help and safe spaces that young people might not find</w:t>
      </w:r>
      <w:r w:rsidRPr="561F4039" w:rsidR="76AE145A">
        <w:rPr>
          <w:rFonts w:ascii="Aptos" w:hAnsi="Aptos" w:eastAsia="Aptos" w:cs="Aptos"/>
        </w:rPr>
        <w:t xml:space="preserve"> elsewhere.</w:t>
      </w:r>
      <w:r w:rsidRPr="561F4039" w:rsidR="77DB2166">
        <w:rPr>
          <w:rFonts w:ascii="Aptos" w:hAnsi="Aptos" w:eastAsia="Aptos" w:cs="Aptos"/>
        </w:rPr>
        <w:t xml:space="preserve"> </w:t>
      </w:r>
    </w:p>
    <w:p w:rsidR="265CA169" w:rsidP="692E7A2C" w:rsidRDefault="00170A52" w14:paraId="4C378506" w14:textId="7210E303" w14:noSpellErr="1"/>
    <w:p w:rsidR="265CA169" w:rsidP="6E1F9810" w:rsidRDefault="265CA169" w14:paraId="0A75765D" w14:textId="039519F5">
      <w:pPr>
        <w:rPr>
          <w:rFonts w:ascii="Aptos" w:hAnsi="Aptos" w:eastAsia="Aptos" w:cs="Aptos"/>
          <w:b/>
          <w:bCs/>
          <w:color w:val="153D63" w:themeColor="text2" w:themeTint="E6"/>
        </w:rPr>
      </w:pPr>
      <w:r w:rsidRPr="6E1F9810">
        <w:rPr>
          <w:rFonts w:ascii="Aptos" w:hAnsi="Aptos" w:eastAsia="Aptos" w:cs="Aptos"/>
          <w:b/>
          <w:bCs/>
          <w:color w:val="0E2740"/>
        </w:rPr>
        <w:t>Conclusion</w:t>
      </w:r>
    </w:p>
    <w:p w:rsidR="265CA169" w:rsidP="692E7A2C" w:rsidRDefault="265CA169" w14:paraId="6D3AB12A" w14:textId="289E5936">
      <w:pPr>
        <w:spacing w:before="240" w:after="240"/>
      </w:pPr>
      <w:r w:rsidRPr="692E7A2C">
        <w:rPr>
          <w:rFonts w:ascii="Aptos" w:hAnsi="Aptos" w:eastAsia="Aptos" w:cs="Aptos"/>
        </w:rPr>
        <w:t>In conclusion, my placement at Evolve Swansea has provided valuable insights into the role of youth work within communities such as Morriston and Brynhyfryd. Through direct experience, I have observed how youth services create safe and supportive environments that address key issues faced by young people, including mental health challenges, social isolation, and barriers to education and employment. The importance of building trusting relationships and offering inclusive activities aligns with youth work principles that emphasize empowerment, participation, and respect for young people’s voices (Jeffs &amp; Smith, 2005; Shaw, 2015). This placement has strengthened my understanding of how youth work can make a tangible difference in young people’s lives by fostering resilience and social inclusion. It has also highlighted the need for ongoing professional development and reflective practice to adapt effectively to the diverse needs of young people (Gibbs, 1988; Kolb, 1984). Overall, this experience has deepened my commitment to pursuing a career in youth work and supporting young people in meaningful ways.</w:t>
      </w:r>
    </w:p>
    <w:p w:rsidR="692E7A2C" w:rsidP="692E7A2C" w:rsidRDefault="692E7A2C" w14:paraId="56732A71" w14:textId="1C460916">
      <w:pPr>
        <w:rPr>
          <w:rFonts w:ascii="Aptos" w:hAnsi="Aptos" w:eastAsia="Aptos" w:cs="Aptos"/>
          <w:b/>
          <w:bCs/>
          <w:color w:val="153D63" w:themeColor="text2" w:themeTint="E6"/>
        </w:rPr>
      </w:pPr>
    </w:p>
    <w:p w:rsidR="5E21A645" w:rsidRDefault="5E21A645" w14:paraId="45B85868" w14:textId="36FCCE45">
      <w:r w:rsidRPr="692E7A2C">
        <w:rPr>
          <w:i/>
          <w:iCs/>
          <w:color w:val="153D63" w:themeColor="text2" w:themeTint="E6"/>
          <w:u w:val="single"/>
        </w:rPr>
        <w:t>REFERANCES</w:t>
      </w:r>
    </w:p>
    <w:p w:rsidR="04E1165B" w:rsidP="692E7A2C" w:rsidRDefault="04E1165B" w14:paraId="4823CD0D" w14:textId="11F4BE4F">
      <w:pPr>
        <w:spacing w:before="240" w:after="240"/>
      </w:pPr>
      <w:r w:rsidRPr="692E7A2C">
        <w:rPr>
          <w:rFonts w:ascii="Aptos" w:hAnsi="Aptos" w:eastAsia="Aptos" w:cs="Aptos"/>
          <w:sz w:val="22"/>
          <w:szCs w:val="22"/>
        </w:rPr>
        <w:t xml:space="preserve">City &amp; County of Swansea (2024) Ward Profiles: Morriston. Available at: </w:t>
      </w:r>
      <w:hyperlink r:id="rId19">
        <w:r w:rsidRPr="692E7A2C">
          <w:rPr>
            <w:rStyle w:val="Hyperlink"/>
            <w:rFonts w:ascii="Aptos" w:hAnsi="Aptos" w:eastAsia="Aptos" w:cs="Aptos"/>
            <w:sz w:val="22"/>
            <w:szCs w:val="22"/>
          </w:rPr>
          <w:t>https://www.swansea.gov.uk/wardprofiles</w:t>
        </w:r>
      </w:hyperlink>
      <w:r w:rsidRPr="692E7A2C">
        <w:rPr>
          <w:rFonts w:ascii="Aptos" w:hAnsi="Aptos" w:eastAsia="Aptos" w:cs="Aptos"/>
          <w:sz w:val="22"/>
          <w:szCs w:val="22"/>
        </w:rPr>
        <w:t xml:space="preserve"> (Accessed: 30 July 2025).</w:t>
      </w:r>
    </w:p>
    <w:p w:rsidR="04E1165B" w:rsidP="692E7A2C" w:rsidRDefault="04E1165B" w14:paraId="5DCF5698" w14:textId="4F3163D6">
      <w:pPr>
        <w:spacing w:before="240" w:after="240"/>
      </w:pPr>
      <w:r w:rsidRPr="692E7A2C">
        <w:rPr>
          <w:rFonts w:ascii="Aptos" w:hAnsi="Aptos" w:eastAsia="Aptos" w:cs="Aptos"/>
          <w:sz w:val="22"/>
          <w:szCs w:val="22"/>
        </w:rPr>
        <w:t>Jeffs, T. and Smith, M.K. (2005) Informal Education: Conversation, democracy and learning, 3rd ed. Nottingham: Educational Heretics Press.</w:t>
      </w:r>
    </w:p>
    <w:p w:rsidR="04E1165B" w:rsidP="692E7A2C" w:rsidRDefault="04E1165B" w14:paraId="5D695077" w14:textId="295A177E">
      <w:pPr>
        <w:spacing w:before="240" w:after="240"/>
      </w:pPr>
      <w:r w:rsidRPr="692E7A2C">
        <w:rPr>
          <w:rFonts w:ascii="Aptos" w:hAnsi="Aptos" w:eastAsia="Aptos" w:cs="Aptos"/>
          <w:sz w:val="22"/>
          <w:szCs w:val="22"/>
        </w:rPr>
        <w:t>Gibbs, G. (1988) Learning by Doing: A Guide to Teaching and Learning Methods. Oxford Polytechnic.</w:t>
      </w:r>
    </w:p>
    <w:p w:rsidR="04E1165B" w:rsidP="692E7A2C" w:rsidRDefault="04E1165B" w14:paraId="62AC1518" w14:textId="38C48B86">
      <w:pPr>
        <w:spacing w:before="240" w:after="240"/>
      </w:pPr>
      <w:r w:rsidRPr="692E7A2C">
        <w:rPr>
          <w:rFonts w:ascii="Aptos" w:hAnsi="Aptos" w:eastAsia="Aptos" w:cs="Aptos"/>
          <w:sz w:val="22"/>
          <w:szCs w:val="22"/>
        </w:rPr>
        <w:t>Kolb, D. A. (1984) Experiential Learning: Experience as the Source of Learning and Development. Prentice Hall.</w:t>
      </w:r>
    </w:p>
    <w:p w:rsidR="04E1165B" w:rsidP="692E7A2C" w:rsidRDefault="04E1165B" w14:paraId="529AD800" w14:textId="5C8ED5C8">
      <w:pPr>
        <w:spacing w:before="240" w:after="240"/>
      </w:pPr>
      <w:r w:rsidRPr="692E7A2C">
        <w:rPr>
          <w:rFonts w:ascii="Aptos" w:hAnsi="Aptos" w:eastAsia="Aptos" w:cs="Aptos"/>
          <w:sz w:val="22"/>
          <w:szCs w:val="22"/>
        </w:rPr>
        <w:t xml:space="preserve">Local Government Association (2022) Barriers to Accessing Youth Services. Available at: </w:t>
      </w:r>
      <w:hyperlink r:id="rId20">
        <w:r w:rsidRPr="692E7A2C">
          <w:rPr>
            <w:rStyle w:val="Hyperlink"/>
            <w:rFonts w:ascii="Aptos" w:hAnsi="Aptos" w:eastAsia="Aptos" w:cs="Aptos"/>
            <w:sz w:val="22"/>
            <w:szCs w:val="22"/>
          </w:rPr>
          <w:t>https://www.local.gov.uk/publications/barriers-accessing-youth-services</w:t>
        </w:r>
      </w:hyperlink>
      <w:r w:rsidRPr="692E7A2C">
        <w:rPr>
          <w:rFonts w:ascii="Aptos" w:hAnsi="Aptos" w:eastAsia="Aptos" w:cs="Aptos"/>
          <w:sz w:val="22"/>
          <w:szCs w:val="22"/>
        </w:rPr>
        <w:t xml:space="preserve"> (Accessed: 31 July 2025).</w:t>
      </w:r>
    </w:p>
    <w:p w:rsidR="04E1165B" w:rsidP="692E7A2C" w:rsidRDefault="04E1165B" w14:paraId="66619B66" w14:textId="7E7ABC96">
      <w:pPr>
        <w:spacing w:before="240" w:after="240"/>
      </w:pPr>
      <w:r w:rsidRPr="692E7A2C">
        <w:rPr>
          <w:rFonts w:ascii="Aptos" w:hAnsi="Aptos" w:eastAsia="Aptos" w:cs="Aptos"/>
          <w:sz w:val="22"/>
          <w:szCs w:val="22"/>
        </w:rPr>
        <w:t xml:space="preserve">Mental Health Foundation (2023) Youth Mental Health Statistics. Available at: </w:t>
      </w:r>
      <w:hyperlink r:id="rId21">
        <w:r w:rsidRPr="692E7A2C">
          <w:rPr>
            <w:rStyle w:val="Hyperlink"/>
            <w:rFonts w:ascii="Aptos" w:hAnsi="Aptos" w:eastAsia="Aptos" w:cs="Aptos"/>
            <w:sz w:val="22"/>
            <w:szCs w:val="22"/>
          </w:rPr>
          <w:t>https://www.mentalhealth.org.uk/statistics/youth-mental-health</w:t>
        </w:r>
      </w:hyperlink>
      <w:r w:rsidRPr="692E7A2C">
        <w:rPr>
          <w:rFonts w:ascii="Aptos" w:hAnsi="Aptos" w:eastAsia="Aptos" w:cs="Aptos"/>
          <w:sz w:val="22"/>
          <w:szCs w:val="22"/>
        </w:rPr>
        <w:t xml:space="preserve"> (Accessed: 31 July 2025).</w:t>
      </w:r>
    </w:p>
    <w:p w:rsidR="04E1165B" w:rsidP="692E7A2C" w:rsidRDefault="04E1165B" w14:paraId="6F1FF96A" w14:textId="557395B6">
      <w:pPr>
        <w:spacing w:before="240" w:after="240"/>
      </w:pPr>
      <w:r w:rsidRPr="692E7A2C">
        <w:rPr>
          <w:rFonts w:ascii="Aptos" w:hAnsi="Aptos" w:eastAsia="Aptos" w:cs="Aptos"/>
          <w:sz w:val="22"/>
          <w:szCs w:val="22"/>
        </w:rPr>
        <w:t>Shaw, M. (2015) Empowering Young People: Youth Work and Participation. Routledge.</w:t>
      </w:r>
    </w:p>
    <w:p w:rsidR="04E1165B" w:rsidP="692E7A2C" w:rsidRDefault="04E1165B" w14:paraId="6B783A4E" w14:textId="0BC98503">
      <w:pPr>
        <w:spacing w:before="240" w:after="240"/>
      </w:pPr>
      <w:r w:rsidRPr="692E7A2C">
        <w:rPr>
          <w:rFonts w:ascii="Aptos" w:hAnsi="Aptos" w:eastAsia="Aptos" w:cs="Aptos"/>
          <w:sz w:val="22"/>
          <w:szCs w:val="22"/>
        </w:rPr>
        <w:t xml:space="preserve">Smith, M.K. (2003) ‘What is youth work?’ The Encyclopedia of Informal Education. Available at: </w:t>
      </w:r>
      <w:hyperlink r:id="rId22">
        <w:r w:rsidRPr="692E7A2C">
          <w:rPr>
            <w:rStyle w:val="Hyperlink"/>
            <w:rFonts w:ascii="Aptos" w:hAnsi="Aptos" w:eastAsia="Aptos" w:cs="Aptos"/>
            <w:sz w:val="22"/>
            <w:szCs w:val="22"/>
          </w:rPr>
          <w:t>www.infed.org</w:t>
        </w:r>
      </w:hyperlink>
      <w:r w:rsidRPr="692E7A2C">
        <w:rPr>
          <w:rFonts w:ascii="Aptos" w:hAnsi="Aptos" w:eastAsia="Aptos" w:cs="Aptos"/>
          <w:sz w:val="22"/>
          <w:szCs w:val="22"/>
        </w:rPr>
        <w:t xml:space="preserve"> (Accessed: 30 July 2025).</w:t>
      </w:r>
    </w:p>
    <w:p w:rsidR="04E1165B" w:rsidP="692E7A2C" w:rsidRDefault="04E1165B" w14:paraId="0E36CDBB" w14:textId="3E83062B">
      <w:pPr>
        <w:spacing w:before="240" w:after="240"/>
      </w:pPr>
      <w:r w:rsidRPr="692E7A2C">
        <w:rPr>
          <w:rFonts w:ascii="Aptos" w:hAnsi="Aptos" w:eastAsia="Aptos" w:cs="Aptos"/>
          <w:sz w:val="22"/>
          <w:szCs w:val="22"/>
        </w:rPr>
        <w:t xml:space="preserve">United Nations (1989) Convention on the Rights of the Child. Available at: </w:t>
      </w:r>
      <w:hyperlink r:id="rId23">
        <w:r w:rsidRPr="692E7A2C">
          <w:rPr>
            <w:rStyle w:val="Hyperlink"/>
            <w:rFonts w:ascii="Aptos" w:hAnsi="Aptos" w:eastAsia="Aptos" w:cs="Aptos"/>
            <w:sz w:val="22"/>
            <w:szCs w:val="22"/>
          </w:rPr>
          <w:t>https://www.unicef.org.uk/what-we-do/un-convention-child-rights/</w:t>
        </w:r>
      </w:hyperlink>
      <w:r w:rsidRPr="692E7A2C">
        <w:rPr>
          <w:rFonts w:ascii="Aptos" w:hAnsi="Aptos" w:eastAsia="Aptos" w:cs="Aptos"/>
          <w:sz w:val="22"/>
          <w:szCs w:val="22"/>
        </w:rPr>
        <w:t xml:space="preserve"> (Accessed: 30 July 2025).</w:t>
      </w:r>
    </w:p>
    <w:p w:rsidR="04E1165B" w:rsidP="692E7A2C" w:rsidRDefault="04E1165B" w14:paraId="5A357BE6" w14:textId="2947F8D2">
      <w:pPr>
        <w:spacing w:before="240" w:after="240"/>
      </w:pPr>
      <w:r w:rsidRPr="692E7A2C">
        <w:rPr>
          <w:rFonts w:ascii="Aptos" w:hAnsi="Aptos" w:eastAsia="Aptos" w:cs="Aptos"/>
          <w:sz w:val="22"/>
          <w:szCs w:val="22"/>
        </w:rPr>
        <w:t xml:space="preserve">Welsh Government (2022) Welsh Index of Multiple Deprivation 2022. Available at: </w:t>
      </w:r>
      <w:hyperlink r:id="rId24">
        <w:r w:rsidRPr="692E7A2C">
          <w:rPr>
            <w:rStyle w:val="Hyperlink"/>
            <w:rFonts w:ascii="Aptos" w:hAnsi="Aptos" w:eastAsia="Aptos" w:cs="Aptos"/>
            <w:sz w:val="22"/>
            <w:szCs w:val="22"/>
          </w:rPr>
          <w:t>https://statswales.gov.wales/Catalogue/Community-Safety-and-Social-Inclusion/Welsh-Index-of-Multiple-Deprivation</w:t>
        </w:r>
      </w:hyperlink>
      <w:r w:rsidRPr="692E7A2C">
        <w:rPr>
          <w:rFonts w:ascii="Aptos" w:hAnsi="Aptos" w:eastAsia="Aptos" w:cs="Aptos"/>
          <w:sz w:val="22"/>
          <w:szCs w:val="22"/>
        </w:rPr>
        <w:t xml:space="preserve"> (Accessed: 30 July 2025).</w:t>
      </w:r>
    </w:p>
    <w:p w:rsidR="04E1165B" w:rsidP="692E7A2C" w:rsidRDefault="04E1165B" w14:paraId="53575830" w14:textId="613F0797">
      <w:pPr>
        <w:spacing w:before="240" w:after="240"/>
      </w:pPr>
      <w:r w:rsidRPr="692E7A2C">
        <w:rPr>
          <w:rFonts w:ascii="Aptos" w:hAnsi="Aptos" w:eastAsia="Aptos" w:cs="Aptos"/>
          <w:sz w:val="22"/>
          <w:szCs w:val="22"/>
        </w:rPr>
        <w:t>Young, K. (2006) The Art of Youth Work. 2nd edn. Lyme Regis: Russell House Publishing.</w:t>
      </w:r>
    </w:p>
    <w:p w:rsidR="04E1165B" w:rsidP="692E7A2C" w:rsidRDefault="04E1165B" w14:paraId="3A167807" w14:textId="4E69C41D">
      <w:pPr>
        <w:spacing w:before="240" w:after="240"/>
      </w:pPr>
      <w:r w:rsidRPr="692E7A2C">
        <w:rPr>
          <w:rFonts w:ascii="Aptos" w:hAnsi="Aptos" w:eastAsia="Aptos" w:cs="Aptos"/>
          <w:sz w:val="22"/>
          <w:szCs w:val="22"/>
        </w:rPr>
        <w:t xml:space="preserve">Youth Employment UK (2024) Youth Employment Challenges. Available at: </w:t>
      </w:r>
      <w:hyperlink r:id="rId25">
        <w:r w:rsidRPr="692E7A2C">
          <w:rPr>
            <w:rStyle w:val="Hyperlink"/>
            <w:rFonts w:ascii="Aptos" w:hAnsi="Aptos" w:eastAsia="Aptos" w:cs="Aptos"/>
            <w:sz w:val="22"/>
            <w:szCs w:val="22"/>
          </w:rPr>
          <w:t>https://www.youthemployment.org.uk/research/youth-employment-challenges/</w:t>
        </w:r>
      </w:hyperlink>
      <w:r w:rsidRPr="692E7A2C">
        <w:rPr>
          <w:rFonts w:ascii="Aptos" w:hAnsi="Aptos" w:eastAsia="Aptos" w:cs="Aptos"/>
          <w:sz w:val="22"/>
          <w:szCs w:val="22"/>
        </w:rPr>
        <w:t xml:space="preserve"> (Accessed: 31 July 2025).</w:t>
      </w:r>
    </w:p>
    <w:p w:rsidR="692E7A2C" w:rsidP="692E7A2C" w:rsidRDefault="692E7A2C" w14:paraId="602D8601" w14:textId="4A73B7FD">
      <w:pPr>
        <w:rPr>
          <w:sz w:val="22"/>
          <w:szCs w:val="22"/>
        </w:rPr>
      </w:pPr>
    </w:p>
    <w:p w:rsidR="004D20E9" w:rsidP="692E7A2C" w:rsidRDefault="004D20E9" w14:paraId="2CB7955B" w14:textId="09576C9A">
      <w:pPr>
        <w:rPr>
          <w:i/>
          <w:color w:val="153D63" w:themeColor="text2" w:themeTint="E6"/>
        </w:rPr>
      </w:pPr>
    </w:p>
    <w:sectPr w:rsidR="004D20E9">
      <w:headerReference w:type="default" r:id="rId26"/>
      <w:footerReference w:type="default" r:id="rId2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37957" w:rsidP="00C02D73" w:rsidRDefault="00437957" w14:paraId="4756E65D" w14:textId="77777777">
      <w:pPr>
        <w:spacing w:after="0" w:line="240" w:lineRule="auto"/>
      </w:pPr>
      <w:r>
        <w:separator/>
      </w:r>
    </w:p>
  </w:endnote>
  <w:endnote w:type="continuationSeparator" w:id="0">
    <w:p w:rsidR="00437957" w:rsidP="00C02D73" w:rsidRDefault="00437957" w14:paraId="354DC95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92E7A2C" w:rsidTr="692E7A2C" w14:paraId="3C15BA61" w14:textId="77777777">
      <w:trPr>
        <w:trHeight w:val="300"/>
      </w:trPr>
      <w:tc>
        <w:tcPr>
          <w:tcW w:w="3120" w:type="dxa"/>
        </w:tcPr>
        <w:p w:rsidR="692E7A2C" w:rsidP="692E7A2C" w:rsidRDefault="692E7A2C" w14:paraId="35D7E788" w14:textId="60EF4AD2">
          <w:pPr>
            <w:pStyle w:val="Header"/>
            <w:ind w:left="-115"/>
          </w:pPr>
        </w:p>
      </w:tc>
      <w:tc>
        <w:tcPr>
          <w:tcW w:w="3120" w:type="dxa"/>
        </w:tcPr>
        <w:p w:rsidR="692E7A2C" w:rsidP="692E7A2C" w:rsidRDefault="692E7A2C" w14:paraId="1507B63B" w14:textId="564E1658">
          <w:pPr>
            <w:pStyle w:val="Header"/>
            <w:jc w:val="center"/>
          </w:pPr>
        </w:p>
      </w:tc>
      <w:tc>
        <w:tcPr>
          <w:tcW w:w="3120" w:type="dxa"/>
        </w:tcPr>
        <w:p w:rsidR="692E7A2C" w:rsidP="692E7A2C" w:rsidRDefault="692E7A2C" w14:paraId="64CF459F" w14:textId="4B1A19A5">
          <w:pPr>
            <w:pStyle w:val="Header"/>
            <w:ind w:right="-115"/>
            <w:jc w:val="right"/>
          </w:pPr>
        </w:p>
      </w:tc>
    </w:tr>
  </w:tbl>
  <w:p w:rsidR="00C02D73" w:rsidRDefault="00C02D73" w14:paraId="5367E3A0" w14:textId="38AB2D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37957" w:rsidP="00C02D73" w:rsidRDefault="00437957" w14:paraId="45CAFE88" w14:textId="77777777">
      <w:pPr>
        <w:spacing w:after="0" w:line="240" w:lineRule="auto"/>
      </w:pPr>
      <w:r>
        <w:separator/>
      </w:r>
    </w:p>
  </w:footnote>
  <w:footnote w:type="continuationSeparator" w:id="0">
    <w:p w:rsidR="00437957" w:rsidP="00C02D73" w:rsidRDefault="00437957" w14:paraId="0FBE2BF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92E7A2C" w:rsidTr="692E7A2C" w14:paraId="2B959C90" w14:textId="77777777">
      <w:trPr>
        <w:trHeight w:val="300"/>
      </w:trPr>
      <w:tc>
        <w:tcPr>
          <w:tcW w:w="3120" w:type="dxa"/>
        </w:tcPr>
        <w:p w:rsidR="692E7A2C" w:rsidP="692E7A2C" w:rsidRDefault="692E7A2C" w14:paraId="55DCDE8A" w14:textId="79A9081B">
          <w:pPr>
            <w:pStyle w:val="Header"/>
            <w:ind w:left="-115"/>
          </w:pPr>
          <w:r>
            <w:t>2404639</w:t>
          </w:r>
        </w:p>
      </w:tc>
      <w:tc>
        <w:tcPr>
          <w:tcW w:w="3120" w:type="dxa"/>
        </w:tcPr>
        <w:p w:rsidR="692E7A2C" w:rsidP="692E7A2C" w:rsidRDefault="692E7A2C" w14:paraId="424FD6D1" w14:textId="6673C828">
          <w:pPr>
            <w:pStyle w:val="Header"/>
            <w:jc w:val="center"/>
          </w:pPr>
        </w:p>
      </w:tc>
      <w:tc>
        <w:tcPr>
          <w:tcW w:w="3120" w:type="dxa"/>
        </w:tcPr>
        <w:p w:rsidR="692E7A2C" w:rsidP="692E7A2C" w:rsidRDefault="692E7A2C" w14:paraId="315BA967" w14:textId="5E55FD8D">
          <w:pPr>
            <w:spacing w:before="120" w:after="120"/>
            <w:jc w:val="right"/>
            <w:rPr>
              <w:rFonts w:ascii="Arial" w:hAnsi="Arial" w:eastAsia="Arial" w:cs="Arial"/>
              <w:sz w:val="22"/>
              <w:szCs w:val="22"/>
            </w:rPr>
          </w:pPr>
          <w:r w:rsidRPr="692E7A2C">
            <w:rPr>
              <w:rFonts w:ascii="Arial" w:hAnsi="Arial" w:eastAsia="Arial" w:cs="Arial"/>
              <w:sz w:val="22"/>
              <w:szCs w:val="22"/>
            </w:rPr>
            <w:t>ECYW4006</w:t>
          </w:r>
        </w:p>
      </w:tc>
    </w:tr>
  </w:tbl>
  <w:p w:rsidR="00C02D73" w:rsidRDefault="00C02D73" w14:paraId="5D358C0B" w14:textId="467CD745">
    <w:pPr>
      <w:pStyle w:val="Header"/>
    </w:pPr>
  </w:p>
</w:hdr>
</file>

<file path=word/intelligence2.xml><?xml version="1.0" encoding="utf-8"?>
<int2:intelligence xmlns:int2="http://schemas.microsoft.com/office/intelligence/2020/intelligence" xmlns:oel="http://schemas.microsoft.com/office/2019/extlst">
  <int2:observations>
    <int2:textHash int2:hashCode="Dji+abMBs/wxDx" int2:id="8GGUAIbb">
      <int2:state int2:value="Rejected" int2:type="spell"/>
    </int2:textHash>
    <int2:textHash int2:hashCode="0ULwbkDCZF2lCW" int2:id="FrtTrOvN">
      <int2:state int2:value="Rejected" int2:type="spell"/>
    </int2:textHash>
    <int2:textHash int2:hashCode="851lA55vkcPnBI" int2:id="G4XbjF7g">
      <int2:state int2:value="Rejected" int2:type="spell"/>
    </int2:textHash>
    <int2:textHash int2:hashCode="siKS5vj3j5VKKc" int2:id="JNXlykgc">
      <int2:state int2:value="Rejected" int2:type="spell"/>
    </int2:textHash>
    <int2:textHash int2:hashCode="K9X7Xd4L2h5wl4" int2:id="RKTTuRrN">
      <int2:state int2:value="Rejected" int2:type="spell"/>
    </int2:textHash>
    <int2:textHash int2:hashCode="nRSox3TdiEm2GZ" int2:id="sFdtApe9">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DE0684"/>
    <w:multiLevelType w:val="hybridMultilevel"/>
    <w:tmpl w:val="FFFFFFFF"/>
    <w:lvl w:ilvl="0" w:tplc="96720322">
      <w:start w:val="1"/>
      <w:numFmt w:val="bullet"/>
      <w:lvlText w:val=""/>
      <w:lvlJc w:val="left"/>
      <w:pPr>
        <w:ind w:left="720" w:hanging="360"/>
      </w:pPr>
      <w:rPr>
        <w:rFonts w:hint="default" w:ascii="Symbol" w:hAnsi="Symbol"/>
      </w:rPr>
    </w:lvl>
    <w:lvl w:ilvl="1" w:tplc="A28E92FA">
      <w:start w:val="1"/>
      <w:numFmt w:val="bullet"/>
      <w:lvlText w:val="o"/>
      <w:lvlJc w:val="left"/>
      <w:pPr>
        <w:ind w:left="1440" w:hanging="360"/>
      </w:pPr>
      <w:rPr>
        <w:rFonts w:hint="default" w:ascii="Courier New" w:hAnsi="Courier New"/>
      </w:rPr>
    </w:lvl>
    <w:lvl w:ilvl="2" w:tplc="E860517E">
      <w:start w:val="1"/>
      <w:numFmt w:val="bullet"/>
      <w:lvlText w:val=""/>
      <w:lvlJc w:val="left"/>
      <w:pPr>
        <w:ind w:left="2160" w:hanging="360"/>
      </w:pPr>
      <w:rPr>
        <w:rFonts w:hint="default" w:ascii="Wingdings" w:hAnsi="Wingdings"/>
      </w:rPr>
    </w:lvl>
    <w:lvl w:ilvl="3" w:tplc="ADA2CBD0">
      <w:start w:val="1"/>
      <w:numFmt w:val="bullet"/>
      <w:lvlText w:val=""/>
      <w:lvlJc w:val="left"/>
      <w:pPr>
        <w:ind w:left="2880" w:hanging="360"/>
      </w:pPr>
      <w:rPr>
        <w:rFonts w:hint="default" w:ascii="Symbol" w:hAnsi="Symbol"/>
      </w:rPr>
    </w:lvl>
    <w:lvl w:ilvl="4" w:tplc="7C425132">
      <w:start w:val="1"/>
      <w:numFmt w:val="bullet"/>
      <w:lvlText w:val="o"/>
      <w:lvlJc w:val="left"/>
      <w:pPr>
        <w:ind w:left="3600" w:hanging="360"/>
      </w:pPr>
      <w:rPr>
        <w:rFonts w:hint="default" w:ascii="Courier New" w:hAnsi="Courier New"/>
      </w:rPr>
    </w:lvl>
    <w:lvl w:ilvl="5" w:tplc="4D484466">
      <w:start w:val="1"/>
      <w:numFmt w:val="bullet"/>
      <w:lvlText w:val=""/>
      <w:lvlJc w:val="left"/>
      <w:pPr>
        <w:ind w:left="4320" w:hanging="360"/>
      </w:pPr>
      <w:rPr>
        <w:rFonts w:hint="default" w:ascii="Wingdings" w:hAnsi="Wingdings"/>
      </w:rPr>
    </w:lvl>
    <w:lvl w:ilvl="6" w:tplc="79567102">
      <w:start w:val="1"/>
      <w:numFmt w:val="bullet"/>
      <w:lvlText w:val=""/>
      <w:lvlJc w:val="left"/>
      <w:pPr>
        <w:ind w:left="5040" w:hanging="360"/>
      </w:pPr>
      <w:rPr>
        <w:rFonts w:hint="default" w:ascii="Symbol" w:hAnsi="Symbol"/>
      </w:rPr>
    </w:lvl>
    <w:lvl w:ilvl="7" w:tplc="CB7607D0">
      <w:start w:val="1"/>
      <w:numFmt w:val="bullet"/>
      <w:lvlText w:val="o"/>
      <w:lvlJc w:val="left"/>
      <w:pPr>
        <w:ind w:left="5760" w:hanging="360"/>
      </w:pPr>
      <w:rPr>
        <w:rFonts w:hint="default" w:ascii="Courier New" w:hAnsi="Courier New"/>
      </w:rPr>
    </w:lvl>
    <w:lvl w:ilvl="8" w:tplc="1A465E6E">
      <w:start w:val="1"/>
      <w:numFmt w:val="bullet"/>
      <w:lvlText w:val=""/>
      <w:lvlJc w:val="left"/>
      <w:pPr>
        <w:ind w:left="6480" w:hanging="360"/>
      </w:pPr>
      <w:rPr>
        <w:rFonts w:hint="default" w:ascii="Wingdings" w:hAnsi="Wingdings"/>
      </w:rPr>
    </w:lvl>
  </w:abstractNum>
  <w:abstractNum w:abstractNumId="1" w15:restartNumberingAfterBreak="0">
    <w:nsid w:val="77D926BB"/>
    <w:multiLevelType w:val="hybridMultilevel"/>
    <w:tmpl w:val="FFFFFFFF"/>
    <w:lvl w:ilvl="0" w:tplc="34DEB65C">
      <w:start w:val="1"/>
      <w:numFmt w:val="bullet"/>
      <w:lvlText w:val=""/>
      <w:lvlJc w:val="left"/>
      <w:pPr>
        <w:ind w:left="720" w:hanging="360"/>
      </w:pPr>
      <w:rPr>
        <w:rFonts w:hint="default" w:ascii="Symbol" w:hAnsi="Symbol"/>
      </w:rPr>
    </w:lvl>
    <w:lvl w:ilvl="1" w:tplc="66DEE114">
      <w:start w:val="1"/>
      <w:numFmt w:val="bullet"/>
      <w:lvlText w:val="o"/>
      <w:lvlJc w:val="left"/>
      <w:pPr>
        <w:ind w:left="1440" w:hanging="360"/>
      </w:pPr>
      <w:rPr>
        <w:rFonts w:hint="default" w:ascii="Courier New" w:hAnsi="Courier New"/>
      </w:rPr>
    </w:lvl>
    <w:lvl w:ilvl="2" w:tplc="4746BFB8">
      <w:start w:val="1"/>
      <w:numFmt w:val="bullet"/>
      <w:lvlText w:val=""/>
      <w:lvlJc w:val="left"/>
      <w:pPr>
        <w:ind w:left="2160" w:hanging="360"/>
      </w:pPr>
      <w:rPr>
        <w:rFonts w:hint="default" w:ascii="Wingdings" w:hAnsi="Wingdings"/>
      </w:rPr>
    </w:lvl>
    <w:lvl w:ilvl="3" w:tplc="7150A788">
      <w:start w:val="1"/>
      <w:numFmt w:val="bullet"/>
      <w:lvlText w:val=""/>
      <w:lvlJc w:val="left"/>
      <w:pPr>
        <w:ind w:left="2880" w:hanging="360"/>
      </w:pPr>
      <w:rPr>
        <w:rFonts w:hint="default" w:ascii="Symbol" w:hAnsi="Symbol"/>
      </w:rPr>
    </w:lvl>
    <w:lvl w:ilvl="4" w:tplc="7FE29DDA">
      <w:start w:val="1"/>
      <w:numFmt w:val="bullet"/>
      <w:lvlText w:val="o"/>
      <w:lvlJc w:val="left"/>
      <w:pPr>
        <w:ind w:left="3600" w:hanging="360"/>
      </w:pPr>
      <w:rPr>
        <w:rFonts w:hint="default" w:ascii="Courier New" w:hAnsi="Courier New"/>
      </w:rPr>
    </w:lvl>
    <w:lvl w:ilvl="5" w:tplc="4AEA7C7C">
      <w:start w:val="1"/>
      <w:numFmt w:val="bullet"/>
      <w:lvlText w:val=""/>
      <w:lvlJc w:val="left"/>
      <w:pPr>
        <w:ind w:left="4320" w:hanging="360"/>
      </w:pPr>
      <w:rPr>
        <w:rFonts w:hint="default" w:ascii="Wingdings" w:hAnsi="Wingdings"/>
      </w:rPr>
    </w:lvl>
    <w:lvl w:ilvl="6" w:tplc="488C7E8A">
      <w:start w:val="1"/>
      <w:numFmt w:val="bullet"/>
      <w:lvlText w:val=""/>
      <w:lvlJc w:val="left"/>
      <w:pPr>
        <w:ind w:left="5040" w:hanging="360"/>
      </w:pPr>
      <w:rPr>
        <w:rFonts w:hint="default" w:ascii="Symbol" w:hAnsi="Symbol"/>
      </w:rPr>
    </w:lvl>
    <w:lvl w:ilvl="7" w:tplc="E92CCC08">
      <w:start w:val="1"/>
      <w:numFmt w:val="bullet"/>
      <w:lvlText w:val="o"/>
      <w:lvlJc w:val="left"/>
      <w:pPr>
        <w:ind w:left="5760" w:hanging="360"/>
      </w:pPr>
      <w:rPr>
        <w:rFonts w:hint="default" w:ascii="Courier New" w:hAnsi="Courier New"/>
      </w:rPr>
    </w:lvl>
    <w:lvl w:ilvl="8" w:tplc="0130CD34">
      <w:start w:val="1"/>
      <w:numFmt w:val="bullet"/>
      <w:lvlText w:val=""/>
      <w:lvlJc w:val="left"/>
      <w:pPr>
        <w:ind w:left="6480" w:hanging="360"/>
      </w:pPr>
      <w:rPr>
        <w:rFonts w:hint="default" w:ascii="Wingdings" w:hAnsi="Wingdings"/>
      </w:rPr>
    </w:lvl>
  </w:abstractNum>
  <w:num w:numId="1" w16cid:durableId="435751057">
    <w:abstractNumId w:val="0"/>
  </w:num>
  <w:num w:numId="2" w16cid:durableId="16103093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8B5DAFD"/>
    <w:rsid w:val="00027E29"/>
    <w:rsid w:val="00073033"/>
    <w:rsid w:val="000E27AE"/>
    <w:rsid w:val="00157B35"/>
    <w:rsid w:val="00170A52"/>
    <w:rsid w:val="00212891"/>
    <w:rsid w:val="002E019B"/>
    <w:rsid w:val="00415B5D"/>
    <w:rsid w:val="00437957"/>
    <w:rsid w:val="004A59D1"/>
    <w:rsid w:val="004B5CEF"/>
    <w:rsid w:val="004D20E9"/>
    <w:rsid w:val="00501BB8"/>
    <w:rsid w:val="00557C15"/>
    <w:rsid w:val="00594150"/>
    <w:rsid w:val="005D225F"/>
    <w:rsid w:val="005E7C84"/>
    <w:rsid w:val="00697C98"/>
    <w:rsid w:val="006B10DA"/>
    <w:rsid w:val="00754DC1"/>
    <w:rsid w:val="007D435C"/>
    <w:rsid w:val="00873908"/>
    <w:rsid w:val="009B3719"/>
    <w:rsid w:val="009B67F8"/>
    <w:rsid w:val="009D2AA0"/>
    <w:rsid w:val="00A03450"/>
    <w:rsid w:val="00A10863"/>
    <w:rsid w:val="00A4221D"/>
    <w:rsid w:val="00A54BC4"/>
    <w:rsid w:val="00A62339"/>
    <w:rsid w:val="00A81654"/>
    <w:rsid w:val="00B248A9"/>
    <w:rsid w:val="00C02D73"/>
    <w:rsid w:val="00CD493B"/>
    <w:rsid w:val="00D40309"/>
    <w:rsid w:val="00D51163"/>
    <w:rsid w:val="00E03821"/>
    <w:rsid w:val="00E318F4"/>
    <w:rsid w:val="00F7925D"/>
    <w:rsid w:val="00F93A48"/>
    <w:rsid w:val="0200779F"/>
    <w:rsid w:val="04A6AFF2"/>
    <w:rsid w:val="04E1165B"/>
    <w:rsid w:val="0563F3FA"/>
    <w:rsid w:val="08434D8F"/>
    <w:rsid w:val="09128C77"/>
    <w:rsid w:val="0A60AAB6"/>
    <w:rsid w:val="0A881E39"/>
    <w:rsid w:val="0AD6E001"/>
    <w:rsid w:val="0E3D0506"/>
    <w:rsid w:val="0F45A2CA"/>
    <w:rsid w:val="1120A121"/>
    <w:rsid w:val="1463ACCF"/>
    <w:rsid w:val="181D8116"/>
    <w:rsid w:val="19E9C13C"/>
    <w:rsid w:val="1AD95A43"/>
    <w:rsid w:val="1ED67C69"/>
    <w:rsid w:val="1F9D06BB"/>
    <w:rsid w:val="20B80DE7"/>
    <w:rsid w:val="21E519F2"/>
    <w:rsid w:val="22393882"/>
    <w:rsid w:val="250C381F"/>
    <w:rsid w:val="265CA169"/>
    <w:rsid w:val="27C6EE37"/>
    <w:rsid w:val="2E468EBB"/>
    <w:rsid w:val="2EFDE8DB"/>
    <w:rsid w:val="30154297"/>
    <w:rsid w:val="314C50E6"/>
    <w:rsid w:val="316D6CA7"/>
    <w:rsid w:val="332E3A20"/>
    <w:rsid w:val="33730AAE"/>
    <w:rsid w:val="35449EA6"/>
    <w:rsid w:val="37A087CD"/>
    <w:rsid w:val="38EE74B4"/>
    <w:rsid w:val="3A3FB696"/>
    <w:rsid w:val="3A84FF1B"/>
    <w:rsid w:val="3BD6C56D"/>
    <w:rsid w:val="3C246FB9"/>
    <w:rsid w:val="3C7AE048"/>
    <w:rsid w:val="3DAC83DB"/>
    <w:rsid w:val="40EF157C"/>
    <w:rsid w:val="40F13AF7"/>
    <w:rsid w:val="4357A722"/>
    <w:rsid w:val="4449D37A"/>
    <w:rsid w:val="46D90480"/>
    <w:rsid w:val="46F913E5"/>
    <w:rsid w:val="4960B13A"/>
    <w:rsid w:val="4986C0A6"/>
    <w:rsid w:val="4D64C97D"/>
    <w:rsid w:val="4DE03104"/>
    <w:rsid w:val="4F36C109"/>
    <w:rsid w:val="5134382C"/>
    <w:rsid w:val="5161E80E"/>
    <w:rsid w:val="55970FBC"/>
    <w:rsid w:val="561F4039"/>
    <w:rsid w:val="56380B2F"/>
    <w:rsid w:val="5A4B640F"/>
    <w:rsid w:val="5B3563A3"/>
    <w:rsid w:val="5BCCF63E"/>
    <w:rsid w:val="5E21A645"/>
    <w:rsid w:val="5F274997"/>
    <w:rsid w:val="5F63607F"/>
    <w:rsid w:val="60692F60"/>
    <w:rsid w:val="6086B0F2"/>
    <w:rsid w:val="616905BF"/>
    <w:rsid w:val="65123FAF"/>
    <w:rsid w:val="67EF296D"/>
    <w:rsid w:val="692E7A2C"/>
    <w:rsid w:val="6B06A3CC"/>
    <w:rsid w:val="6B0C87AD"/>
    <w:rsid w:val="6C2B7DD4"/>
    <w:rsid w:val="6D42CEBC"/>
    <w:rsid w:val="6D7FE6FD"/>
    <w:rsid w:val="6E1ACB95"/>
    <w:rsid w:val="6E1F9810"/>
    <w:rsid w:val="6F4D5797"/>
    <w:rsid w:val="6FE70B62"/>
    <w:rsid w:val="716E4F9E"/>
    <w:rsid w:val="72861527"/>
    <w:rsid w:val="759742DB"/>
    <w:rsid w:val="76994088"/>
    <w:rsid w:val="76AE145A"/>
    <w:rsid w:val="77C86A00"/>
    <w:rsid w:val="77DB2166"/>
    <w:rsid w:val="78B5DAFD"/>
    <w:rsid w:val="79440383"/>
    <w:rsid w:val="7C4EE074"/>
    <w:rsid w:val="7EACB93A"/>
    <w:rsid w:val="7F92D8A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5DAFD"/>
  <w15:chartTrackingRefBased/>
  <w15:docId w15:val="{9E3CACB7-157A-4921-8876-955783182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170A52"/>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170A52"/>
  </w:style>
  <w:style w:type="paragraph" w:styleId="Footer">
    <w:name w:val="footer"/>
    <w:basedOn w:val="Normal"/>
    <w:link w:val="FooterChar"/>
    <w:uiPriority w:val="99"/>
    <w:unhideWhenUsed/>
    <w:rsid w:val="00170A52"/>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170A52"/>
  </w:style>
  <w:style w:type="paragraph" w:styleId="Title">
    <w:name w:val="Title"/>
    <w:basedOn w:val="Normal"/>
    <w:next w:val="Normal"/>
    <w:link w:val="TitleChar"/>
    <w:uiPriority w:val="10"/>
    <w:qFormat/>
    <w:rsid w:val="00C02D73"/>
    <w:pPr>
      <w:spacing w:after="80" w:line="240" w:lineRule="auto"/>
      <w:contextualSpacing/>
    </w:pPr>
    <w:rPr>
      <w:rFonts w:asciiTheme="majorHAnsi" w:hAnsiTheme="majorHAnsi" w:eastAsiaTheme="majorEastAsia" w:cstheme="majorBidi"/>
      <w:sz w:val="56"/>
      <w:szCs w:val="56"/>
    </w:rPr>
  </w:style>
  <w:style w:type="character" w:styleId="TitleChar" w:customStyle="1">
    <w:name w:val="Title Char"/>
    <w:basedOn w:val="DefaultParagraphFont"/>
    <w:link w:val="Title"/>
    <w:uiPriority w:val="10"/>
    <w:rsid w:val="00C02D73"/>
    <w:rPr>
      <w:rFonts w:asciiTheme="majorHAnsi" w:hAnsiTheme="majorHAnsi" w:eastAsiaTheme="majorEastAsia" w:cstheme="majorBidi"/>
      <w:sz w:val="56"/>
      <w:szCs w:val="56"/>
    </w:rPr>
  </w:style>
  <w:style w:type="character" w:styleId="SubtitleChar" w:customStyle="true">
    <w:uiPriority w:val="11"/>
    <w:name w:val="Subtitle Char"/>
    <w:basedOn w:val="DefaultParagraphFont"/>
    <w:rsid w:val="316D6CA7"/>
    <w:rPr>
      <w:rFonts w:eastAsia="ＭＳ ゴシック" w:cs="Times New Roman" w:eastAsiaTheme="majorEastAsia" w:cstheme="majorBidi"/>
      <w:color w:val="595959" w:themeColor="text1" w:themeTint="A6" w:themeShade="FF"/>
      <w:sz w:val="28"/>
      <w:szCs w:val="28"/>
    </w:rPr>
  </w:style>
  <w:style w:type="paragraph" w:styleId="Quote">
    <w:name w:val="Quote"/>
    <w:basedOn w:val="Normal"/>
    <w:next w:val="Normal"/>
    <w:link w:val="QuoteChar"/>
    <w:uiPriority w:val="29"/>
    <w:qFormat/>
    <w:rsid w:val="00C02D73"/>
    <w:pPr>
      <w:spacing w:before="160"/>
      <w:jc w:val="center"/>
    </w:pPr>
    <w:rPr>
      <w:i/>
      <w:iCs/>
      <w:color w:val="404040" w:themeColor="text1" w:themeTint="BF"/>
    </w:rPr>
  </w:style>
  <w:style w:type="character" w:styleId="QuoteChar" w:customStyle="1">
    <w:name w:val="Quote Char"/>
    <w:basedOn w:val="DefaultParagraphFont"/>
    <w:link w:val="Quote"/>
    <w:uiPriority w:val="29"/>
    <w:rsid w:val="00C02D73"/>
    <w:rPr>
      <w:i/>
      <w:iCs/>
      <w:color w:val="404040" w:themeColor="text1" w:themeTint="BF"/>
    </w:rPr>
  </w:style>
  <w:style w:type="paragraph" w:styleId="ListParagraph">
    <w:name w:val="List Paragraph"/>
    <w:basedOn w:val="Normal"/>
    <w:uiPriority w:val="34"/>
    <w:qFormat/>
    <w:rsid w:val="00C02D73"/>
    <w:pPr>
      <w:ind w:left="720"/>
      <w:contextualSpacing/>
    </w:pPr>
  </w:style>
  <w:style w:type="character" w:styleId="Hyperlink">
    <w:name w:val="Hyperlink"/>
    <w:basedOn w:val="DefaultParagraphFont"/>
    <w:uiPriority w:val="99"/>
    <w:unhideWhenUsed/>
    <w:rsid w:val="00C02D73"/>
    <w:rPr>
      <w:color w:val="467886"/>
      <w:u w:val="single"/>
    </w:rPr>
  </w:style>
  <w:style w:type="character" w:styleId="SubtleReference">
    <w:name w:val="Subtle Reference"/>
    <w:basedOn w:val="DefaultParagraphFont"/>
    <w:uiPriority w:val="31"/>
    <w:qFormat/>
    <w:rsid w:val="00C02D73"/>
    <w:rPr>
      <w:smallCaps/>
      <w:color w:val="5A5A5A"/>
    </w:rPr>
  </w:style>
  <w:style w:type="character" w:styleId="IntenseReference">
    <w:name w:val="Intense Reference"/>
    <w:basedOn w:val="DefaultParagraphFont"/>
    <w:uiPriority w:val="32"/>
    <w:qFormat/>
    <w:rsid w:val="00C02D73"/>
    <w:rPr>
      <w:b/>
      <w:bCs/>
      <w:smallCaps/>
      <w:color w:val="0F4761" w:themeColor="accent1" w:themeShade="BF"/>
    </w:rPr>
  </w:style>
  <w:style w:type="table" w:styleId="TableGrid">
    <w:name w:val="Table Grid"/>
    <w:basedOn w:val="TableNormal"/>
    <w:uiPriority w:val="59"/>
    <w:rsid w:val="00C02D7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eader" Target="header1.xml" Id="rId26" /><Relationship Type="http://schemas.openxmlformats.org/officeDocument/2006/relationships/settings" Target="settings.xml" Id="rId3" /><Relationship Type="http://schemas.openxmlformats.org/officeDocument/2006/relationships/hyperlink" Target="https://www.mentalhealth.org.uk/statistics/youth-mental-health" TargetMode="External" Id="rId21" /><Relationship Type="http://schemas.openxmlformats.org/officeDocument/2006/relationships/image" Target="media/image1.png" Id="rId7" /><Relationship Type="http://schemas.openxmlformats.org/officeDocument/2006/relationships/hyperlink" Target="https://www.astho.org/communications/blog/youth-are-in-crisis-we-can-help/" TargetMode="External" Id="rId12" /><Relationship Type="http://schemas.openxmlformats.org/officeDocument/2006/relationships/hyperlink" Target="https://www.youthemployment.org.uk/research/youth-employment-challenges/" TargetMode="External" Id="rId25" /><Relationship Type="http://schemas.openxmlformats.org/officeDocument/2006/relationships/styles" Target="styles.xml" Id="rId2" /><Relationship Type="http://schemas.openxmlformats.org/officeDocument/2006/relationships/hyperlink" Target="https://www.local.gov.uk/publications/barriers-accessing-youth-services" TargetMode="External" Id="rId20" /><Relationship Type="http://schemas.openxmlformats.org/officeDocument/2006/relationships/theme" Target="theme/theme1.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hyperlink" Target="https://statswales.gov.wales/Catalogue/Community-Safety-and-Social-Inclusion/Welsh-Index-of-Multiple-Deprivation" TargetMode="External" Id="rId24" /><Relationship Type="http://schemas.openxmlformats.org/officeDocument/2006/relationships/footnotes" Target="footnotes.xml" Id="rId5" /><Relationship Type="http://schemas.openxmlformats.org/officeDocument/2006/relationships/hyperlink" Target="https://www.unicef.org.uk/what-we-do/un-convention-child-rights/" TargetMode="External" Id="rId23" /><Relationship Type="http://schemas.openxmlformats.org/officeDocument/2006/relationships/fontTable" Target="fontTable.xml" Id="rId28" /><Relationship Type="http://schemas.openxmlformats.org/officeDocument/2006/relationships/image" Target="media/image4.png" Id="rId10" /><Relationship Type="http://schemas.openxmlformats.org/officeDocument/2006/relationships/hyperlink" Target="https://www.swansea.gov.uk/wardprofiles" TargetMode="External"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www.infed.org/" TargetMode="External" Id="rId22" /><Relationship Type="http://schemas.openxmlformats.org/officeDocument/2006/relationships/footer" Target="footer1.xml" Id="rId27" /><Relationship Type="http://schemas.microsoft.com/office/2020/10/relationships/intelligence" Target="intelligence2.xml" Id="rId30" /><Relationship Type="http://schemas.openxmlformats.org/officeDocument/2006/relationships/image" Target="/media/image7.png" Id="rId25337342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Deenah Zaakirah (2404639)</dc:creator>
  <keywords/>
  <dc:description/>
  <lastModifiedBy>Deenah Zaakirah (2404639)</lastModifiedBy>
  <revision>25</revision>
  <dcterms:created xsi:type="dcterms:W3CDTF">2025-07-30T20:17:00.0000000Z</dcterms:created>
  <dcterms:modified xsi:type="dcterms:W3CDTF">2025-07-31T01:21:24.2279688Z</dcterms:modified>
</coreProperties>
</file>