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682211" w14:textId="77777777" w:rsidR="002E560D" w:rsidRDefault="002E560D">
      <w:pPr>
        <w:rPr>
          <w:b/>
          <w:bCs/>
        </w:rPr>
      </w:pPr>
    </w:p>
    <w:p w14:paraId="45DD76B6" w14:textId="77777777" w:rsidR="002E560D" w:rsidRDefault="002E560D">
      <w:pPr>
        <w:rPr>
          <w:b/>
          <w:bCs/>
        </w:rPr>
      </w:pPr>
    </w:p>
    <w:p w14:paraId="4FDD6E84" w14:textId="77777777" w:rsidR="002E560D" w:rsidRDefault="002E560D">
      <w:pPr>
        <w:rPr>
          <w:b/>
          <w:bCs/>
        </w:rPr>
      </w:pPr>
    </w:p>
    <w:p w14:paraId="0EA9BC2C" w14:textId="77777777" w:rsidR="002E560D" w:rsidRDefault="002E560D">
      <w:pPr>
        <w:rPr>
          <w:b/>
          <w:bCs/>
        </w:rPr>
      </w:pPr>
    </w:p>
    <w:p w14:paraId="65EE948E" w14:textId="77777777" w:rsidR="002E560D" w:rsidRDefault="002E560D">
      <w:pPr>
        <w:rPr>
          <w:b/>
          <w:bCs/>
        </w:rPr>
      </w:pPr>
    </w:p>
    <w:p w14:paraId="20134BDB" w14:textId="77777777" w:rsidR="002E560D" w:rsidRDefault="002E560D">
      <w:pPr>
        <w:rPr>
          <w:b/>
          <w:bCs/>
        </w:rPr>
      </w:pPr>
    </w:p>
    <w:p w14:paraId="22BCF232" w14:textId="77777777" w:rsidR="002E560D" w:rsidRDefault="002E560D">
      <w:pPr>
        <w:rPr>
          <w:b/>
          <w:bCs/>
        </w:rPr>
      </w:pPr>
    </w:p>
    <w:p w14:paraId="487C7DEF" w14:textId="77777777" w:rsidR="002E560D" w:rsidRDefault="002E560D">
      <w:pPr>
        <w:rPr>
          <w:b/>
          <w:bCs/>
        </w:rPr>
      </w:pPr>
    </w:p>
    <w:p w14:paraId="49597AF7" w14:textId="77777777" w:rsidR="002E560D" w:rsidRDefault="002E560D">
      <w:pPr>
        <w:rPr>
          <w:b/>
          <w:bCs/>
        </w:rPr>
      </w:pPr>
    </w:p>
    <w:p w14:paraId="0FD3C08B" w14:textId="77777777" w:rsidR="002E560D" w:rsidRDefault="002E560D">
      <w:pPr>
        <w:rPr>
          <w:b/>
          <w:bCs/>
        </w:rPr>
      </w:pPr>
    </w:p>
    <w:p w14:paraId="5287F930" w14:textId="77777777" w:rsidR="002E560D" w:rsidRDefault="002E560D" w:rsidP="002E560D">
      <w:pPr>
        <w:jc w:val="center"/>
        <w:rPr>
          <w:rFonts w:ascii="Arial" w:hAnsi="Arial" w:cs="Arial"/>
          <w:b/>
          <w:sz w:val="36"/>
          <w:szCs w:val="36"/>
        </w:rPr>
      </w:pPr>
      <w:r w:rsidRPr="002E560D">
        <w:rPr>
          <w:rFonts w:ascii="Arial" w:eastAsia="Times New Roman" w:hAnsi="Arial" w:cs="Arial"/>
          <w:b/>
          <w:sz w:val="36"/>
          <w:szCs w:val="36"/>
        </w:rPr>
        <w:t>Module Title:</w:t>
      </w:r>
      <w:r w:rsidRPr="002E560D">
        <w:rPr>
          <w:rFonts w:ascii="Arial" w:hAnsi="Arial" w:cs="Arial"/>
          <w:b/>
          <w:sz w:val="36"/>
          <w:szCs w:val="36"/>
        </w:rPr>
        <w:t xml:space="preserve"> International Meetings Management for the Hotel Industry</w:t>
      </w:r>
    </w:p>
    <w:p w14:paraId="456F82F9" w14:textId="77777777" w:rsidR="002E560D" w:rsidRDefault="002E560D" w:rsidP="002E560D">
      <w:pPr>
        <w:jc w:val="center"/>
        <w:rPr>
          <w:rFonts w:ascii="Arial" w:hAnsi="Arial" w:cs="Arial"/>
          <w:b/>
          <w:sz w:val="36"/>
          <w:szCs w:val="36"/>
        </w:rPr>
      </w:pPr>
      <w:r w:rsidRPr="002E560D">
        <w:rPr>
          <w:rFonts w:ascii="Arial" w:eastAsia="Times New Roman" w:hAnsi="Arial" w:cs="Arial"/>
          <w:b/>
          <w:sz w:val="36"/>
          <w:szCs w:val="36"/>
        </w:rPr>
        <w:t>Module Code:</w:t>
      </w:r>
      <w:r w:rsidRPr="002E560D">
        <w:rPr>
          <w:rFonts w:ascii="Arial" w:hAnsi="Arial" w:cs="Arial"/>
          <w:b/>
          <w:sz w:val="36"/>
          <w:szCs w:val="36"/>
        </w:rPr>
        <w:t xml:space="preserve"> BMIH6007</w:t>
      </w:r>
    </w:p>
    <w:p w14:paraId="3181D88A" w14:textId="77777777" w:rsidR="00587994" w:rsidRPr="002E560D" w:rsidRDefault="00587994" w:rsidP="002E560D">
      <w:pPr>
        <w:jc w:val="center"/>
        <w:rPr>
          <w:rFonts w:ascii="Arial" w:eastAsia="Times New Roman" w:hAnsi="Arial" w:cs="Arial"/>
          <w:b/>
          <w:sz w:val="36"/>
          <w:szCs w:val="36"/>
        </w:rPr>
      </w:pPr>
    </w:p>
    <w:p w14:paraId="620070CF" w14:textId="77777777" w:rsidR="002E560D" w:rsidRPr="002E560D" w:rsidRDefault="002E560D" w:rsidP="002E560D">
      <w:pPr>
        <w:jc w:val="center"/>
        <w:rPr>
          <w:rFonts w:ascii="Arial" w:eastAsia="Times New Roman" w:hAnsi="Arial" w:cs="Arial"/>
          <w:b/>
          <w:sz w:val="36"/>
          <w:szCs w:val="36"/>
        </w:rPr>
      </w:pPr>
      <w:r w:rsidRPr="002E560D">
        <w:rPr>
          <w:rFonts w:ascii="Arial" w:eastAsia="Times New Roman" w:hAnsi="Arial" w:cs="Arial"/>
          <w:b/>
          <w:sz w:val="36"/>
          <w:szCs w:val="36"/>
        </w:rPr>
        <w:t>Student Name:</w:t>
      </w:r>
      <w:r w:rsidRPr="002E560D">
        <w:rPr>
          <w:rFonts w:ascii="Arial" w:hAnsi="Arial" w:cs="Arial"/>
          <w:b/>
          <w:color w:val="1F1F1F"/>
          <w:sz w:val="36"/>
          <w:szCs w:val="36"/>
          <w:shd w:val="clear" w:color="auto" w:fill="FFFFFF"/>
        </w:rPr>
        <w:t xml:space="preserve"> Nicolae Masca</w:t>
      </w:r>
    </w:p>
    <w:p w14:paraId="45F493AF" w14:textId="77777777" w:rsidR="002E560D" w:rsidRDefault="002E560D" w:rsidP="002E560D">
      <w:pPr>
        <w:jc w:val="center"/>
        <w:rPr>
          <w:rFonts w:ascii="Arial" w:eastAsia="Times New Roman" w:hAnsi="Arial" w:cs="Arial"/>
          <w:b/>
          <w:sz w:val="36"/>
          <w:szCs w:val="36"/>
        </w:rPr>
      </w:pPr>
      <w:r w:rsidRPr="002E560D">
        <w:rPr>
          <w:rFonts w:ascii="Arial" w:eastAsia="Times New Roman" w:hAnsi="Arial" w:cs="Arial"/>
          <w:b/>
          <w:sz w:val="36"/>
          <w:szCs w:val="36"/>
        </w:rPr>
        <w:t xml:space="preserve">Student ID: 2126875 </w:t>
      </w:r>
    </w:p>
    <w:p w14:paraId="512B83C7" w14:textId="77777777" w:rsidR="00587994" w:rsidRPr="002E560D" w:rsidRDefault="00587994" w:rsidP="002E560D">
      <w:pPr>
        <w:jc w:val="center"/>
        <w:rPr>
          <w:rFonts w:ascii="Arial" w:eastAsia="Times New Roman" w:hAnsi="Arial" w:cs="Arial"/>
          <w:b/>
          <w:sz w:val="36"/>
          <w:szCs w:val="36"/>
        </w:rPr>
      </w:pPr>
    </w:p>
    <w:p w14:paraId="52D27C49" w14:textId="77777777" w:rsidR="002E560D" w:rsidRPr="002E560D" w:rsidRDefault="002E560D" w:rsidP="002E560D">
      <w:pPr>
        <w:jc w:val="center"/>
        <w:rPr>
          <w:rFonts w:ascii="Arial" w:eastAsia="Times New Roman" w:hAnsi="Arial" w:cs="Arial"/>
          <w:b/>
          <w:sz w:val="36"/>
          <w:szCs w:val="36"/>
        </w:rPr>
      </w:pPr>
      <w:r w:rsidRPr="002E560D">
        <w:rPr>
          <w:rFonts w:ascii="Arial" w:eastAsia="Times New Roman" w:hAnsi="Arial" w:cs="Arial"/>
          <w:b/>
          <w:sz w:val="36"/>
          <w:szCs w:val="36"/>
        </w:rPr>
        <w:t>Lecturer: Jemma Smith</w:t>
      </w:r>
    </w:p>
    <w:p w14:paraId="56569132" w14:textId="77777777" w:rsidR="002E560D" w:rsidRPr="002E560D" w:rsidRDefault="002E560D">
      <w:pPr>
        <w:rPr>
          <w:rFonts w:ascii="Arial" w:hAnsi="Arial" w:cs="Arial"/>
          <w:b/>
          <w:bCs/>
        </w:rPr>
      </w:pPr>
    </w:p>
    <w:p w14:paraId="5B460959" w14:textId="77777777" w:rsidR="002E560D" w:rsidRDefault="002E560D">
      <w:pPr>
        <w:rPr>
          <w:b/>
          <w:bCs/>
        </w:rPr>
      </w:pPr>
    </w:p>
    <w:p w14:paraId="7032DE4B" w14:textId="77777777" w:rsidR="002E560D" w:rsidRDefault="002E560D">
      <w:pPr>
        <w:rPr>
          <w:b/>
          <w:bCs/>
        </w:rPr>
      </w:pPr>
    </w:p>
    <w:p w14:paraId="54A25B02" w14:textId="77777777" w:rsidR="002E560D" w:rsidRDefault="002E560D">
      <w:pPr>
        <w:rPr>
          <w:b/>
          <w:bCs/>
        </w:rPr>
      </w:pPr>
    </w:p>
    <w:p w14:paraId="190D63A7" w14:textId="77777777" w:rsidR="002E560D" w:rsidRDefault="002E560D">
      <w:pPr>
        <w:rPr>
          <w:b/>
          <w:bCs/>
        </w:rPr>
      </w:pPr>
    </w:p>
    <w:p w14:paraId="7B9AEE82" w14:textId="77777777" w:rsidR="002E560D" w:rsidRDefault="002E560D">
      <w:pPr>
        <w:rPr>
          <w:b/>
          <w:bCs/>
        </w:rPr>
      </w:pPr>
    </w:p>
    <w:p w14:paraId="4675F281" w14:textId="77777777" w:rsidR="002E560D" w:rsidRDefault="002E560D">
      <w:pPr>
        <w:rPr>
          <w:b/>
          <w:bCs/>
        </w:rPr>
      </w:pPr>
    </w:p>
    <w:p w14:paraId="3092BE56" w14:textId="77777777" w:rsidR="002E560D" w:rsidRDefault="002E560D">
      <w:pPr>
        <w:rPr>
          <w:b/>
          <w:bCs/>
        </w:rPr>
      </w:pPr>
    </w:p>
    <w:p w14:paraId="7CE9FCDB" w14:textId="77777777" w:rsidR="002E560D" w:rsidRDefault="002E560D">
      <w:pPr>
        <w:rPr>
          <w:b/>
          <w:bCs/>
        </w:rPr>
      </w:pPr>
    </w:p>
    <w:p w14:paraId="1CA3AA17" w14:textId="77777777" w:rsidR="002E560D" w:rsidRDefault="002E560D">
      <w:pPr>
        <w:rPr>
          <w:b/>
          <w:bCs/>
        </w:rPr>
      </w:pPr>
    </w:p>
    <w:p w14:paraId="017E4F06" w14:textId="77777777" w:rsidR="002E560D" w:rsidRDefault="002E560D">
      <w:pPr>
        <w:rPr>
          <w:b/>
          <w:bCs/>
        </w:rPr>
      </w:pPr>
    </w:p>
    <w:p w14:paraId="10F1E044" w14:textId="77777777" w:rsidR="00287CD8" w:rsidRDefault="00287CD8">
      <w:pPr>
        <w:rPr>
          <w:b/>
          <w:bCs/>
        </w:rPr>
      </w:pPr>
    </w:p>
    <w:p w14:paraId="62D5AC14" w14:textId="609360B5" w:rsidR="002E560D" w:rsidRDefault="002E560D">
      <w:pPr>
        <w:rPr>
          <w:b/>
          <w:bCs/>
        </w:rPr>
      </w:pPr>
      <w:r w:rsidRPr="002E560D">
        <w:rPr>
          <w:b/>
          <w:bCs/>
        </w:rPr>
        <w:t xml:space="preserve">Slide </w:t>
      </w:r>
      <w:r>
        <w:rPr>
          <w:b/>
          <w:bCs/>
        </w:rPr>
        <w:t>2</w:t>
      </w:r>
    </w:p>
    <w:p w14:paraId="18676304" w14:textId="6234B630" w:rsidR="00241AD1" w:rsidRDefault="00241AD1">
      <w:r>
        <w:rPr>
          <w:noProof/>
        </w:rPr>
        <w:drawing>
          <wp:inline distT="0" distB="0" distL="0" distR="0" wp14:anchorId="0C61DF01" wp14:editId="615A59D2">
            <wp:extent cx="5723890" cy="3188970"/>
            <wp:effectExtent l="0" t="0" r="0" b="0"/>
            <wp:docPr id="10479378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3890" cy="3188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772FDB" w14:textId="37179592" w:rsidR="00241AD1" w:rsidRPr="00241AD1" w:rsidRDefault="00241AD1" w:rsidP="00241AD1">
      <w:pPr>
        <w:rPr>
          <w:b/>
          <w:bCs/>
          <w:sz w:val="24"/>
          <w:szCs w:val="24"/>
        </w:rPr>
      </w:pPr>
      <w:r w:rsidRPr="00241AD1">
        <w:rPr>
          <w:b/>
          <w:bCs/>
          <w:sz w:val="24"/>
          <w:szCs w:val="24"/>
          <w:lang w:val="en-US"/>
        </w:rPr>
        <w:t xml:space="preserve">Welcome to 'Empowering Growth in the UK Tourism Industry’ </w:t>
      </w:r>
      <w:r w:rsidR="006B0054" w:rsidRPr="00241AD1">
        <w:rPr>
          <w:b/>
          <w:bCs/>
          <w:sz w:val="24"/>
          <w:szCs w:val="24"/>
          <w:lang w:val="en-US"/>
        </w:rPr>
        <w:t>Event!</w:t>
      </w:r>
    </w:p>
    <w:p w14:paraId="1C986742" w14:textId="78E7983D" w:rsidR="002E560D" w:rsidRPr="00287CD8" w:rsidRDefault="002E560D" w:rsidP="009966C6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287CD8">
        <w:rPr>
          <w:sz w:val="24"/>
          <w:szCs w:val="24"/>
        </w:rPr>
        <w:t>The feasibility plan concentrates on measuring the viability as well as profitability while establishing a business within a new location.</w:t>
      </w:r>
    </w:p>
    <w:p w14:paraId="546BF454" w14:textId="76621567" w:rsidR="002E560D" w:rsidRPr="00287CD8" w:rsidRDefault="002E560D" w:rsidP="009966C6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287CD8">
        <w:rPr>
          <w:sz w:val="24"/>
          <w:szCs w:val="24"/>
        </w:rPr>
        <w:t>Such a plan typically controls numerous factors comprising different governmental systems, marketplace circumstances, as well as cost structures.</w:t>
      </w:r>
    </w:p>
    <w:p w14:paraId="32B8642A" w14:textId="567C2BDD" w:rsidR="002E560D" w:rsidRPr="00287CD8" w:rsidRDefault="002E560D" w:rsidP="009966C6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287CD8">
        <w:rPr>
          <w:sz w:val="24"/>
          <w:szCs w:val="24"/>
        </w:rPr>
        <w:t xml:space="preserve">The </w:t>
      </w:r>
      <w:proofErr w:type="gramStart"/>
      <w:r w:rsidRPr="00287CD8">
        <w:rPr>
          <w:sz w:val="24"/>
          <w:szCs w:val="24"/>
        </w:rPr>
        <w:t>main focus</w:t>
      </w:r>
      <w:proofErr w:type="gramEnd"/>
      <w:r w:rsidRPr="00287CD8">
        <w:rPr>
          <w:sz w:val="24"/>
          <w:szCs w:val="24"/>
        </w:rPr>
        <w:t xml:space="preserve"> of this presentation is the technology along with innovation inside the tourism business.</w:t>
      </w:r>
    </w:p>
    <w:p w14:paraId="61B623E7" w14:textId="77777777" w:rsidR="002E560D" w:rsidRDefault="002E560D"/>
    <w:p w14:paraId="19DCA221" w14:textId="77777777" w:rsidR="002E560D" w:rsidRDefault="002E560D"/>
    <w:p w14:paraId="2272A085" w14:textId="77777777" w:rsidR="002E560D" w:rsidRDefault="002E560D"/>
    <w:p w14:paraId="5D91F1CF" w14:textId="77777777" w:rsidR="002E560D" w:rsidRDefault="002E560D"/>
    <w:p w14:paraId="0416FC3D" w14:textId="77777777" w:rsidR="002E560D" w:rsidRDefault="002E560D"/>
    <w:p w14:paraId="60FC828F" w14:textId="77777777" w:rsidR="002E560D" w:rsidRDefault="002E560D"/>
    <w:p w14:paraId="205BDD61" w14:textId="77777777" w:rsidR="002E560D" w:rsidRDefault="002E560D"/>
    <w:p w14:paraId="1EA8935A" w14:textId="77777777" w:rsidR="002E560D" w:rsidRDefault="002E560D"/>
    <w:p w14:paraId="09FE0BA5" w14:textId="77777777" w:rsidR="002E560D" w:rsidRDefault="002E560D"/>
    <w:p w14:paraId="2042A483" w14:textId="77777777" w:rsidR="002E560D" w:rsidRDefault="002E560D"/>
    <w:p w14:paraId="293CDB89" w14:textId="77777777" w:rsidR="002E560D" w:rsidRDefault="002E560D"/>
    <w:p w14:paraId="1A4A4E93" w14:textId="77777777" w:rsidR="002E560D" w:rsidRDefault="002E560D"/>
    <w:p w14:paraId="1E8DB026" w14:textId="00FE9271" w:rsidR="002E560D" w:rsidRDefault="002E560D">
      <w:pPr>
        <w:rPr>
          <w:b/>
          <w:bCs/>
        </w:rPr>
      </w:pPr>
      <w:r w:rsidRPr="002E560D">
        <w:rPr>
          <w:b/>
          <w:bCs/>
        </w:rPr>
        <w:lastRenderedPageBreak/>
        <w:t>Slide 3</w:t>
      </w:r>
    </w:p>
    <w:p w14:paraId="3CCA648B" w14:textId="3B7FF260" w:rsidR="002E560D" w:rsidRDefault="002E560D">
      <w:pPr>
        <w:rPr>
          <w:b/>
          <w:bCs/>
        </w:rPr>
      </w:pPr>
      <w:r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</w:rPr>
        <w:drawing>
          <wp:inline distT="0" distB="0" distL="0" distR="0" wp14:anchorId="36822A76" wp14:editId="0D396FAA">
            <wp:extent cx="5731510" cy="3223639"/>
            <wp:effectExtent l="0" t="0" r="2540" b="0"/>
            <wp:docPr id="1581156972" name="Picture 2" descr="A calendar with people standing around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1156972" name="Picture 2" descr="A calendar with people standing around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6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0B6311" w14:textId="2BB351C2" w:rsidR="00287CD8" w:rsidRPr="00287CD8" w:rsidRDefault="00287CD8" w:rsidP="00287CD8">
      <w:pPr>
        <w:rPr>
          <w:rFonts w:ascii="Arial" w:hAnsi="Arial" w:cs="Arial"/>
          <w:b/>
          <w:bCs/>
          <w:sz w:val="24"/>
          <w:szCs w:val="24"/>
        </w:rPr>
      </w:pPr>
      <w:r w:rsidRPr="00287CD8">
        <w:rPr>
          <w:rFonts w:ascii="Arial" w:hAnsi="Arial" w:cs="Arial"/>
          <w:b/>
          <w:bCs/>
          <w:sz w:val="24"/>
          <w:szCs w:val="24"/>
        </w:rPr>
        <w:t>Event Overview</w:t>
      </w:r>
    </w:p>
    <w:p w14:paraId="501F9992" w14:textId="7E3C36B3" w:rsidR="002E560D" w:rsidRPr="00287CD8" w:rsidRDefault="002E560D" w:rsidP="009966C6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287CD8">
        <w:rPr>
          <w:rFonts w:ascii="Arial" w:hAnsi="Arial" w:cs="Arial"/>
          <w:sz w:val="24"/>
          <w:szCs w:val="24"/>
        </w:rPr>
        <w:t>The major purpose of conducting this event is to bring innovation within the tourism business in the UK by leveraging several technologies along with tools.</w:t>
      </w:r>
    </w:p>
    <w:p w14:paraId="7D7863E9" w14:textId="6D5E2DC8" w:rsidR="002E560D" w:rsidRPr="00287CD8" w:rsidRDefault="002E560D" w:rsidP="009966C6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287CD8">
        <w:rPr>
          <w:rFonts w:ascii="Arial" w:hAnsi="Arial" w:cs="Arial"/>
          <w:sz w:val="24"/>
          <w:szCs w:val="24"/>
        </w:rPr>
        <w:t>The idea of these technologies in tourism business operations will be shared which is the main agenda of the event.</w:t>
      </w:r>
    </w:p>
    <w:p w14:paraId="15209B13" w14:textId="510F5082" w:rsidR="002E560D" w:rsidRPr="00287CD8" w:rsidRDefault="002E560D" w:rsidP="009966C6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287CD8">
        <w:rPr>
          <w:rFonts w:ascii="Arial" w:hAnsi="Arial" w:cs="Arial"/>
          <w:sz w:val="24"/>
          <w:szCs w:val="24"/>
        </w:rPr>
        <w:t>With the help of the session the productivity level of the employees, business leaders and other essential stakeholders will be increased considerably.</w:t>
      </w:r>
    </w:p>
    <w:p w14:paraId="687EAC72" w14:textId="77777777" w:rsidR="002E560D" w:rsidRPr="00287CD8" w:rsidRDefault="002E560D">
      <w:pPr>
        <w:rPr>
          <w:rFonts w:ascii="Arial" w:hAnsi="Arial" w:cs="Arial"/>
          <w:sz w:val="24"/>
          <w:szCs w:val="24"/>
        </w:rPr>
      </w:pPr>
    </w:p>
    <w:p w14:paraId="4D42D2DE" w14:textId="77777777" w:rsidR="002E560D" w:rsidRDefault="002E560D">
      <w:pPr>
        <w:rPr>
          <w:rFonts w:ascii="Arial" w:hAnsi="Arial" w:cs="Arial"/>
        </w:rPr>
      </w:pPr>
    </w:p>
    <w:p w14:paraId="011186DC" w14:textId="77777777" w:rsidR="002E560D" w:rsidRDefault="002E560D">
      <w:pPr>
        <w:rPr>
          <w:rFonts w:ascii="Arial" w:hAnsi="Arial" w:cs="Arial"/>
        </w:rPr>
      </w:pPr>
    </w:p>
    <w:p w14:paraId="03C2645A" w14:textId="77777777" w:rsidR="002E560D" w:rsidRDefault="002E560D">
      <w:pPr>
        <w:rPr>
          <w:rFonts w:ascii="Arial" w:hAnsi="Arial" w:cs="Arial"/>
        </w:rPr>
      </w:pPr>
    </w:p>
    <w:p w14:paraId="69387895" w14:textId="77777777" w:rsidR="002E560D" w:rsidRDefault="002E560D">
      <w:pPr>
        <w:rPr>
          <w:rFonts w:ascii="Arial" w:hAnsi="Arial" w:cs="Arial"/>
        </w:rPr>
      </w:pPr>
    </w:p>
    <w:p w14:paraId="08D44765" w14:textId="77777777" w:rsidR="002E560D" w:rsidRDefault="002E560D">
      <w:pPr>
        <w:rPr>
          <w:rFonts w:ascii="Arial" w:hAnsi="Arial" w:cs="Arial"/>
        </w:rPr>
      </w:pPr>
    </w:p>
    <w:p w14:paraId="35B7640B" w14:textId="77777777" w:rsidR="002E560D" w:rsidRDefault="002E560D">
      <w:pPr>
        <w:rPr>
          <w:rFonts w:ascii="Arial" w:hAnsi="Arial" w:cs="Arial"/>
        </w:rPr>
      </w:pPr>
    </w:p>
    <w:p w14:paraId="44B4E38F" w14:textId="77777777" w:rsidR="002E560D" w:rsidRDefault="002E560D">
      <w:pPr>
        <w:rPr>
          <w:rFonts w:ascii="Arial" w:hAnsi="Arial" w:cs="Arial"/>
        </w:rPr>
      </w:pPr>
    </w:p>
    <w:p w14:paraId="69782986" w14:textId="77777777" w:rsidR="002E560D" w:rsidRDefault="002E560D">
      <w:pPr>
        <w:rPr>
          <w:rFonts w:ascii="Arial" w:hAnsi="Arial" w:cs="Arial"/>
        </w:rPr>
      </w:pPr>
    </w:p>
    <w:p w14:paraId="7A721429" w14:textId="77777777" w:rsidR="002E560D" w:rsidRDefault="002E560D">
      <w:pPr>
        <w:rPr>
          <w:rFonts w:ascii="Arial" w:hAnsi="Arial" w:cs="Arial"/>
        </w:rPr>
      </w:pPr>
    </w:p>
    <w:p w14:paraId="0F88650A" w14:textId="77777777" w:rsidR="002E560D" w:rsidRDefault="002E560D">
      <w:pPr>
        <w:rPr>
          <w:rFonts w:ascii="Arial" w:hAnsi="Arial" w:cs="Arial"/>
        </w:rPr>
      </w:pPr>
    </w:p>
    <w:p w14:paraId="49FDFD25" w14:textId="77777777" w:rsidR="002E560D" w:rsidRDefault="002E560D">
      <w:pPr>
        <w:rPr>
          <w:rFonts w:ascii="Arial" w:hAnsi="Arial" w:cs="Arial"/>
        </w:rPr>
      </w:pPr>
    </w:p>
    <w:p w14:paraId="513DFBA2" w14:textId="77777777" w:rsidR="00287CD8" w:rsidRDefault="00287CD8">
      <w:pPr>
        <w:rPr>
          <w:rFonts w:ascii="Arial" w:hAnsi="Arial" w:cs="Arial"/>
          <w:b/>
          <w:bCs/>
        </w:rPr>
      </w:pPr>
    </w:p>
    <w:p w14:paraId="714643C7" w14:textId="3AB51D9E" w:rsidR="002E560D" w:rsidRPr="00287CD8" w:rsidRDefault="002E560D">
      <w:pPr>
        <w:rPr>
          <w:rFonts w:ascii="Arial" w:hAnsi="Arial" w:cs="Arial"/>
          <w:b/>
          <w:bCs/>
        </w:rPr>
      </w:pPr>
      <w:r w:rsidRPr="00287CD8">
        <w:rPr>
          <w:rFonts w:ascii="Arial" w:hAnsi="Arial" w:cs="Arial"/>
          <w:b/>
          <w:bCs/>
        </w:rPr>
        <w:lastRenderedPageBreak/>
        <w:t>Slide 4</w:t>
      </w:r>
    </w:p>
    <w:p w14:paraId="4FD89B14" w14:textId="43C21B5E" w:rsidR="002E560D" w:rsidRDefault="002E560D">
      <w:pPr>
        <w:rPr>
          <w:rFonts w:ascii="Arial" w:hAnsi="Arial" w:cs="Arial"/>
        </w:rPr>
      </w:pPr>
      <w:r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</w:rPr>
        <w:drawing>
          <wp:inline distT="0" distB="0" distL="0" distR="0" wp14:anchorId="08A0BB78" wp14:editId="106BA8DA">
            <wp:extent cx="5731510" cy="3223639"/>
            <wp:effectExtent l="0" t="0" r="2540" b="0"/>
            <wp:docPr id="892750270" name="Picture 1" descr="A close-up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2750270" name="Picture 1" descr="A close-up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6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1EC8F2" w14:textId="77777777" w:rsidR="002E560D" w:rsidRPr="00287CD8" w:rsidRDefault="002E560D" w:rsidP="002E560D">
      <w:pPr>
        <w:rPr>
          <w:rFonts w:ascii="Arial" w:hAnsi="Arial" w:cs="Arial"/>
          <w:b/>
          <w:bCs/>
          <w:sz w:val="24"/>
          <w:szCs w:val="24"/>
          <w:lang w:val="en-US"/>
        </w:rPr>
      </w:pPr>
      <w:r w:rsidRPr="002E560D">
        <w:rPr>
          <w:rFonts w:ascii="Arial" w:hAnsi="Arial" w:cs="Arial"/>
          <w:b/>
          <w:bCs/>
          <w:sz w:val="24"/>
          <w:szCs w:val="24"/>
          <w:lang w:val="en-US"/>
        </w:rPr>
        <w:t>Market Factors</w:t>
      </w:r>
    </w:p>
    <w:p w14:paraId="48FEB83F" w14:textId="3E9C9C27" w:rsidR="002E560D" w:rsidRPr="00287CD8" w:rsidRDefault="002E560D" w:rsidP="009966C6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287CD8">
        <w:rPr>
          <w:rFonts w:ascii="Arial" w:hAnsi="Arial" w:cs="Arial"/>
          <w:sz w:val="24"/>
          <w:szCs w:val="24"/>
        </w:rPr>
        <w:t xml:space="preserve">The main target audience will be the experts and stakeholders within the hospitality </w:t>
      </w:r>
      <w:proofErr w:type="gramStart"/>
      <w:r w:rsidRPr="00287CD8">
        <w:rPr>
          <w:rFonts w:ascii="Arial" w:hAnsi="Arial" w:cs="Arial"/>
          <w:sz w:val="24"/>
          <w:szCs w:val="24"/>
        </w:rPr>
        <w:t>industry</w:t>
      </w:r>
      <w:proofErr w:type="gramEnd"/>
    </w:p>
    <w:p w14:paraId="5A6FF103" w14:textId="36188CDF" w:rsidR="002E560D" w:rsidRPr="00287CD8" w:rsidRDefault="002E560D" w:rsidP="009966C6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287CD8">
        <w:rPr>
          <w:rFonts w:ascii="Arial" w:hAnsi="Arial" w:cs="Arial"/>
          <w:sz w:val="24"/>
          <w:szCs w:val="24"/>
        </w:rPr>
        <w:t>Technological advancement is getting extreme popularity and the market demand for this is very high.</w:t>
      </w:r>
    </w:p>
    <w:p w14:paraId="567E5D34" w14:textId="2ABDFB01" w:rsidR="002E560D" w:rsidRPr="00287CD8" w:rsidRDefault="002E560D" w:rsidP="009966C6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 w:rsidRPr="00287CD8">
        <w:rPr>
          <w:rFonts w:ascii="Arial" w:hAnsi="Arial" w:cs="Arial"/>
          <w:sz w:val="24"/>
          <w:szCs w:val="24"/>
        </w:rPr>
        <w:t>Other events regarding the same technological innovation theme could impact the current event.</w:t>
      </w:r>
    </w:p>
    <w:p w14:paraId="68FB7BF9" w14:textId="77777777" w:rsidR="002E560D" w:rsidRDefault="002E560D">
      <w:pPr>
        <w:rPr>
          <w:rFonts w:ascii="Arial" w:hAnsi="Arial" w:cs="Arial"/>
        </w:rPr>
      </w:pPr>
    </w:p>
    <w:p w14:paraId="241114BA" w14:textId="77777777" w:rsidR="002E560D" w:rsidRDefault="002E560D">
      <w:pPr>
        <w:rPr>
          <w:rFonts w:ascii="Arial" w:hAnsi="Arial" w:cs="Arial"/>
        </w:rPr>
      </w:pPr>
    </w:p>
    <w:p w14:paraId="59EFC054" w14:textId="77777777" w:rsidR="002E560D" w:rsidRDefault="002E560D">
      <w:pPr>
        <w:rPr>
          <w:rFonts w:ascii="Arial" w:hAnsi="Arial" w:cs="Arial"/>
        </w:rPr>
      </w:pPr>
    </w:p>
    <w:p w14:paraId="1AAAA591" w14:textId="77777777" w:rsidR="002E560D" w:rsidRDefault="002E560D">
      <w:pPr>
        <w:rPr>
          <w:rFonts w:ascii="Arial" w:hAnsi="Arial" w:cs="Arial"/>
        </w:rPr>
      </w:pPr>
    </w:p>
    <w:p w14:paraId="1A47C63F" w14:textId="77777777" w:rsidR="002E560D" w:rsidRDefault="002E560D">
      <w:pPr>
        <w:rPr>
          <w:rFonts w:ascii="Arial" w:hAnsi="Arial" w:cs="Arial"/>
        </w:rPr>
      </w:pPr>
    </w:p>
    <w:p w14:paraId="17F489B5" w14:textId="77777777" w:rsidR="002E560D" w:rsidRDefault="002E560D">
      <w:pPr>
        <w:rPr>
          <w:rFonts w:ascii="Arial" w:hAnsi="Arial" w:cs="Arial"/>
        </w:rPr>
      </w:pPr>
    </w:p>
    <w:p w14:paraId="70BC0456" w14:textId="77777777" w:rsidR="002E560D" w:rsidRDefault="002E560D">
      <w:pPr>
        <w:rPr>
          <w:rFonts w:ascii="Arial" w:hAnsi="Arial" w:cs="Arial"/>
        </w:rPr>
      </w:pPr>
    </w:p>
    <w:p w14:paraId="17EA77B0" w14:textId="77777777" w:rsidR="002E560D" w:rsidRDefault="002E560D">
      <w:pPr>
        <w:rPr>
          <w:rFonts w:ascii="Arial" w:hAnsi="Arial" w:cs="Arial"/>
        </w:rPr>
      </w:pPr>
    </w:p>
    <w:p w14:paraId="6EAB8ED5" w14:textId="77777777" w:rsidR="002E560D" w:rsidRDefault="002E560D">
      <w:pPr>
        <w:rPr>
          <w:rFonts w:ascii="Arial" w:hAnsi="Arial" w:cs="Arial"/>
        </w:rPr>
      </w:pPr>
    </w:p>
    <w:p w14:paraId="230A4C73" w14:textId="77777777" w:rsidR="002E560D" w:rsidRDefault="002E560D">
      <w:pPr>
        <w:rPr>
          <w:rFonts w:ascii="Arial" w:hAnsi="Arial" w:cs="Arial"/>
        </w:rPr>
      </w:pPr>
    </w:p>
    <w:p w14:paraId="38516666" w14:textId="77777777" w:rsidR="002E560D" w:rsidRDefault="002E560D">
      <w:pPr>
        <w:rPr>
          <w:rFonts w:ascii="Arial" w:hAnsi="Arial" w:cs="Arial"/>
        </w:rPr>
      </w:pPr>
    </w:p>
    <w:p w14:paraId="086BD83E" w14:textId="77777777" w:rsidR="002E560D" w:rsidRDefault="002E560D">
      <w:pPr>
        <w:rPr>
          <w:rFonts w:ascii="Arial" w:hAnsi="Arial" w:cs="Arial"/>
        </w:rPr>
      </w:pPr>
    </w:p>
    <w:p w14:paraId="75C10F73" w14:textId="77777777" w:rsidR="007269CD" w:rsidRDefault="007269CD">
      <w:pPr>
        <w:rPr>
          <w:rFonts w:ascii="Arial" w:hAnsi="Arial" w:cs="Arial"/>
        </w:rPr>
      </w:pPr>
    </w:p>
    <w:p w14:paraId="20441D2C" w14:textId="77777777" w:rsidR="007269CD" w:rsidRDefault="007269CD">
      <w:pPr>
        <w:rPr>
          <w:rFonts w:ascii="Arial" w:hAnsi="Arial" w:cs="Arial"/>
        </w:rPr>
      </w:pPr>
    </w:p>
    <w:p w14:paraId="3412A46A" w14:textId="549B7218" w:rsidR="002E560D" w:rsidRDefault="002E560D">
      <w:pPr>
        <w:rPr>
          <w:rFonts w:ascii="Arial" w:hAnsi="Arial" w:cs="Arial"/>
          <w:b/>
          <w:bCs/>
        </w:rPr>
      </w:pPr>
      <w:r w:rsidRPr="002E560D">
        <w:rPr>
          <w:rFonts w:ascii="Arial" w:hAnsi="Arial" w:cs="Arial"/>
          <w:b/>
          <w:bCs/>
        </w:rPr>
        <w:t>Slide 5</w:t>
      </w:r>
    </w:p>
    <w:p w14:paraId="1F4416E0" w14:textId="5AF66C88" w:rsidR="002E560D" w:rsidRDefault="002E560D">
      <w:pPr>
        <w:rPr>
          <w:rFonts w:ascii="Arial" w:hAnsi="Arial" w:cs="Arial"/>
          <w:b/>
          <w:bCs/>
        </w:rPr>
      </w:pPr>
      <w:r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</w:rPr>
        <w:drawing>
          <wp:inline distT="0" distB="0" distL="0" distR="0" wp14:anchorId="3AAE74C6" wp14:editId="37B75CB0">
            <wp:extent cx="5731510" cy="3223639"/>
            <wp:effectExtent l="0" t="0" r="2540" b="0"/>
            <wp:docPr id="1035443981" name="Picture 2" descr="A close-up of a present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5443981" name="Picture 2" descr="A close-up of a presentati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6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871C1D" w14:textId="77777777" w:rsidR="002E560D" w:rsidRDefault="002E560D">
      <w:pPr>
        <w:rPr>
          <w:rFonts w:ascii="Arial" w:hAnsi="Arial" w:cs="Arial"/>
          <w:b/>
          <w:bCs/>
        </w:rPr>
      </w:pPr>
    </w:p>
    <w:p w14:paraId="62BE7A9E" w14:textId="518AC123" w:rsidR="002E560D" w:rsidRPr="00287CD8" w:rsidRDefault="002E560D">
      <w:pPr>
        <w:rPr>
          <w:rFonts w:ascii="Arial" w:hAnsi="Arial" w:cs="Arial"/>
          <w:b/>
          <w:bCs/>
          <w:sz w:val="24"/>
          <w:szCs w:val="24"/>
        </w:rPr>
      </w:pPr>
      <w:r w:rsidRPr="00287CD8">
        <w:rPr>
          <w:rFonts w:ascii="Arial" w:hAnsi="Arial" w:cs="Arial"/>
          <w:b/>
          <w:bCs/>
          <w:sz w:val="24"/>
          <w:szCs w:val="24"/>
        </w:rPr>
        <w:t>Operational Factors</w:t>
      </w:r>
    </w:p>
    <w:p w14:paraId="1870BAB4" w14:textId="39473588" w:rsidR="002E560D" w:rsidRPr="00287CD8" w:rsidRDefault="003B3E50" w:rsidP="009966C6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287CD8">
        <w:rPr>
          <w:rFonts w:ascii="Arial" w:hAnsi="Arial" w:cs="Arial"/>
          <w:sz w:val="24"/>
          <w:szCs w:val="24"/>
        </w:rPr>
        <w:t>The venue of this event would be St. James Park in Westminster which will be available towards the people on 2nd June 2024.</w:t>
      </w:r>
    </w:p>
    <w:p w14:paraId="6E1A25D3" w14:textId="304FFD61" w:rsidR="003B3E50" w:rsidRPr="00287CD8" w:rsidRDefault="003B3E50" w:rsidP="009966C6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287CD8">
        <w:rPr>
          <w:rFonts w:ascii="Arial" w:hAnsi="Arial" w:cs="Arial"/>
          <w:sz w:val="24"/>
          <w:szCs w:val="24"/>
        </w:rPr>
        <w:t>The St. James Park is an extremely suitable place for this event where people can easily reach.</w:t>
      </w:r>
    </w:p>
    <w:p w14:paraId="376B4AF1" w14:textId="7BDD7CB1" w:rsidR="003B3E50" w:rsidRPr="00287CD8" w:rsidRDefault="003B3E50" w:rsidP="009966C6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287CD8">
        <w:rPr>
          <w:rFonts w:ascii="Arial" w:hAnsi="Arial" w:cs="Arial"/>
          <w:sz w:val="24"/>
          <w:szCs w:val="24"/>
        </w:rPr>
        <w:t>Additionally, catering services, infrastructure setup, parking facilities along with seating arrangement comes under essential resources.</w:t>
      </w:r>
    </w:p>
    <w:p w14:paraId="1F1D18AF" w14:textId="77777777" w:rsidR="003B3E50" w:rsidRPr="00287CD8" w:rsidRDefault="003B3E50">
      <w:pPr>
        <w:rPr>
          <w:rFonts w:ascii="Arial" w:hAnsi="Arial" w:cs="Arial"/>
          <w:sz w:val="24"/>
          <w:szCs w:val="24"/>
        </w:rPr>
      </w:pPr>
    </w:p>
    <w:p w14:paraId="144C0338" w14:textId="77777777" w:rsidR="003B3E50" w:rsidRDefault="003B3E50">
      <w:pPr>
        <w:rPr>
          <w:rFonts w:ascii="Arial" w:hAnsi="Arial" w:cs="Arial"/>
        </w:rPr>
      </w:pPr>
    </w:p>
    <w:p w14:paraId="5FEB2B87" w14:textId="77777777" w:rsidR="003B3E50" w:rsidRDefault="003B3E50">
      <w:pPr>
        <w:rPr>
          <w:rFonts w:ascii="Arial" w:hAnsi="Arial" w:cs="Arial"/>
        </w:rPr>
      </w:pPr>
    </w:p>
    <w:p w14:paraId="62A5B5BD" w14:textId="77777777" w:rsidR="003B3E50" w:rsidRDefault="003B3E50">
      <w:pPr>
        <w:rPr>
          <w:rFonts w:ascii="Arial" w:hAnsi="Arial" w:cs="Arial"/>
        </w:rPr>
      </w:pPr>
    </w:p>
    <w:p w14:paraId="6C16D0A2" w14:textId="77777777" w:rsidR="003B3E50" w:rsidRDefault="003B3E50">
      <w:pPr>
        <w:rPr>
          <w:rFonts w:ascii="Arial" w:hAnsi="Arial" w:cs="Arial"/>
        </w:rPr>
      </w:pPr>
    </w:p>
    <w:p w14:paraId="65078C8E" w14:textId="77777777" w:rsidR="003B3E50" w:rsidRDefault="003B3E50">
      <w:pPr>
        <w:rPr>
          <w:rFonts w:ascii="Arial" w:hAnsi="Arial" w:cs="Arial"/>
        </w:rPr>
      </w:pPr>
    </w:p>
    <w:p w14:paraId="650A7E38" w14:textId="77777777" w:rsidR="003B3E50" w:rsidRDefault="003B3E50">
      <w:pPr>
        <w:rPr>
          <w:rFonts w:ascii="Arial" w:hAnsi="Arial" w:cs="Arial"/>
        </w:rPr>
      </w:pPr>
    </w:p>
    <w:p w14:paraId="31A97512" w14:textId="77777777" w:rsidR="003B3E50" w:rsidRDefault="003B3E50">
      <w:pPr>
        <w:rPr>
          <w:rFonts w:ascii="Arial" w:hAnsi="Arial" w:cs="Arial"/>
        </w:rPr>
      </w:pPr>
    </w:p>
    <w:p w14:paraId="22F713EA" w14:textId="77777777" w:rsidR="003B3E50" w:rsidRDefault="003B3E50">
      <w:pPr>
        <w:rPr>
          <w:rFonts w:ascii="Arial" w:hAnsi="Arial" w:cs="Arial"/>
        </w:rPr>
      </w:pPr>
    </w:p>
    <w:p w14:paraId="1C85467F" w14:textId="77777777" w:rsidR="003B3E50" w:rsidRDefault="003B3E50">
      <w:pPr>
        <w:rPr>
          <w:rFonts w:ascii="Arial" w:hAnsi="Arial" w:cs="Arial"/>
        </w:rPr>
      </w:pPr>
    </w:p>
    <w:p w14:paraId="326293CE" w14:textId="77777777" w:rsidR="003B3E50" w:rsidRDefault="003B3E50">
      <w:pPr>
        <w:rPr>
          <w:rFonts w:ascii="Arial" w:hAnsi="Arial" w:cs="Arial"/>
        </w:rPr>
      </w:pPr>
    </w:p>
    <w:p w14:paraId="7B53355C" w14:textId="77777777" w:rsidR="003B3E50" w:rsidRDefault="003B3E50">
      <w:pPr>
        <w:rPr>
          <w:rFonts w:ascii="Arial" w:hAnsi="Arial" w:cs="Arial"/>
        </w:rPr>
      </w:pPr>
    </w:p>
    <w:p w14:paraId="3A8A751D" w14:textId="336602DE" w:rsidR="003B3E50" w:rsidRDefault="003B3E50">
      <w:pPr>
        <w:rPr>
          <w:rFonts w:ascii="Arial" w:hAnsi="Arial" w:cs="Arial"/>
          <w:b/>
          <w:bCs/>
        </w:rPr>
      </w:pPr>
      <w:r w:rsidRPr="003B3E50">
        <w:rPr>
          <w:rFonts w:ascii="Arial" w:hAnsi="Arial" w:cs="Arial"/>
          <w:b/>
          <w:bCs/>
        </w:rPr>
        <w:t>Slide 6</w:t>
      </w:r>
    </w:p>
    <w:p w14:paraId="79C99D64" w14:textId="15C4149E" w:rsidR="003B3E50" w:rsidRDefault="003B3E50">
      <w:pPr>
        <w:rPr>
          <w:rFonts w:ascii="Arial" w:hAnsi="Arial" w:cs="Arial"/>
          <w:b/>
          <w:bCs/>
        </w:rPr>
      </w:pPr>
      <w:r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</w:rPr>
        <w:drawing>
          <wp:inline distT="0" distB="0" distL="0" distR="0" wp14:anchorId="1E579E6F" wp14:editId="7F2705FD">
            <wp:extent cx="5731510" cy="3223639"/>
            <wp:effectExtent l="0" t="0" r="2540" b="0"/>
            <wp:docPr id="2140492677" name="Picture 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0492677" name="Picture 5" descr="A screenshot of a compu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6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10109BE" w14:textId="0652140B" w:rsidR="003B3E50" w:rsidRPr="00287CD8" w:rsidRDefault="003B3E50" w:rsidP="003B3E50">
      <w:pPr>
        <w:ind w:left="720"/>
        <w:rPr>
          <w:rFonts w:ascii="Arial" w:hAnsi="Arial" w:cs="Arial"/>
          <w:b/>
          <w:bCs/>
          <w:sz w:val="24"/>
          <w:szCs w:val="24"/>
        </w:rPr>
      </w:pPr>
      <w:r w:rsidRPr="00287CD8">
        <w:rPr>
          <w:rFonts w:ascii="Arial" w:hAnsi="Arial" w:cs="Arial"/>
          <w:b/>
          <w:bCs/>
          <w:sz w:val="24"/>
          <w:szCs w:val="24"/>
        </w:rPr>
        <w:t>Financial Factors</w:t>
      </w:r>
    </w:p>
    <w:p w14:paraId="1FBBD707" w14:textId="63806DCC" w:rsidR="003B3E50" w:rsidRPr="00287CD8" w:rsidRDefault="003B3E50" w:rsidP="003B3E50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3B3E50">
        <w:rPr>
          <w:rFonts w:ascii="Arial" w:hAnsi="Arial" w:cs="Arial"/>
          <w:sz w:val="24"/>
          <w:szCs w:val="24"/>
          <w:lang w:val="en-US"/>
        </w:rPr>
        <w:t xml:space="preserve">Having an extreme budgeting plan is also necessary for a successful event. </w:t>
      </w:r>
    </w:p>
    <w:p w14:paraId="3D482744" w14:textId="77777777" w:rsidR="003B3E50" w:rsidRPr="003B3E50" w:rsidRDefault="003B3E50" w:rsidP="003B3E50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3B3E50">
        <w:rPr>
          <w:rFonts w:ascii="Arial" w:hAnsi="Arial" w:cs="Arial"/>
          <w:sz w:val="24"/>
          <w:szCs w:val="24"/>
          <w:lang w:val="en-US"/>
        </w:rPr>
        <w:t xml:space="preserve">The financial factors depend upon several factors such as the size of the event, the perspective of the event, the place of the event and many more. </w:t>
      </w:r>
    </w:p>
    <w:p w14:paraId="05A1C352" w14:textId="77777777" w:rsidR="003B3E50" w:rsidRPr="003B3E50" w:rsidRDefault="003B3E50" w:rsidP="003B3E50">
      <w:pPr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3B3E50">
        <w:rPr>
          <w:rFonts w:ascii="Arial" w:hAnsi="Arial" w:cs="Arial"/>
          <w:sz w:val="24"/>
          <w:szCs w:val="24"/>
          <w:lang w:val="en-US"/>
        </w:rPr>
        <w:t xml:space="preserve">The event manager needs to spend a certain amount of money in the direction of arranging all the necessary items for the event. </w:t>
      </w:r>
    </w:p>
    <w:p w14:paraId="0CEBEF2F" w14:textId="77777777" w:rsidR="003B3E50" w:rsidRPr="003B3E50" w:rsidRDefault="003B3E50" w:rsidP="003B3E50">
      <w:pPr>
        <w:ind w:left="720"/>
        <w:rPr>
          <w:rFonts w:ascii="Arial" w:hAnsi="Arial" w:cs="Arial"/>
          <w:sz w:val="24"/>
          <w:szCs w:val="24"/>
        </w:rPr>
      </w:pPr>
    </w:p>
    <w:p w14:paraId="7BBDBC77" w14:textId="77777777" w:rsidR="003B3E50" w:rsidRDefault="003B3E50">
      <w:pPr>
        <w:rPr>
          <w:rFonts w:ascii="Arial" w:hAnsi="Arial" w:cs="Arial"/>
        </w:rPr>
      </w:pPr>
    </w:p>
    <w:p w14:paraId="4DE19D00" w14:textId="77777777" w:rsidR="00BF1B82" w:rsidRDefault="00BF1B82">
      <w:pPr>
        <w:rPr>
          <w:rFonts w:ascii="Arial" w:hAnsi="Arial" w:cs="Arial"/>
        </w:rPr>
      </w:pPr>
    </w:p>
    <w:p w14:paraId="2F57D815" w14:textId="77777777" w:rsidR="00BF1B82" w:rsidRDefault="00BF1B82">
      <w:pPr>
        <w:rPr>
          <w:rFonts w:ascii="Arial" w:hAnsi="Arial" w:cs="Arial"/>
        </w:rPr>
      </w:pPr>
    </w:p>
    <w:p w14:paraId="7D6171F6" w14:textId="77777777" w:rsidR="00BF1B82" w:rsidRDefault="00BF1B82">
      <w:pPr>
        <w:rPr>
          <w:rFonts w:ascii="Arial" w:hAnsi="Arial" w:cs="Arial"/>
        </w:rPr>
      </w:pPr>
    </w:p>
    <w:p w14:paraId="143ED1E4" w14:textId="77777777" w:rsidR="00BF1B82" w:rsidRDefault="00BF1B82">
      <w:pPr>
        <w:rPr>
          <w:rFonts w:ascii="Arial" w:hAnsi="Arial" w:cs="Arial"/>
        </w:rPr>
      </w:pPr>
    </w:p>
    <w:p w14:paraId="2402E8E6" w14:textId="77777777" w:rsidR="00BF1B82" w:rsidRDefault="00BF1B82">
      <w:pPr>
        <w:rPr>
          <w:rFonts w:ascii="Arial" w:hAnsi="Arial" w:cs="Arial"/>
        </w:rPr>
      </w:pPr>
    </w:p>
    <w:p w14:paraId="023F07C2" w14:textId="77777777" w:rsidR="00BF1B82" w:rsidRDefault="00BF1B82">
      <w:pPr>
        <w:rPr>
          <w:rFonts w:ascii="Arial" w:hAnsi="Arial" w:cs="Arial"/>
        </w:rPr>
      </w:pPr>
    </w:p>
    <w:p w14:paraId="329982ED" w14:textId="77777777" w:rsidR="00BF1B82" w:rsidRDefault="00BF1B82">
      <w:pPr>
        <w:rPr>
          <w:rFonts w:ascii="Arial" w:hAnsi="Arial" w:cs="Arial"/>
        </w:rPr>
      </w:pPr>
    </w:p>
    <w:p w14:paraId="35F230CB" w14:textId="77777777" w:rsidR="00BF1B82" w:rsidRDefault="00BF1B82">
      <w:pPr>
        <w:rPr>
          <w:rFonts w:ascii="Arial" w:hAnsi="Arial" w:cs="Arial"/>
        </w:rPr>
      </w:pPr>
    </w:p>
    <w:p w14:paraId="5D245F02" w14:textId="77777777" w:rsidR="00BF1B82" w:rsidRDefault="00BF1B82">
      <w:pPr>
        <w:rPr>
          <w:rFonts w:ascii="Arial" w:hAnsi="Arial" w:cs="Arial"/>
        </w:rPr>
      </w:pPr>
    </w:p>
    <w:p w14:paraId="43EABB8C" w14:textId="77777777" w:rsidR="00BF1B82" w:rsidRDefault="00BF1B82">
      <w:pPr>
        <w:rPr>
          <w:rFonts w:ascii="Arial" w:hAnsi="Arial" w:cs="Arial"/>
        </w:rPr>
      </w:pPr>
    </w:p>
    <w:p w14:paraId="220027C9" w14:textId="77777777" w:rsidR="00BF1B82" w:rsidRDefault="00BF1B82">
      <w:pPr>
        <w:rPr>
          <w:rFonts w:ascii="Arial" w:hAnsi="Arial" w:cs="Arial"/>
        </w:rPr>
      </w:pPr>
    </w:p>
    <w:p w14:paraId="66F1950D" w14:textId="51EB4965" w:rsidR="00BF1B82" w:rsidRDefault="00BF1B82">
      <w:pPr>
        <w:rPr>
          <w:rFonts w:ascii="Arial" w:hAnsi="Arial" w:cs="Arial"/>
          <w:b/>
          <w:bCs/>
        </w:rPr>
      </w:pPr>
      <w:r w:rsidRPr="00BF1B82">
        <w:rPr>
          <w:rFonts w:ascii="Arial" w:hAnsi="Arial" w:cs="Arial"/>
          <w:b/>
          <w:bCs/>
        </w:rPr>
        <w:t>Slide 7</w:t>
      </w:r>
    </w:p>
    <w:p w14:paraId="1C4923F3" w14:textId="70DD3ED5" w:rsidR="00BF1B82" w:rsidRDefault="00BF1B82">
      <w:pPr>
        <w:rPr>
          <w:rFonts w:ascii="Arial" w:hAnsi="Arial" w:cs="Arial"/>
          <w:b/>
          <w:bCs/>
        </w:rPr>
      </w:pPr>
      <w:r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</w:rPr>
        <w:drawing>
          <wp:inline distT="0" distB="0" distL="0" distR="0" wp14:anchorId="72C06AAF" wp14:editId="70A1036C">
            <wp:extent cx="5731510" cy="3223639"/>
            <wp:effectExtent l="0" t="0" r="2540" b="0"/>
            <wp:docPr id="288264560" name="Picture 3" descr="A screenshot of a cash fl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8264560" name="Picture 3" descr="A screenshot of a cash fl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6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6F12EAF" w14:textId="77777777" w:rsidR="00BF1B82" w:rsidRPr="00287CD8" w:rsidRDefault="00BF1B82" w:rsidP="00BF1B82">
      <w:pPr>
        <w:rPr>
          <w:rFonts w:ascii="Arial" w:hAnsi="Arial" w:cs="Arial"/>
          <w:b/>
          <w:bCs/>
          <w:sz w:val="24"/>
          <w:szCs w:val="24"/>
        </w:rPr>
      </w:pPr>
      <w:r w:rsidRPr="00287CD8">
        <w:rPr>
          <w:rFonts w:ascii="Arial" w:hAnsi="Arial" w:cs="Arial"/>
          <w:b/>
          <w:bCs/>
          <w:sz w:val="24"/>
          <w:szCs w:val="24"/>
        </w:rPr>
        <w:t>Financial Factors (Continue)</w:t>
      </w:r>
    </w:p>
    <w:p w14:paraId="37A278D6" w14:textId="688803C8" w:rsidR="00BF1B82" w:rsidRPr="00287CD8" w:rsidRDefault="00BF1B82" w:rsidP="00287CD8">
      <w:pPr>
        <w:ind w:firstLine="720"/>
        <w:rPr>
          <w:rFonts w:ascii="Arial" w:hAnsi="Arial" w:cs="Arial"/>
          <w:sz w:val="24"/>
          <w:szCs w:val="24"/>
        </w:rPr>
      </w:pPr>
      <w:r w:rsidRPr="00287CD8">
        <w:rPr>
          <w:rFonts w:ascii="Arial" w:hAnsi="Arial" w:cs="Arial"/>
          <w:sz w:val="24"/>
          <w:szCs w:val="24"/>
        </w:rPr>
        <w:t xml:space="preserve">The total income earned during the event has been expected to be around £40,000, that is a substantial profit margin. Ultimately, after reviewing </w:t>
      </w:r>
      <w:proofErr w:type="gramStart"/>
      <w:r w:rsidRPr="00287CD8">
        <w:rPr>
          <w:rFonts w:ascii="Arial" w:hAnsi="Arial" w:cs="Arial"/>
          <w:sz w:val="24"/>
          <w:szCs w:val="24"/>
        </w:rPr>
        <w:t>all of</w:t>
      </w:r>
      <w:proofErr w:type="gramEnd"/>
      <w:r w:rsidRPr="00287CD8">
        <w:rPr>
          <w:rFonts w:ascii="Arial" w:hAnsi="Arial" w:cs="Arial"/>
          <w:sz w:val="24"/>
          <w:szCs w:val="24"/>
        </w:rPr>
        <w:t xml:space="preserve"> the expenditures, it has been determined that an aggregate of £30000 must be allocated for the necessary expenditures of the specific tourism event. The estimate indicates that the event would create around £10000 in revenue that may be utilized to support future business growth.</w:t>
      </w:r>
    </w:p>
    <w:p w14:paraId="0D06FA04" w14:textId="77777777" w:rsidR="00F56562" w:rsidRDefault="00F56562" w:rsidP="00BF1B82">
      <w:pPr>
        <w:rPr>
          <w:rFonts w:ascii="Arial" w:hAnsi="Arial" w:cs="Arial"/>
        </w:rPr>
      </w:pPr>
    </w:p>
    <w:p w14:paraId="4F706119" w14:textId="77777777" w:rsidR="00F56562" w:rsidRDefault="00F56562" w:rsidP="00BF1B82">
      <w:pPr>
        <w:rPr>
          <w:rFonts w:ascii="Arial" w:hAnsi="Arial" w:cs="Arial"/>
        </w:rPr>
      </w:pPr>
    </w:p>
    <w:p w14:paraId="1D5E47E0" w14:textId="77777777" w:rsidR="00F56562" w:rsidRDefault="00F56562" w:rsidP="00BF1B82">
      <w:pPr>
        <w:rPr>
          <w:rFonts w:ascii="Arial" w:hAnsi="Arial" w:cs="Arial"/>
        </w:rPr>
      </w:pPr>
    </w:p>
    <w:p w14:paraId="7AEF7697" w14:textId="77777777" w:rsidR="00F56562" w:rsidRDefault="00F56562" w:rsidP="00BF1B82">
      <w:pPr>
        <w:rPr>
          <w:rFonts w:ascii="Arial" w:hAnsi="Arial" w:cs="Arial"/>
        </w:rPr>
      </w:pPr>
    </w:p>
    <w:p w14:paraId="18959064" w14:textId="77777777" w:rsidR="00F56562" w:rsidRDefault="00F56562" w:rsidP="00BF1B82">
      <w:pPr>
        <w:rPr>
          <w:rFonts w:ascii="Arial" w:hAnsi="Arial" w:cs="Arial"/>
        </w:rPr>
      </w:pPr>
    </w:p>
    <w:p w14:paraId="3C538C95" w14:textId="77777777" w:rsidR="00F56562" w:rsidRDefault="00F56562" w:rsidP="00BF1B82">
      <w:pPr>
        <w:rPr>
          <w:rFonts w:ascii="Arial" w:hAnsi="Arial" w:cs="Arial"/>
        </w:rPr>
      </w:pPr>
    </w:p>
    <w:p w14:paraId="2D9F77A8" w14:textId="77777777" w:rsidR="00F56562" w:rsidRDefault="00F56562" w:rsidP="00BF1B82">
      <w:pPr>
        <w:rPr>
          <w:rFonts w:ascii="Arial" w:hAnsi="Arial" w:cs="Arial"/>
        </w:rPr>
      </w:pPr>
    </w:p>
    <w:p w14:paraId="72F7996C" w14:textId="77777777" w:rsidR="00F56562" w:rsidRDefault="00F56562" w:rsidP="00BF1B82">
      <w:pPr>
        <w:rPr>
          <w:rFonts w:ascii="Arial" w:hAnsi="Arial" w:cs="Arial"/>
        </w:rPr>
      </w:pPr>
    </w:p>
    <w:p w14:paraId="7FC05D6F" w14:textId="77777777" w:rsidR="00F56562" w:rsidRDefault="00F56562" w:rsidP="00BF1B82">
      <w:pPr>
        <w:rPr>
          <w:rFonts w:ascii="Arial" w:hAnsi="Arial" w:cs="Arial"/>
        </w:rPr>
      </w:pPr>
    </w:p>
    <w:p w14:paraId="0E83A450" w14:textId="77777777" w:rsidR="00F56562" w:rsidRDefault="00F56562" w:rsidP="00BF1B82">
      <w:pPr>
        <w:rPr>
          <w:rFonts w:ascii="Arial" w:hAnsi="Arial" w:cs="Arial"/>
        </w:rPr>
      </w:pPr>
    </w:p>
    <w:p w14:paraId="0CAC6AB3" w14:textId="77777777" w:rsidR="00F56562" w:rsidRDefault="00F56562" w:rsidP="00BF1B82">
      <w:pPr>
        <w:rPr>
          <w:rFonts w:ascii="Arial" w:hAnsi="Arial" w:cs="Arial"/>
        </w:rPr>
      </w:pPr>
    </w:p>
    <w:p w14:paraId="2A06CE47" w14:textId="77777777" w:rsidR="00F56562" w:rsidRDefault="00F56562" w:rsidP="00BF1B82">
      <w:pPr>
        <w:rPr>
          <w:rFonts w:ascii="Arial" w:hAnsi="Arial" w:cs="Arial"/>
        </w:rPr>
      </w:pPr>
    </w:p>
    <w:p w14:paraId="255BCE87" w14:textId="77777777" w:rsidR="00F56562" w:rsidRDefault="00F56562" w:rsidP="00BF1B82">
      <w:pPr>
        <w:rPr>
          <w:rFonts w:ascii="Arial" w:hAnsi="Arial" w:cs="Arial"/>
        </w:rPr>
      </w:pPr>
    </w:p>
    <w:p w14:paraId="122E08D6" w14:textId="3BE2EF95" w:rsidR="00F56562" w:rsidRDefault="00F56562" w:rsidP="00BF1B82">
      <w:pPr>
        <w:rPr>
          <w:rFonts w:ascii="Arial" w:hAnsi="Arial" w:cs="Arial"/>
          <w:b/>
          <w:bCs/>
        </w:rPr>
      </w:pPr>
      <w:r w:rsidRPr="00F56562">
        <w:rPr>
          <w:rFonts w:ascii="Arial" w:hAnsi="Arial" w:cs="Arial"/>
          <w:b/>
          <w:bCs/>
        </w:rPr>
        <w:t>Slide 8</w:t>
      </w:r>
    </w:p>
    <w:p w14:paraId="0F14699B" w14:textId="69264FEF" w:rsidR="00F56562" w:rsidRDefault="00F56562" w:rsidP="00BF1B82">
      <w:pPr>
        <w:rPr>
          <w:rFonts w:ascii="Arial" w:hAnsi="Arial" w:cs="Arial"/>
          <w:b/>
          <w:bCs/>
        </w:rPr>
      </w:pPr>
      <w:r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</w:rPr>
        <w:drawing>
          <wp:inline distT="0" distB="0" distL="0" distR="0" wp14:anchorId="7DD582F9" wp14:editId="7F442967">
            <wp:extent cx="5731510" cy="3223639"/>
            <wp:effectExtent l="0" t="0" r="2540" b="0"/>
            <wp:docPr id="408604783" name="Picture 6" descr="A close-up of a person holding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8604783" name="Picture 6" descr="A close-up of a person holding a phon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6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F275D1" w14:textId="08BFF4C0" w:rsidR="00F56562" w:rsidRPr="00287CD8" w:rsidRDefault="00F56562" w:rsidP="00BF1B82">
      <w:pPr>
        <w:rPr>
          <w:rFonts w:ascii="Arial" w:hAnsi="Arial" w:cs="Arial"/>
          <w:b/>
          <w:bCs/>
          <w:sz w:val="24"/>
          <w:szCs w:val="24"/>
        </w:rPr>
      </w:pPr>
      <w:r w:rsidRPr="00287CD8">
        <w:rPr>
          <w:rFonts w:ascii="Arial" w:hAnsi="Arial" w:cs="Arial"/>
          <w:b/>
          <w:bCs/>
          <w:sz w:val="24"/>
          <w:szCs w:val="24"/>
        </w:rPr>
        <w:t>Feasibility Analysis</w:t>
      </w:r>
    </w:p>
    <w:p w14:paraId="2112E364" w14:textId="4B0AD74D" w:rsidR="00F56562" w:rsidRPr="00287CD8" w:rsidRDefault="00F56562" w:rsidP="00F56562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287CD8">
        <w:rPr>
          <w:rFonts w:ascii="Arial" w:hAnsi="Arial" w:cs="Arial"/>
          <w:sz w:val="24"/>
          <w:szCs w:val="24"/>
        </w:rPr>
        <w:t>Feasibility analysis can be defined as the process where a new business plan has been generally formed and with the help of this analysis people can get a generic idea regarding the new idea in detail.</w:t>
      </w:r>
    </w:p>
    <w:p w14:paraId="4D9C42BD" w14:textId="4625F3ED" w:rsidR="00F56562" w:rsidRPr="00287CD8" w:rsidRDefault="00F56562" w:rsidP="00F56562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287CD8">
        <w:rPr>
          <w:rFonts w:ascii="Arial" w:hAnsi="Arial" w:cs="Arial"/>
          <w:sz w:val="24"/>
          <w:szCs w:val="24"/>
        </w:rPr>
        <w:t>The primary goal of this conference is to drive creativity within the UK tourist industry through the application of a variety of technology and techniques.</w:t>
      </w:r>
    </w:p>
    <w:p w14:paraId="00A97041" w14:textId="07F4347D" w:rsidR="00F56562" w:rsidRPr="00287CD8" w:rsidRDefault="009739E0" w:rsidP="00F56562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 w:rsidRPr="00287CD8">
        <w:rPr>
          <w:rFonts w:ascii="Arial" w:hAnsi="Arial" w:cs="Arial"/>
          <w:sz w:val="24"/>
          <w:szCs w:val="24"/>
        </w:rPr>
        <w:t>The workshop is going to significantly enhance the efficiency of staff members, company executives, as well as other important parties.</w:t>
      </w:r>
    </w:p>
    <w:p w14:paraId="2BE0C107" w14:textId="77777777" w:rsidR="00287CD8" w:rsidRPr="00287CD8" w:rsidRDefault="00287CD8" w:rsidP="00287CD8">
      <w:pPr>
        <w:rPr>
          <w:rFonts w:ascii="Arial" w:hAnsi="Arial" w:cs="Arial"/>
          <w:sz w:val="24"/>
          <w:szCs w:val="24"/>
        </w:rPr>
      </w:pPr>
    </w:p>
    <w:p w14:paraId="0ECABC49" w14:textId="77777777" w:rsidR="00287CD8" w:rsidRDefault="00287CD8" w:rsidP="00287CD8">
      <w:pPr>
        <w:rPr>
          <w:rFonts w:ascii="Arial" w:hAnsi="Arial" w:cs="Arial"/>
        </w:rPr>
      </w:pPr>
    </w:p>
    <w:p w14:paraId="044DCBCB" w14:textId="77777777" w:rsidR="00287CD8" w:rsidRDefault="00287CD8" w:rsidP="00287CD8">
      <w:pPr>
        <w:rPr>
          <w:rFonts w:ascii="Arial" w:hAnsi="Arial" w:cs="Arial"/>
        </w:rPr>
      </w:pPr>
    </w:p>
    <w:p w14:paraId="25DCBBEA" w14:textId="77777777" w:rsidR="00287CD8" w:rsidRDefault="00287CD8" w:rsidP="00287CD8">
      <w:pPr>
        <w:rPr>
          <w:rFonts w:ascii="Arial" w:hAnsi="Arial" w:cs="Arial"/>
        </w:rPr>
      </w:pPr>
    </w:p>
    <w:p w14:paraId="4B7BC4DA" w14:textId="77777777" w:rsidR="00287CD8" w:rsidRDefault="00287CD8" w:rsidP="00287CD8">
      <w:pPr>
        <w:rPr>
          <w:rFonts w:ascii="Arial" w:hAnsi="Arial" w:cs="Arial"/>
        </w:rPr>
      </w:pPr>
    </w:p>
    <w:p w14:paraId="1C759D19" w14:textId="77777777" w:rsidR="00287CD8" w:rsidRDefault="00287CD8" w:rsidP="00287CD8">
      <w:pPr>
        <w:rPr>
          <w:rFonts w:ascii="Arial" w:hAnsi="Arial" w:cs="Arial"/>
        </w:rPr>
      </w:pPr>
    </w:p>
    <w:p w14:paraId="34E0C53D" w14:textId="77777777" w:rsidR="00287CD8" w:rsidRDefault="00287CD8" w:rsidP="00287CD8">
      <w:pPr>
        <w:rPr>
          <w:rFonts w:ascii="Arial" w:hAnsi="Arial" w:cs="Arial"/>
        </w:rPr>
      </w:pPr>
    </w:p>
    <w:p w14:paraId="24709E48" w14:textId="77777777" w:rsidR="00287CD8" w:rsidRDefault="00287CD8" w:rsidP="00287CD8">
      <w:pPr>
        <w:rPr>
          <w:rFonts w:ascii="Arial" w:hAnsi="Arial" w:cs="Arial"/>
        </w:rPr>
      </w:pPr>
    </w:p>
    <w:p w14:paraId="13C8FE75" w14:textId="77777777" w:rsidR="00287CD8" w:rsidRDefault="00287CD8" w:rsidP="00287CD8">
      <w:pPr>
        <w:rPr>
          <w:rFonts w:ascii="Arial" w:hAnsi="Arial" w:cs="Arial"/>
        </w:rPr>
      </w:pPr>
    </w:p>
    <w:p w14:paraId="5F2B9887" w14:textId="77777777" w:rsidR="00287CD8" w:rsidRDefault="00287CD8" w:rsidP="00287CD8">
      <w:pPr>
        <w:rPr>
          <w:rFonts w:ascii="Arial" w:hAnsi="Arial" w:cs="Arial"/>
        </w:rPr>
      </w:pPr>
    </w:p>
    <w:p w14:paraId="329429A2" w14:textId="77777777" w:rsidR="00287CD8" w:rsidRDefault="00287CD8" w:rsidP="00287CD8">
      <w:pPr>
        <w:rPr>
          <w:rFonts w:ascii="Arial" w:hAnsi="Arial" w:cs="Arial"/>
        </w:rPr>
      </w:pPr>
    </w:p>
    <w:p w14:paraId="27DB018C" w14:textId="77777777" w:rsidR="00287CD8" w:rsidRDefault="00287CD8" w:rsidP="00287CD8">
      <w:pPr>
        <w:rPr>
          <w:rFonts w:ascii="Arial" w:hAnsi="Arial" w:cs="Arial"/>
        </w:rPr>
      </w:pPr>
    </w:p>
    <w:p w14:paraId="1450F490" w14:textId="77777777" w:rsidR="007269CD" w:rsidRDefault="007269CD" w:rsidP="00287CD8">
      <w:pPr>
        <w:rPr>
          <w:rFonts w:ascii="Arial" w:hAnsi="Arial" w:cs="Arial"/>
          <w:b/>
          <w:bCs/>
        </w:rPr>
      </w:pPr>
    </w:p>
    <w:p w14:paraId="4EED8DA5" w14:textId="701FF042" w:rsidR="00287CD8" w:rsidRDefault="00287CD8" w:rsidP="00287CD8">
      <w:pPr>
        <w:rPr>
          <w:rFonts w:ascii="Arial" w:hAnsi="Arial" w:cs="Arial"/>
          <w:b/>
          <w:bCs/>
        </w:rPr>
      </w:pPr>
      <w:r w:rsidRPr="00287CD8">
        <w:rPr>
          <w:rFonts w:ascii="Arial" w:hAnsi="Arial" w:cs="Arial"/>
          <w:b/>
          <w:bCs/>
        </w:rPr>
        <w:t>Slide 9</w:t>
      </w:r>
    </w:p>
    <w:p w14:paraId="247C881D" w14:textId="6C91EB32" w:rsidR="00287CD8" w:rsidRDefault="00287CD8" w:rsidP="00287CD8">
      <w:pPr>
        <w:rPr>
          <w:rFonts w:ascii="Arial" w:hAnsi="Arial" w:cs="Arial"/>
          <w:b/>
          <w:bCs/>
        </w:rPr>
      </w:pPr>
      <w:r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</w:rPr>
        <w:drawing>
          <wp:inline distT="0" distB="0" distL="0" distR="0" wp14:anchorId="34F8D62D" wp14:editId="67A9CE8F">
            <wp:extent cx="5731510" cy="3223639"/>
            <wp:effectExtent l="0" t="0" r="2540" b="0"/>
            <wp:docPr id="789973926" name="Picture 7" descr="A person in a lab coa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9973926" name="Picture 7" descr="A person in a lab coa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6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77B049" w14:textId="40A8DC67" w:rsidR="00287CD8" w:rsidRPr="00287CD8" w:rsidRDefault="00287CD8" w:rsidP="00287CD8">
      <w:pPr>
        <w:ind w:left="720"/>
        <w:rPr>
          <w:rFonts w:ascii="Arial" w:hAnsi="Arial" w:cs="Arial"/>
          <w:b/>
          <w:bCs/>
          <w:sz w:val="24"/>
          <w:szCs w:val="24"/>
        </w:rPr>
      </w:pPr>
      <w:r w:rsidRPr="00287CD8">
        <w:rPr>
          <w:rFonts w:ascii="Arial" w:hAnsi="Arial" w:cs="Arial"/>
          <w:b/>
          <w:bCs/>
          <w:sz w:val="24"/>
          <w:szCs w:val="24"/>
        </w:rPr>
        <w:t>Strategic Pre-planning Research</w:t>
      </w:r>
    </w:p>
    <w:p w14:paraId="4B0C3ED5" w14:textId="5CDA0ED4" w:rsidR="00287CD8" w:rsidRPr="00287CD8" w:rsidRDefault="00287CD8" w:rsidP="00287CD8">
      <w:pPr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287CD8">
        <w:rPr>
          <w:rFonts w:ascii="Arial" w:hAnsi="Arial" w:cs="Arial"/>
          <w:sz w:val="24"/>
          <w:szCs w:val="24"/>
          <w:lang w:val="en-US"/>
        </w:rPr>
        <w:t xml:space="preserve">Strategic planning is a process of management which assists companies in achieving business objectives as well as achieving more stability and growth. </w:t>
      </w:r>
    </w:p>
    <w:p w14:paraId="16166C62" w14:textId="77777777" w:rsidR="00287CD8" w:rsidRPr="00287CD8" w:rsidRDefault="00287CD8" w:rsidP="00287CD8">
      <w:pPr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287CD8">
        <w:rPr>
          <w:rFonts w:ascii="Arial" w:hAnsi="Arial" w:cs="Arial"/>
          <w:sz w:val="24"/>
          <w:szCs w:val="24"/>
          <w:lang w:val="en-US"/>
        </w:rPr>
        <w:t xml:space="preserve">Such a strategy always helps businesses to increase brand image and reputation. </w:t>
      </w:r>
    </w:p>
    <w:p w14:paraId="2757CD42" w14:textId="77777777" w:rsidR="00287CD8" w:rsidRPr="00287CD8" w:rsidRDefault="00287CD8" w:rsidP="00287CD8">
      <w:pPr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287CD8">
        <w:rPr>
          <w:rFonts w:ascii="Arial" w:hAnsi="Arial" w:cs="Arial"/>
          <w:sz w:val="24"/>
          <w:szCs w:val="24"/>
          <w:lang w:val="en-US"/>
        </w:rPr>
        <w:t xml:space="preserve">The most important part of pre-planning research is the proper market research. </w:t>
      </w:r>
    </w:p>
    <w:p w14:paraId="3488568E" w14:textId="77777777" w:rsidR="00287CD8" w:rsidRDefault="00287CD8" w:rsidP="00287CD8">
      <w:pPr>
        <w:ind w:left="720"/>
        <w:rPr>
          <w:rFonts w:ascii="Arial" w:hAnsi="Arial" w:cs="Arial"/>
          <w:sz w:val="24"/>
          <w:szCs w:val="24"/>
        </w:rPr>
      </w:pPr>
    </w:p>
    <w:p w14:paraId="12946F21" w14:textId="77777777" w:rsidR="00287CD8" w:rsidRDefault="00287CD8" w:rsidP="00287CD8">
      <w:pPr>
        <w:ind w:left="720"/>
        <w:rPr>
          <w:rFonts w:ascii="Arial" w:hAnsi="Arial" w:cs="Arial"/>
          <w:sz w:val="24"/>
          <w:szCs w:val="24"/>
        </w:rPr>
      </w:pPr>
    </w:p>
    <w:p w14:paraId="0D83AA66" w14:textId="77777777" w:rsidR="00287CD8" w:rsidRDefault="00287CD8" w:rsidP="00287CD8">
      <w:pPr>
        <w:ind w:left="720"/>
        <w:rPr>
          <w:rFonts w:ascii="Arial" w:hAnsi="Arial" w:cs="Arial"/>
          <w:sz w:val="24"/>
          <w:szCs w:val="24"/>
        </w:rPr>
      </w:pPr>
    </w:p>
    <w:p w14:paraId="43AFEC67" w14:textId="77777777" w:rsidR="00287CD8" w:rsidRDefault="00287CD8" w:rsidP="00287CD8">
      <w:pPr>
        <w:ind w:left="720"/>
        <w:rPr>
          <w:rFonts w:ascii="Arial" w:hAnsi="Arial" w:cs="Arial"/>
          <w:sz w:val="24"/>
          <w:szCs w:val="24"/>
        </w:rPr>
      </w:pPr>
    </w:p>
    <w:p w14:paraId="4435E821" w14:textId="77777777" w:rsidR="00287CD8" w:rsidRDefault="00287CD8" w:rsidP="00287CD8">
      <w:pPr>
        <w:ind w:left="720"/>
        <w:rPr>
          <w:rFonts w:ascii="Arial" w:hAnsi="Arial" w:cs="Arial"/>
          <w:sz w:val="24"/>
          <w:szCs w:val="24"/>
        </w:rPr>
      </w:pPr>
    </w:p>
    <w:p w14:paraId="0549D5BF" w14:textId="77777777" w:rsidR="00287CD8" w:rsidRDefault="00287CD8" w:rsidP="00287CD8">
      <w:pPr>
        <w:ind w:left="720"/>
        <w:rPr>
          <w:rFonts w:ascii="Arial" w:hAnsi="Arial" w:cs="Arial"/>
          <w:sz w:val="24"/>
          <w:szCs w:val="24"/>
        </w:rPr>
      </w:pPr>
    </w:p>
    <w:p w14:paraId="2F67F907" w14:textId="77777777" w:rsidR="00287CD8" w:rsidRDefault="00287CD8" w:rsidP="00287CD8">
      <w:pPr>
        <w:ind w:left="720"/>
        <w:rPr>
          <w:rFonts w:ascii="Arial" w:hAnsi="Arial" w:cs="Arial"/>
          <w:sz w:val="24"/>
          <w:szCs w:val="24"/>
        </w:rPr>
      </w:pPr>
    </w:p>
    <w:p w14:paraId="401A236A" w14:textId="77777777" w:rsidR="00287CD8" w:rsidRDefault="00287CD8" w:rsidP="00287CD8">
      <w:pPr>
        <w:ind w:left="720"/>
        <w:rPr>
          <w:rFonts w:ascii="Arial" w:hAnsi="Arial" w:cs="Arial"/>
          <w:sz w:val="24"/>
          <w:szCs w:val="24"/>
        </w:rPr>
      </w:pPr>
    </w:p>
    <w:p w14:paraId="75283680" w14:textId="77777777" w:rsidR="00287CD8" w:rsidRDefault="00287CD8" w:rsidP="00287CD8">
      <w:pPr>
        <w:ind w:left="720"/>
        <w:rPr>
          <w:rFonts w:ascii="Arial" w:hAnsi="Arial" w:cs="Arial"/>
          <w:sz w:val="24"/>
          <w:szCs w:val="24"/>
        </w:rPr>
      </w:pPr>
    </w:p>
    <w:p w14:paraId="345ED8A7" w14:textId="77777777" w:rsidR="00287CD8" w:rsidRDefault="00287CD8" w:rsidP="00287CD8">
      <w:pPr>
        <w:ind w:left="720"/>
        <w:rPr>
          <w:rFonts w:ascii="Arial" w:hAnsi="Arial" w:cs="Arial"/>
          <w:sz w:val="24"/>
          <w:szCs w:val="24"/>
        </w:rPr>
      </w:pPr>
    </w:p>
    <w:p w14:paraId="63DE5BB7" w14:textId="77777777" w:rsidR="00287CD8" w:rsidRDefault="00287CD8" w:rsidP="00287CD8">
      <w:pPr>
        <w:ind w:left="720"/>
        <w:rPr>
          <w:rFonts w:ascii="Arial" w:hAnsi="Arial" w:cs="Arial"/>
          <w:sz w:val="24"/>
          <w:szCs w:val="24"/>
        </w:rPr>
      </w:pPr>
    </w:p>
    <w:p w14:paraId="6CF6C488" w14:textId="77777777" w:rsidR="00287CD8" w:rsidRDefault="00287CD8" w:rsidP="00287CD8">
      <w:pPr>
        <w:ind w:left="720"/>
        <w:rPr>
          <w:rFonts w:ascii="Arial" w:hAnsi="Arial" w:cs="Arial"/>
          <w:sz w:val="24"/>
          <w:szCs w:val="24"/>
        </w:rPr>
      </w:pPr>
    </w:p>
    <w:p w14:paraId="131F5765" w14:textId="57A2C6D5" w:rsidR="00287CD8" w:rsidRDefault="00C514A7" w:rsidP="008B3358">
      <w:pPr>
        <w:rPr>
          <w:rFonts w:ascii="Arial" w:hAnsi="Arial" w:cs="Arial"/>
          <w:b/>
          <w:bCs/>
          <w:sz w:val="24"/>
          <w:szCs w:val="24"/>
        </w:rPr>
      </w:pPr>
      <w:r w:rsidRPr="00C514A7">
        <w:rPr>
          <w:rFonts w:ascii="Arial" w:hAnsi="Arial" w:cs="Arial"/>
          <w:b/>
          <w:bCs/>
          <w:sz w:val="24"/>
          <w:szCs w:val="24"/>
        </w:rPr>
        <w:t>Slide 10</w:t>
      </w:r>
    </w:p>
    <w:p w14:paraId="53B2071A" w14:textId="54B61321" w:rsidR="00287CD8" w:rsidRDefault="0018377E" w:rsidP="008B3358">
      <w:pPr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</w:rPr>
      </w:pPr>
      <w:r w:rsidRPr="0018377E"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</w:rPr>
        <w:drawing>
          <wp:inline distT="0" distB="0" distL="0" distR="0" wp14:anchorId="6808A8C9" wp14:editId="3BB0DE55">
            <wp:extent cx="5731510" cy="3190875"/>
            <wp:effectExtent l="0" t="0" r="2540" b="9525"/>
            <wp:docPr id="1763407983" name="Picture 1" descr="A screenshot of a video conferen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3407983" name="Picture 1" descr="A screenshot of a video conference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9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BCEE0A" w14:textId="77777777" w:rsidR="0018377E" w:rsidRDefault="0018377E" w:rsidP="008B3358">
      <w:pPr>
        <w:rPr>
          <w:rFonts w:ascii="Arial" w:hAnsi="Arial" w:cs="Arial"/>
          <w:b/>
          <w:bCs/>
          <w:sz w:val="24"/>
          <w:szCs w:val="24"/>
        </w:rPr>
      </w:pPr>
    </w:p>
    <w:p w14:paraId="16B01714" w14:textId="50E6FD88" w:rsidR="00287CD8" w:rsidRDefault="00C514A7" w:rsidP="00287CD8">
      <w:pPr>
        <w:ind w:left="72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Feedback</w:t>
      </w:r>
    </w:p>
    <w:p w14:paraId="7BE16C4E" w14:textId="77777777" w:rsidR="00C514A7" w:rsidRPr="00C514A7" w:rsidRDefault="00C514A7" w:rsidP="00C514A7">
      <w:pPr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C514A7">
        <w:rPr>
          <w:rFonts w:ascii="Arial" w:hAnsi="Arial" w:cs="Arial"/>
          <w:sz w:val="24"/>
          <w:szCs w:val="24"/>
          <w:lang w:val="en-US"/>
        </w:rPr>
        <w:t xml:space="preserve">During the occasion, feedback had been acquired via a variety of sources, comprising survey distribution to people present, direct input by individuals, as well as reviews via important stakeholders. </w:t>
      </w:r>
    </w:p>
    <w:p w14:paraId="48F9867B" w14:textId="77777777" w:rsidR="0018377E" w:rsidRDefault="0018377E" w:rsidP="0018377E">
      <w:pPr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18377E">
        <w:rPr>
          <w:rFonts w:ascii="Arial" w:hAnsi="Arial" w:cs="Arial"/>
          <w:sz w:val="24"/>
          <w:szCs w:val="24"/>
        </w:rPr>
        <w:t>Feedback identifies opportunities for improvement, presents victories that may be replicated, and indicates emerging trends or difficulties.</w:t>
      </w:r>
    </w:p>
    <w:p w14:paraId="762D278A" w14:textId="77777777" w:rsidR="0018377E" w:rsidRPr="0018377E" w:rsidRDefault="0018377E" w:rsidP="0018377E">
      <w:pPr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18377E">
        <w:rPr>
          <w:rFonts w:ascii="Arial" w:hAnsi="Arial" w:cs="Arial"/>
          <w:sz w:val="24"/>
          <w:szCs w:val="24"/>
        </w:rPr>
        <w:t>The Feedback enables us to modify tactics to satisfy both present and prospective visitors, guaranteeing the industry's long-term development and vitality.</w:t>
      </w:r>
    </w:p>
    <w:p w14:paraId="342B91A7" w14:textId="77777777" w:rsidR="0018377E" w:rsidRPr="0018377E" w:rsidRDefault="0018377E" w:rsidP="0018377E">
      <w:pPr>
        <w:ind w:left="720"/>
        <w:rPr>
          <w:rFonts w:ascii="Arial" w:hAnsi="Arial" w:cs="Arial"/>
          <w:sz w:val="24"/>
          <w:szCs w:val="24"/>
        </w:rPr>
      </w:pPr>
    </w:p>
    <w:p w14:paraId="7BC1BF49" w14:textId="77777777" w:rsidR="00C514A7" w:rsidRDefault="00C514A7" w:rsidP="00C514A7">
      <w:pPr>
        <w:ind w:left="720"/>
        <w:rPr>
          <w:rFonts w:ascii="Arial" w:hAnsi="Arial" w:cs="Arial"/>
          <w:sz w:val="24"/>
          <w:szCs w:val="24"/>
        </w:rPr>
      </w:pPr>
    </w:p>
    <w:p w14:paraId="38689D43" w14:textId="77777777" w:rsidR="00C514A7" w:rsidRDefault="00C514A7" w:rsidP="00C514A7">
      <w:pPr>
        <w:ind w:left="720"/>
        <w:rPr>
          <w:rFonts w:ascii="Arial" w:hAnsi="Arial" w:cs="Arial"/>
          <w:sz w:val="24"/>
          <w:szCs w:val="24"/>
        </w:rPr>
      </w:pPr>
    </w:p>
    <w:p w14:paraId="012EF08D" w14:textId="77777777" w:rsidR="00C514A7" w:rsidRDefault="00C514A7" w:rsidP="00C514A7">
      <w:pPr>
        <w:ind w:left="720"/>
        <w:rPr>
          <w:rFonts w:ascii="Arial" w:hAnsi="Arial" w:cs="Arial"/>
          <w:sz w:val="24"/>
          <w:szCs w:val="24"/>
        </w:rPr>
      </w:pPr>
    </w:p>
    <w:p w14:paraId="20B1FBAD" w14:textId="77777777" w:rsidR="00C514A7" w:rsidRDefault="00C514A7" w:rsidP="00C514A7">
      <w:pPr>
        <w:ind w:left="720"/>
        <w:rPr>
          <w:rFonts w:ascii="Arial" w:hAnsi="Arial" w:cs="Arial"/>
          <w:sz w:val="24"/>
          <w:szCs w:val="24"/>
        </w:rPr>
      </w:pPr>
    </w:p>
    <w:p w14:paraId="0F4B1B95" w14:textId="77777777" w:rsidR="00C514A7" w:rsidRDefault="00C514A7" w:rsidP="00C514A7">
      <w:pPr>
        <w:ind w:left="720"/>
        <w:rPr>
          <w:rFonts w:ascii="Arial" w:hAnsi="Arial" w:cs="Arial"/>
          <w:sz w:val="24"/>
          <w:szCs w:val="24"/>
        </w:rPr>
      </w:pPr>
    </w:p>
    <w:p w14:paraId="43C06AA1" w14:textId="77777777" w:rsidR="00C514A7" w:rsidRDefault="00C514A7" w:rsidP="00C514A7">
      <w:pPr>
        <w:ind w:left="720"/>
        <w:rPr>
          <w:rFonts w:ascii="Arial" w:hAnsi="Arial" w:cs="Arial"/>
          <w:sz w:val="24"/>
          <w:szCs w:val="24"/>
        </w:rPr>
      </w:pPr>
    </w:p>
    <w:p w14:paraId="483EF39D" w14:textId="77777777" w:rsidR="00C514A7" w:rsidRDefault="00C514A7" w:rsidP="00C514A7">
      <w:pPr>
        <w:ind w:left="720"/>
        <w:rPr>
          <w:rFonts w:ascii="Arial" w:hAnsi="Arial" w:cs="Arial"/>
          <w:sz w:val="24"/>
          <w:szCs w:val="24"/>
        </w:rPr>
      </w:pPr>
    </w:p>
    <w:p w14:paraId="5E0027F8" w14:textId="77777777" w:rsidR="00C514A7" w:rsidRDefault="00C514A7" w:rsidP="00C514A7">
      <w:pPr>
        <w:ind w:left="720"/>
        <w:rPr>
          <w:rFonts w:ascii="Arial" w:hAnsi="Arial" w:cs="Arial"/>
          <w:sz w:val="24"/>
          <w:szCs w:val="24"/>
        </w:rPr>
      </w:pPr>
    </w:p>
    <w:p w14:paraId="49E085D2" w14:textId="77777777" w:rsidR="00C514A7" w:rsidRDefault="00C514A7" w:rsidP="00C514A7">
      <w:pPr>
        <w:ind w:left="720"/>
        <w:rPr>
          <w:rFonts w:ascii="Arial" w:hAnsi="Arial" w:cs="Arial"/>
          <w:sz w:val="24"/>
          <w:szCs w:val="24"/>
        </w:rPr>
      </w:pPr>
    </w:p>
    <w:p w14:paraId="0A69D657" w14:textId="14901018" w:rsidR="00C514A7" w:rsidRDefault="00360676" w:rsidP="00AD13B1">
      <w:pPr>
        <w:rPr>
          <w:rFonts w:ascii="Arial" w:hAnsi="Arial" w:cs="Arial"/>
          <w:b/>
          <w:bCs/>
          <w:sz w:val="24"/>
          <w:szCs w:val="24"/>
        </w:rPr>
      </w:pPr>
      <w:r w:rsidRPr="00360676">
        <w:rPr>
          <w:rFonts w:ascii="Arial" w:hAnsi="Arial" w:cs="Arial"/>
          <w:b/>
          <w:bCs/>
          <w:sz w:val="24"/>
          <w:szCs w:val="24"/>
        </w:rPr>
        <w:t>Slide 11</w:t>
      </w:r>
    </w:p>
    <w:p w14:paraId="4F08DB3F" w14:textId="72E5B05F" w:rsidR="00C514A7" w:rsidRDefault="00AD13B1" w:rsidP="00AD13B1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iCs/>
          <w:noProof/>
          <w:sz w:val="24"/>
          <w:szCs w:val="24"/>
        </w:rPr>
        <w:drawing>
          <wp:inline distT="0" distB="0" distL="0" distR="0" wp14:anchorId="70AC29B7" wp14:editId="306FA451">
            <wp:extent cx="5731510" cy="3223639"/>
            <wp:effectExtent l="0" t="0" r="2540" b="0"/>
            <wp:docPr id="50897802" name="Picture 3" descr="A close-up of a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897802" name="Picture 3" descr="A close-up of a pap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6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ECB6D42" w14:textId="77777777" w:rsidR="00AD13B1" w:rsidRPr="00AD13B1" w:rsidRDefault="00AD13B1" w:rsidP="00AD13B1">
      <w:pPr>
        <w:pStyle w:val="Heading1"/>
        <w:rPr>
          <w:rFonts w:ascii="Arial" w:hAnsi="Arial" w:cs="Arial"/>
        </w:rPr>
      </w:pPr>
      <w:bookmarkStart w:id="0" w:name="_Toc165899183"/>
      <w:r w:rsidRPr="00AD13B1">
        <w:rPr>
          <w:rFonts w:ascii="Arial" w:hAnsi="Arial" w:cs="Arial"/>
        </w:rPr>
        <w:t>References</w:t>
      </w:r>
      <w:bookmarkEnd w:id="0"/>
    </w:p>
    <w:p w14:paraId="1D2B40A4" w14:textId="77777777" w:rsidR="00AD13B1" w:rsidRPr="00AD13B1" w:rsidRDefault="00AD13B1" w:rsidP="00AD13B1">
      <w:pPr>
        <w:rPr>
          <w:rFonts w:ascii="Arial" w:hAnsi="Arial" w:cs="Arial"/>
          <w:color w:val="000000" w:themeColor="text1"/>
          <w:shd w:val="clear" w:color="auto" w:fill="FFFFFF"/>
          <w:lang w:val="en-IN"/>
        </w:rPr>
      </w:pPr>
      <w:r w:rsidRPr="00AD13B1">
        <w:rPr>
          <w:rFonts w:ascii="Arial" w:hAnsi="Arial" w:cs="Arial"/>
          <w:color w:val="000000" w:themeColor="text1"/>
          <w:shd w:val="clear" w:color="auto" w:fill="FFFFFF"/>
          <w:lang w:val="en-IN"/>
        </w:rPr>
        <w:t xml:space="preserve">Allen, J., Harris, R. and Jago, L., (2022). </w:t>
      </w:r>
      <w:r w:rsidRPr="00AD13B1">
        <w:rPr>
          <w:rFonts w:ascii="Arial" w:hAnsi="Arial" w:cs="Arial"/>
          <w:i/>
          <w:iCs/>
          <w:color w:val="000000" w:themeColor="text1"/>
          <w:shd w:val="clear" w:color="auto" w:fill="FFFFFF"/>
          <w:lang w:val="en-IN"/>
        </w:rPr>
        <w:t>Festival &amp; special event management</w:t>
      </w:r>
      <w:r w:rsidRPr="00AD13B1">
        <w:rPr>
          <w:rFonts w:ascii="Arial" w:hAnsi="Arial" w:cs="Arial"/>
          <w:color w:val="000000" w:themeColor="text1"/>
          <w:shd w:val="clear" w:color="auto" w:fill="FFFFFF"/>
          <w:lang w:val="en-IN"/>
        </w:rPr>
        <w:t>. John Wiley &amp; Sons.</w:t>
      </w:r>
    </w:p>
    <w:p w14:paraId="1F5B87E1" w14:textId="77777777" w:rsidR="00AD13B1" w:rsidRPr="00AD13B1" w:rsidRDefault="00AD13B1" w:rsidP="00AD13B1">
      <w:pPr>
        <w:rPr>
          <w:rFonts w:ascii="Arial" w:hAnsi="Arial" w:cs="Arial"/>
          <w:color w:val="000000" w:themeColor="text1"/>
        </w:rPr>
      </w:pPr>
      <w:r w:rsidRPr="00AD13B1">
        <w:rPr>
          <w:rFonts w:ascii="Arial" w:hAnsi="Arial" w:cs="Arial"/>
          <w:color w:val="000000" w:themeColor="text1"/>
          <w:shd w:val="clear" w:color="auto" w:fill="FFFFFF"/>
          <w:lang w:val="de-DE"/>
        </w:rPr>
        <w:t xml:space="preserve">Bergmann, M., Brück, C., Knauer, T. and Schwering, A., (2020). </w:t>
      </w:r>
      <w:r w:rsidRPr="00AD13B1">
        <w:rPr>
          <w:rFonts w:ascii="Arial" w:hAnsi="Arial" w:cs="Arial"/>
          <w:color w:val="000000" w:themeColor="text1"/>
          <w:shd w:val="clear" w:color="auto" w:fill="FFFFFF"/>
        </w:rPr>
        <w:t>Digitization of the budgeting process: determinants of the use of business analytics and its effect on satisfaction with the budgeting process. </w:t>
      </w:r>
      <w:r w:rsidRPr="00AD13B1">
        <w:rPr>
          <w:rFonts w:ascii="Arial" w:hAnsi="Arial" w:cs="Arial"/>
          <w:i/>
          <w:iCs/>
          <w:color w:val="000000" w:themeColor="text1"/>
          <w:shd w:val="clear" w:color="auto" w:fill="FFFFFF"/>
        </w:rPr>
        <w:t>Journal of Management Control</w:t>
      </w:r>
      <w:r w:rsidRPr="00AD13B1">
        <w:rPr>
          <w:rFonts w:ascii="Arial" w:hAnsi="Arial" w:cs="Arial"/>
          <w:color w:val="000000" w:themeColor="text1"/>
          <w:shd w:val="clear" w:color="auto" w:fill="FFFFFF"/>
        </w:rPr>
        <w:t>, </w:t>
      </w:r>
      <w:r w:rsidRPr="00AD13B1">
        <w:rPr>
          <w:rFonts w:ascii="Arial" w:hAnsi="Arial" w:cs="Arial"/>
          <w:i/>
          <w:iCs/>
          <w:color w:val="000000" w:themeColor="text1"/>
          <w:shd w:val="clear" w:color="auto" w:fill="FFFFFF"/>
        </w:rPr>
        <w:t>31</w:t>
      </w:r>
      <w:r w:rsidRPr="00AD13B1">
        <w:rPr>
          <w:rFonts w:ascii="Arial" w:hAnsi="Arial" w:cs="Arial"/>
          <w:color w:val="000000" w:themeColor="text1"/>
          <w:shd w:val="clear" w:color="auto" w:fill="FFFFFF"/>
        </w:rPr>
        <w:t>(1), pp.25-54.</w:t>
      </w:r>
    </w:p>
    <w:p w14:paraId="15789457" w14:textId="77777777" w:rsidR="00AD13B1" w:rsidRPr="00AD13B1" w:rsidRDefault="00AD13B1" w:rsidP="00AD13B1">
      <w:pPr>
        <w:rPr>
          <w:rFonts w:ascii="Arial" w:hAnsi="Arial" w:cs="Arial"/>
          <w:color w:val="000000" w:themeColor="text1"/>
          <w:shd w:val="clear" w:color="auto" w:fill="FFFFFF"/>
          <w:lang w:val="en-IN"/>
        </w:rPr>
      </w:pPr>
      <w:r w:rsidRPr="00AD13B1">
        <w:rPr>
          <w:rFonts w:ascii="Arial" w:hAnsi="Arial" w:cs="Arial"/>
          <w:color w:val="000000" w:themeColor="text1"/>
          <w:shd w:val="clear" w:color="auto" w:fill="FFFFFF"/>
          <w:lang w:val="en-IN"/>
        </w:rPr>
        <w:t xml:space="preserve">Bladen, C., Kennell, J., Abson, E. and Wilde, N., (2022). </w:t>
      </w:r>
      <w:r w:rsidRPr="00AD13B1">
        <w:rPr>
          <w:rFonts w:ascii="Arial" w:hAnsi="Arial" w:cs="Arial"/>
          <w:i/>
          <w:iCs/>
          <w:color w:val="000000" w:themeColor="text1"/>
          <w:shd w:val="clear" w:color="auto" w:fill="FFFFFF"/>
          <w:lang w:val="en-IN"/>
        </w:rPr>
        <w:t>Events management: An introduction</w:t>
      </w:r>
      <w:r w:rsidRPr="00AD13B1">
        <w:rPr>
          <w:rFonts w:ascii="Arial" w:hAnsi="Arial" w:cs="Arial"/>
          <w:color w:val="000000" w:themeColor="text1"/>
          <w:shd w:val="clear" w:color="auto" w:fill="FFFFFF"/>
          <w:lang w:val="en-IN"/>
        </w:rPr>
        <w:t>. Routledge.</w:t>
      </w:r>
    </w:p>
    <w:p w14:paraId="4DDF79AA" w14:textId="77777777" w:rsidR="00AD13B1" w:rsidRPr="00AD13B1" w:rsidRDefault="00AD13B1" w:rsidP="00AD13B1">
      <w:pPr>
        <w:rPr>
          <w:rFonts w:ascii="Arial" w:hAnsi="Arial" w:cs="Arial"/>
          <w:color w:val="000000" w:themeColor="text1"/>
          <w:szCs w:val="24"/>
          <w:shd w:val="clear" w:color="auto" w:fill="FFFFFF"/>
        </w:rPr>
      </w:pPr>
      <w:r w:rsidRPr="00AD13B1">
        <w:rPr>
          <w:rFonts w:ascii="Arial" w:hAnsi="Arial" w:cs="Arial"/>
          <w:color w:val="000000" w:themeColor="text1"/>
          <w:szCs w:val="24"/>
          <w:shd w:val="clear" w:color="auto" w:fill="FFFFFF"/>
        </w:rPr>
        <w:t xml:space="preserve">Fagan, M.E., Reid, J.L., Holland, M.B., Drew, J.G. and Zahawi, R.A., (2020). How feasible are global forest restoration </w:t>
      </w:r>
      <w:proofErr w:type="gramStart"/>
      <w:r w:rsidRPr="00AD13B1">
        <w:rPr>
          <w:rFonts w:ascii="Arial" w:hAnsi="Arial" w:cs="Arial"/>
          <w:color w:val="000000" w:themeColor="text1"/>
          <w:szCs w:val="24"/>
          <w:shd w:val="clear" w:color="auto" w:fill="FFFFFF"/>
        </w:rPr>
        <w:t>commitments?.</w:t>
      </w:r>
      <w:proofErr w:type="gramEnd"/>
      <w:r w:rsidRPr="00AD13B1">
        <w:rPr>
          <w:rFonts w:ascii="Arial" w:hAnsi="Arial" w:cs="Arial"/>
          <w:color w:val="000000" w:themeColor="text1"/>
          <w:szCs w:val="24"/>
          <w:shd w:val="clear" w:color="auto" w:fill="FFFFFF"/>
        </w:rPr>
        <w:t> </w:t>
      </w:r>
      <w:r w:rsidRPr="00AD13B1">
        <w:rPr>
          <w:rFonts w:ascii="Arial" w:hAnsi="Arial" w:cs="Arial"/>
          <w:i/>
          <w:iCs/>
          <w:color w:val="000000" w:themeColor="text1"/>
          <w:szCs w:val="24"/>
          <w:shd w:val="clear" w:color="auto" w:fill="FFFFFF"/>
        </w:rPr>
        <w:t>Conservation Letters</w:t>
      </w:r>
      <w:r w:rsidRPr="00AD13B1">
        <w:rPr>
          <w:rFonts w:ascii="Arial" w:hAnsi="Arial" w:cs="Arial"/>
          <w:color w:val="000000" w:themeColor="text1"/>
          <w:szCs w:val="24"/>
          <w:shd w:val="clear" w:color="auto" w:fill="FFFFFF"/>
        </w:rPr>
        <w:t>, </w:t>
      </w:r>
      <w:r w:rsidRPr="00AD13B1">
        <w:rPr>
          <w:rFonts w:ascii="Arial" w:hAnsi="Arial" w:cs="Arial"/>
          <w:i/>
          <w:iCs/>
          <w:color w:val="000000" w:themeColor="text1"/>
          <w:szCs w:val="24"/>
          <w:shd w:val="clear" w:color="auto" w:fill="FFFFFF"/>
        </w:rPr>
        <w:t>13</w:t>
      </w:r>
      <w:r w:rsidRPr="00AD13B1">
        <w:rPr>
          <w:rFonts w:ascii="Arial" w:hAnsi="Arial" w:cs="Arial"/>
          <w:color w:val="000000" w:themeColor="text1"/>
          <w:szCs w:val="24"/>
          <w:shd w:val="clear" w:color="auto" w:fill="FFFFFF"/>
        </w:rPr>
        <w:t>(3), p.e12700.</w:t>
      </w:r>
    </w:p>
    <w:p w14:paraId="114B411B" w14:textId="77777777" w:rsidR="00AD13B1" w:rsidRPr="00AD13B1" w:rsidRDefault="00AD13B1" w:rsidP="00AD13B1">
      <w:pPr>
        <w:rPr>
          <w:rFonts w:ascii="Arial" w:hAnsi="Arial" w:cs="Arial"/>
          <w:color w:val="000000" w:themeColor="text1"/>
          <w:shd w:val="clear" w:color="auto" w:fill="FFFFFF"/>
          <w:lang w:val="en-IN"/>
        </w:rPr>
      </w:pPr>
      <w:r w:rsidRPr="00AD13B1">
        <w:rPr>
          <w:rFonts w:ascii="Arial" w:hAnsi="Arial" w:cs="Arial"/>
          <w:color w:val="000000" w:themeColor="text1"/>
          <w:shd w:val="clear" w:color="auto" w:fill="FFFFFF"/>
          <w:lang w:val="en-IN"/>
        </w:rPr>
        <w:t xml:space="preserve">Fox, D. et al. (2014). </w:t>
      </w:r>
      <w:r w:rsidRPr="00AD13B1">
        <w:rPr>
          <w:rFonts w:ascii="Arial" w:hAnsi="Arial" w:cs="Arial"/>
          <w:i/>
          <w:iCs/>
          <w:color w:val="000000" w:themeColor="text1"/>
          <w:shd w:val="clear" w:color="auto" w:fill="FFFFFF"/>
          <w:lang w:val="en-IN"/>
        </w:rPr>
        <w:t>Doing events research: from theory to practice</w:t>
      </w:r>
      <w:r w:rsidRPr="00AD13B1">
        <w:rPr>
          <w:rFonts w:ascii="Arial" w:hAnsi="Arial" w:cs="Arial"/>
          <w:color w:val="000000" w:themeColor="text1"/>
          <w:shd w:val="clear" w:color="auto" w:fill="FFFFFF"/>
          <w:lang w:val="en-IN"/>
        </w:rPr>
        <w:t>. Routledge: Oxford.</w:t>
      </w:r>
    </w:p>
    <w:p w14:paraId="0F0D7431" w14:textId="77777777" w:rsidR="00AD13B1" w:rsidRPr="00AD13B1" w:rsidRDefault="00AD13B1" w:rsidP="00AD13B1">
      <w:pPr>
        <w:rPr>
          <w:rFonts w:ascii="Arial" w:hAnsi="Arial" w:cs="Arial"/>
          <w:color w:val="000000" w:themeColor="text1"/>
          <w:shd w:val="clear" w:color="auto" w:fill="FFFFFF"/>
          <w:lang w:val="en-IN"/>
        </w:rPr>
      </w:pPr>
      <w:r w:rsidRPr="00AD13B1">
        <w:rPr>
          <w:rFonts w:ascii="Arial" w:hAnsi="Arial" w:cs="Arial"/>
          <w:color w:val="000000" w:themeColor="text1"/>
          <w:shd w:val="clear" w:color="auto" w:fill="FFFFFF"/>
          <w:lang w:val="en-IN"/>
        </w:rPr>
        <w:t xml:space="preserve">George, R., (2021). The Tourism and Hospitality Marketing Environment. </w:t>
      </w:r>
      <w:r w:rsidRPr="00AD13B1">
        <w:rPr>
          <w:rFonts w:ascii="Arial" w:hAnsi="Arial" w:cs="Arial"/>
          <w:i/>
          <w:iCs/>
          <w:color w:val="000000" w:themeColor="text1"/>
          <w:shd w:val="clear" w:color="auto" w:fill="FFFFFF"/>
          <w:lang w:val="en-IN"/>
        </w:rPr>
        <w:t>Marketing Tourism and Hospitality: Concepts and Cases</w:t>
      </w:r>
      <w:r w:rsidRPr="00AD13B1">
        <w:rPr>
          <w:rFonts w:ascii="Arial" w:hAnsi="Arial" w:cs="Arial"/>
          <w:color w:val="000000" w:themeColor="text1"/>
          <w:shd w:val="clear" w:color="auto" w:fill="FFFFFF"/>
          <w:lang w:val="en-IN"/>
        </w:rPr>
        <w:t xml:space="preserve"> (pp. 183-219). Cham: Springer International Publishing.</w:t>
      </w:r>
    </w:p>
    <w:p w14:paraId="122F24F1" w14:textId="77777777" w:rsidR="00AD13B1" w:rsidRPr="00AD13B1" w:rsidRDefault="00AD13B1" w:rsidP="00AD13B1">
      <w:pPr>
        <w:rPr>
          <w:rFonts w:ascii="Arial" w:hAnsi="Arial" w:cs="Arial"/>
          <w:color w:val="000000" w:themeColor="text1"/>
          <w:shd w:val="clear" w:color="auto" w:fill="FFFFFF"/>
          <w:lang w:val="en-IN"/>
        </w:rPr>
      </w:pPr>
      <w:r w:rsidRPr="00AD13B1">
        <w:rPr>
          <w:rFonts w:ascii="Arial" w:hAnsi="Arial" w:cs="Arial"/>
          <w:color w:val="000000" w:themeColor="text1"/>
          <w:shd w:val="clear" w:color="auto" w:fill="FFFFFF"/>
          <w:lang w:val="en-IN"/>
        </w:rPr>
        <w:t xml:space="preserve">Getz, D. and Page, S. (2019). </w:t>
      </w:r>
      <w:r w:rsidRPr="00AD13B1">
        <w:rPr>
          <w:rFonts w:ascii="Arial" w:hAnsi="Arial" w:cs="Arial"/>
          <w:i/>
          <w:iCs/>
          <w:color w:val="000000" w:themeColor="text1"/>
          <w:shd w:val="clear" w:color="auto" w:fill="FFFFFF"/>
          <w:lang w:val="en-IN"/>
        </w:rPr>
        <w:t xml:space="preserve">Event studies: theory, </w:t>
      </w:r>
      <w:proofErr w:type="gramStart"/>
      <w:r w:rsidRPr="00AD13B1">
        <w:rPr>
          <w:rFonts w:ascii="Arial" w:hAnsi="Arial" w:cs="Arial"/>
          <w:i/>
          <w:iCs/>
          <w:color w:val="000000" w:themeColor="text1"/>
          <w:shd w:val="clear" w:color="auto" w:fill="FFFFFF"/>
          <w:lang w:val="en-IN"/>
        </w:rPr>
        <w:t>research</w:t>
      </w:r>
      <w:proofErr w:type="gramEnd"/>
      <w:r w:rsidRPr="00AD13B1">
        <w:rPr>
          <w:rFonts w:ascii="Arial" w:hAnsi="Arial" w:cs="Arial"/>
          <w:i/>
          <w:iCs/>
          <w:color w:val="000000" w:themeColor="text1"/>
          <w:shd w:val="clear" w:color="auto" w:fill="FFFFFF"/>
          <w:lang w:val="en-IN"/>
        </w:rPr>
        <w:t xml:space="preserve"> and policy for planned events</w:t>
      </w:r>
      <w:r w:rsidRPr="00AD13B1">
        <w:rPr>
          <w:rFonts w:ascii="Arial" w:hAnsi="Arial" w:cs="Arial"/>
          <w:color w:val="000000" w:themeColor="text1"/>
          <w:shd w:val="clear" w:color="auto" w:fill="FFFFFF"/>
          <w:lang w:val="en-IN"/>
        </w:rPr>
        <w:t>. 3rd Edition. Routledge: Oxford.</w:t>
      </w:r>
    </w:p>
    <w:p w14:paraId="35A8DA50" w14:textId="77777777" w:rsidR="00AD13B1" w:rsidRPr="00AD13B1" w:rsidRDefault="00AD13B1" w:rsidP="00AD13B1">
      <w:pPr>
        <w:rPr>
          <w:rFonts w:ascii="Arial" w:hAnsi="Arial" w:cs="Arial"/>
          <w:color w:val="000000" w:themeColor="text1"/>
          <w:szCs w:val="24"/>
          <w:shd w:val="clear" w:color="auto" w:fill="FFFFFF"/>
        </w:rPr>
      </w:pPr>
      <w:proofErr w:type="spellStart"/>
      <w:r w:rsidRPr="00AD13B1">
        <w:rPr>
          <w:rFonts w:ascii="Arial" w:hAnsi="Arial" w:cs="Arial"/>
          <w:color w:val="000000" w:themeColor="text1"/>
          <w:szCs w:val="24"/>
          <w:shd w:val="clear" w:color="auto" w:fill="FFFFFF"/>
        </w:rPr>
        <w:t>Ghobakhloo</w:t>
      </w:r>
      <w:proofErr w:type="spellEnd"/>
      <w:r w:rsidRPr="00AD13B1">
        <w:rPr>
          <w:rFonts w:ascii="Arial" w:hAnsi="Arial" w:cs="Arial"/>
          <w:color w:val="000000" w:themeColor="text1"/>
          <w:szCs w:val="24"/>
          <w:shd w:val="clear" w:color="auto" w:fill="FFFFFF"/>
        </w:rPr>
        <w:t xml:space="preserve">, M., </w:t>
      </w:r>
      <w:proofErr w:type="spellStart"/>
      <w:r w:rsidRPr="00AD13B1">
        <w:rPr>
          <w:rFonts w:ascii="Arial" w:hAnsi="Arial" w:cs="Arial"/>
          <w:color w:val="000000" w:themeColor="text1"/>
          <w:szCs w:val="24"/>
          <w:shd w:val="clear" w:color="auto" w:fill="FFFFFF"/>
        </w:rPr>
        <w:t>Iranmanesh</w:t>
      </w:r>
      <w:proofErr w:type="spellEnd"/>
      <w:r w:rsidRPr="00AD13B1">
        <w:rPr>
          <w:rFonts w:ascii="Arial" w:hAnsi="Arial" w:cs="Arial"/>
          <w:color w:val="000000" w:themeColor="text1"/>
          <w:szCs w:val="24"/>
          <w:shd w:val="clear" w:color="auto" w:fill="FFFFFF"/>
        </w:rPr>
        <w:t xml:space="preserve">, M., Vilkas, M., </w:t>
      </w:r>
      <w:proofErr w:type="spellStart"/>
      <w:r w:rsidRPr="00AD13B1">
        <w:rPr>
          <w:rFonts w:ascii="Arial" w:hAnsi="Arial" w:cs="Arial"/>
          <w:color w:val="000000" w:themeColor="text1"/>
          <w:szCs w:val="24"/>
          <w:shd w:val="clear" w:color="auto" w:fill="FFFFFF"/>
        </w:rPr>
        <w:t>Grybauskas</w:t>
      </w:r>
      <w:proofErr w:type="spellEnd"/>
      <w:r w:rsidRPr="00AD13B1">
        <w:rPr>
          <w:rFonts w:ascii="Arial" w:hAnsi="Arial" w:cs="Arial"/>
          <w:color w:val="000000" w:themeColor="text1"/>
          <w:szCs w:val="24"/>
          <w:shd w:val="clear" w:color="auto" w:fill="FFFFFF"/>
        </w:rPr>
        <w:t>, A. and Amran, A., (2022). Drivers and barriers of Industry 4.0 technology adoption among manufacturing SMEs: a systematic review and transformation roadmap. </w:t>
      </w:r>
      <w:r w:rsidRPr="00AD13B1">
        <w:rPr>
          <w:rFonts w:ascii="Arial" w:hAnsi="Arial" w:cs="Arial"/>
          <w:i/>
          <w:iCs/>
          <w:color w:val="000000" w:themeColor="text1"/>
          <w:szCs w:val="24"/>
          <w:shd w:val="clear" w:color="auto" w:fill="FFFFFF"/>
        </w:rPr>
        <w:t>Journal of Manufacturing Technology Management</w:t>
      </w:r>
      <w:r w:rsidRPr="00AD13B1">
        <w:rPr>
          <w:rFonts w:ascii="Arial" w:hAnsi="Arial" w:cs="Arial"/>
          <w:color w:val="000000" w:themeColor="text1"/>
          <w:szCs w:val="24"/>
          <w:shd w:val="clear" w:color="auto" w:fill="FFFFFF"/>
        </w:rPr>
        <w:t>, </w:t>
      </w:r>
      <w:r w:rsidRPr="00AD13B1">
        <w:rPr>
          <w:rFonts w:ascii="Arial" w:hAnsi="Arial" w:cs="Arial"/>
          <w:i/>
          <w:iCs/>
          <w:color w:val="000000" w:themeColor="text1"/>
          <w:szCs w:val="24"/>
          <w:shd w:val="clear" w:color="auto" w:fill="FFFFFF"/>
        </w:rPr>
        <w:t>33</w:t>
      </w:r>
      <w:r w:rsidRPr="00AD13B1">
        <w:rPr>
          <w:rFonts w:ascii="Arial" w:hAnsi="Arial" w:cs="Arial"/>
          <w:color w:val="000000" w:themeColor="text1"/>
          <w:szCs w:val="24"/>
          <w:shd w:val="clear" w:color="auto" w:fill="FFFFFF"/>
        </w:rPr>
        <w:t>(6), pp.1029-1058.</w:t>
      </w:r>
    </w:p>
    <w:p w14:paraId="29CC01B6" w14:textId="77777777" w:rsidR="00AD13B1" w:rsidRPr="00AD13B1" w:rsidRDefault="00AD13B1" w:rsidP="00AD13B1">
      <w:pPr>
        <w:rPr>
          <w:rFonts w:ascii="Arial" w:hAnsi="Arial" w:cs="Arial"/>
          <w:color w:val="000000" w:themeColor="text1"/>
          <w:szCs w:val="24"/>
          <w:shd w:val="clear" w:color="auto" w:fill="FFFFFF"/>
        </w:rPr>
      </w:pPr>
      <w:proofErr w:type="spellStart"/>
      <w:r w:rsidRPr="00AD13B1">
        <w:rPr>
          <w:rFonts w:ascii="Arial" w:hAnsi="Arial" w:cs="Arial"/>
          <w:color w:val="000000" w:themeColor="text1"/>
          <w:szCs w:val="24"/>
          <w:shd w:val="clear" w:color="auto" w:fill="FFFFFF"/>
        </w:rPr>
        <w:t>Gouttebarge</w:t>
      </w:r>
      <w:proofErr w:type="spellEnd"/>
      <w:r w:rsidRPr="00AD13B1">
        <w:rPr>
          <w:rFonts w:ascii="Arial" w:hAnsi="Arial" w:cs="Arial"/>
          <w:color w:val="000000" w:themeColor="text1"/>
          <w:szCs w:val="24"/>
          <w:shd w:val="clear" w:color="auto" w:fill="FFFFFF"/>
        </w:rPr>
        <w:t xml:space="preserve">, V., Bindra, A., </w:t>
      </w:r>
      <w:proofErr w:type="spellStart"/>
      <w:r w:rsidRPr="00AD13B1">
        <w:rPr>
          <w:rFonts w:ascii="Arial" w:hAnsi="Arial" w:cs="Arial"/>
          <w:color w:val="000000" w:themeColor="text1"/>
          <w:szCs w:val="24"/>
          <w:shd w:val="clear" w:color="auto" w:fill="FFFFFF"/>
        </w:rPr>
        <w:t>Blauwet</w:t>
      </w:r>
      <w:proofErr w:type="spellEnd"/>
      <w:r w:rsidRPr="00AD13B1">
        <w:rPr>
          <w:rFonts w:ascii="Arial" w:hAnsi="Arial" w:cs="Arial"/>
          <w:color w:val="000000" w:themeColor="text1"/>
          <w:szCs w:val="24"/>
          <w:shd w:val="clear" w:color="auto" w:fill="FFFFFF"/>
        </w:rPr>
        <w:t xml:space="preserve">, C., Campriani, N., Currie, A., Engebretsen, L., Hainline, B., Kroshus, E., McDuff, D., Mountjoy, M. and Purcell, R., (2021). International Olympic </w:t>
      </w:r>
      <w:r w:rsidRPr="00AD13B1">
        <w:rPr>
          <w:rFonts w:ascii="Arial" w:hAnsi="Arial" w:cs="Arial"/>
          <w:color w:val="000000" w:themeColor="text1"/>
          <w:szCs w:val="24"/>
          <w:shd w:val="clear" w:color="auto" w:fill="FFFFFF"/>
        </w:rPr>
        <w:lastRenderedPageBreak/>
        <w:t>Committee (IOC) sport mental health assessment tool 1 (SMHAT-1) and sport mental health recognition tool 1 (SMHRT-1): towards better support of athletes’ mental health. </w:t>
      </w:r>
      <w:r w:rsidRPr="00AD13B1">
        <w:rPr>
          <w:rFonts w:ascii="Arial" w:hAnsi="Arial" w:cs="Arial"/>
          <w:i/>
          <w:iCs/>
          <w:color w:val="000000" w:themeColor="text1"/>
          <w:szCs w:val="24"/>
          <w:shd w:val="clear" w:color="auto" w:fill="FFFFFF"/>
        </w:rPr>
        <w:t>British journal of sports medicine</w:t>
      </w:r>
      <w:r w:rsidRPr="00AD13B1">
        <w:rPr>
          <w:rFonts w:ascii="Arial" w:hAnsi="Arial" w:cs="Arial"/>
          <w:color w:val="000000" w:themeColor="text1"/>
          <w:szCs w:val="24"/>
          <w:shd w:val="clear" w:color="auto" w:fill="FFFFFF"/>
        </w:rPr>
        <w:t>, </w:t>
      </w:r>
      <w:r w:rsidRPr="00AD13B1">
        <w:rPr>
          <w:rFonts w:ascii="Arial" w:hAnsi="Arial" w:cs="Arial"/>
          <w:i/>
          <w:iCs/>
          <w:color w:val="000000" w:themeColor="text1"/>
          <w:szCs w:val="24"/>
          <w:shd w:val="clear" w:color="auto" w:fill="FFFFFF"/>
        </w:rPr>
        <w:t>55</w:t>
      </w:r>
      <w:r w:rsidRPr="00AD13B1">
        <w:rPr>
          <w:rFonts w:ascii="Arial" w:hAnsi="Arial" w:cs="Arial"/>
          <w:color w:val="000000" w:themeColor="text1"/>
          <w:szCs w:val="24"/>
          <w:shd w:val="clear" w:color="auto" w:fill="FFFFFF"/>
        </w:rPr>
        <w:t>(1), pp.30-37.</w:t>
      </w:r>
    </w:p>
    <w:p w14:paraId="126A6402" w14:textId="77777777" w:rsidR="00AD13B1" w:rsidRPr="00AD13B1" w:rsidRDefault="00AD13B1" w:rsidP="00AD13B1">
      <w:pPr>
        <w:rPr>
          <w:rFonts w:ascii="Arial" w:hAnsi="Arial" w:cs="Arial"/>
          <w:color w:val="000000" w:themeColor="text1"/>
          <w:shd w:val="clear" w:color="auto" w:fill="FFFFFF"/>
          <w:lang w:val="en-IN"/>
        </w:rPr>
      </w:pPr>
      <w:r w:rsidRPr="00AD13B1">
        <w:rPr>
          <w:rFonts w:ascii="Arial" w:hAnsi="Arial" w:cs="Arial"/>
          <w:color w:val="000000" w:themeColor="text1"/>
          <w:shd w:val="clear" w:color="auto" w:fill="FFFFFF"/>
          <w:lang w:val="en-IN"/>
        </w:rPr>
        <w:t xml:space="preserve">Hagen, D., (2021). Sustainable event management: new perspectives for the meeting industry through innovation and </w:t>
      </w:r>
      <w:proofErr w:type="gramStart"/>
      <w:r w:rsidRPr="00AD13B1">
        <w:rPr>
          <w:rFonts w:ascii="Arial" w:hAnsi="Arial" w:cs="Arial"/>
          <w:color w:val="000000" w:themeColor="text1"/>
          <w:shd w:val="clear" w:color="auto" w:fill="FFFFFF"/>
          <w:lang w:val="en-IN"/>
        </w:rPr>
        <w:t>digitalisation?.</w:t>
      </w:r>
      <w:proofErr w:type="gramEnd"/>
      <w:r w:rsidRPr="00AD13B1">
        <w:rPr>
          <w:rFonts w:ascii="Arial" w:hAnsi="Arial" w:cs="Arial"/>
          <w:color w:val="000000" w:themeColor="text1"/>
          <w:shd w:val="clear" w:color="auto" w:fill="FFFFFF"/>
          <w:lang w:val="en-IN"/>
        </w:rPr>
        <w:t xml:space="preserve"> </w:t>
      </w:r>
      <w:r w:rsidRPr="00AD13B1">
        <w:rPr>
          <w:rFonts w:ascii="Arial" w:hAnsi="Arial" w:cs="Arial"/>
          <w:i/>
          <w:iCs/>
          <w:color w:val="000000" w:themeColor="text1"/>
          <w:shd w:val="clear" w:color="auto" w:fill="FFFFFF"/>
          <w:lang w:val="en-IN"/>
        </w:rPr>
        <w:t>Innovations and Traditions for Sustainable Development</w:t>
      </w:r>
      <w:r w:rsidRPr="00AD13B1">
        <w:rPr>
          <w:rFonts w:ascii="Arial" w:hAnsi="Arial" w:cs="Arial"/>
          <w:color w:val="000000" w:themeColor="text1"/>
          <w:shd w:val="clear" w:color="auto" w:fill="FFFFFF"/>
          <w:lang w:val="en-IN"/>
        </w:rPr>
        <w:t>, pp.259-275.</w:t>
      </w:r>
    </w:p>
    <w:p w14:paraId="168B5FBE" w14:textId="77777777" w:rsidR="00AD13B1" w:rsidRPr="00AD13B1" w:rsidRDefault="00AD13B1" w:rsidP="00AD13B1">
      <w:pPr>
        <w:rPr>
          <w:rFonts w:ascii="Arial" w:hAnsi="Arial" w:cs="Arial"/>
          <w:color w:val="000000" w:themeColor="text1"/>
          <w:sz w:val="28"/>
          <w:szCs w:val="28"/>
        </w:rPr>
      </w:pPr>
      <w:proofErr w:type="spellStart"/>
      <w:r w:rsidRPr="00AD13B1">
        <w:rPr>
          <w:rFonts w:ascii="Arial" w:hAnsi="Arial" w:cs="Arial"/>
          <w:color w:val="000000" w:themeColor="text1"/>
          <w:szCs w:val="24"/>
          <w:shd w:val="clear" w:color="auto" w:fill="FFFFFF"/>
        </w:rPr>
        <w:t>Leitenstorfer</w:t>
      </w:r>
      <w:proofErr w:type="spellEnd"/>
      <w:r w:rsidRPr="00AD13B1">
        <w:rPr>
          <w:rFonts w:ascii="Arial" w:hAnsi="Arial" w:cs="Arial"/>
          <w:color w:val="000000" w:themeColor="text1"/>
          <w:szCs w:val="24"/>
          <w:shd w:val="clear" w:color="auto" w:fill="FFFFFF"/>
        </w:rPr>
        <w:t xml:space="preserve">, A., Moskalenko, A.S., </w:t>
      </w:r>
      <w:proofErr w:type="spellStart"/>
      <w:r w:rsidRPr="00AD13B1">
        <w:rPr>
          <w:rFonts w:ascii="Arial" w:hAnsi="Arial" w:cs="Arial"/>
          <w:color w:val="000000" w:themeColor="text1"/>
          <w:szCs w:val="24"/>
          <w:shd w:val="clear" w:color="auto" w:fill="FFFFFF"/>
        </w:rPr>
        <w:t>Kampfrath</w:t>
      </w:r>
      <w:proofErr w:type="spellEnd"/>
      <w:r w:rsidRPr="00AD13B1">
        <w:rPr>
          <w:rFonts w:ascii="Arial" w:hAnsi="Arial" w:cs="Arial"/>
          <w:color w:val="000000" w:themeColor="text1"/>
          <w:szCs w:val="24"/>
          <w:shd w:val="clear" w:color="auto" w:fill="FFFFFF"/>
        </w:rPr>
        <w:t xml:space="preserve">, T., Kono, J., Castro-Camus, E., Peng, K., Qureshi, N., </w:t>
      </w:r>
      <w:proofErr w:type="spellStart"/>
      <w:r w:rsidRPr="00AD13B1">
        <w:rPr>
          <w:rFonts w:ascii="Arial" w:hAnsi="Arial" w:cs="Arial"/>
          <w:color w:val="000000" w:themeColor="text1"/>
          <w:szCs w:val="24"/>
          <w:shd w:val="clear" w:color="auto" w:fill="FFFFFF"/>
        </w:rPr>
        <w:t>Turchinovich</w:t>
      </w:r>
      <w:proofErr w:type="spellEnd"/>
      <w:r w:rsidRPr="00AD13B1">
        <w:rPr>
          <w:rFonts w:ascii="Arial" w:hAnsi="Arial" w:cs="Arial"/>
          <w:color w:val="000000" w:themeColor="text1"/>
          <w:szCs w:val="24"/>
          <w:shd w:val="clear" w:color="auto" w:fill="FFFFFF"/>
        </w:rPr>
        <w:t xml:space="preserve">, D., Tanaka, K., </w:t>
      </w:r>
      <w:proofErr w:type="spellStart"/>
      <w:r w:rsidRPr="00AD13B1">
        <w:rPr>
          <w:rFonts w:ascii="Arial" w:hAnsi="Arial" w:cs="Arial"/>
          <w:color w:val="000000" w:themeColor="text1"/>
          <w:szCs w:val="24"/>
          <w:shd w:val="clear" w:color="auto" w:fill="FFFFFF"/>
        </w:rPr>
        <w:t>Markelz</w:t>
      </w:r>
      <w:proofErr w:type="spellEnd"/>
      <w:r w:rsidRPr="00AD13B1">
        <w:rPr>
          <w:rFonts w:ascii="Arial" w:hAnsi="Arial" w:cs="Arial"/>
          <w:color w:val="000000" w:themeColor="text1"/>
          <w:szCs w:val="24"/>
          <w:shd w:val="clear" w:color="auto" w:fill="FFFFFF"/>
        </w:rPr>
        <w:t xml:space="preserve">, A.G. and </w:t>
      </w:r>
      <w:proofErr w:type="spellStart"/>
      <w:r w:rsidRPr="00AD13B1">
        <w:rPr>
          <w:rFonts w:ascii="Arial" w:hAnsi="Arial" w:cs="Arial"/>
          <w:color w:val="000000" w:themeColor="text1"/>
          <w:szCs w:val="24"/>
          <w:shd w:val="clear" w:color="auto" w:fill="FFFFFF"/>
        </w:rPr>
        <w:t>Havenith</w:t>
      </w:r>
      <w:proofErr w:type="spellEnd"/>
      <w:r w:rsidRPr="00AD13B1">
        <w:rPr>
          <w:rFonts w:ascii="Arial" w:hAnsi="Arial" w:cs="Arial"/>
          <w:color w:val="000000" w:themeColor="text1"/>
          <w:szCs w:val="24"/>
          <w:shd w:val="clear" w:color="auto" w:fill="FFFFFF"/>
        </w:rPr>
        <w:t>, M., (2023). The 2023 terahertz science and technology roadmap. </w:t>
      </w:r>
      <w:r w:rsidRPr="00AD13B1">
        <w:rPr>
          <w:rFonts w:ascii="Arial" w:hAnsi="Arial" w:cs="Arial"/>
          <w:i/>
          <w:iCs/>
          <w:color w:val="000000" w:themeColor="text1"/>
          <w:szCs w:val="24"/>
          <w:shd w:val="clear" w:color="auto" w:fill="FFFFFF"/>
        </w:rPr>
        <w:t>Journal of Physics D: Applied Physics</w:t>
      </w:r>
      <w:r w:rsidRPr="00AD13B1">
        <w:rPr>
          <w:rFonts w:ascii="Arial" w:hAnsi="Arial" w:cs="Arial"/>
          <w:color w:val="000000" w:themeColor="text1"/>
          <w:szCs w:val="24"/>
          <w:shd w:val="clear" w:color="auto" w:fill="FFFFFF"/>
        </w:rPr>
        <w:t>, </w:t>
      </w:r>
      <w:r w:rsidRPr="00AD13B1">
        <w:rPr>
          <w:rFonts w:ascii="Arial" w:hAnsi="Arial" w:cs="Arial"/>
          <w:i/>
          <w:iCs/>
          <w:color w:val="000000" w:themeColor="text1"/>
          <w:szCs w:val="24"/>
          <w:shd w:val="clear" w:color="auto" w:fill="FFFFFF"/>
        </w:rPr>
        <w:t>56</w:t>
      </w:r>
      <w:r w:rsidRPr="00AD13B1">
        <w:rPr>
          <w:rFonts w:ascii="Arial" w:hAnsi="Arial" w:cs="Arial"/>
          <w:color w:val="000000" w:themeColor="text1"/>
          <w:szCs w:val="24"/>
          <w:shd w:val="clear" w:color="auto" w:fill="FFFFFF"/>
        </w:rPr>
        <w:t>(22), p.223001.</w:t>
      </w:r>
    </w:p>
    <w:p w14:paraId="7BE4CCA5" w14:textId="77777777" w:rsidR="00AD13B1" w:rsidRPr="00AD13B1" w:rsidRDefault="00AD13B1" w:rsidP="00AD13B1">
      <w:pPr>
        <w:rPr>
          <w:rFonts w:ascii="Arial" w:hAnsi="Arial" w:cs="Arial"/>
          <w:color w:val="000000" w:themeColor="text1"/>
          <w:shd w:val="clear" w:color="auto" w:fill="FFFFFF"/>
          <w:lang w:val="en-IN"/>
        </w:rPr>
      </w:pPr>
      <w:proofErr w:type="spellStart"/>
      <w:r w:rsidRPr="00AD13B1">
        <w:rPr>
          <w:rFonts w:ascii="Arial" w:hAnsi="Arial" w:cs="Arial"/>
          <w:color w:val="000000" w:themeColor="text1"/>
          <w:shd w:val="clear" w:color="auto" w:fill="FFFFFF"/>
          <w:lang w:val="en-IN"/>
        </w:rPr>
        <w:t>Martinsuo</w:t>
      </w:r>
      <w:proofErr w:type="spellEnd"/>
      <w:r w:rsidRPr="00AD13B1">
        <w:rPr>
          <w:rFonts w:ascii="Arial" w:hAnsi="Arial" w:cs="Arial"/>
          <w:color w:val="000000" w:themeColor="text1"/>
          <w:shd w:val="clear" w:color="auto" w:fill="FFFFFF"/>
          <w:lang w:val="en-IN"/>
        </w:rPr>
        <w:t xml:space="preserve">, M., </w:t>
      </w:r>
      <w:proofErr w:type="spellStart"/>
      <w:r w:rsidRPr="00AD13B1">
        <w:rPr>
          <w:rFonts w:ascii="Arial" w:hAnsi="Arial" w:cs="Arial"/>
          <w:color w:val="000000" w:themeColor="text1"/>
          <w:shd w:val="clear" w:color="auto" w:fill="FFFFFF"/>
          <w:lang w:val="en-IN"/>
        </w:rPr>
        <w:t>Teerikangas</w:t>
      </w:r>
      <w:proofErr w:type="spellEnd"/>
      <w:r w:rsidRPr="00AD13B1">
        <w:rPr>
          <w:rFonts w:ascii="Arial" w:hAnsi="Arial" w:cs="Arial"/>
          <w:color w:val="000000" w:themeColor="text1"/>
          <w:shd w:val="clear" w:color="auto" w:fill="FFFFFF"/>
          <w:lang w:val="en-IN"/>
        </w:rPr>
        <w:t xml:space="preserve">, S., </w:t>
      </w:r>
      <w:proofErr w:type="spellStart"/>
      <w:r w:rsidRPr="00AD13B1">
        <w:rPr>
          <w:rFonts w:ascii="Arial" w:hAnsi="Arial" w:cs="Arial"/>
          <w:color w:val="000000" w:themeColor="text1"/>
          <w:shd w:val="clear" w:color="auto" w:fill="FFFFFF"/>
          <w:lang w:val="en-IN"/>
        </w:rPr>
        <w:t>Stensaker</w:t>
      </w:r>
      <w:proofErr w:type="spellEnd"/>
      <w:r w:rsidRPr="00AD13B1">
        <w:rPr>
          <w:rFonts w:ascii="Arial" w:hAnsi="Arial" w:cs="Arial"/>
          <w:color w:val="000000" w:themeColor="text1"/>
          <w:shd w:val="clear" w:color="auto" w:fill="FFFFFF"/>
          <w:lang w:val="en-IN"/>
        </w:rPr>
        <w:t xml:space="preserve">, I. and Meredith, J., (2022). Managing strategic projects and programs in and between organizations. </w:t>
      </w:r>
      <w:r w:rsidRPr="00AD13B1">
        <w:rPr>
          <w:rFonts w:ascii="Arial" w:hAnsi="Arial" w:cs="Arial"/>
          <w:i/>
          <w:iCs/>
          <w:color w:val="000000" w:themeColor="text1"/>
          <w:shd w:val="clear" w:color="auto" w:fill="FFFFFF"/>
          <w:lang w:val="en-IN"/>
        </w:rPr>
        <w:t>International Journal of Project Management</w:t>
      </w:r>
      <w:r w:rsidRPr="00AD13B1">
        <w:rPr>
          <w:rFonts w:ascii="Arial" w:hAnsi="Arial" w:cs="Arial"/>
          <w:color w:val="000000" w:themeColor="text1"/>
          <w:shd w:val="clear" w:color="auto" w:fill="FFFFFF"/>
          <w:lang w:val="en-IN"/>
        </w:rPr>
        <w:t>, 40(5), pp.499-504.</w:t>
      </w:r>
    </w:p>
    <w:p w14:paraId="138BC0DE" w14:textId="77777777" w:rsidR="00AD13B1" w:rsidRPr="00AD13B1" w:rsidRDefault="00AD13B1" w:rsidP="00AD13B1">
      <w:pPr>
        <w:rPr>
          <w:rFonts w:ascii="Arial" w:hAnsi="Arial" w:cs="Arial"/>
          <w:color w:val="000000" w:themeColor="text1"/>
          <w:shd w:val="clear" w:color="auto" w:fill="FFFFFF"/>
          <w:lang w:val="en-IN"/>
        </w:rPr>
      </w:pPr>
      <w:r w:rsidRPr="00AD13B1">
        <w:rPr>
          <w:rFonts w:ascii="Arial" w:hAnsi="Arial" w:cs="Arial"/>
          <w:color w:val="000000" w:themeColor="text1"/>
          <w:shd w:val="clear" w:color="auto" w:fill="FFFFFF"/>
          <w:lang w:val="en-IN"/>
        </w:rPr>
        <w:t xml:space="preserve">O’Toole, W. (2011). </w:t>
      </w:r>
      <w:r w:rsidRPr="00AD13B1">
        <w:rPr>
          <w:rFonts w:ascii="Arial" w:hAnsi="Arial" w:cs="Arial"/>
          <w:i/>
          <w:iCs/>
          <w:color w:val="000000" w:themeColor="text1"/>
          <w:shd w:val="clear" w:color="auto" w:fill="FFFFFF"/>
          <w:lang w:val="en-IN"/>
        </w:rPr>
        <w:t>Events feasibility and development: from strategy to operations</w:t>
      </w:r>
      <w:r w:rsidRPr="00AD13B1">
        <w:rPr>
          <w:rFonts w:ascii="Arial" w:hAnsi="Arial" w:cs="Arial"/>
          <w:color w:val="000000" w:themeColor="text1"/>
          <w:shd w:val="clear" w:color="auto" w:fill="FFFFFF"/>
          <w:lang w:val="en-IN"/>
        </w:rPr>
        <w:t>. Elsevier: Oxford.</w:t>
      </w:r>
    </w:p>
    <w:p w14:paraId="7372BFEA" w14:textId="77777777" w:rsidR="00AD13B1" w:rsidRPr="00AD13B1" w:rsidRDefault="00AD13B1" w:rsidP="00AD13B1">
      <w:pPr>
        <w:rPr>
          <w:rFonts w:ascii="Arial" w:hAnsi="Arial" w:cs="Arial"/>
          <w:color w:val="000000" w:themeColor="text1"/>
          <w:shd w:val="clear" w:color="auto" w:fill="FFFFFF"/>
          <w:lang w:val="en-IN"/>
        </w:rPr>
      </w:pPr>
      <w:r w:rsidRPr="00AD13B1">
        <w:rPr>
          <w:rFonts w:ascii="Arial" w:hAnsi="Arial" w:cs="Arial"/>
          <w:color w:val="000000" w:themeColor="text1"/>
          <w:shd w:val="clear" w:color="auto" w:fill="FFFFFF"/>
          <w:lang w:val="en-IN"/>
        </w:rPr>
        <w:t xml:space="preserve">Parente, M., Figueira, G., Amorim, P. and Marques, A., (2020). Production scheduling in the context of Industry 4.0: review and trends. </w:t>
      </w:r>
      <w:r w:rsidRPr="00AD13B1">
        <w:rPr>
          <w:rFonts w:ascii="Arial" w:hAnsi="Arial" w:cs="Arial"/>
          <w:i/>
          <w:iCs/>
          <w:color w:val="000000" w:themeColor="text1"/>
          <w:shd w:val="clear" w:color="auto" w:fill="FFFFFF"/>
          <w:lang w:val="en-IN"/>
        </w:rPr>
        <w:t>International Journal of Production Research</w:t>
      </w:r>
      <w:r w:rsidRPr="00AD13B1">
        <w:rPr>
          <w:rFonts w:ascii="Arial" w:hAnsi="Arial" w:cs="Arial"/>
          <w:color w:val="000000" w:themeColor="text1"/>
          <w:shd w:val="clear" w:color="auto" w:fill="FFFFFF"/>
          <w:lang w:val="en-IN"/>
        </w:rPr>
        <w:t>, 58(17), pp.5401-5431.</w:t>
      </w:r>
    </w:p>
    <w:p w14:paraId="143967DA" w14:textId="77777777" w:rsidR="00AD13B1" w:rsidRPr="00AD13B1" w:rsidRDefault="00AD13B1" w:rsidP="00AD13B1">
      <w:pPr>
        <w:rPr>
          <w:rFonts w:ascii="Arial" w:hAnsi="Arial" w:cs="Arial"/>
          <w:color w:val="000000" w:themeColor="text1"/>
          <w:shd w:val="clear" w:color="auto" w:fill="FFFFFF"/>
          <w:lang w:val="en-IN"/>
        </w:rPr>
      </w:pPr>
      <w:r w:rsidRPr="00AD13B1">
        <w:rPr>
          <w:rFonts w:ascii="Arial" w:hAnsi="Arial" w:cs="Arial"/>
          <w:color w:val="000000" w:themeColor="text1"/>
          <w:shd w:val="clear" w:color="auto" w:fill="FFFFFF"/>
          <w:lang w:val="en-IN"/>
        </w:rPr>
        <w:t xml:space="preserve">Rogers, T. and Wynn-Moylan, P., (2022). </w:t>
      </w:r>
      <w:r w:rsidRPr="00AD13B1">
        <w:rPr>
          <w:rFonts w:ascii="Arial" w:hAnsi="Arial" w:cs="Arial"/>
          <w:i/>
          <w:iCs/>
          <w:color w:val="000000" w:themeColor="text1"/>
          <w:shd w:val="clear" w:color="auto" w:fill="FFFFFF"/>
          <w:lang w:val="en-IN"/>
        </w:rPr>
        <w:t>Conferences and conventions: A global industry</w:t>
      </w:r>
      <w:r w:rsidRPr="00AD13B1">
        <w:rPr>
          <w:rFonts w:ascii="Arial" w:hAnsi="Arial" w:cs="Arial"/>
          <w:color w:val="000000" w:themeColor="text1"/>
          <w:shd w:val="clear" w:color="auto" w:fill="FFFFFF"/>
          <w:lang w:val="en-IN"/>
        </w:rPr>
        <w:t>. Routledge.</w:t>
      </w:r>
    </w:p>
    <w:p w14:paraId="7951C2C6" w14:textId="77777777" w:rsidR="00AD13B1" w:rsidRPr="00AD13B1" w:rsidRDefault="00AD13B1" w:rsidP="00AD13B1">
      <w:pPr>
        <w:rPr>
          <w:rFonts w:ascii="Arial" w:hAnsi="Arial" w:cs="Arial"/>
          <w:color w:val="000000" w:themeColor="text1"/>
          <w:shd w:val="clear" w:color="auto" w:fill="FFFFFF"/>
        </w:rPr>
      </w:pPr>
      <w:proofErr w:type="spellStart"/>
      <w:r w:rsidRPr="00AD13B1">
        <w:rPr>
          <w:rFonts w:ascii="Arial" w:hAnsi="Arial" w:cs="Arial"/>
          <w:color w:val="000000" w:themeColor="text1"/>
          <w:shd w:val="clear" w:color="auto" w:fill="FFFFFF"/>
        </w:rPr>
        <w:t>Romenska</w:t>
      </w:r>
      <w:proofErr w:type="spellEnd"/>
      <w:r w:rsidRPr="00AD13B1">
        <w:rPr>
          <w:rFonts w:ascii="Arial" w:hAnsi="Arial" w:cs="Arial"/>
          <w:color w:val="000000" w:themeColor="text1"/>
          <w:shd w:val="clear" w:color="auto" w:fill="FFFFFF"/>
        </w:rPr>
        <w:t xml:space="preserve">, K., </w:t>
      </w:r>
      <w:proofErr w:type="spellStart"/>
      <w:r w:rsidRPr="00AD13B1">
        <w:rPr>
          <w:rFonts w:ascii="Arial" w:hAnsi="Arial" w:cs="Arial"/>
          <w:color w:val="000000" w:themeColor="text1"/>
          <w:shd w:val="clear" w:color="auto" w:fill="FFFFFF"/>
        </w:rPr>
        <w:t>Chentsov</w:t>
      </w:r>
      <w:proofErr w:type="spellEnd"/>
      <w:r w:rsidRPr="00AD13B1">
        <w:rPr>
          <w:rFonts w:ascii="Arial" w:hAnsi="Arial" w:cs="Arial"/>
          <w:color w:val="000000" w:themeColor="text1"/>
          <w:shd w:val="clear" w:color="auto" w:fill="FFFFFF"/>
        </w:rPr>
        <w:t xml:space="preserve">, V., Rozhko, O. and </w:t>
      </w:r>
      <w:proofErr w:type="spellStart"/>
      <w:r w:rsidRPr="00AD13B1">
        <w:rPr>
          <w:rFonts w:ascii="Arial" w:hAnsi="Arial" w:cs="Arial"/>
          <w:color w:val="000000" w:themeColor="text1"/>
          <w:shd w:val="clear" w:color="auto" w:fill="FFFFFF"/>
        </w:rPr>
        <w:t>Uspalenko</w:t>
      </w:r>
      <w:proofErr w:type="spellEnd"/>
      <w:r w:rsidRPr="00AD13B1">
        <w:rPr>
          <w:rFonts w:ascii="Arial" w:hAnsi="Arial" w:cs="Arial"/>
          <w:color w:val="000000" w:themeColor="text1"/>
          <w:shd w:val="clear" w:color="auto" w:fill="FFFFFF"/>
        </w:rPr>
        <w:t>, V., (2023). Budget planning with the development of the budget process in Ukraine.</w:t>
      </w:r>
    </w:p>
    <w:p w14:paraId="50AA290E" w14:textId="77777777" w:rsidR="00AD13B1" w:rsidRPr="00AD13B1" w:rsidRDefault="00AD13B1" w:rsidP="00AD13B1">
      <w:pPr>
        <w:rPr>
          <w:rFonts w:ascii="Arial" w:hAnsi="Arial" w:cs="Arial"/>
          <w:color w:val="222222"/>
          <w:szCs w:val="24"/>
          <w:shd w:val="clear" w:color="auto" w:fill="FFFFFF"/>
        </w:rPr>
      </w:pPr>
      <w:proofErr w:type="spellStart"/>
      <w:r w:rsidRPr="00AD13B1">
        <w:rPr>
          <w:rFonts w:ascii="Arial" w:hAnsi="Arial" w:cs="Arial"/>
          <w:color w:val="222222"/>
          <w:szCs w:val="24"/>
          <w:shd w:val="clear" w:color="auto" w:fill="FFFFFF"/>
        </w:rPr>
        <w:t>Schorb</w:t>
      </w:r>
      <w:proofErr w:type="spellEnd"/>
      <w:r w:rsidRPr="00AD13B1">
        <w:rPr>
          <w:rFonts w:ascii="Arial" w:hAnsi="Arial" w:cs="Arial"/>
          <w:color w:val="222222"/>
          <w:szCs w:val="24"/>
          <w:shd w:val="clear" w:color="auto" w:fill="FFFFFF"/>
        </w:rPr>
        <w:t xml:space="preserve">, E., Fox, C.P., </w:t>
      </w:r>
      <w:proofErr w:type="spellStart"/>
      <w:r w:rsidRPr="00AD13B1">
        <w:rPr>
          <w:rFonts w:ascii="Arial" w:hAnsi="Arial" w:cs="Arial"/>
          <w:color w:val="222222"/>
          <w:szCs w:val="24"/>
          <w:shd w:val="clear" w:color="auto" w:fill="FFFFFF"/>
        </w:rPr>
        <w:t>Kasenda</w:t>
      </w:r>
      <w:proofErr w:type="spellEnd"/>
      <w:r w:rsidRPr="00AD13B1">
        <w:rPr>
          <w:rFonts w:ascii="Arial" w:hAnsi="Arial" w:cs="Arial"/>
          <w:color w:val="222222"/>
          <w:szCs w:val="24"/>
          <w:shd w:val="clear" w:color="auto" w:fill="FFFFFF"/>
        </w:rPr>
        <w:t>, B., Linton, K., Martinez</w:t>
      </w:r>
      <w:r w:rsidRPr="00AD13B1">
        <w:rPr>
          <w:rFonts w:ascii="Cambria Math" w:hAnsi="Cambria Math" w:cs="Cambria Math"/>
          <w:color w:val="222222"/>
          <w:szCs w:val="24"/>
          <w:shd w:val="clear" w:color="auto" w:fill="FFFFFF"/>
        </w:rPr>
        <w:t>‐</w:t>
      </w:r>
      <w:r w:rsidRPr="00AD13B1">
        <w:rPr>
          <w:rFonts w:ascii="Arial" w:hAnsi="Arial" w:cs="Arial"/>
          <w:color w:val="222222"/>
          <w:szCs w:val="24"/>
          <w:shd w:val="clear" w:color="auto" w:fill="FFFFFF"/>
        </w:rPr>
        <w:t xml:space="preserve">Calle, N., </w:t>
      </w:r>
      <w:proofErr w:type="spellStart"/>
      <w:r w:rsidRPr="00AD13B1">
        <w:rPr>
          <w:rFonts w:ascii="Arial" w:hAnsi="Arial" w:cs="Arial"/>
          <w:color w:val="222222"/>
          <w:szCs w:val="24"/>
          <w:shd w:val="clear" w:color="auto" w:fill="FFFFFF"/>
        </w:rPr>
        <w:t>Calimeri</w:t>
      </w:r>
      <w:proofErr w:type="spellEnd"/>
      <w:r w:rsidRPr="00AD13B1">
        <w:rPr>
          <w:rFonts w:ascii="Arial" w:hAnsi="Arial" w:cs="Arial"/>
          <w:color w:val="222222"/>
          <w:szCs w:val="24"/>
          <w:shd w:val="clear" w:color="auto" w:fill="FFFFFF"/>
        </w:rPr>
        <w:t xml:space="preserve">, T., Ninkovic, S., Eyre, T.A., Cummin, T., Smith, J. and </w:t>
      </w:r>
      <w:proofErr w:type="spellStart"/>
      <w:r w:rsidRPr="00AD13B1">
        <w:rPr>
          <w:rFonts w:ascii="Arial" w:hAnsi="Arial" w:cs="Arial"/>
          <w:color w:val="222222"/>
          <w:szCs w:val="24"/>
          <w:shd w:val="clear" w:color="auto" w:fill="FFFFFF"/>
        </w:rPr>
        <w:t>Yallop</w:t>
      </w:r>
      <w:proofErr w:type="spellEnd"/>
      <w:r w:rsidRPr="00AD13B1">
        <w:rPr>
          <w:rFonts w:ascii="Arial" w:hAnsi="Arial" w:cs="Arial"/>
          <w:color w:val="222222"/>
          <w:szCs w:val="24"/>
          <w:shd w:val="clear" w:color="auto" w:fill="FFFFFF"/>
        </w:rPr>
        <w:t xml:space="preserve">, D., (2020). Induction therapy with the </w:t>
      </w:r>
      <w:proofErr w:type="spellStart"/>
      <w:r w:rsidRPr="00AD13B1">
        <w:rPr>
          <w:rFonts w:ascii="Arial" w:hAnsi="Arial" w:cs="Arial"/>
          <w:color w:val="222222"/>
          <w:szCs w:val="24"/>
          <w:shd w:val="clear" w:color="auto" w:fill="FFFFFF"/>
        </w:rPr>
        <w:t>MATRix</w:t>
      </w:r>
      <w:proofErr w:type="spellEnd"/>
      <w:r w:rsidRPr="00AD13B1">
        <w:rPr>
          <w:rFonts w:ascii="Arial" w:hAnsi="Arial" w:cs="Arial"/>
          <w:color w:val="222222"/>
          <w:szCs w:val="24"/>
          <w:shd w:val="clear" w:color="auto" w:fill="FFFFFF"/>
        </w:rPr>
        <w:t xml:space="preserve"> regimen in patients with newly diagnosed primary diffuse large B</w:t>
      </w:r>
      <w:r w:rsidRPr="00AD13B1">
        <w:rPr>
          <w:rFonts w:ascii="Cambria Math" w:hAnsi="Cambria Math" w:cs="Cambria Math"/>
          <w:color w:val="222222"/>
          <w:szCs w:val="24"/>
          <w:shd w:val="clear" w:color="auto" w:fill="FFFFFF"/>
        </w:rPr>
        <w:t>‐</w:t>
      </w:r>
      <w:r w:rsidRPr="00AD13B1">
        <w:rPr>
          <w:rFonts w:ascii="Arial" w:hAnsi="Arial" w:cs="Arial"/>
          <w:color w:val="222222"/>
          <w:szCs w:val="24"/>
          <w:shd w:val="clear" w:color="auto" w:fill="FFFFFF"/>
        </w:rPr>
        <w:t>cell lymphoma of the central nervous system–an international study of feasibility and efficacy in routine clinical practice. </w:t>
      </w:r>
      <w:r w:rsidRPr="00AD13B1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British Journal of Haematology</w:t>
      </w:r>
      <w:r w:rsidRPr="00AD13B1">
        <w:rPr>
          <w:rFonts w:ascii="Arial" w:hAnsi="Arial" w:cs="Arial"/>
          <w:color w:val="222222"/>
          <w:szCs w:val="24"/>
          <w:shd w:val="clear" w:color="auto" w:fill="FFFFFF"/>
        </w:rPr>
        <w:t>, </w:t>
      </w:r>
      <w:r w:rsidRPr="00AD13B1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189</w:t>
      </w:r>
      <w:r w:rsidRPr="00AD13B1">
        <w:rPr>
          <w:rFonts w:ascii="Arial" w:hAnsi="Arial" w:cs="Arial"/>
          <w:color w:val="222222"/>
          <w:szCs w:val="24"/>
          <w:shd w:val="clear" w:color="auto" w:fill="FFFFFF"/>
        </w:rPr>
        <w:t>(5), pp.879-887.</w:t>
      </w:r>
    </w:p>
    <w:p w14:paraId="2AF5D322" w14:textId="77777777" w:rsidR="00AD13B1" w:rsidRPr="00AD13B1" w:rsidRDefault="00AD13B1" w:rsidP="00AD13B1">
      <w:pPr>
        <w:rPr>
          <w:rFonts w:ascii="Arial" w:hAnsi="Arial" w:cs="Arial"/>
          <w:color w:val="000000" w:themeColor="text1"/>
          <w:shd w:val="clear" w:color="auto" w:fill="FFFFFF"/>
          <w:lang w:val="en-IN"/>
        </w:rPr>
      </w:pPr>
      <w:r w:rsidRPr="00AD13B1">
        <w:rPr>
          <w:rFonts w:ascii="Arial" w:hAnsi="Arial" w:cs="Arial"/>
          <w:color w:val="000000" w:themeColor="text1"/>
          <w:shd w:val="clear" w:color="auto" w:fill="FFFFFF"/>
          <w:lang w:val="en-IN"/>
        </w:rPr>
        <w:t xml:space="preserve">Smith, A. (2012). </w:t>
      </w:r>
      <w:r w:rsidRPr="00AD13B1">
        <w:rPr>
          <w:rFonts w:ascii="Arial" w:hAnsi="Arial" w:cs="Arial"/>
          <w:i/>
          <w:iCs/>
          <w:color w:val="000000" w:themeColor="text1"/>
          <w:shd w:val="clear" w:color="auto" w:fill="FFFFFF"/>
          <w:lang w:val="en-IN"/>
        </w:rPr>
        <w:t>Events and urban regeneration: the strategic use of events to revitalise cities</w:t>
      </w:r>
      <w:r w:rsidRPr="00AD13B1">
        <w:rPr>
          <w:rFonts w:ascii="Arial" w:hAnsi="Arial" w:cs="Arial"/>
          <w:color w:val="000000" w:themeColor="text1"/>
          <w:shd w:val="clear" w:color="auto" w:fill="FFFFFF"/>
          <w:lang w:val="en-IN"/>
        </w:rPr>
        <w:t>. Routledge: Oxford.</w:t>
      </w:r>
    </w:p>
    <w:p w14:paraId="33B1790C" w14:textId="77777777" w:rsidR="00AD13B1" w:rsidRPr="00AD13B1" w:rsidRDefault="00AD13B1" w:rsidP="00AD13B1">
      <w:pPr>
        <w:rPr>
          <w:rFonts w:ascii="Arial" w:hAnsi="Arial" w:cs="Arial"/>
          <w:color w:val="222222"/>
          <w:szCs w:val="24"/>
          <w:shd w:val="clear" w:color="auto" w:fill="FFFFFF"/>
        </w:rPr>
      </w:pPr>
      <w:r w:rsidRPr="00AD13B1">
        <w:rPr>
          <w:rFonts w:ascii="Arial" w:hAnsi="Arial" w:cs="Arial"/>
          <w:color w:val="222222"/>
          <w:szCs w:val="24"/>
          <w:shd w:val="clear" w:color="auto" w:fill="FFFFFF"/>
        </w:rPr>
        <w:t>Thomas, J.J., Becker, K.R., Kuhnle, M.C., Jo, J.H., Harshman, S.G., Wons, O.B., Keshishian, A.C., Hauser, K., Breithaupt, L., Liebman, R.E. and Misra, M., (2020). Cognitive</w:t>
      </w:r>
      <w:r w:rsidRPr="00AD13B1">
        <w:rPr>
          <w:rFonts w:ascii="Cambria Math" w:hAnsi="Cambria Math" w:cs="Cambria Math"/>
          <w:color w:val="222222"/>
          <w:szCs w:val="24"/>
          <w:shd w:val="clear" w:color="auto" w:fill="FFFFFF"/>
        </w:rPr>
        <w:t>‐</w:t>
      </w:r>
      <w:proofErr w:type="spellStart"/>
      <w:r w:rsidRPr="00AD13B1">
        <w:rPr>
          <w:rFonts w:ascii="Arial" w:hAnsi="Arial" w:cs="Arial"/>
          <w:color w:val="222222"/>
          <w:szCs w:val="24"/>
          <w:shd w:val="clear" w:color="auto" w:fill="FFFFFF"/>
        </w:rPr>
        <w:t>behavioral</w:t>
      </w:r>
      <w:proofErr w:type="spellEnd"/>
      <w:r w:rsidRPr="00AD13B1">
        <w:rPr>
          <w:rFonts w:ascii="Arial" w:hAnsi="Arial" w:cs="Arial"/>
          <w:color w:val="222222"/>
          <w:szCs w:val="24"/>
          <w:shd w:val="clear" w:color="auto" w:fill="FFFFFF"/>
        </w:rPr>
        <w:t xml:space="preserve"> therapy for avoidant/restrictive food intake disorder: Feasibility, acceptability, and proof</w:t>
      </w:r>
      <w:r w:rsidRPr="00AD13B1">
        <w:rPr>
          <w:rFonts w:ascii="Cambria Math" w:hAnsi="Cambria Math" w:cs="Cambria Math"/>
          <w:color w:val="222222"/>
          <w:szCs w:val="24"/>
          <w:shd w:val="clear" w:color="auto" w:fill="FFFFFF"/>
        </w:rPr>
        <w:t>‐</w:t>
      </w:r>
      <w:r w:rsidRPr="00AD13B1">
        <w:rPr>
          <w:rFonts w:ascii="Arial" w:hAnsi="Arial" w:cs="Arial"/>
          <w:color w:val="222222"/>
          <w:szCs w:val="24"/>
          <w:shd w:val="clear" w:color="auto" w:fill="FFFFFF"/>
        </w:rPr>
        <w:t>of</w:t>
      </w:r>
      <w:r w:rsidRPr="00AD13B1">
        <w:rPr>
          <w:rFonts w:ascii="Cambria Math" w:hAnsi="Cambria Math" w:cs="Cambria Math"/>
          <w:color w:val="222222"/>
          <w:szCs w:val="24"/>
          <w:shd w:val="clear" w:color="auto" w:fill="FFFFFF"/>
        </w:rPr>
        <w:t>‐</w:t>
      </w:r>
      <w:r w:rsidRPr="00AD13B1">
        <w:rPr>
          <w:rFonts w:ascii="Arial" w:hAnsi="Arial" w:cs="Arial"/>
          <w:color w:val="222222"/>
          <w:szCs w:val="24"/>
          <w:shd w:val="clear" w:color="auto" w:fill="FFFFFF"/>
        </w:rPr>
        <w:t>concept for children and adolescents. </w:t>
      </w:r>
      <w:r w:rsidRPr="00AD13B1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International Journal of Eating Disorders</w:t>
      </w:r>
      <w:r w:rsidRPr="00AD13B1">
        <w:rPr>
          <w:rFonts w:ascii="Arial" w:hAnsi="Arial" w:cs="Arial"/>
          <w:color w:val="222222"/>
          <w:szCs w:val="24"/>
          <w:shd w:val="clear" w:color="auto" w:fill="FFFFFF"/>
        </w:rPr>
        <w:t>, </w:t>
      </w:r>
      <w:r w:rsidRPr="00AD13B1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53</w:t>
      </w:r>
      <w:r w:rsidRPr="00AD13B1">
        <w:rPr>
          <w:rFonts w:ascii="Arial" w:hAnsi="Arial" w:cs="Arial"/>
          <w:color w:val="222222"/>
          <w:szCs w:val="24"/>
          <w:shd w:val="clear" w:color="auto" w:fill="FFFFFF"/>
        </w:rPr>
        <w:t>(10), pp.1636-1646.</w:t>
      </w:r>
    </w:p>
    <w:p w14:paraId="3A7D95F4" w14:textId="77777777" w:rsidR="00AD13B1" w:rsidRPr="00AD13B1" w:rsidRDefault="00AD13B1" w:rsidP="00AD13B1">
      <w:pPr>
        <w:rPr>
          <w:rFonts w:ascii="Arial" w:hAnsi="Arial" w:cs="Arial"/>
          <w:color w:val="222222"/>
          <w:szCs w:val="24"/>
          <w:shd w:val="clear" w:color="auto" w:fill="FFFFFF"/>
        </w:rPr>
      </w:pPr>
      <w:r w:rsidRPr="00AD13B1">
        <w:rPr>
          <w:rFonts w:ascii="Arial" w:hAnsi="Arial" w:cs="Arial"/>
          <w:color w:val="222222"/>
          <w:szCs w:val="24"/>
          <w:shd w:val="clear" w:color="auto" w:fill="FFFFFF"/>
        </w:rPr>
        <w:t xml:space="preserve">Troisi, O., </w:t>
      </w:r>
      <w:proofErr w:type="spellStart"/>
      <w:r w:rsidRPr="00AD13B1">
        <w:rPr>
          <w:rFonts w:ascii="Arial" w:hAnsi="Arial" w:cs="Arial"/>
          <w:color w:val="222222"/>
          <w:szCs w:val="24"/>
          <w:shd w:val="clear" w:color="auto" w:fill="FFFFFF"/>
        </w:rPr>
        <w:t>Fenza</w:t>
      </w:r>
      <w:proofErr w:type="spellEnd"/>
      <w:r w:rsidRPr="00AD13B1">
        <w:rPr>
          <w:rFonts w:ascii="Arial" w:hAnsi="Arial" w:cs="Arial"/>
          <w:color w:val="222222"/>
          <w:szCs w:val="24"/>
          <w:shd w:val="clear" w:color="auto" w:fill="FFFFFF"/>
        </w:rPr>
        <w:t>, G., Grimaldi, M. and Loia, F., (2022). Covid-19 sentiments in smart cities: The role of technology anxiety before and during the pandemic. </w:t>
      </w:r>
      <w:r w:rsidRPr="00AD13B1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 xml:space="preserve">Computers in Human </w:t>
      </w:r>
      <w:proofErr w:type="spellStart"/>
      <w:r w:rsidRPr="00AD13B1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Behavior</w:t>
      </w:r>
      <w:proofErr w:type="spellEnd"/>
      <w:r w:rsidRPr="00AD13B1">
        <w:rPr>
          <w:rFonts w:ascii="Arial" w:hAnsi="Arial" w:cs="Arial"/>
          <w:color w:val="222222"/>
          <w:szCs w:val="24"/>
          <w:shd w:val="clear" w:color="auto" w:fill="FFFFFF"/>
        </w:rPr>
        <w:t>, </w:t>
      </w:r>
      <w:r w:rsidRPr="00AD13B1">
        <w:rPr>
          <w:rFonts w:ascii="Arial" w:hAnsi="Arial" w:cs="Arial"/>
          <w:i/>
          <w:iCs/>
          <w:color w:val="222222"/>
          <w:szCs w:val="24"/>
          <w:shd w:val="clear" w:color="auto" w:fill="FFFFFF"/>
        </w:rPr>
        <w:t>126</w:t>
      </w:r>
      <w:r w:rsidRPr="00AD13B1">
        <w:rPr>
          <w:rFonts w:ascii="Arial" w:hAnsi="Arial" w:cs="Arial"/>
          <w:color w:val="222222"/>
          <w:szCs w:val="24"/>
          <w:shd w:val="clear" w:color="auto" w:fill="FFFFFF"/>
        </w:rPr>
        <w:t>, p.106986.</w:t>
      </w:r>
    </w:p>
    <w:p w14:paraId="7EEE8E40" w14:textId="77777777" w:rsidR="00AD13B1" w:rsidRPr="00AD13B1" w:rsidRDefault="00AD13B1" w:rsidP="00AD13B1">
      <w:pPr>
        <w:rPr>
          <w:rFonts w:ascii="Arial" w:hAnsi="Arial" w:cs="Arial"/>
          <w:color w:val="FF0000"/>
        </w:rPr>
      </w:pPr>
    </w:p>
    <w:p w14:paraId="778EB9B8" w14:textId="77777777" w:rsidR="00C514A7" w:rsidRPr="00C514A7" w:rsidRDefault="00C514A7" w:rsidP="00AD13B1">
      <w:pPr>
        <w:rPr>
          <w:rFonts w:ascii="Arial" w:hAnsi="Arial" w:cs="Arial"/>
          <w:b/>
          <w:bCs/>
          <w:sz w:val="24"/>
          <w:szCs w:val="24"/>
        </w:rPr>
      </w:pPr>
    </w:p>
    <w:p w14:paraId="34CE650B" w14:textId="77777777" w:rsidR="00287CD8" w:rsidRPr="00287CD8" w:rsidRDefault="00287CD8" w:rsidP="00287CD8">
      <w:pPr>
        <w:ind w:left="720"/>
        <w:rPr>
          <w:rFonts w:ascii="Arial" w:hAnsi="Arial" w:cs="Arial"/>
          <w:b/>
          <w:bCs/>
          <w:sz w:val="24"/>
          <w:szCs w:val="24"/>
        </w:rPr>
      </w:pPr>
    </w:p>
    <w:p w14:paraId="0D3EAEA6" w14:textId="77777777" w:rsidR="00287CD8" w:rsidRPr="00AD13B1" w:rsidRDefault="00287CD8" w:rsidP="00287CD8">
      <w:pPr>
        <w:rPr>
          <w:rFonts w:ascii="Arial" w:hAnsi="Arial" w:cs="Arial"/>
          <w:b/>
          <w:bCs/>
        </w:rPr>
      </w:pPr>
    </w:p>
    <w:sectPr w:rsidR="00287CD8" w:rsidRPr="00AD13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33CA8"/>
    <w:multiLevelType w:val="hybridMultilevel"/>
    <w:tmpl w:val="65D8674A"/>
    <w:lvl w:ilvl="0" w:tplc="179870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CCDC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246ED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326E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629E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47C8D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A6A9D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AA447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59E9E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85E079F"/>
    <w:multiLevelType w:val="hybridMultilevel"/>
    <w:tmpl w:val="FC3E6B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4913D0"/>
    <w:multiLevelType w:val="hybridMultilevel"/>
    <w:tmpl w:val="748EC598"/>
    <w:lvl w:ilvl="0" w:tplc="EE76A9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EEF2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BF224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7C48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02EE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FE91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6C81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F267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2DC89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EDC039D"/>
    <w:multiLevelType w:val="hybridMultilevel"/>
    <w:tmpl w:val="8A0A4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A14979"/>
    <w:multiLevelType w:val="hybridMultilevel"/>
    <w:tmpl w:val="C332FDE4"/>
    <w:lvl w:ilvl="0" w:tplc="AC84CD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8283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94E2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4472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3C28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56C6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AAA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766D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6CF4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270D5D10"/>
    <w:multiLevelType w:val="hybridMultilevel"/>
    <w:tmpl w:val="E2B4D6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AE1866"/>
    <w:multiLevelType w:val="hybridMultilevel"/>
    <w:tmpl w:val="743C942C"/>
    <w:lvl w:ilvl="0" w:tplc="C6A07E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8039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C0ED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BC204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28DB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1AE1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BE83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0FA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4D44D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3CBC43ED"/>
    <w:multiLevelType w:val="hybridMultilevel"/>
    <w:tmpl w:val="60364C9A"/>
    <w:lvl w:ilvl="0" w:tplc="FF04FD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8BE97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7623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DC83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DE2C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B21E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54C2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600C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C000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3F253B8F"/>
    <w:multiLevelType w:val="hybridMultilevel"/>
    <w:tmpl w:val="5B0091BA"/>
    <w:lvl w:ilvl="0" w:tplc="F516F9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614BE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4475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E483C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B8A5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AE64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B065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22CF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30C3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468B0438"/>
    <w:multiLevelType w:val="hybridMultilevel"/>
    <w:tmpl w:val="F572CD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3C4A0A"/>
    <w:multiLevelType w:val="hybridMultilevel"/>
    <w:tmpl w:val="3C6A0184"/>
    <w:lvl w:ilvl="0" w:tplc="9BEEA0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B7006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A846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A5C0A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84E2F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00D7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360D4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0847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80EA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641F38E6"/>
    <w:multiLevelType w:val="hybridMultilevel"/>
    <w:tmpl w:val="1FF0AA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973E1D"/>
    <w:multiLevelType w:val="hybridMultilevel"/>
    <w:tmpl w:val="6224692A"/>
    <w:lvl w:ilvl="0" w:tplc="123627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50942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644E2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30D6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9EB2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58661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5A1D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7AED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B5C58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13843E9"/>
    <w:multiLevelType w:val="hybridMultilevel"/>
    <w:tmpl w:val="F60CD5B6"/>
    <w:lvl w:ilvl="0" w:tplc="44980B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44435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E44D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520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99A51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4287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CA98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5EA32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27C9A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7D92107C"/>
    <w:multiLevelType w:val="hybridMultilevel"/>
    <w:tmpl w:val="273A6104"/>
    <w:lvl w:ilvl="0" w:tplc="6DB89F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9676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6ECE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7065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DAAB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A468D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E6A5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B0C83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158AF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7ED45FE0"/>
    <w:multiLevelType w:val="hybridMultilevel"/>
    <w:tmpl w:val="E0A6BE68"/>
    <w:lvl w:ilvl="0" w:tplc="22F8D8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91062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4437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6FE28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640E0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64C21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59A56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10B3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C2E7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912614742">
    <w:abstractNumId w:val="14"/>
  </w:num>
  <w:num w:numId="2" w16cid:durableId="1758744462">
    <w:abstractNumId w:val="6"/>
  </w:num>
  <w:num w:numId="3" w16cid:durableId="1245409410">
    <w:abstractNumId w:val="2"/>
  </w:num>
  <w:num w:numId="4" w16cid:durableId="1255091487">
    <w:abstractNumId w:val="5"/>
  </w:num>
  <w:num w:numId="5" w16cid:durableId="485705986">
    <w:abstractNumId w:val="1"/>
  </w:num>
  <w:num w:numId="6" w16cid:durableId="1968467997">
    <w:abstractNumId w:val="9"/>
  </w:num>
  <w:num w:numId="7" w16cid:durableId="1308784131">
    <w:abstractNumId w:val="3"/>
  </w:num>
  <w:num w:numId="8" w16cid:durableId="1729455953">
    <w:abstractNumId w:val="11"/>
  </w:num>
  <w:num w:numId="9" w16cid:durableId="263464609">
    <w:abstractNumId w:val="10"/>
  </w:num>
  <w:num w:numId="10" w16cid:durableId="597256332">
    <w:abstractNumId w:val="13"/>
  </w:num>
  <w:num w:numId="11" w16cid:durableId="897590175">
    <w:abstractNumId w:val="12"/>
  </w:num>
  <w:num w:numId="12" w16cid:durableId="192230048">
    <w:abstractNumId w:val="15"/>
  </w:num>
  <w:num w:numId="13" w16cid:durableId="1325158443">
    <w:abstractNumId w:val="0"/>
  </w:num>
  <w:num w:numId="14" w16cid:durableId="748961503">
    <w:abstractNumId w:val="7"/>
  </w:num>
  <w:num w:numId="15" w16cid:durableId="295795671">
    <w:abstractNumId w:val="4"/>
  </w:num>
  <w:num w:numId="16" w16cid:durableId="13233095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60D"/>
    <w:rsid w:val="0000430F"/>
    <w:rsid w:val="0018377E"/>
    <w:rsid w:val="00241AD1"/>
    <w:rsid w:val="00287CD8"/>
    <w:rsid w:val="002E560D"/>
    <w:rsid w:val="00360676"/>
    <w:rsid w:val="003B3E50"/>
    <w:rsid w:val="00587994"/>
    <w:rsid w:val="00696746"/>
    <w:rsid w:val="006B0054"/>
    <w:rsid w:val="007269CD"/>
    <w:rsid w:val="008B3358"/>
    <w:rsid w:val="009739E0"/>
    <w:rsid w:val="009966C6"/>
    <w:rsid w:val="00AD13B1"/>
    <w:rsid w:val="00BF1B82"/>
    <w:rsid w:val="00C514A7"/>
    <w:rsid w:val="00D51721"/>
    <w:rsid w:val="00E25398"/>
    <w:rsid w:val="00F56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380FF4"/>
  <w15:chartTrackingRefBased/>
  <w15:docId w15:val="{5A8A3915-918A-4695-841D-831011480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56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56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56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56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56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560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560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560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560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56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56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56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560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560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56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56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56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56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560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56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56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56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56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56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56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56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56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560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560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24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56348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8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67664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50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4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8160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24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62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8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6558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6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09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9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7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553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93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0054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50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4520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29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5369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6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9398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12</Pages>
  <Words>1236</Words>
  <Characters>7047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Mihaela Masca (2126876)</cp:lastModifiedBy>
  <cp:revision>15</cp:revision>
  <dcterms:created xsi:type="dcterms:W3CDTF">2024-05-07T12:28:00Z</dcterms:created>
  <dcterms:modified xsi:type="dcterms:W3CDTF">2024-05-07T16:00:00Z</dcterms:modified>
</cp:coreProperties>
</file>