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DAEEA" w14:textId="77777777" w:rsidR="00157795" w:rsidRDefault="00157795" w:rsidP="00157795">
      <w:pPr>
        <w:pStyle w:val="a3"/>
        <w:spacing w:before="100" w:beforeAutospacing="1" w:after="100" w:afterAutospacing="1" w:line="360" w:lineRule="auto"/>
        <w:ind w:firstLineChars="1300" w:firstLine="2990"/>
        <w:jc w:val="both"/>
        <w:rPr>
          <w:rFonts w:ascii="Times New Roman" w:hAnsi="Times New Roman" w:cs="Times New Roman"/>
          <w:sz w:val="24"/>
          <w:szCs w:val="24"/>
        </w:rPr>
      </w:pPr>
      <w:bookmarkStart w:id="0" w:name="_Toc216215219"/>
      <w:bookmarkStart w:id="1" w:name="OLE_LINK1"/>
      <w:r>
        <w:rPr>
          <w:rFonts w:ascii="Times New Roman" w:hAnsi="Times New Roman" w:cs="Times New Roman"/>
          <w:sz w:val="24"/>
          <w:szCs w:val="24"/>
        </w:rPr>
        <w:t>Unit name: Global Ethics</w:t>
      </w:r>
    </w:p>
    <w:p w14:paraId="112C0E58" w14:textId="77777777" w:rsidR="00157795" w:rsidRDefault="00157795" w:rsidP="00157795">
      <w:pPr>
        <w:pStyle w:val="a3"/>
        <w:spacing w:before="100" w:beforeAutospacing="1" w:after="100" w:afterAutospacing="1" w:line="360" w:lineRule="auto"/>
        <w:ind w:firstLineChars="1300" w:firstLine="2990"/>
        <w:jc w:val="both"/>
        <w:rPr>
          <w:rFonts w:ascii="Times New Roman" w:hAnsi="Times New Roman" w:cs="Times New Roman"/>
          <w:sz w:val="24"/>
          <w:szCs w:val="24"/>
        </w:rPr>
      </w:pPr>
      <w:bookmarkStart w:id="2" w:name="OLE_LINK60"/>
      <w:r>
        <w:rPr>
          <w:rFonts w:ascii="Times New Roman" w:hAnsi="Times New Roman" w:cs="Times New Roman"/>
          <w:sz w:val="24"/>
          <w:szCs w:val="24"/>
        </w:rPr>
        <w:t>Module code: BMBM6008</w:t>
      </w:r>
      <w:bookmarkEnd w:id="2"/>
    </w:p>
    <w:p w14:paraId="4D6AC557" w14:textId="77777777" w:rsidR="00157795" w:rsidRDefault="00157795" w:rsidP="00157795">
      <w:pPr>
        <w:rPr>
          <w:rFonts w:hint="eastAsia"/>
        </w:rPr>
      </w:pPr>
    </w:p>
    <w:p w14:paraId="6406D95E" w14:textId="01C9A67E" w:rsidR="00157795" w:rsidRDefault="00157795" w:rsidP="00157795">
      <w:pPr>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157795">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Analyze the differences in intercultural approaches among countries such as China, Japan, and the West</w:t>
      </w:r>
    </w:p>
    <w:p w14:paraId="5C688658" w14:textId="5051E0A3" w:rsidR="00157795" w:rsidRDefault="00157795" w:rsidP="00157795">
      <w:pPr>
        <w:jc w:val="center"/>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bookmarkStart w:id="3" w:name="_Toc214564243"/>
      <w:r>
        <w:rPr>
          <w:noProof/>
        </w:rPr>
        <w:drawing>
          <wp:inline distT="0" distB="0" distL="0" distR="0" wp14:anchorId="7023AF25" wp14:editId="240307CB">
            <wp:extent cx="2987040" cy="2257425"/>
            <wp:effectExtent l="0" t="0" r="3810" b="9525"/>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988906" cy="2258835"/>
                    </a:xfrm>
                    <a:prstGeom prst="rect">
                      <a:avLst/>
                    </a:prstGeom>
                    <a:noFill/>
                    <a:ln>
                      <a:noFill/>
                    </a:ln>
                  </pic:spPr>
                </pic:pic>
              </a:graphicData>
            </a:graphic>
          </wp:inline>
        </w:drawing>
      </w:r>
      <w:bookmarkEnd w:id="3"/>
    </w:p>
    <w:p w14:paraId="53801D43" w14:textId="3B522D5B" w:rsidR="00157795" w:rsidRPr="00157795" w:rsidRDefault="00157795" w:rsidP="00157795">
      <w:pPr>
        <w:spacing w:before="100" w:beforeAutospacing="1" w:after="100" w:afterAutospacing="1" w:line="360" w:lineRule="auto"/>
        <w:jc w:val="center"/>
        <w:rPr>
          <w:rFonts w:ascii="Times New Roman" w:hAnsi="Times New Roman" w:cs="Times New Roman"/>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157795">
        <w:rPr>
          <w:rFonts w:ascii="Times New Roman" w:hAnsi="Times New Roman" w:cs="Times New Roman"/>
          <w:sz w:val="24"/>
          <w:szCs w:val="2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Written by:</w:t>
      </w:r>
    </w:p>
    <w:p w14:paraId="066615D0" w14:textId="5AA2C7A9" w:rsidR="00157795" w:rsidRDefault="00157795" w:rsidP="00157795">
      <w:pPr>
        <w:jc w:val="center"/>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157795">
        <w:rPr>
          <w:rFonts w:ascii="Times New Roman" w:hAnsi="Times New Roman" w:cs="Times New Roman" w:hint="eastAsia"/>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Submission date: December 12, 2025</w:t>
      </w:r>
    </w:p>
    <w:p w14:paraId="275C3707" w14:textId="77777777" w:rsidR="00157795" w:rsidRDefault="00157795" w:rsidP="00157795">
      <w:pPr>
        <w:jc w:val="center"/>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04232038" w14:textId="77777777" w:rsidR="00157795" w:rsidRDefault="00157795" w:rsidP="00157795">
      <w:pPr>
        <w:jc w:val="center"/>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1F267F7A" w14:textId="77777777" w:rsidR="00157795" w:rsidRDefault="00157795" w:rsidP="00157795">
      <w:pPr>
        <w:jc w:val="center"/>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30B9A923" w14:textId="77777777" w:rsidR="00157795" w:rsidRDefault="00157795" w:rsidP="00157795">
      <w:pPr>
        <w:jc w:val="center"/>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07A7C69A" w14:textId="77777777" w:rsidR="00157795" w:rsidRDefault="00157795" w:rsidP="00157795">
      <w:pPr>
        <w:jc w:val="center"/>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618E9665" w14:textId="77777777" w:rsidR="00157795" w:rsidRDefault="00157795" w:rsidP="00157795">
      <w:pPr>
        <w:jc w:val="center"/>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65DB08C1" w14:textId="77777777" w:rsidR="00157795" w:rsidRDefault="00157795" w:rsidP="00157795">
      <w:pPr>
        <w:jc w:val="center"/>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55267CA9" w14:textId="77777777" w:rsidR="00157795" w:rsidRDefault="00157795" w:rsidP="00157795">
      <w:pPr>
        <w:jc w:val="center"/>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6E70816B" w14:textId="77777777" w:rsidR="00157795" w:rsidRDefault="00157795" w:rsidP="00157795">
      <w:pPr>
        <w:jc w:val="center"/>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47CF20B9" w14:textId="77777777" w:rsidR="00157795" w:rsidRDefault="00157795" w:rsidP="00157795">
      <w:pPr>
        <w:jc w:val="center"/>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2979B512" w14:textId="77777777" w:rsidR="00157795" w:rsidRPr="00157795" w:rsidRDefault="00157795" w:rsidP="00157795">
      <w:pPr>
        <w:jc w:val="center"/>
        <w:rPr>
          <w:rFonts w:ascii="Times New Roman" w:hAnsi="Times New Roman" w:cs="Times New Roman"/>
          <w:sz w:val="28"/>
          <w:szCs w:val="2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6AF705E6" w14:textId="77777777" w:rsidR="00157795" w:rsidRDefault="00157795" w:rsidP="00157795">
      <w:pPr>
        <w:widowControl/>
        <w:jc w:val="center"/>
        <w:rPr>
          <w:rFonts w:ascii="Times New Roman" w:hAnsi="Times New Roman" w:cs="Times New Roman"/>
          <w:b/>
          <w:bCs/>
          <w:color w:val="000000" w:themeColor="text1"/>
          <w:sz w:val="24"/>
          <w:szCs w:val="24"/>
        </w:rPr>
      </w:pPr>
    </w:p>
    <w:p w14:paraId="21AA37AD" w14:textId="50941C73" w:rsidR="00157795" w:rsidRDefault="00157795" w:rsidP="00157795">
      <w:pPr>
        <w:widowControl/>
        <w:jc w:val="center"/>
        <w:rPr>
          <w:rFonts w:ascii="Times New Roman" w:hAnsi="Times New Roman" w:cs="Times New Roman"/>
          <w:b/>
          <w:bCs/>
          <w:color w:val="000000" w:themeColor="text1"/>
          <w:sz w:val="24"/>
          <w:szCs w:val="24"/>
        </w:rPr>
      </w:pPr>
      <w:r>
        <w:rPr>
          <w:noProof/>
        </w:rPr>
        <w:drawing>
          <wp:anchor distT="0" distB="0" distL="114300" distR="114300" simplePos="0" relativeHeight="251659264" behindDoc="0" locked="0" layoutInCell="1" allowOverlap="1" wp14:anchorId="6E631A5B" wp14:editId="58D077E3">
            <wp:simplePos x="0" y="0"/>
            <wp:positionH relativeFrom="column">
              <wp:posOffset>-312420</wp:posOffset>
            </wp:positionH>
            <wp:positionV relativeFrom="paragraph">
              <wp:posOffset>22860</wp:posOffset>
            </wp:positionV>
            <wp:extent cx="1809750" cy="723900"/>
            <wp:effectExtent l="0" t="0" r="0" b="0"/>
            <wp:wrapSquare wrapText="bothSides"/>
            <wp:docPr id="394634988" name="图片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1A26A9B6" w14:textId="30C5816F" w:rsidR="00157795" w:rsidRDefault="00157795" w:rsidP="00157795">
      <w:pPr>
        <w:pStyle w:val="ae"/>
        <w:tabs>
          <w:tab w:val="left" w:pos="420"/>
        </w:tabs>
        <w:jc w:val="right"/>
        <w:rPr>
          <w:rFonts w:ascii="Arial" w:hAnsi="Arial" w:cs="Arial"/>
          <w:b/>
          <w:sz w:val="28"/>
          <w:szCs w:val="28"/>
        </w:rPr>
      </w:pPr>
      <w:r>
        <w:rPr>
          <w:rFonts w:ascii="Arial" w:hAnsi="Arial" w:cs="Arial"/>
        </w:rPr>
        <w:t xml:space="preserve"> </w:t>
      </w:r>
      <w:r>
        <w:rPr>
          <w:rFonts w:ascii="Arial" w:hAnsi="Arial" w:cs="Arial"/>
        </w:rPr>
        <w:br w:type="textWrapping" w:clear="all"/>
      </w:r>
      <w:proofErr w:type="gramStart"/>
      <w:r>
        <w:rPr>
          <w:rFonts w:ascii="Arial" w:hAnsi="Arial" w:cs="Arial"/>
          <w:b/>
          <w:sz w:val="28"/>
          <w:szCs w:val="28"/>
        </w:rPr>
        <w:t>APPENDIX ;</w:t>
      </w:r>
      <w:proofErr w:type="gramEnd"/>
      <w:r>
        <w:rPr>
          <w:rFonts w:hint="eastAsia"/>
        </w:rPr>
        <w:t xml:space="preserve"> </w:t>
      </w:r>
      <w:r>
        <w:rPr>
          <w:rFonts w:ascii="Arial" w:hAnsi="Arial" w:cs="Arial"/>
          <w:b/>
          <w:sz w:val="28"/>
          <w:szCs w:val="28"/>
        </w:rPr>
        <w:t xml:space="preserve">Global </w:t>
      </w:r>
      <w:proofErr w:type="gramStart"/>
      <w:r>
        <w:rPr>
          <w:rFonts w:ascii="Arial" w:hAnsi="Arial" w:cs="Arial"/>
          <w:b/>
          <w:sz w:val="28"/>
          <w:szCs w:val="28"/>
        </w:rPr>
        <w:t>Ethics(</w:t>
      </w:r>
      <w:proofErr w:type="gramEnd"/>
      <w:r>
        <w:rPr>
          <w:rFonts w:ascii="Arial" w:hAnsi="Arial" w:cs="Arial" w:hint="eastAsia"/>
          <w:b/>
          <w:sz w:val="28"/>
          <w:szCs w:val="28"/>
        </w:rPr>
        <w:t>2</w:t>
      </w:r>
      <w:r>
        <w:rPr>
          <w:rFonts w:ascii="Arial" w:hAnsi="Arial" w:cs="Arial"/>
          <w:b/>
          <w:sz w:val="28"/>
          <w:szCs w:val="28"/>
        </w:rPr>
        <w:t>)</w:t>
      </w:r>
    </w:p>
    <w:p w14:paraId="584977FE" w14:textId="77777777" w:rsidR="00157795" w:rsidRDefault="00157795" w:rsidP="00157795">
      <w:pPr>
        <w:rPr>
          <w:rFonts w:ascii="Arial" w:hAnsi="Arial" w:cs="Arial"/>
        </w:rPr>
      </w:pPr>
    </w:p>
    <w:tbl>
      <w:tblPr>
        <w:tblW w:w="9187" w:type="dxa"/>
        <w:tblInd w:w="-5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187"/>
      </w:tblGrid>
      <w:tr w:rsidR="00157795" w14:paraId="64EC4327" w14:textId="77777777">
        <w:trPr>
          <w:trHeight w:val="478"/>
        </w:trPr>
        <w:tc>
          <w:tcPr>
            <w:tcW w:w="9187" w:type="dxa"/>
            <w:tcBorders>
              <w:top w:val="single" w:sz="4" w:space="0" w:color="auto"/>
              <w:left w:val="single" w:sz="4" w:space="0" w:color="auto"/>
              <w:bottom w:val="single" w:sz="4" w:space="0" w:color="auto"/>
              <w:right w:val="single" w:sz="4" w:space="0" w:color="auto"/>
            </w:tcBorders>
            <w:shd w:val="clear" w:color="auto" w:fill="C0C0C0"/>
            <w:hideMark/>
          </w:tcPr>
          <w:p w14:paraId="158D330D" w14:textId="77777777" w:rsidR="00157795" w:rsidRDefault="00157795">
            <w:pPr>
              <w:pStyle w:val="4"/>
              <w:rPr>
                <w:rFonts w:ascii="Arial" w:hAnsi="Arial" w:cs="Arial"/>
                <w:b/>
              </w:rPr>
            </w:pPr>
            <w:bookmarkStart w:id="4" w:name="OLE_LINK113"/>
            <w:r>
              <w:rPr>
                <w:rFonts w:ascii="Arial" w:hAnsi="Arial" w:cs="Arial"/>
                <w:b/>
              </w:rPr>
              <w:t xml:space="preserve">LEVEL 6 ASSESSMENT SPECIFICATION </w:t>
            </w:r>
          </w:p>
        </w:tc>
      </w:tr>
    </w:tbl>
    <w:tbl>
      <w:tblPr>
        <w:tblpPr w:leftFromText="180" w:rightFromText="180" w:vertAnchor="text" w:horzAnchor="margin" w:tblpXSpec="center" w:tblpY="322"/>
        <w:tblW w:w="9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1"/>
        <w:gridCol w:w="3291"/>
        <w:gridCol w:w="2266"/>
        <w:gridCol w:w="2092"/>
        <w:gridCol w:w="175"/>
      </w:tblGrid>
      <w:tr w:rsidR="00157795" w14:paraId="45E7D4CE" w14:textId="77777777">
        <w:tc>
          <w:tcPr>
            <w:tcW w:w="2093" w:type="dxa"/>
            <w:tcBorders>
              <w:top w:val="single" w:sz="4" w:space="0" w:color="auto"/>
              <w:left w:val="single" w:sz="4" w:space="0" w:color="auto"/>
              <w:bottom w:val="single" w:sz="4" w:space="0" w:color="auto"/>
              <w:right w:val="single" w:sz="4" w:space="0" w:color="auto"/>
            </w:tcBorders>
            <w:shd w:val="pct15" w:color="auto" w:fill="auto"/>
            <w:hideMark/>
          </w:tcPr>
          <w:bookmarkEnd w:id="4"/>
          <w:p w14:paraId="56D9094E" w14:textId="77777777" w:rsidR="00157795" w:rsidRDefault="00157795">
            <w:pPr>
              <w:spacing w:before="120" w:after="120"/>
              <w:rPr>
                <w:rFonts w:ascii="Arial" w:hAnsi="Arial" w:cs="Arial"/>
                <w:b/>
                <w:sz w:val="22"/>
              </w:rPr>
            </w:pPr>
            <w:r>
              <w:rPr>
                <w:rFonts w:ascii="Arial" w:hAnsi="Arial" w:cs="Arial"/>
                <w:b/>
                <w:sz w:val="22"/>
              </w:rPr>
              <w:t>Student name:</w:t>
            </w:r>
          </w:p>
        </w:tc>
        <w:tc>
          <w:tcPr>
            <w:tcW w:w="3293" w:type="dxa"/>
            <w:tcBorders>
              <w:top w:val="single" w:sz="4" w:space="0" w:color="auto"/>
              <w:left w:val="single" w:sz="4" w:space="0" w:color="auto"/>
              <w:bottom w:val="single" w:sz="4" w:space="0" w:color="auto"/>
              <w:right w:val="single" w:sz="4" w:space="0" w:color="auto"/>
            </w:tcBorders>
            <w:hideMark/>
          </w:tcPr>
          <w:p w14:paraId="5F46E2E1" w14:textId="77777777" w:rsidR="00157795" w:rsidRDefault="00157795">
            <w:pPr>
              <w:spacing w:before="120" w:after="120"/>
              <w:rPr>
                <w:rFonts w:ascii="Arial" w:hAnsi="Arial" w:cs="Arial"/>
                <w:b/>
                <w:sz w:val="22"/>
              </w:rPr>
            </w:pPr>
            <w:r>
              <w:rPr>
                <w:rFonts w:ascii="Arial" w:hAnsi="Arial" w:cs="Arial"/>
                <w:b/>
                <w:sz w:val="22"/>
              </w:rPr>
              <w:t>zhangyuanlin</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3D7AC102" w14:textId="77777777" w:rsidR="00157795" w:rsidRDefault="00157795">
            <w:pPr>
              <w:spacing w:before="120" w:after="120"/>
              <w:rPr>
                <w:rFonts w:ascii="Arial" w:hAnsi="Arial" w:cs="Arial"/>
                <w:b/>
                <w:sz w:val="22"/>
              </w:rPr>
            </w:pPr>
            <w:r>
              <w:rPr>
                <w:rFonts w:ascii="Arial" w:hAnsi="Arial" w:cs="Arial"/>
                <w:b/>
                <w:sz w:val="22"/>
              </w:rPr>
              <w:t>Student ID number:</w:t>
            </w:r>
          </w:p>
        </w:tc>
        <w:tc>
          <w:tcPr>
            <w:tcW w:w="2268" w:type="dxa"/>
            <w:gridSpan w:val="2"/>
            <w:tcBorders>
              <w:top w:val="single" w:sz="4" w:space="0" w:color="auto"/>
              <w:left w:val="single" w:sz="4" w:space="0" w:color="auto"/>
              <w:bottom w:val="single" w:sz="4" w:space="0" w:color="auto"/>
              <w:right w:val="single" w:sz="4" w:space="0" w:color="auto"/>
            </w:tcBorders>
            <w:hideMark/>
          </w:tcPr>
          <w:p w14:paraId="294B3974" w14:textId="77777777" w:rsidR="00157795" w:rsidRDefault="00157795">
            <w:pPr>
              <w:spacing w:before="120" w:after="120"/>
              <w:rPr>
                <w:rFonts w:ascii="Arial" w:hAnsi="Arial" w:cs="Arial"/>
                <w:b/>
                <w:sz w:val="22"/>
              </w:rPr>
            </w:pPr>
            <w:r>
              <w:rPr>
                <w:rFonts w:ascii="Arial" w:hAnsi="Arial" w:cs="Arial"/>
                <w:b/>
                <w:sz w:val="22"/>
              </w:rPr>
              <w:t>2422061</w:t>
            </w:r>
          </w:p>
        </w:tc>
      </w:tr>
      <w:tr w:rsidR="00157795" w14:paraId="6D48B5DF" w14:textId="77777777">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69DBCF7B" w14:textId="77777777" w:rsidR="00157795" w:rsidRDefault="00157795">
            <w:pPr>
              <w:spacing w:before="120" w:after="120"/>
              <w:rPr>
                <w:rFonts w:ascii="Arial" w:hAnsi="Arial" w:cs="Arial"/>
                <w:b/>
                <w:sz w:val="22"/>
              </w:rPr>
            </w:pPr>
            <w:bookmarkStart w:id="5" w:name="_Hlk48556012"/>
            <w:r>
              <w:rPr>
                <w:rFonts w:ascii="Arial" w:hAnsi="Arial" w:cs="Arial"/>
                <w:b/>
                <w:sz w:val="22"/>
              </w:rPr>
              <w:t>Programme:</w:t>
            </w:r>
          </w:p>
        </w:tc>
        <w:tc>
          <w:tcPr>
            <w:tcW w:w="7829" w:type="dxa"/>
            <w:gridSpan w:val="4"/>
            <w:tcBorders>
              <w:top w:val="single" w:sz="4" w:space="0" w:color="auto"/>
              <w:left w:val="single" w:sz="4" w:space="0" w:color="auto"/>
              <w:bottom w:val="single" w:sz="4" w:space="0" w:color="auto"/>
              <w:right w:val="single" w:sz="4" w:space="0" w:color="auto"/>
            </w:tcBorders>
            <w:hideMark/>
          </w:tcPr>
          <w:p w14:paraId="30B38A0F" w14:textId="77777777" w:rsidR="00157795" w:rsidRDefault="00157795">
            <w:pPr>
              <w:rPr>
                <w:rFonts w:ascii="Arial" w:hAnsi="Arial" w:cs="Arial"/>
                <w:bCs/>
                <w:sz w:val="22"/>
              </w:rPr>
            </w:pPr>
            <w:r>
              <w:rPr>
                <w:rFonts w:ascii="Arial" w:hAnsi="Arial" w:cs="Arial"/>
                <w:bCs/>
                <w:sz w:val="22"/>
              </w:rPr>
              <w:t>BA Business Management (Marketing; HRM; International; Finance)</w:t>
            </w:r>
          </w:p>
          <w:p w14:paraId="72C43C42" w14:textId="77777777" w:rsidR="00157795" w:rsidRDefault="00157795">
            <w:pPr>
              <w:spacing w:before="120" w:after="120"/>
              <w:rPr>
                <w:rFonts w:ascii="Arial" w:hAnsi="Arial" w:cs="Arial"/>
                <w:b/>
                <w:sz w:val="22"/>
              </w:rPr>
            </w:pPr>
            <w:r>
              <w:rPr>
                <w:rFonts w:ascii="Arial" w:hAnsi="Arial" w:cs="Arial"/>
                <w:bCs/>
                <w:sz w:val="22"/>
              </w:rPr>
              <w:t>BA (Hons) Public Services</w:t>
            </w:r>
          </w:p>
        </w:tc>
      </w:tr>
      <w:tr w:rsidR="00157795" w14:paraId="0917B5AD" w14:textId="77777777">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19761CA2" w14:textId="77777777" w:rsidR="00157795" w:rsidRDefault="00157795">
            <w:pPr>
              <w:spacing w:before="120" w:after="120"/>
              <w:rPr>
                <w:rFonts w:ascii="Arial" w:hAnsi="Arial" w:cs="Arial"/>
                <w:b/>
                <w:sz w:val="22"/>
              </w:rPr>
            </w:pPr>
            <w:r>
              <w:rPr>
                <w:rFonts w:ascii="Arial" w:hAnsi="Arial" w:cs="Arial"/>
                <w:b/>
                <w:sz w:val="22"/>
              </w:rPr>
              <w:t>Module:</w:t>
            </w:r>
          </w:p>
        </w:tc>
        <w:tc>
          <w:tcPr>
            <w:tcW w:w="7829" w:type="dxa"/>
            <w:gridSpan w:val="4"/>
            <w:tcBorders>
              <w:top w:val="single" w:sz="4" w:space="0" w:color="auto"/>
              <w:left w:val="single" w:sz="4" w:space="0" w:color="auto"/>
              <w:bottom w:val="single" w:sz="4" w:space="0" w:color="auto"/>
              <w:right w:val="single" w:sz="4" w:space="0" w:color="auto"/>
            </w:tcBorders>
            <w:hideMark/>
          </w:tcPr>
          <w:p w14:paraId="633526A0" w14:textId="77777777" w:rsidR="00157795" w:rsidRDefault="00157795">
            <w:pPr>
              <w:spacing w:before="120" w:after="120"/>
              <w:rPr>
                <w:rFonts w:ascii="Arial" w:hAnsi="Arial" w:cs="Arial"/>
                <w:bCs/>
                <w:sz w:val="22"/>
              </w:rPr>
            </w:pPr>
            <w:r>
              <w:rPr>
                <w:rFonts w:ascii="Arial" w:hAnsi="Arial" w:cs="Arial"/>
                <w:bCs/>
                <w:sz w:val="22"/>
              </w:rPr>
              <w:t>Global Ethics</w:t>
            </w:r>
          </w:p>
        </w:tc>
      </w:tr>
      <w:tr w:rsidR="00157795" w14:paraId="511F0737" w14:textId="77777777">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6DA15063" w14:textId="77777777" w:rsidR="00157795" w:rsidRDefault="00157795">
            <w:pPr>
              <w:spacing w:before="120" w:after="120"/>
              <w:rPr>
                <w:rFonts w:ascii="Arial" w:hAnsi="Arial" w:cs="Arial"/>
                <w:b/>
                <w:sz w:val="22"/>
              </w:rPr>
            </w:pPr>
            <w:r>
              <w:rPr>
                <w:rFonts w:ascii="Arial" w:hAnsi="Arial" w:cs="Arial"/>
                <w:b/>
                <w:sz w:val="22"/>
              </w:rPr>
              <w:t>Module code:</w:t>
            </w:r>
          </w:p>
        </w:tc>
        <w:tc>
          <w:tcPr>
            <w:tcW w:w="3293" w:type="dxa"/>
            <w:tcBorders>
              <w:top w:val="single" w:sz="4" w:space="0" w:color="auto"/>
              <w:left w:val="single" w:sz="4" w:space="0" w:color="auto"/>
              <w:bottom w:val="single" w:sz="4" w:space="0" w:color="auto"/>
              <w:right w:val="single" w:sz="4" w:space="0" w:color="auto"/>
            </w:tcBorders>
            <w:hideMark/>
          </w:tcPr>
          <w:p w14:paraId="6095DC0D" w14:textId="77777777" w:rsidR="00157795" w:rsidRDefault="00157795">
            <w:pPr>
              <w:spacing w:before="120" w:after="120"/>
              <w:rPr>
                <w:rFonts w:ascii="Arial" w:hAnsi="Arial" w:cs="Arial"/>
                <w:bCs/>
                <w:sz w:val="22"/>
              </w:rPr>
            </w:pPr>
            <w:r>
              <w:rPr>
                <w:rFonts w:ascii="Arial" w:hAnsi="Arial" w:cs="Arial"/>
                <w:bCs/>
                <w:sz w:val="22"/>
              </w:rPr>
              <w:t>BMBM6008</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7027C2C0" w14:textId="77777777" w:rsidR="00157795" w:rsidRDefault="00157795">
            <w:pPr>
              <w:pStyle w:val="2"/>
              <w:jc w:val="left"/>
              <w:rPr>
                <w:rFonts w:ascii="Arial" w:hAnsi="Arial" w:cs="Arial"/>
                <w:sz w:val="22"/>
                <w:szCs w:val="22"/>
                <w:lang w:eastAsia="en-US"/>
              </w:rPr>
            </w:pPr>
            <w:bookmarkStart w:id="6" w:name="_Toc214564244"/>
            <w:bookmarkStart w:id="7" w:name="_Toc214557079"/>
            <w:r>
              <w:rPr>
                <w:rFonts w:ascii="Arial" w:hAnsi="Arial" w:cs="Arial"/>
                <w:sz w:val="22"/>
                <w:szCs w:val="22"/>
                <w:lang w:eastAsia="en-US"/>
              </w:rPr>
              <w:t>Contribution to Overall Module Assessment (%):</w:t>
            </w:r>
            <w:bookmarkEnd w:id="6"/>
            <w:bookmarkEnd w:id="7"/>
          </w:p>
        </w:tc>
        <w:tc>
          <w:tcPr>
            <w:tcW w:w="2268" w:type="dxa"/>
            <w:gridSpan w:val="2"/>
            <w:tcBorders>
              <w:top w:val="single" w:sz="4" w:space="0" w:color="auto"/>
              <w:left w:val="single" w:sz="4" w:space="0" w:color="auto"/>
              <w:bottom w:val="single" w:sz="4" w:space="0" w:color="auto"/>
              <w:right w:val="single" w:sz="4" w:space="0" w:color="auto"/>
            </w:tcBorders>
            <w:hideMark/>
          </w:tcPr>
          <w:p w14:paraId="40672C65" w14:textId="77777777" w:rsidR="00157795" w:rsidRDefault="00157795">
            <w:pPr>
              <w:spacing w:before="120" w:after="120"/>
              <w:rPr>
                <w:rFonts w:ascii="Arial" w:hAnsi="Arial" w:cs="Arial"/>
                <w:bCs/>
                <w:sz w:val="22"/>
                <w:lang w:eastAsia="en-US"/>
              </w:rPr>
            </w:pPr>
            <w:r>
              <w:rPr>
                <w:rFonts w:ascii="Arial" w:hAnsi="Arial" w:cs="Arial"/>
                <w:bCs/>
                <w:lang w:eastAsia="en-US"/>
              </w:rPr>
              <w:t>50%</w:t>
            </w:r>
          </w:p>
        </w:tc>
        <w:bookmarkEnd w:id="5"/>
      </w:tr>
      <w:tr w:rsidR="00157795" w14:paraId="18472493" w14:textId="77777777">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2E64B1BB" w14:textId="77777777" w:rsidR="00157795" w:rsidRDefault="00157795">
            <w:pPr>
              <w:spacing w:before="120" w:after="120"/>
              <w:rPr>
                <w:rFonts w:ascii="Arial" w:hAnsi="Arial" w:cs="Arial"/>
                <w:b/>
                <w:sz w:val="22"/>
              </w:rPr>
            </w:pPr>
            <w:r>
              <w:rPr>
                <w:rFonts w:ascii="Arial" w:hAnsi="Arial" w:cs="Arial"/>
                <w:b/>
                <w:sz w:val="22"/>
              </w:rPr>
              <w:t>Lecturer:</w:t>
            </w:r>
          </w:p>
        </w:tc>
        <w:tc>
          <w:tcPr>
            <w:tcW w:w="3293" w:type="dxa"/>
            <w:tcBorders>
              <w:top w:val="single" w:sz="4" w:space="0" w:color="auto"/>
              <w:left w:val="single" w:sz="4" w:space="0" w:color="auto"/>
              <w:bottom w:val="single" w:sz="4" w:space="0" w:color="auto"/>
              <w:right w:val="single" w:sz="4" w:space="0" w:color="auto"/>
            </w:tcBorders>
            <w:hideMark/>
          </w:tcPr>
          <w:p w14:paraId="68032A39" w14:textId="77777777" w:rsidR="00157795" w:rsidRDefault="00157795">
            <w:pPr>
              <w:spacing w:before="120" w:after="120"/>
              <w:rPr>
                <w:rFonts w:ascii="Arial" w:hAnsi="Arial" w:cs="Arial"/>
                <w:bCs/>
                <w:sz w:val="22"/>
              </w:rPr>
            </w:pPr>
            <w:r>
              <w:rPr>
                <w:rFonts w:ascii="Arial" w:hAnsi="Arial" w:cs="Arial"/>
                <w:bCs/>
                <w:sz w:val="22"/>
              </w:rPr>
              <w:t>Arpu Kumar</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5C77BDFF" w14:textId="77777777" w:rsidR="00157795" w:rsidRDefault="00157795">
            <w:pPr>
              <w:spacing w:before="120" w:after="120"/>
              <w:rPr>
                <w:rFonts w:ascii="Arial" w:hAnsi="Arial" w:cs="Arial"/>
                <w:b/>
                <w:sz w:val="22"/>
                <w:lang w:eastAsia="en-US"/>
              </w:rPr>
            </w:pPr>
            <w:r>
              <w:rPr>
                <w:rFonts w:ascii="Arial" w:hAnsi="Arial" w:cs="Arial"/>
                <w:b/>
                <w:sz w:val="22"/>
                <w:lang w:eastAsia="en-US"/>
              </w:rPr>
              <w:t>Internal Verifier:</w:t>
            </w:r>
          </w:p>
        </w:tc>
        <w:tc>
          <w:tcPr>
            <w:tcW w:w="2268" w:type="dxa"/>
            <w:gridSpan w:val="2"/>
            <w:tcBorders>
              <w:top w:val="single" w:sz="4" w:space="0" w:color="auto"/>
              <w:left w:val="single" w:sz="4" w:space="0" w:color="auto"/>
              <w:bottom w:val="single" w:sz="4" w:space="0" w:color="auto"/>
              <w:right w:val="single" w:sz="4" w:space="0" w:color="auto"/>
            </w:tcBorders>
            <w:hideMark/>
          </w:tcPr>
          <w:p w14:paraId="78C0D20D" w14:textId="77777777" w:rsidR="00157795" w:rsidRDefault="00157795">
            <w:pPr>
              <w:spacing w:before="120" w:after="120"/>
              <w:rPr>
                <w:rFonts w:ascii="Arial" w:hAnsi="Arial" w:cs="Arial"/>
                <w:bCs/>
                <w:sz w:val="22"/>
                <w:lang w:eastAsia="en-US"/>
              </w:rPr>
            </w:pPr>
            <w:r>
              <w:rPr>
                <w:rFonts w:ascii="Arial" w:hAnsi="Arial" w:cs="Arial"/>
                <w:bCs/>
                <w:lang w:eastAsia="en-US"/>
              </w:rPr>
              <w:t>Robyn Griffiths</w:t>
            </w:r>
          </w:p>
        </w:tc>
      </w:tr>
      <w:tr w:rsidR="00157795" w14:paraId="3E1EFA7E" w14:textId="77777777">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7C52EBF2" w14:textId="77777777" w:rsidR="00157795" w:rsidRDefault="00157795">
            <w:pPr>
              <w:spacing w:before="120" w:after="120"/>
              <w:rPr>
                <w:rFonts w:ascii="Arial" w:hAnsi="Arial" w:cs="Arial"/>
                <w:b/>
                <w:sz w:val="22"/>
              </w:rPr>
            </w:pPr>
            <w:r>
              <w:rPr>
                <w:rFonts w:ascii="Arial" w:hAnsi="Arial" w:cs="Arial"/>
                <w:b/>
                <w:sz w:val="22"/>
              </w:rPr>
              <w:t>Assignment Title:</w:t>
            </w:r>
          </w:p>
        </w:tc>
        <w:tc>
          <w:tcPr>
            <w:tcW w:w="3293" w:type="dxa"/>
            <w:tcBorders>
              <w:top w:val="single" w:sz="4" w:space="0" w:color="auto"/>
              <w:left w:val="single" w:sz="4" w:space="0" w:color="auto"/>
              <w:bottom w:val="single" w:sz="4" w:space="0" w:color="auto"/>
              <w:right w:val="single" w:sz="4" w:space="0" w:color="auto"/>
            </w:tcBorders>
            <w:hideMark/>
          </w:tcPr>
          <w:p w14:paraId="1432AD3C" w14:textId="77777777" w:rsidR="00157795" w:rsidRDefault="00157795">
            <w:pPr>
              <w:spacing w:before="120" w:after="120"/>
              <w:rPr>
                <w:rFonts w:ascii="Arial" w:hAnsi="Arial" w:cs="Arial"/>
                <w:bCs/>
                <w:sz w:val="22"/>
              </w:rPr>
            </w:pPr>
            <w:r>
              <w:rPr>
                <w:rFonts w:ascii="Arial" w:hAnsi="Arial" w:cs="Arial"/>
                <w:bCs/>
                <w:sz w:val="22"/>
              </w:rPr>
              <w:t>An essay on exploration of cultural differences in business ethics</w:t>
            </w: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14:paraId="772C9642" w14:textId="77777777" w:rsidR="00157795" w:rsidRDefault="00157795">
            <w:pPr>
              <w:spacing w:before="120" w:after="120"/>
              <w:rPr>
                <w:rFonts w:ascii="Arial" w:hAnsi="Arial" w:cs="Arial"/>
                <w:b/>
                <w:sz w:val="22"/>
                <w:lang w:eastAsia="en-US"/>
              </w:rPr>
            </w:pPr>
            <w:r>
              <w:rPr>
                <w:rFonts w:ascii="Arial" w:hAnsi="Arial" w:cs="Arial"/>
                <w:b/>
                <w:sz w:val="22"/>
                <w:lang w:eastAsia="en-US"/>
              </w:rPr>
              <w:t>Word count (or equivalent):</w:t>
            </w:r>
          </w:p>
        </w:tc>
        <w:tc>
          <w:tcPr>
            <w:tcW w:w="2268" w:type="dxa"/>
            <w:gridSpan w:val="2"/>
            <w:tcBorders>
              <w:top w:val="single" w:sz="4" w:space="0" w:color="auto"/>
              <w:left w:val="single" w:sz="4" w:space="0" w:color="auto"/>
              <w:bottom w:val="single" w:sz="4" w:space="0" w:color="auto"/>
              <w:right w:val="single" w:sz="4" w:space="0" w:color="auto"/>
            </w:tcBorders>
            <w:hideMark/>
          </w:tcPr>
          <w:p w14:paraId="048D5C6A" w14:textId="77777777" w:rsidR="00157795" w:rsidRDefault="00157795">
            <w:pPr>
              <w:spacing w:before="120" w:after="120"/>
              <w:rPr>
                <w:rFonts w:ascii="Arial" w:hAnsi="Arial" w:cs="Arial"/>
                <w:bCs/>
                <w:sz w:val="22"/>
                <w:lang w:eastAsia="en-US"/>
              </w:rPr>
            </w:pPr>
            <w:r>
              <w:rPr>
                <w:rFonts w:ascii="Arial" w:hAnsi="Arial" w:cs="Arial"/>
                <w:bCs/>
                <w:sz w:val="22"/>
                <w:lang w:eastAsia="en-US"/>
              </w:rPr>
              <w:t xml:space="preserve">2500 words </w:t>
            </w:r>
          </w:p>
        </w:tc>
      </w:tr>
      <w:tr w:rsidR="00157795" w14:paraId="32DBB8BC" w14:textId="77777777">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457C7F27" w14:textId="77777777" w:rsidR="00157795" w:rsidRDefault="00157795">
            <w:pPr>
              <w:spacing w:before="120" w:after="120"/>
              <w:rPr>
                <w:rFonts w:ascii="Arial" w:hAnsi="Arial" w:cs="Arial"/>
                <w:b/>
                <w:sz w:val="22"/>
                <w:lang w:eastAsia="en-US"/>
              </w:rPr>
            </w:pPr>
            <w:r>
              <w:rPr>
                <w:rFonts w:ascii="Arial" w:hAnsi="Arial" w:cs="Arial"/>
                <w:b/>
                <w:sz w:val="22"/>
                <w:lang w:eastAsia="en-US"/>
              </w:rPr>
              <w:t>Submission deadline:</w:t>
            </w:r>
          </w:p>
        </w:tc>
        <w:tc>
          <w:tcPr>
            <w:tcW w:w="3293" w:type="dxa"/>
            <w:tcBorders>
              <w:top w:val="single" w:sz="4" w:space="0" w:color="auto"/>
              <w:left w:val="single" w:sz="4" w:space="0" w:color="auto"/>
              <w:bottom w:val="single" w:sz="4" w:space="0" w:color="auto"/>
              <w:right w:val="single" w:sz="4" w:space="0" w:color="auto"/>
            </w:tcBorders>
            <w:hideMark/>
          </w:tcPr>
          <w:p w14:paraId="5426CAAA" w14:textId="2B1E5504" w:rsidR="00157795" w:rsidRDefault="00157795">
            <w:pPr>
              <w:spacing w:before="120" w:after="120"/>
              <w:rPr>
                <w:rFonts w:ascii="Arial" w:hAnsi="Arial" w:cs="Arial"/>
                <w:bCs/>
                <w:sz w:val="22"/>
              </w:rPr>
            </w:pPr>
            <w:r w:rsidRPr="00157795">
              <w:rPr>
                <w:rFonts w:ascii="Arial" w:hAnsi="Arial" w:cs="Arial" w:hint="eastAsia"/>
                <w:bCs/>
                <w:sz w:val="22"/>
              </w:rPr>
              <w:t xml:space="preserve"> </w:t>
            </w:r>
            <w:proofErr w:type="gramStart"/>
            <w:r w:rsidRPr="00157795">
              <w:rPr>
                <w:rFonts w:ascii="Arial" w:hAnsi="Arial" w:cs="Arial" w:hint="eastAsia"/>
                <w:bCs/>
                <w:sz w:val="22"/>
              </w:rPr>
              <w:t>12,December</w:t>
            </w:r>
            <w:proofErr w:type="gramEnd"/>
            <w:r w:rsidRPr="00157795">
              <w:rPr>
                <w:rFonts w:ascii="Arial" w:hAnsi="Arial" w:cs="Arial" w:hint="eastAsia"/>
                <w:bCs/>
                <w:sz w:val="22"/>
              </w:rPr>
              <w:t xml:space="preserve"> 2025</w:t>
            </w: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14:paraId="6F39D13E" w14:textId="77777777" w:rsidR="00157795" w:rsidRDefault="00157795">
            <w:pPr>
              <w:spacing w:before="120" w:after="120"/>
              <w:rPr>
                <w:rFonts w:ascii="Arial" w:hAnsi="Arial" w:cs="Arial"/>
                <w:b/>
                <w:sz w:val="22"/>
                <w:lang w:eastAsia="en-US"/>
              </w:rPr>
            </w:pPr>
            <w:r>
              <w:rPr>
                <w:rFonts w:ascii="Arial" w:hAnsi="Arial" w:cs="Arial"/>
                <w:b/>
                <w:sz w:val="22"/>
                <w:lang w:eastAsia="en-US"/>
              </w:rPr>
              <w:t>Return date of provisional marks &amp; written feedback:</w:t>
            </w:r>
          </w:p>
        </w:tc>
        <w:tc>
          <w:tcPr>
            <w:tcW w:w="2268" w:type="dxa"/>
            <w:gridSpan w:val="2"/>
            <w:tcBorders>
              <w:top w:val="single" w:sz="4" w:space="0" w:color="auto"/>
              <w:left w:val="single" w:sz="4" w:space="0" w:color="auto"/>
              <w:bottom w:val="single" w:sz="4" w:space="0" w:color="auto"/>
              <w:right w:val="single" w:sz="4" w:space="0" w:color="auto"/>
            </w:tcBorders>
            <w:hideMark/>
          </w:tcPr>
          <w:p w14:paraId="181D3089" w14:textId="12958EE5" w:rsidR="00157795" w:rsidRDefault="00F01CB3">
            <w:pPr>
              <w:spacing w:before="120" w:after="120"/>
              <w:rPr>
                <w:rFonts w:ascii="Arial" w:hAnsi="Arial" w:cs="Arial"/>
                <w:bCs/>
                <w:sz w:val="22"/>
              </w:rPr>
            </w:pPr>
            <w:r>
              <w:rPr>
                <w:rFonts w:ascii="Arial" w:hAnsi="Arial" w:cs="Arial" w:hint="eastAsia"/>
                <w:bCs/>
                <w:sz w:val="22"/>
              </w:rPr>
              <w:t>3</w:t>
            </w:r>
            <w:r w:rsidRPr="00F01CB3">
              <w:rPr>
                <w:rFonts w:ascii="Arial" w:hAnsi="Arial" w:cs="Arial" w:hint="eastAsia"/>
                <w:bCs/>
                <w:sz w:val="22"/>
              </w:rPr>
              <w:t>January</w:t>
            </w:r>
            <w:r>
              <w:rPr>
                <w:rFonts w:ascii="Arial" w:hAnsi="Arial" w:cs="Arial" w:hint="eastAsia"/>
                <w:bCs/>
                <w:sz w:val="22"/>
              </w:rPr>
              <w:t xml:space="preserve"> 2026</w:t>
            </w:r>
          </w:p>
        </w:tc>
      </w:tr>
      <w:tr w:rsidR="00157795" w14:paraId="1034CD7E" w14:textId="77777777">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324ACA48" w14:textId="77777777" w:rsidR="00157795" w:rsidRDefault="00157795">
            <w:pPr>
              <w:spacing w:before="120" w:after="120"/>
              <w:rPr>
                <w:rFonts w:ascii="Arial" w:hAnsi="Arial" w:cs="Arial"/>
                <w:b/>
                <w:sz w:val="22"/>
              </w:rPr>
            </w:pPr>
            <w:r>
              <w:rPr>
                <w:rFonts w:ascii="Arial" w:hAnsi="Arial" w:cs="Arial"/>
                <w:b/>
                <w:sz w:val="22"/>
              </w:rPr>
              <w:t>Submission method:</w:t>
            </w:r>
          </w:p>
        </w:tc>
        <w:tc>
          <w:tcPr>
            <w:tcW w:w="7829" w:type="dxa"/>
            <w:gridSpan w:val="4"/>
            <w:tcBorders>
              <w:top w:val="single" w:sz="4" w:space="0" w:color="auto"/>
              <w:left w:val="single" w:sz="4" w:space="0" w:color="auto"/>
              <w:bottom w:val="single" w:sz="4" w:space="0" w:color="auto"/>
              <w:right w:val="single" w:sz="4" w:space="0" w:color="auto"/>
            </w:tcBorders>
            <w:hideMark/>
          </w:tcPr>
          <w:p w14:paraId="7A3EF8A8" w14:textId="77777777" w:rsidR="00157795" w:rsidRDefault="00157795">
            <w:pPr>
              <w:rPr>
                <w:rFonts w:ascii="Arial" w:hAnsi="Arial" w:cs="Arial"/>
                <w:sz w:val="22"/>
              </w:rPr>
            </w:pPr>
            <w:r>
              <w:rPr>
                <w:rFonts w:ascii="Arial" w:hAnsi="Arial" w:cs="Arial"/>
                <w:sz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CD63054" w14:textId="77777777" w:rsidR="00157795" w:rsidRDefault="00157795">
            <w:pPr>
              <w:spacing w:before="120" w:after="120"/>
              <w:rPr>
                <w:rFonts w:ascii="Arial" w:hAnsi="Arial" w:cs="Arial"/>
                <w:b/>
                <w:sz w:val="22"/>
              </w:rPr>
            </w:pPr>
            <w:r>
              <w:rPr>
                <w:rFonts w:ascii="Arial" w:hAnsi="Arial" w:cs="Arial"/>
                <w:b/>
                <w:sz w:val="22"/>
              </w:rPr>
              <w:t xml:space="preserve">Alternative submission method (if applicable): </w:t>
            </w:r>
          </w:p>
          <w:p w14:paraId="2008E48E" w14:textId="77777777" w:rsidR="00157795" w:rsidRDefault="00157795">
            <w:pPr>
              <w:spacing w:before="120" w:after="120"/>
              <w:rPr>
                <w:rFonts w:ascii="Arial" w:hAnsi="Arial" w:cs="Arial"/>
                <w:b/>
                <w:sz w:val="22"/>
              </w:rPr>
            </w:pPr>
            <w:r>
              <w:rPr>
                <w:rFonts w:ascii="Arial" w:hAnsi="Arial" w:cs="Arial"/>
                <w:b/>
                <w:sz w:val="22"/>
              </w:rPr>
              <w:t xml:space="preserve">Late submission of the assessment will result in a late penalty mark.  </w:t>
            </w:r>
            <w:r>
              <w:rPr>
                <w:rFonts w:ascii="Arial" w:hAnsi="Arial" w:cs="Arial"/>
                <w:sz w:val="22"/>
              </w:rPr>
              <w:t>Penalties for late submission: Up to one week late, maximum mark of 40%.  Over one week late, 0%.  Only the Extenuating Circumstances Panel may approve a change to submission dates.</w:t>
            </w:r>
          </w:p>
        </w:tc>
      </w:tr>
      <w:tr w:rsidR="00157795" w14:paraId="0DE732A8" w14:textId="77777777">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54BC0D33" w14:textId="77777777" w:rsidR="00157795" w:rsidRDefault="00157795">
            <w:pPr>
              <w:spacing w:before="120" w:after="120"/>
              <w:rPr>
                <w:rFonts w:ascii="Arial" w:hAnsi="Arial" w:cs="Arial"/>
                <w:b/>
                <w:sz w:val="22"/>
              </w:rPr>
            </w:pPr>
            <w:r>
              <w:rPr>
                <w:rFonts w:ascii="Arial" w:hAnsi="Arial" w:cs="Arial"/>
                <w:b/>
                <w:sz w:val="22"/>
              </w:rPr>
              <w:t>Academic honesty / referencing:</w:t>
            </w:r>
          </w:p>
        </w:tc>
        <w:tc>
          <w:tcPr>
            <w:tcW w:w="7829" w:type="dxa"/>
            <w:gridSpan w:val="4"/>
            <w:tcBorders>
              <w:top w:val="single" w:sz="4" w:space="0" w:color="auto"/>
              <w:left w:val="single" w:sz="4" w:space="0" w:color="auto"/>
              <w:bottom w:val="single" w:sz="4" w:space="0" w:color="auto"/>
              <w:right w:val="single" w:sz="4" w:space="0" w:color="auto"/>
            </w:tcBorders>
            <w:hideMark/>
          </w:tcPr>
          <w:p w14:paraId="4D5340BB" w14:textId="77777777" w:rsidR="00157795" w:rsidRDefault="00157795">
            <w:pPr>
              <w:spacing w:before="120" w:after="120"/>
              <w:rPr>
                <w:rFonts w:ascii="Arial" w:hAnsi="Arial" w:cs="Arial"/>
                <w:sz w:val="22"/>
              </w:rPr>
            </w:pPr>
            <w:r>
              <w:rPr>
                <w:rFonts w:ascii="Arial" w:hAnsi="Arial" w:cs="Arial"/>
                <w:sz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to complete this assessment.  </w:t>
            </w:r>
          </w:p>
        </w:tc>
      </w:tr>
      <w:tr w:rsidR="00157795" w14:paraId="63D47DA3" w14:textId="77777777">
        <w:trPr>
          <w:gridAfter w:val="1"/>
          <w:wAfter w:w="175" w:type="dxa"/>
        </w:trPr>
        <w:tc>
          <w:tcPr>
            <w:tcW w:w="9747" w:type="dxa"/>
            <w:gridSpan w:val="4"/>
            <w:tcBorders>
              <w:top w:val="single" w:sz="4" w:space="0" w:color="auto"/>
              <w:left w:val="single" w:sz="4" w:space="0" w:color="auto"/>
              <w:bottom w:val="single" w:sz="4" w:space="0" w:color="auto"/>
              <w:right w:val="single" w:sz="4" w:space="0" w:color="auto"/>
            </w:tcBorders>
            <w:shd w:val="pct10" w:color="auto" w:fill="auto"/>
            <w:hideMark/>
          </w:tcPr>
          <w:p w14:paraId="798F2002" w14:textId="77777777" w:rsidR="00157795" w:rsidRDefault="00157795">
            <w:pPr>
              <w:rPr>
                <w:rFonts w:ascii="Arial" w:hAnsi="Arial" w:cs="Arial"/>
                <w:b/>
                <w:sz w:val="22"/>
              </w:rPr>
            </w:pPr>
            <w:r>
              <w:rPr>
                <w:rFonts w:ascii="Arial" w:hAnsi="Arial" w:cs="Arial"/>
                <w:b/>
                <w:sz w:val="22"/>
              </w:rPr>
              <w:t xml:space="preserve">Module Learning Outcomes </w:t>
            </w:r>
          </w:p>
          <w:p w14:paraId="02CBE9C9" w14:textId="77777777" w:rsidR="00157795" w:rsidRDefault="00157795">
            <w:pPr>
              <w:rPr>
                <w:rFonts w:ascii="Arial" w:hAnsi="Arial" w:cs="Arial"/>
                <w:sz w:val="22"/>
              </w:rPr>
            </w:pPr>
            <w:r>
              <w:rPr>
                <w:rFonts w:ascii="Arial" w:hAnsi="Arial" w:cs="Arial"/>
                <w:b/>
                <w:sz w:val="22"/>
              </w:rPr>
              <w:t>(from module syllabus)</w:t>
            </w:r>
          </w:p>
        </w:tc>
      </w:tr>
      <w:tr w:rsidR="00157795" w14:paraId="352CB699" w14:textId="77777777">
        <w:trPr>
          <w:gridAfter w:val="1"/>
          <w:wAfter w:w="175" w:type="dxa"/>
        </w:trPr>
        <w:tc>
          <w:tcPr>
            <w:tcW w:w="9747" w:type="dxa"/>
            <w:gridSpan w:val="4"/>
            <w:tcBorders>
              <w:top w:val="single" w:sz="4" w:space="0" w:color="auto"/>
              <w:left w:val="single" w:sz="4" w:space="0" w:color="auto"/>
              <w:bottom w:val="single" w:sz="4" w:space="0" w:color="auto"/>
              <w:right w:val="single" w:sz="4" w:space="0" w:color="auto"/>
            </w:tcBorders>
          </w:tcPr>
          <w:p w14:paraId="69E4CA34" w14:textId="77777777" w:rsidR="00157795" w:rsidRDefault="00157795">
            <w:pPr>
              <w:rPr>
                <w:rFonts w:ascii="Arial" w:hAnsi="Arial" w:cs="Arial"/>
                <w:sz w:val="22"/>
              </w:rPr>
            </w:pPr>
          </w:p>
          <w:p w14:paraId="092E24A1" w14:textId="77777777" w:rsidR="00157795" w:rsidRDefault="00157795" w:rsidP="00157795">
            <w:pPr>
              <w:pStyle w:val="a9"/>
              <w:widowControl/>
              <w:numPr>
                <w:ilvl w:val="0"/>
                <w:numId w:val="2"/>
              </w:numPr>
              <w:jc w:val="left"/>
              <w:rPr>
                <w:rFonts w:ascii="Arial" w:hAnsi="Arial" w:cs="Arial"/>
                <w:sz w:val="22"/>
              </w:rPr>
            </w:pPr>
            <w:r>
              <w:rPr>
                <w:rFonts w:ascii="Arial" w:hAnsi="Arial" w:cs="Arial"/>
                <w:sz w:val="22"/>
              </w:rPr>
              <w:t>Explore critically the response of management functions to ethical challenges and the ways in which business is constrained by its cultural, political and social environment</w:t>
            </w:r>
          </w:p>
          <w:p w14:paraId="4A3FF201" w14:textId="77777777" w:rsidR="00157795" w:rsidRDefault="00157795" w:rsidP="00157795">
            <w:pPr>
              <w:pStyle w:val="a9"/>
              <w:widowControl/>
              <w:numPr>
                <w:ilvl w:val="0"/>
                <w:numId w:val="2"/>
              </w:numPr>
              <w:jc w:val="left"/>
              <w:rPr>
                <w:rFonts w:ascii="Arial" w:hAnsi="Arial" w:cs="Arial"/>
                <w:sz w:val="22"/>
              </w:rPr>
            </w:pPr>
            <w:r>
              <w:rPr>
                <w:rFonts w:ascii="Arial" w:hAnsi="Arial" w:cs="Arial"/>
                <w:sz w:val="22"/>
              </w:rPr>
              <w:t xml:space="preserve">Analyse facts and circumstances to determine the cause of a problem and identify and select appropriate solutions. </w:t>
            </w:r>
          </w:p>
          <w:p w14:paraId="1233EF13" w14:textId="77777777" w:rsidR="00157795" w:rsidRDefault="00157795">
            <w:pPr>
              <w:rPr>
                <w:rFonts w:ascii="Arial" w:hAnsi="Arial" w:cs="Arial"/>
                <w:sz w:val="22"/>
              </w:rPr>
            </w:pPr>
          </w:p>
          <w:p w14:paraId="6D677627" w14:textId="77777777" w:rsidR="00157795" w:rsidRDefault="00157795">
            <w:pPr>
              <w:pStyle w:val="a9"/>
              <w:rPr>
                <w:rFonts w:ascii="Arial" w:hAnsi="Arial" w:cs="Arial"/>
                <w:sz w:val="22"/>
              </w:rPr>
            </w:pPr>
          </w:p>
        </w:tc>
      </w:tr>
    </w:tbl>
    <w:p w14:paraId="1EF2A881" w14:textId="77777777" w:rsidR="00157795" w:rsidRPr="00157795" w:rsidRDefault="00157795" w:rsidP="00D12F38">
      <w:pPr>
        <w:pStyle w:val="1"/>
        <w:rPr>
          <w:rFonts w:ascii="Times New Roman" w:hAnsi="Times New Roman" w:cs="Times New Roman"/>
          <w:b/>
          <w:bCs/>
          <w:color w:val="auto"/>
          <w:sz w:val="24"/>
          <w:szCs w:val="24"/>
        </w:rPr>
      </w:pPr>
    </w:p>
    <w:p w14:paraId="13E243E1" w14:textId="77777777" w:rsidR="00157795" w:rsidRDefault="00157795" w:rsidP="00D12F38">
      <w:pPr>
        <w:pStyle w:val="1"/>
        <w:rPr>
          <w:rFonts w:ascii="Times New Roman" w:hAnsi="Times New Roman" w:cs="Times New Roman"/>
          <w:b/>
          <w:bCs/>
          <w:color w:val="auto"/>
          <w:sz w:val="24"/>
          <w:szCs w:val="24"/>
        </w:rPr>
      </w:pPr>
    </w:p>
    <w:p w14:paraId="6BEE637A" w14:textId="77777777" w:rsidR="00157795" w:rsidRDefault="00157795" w:rsidP="00157795">
      <w:pPr>
        <w:rPr>
          <w:rFonts w:hint="eastAsia"/>
        </w:rPr>
      </w:pPr>
    </w:p>
    <w:p w14:paraId="343FEBB3" w14:textId="77777777" w:rsidR="00157795" w:rsidRDefault="00157795" w:rsidP="00157795">
      <w:pPr>
        <w:rPr>
          <w:rFonts w:hint="eastAsia"/>
        </w:rPr>
      </w:pPr>
    </w:p>
    <w:p w14:paraId="68D3A98D" w14:textId="77777777" w:rsidR="00157795" w:rsidRDefault="00157795" w:rsidP="00157795">
      <w:pPr>
        <w:rPr>
          <w:rFonts w:hint="eastAsia"/>
        </w:rPr>
      </w:pPr>
    </w:p>
    <w:p w14:paraId="2BD76964" w14:textId="77777777" w:rsidR="00157795" w:rsidRDefault="00157795" w:rsidP="00157795">
      <w:pPr>
        <w:rPr>
          <w:rFonts w:hint="eastAsia"/>
        </w:rPr>
      </w:pPr>
    </w:p>
    <w:p w14:paraId="5D75C203" w14:textId="77777777" w:rsidR="00157795" w:rsidRDefault="00157795" w:rsidP="00157795">
      <w:pPr>
        <w:rPr>
          <w:rFonts w:hint="eastAsia"/>
        </w:rPr>
      </w:pPr>
    </w:p>
    <w:p w14:paraId="7B97379E" w14:textId="77777777" w:rsidR="00157795" w:rsidRDefault="00157795" w:rsidP="00157795">
      <w:pPr>
        <w:rPr>
          <w:rFonts w:hint="eastAsia"/>
        </w:rPr>
      </w:pPr>
    </w:p>
    <w:p w14:paraId="21069BD9" w14:textId="77777777" w:rsidR="00157795" w:rsidRDefault="00157795" w:rsidP="00157795">
      <w:pPr>
        <w:rPr>
          <w:rFonts w:hint="eastAsia"/>
        </w:rPr>
      </w:pPr>
    </w:p>
    <w:p w14:paraId="26745C5A" w14:textId="77777777" w:rsidR="00157795" w:rsidRDefault="00157795" w:rsidP="00157795">
      <w:pPr>
        <w:rPr>
          <w:rFonts w:hint="eastAsia"/>
        </w:rPr>
      </w:pPr>
    </w:p>
    <w:p w14:paraId="18FB5C3D" w14:textId="77777777" w:rsidR="00157795" w:rsidRDefault="00157795" w:rsidP="00157795">
      <w:pPr>
        <w:rPr>
          <w:rFonts w:hint="eastAsia"/>
        </w:rPr>
      </w:pPr>
    </w:p>
    <w:p w14:paraId="05F4C27E" w14:textId="77777777" w:rsidR="00157795" w:rsidRDefault="00157795" w:rsidP="00157795">
      <w:pPr>
        <w:rPr>
          <w:rFonts w:hint="eastAsia"/>
        </w:rPr>
      </w:pPr>
    </w:p>
    <w:p w14:paraId="435BE433" w14:textId="77777777" w:rsidR="00157795" w:rsidRDefault="00157795" w:rsidP="00157795">
      <w:pPr>
        <w:rPr>
          <w:rFonts w:hint="eastAsia"/>
        </w:rPr>
      </w:pPr>
    </w:p>
    <w:p w14:paraId="51F17ADF" w14:textId="77777777" w:rsidR="00157795" w:rsidRDefault="00157795" w:rsidP="00157795">
      <w:pPr>
        <w:rPr>
          <w:rFonts w:hint="eastAsia"/>
        </w:rPr>
      </w:pPr>
    </w:p>
    <w:p w14:paraId="7FAA593D" w14:textId="77777777" w:rsidR="00157795" w:rsidRDefault="00157795" w:rsidP="00157795">
      <w:pPr>
        <w:rPr>
          <w:rFonts w:hint="eastAsia"/>
        </w:rPr>
      </w:pPr>
    </w:p>
    <w:p w14:paraId="2348F2A7" w14:textId="77777777" w:rsidR="00157795" w:rsidRDefault="00157795" w:rsidP="00157795">
      <w:pPr>
        <w:rPr>
          <w:rFonts w:hint="eastAsia"/>
        </w:rPr>
      </w:pPr>
    </w:p>
    <w:p w14:paraId="33C51264" w14:textId="77777777" w:rsidR="00157795" w:rsidRDefault="00157795" w:rsidP="00157795">
      <w:pPr>
        <w:rPr>
          <w:rFonts w:hint="eastAsia"/>
        </w:rPr>
      </w:pPr>
    </w:p>
    <w:p w14:paraId="27554AAB" w14:textId="77777777" w:rsidR="00157795" w:rsidRDefault="00157795" w:rsidP="00157795">
      <w:pPr>
        <w:rPr>
          <w:rFonts w:hint="eastAsia"/>
        </w:rPr>
      </w:pPr>
    </w:p>
    <w:p w14:paraId="389ED8E2" w14:textId="77777777" w:rsidR="00157795" w:rsidRDefault="00157795" w:rsidP="00157795">
      <w:pPr>
        <w:rPr>
          <w:rFonts w:hint="eastAsia"/>
        </w:rPr>
      </w:pPr>
    </w:p>
    <w:p w14:paraId="4BBCAB25" w14:textId="77777777" w:rsidR="00157795" w:rsidRDefault="00157795" w:rsidP="00157795">
      <w:pPr>
        <w:rPr>
          <w:rFonts w:hint="eastAsia"/>
        </w:rPr>
      </w:pPr>
    </w:p>
    <w:p w14:paraId="0472D552" w14:textId="77777777" w:rsidR="00157795" w:rsidRDefault="00157795" w:rsidP="00157795">
      <w:pPr>
        <w:rPr>
          <w:rFonts w:hint="eastAsia"/>
        </w:rPr>
      </w:pPr>
    </w:p>
    <w:p w14:paraId="58F24A93" w14:textId="77777777" w:rsidR="00157795" w:rsidRDefault="00157795" w:rsidP="00157795">
      <w:pPr>
        <w:rPr>
          <w:rFonts w:hint="eastAsia"/>
        </w:rPr>
      </w:pPr>
    </w:p>
    <w:p w14:paraId="0FF4DF7C" w14:textId="77777777" w:rsidR="00157795" w:rsidRDefault="00157795" w:rsidP="00157795">
      <w:pPr>
        <w:rPr>
          <w:rFonts w:hint="eastAsia"/>
        </w:rPr>
      </w:pPr>
    </w:p>
    <w:p w14:paraId="4C30B88C" w14:textId="77777777" w:rsidR="00157795" w:rsidRDefault="00157795" w:rsidP="00157795">
      <w:pPr>
        <w:rPr>
          <w:rFonts w:hint="eastAsia"/>
        </w:rPr>
      </w:pPr>
    </w:p>
    <w:p w14:paraId="100A694B" w14:textId="77777777" w:rsidR="00157795" w:rsidRDefault="00157795" w:rsidP="00157795">
      <w:pPr>
        <w:rPr>
          <w:rFonts w:hint="eastAsia"/>
        </w:rPr>
      </w:pPr>
    </w:p>
    <w:p w14:paraId="224E27CD" w14:textId="77777777" w:rsidR="00157795" w:rsidRDefault="00157795" w:rsidP="00157795">
      <w:pPr>
        <w:rPr>
          <w:rFonts w:hint="eastAsia"/>
        </w:rPr>
      </w:pPr>
    </w:p>
    <w:p w14:paraId="271D78A8" w14:textId="77777777" w:rsidR="00157795" w:rsidRDefault="00157795" w:rsidP="00157795">
      <w:pPr>
        <w:rPr>
          <w:rFonts w:hint="eastAsia"/>
        </w:rPr>
      </w:pPr>
    </w:p>
    <w:p w14:paraId="1C1F2860" w14:textId="77777777" w:rsidR="00157795" w:rsidRDefault="00157795" w:rsidP="00157795">
      <w:pPr>
        <w:rPr>
          <w:rFonts w:hint="eastAsia"/>
        </w:rPr>
      </w:pPr>
    </w:p>
    <w:p w14:paraId="6A4FC508" w14:textId="77777777" w:rsidR="00157795" w:rsidRDefault="00157795" w:rsidP="00157795">
      <w:pPr>
        <w:rPr>
          <w:rFonts w:hint="eastAsia"/>
        </w:rPr>
      </w:pPr>
    </w:p>
    <w:p w14:paraId="60FB4D92" w14:textId="77777777" w:rsidR="00157795" w:rsidRDefault="00157795" w:rsidP="00157795">
      <w:pPr>
        <w:rPr>
          <w:rFonts w:hint="eastAsia"/>
        </w:rPr>
      </w:pPr>
    </w:p>
    <w:p w14:paraId="3EC44E15" w14:textId="77777777" w:rsidR="00157795" w:rsidRPr="00157795" w:rsidRDefault="00157795" w:rsidP="00157795">
      <w:pPr>
        <w:rPr>
          <w:rFonts w:hint="eastAsia"/>
        </w:rPr>
      </w:pPr>
    </w:p>
    <w:p w14:paraId="06FF667B" w14:textId="77777777" w:rsidR="00157795" w:rsidRDefault="00157795" w:rsidP="00D12F38">
      <w:pPr>
        <w:pStyle w:val="1"/>
        <w:rPr>
          <w:rFonts w:ascii="Times New Roman" w:hAnsi="Times New Roman" w:cs="Times New Roman"/>
          <w:b/>
          <w:bCs/>
          <w:color w:val="auto"/>
          <w:sz w:val="24"/>
          <w:szCs w:val="24"/>
        </w:rPr>
      </w:pPr>
    </w:p>
    <w:p w14:paraId="35B6C0CE" w14:textId="6A52D698" w:rsidR="00666D33" w:rsidRPr="00DD1366" w:rsidRDefault="00D12F38" w:rsidP="00D12F38">
      <w:pPr>
        <w:pStyle w:val="1"/>
        <w:rPr>
          <w:rFonts w:ascii="Times New Roman" w:hAnsi="Times New Roman" w:cs="Times New Roman"/>
          <w:b/>
          <w:bCs/>
          <w:color w:val="auto"/>
          <w:sz w:val="24"/>
          <w:szCs w:val="24"/>
        </w:rPr>
      </w:pPr>
      <w:r w:rsidRPr="00DD1366">
        <w:rPr>
          <w:rFonts w:ascii="Times New Roman" w:hAnsi="Times New Roman" w:cs="Times New Roman"/>
          <w:b/>
          <w:bCs/>
          <w:color w:val="auto"/>
          <w:sz w:val="24"/>
          <w:szCs w:val="24"/>
        </w:rPr>
        <w:t>Abstract</w:t>
      </w:r>
      <w:bookmarkEnd w:id="0"/>
    </w:p>
    <w:p w14:paraId="050D0875" w14:textId="77777777" w:rsidR="00D12F38" w:rsidRPr="00D12F38" w:rsidRDefault="00D12F38">
      <w:pPr>
        <w:rPr>
          <w:rFonts w:ascii="Times New Roman" w:hAnsi="Times New Roman" w:cs="Times New Roman"/>
          <w:b/>
          <w:bCs/>
          <w:sz w:val="24"/>
          <w:szCs w:val="24"/>
        </w:rPr>
      </w:pPr>
    </w:p>
    <w:p w14:paraId="1A1DEF78" w14:textId="42BC9C65" w:rsidR="00113DFF" w:rsidRDefault="00666D33">
      <w:pPr>
        <w:rPr>
          <w:rFonts w:ascii="Times New Roman" w:hAnsi="Times New Roman" w:cs="Times New Roman"/>
          <w:sz w:val="24"/>
          <w:szCs w:val="24"/>
        </w:rPr>
      </w:pPr>
      <w:r w:rsidRPr="00666D33">
        <w:rPr>
          <w:rFonts w:ascii="Times New Roman" w:hAnsi="Times New Roman" w:cs="Times New Roman" w:hint="eastAsia"/>
          <w:sz w:val="24"/>
          <w:szCs w:val="24"/>
        </w:rPr>
        <w:t>In the global business environment, unethical behavior is increasingly damaging corporate reputation. Can strengthening corporate governance mechanisms across different countries and enhancing corporate social responsibility (CSR) participation promote ethical business conduct? This study explores the complex relationship between corporate governance attributes in different countries and business ethics practices (BEP), and examines how CSR participation moderates this relationship. Based on stakeholder theory and agency theory, the study investigates three core elements of corporate governance across different countries: diversity, structural attributes, and process attributes. Using the Generalized Method of Moments (GMM), this research raises concerns about whether domestic directors and managers adhere to local ethical standards. It highlights the importance of external government supervision and policy support. Corporate social responsibility (CSR) participation can amplify positive governance effects and mitigate negative impacts, thereby reinforcing its key role as a governance enhancer. The study proposes targeted policy recommendations, advocating for strengthening diversity requirements, deepening CSR integration, enhancing ethics training, and emphasizing the importance of building a comprehensive governance framework to achieve long-term ethical sustainability.</w:t>
      </w:r>
      <w:r w:rsidRPr="00666D33">
        <w:rPr>
          <w:rFonts w:hint="eastAsia"/>
        </w:rPr>
        <w:t xml:space="preserve"> </w:t>
      </w:r>
      <w:r w:rsidRPr="00666D33">
        <w:rPr>
          <w:rFonts w:ascii="Times New Roman" w:hAnsi="Times New Roman" w:cs="Times New Roman" w:hint="eastAsia"/>
          <w:sz w:val="24"/>
          <w:szCs w:val="24"/>
        </w:rPr>
        <w:t>This study draws on Hofstede's dimensions (as a reflection of national cultural characteristics) to examine their impact on the quality of ethical guidelines (from an organizational control perspective), as well as ethical, social responsibility, and legal liability, in order to fill this gap. Our analysis of companies from three different countries shows that the results</w:t>
      </w:r>
    </w:p>
    <w:p w14:paraId="23D10845" w14:textId="77777777" w:rsidR="00666D33" w:rsidRDefault="00666D33">
      <w:pPr>
        <w:rPr>
          <w:rFonts w:ascii="Times New Roman" w:hAnsi="Times New Roman" w:cs="Times New Roman"/>
          <w:sz w:val="24"/>
          <w:szCs w:val="24"/>
        </w:rPr>
      </w:pPr>
    </w:p>
    <w:p w14:paraId="4D72D193" w14:textId="77777777" w:rsidR="00666D33" w:rsidRDefault="00666D33">
      <w:pPr>
        <w:rPr>
          <w:rFonts w:ascii="Times New Roman" w:hAnsi="Times New Roman" w:cs="Times New Roman"/>
          <w:sz w:val="24"/>
          <w:szCs w:val="24"/>
        </w:rPr>
      </w:pPr>
    </w:p>
    <w:p w14:paraId="26953275" w14:textId="77777777" w:rsidR="00666D33" w:rsidRDefault="00666D33">
      <w:pPr>
        <w:rPr>
          <w:rFonts w:ascii="Times New Roman" w:hAnsi="Times New Roman" w:cs="Times New Roman"/>
          <w:sz w:val="24"/>
          <w:szCs w:val="24"/>
        </w:rPr>
      </w:pPr>
    </w:p>
    <w:p w14:paraId="32291268" w14:textId="77777777" w:rsidR="00666D33" w:rsidRDefault="00666D33">
      <w:pPr>
        <w:rPr>
          <w:rFonts w:ascii="Times New Roman" w:hAnsi="Times New Roman" w:cs="Times New Roman"/>
          <w:sz w:val="24"/>
          <w:szCs w:val="24"/>
        </w:rPr>
      </w:pPr>
    </w:p>
    <w:p w14:paraId="2000A479" w14:textId="77777777" w:rsidR="00D12F38" w:rsidRDefault="00D12F38">
      <w:pPr>
        <w:rPr>
          <w:rFonts w:ascii="Times New Roman" w:hAnsi="Times New Roman" w:cs="Times New Roman"/>
          <w:sz w:val="24"/>
          <w:szCs w:val="24"/>
        </w:rPr>
      </w:pPr>
    </w:p>
    <w:p w14:paraId="7F3E7096" w14:textId="77777777" w:rsidR="00D12F38" w:rsidRDefault="00D12F38">
      <w:pPr>
        <w:rPr>
          <w:rFonts w:ascii="Times New Roman" w:hAnsi="Times New Roman" w:cs="Times New Roman"/>
          <w:sz w:val="24"/>
          <w:szCs w:val="24"/>
        </w:rPr>
      </w:pPr>
    </w:p>
    <w:p w14:paraId="4BE56019" w14:textId="77777777" w:rsidR="00D12F38" w:rsidRDefault="00D12F38">
      <w:pPr>
        <w:rPr>
          <w:rFonts w:ascii="Times New Roman" w:hAnsi="Times New Roman" w:cs="Times New Roman"/>
          <w:sz w:val="24"/>
          <w:szCs w:val="24"/>
        </w:rPr>
      </w:pPr>
    </w:p>
    <w:p w14:paraId="75EAE577" w14:textId="77777777" w:rsidR="00D12F38" w:rsidRDefault="00D12F38">
      <w:pPr>
        <w:rPr>
          <w:rFonts w:ascii="Times New Roman" w:hAnsi="Times New Roman" w:cs="Times New Roman"/>
          <w:sz w:val="24"/>
          <w:szCs w:val="24"/>
        </w:rPr>
      </w:pPr>
    </w:p>
    <w:p w14:paraId="60D8AB40" w14:textId="77777777" w:rsidR="00D12F38" w:rsidRDefault="00D12F38">
      <w:pPr>
        <w:rPr>
          <w:rFonts w:ascii="Times New Roman" w:hAnsi="Times New Roman" w:cs="Times New Roman"/>
          <w:sz w:val="24"/>
          <w:szCs w:val="24"/>
        </w:rPr>
      </w:pPr>
    </w:p>
    <w:p w14:paraId="5DD32316" w14:textId="77777777" w:rsidR="00D12F38" w:rsidRDefault="00D12F38">
      <w:pPr>
        <w:rPr>
          <w:rFonts w:ascii="Times New Roman" w:hAnsi="Times New Roman" w:cs="Times New Roman"/>
          <w:sz w:val="24"/>
          <w:szCs w:val="24"/>
        </w:rPr>
      </w:pPr>
    </w:p>
    <w:p w14:paraId="7DACEE7B" w14:textId="77777777" w:rsidR="00D12F38" w:rsidRDefault="00D12F38">
      <w:pPr>
        <w:rPr>
          <w:rFonts w:ascii="Times New Roman" w:hAnsi="Times New Roman" w:cs="Times New Roman"/>
          <w:sz w:val="24"/>
          <w:szCs w:val="24"/>
        </w:rPr>
      </w:pPr>
    </w:p>
    <w:p w14:paraId="078ACB53" w14:textId="77777777" w:rsidR="00D12F38" w:rsidRDefault="00D12F38">
      <w:pPr>
        <w:rPr>
          <w:rFonts w:ascii="Times New Roman" w:hAnsi="Times New Roman" w:cs="Times New Roman"/>
          <w:sz w:val="24"/>
          <w:szCs w:val="24"/>
        </w:rPr>
      </w:pPr>
    </w:p>
    <w:p w14:paraId="056E21E4" w14:textId="77777777" w:rsidR="00D12F38" w:rsidRDefault="00D12F38">
      <w:pPr>
        <w:rPr>
          <w:rFonts w:ascii="Times New Roman" w:hAnsi="Times New Roman" w:cs="Times New Roman"/>
          <w:sz w:val="24"/>
          <w:szCs w:val="24"/>
        </w:rPr>
      </w:pPr>
    </w:p>
    <w:p w14:paraId="21218E6C" w14:textId="77777777" w:rsidR="00D12F38" w:rsidRDefault="00D12F38">
      <w:pPr>
        <w:rPr>
          <w:rFonts w:ascii="Times New Roman" w:hAnsi="Times New Roman" w:cs="Times New Roman"/>
          <w:sz w:val="24"/>
          <w:szCs w:val="24"/>
        </w:rPr>
      </w:pPr>
    </w:p>
    <w:p w14:paraId="7E3A77EB" w14:textId="77777777" w:rsidR="00D12F38" w:rsidRDefault="00D12F38">
      <w:pPr>
        <w:rPr>
          <w:rFonts w:ascii="Times New Roman" w:hAnsi="Times New Roman" w:cs="Times New Roman"/>
          <w:sz w:val="24"/>
          <w:szCs w:val="24"/>
        </w:rPr>
      </w:pPr>
    </w:p>
    <w:p w14:paraId="302C1ED3" w14:textId="77777777" w:rsidR="00D12F38" w:rsidRDefault="00D12F38">
      <w:pPr>
        <w:rPr>
          <w:rFonts w:ascii="Times New Roman" w:hAnsi="Times New Roman" w:cs="Times New Roman"/>
          <w:sz w:val="24"/>
          <w:szCs w:val="24"/>
        </w:rPr>
      </w:pPr>
    </w:p>
    <w:p w14:paraId="5BC9AEF8" w14:textId="77777777" w:rsidR="00D12F38" w:rsidRDefault="00D12F38">
      <w:pPr>
        <w:rPr>
          <w:rFonts w:ascii="Times New Roman" w:hAnsi="Times New Roman" w:cs="Times New Roman"/>
          <w:sz w:val="24"/>
          <w:szCs w:val="24"/>
        </w:rPr>
      </w:pPr>
    </w:p>
    <w:p w14:paraId="3343E47C" w14:textId="77777777" w:rsidR="00D12F38" w:rsidRDefault="00D12F38">
      <w:pPr>
        <w:rPr>
          <w:rFonts w:ascii="Times New Roman" w:hAnsi="Times New Roman" w:cs="Times New Roman"/>
          <w:sz w:val="24"/>
          <w:szCs w:val="24"/>
        </w:rPr>
      </w:pPr>
    </w:p>
    <w:p w14:paraId="1CB22314" w14:textId="77777777" w:rsidR="00D12F38" w:rsidRDefault="00D12F38">
      <w:pPr>
        <w:rPr>
          <w:rFonts w:ascii="Times New Roman" w:hAnsi="Times New Roman" w:cs="Times New Roman"/>
          <w:sz w:val="24"/>
          <w:szCs w:val="24"/>
        </w:rPr>
      </w:pPr>
    </w:p>
    <w:p w14:paraId="6DC98683" w14:textId="77777777" w:rsidR="00D12F38" w:rsidRDefault="00D12F38">
      <w:pPr>
        <w:rPr>
          <w:rFonts w:ascii="Times New Roman" w:hAnsi="Times New Roman" w:cs="Times New Roman"/>
          <w:sz w:val="24"/>
          <w:szCs w:val="24"/>
        </w:rPr>
      </w:pPr>
    </w:p>
    <w:bookmarkStart w:id="8" w:name="OLE_LINK50" w:displacedByCustomXml="next"/>
    <w:sdt>
      <w:sdtPr>
        <w:rPr>
          <w:rFonts w:ascii="Times New Roman" w:eastAsiaTheme="minorEastAsia" w:hAnsi="Times New Roman" w:cs="Times New Roman"/>
          <w:b/>
          <w:bCs/>
          <w:color w:val="auto"/>
          <w:kern w:val="2"/>
          <w:sz w:val="24"/>
          <w:szCs w:val="24"/>
          <w:lang w:val="zh-CN"/>
          <w14:ligatures w14:val="standardContextual"/>
        </w:rPr>
        <w:id w:val="-1576971461"/>
        <w:docPartObj>
          <w:docPartGallery w:val="Table of Contents"/>
          <w:docPartUnique/>
        </w:docPartObj>
      </w:sdtPr>
      <w:sdtContent>
        <w:p w14:paraId="668E406A" w14:textId="7694C55D" w:rsidR="00D12F38" w:rsidRPr="00DD1366" w:rsidRDefault="00D12F38">
          <w:pPr>
            <w:pStyle w:val="TOC"/>
            <w:rPr>
              <w:rFonts w:ascii="Times New Roman" w:hAnsi="Times New Roman" w:cs="Times New Roman"/>
              <w:b/>
              <w:bCs/>
              <w:color w:val="auto"/>
              <w:sz w:val="24"/>
              <w:szCs w:val="24"/>
            </w:rPr>
          </w:pPr>
          <w:r w:rsidRPr="00DD1366">
            <w:rPr>
              <w:rFonts w:ascii="Times New Roman" w:hAnsi="Times New Roman" w:cs="Times New Roman"/>
              <w:b/>
              <w:bCs/>
              <w:color w:val="auto"/>
              <w:sz w:val="24"/>
              <w:szCs w:val="24"/>
              <w:lang w:val="zh-CN"/>
            </w:rPr>
            <w:t>Contents</w:t>
          </w:r>
        </w:p>
        <w:p w14:paraId="236EF936" w14:textId="09AE004E" w:rsidR="00781D32" w:rsidRDefault="00D12F38">
          <w:pPr>
            <w:pStyle w:val="TOC1"/>
            <w:tabs>
              <w:tab w:val="right" w:leader="dot" w:pos="8296"/>
            </w:tabs>
            <w:rPr>
              <w:rFonts w:hint="eastAsia"/>
              <w:noProof/>
              <w:sz w:val="22"/>
              <w:szCs w:val="24"/>
            </w:rPr>
          </w:pPr>
          <w:r w:rsidRPr="00DD1366">
            <w:rPr>
              <w:rFonts w:ascii="Times New Roman" w:hAnsi="Times New Roman" w:cs="Times New Roman"/>
              <w:sz w:val="24"/>
              <w:szCs w:val="24"/>
            </w:rPr>
            <w:fldChar w:fldCharType="begin"/>
          </w:r>
          <w:r w:rsidRPr="00DD1366">
            <w:rPr>
              <w:rFonts w:ascii="Times New Roman" w:hAnsi="Times New Roman" w:cs="Times New Roman"/>
              <w:sz w:val="24"/>
              <w:szCs w:val="24"/>
            </w:rPr>
            <w:instrText xml:space="preserve"> TOC \o "1-3" \h \z \u </w:instrText>
          </w:r>
          <w:r w:rsidRPr="00DD1366">
            <w:rPr>
              <w:rFonts w:ascii="Times New Roman" w:hAnsi="Times New Roman" w:cs="Times New Roman"/>
              <w:sz w:val="24"/>
              <w:szCs w:val="24"/>
            </w:rPr>
            <w:fldChar w:fldCharType="separate"/>
          </w:r>
          <w:hyperlink w:anchor="_Toc216215219" w:history="1">
            <w:r w:rsidR="00781D32" w:rsidRPr="003804DB">
              <w:rPr>
                <w:rStyle w:val="af2"/>
                <w:rFonts w:ascii="Times New Roman" w:hAnsi="Times New Roman" w:cs="Times New Roman" w:hint="eastAsia"/>
                <w:b/>
                <w:bCs/>
                <w:noProof/>
              </w:rPr>
              <w:t>Abstract</w:t>
            </w:r>
            <w:r w:rsidR="00781D32">
              <w:rPr>
                <w:rFonts w:hint="eastAsia"/>
                <w:noProof/>
                <w:webHidden/>
              </w:rPr>
              <w:tab/>
            </w:r>
            <w:r w:rsidR="00781D32">
              <w:rPr>
                <w:rFonts w:hint="eastAsia"/>
                <w:noProof/>
                <w:webHidden/>
              </w:rPr>
              <w:fldChar w:fldCharType="begin"/>
            </w:r>
            <w:r w:rsidR="00781D32">
              <w:rPr>
                <w:rFonts w:hint="eastAsia"/>
                <w:noProof/>
                <w:webHidden/>
              </w:rPr>
              <w:instrText xml:space="preserve"> </w:instrText>
            </w:r>
            <w:r w:rsidR="00781D32">
              <w:rPr>
                <w:noProof/>
                <w:webHidden/>
              </w:rPr>
              <w:instrText>PAGEREF _Toc216215219 \h</w:instrText>
            </w:r>
            <w:r w:rsidR="00781D32">
              <w:rPr>
                <w:rFonts w:hint="eastAsia"/>
                <w:noProof/>
                <w:webHidden/>
              </w:rPr>
              <w:instrText xml:space="preserve"> </w:instrText>
            </w:r>
            <w:r w:rsidR="00781D32">
              <w:rPr>
                <w:rFonts w:hint="eastAsia"/>
                <w:noProof/>
                <w:webHidden/>
              </w:rPr>
            </w:r>
            <w:r w:rsidR="00781D32">
              <w:rPr>
                <w:rFonts w:hint="eastAsia"/>
                <w:noProof/>
                <w:webHidden/>
              </w:rPr>
              <w:fldChar w:fldCharType="separate"/>
            </w:r>
            <w:r w:rsidR="00781D32">
              <w:rPr>
                <w:rFonts w:hint="eastAsia"/>
                <w:noProof/>
                <w:webHidden/>
              </w:rPr>
              <w:t>1</w:t>
            </w:r>
            <w:r w:rsidR="00781D32">
              <w:rPr>
                <w:rFonts w:hint="eastAsia"/>
                <w:noProof/>
                <w:webHidden/>
              </w:rPr>
              <w:fldChar w:fldCharType="end"/>
            </w:r>
          </w:hyperlink>
        </w:p>
        <w:p w14:paraId="735B4A35" w14:textId="21BF6F95" w:rsidR="00781D32" w:rsidRDefault="00781D32">
          <w:pPr>
            <w:pStyle w:val="TOC1"/>
            <w:tabs>
              <w:tab w:val="right" w:leader="dot" w:pos="8296"/>
            </w:tabs>
            <w:rPr>
              <w:rFonts w:hint="eastAsia"/>
              <w:noProof/>
              <w:sz w:val="22"/>
              <w:szCs w:val="24"/>
            </w:rPr>
          </w:pPr>
          <w:hyperlink w:anchor="_Toc216215220" w:history="1">
            <w:r w:rsidRPr="003804DB">
              <w:rPr>
                <w:rStyle w:val="af2"/>
                <w:rFonts w:ascii="Times New Roman" w:hAnsi="Times New Roman" w:cs="Times New Roman" w:hint="eastAsia"/>
                <w:b/>
                <w:bCs/>
                <w:noProof/>
              </w:rPr>
              <w:t>Introduction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_Toc216215220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w:t>
            </w:r>
            <w:r>
              <w:rPr>
                <w:rFonts w:hint="eastAsia"/>
                <w:noProof/>
                <w:webHidden/>
              </w:rPr>
              <w:fldChar w:fldCharType="end"/>
            </w:r>
          </w:hyperlink>
        </w:p>
        <w:p w14:paraId="103AB8EF" w14:textId="4FE0B5B4" w:rsidR="00781D32" w:rsidRDefault="00781D32">
          <w:pPr>
            <w:pStyle w:val="TOC1"/>
            <w:tabs>
              <w:tab w:val="right" w:leader="dot" w:pos="8296"/>
            </w:tabs>
            <w:rPr>
              <w:rFonts w:hint="eastAsia"/>
              <w:noProof/>
              <w:sz w:val="22"/>
              <w:szCs w:val="24"/>
            </w:rPr>
          </w:pPr>
          <w:hyperlink w:anchor="_Toc216215221" w:history="1">
            <w:r w:rsidRPr="003804DB">
              <w:rPr>
                <w:rStyle w:val="af2"/>
                <w:rFonts w:ascii="Times New Roman" w:hAnsi="Times New Roman" w:cs="Times New Roman" w:hint="eastAsia"/>
                <w:b/>
                <w:bCs/>
                <w:noProof/>
              </w:rPr>
              <w:t>1.0Chinese culture</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_Toc216215221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4</w:t>
            </w:r>
            <w:r>
              <w:rPr>
                <w:rFonts w:hint="eastAsia"/>
                <w:noProof/>
                <w:webHidden/>
              </w:rPr>
              <w:fldChar w:fldCharType="end"/>
            </w:r>
          </w:hyperlink>
        </w:p>
        <w:p w14:paraId="37D56F08" w14:textId="0A95259C" w:rsidR="00781D32" w:rsidRDefault="00781D32">
          <w:pPr>
            <w:pStyle w:val="TOC2"/>
            <w:tabs>
              <w:tab w:val="right" w:leader="dot" w:pos="8296"/>
            </w:tabs>
            <w:rPr>
              <w:rFonts w:hint="eastAsia"/>
              <w:noProof/>
              <w:sz w:val="22"/>
              <w:szCs w:val="24"/>
            </w:rPr>
          </w:pPr>
          <w:hyperlink w:anchor="_Toc216215222" w:history="1">
            <w:r w:rsidRPr="003804DB">
              <w:rPr>
                <w:rStyle w:val="af2"/>
                <w:rFonts w:ascii="Times New Roman" w:hAnsi="Times New Roman" w:cs="Times New Roman" w:hint="eastAsia"/>
                <w:b/>
                <w:bCs/>
                <w:noProof/>
              </w:rPr>
              <w:t>1.1 Chinese state-owned enterprises are tools of the state</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_Toc216215222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4</w:t>
            </w:r>
            <w:r>
              <w:rPr>
                <w:rFonts w:hint="eastAsia"/>
                <w:noProof/>
                <w:webHidden/>
              </w:rPr>
              <w:fldChar w:fldCharType="end"/>
            </w:r>
          </w:hyperlink>
        </w:p>
        <w:p w14:paraId="12116751" w14:textId="572C6483" w:rsidR="00781D32" w:rsidRDefault="00781D32">
          <w:pPr>
            <w:pStyle w:val="TOC2"/>
            <w:tabs>
              <w:tab w:val="right" w:leader="dot" w:pos="8296"/>
            </w:tabs>
            <w:rPr>
              <w:rFonts w:hint="eastAsia"/>
              <w:noProof/>
              <w:sz w:val="22"/>
              <w:szCs w:val="24"/>
            </w:rPr>
          </w:pPr>
          <w:hyperlink w:anchor="_Toc216215223" w:history="1">
            <w:r w:rsidRPr="003804DB">
              <w:rPr>
                <w:rStyle w:val="af2"/>
                <w:rFonts w:ascii="Times New Roman" w:hAnsi="Times New Roman" w:cs="Times New Roman" w:hint="eastAsia"/>
                <w:b/>
                <w:bCs/>
                <w:noProof/>
              </w:rPr>
              <w:t>1.2 Power Distance in China</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_Toc216215223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4</w:t>
            </w:r>
            <w:r>
              <w:rPr>
                <w:rFonts w:hint="eastAsia"/>
                <w:noProof/>
                <w:webHidden/>
              </w:rPr>
              <w:fldChar w:fldCharType="end"/>
            </w:r>
          </w:hyperlink>
        </w:p>
        <w:p w14:paraId="40B546FF" w14:textId="1DA0AC34" w:rsidR="00781D32" w:rsidRDefault="00781D32">
          <w:pPr>
            <w:pStyle w:val="TOC2"/>
            <w:tabs>
              <w:tab w:val="right" w:leader="dot" w:pos="8296"/>
            </w:tabs>
            <w:rPr>
              <w:rFonts w:hint="eastAsia"/>
              <w:noProof/>
              <w:sz w:val="22"/>
              <w:szCs w:val="24"/>
            </w:rPr>
          </w:pPr>
          <w:hyperlink w:anchor="_Toc216215224" w:history="1">
            <w:r w:rsidRPr="003804DB">
              <w:rPr>
                <w:rStyle w:val="af2"/>
                <w:rFonts w:ascii="Times New Roman" w:hAnsi="Times New Roman" w:cs="Times New Roman" w:hint="eastAsia"/>
                <w:b/>
                <w:bCs/>
                <w:noProof/>
              </w:rPr>
              <w:t>1.3 The role of collectivism in Chinese state-owned enterprises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_Toc216215224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4</w:t>
            </w:r>
            <w:r>
              <w:rPr>
                <w:rFonts w:hint="eastAsia"/>
                <w:noProof/>
                <w:webHidden/>
              </w:rPr>
              <w:fldChar w:fldCharType="end"/>
            </w:r>
          </w:hyperlink>
        </w:p>
        <w:p w14:paraId="057183CD" w14:textId="327AB8C9" w:rsidR="00781D32" w:rsidRDefault="00781D32">
          <w:pPr>
            <w:pStyle w:val="TOC2"/>
            <w:tabs>
              <w:tab w:val="right" w:leader="dot" w:pos="8296"/>
            </w:tabs>
            <w:rPr>
              <w:rFonts w:hint="eastAsia"/>
              <w:noProof/>
              <w:sz w:val="22"/>
              <w:szCs w:val="24"/>
            </w:rPr>
          </w:pPr>
          <w:hyperlink w:anchor="_Toc216215225" w:history="1">
            <w:r w:rsidRPr="003804DB">
              <w:rPr>
                <w:rStyle w:val="af2"/>
                <w:rFonts w:ascii="Times New Roman" w:hAnsi="Times New Roman" w:cs="Times New Roman" w:hint="eastAsia"/>
                <w:b/>
                <w:bCs/>
                <w:noProof/>
              </w:rPr>
              <w:t>1.4 Long-term</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_Toc216215225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5</w:t>
            </w:r>
            <w:r>
              <w:rPr>
                <w:rFonts w:hint="eastAsia"/>
                <w:noProof/>
                <w:webHidden/>
              </w:rPr>
              <w:fldChar w:fldCharType="end"/>
            </w:r>
          </w:hyperlink>
        </w:p>
        <w:p w14:paraId="6ED9F6CF" w14:textId="5F8A110E" w:rsidR="00781D32" w:rsidRDefault="00781D32">
          <w:pPr>
            <w:pStyle w:val="TOC2"/>
            <w:tabs>
              <w:tab w:val="right" w:leader="dot" w:pos="8296"/>
            </w:tabs>
            <w:rPr>
              <w:rFonts w:hint="eastAsia"/>
              <w:noProof/>
              <w:sz w:val="22"/>
              <w:szCs w:val="24"/>
            </w:rPr>
          </w:pPr>
          <w:hyperlink w:anchor="_Toc216215226" w:history="1">
            <w:r w:rsidRPr="003804DB">
              <w:rPr>
                <w:rStyle w:val="af2"/>
                <w:rFonts w:ascii="Times New Roman" w:hAnsi="Times New Roman" w:cs="Times New Roman" w:hint="eastAsia"/>
                <w:b/>
                <w:bCs/>
                <w:noProof/>
              </w:rPr>
              <w:t>1.5 State-Owned Enterprise Social Responsibility</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_Toc216215226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5</w:t>
            </w:r>
            <w:r>
              <w:rPr>
                <w:rFonts w:hint="eastAsia"/>
                <w:noProof/>
                <w:webHidden/>
              </w:rPr>
              <w:fldChar w:fldCharType="end"/>
            </w:r>
          </w:hyperlink>
        </w:p>
        <w:p w14:paraId="3ADE4AE7" w14:textId="4DA8DD47" w:rsidR="00781D32" w:rsidRDefault="00781D32">
          <w:pPr>
            <w:pStyle w:val="TOC2"/>
            <w:tabs>
              <w:tab w:val="right" w:leader="dot" w:pos="8296"/>
            </w:tabs>
            <w:rPr>
              <w:rFonts w:hint="eastAsia"/>
              <w:noProof/>
              <w:sz w:val="22"/>
              <w:szCs w:val="24"/>
            </w:rPr>
          </w:pPr>
          <w:hyperlink w:anchor="_Toc216215227" w:history="1">
            <w:r w:rsidRPr="003804DB">
              <w:rPr>
                <w:rStyle w:val="af2"/>
                <w:rFonts w:hint="eastAsia"/>
                <w:noProof/>
              </w:rPr>
              <w:t>1.6 How can three countries establish contact</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_Toc216215227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5</w:t>
            </w:r>
            <w:r>
              <w:rPr>
                <w:rFonts w:hint="eastAsia"/>
                <w:noProof/>
                <w:webHidden/>
              </w:rPr>
              <w:fldChar w:fldCharType="end"/>
            </w:r>
          </w:hyperlink>
        </w:p>
        <w:p w14:paraId="7CEC4260" w14:textId="7A472080" w:rsidR="00781D32" w:rsidRDefault="00781D32">
          <w:pPr>
            <w:pStyle w:val="TOC2"/>
            <w:tabs>
              <w:tab w:val="right" w:leader="dot" w:pos="8296"/>
            </w:tabs>
            <w:rPr>
              <w:rFonts w:hint="eastAsia"/>
              <w:noProof/>
              <w:sz w:val="22"/>
              <w:szCs w:val="24"/>
            </w:rPr>
          </w:pPr>
          <w:hyperlink w:anchor="_Toc216215228" w:history="1">
            <w:r w:rsidRPr="003804DB">
              <w:rPr>
                <w:rStyle w:val="af2"/>
                <w:rFonts w:ascii="Times New Roman" w:hAnsi="Times New Roman" w:cs="Times New Roman" w:hint="eastAsia"/>
                <w:b/>
                <w:bCs/>
                <w:noProof/>
              </w:rPr>
              <w:t>1.7China Hongqi Automobile Case</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_Toc216215228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7</w:t>
            </w:r>
            <w:r>
              <w:rPr>
                <w:rFonts w:hint="eastAsia"/>
                <w:noProof/>
                <w:webHidden/>
              </w:rPr>
              <w:fldChar w:fldCharType="end"/>
            </w:r>
          </w:hyperlink>
        </w:p>
        <w:p w14:paraId="0EBB6180" w14:textId="1DBAC874" w:rsidR="00781D32" w:rsidRDefault="00781D32">
          <w:pPr>
            <w:pStyle w:val="TOC2"/>
            <w:tabs>
              <w:tab w:val="right" w:leader="dot" w:pos="8296"/>
            </w:tabs>
            <w:rPr>
              <w:rFonts w:hint="eastAsia"/>
              <w:noProof/>
              <w:sz w:val="22"/>
              <w:szCs w:val="24"/>
            </w:rPr>
          </w:pPr>
          <w:hyperlink w:anchor="_Toc216215229" w:history="1">
            <w:r w:rsidRPr="003804DB">
              <w:rPr>
                <w:rStyle w:val="af2"/>
                <w:rFonts w:ascii="Times New Roman" w:hAnsi="Times New Roman" w:cs="Times New Roman" w:hint="eastAsia"/>
                <w:b/>
                <w:bCs/>
                <w:noProof/>
              </w:rPr>
              <w:t>1.8 Summary of Chinese Cross-Cultural Communication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_Toc216215229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7</w:t>
            </w:r>
            <w:r>
              <w:rPr>
                <w:rFonts w:hint="eastAsia"/>
                <w:noProof/>
                <w:webHidden/>
              </w:rPr>
              <w:fldChar w:fldCharType="end"/>
            </w:r>
          </w:hyperlink>
        </w:p>
        <w:p w14:paraId="45983275" w14:textId="663F115D" w:rsidR="00781D32" w:rsidRDefault="00781D32">
          <w:pPr>
            <w:pStyle w:val="TOC1"/>
            <w:tabs>
              <w:tab w:val="right" w:leader="dot" w:pos="8296"/>
            </w:tabs>
            <w:rPr>
              <w:rFonts w:hint="eastAsia"/>
              <w:noProof/>
              <w:sz w:val="22"/>
              <w:szCs w:val="24"/>
            </w:rPr>
          </w:pPr>
          <w:hyperlink w:anchor="_Toc216215230" w:history="1">
            <w:r w:rsidRPr="003804DB">
              <w:rPr>
                <w:rStyle w:val="af2"/>
                <w:rFonts w:ascii="Times New Roman" w:hAnsi="Times New Roman" w:cs="Times New Roman" w:hint="eastAsia"/>
                <w:b/>
                <w:bCs/>
                <w:noProof/>
              </w:rPr>
              <w:t>2.0 Differences in Japanese culture</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_Toc216215230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7</w:t>
            </w:r>
            <w:r>
              <w:rPr>
                <w:rFonts w:hint="eastAsia"/>
                <w:noProof/>
                <w:webHidden/>
              </w:rPr>
              <w:fldChar w:fldCharType="end"/>
            </w:r>
          </w:hyperlink>
        </w:p>
        <w:p w14:paraId="7AD48CDD" w14:textId="76EEE574" w:rsidR="00781D32" w:rsidRDefault="00781D32">
          <w:pPr>
            <w:pStyle w:val="TOC1"/>
            <w:tabs>
              <w:tab w:val="right" w:leader="dot" w:pos="8296"/>
            </w:tabs>
            <w:rPr>
              <w:rFonts w:hint="eastAsia"/>
              <w:noProof/>
              <w:sz w:val="22"/>
              <w:szCs w:val="24"/>
            </w:rPr>
          </w:pPr>
          <w:hyperlink w:anchor="_Toc216215231" w:history="1">
            <w:r w:rsidRPr="003804DB">
              <w:rPr>
                <w:rStyle w:val="af2"/>
                <w:rFonts w:ascii="Times New Roman" w:hAnsi="Times New Roman" w:cs="Times New Roman" w:hint="eastAsia"/>
                <w:b/>
                <w:bCs/>
                <w:noProof/>
              </w:rPr>
              <w:t>3.0 Differences in the way Western countries interact</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_Toc216215231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9</w:t>
            </w:r>
            <w:r>
              <w:rPr>
                <w:rFonts w:hint="eastAsia"/>
                <w:noProof/>
                <w:webHidden/>
              </w:rPr>
              <w:fldChar w:fldCharType="end"/>
            </w:r>
          </w:hyperlink>
        </w:p>
        <w:p w14:paraId="472CFCBC" w14:textId="123015DB" w:rsidR="00781D32" w:rsidRDefault="00781D32">
          <w:pPr>
            <w:pStyle w:val="TOC2"/>
            <w:tabs>
              <w:tab w:val="right" w:leader="dot" w:pos="8296"/>
            </w:tabs>
            <w:rPr>
              <w:rFonts w:hint="eastAsia"/>
              <w:noProof/>
              <w:sz w:val="22"/>
              <w:szCs w:val="24"/>
            </w:rPr>
          </w:pPr>
          <w:hyperlink w:anchor="_Toc216215232" w:history="1">
            <w:r w:rsidRPr="003804DB">
              <w:rPr>
                <w:rStyle w:val="af2"/>
                <w:rFonts w:ascii="Times New Roman" w:hAnsi="Times New Roman" w:cs="Times New Roman" w:hint="eastAsia"/>
                <w:b/>
                <w:bCs/>
                <w:noProof/>
              </w:rPr>
              <w:t>3.1 Western Business Strategy</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_Toc216215232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9</w:t>
            </w:r>
            <w:r>
              <w:rPr>
                <w:rFonts w:hint="eastAsia"/>
                <w:noProof/>
                <w:webHidden/>
              </w:rPr>
              <w:fldChar w:fldCharType="end"/>
            </w:r>
          </w:hyperlink>
        </w:p>
        <w:p w14:paraId="23E89B47" w14:textId="2FBF0B9F" w:rsidR="00781D32" w:rsidRDefault="00781D32">
          <w:pPr>
            <w:pStyle w:val="TOC2"/>
            <w:tabs>
              <w:tab w:val="right" w:leader="dot" w:pos="8296"/>
            </w:tabs>
            <w:rPr>
              <w:rFonts w:hint="eastAsia"/>
              <w:noProof/>
              <w:sz w:val="22"/>
              <w:szCs w:val="24"/>
            </w:rPr>
          </w:pPr>
          <w:hyperlink w:anchor="_Toc216215233" w:history="1">
            <w:r w:rsidRPr="003804DB">
              <w:rPr>
                <w:rStyle w:val="af2"/>
                <w:rFonts w:ascii="Times New Roman" w:hAnsi="Times New Roman" w:cs="Times New Roman" w:hint="eastAsia"/>
                <w:b/>
                <w:bCs/>
                <w:noProof/>
              </w:rPr>
              <w:t>3.2Case Analysis of Ethics and Morality in Western Countries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_Toc216215233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9</w:t>
            </w:r>
            <w:r>
              <w:rPr>
                <w:rFonts w:hint="eastAsia"/>
                <w:noProof/>
                <w:webHidden/>
              </w:rPr>
              <w:fldChar w:fldCharType="end"/>
            </w:r>
          </w:hyperlink>
        </w:p>
        <w:p w14:paraId="2D99CA9C" w14:textId="25D346AA" w:rsidR="00781D32" w:rsidRDefault="00781D32">
          <w:pPr>
            <w:pStyle w:val="TOC1"/>
            <w:tabs>
              <w:tab w:val="right" w:leader="dot" w:pos="8296"/>
            </w:tabs>
            <w:rPr>
              <w:rFonts w:hint="eastAsia"/>
              <w:noProof/>
              <w:sz w:val="22"/>
              <w:szCs w:val="24"/>
            </w:rPr>
          </w:pPr>
          <w:hyperlink w:anchor="_Toc216215234" w:history="1">
            <w:r w:rsidRPr="003804DB">
              <w:rPr>
                <w:rStyle w:val="af2"/>
                <w:rFonts w:ascii="Times New Roman" w:hAnsi="Times New Roman" w:cs="Times New Roman" w:hint="eastAsia"/>
                <w:b/>
                <w:bCs/>
                <w:noProof/>
              </w:rPr>
              <w:t>Conclusion</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_Toc216215234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11</w:t>
            </w:r>
            <w:r>
              <w:rPr>
                <w:rFonts w:hint="eastAsia"/>
                <w:noProof/>
                <w:webHidden/>
              </w:rPr>
              <w:fldChar w:fldCharType="end"/>
            </w:r>
          </w:hyperlink>
        </w:p>
        <w:p w14:paraId="7FFE9803" w14:textId="0B37B2B4" w:rsidR="00781D32" w:rsidRDefault="00781D32">
          <w:pPr>
            <w:pStyle w:val="TOC1"/>
            <w:tabs>
              <w:tab w:val="right" w:leader="dot" w:pos="8296"/>
            </w:tabs>
            <w:rPr>
              <w:rFonts w:hint="eastAsia"/>
              <w:noProof/>
              <w:sz w:val="22"/>
              <w:szCs w:val="24"/>
            </w:rPr>
          </w:pPr>
          <w:hyperlink w:anchor="_Toc216215235" w:history="1">
            <w:r w:rsidRPr="003804DB">
              <w:rPr>
                <w:rStyle w:val="af2"/>
                <w:rFonts w:ascii="Times New Roman" w:hAnsi="Times New Roman" w:cs="Times New Roman" w:hint="eastAsia"/>
                <w:b/>
                <w:bCs/>
                <w:noProof/>
                <w:shd w:val="clear" w:color="auto" w:fill="FFFFFF"/>
              </w:rPr>
              <w:t>References</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_Toc216215235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12</w:t>
            </w:r>
            <w:r>
              <w:rPr>
                <w:rFonts w:hint="eastAsia"/>
                <w:noProof/>
                <w:webHidden/>
              </w:rPr>
              <w:fldChar w:fldCharType="end"/>
            </w:r>
          </w:hyperlink>
        </w:p>
        <w:p w14:paraId="7A4A0B8E" w14:textId="651AA705" w:rsidR="00D12F38" w:rsidRDefault="00D12F38">
          <w:pPr>
            <w:rPr>
              <w:rFonts w:hint="eastAsia"/>
            </w:rPr>
          </w:pPr>
          <w:r w:rsidRPr="00DD1366">
            <w:rPr>
              <w:rFonts w:ascii="Times New Roman" w:hAnsi="Times New Roman" w:cs="Times New Roman"/>
              <w:b/>
              <w:bCs/>
              <w:sz w:val="24"/>
              <w:szCs w:val="24"/>
              <w:lang w:val="zh-CN"/>
            </w:rPr>
            <w:fldChar w:fldCharType="end"/>
          </w:r>
        </w:p>
      </w:sdtContent>
    </w:sdt>
    <w:bookmarkEnd w:id="8" w:displacedByCustomXml="prev"/>
    <w:p w14:paraId="3F6ADAA7" w14:textId="77777777" w:rsidR="00D12F38" w:rsidRDefault="00D12F38">
      <w:pPr>
        <w:rPr>
          <w:rFonts w:ascii="Times New Roman" w:hAnsi="Times New Roman" w:cs="Times New Roman"/>
          <w:sz w:val="24"/>
          <w:szCs w:val="24"/>
        </w:rPr>
      </w:pPr>
    </w:p>
    <w:p w14:paraId="4E6DE697" w14:textId="77777777" w:rsidR="00666D33" w:rsidRDefault="00666D33">
      <w:pPr>
        <w:rPr>
          <w:rFonts w:ascii="Times New Roman" w:hAnsi="Times New Roman" w:cs="Times New Roman"/>
          <w:sz w:val="24"/>
          <w:szCs w:val="24"/>
        </w:rPr>
      </w:pPr>
    </w:p>
    <w:p w14:paraId="0CBCE0A6" w14:textId="77777777" w:rsidR="00666D33" w:rsidRDefault="00666D33">
      <w:pPr>
        <w:rPr>
          <w:rFonts w:ascii="Times New Roman" w:hAnsi="Times New Roman" w:cs="Times New Roman"/>
          <w:sz w:val="24"/>
          <w:szCs w:val="24"/>
        </w:rPr>
      </w:pPr>
    </w:p>
    <w:p w14:paraId="1ED04000" w14:textId="77777777" w:rsidR="00666D33" w:rsidRDefault="00666D33">
      <w:pPr>
        <w:rPr>
          <w:rFonts w:ascii="Times New Roman" w:hAnsi="Times New Roman" w:cs="Times New Roman"/>
          <w:sz w:val="24"/>
          <w:szCs w:val="24"/>
        </w:rPr>
      </w:pPr>
    </w:p>
    <w:p w14:paraId="057A39AE" w14:textId="77777777" w:rsidR="00666D33" w:rsidRDefault="00666D33">
      <w:pPr>
        <w:rPr>
          <w:rFonts w:ascii="Times New Roman" w:hAnsi="Times New Roman" w:cs="Times New Roman"/>
          <w:sz w:val="24"/>
          <w:szCs w:val="24"/>
        </w:rPr>
      </w:pPr>
    </w:p>
    <w:p w14:paraId="4B958AA0" w14:textId="77777777" w:rsidR="00666D33" w:rsidRDefault="00666D33">
      <w:pPr>
        <w:rPr>
          <w:rFonts w:ascii="Times New Roman" w:hAnsi="Times New Roman" w:cs="Times New Roman"/>
          <w:sz w:val="24"/>
          <w:szCs w:val="24"/>
        </w:rPr>
      </w:pPr>
    </w:p>
    <w:p w14:paraId="229D6883" w14:textId="77777777" w:rsidR="00666D33" w:rsidRDefault="00666D33">
      <w:pPr>
        <w:rPr>
          <w:rFonts w:ascii="Times New Roman" w:hAnsi="Times New Roman" w:cs="Times New Roman"/>
          <w:sz w:val="24"/>
          <w:szCs w:val="24"/>
        </w:rPr>
      </w:pPr>
    </w:p>
    <w:p w14:paraId="3DF3250A" w14:textId="77777777" w:rsidR="00666D33" w:rsidRDefault="00666D33">
      <w:pPr>
        <w:rPr>
          <w:rFonts w:ascii="Times New Roman" w:hAnsi="Times New Roman" w:cs="Times New Roman"/>
          <w:sz w:val="24"/>
          <w:szCs w:val="24"/>
        </w:rPr>
      </w:pPr>
    </w:p>
    <w:p w14:paraId="4ECD77C5" w14:textId="77777777" w:rsidR="00666D33" w:rsidRDefault="00666D33">
      <w:pPr>
        <w:rPr>
          <w:rFonts w:ascii="Times New Roman" w:hAnsi="Times New Roman" w:cs="Times New Roman"/>
          <w:sz w:val="24"/>
          <w:szCs w:val="24"/>
        </w:rPr>
      </w:pPr>
    </w:p>
    <w:p w14:paraId="1EC8026F" w14:textId="77777777" w:rsidR="00666D33" w:rsidRDefault="00666D33">
      <w:pPr>
        <w:rPr>
          <w:rFonts w:ascii="Times New Roman" w:hAnsi="Times New Roman" w:cs="Times New Roman"/>
          <w:sz w:val="24"/>
          <w:szCs w:val="24"/>
        </w:rPr>
      </w:pPr>
    </w:p>
    <w:p w14:paraId="26F143BA" w14:textId="77777777" w:rsidR="00666D33" w:rsidRDefault="00666D33">
      <w:pPr>
        <w:rPr>
          <w:rFonts w:ascii="Times New Roman" w:hAnsi="Times New Roman" w:cs="Times New Roman"/>
          <w:sz w:val="24"/>
          <w:szCs w:val="24"/>
        </w:rPr>
      </w:pPr>
    </w:p>
    <w:p w14:paraId="2F378C60" w14:textId="77777777" w:rsidR="00666D33" w:rsidRDefault="00666D33">
      <w:pPr>
        <w:rPr>
          <w:rFonts w:ascii="Times New Roman" w:hAnsi="Times New Roman" w:cs="Times New Roman"/>
          <w:sz w:val="24"/>
          <w:szCs w:val="24"/>
        </w:rPr>
      </w:pPr>
    </w:p>
    <w:p w14:paraId="05F9CCA9" w14:textId="77777777" w:rsidR="00666D33" w:rsidRDefault="00666D33">
      <w:pPr>
        <w:rPr>
          <w:rFonts w:ascii="Times New Roman" w:hAnsi="Times New Roman" w:cs="Times New Roman"/>
          <w:sz w:val="24"/>
          <w:szCs w:val="24"/>
        </w:rPr>
      </w:pPr>
    </w:p>
    <w:p w14:paraId="6BC83763" w14:textId="77777777" w:rsidR="00666D33" w:rsidRDefault="00666D33">
      <w:pPr>
        <w:rPr>
          <w:rFonts w:ascii="Times New Roman" w:hAnsi="Times New Roman" w:cs="Times New Roman"/>
          <w:sz w:val="24"/>
          <w:szCs w:val="24"/>
        </w:rPr>
      </w:pPr>
    </w:p>
    <w:p w14:paraId="0E8BBE57" w14:textId="77777777" w:rsidR="00666D33" w:rsidRDefault="00666D33">
      <w:pPr>
        <w:rPr>
          <w:rFonts w:ascii="Times New Roman" w:hAnsi="Times New Roman" w:cs="Times New Roman"/>
          <w:sz w:val="24"/>
          <w:szCs w:val="24"/>
        </w:rPr>
      </w:pPr>
    </w:p>
    <w:p w14:paraId="464101F5" w14:textId="77777777" w:rsidR="00D12F38" w:rsidRDefault="00D12F38" w:rsidP="00D12F38">
      <w:pPr>
        <w:pStyle w:val="1"/>
        <w:rPr>
          <w:rFonts w:hint="eastAsia"/>
        </w:rPr>
      </w:pPr>
    </w:p>
    <w:p w14:paraId="749A82F7" w14:textId="77777777" w:rsidR="00DD1366" w:rsidRPr="00DD1366" w:rsidRDefault="00DD1366" w:rsidP="00DD1366">
      <w:pPr>
        <w:rPr>
          <w:rFonts w:hint="eastAsia"/>
        </w:rPr>
      </w:pPr>
    </w:p>
    <w:p w14:paraId="50E96F18" w14:textId="2DA24BC1" w:rsidR="0074141A" w:rsidRPr="00D12F38" w:rsidRDefault="0074141A" w:rsidP="00D12F38">
      <w:pPr>
        <w:pStyle w:val="1"/>
        <w:rPr>
          <w:rFonts w:ascii="Times New Roman" w:hAnsi="Times New Roman" w:cs="Times New Roman"/>
          <w:b/>
          <w:bCs/>
          <w:color w:val="auto"/>
          <w:sz w:val="24"/>
          <w:szCs w:val="24"/>
        </w:rPr>
      </w:pPr>
      <w:bookmarkStart w:id="9" w:name="_Toc216215220"/>
      <w:r w:rsidRPr="00D12F38">
        <w:rPr>
          <w:rFonts w:ascii="Times New Roman" w:hAnsi="Times New Roman" w:cs="Times New Roman"/>
          <w:b/>
          <w:bCs/>
          <w:color w:val="auto"/>
          <w:sz w:val="24"/>
          <w:szCs w:val="24"/>
        </w:rPr>
        <w:lastRenderedPageBreak/>
        <w:t>Introduction</w:t>
      </w:r>
      <w:bookmarkEnd w:id="9"/>
    </w:p>
    <w:p w14:paraId="7572CD39" w14:textId="77777777" w:rsidR="0074141A" w:rsidRDefault="0074141A">
      <w:pPr>
        <w:rPr>
          <w:rFonts w:ascii="Times New Roman" w:hAnsi="Times New Roman" w:cs="Times New Roman"/>
          <w:sz w:val="24"/>
          <w:szCs w:val="24"/>
        </w:rPr>
      </w:pPr>
    </w:p>
    <w:p w14:paraId="03082815" w14:textId="1D54A98B" w:rsidR="00A652CF" w:rsidRDefault="007261AA">
      <w:pPr>
        <w:rPr>
          <w:rFonts w:ascii="Times New Roman" w:hAnsi="Times New Roman" w:cs="Times New Roman"/>
          <w:sz w:val="24"/>
          <w:szCs w:val="24"/>
        </w:rPr>
      </w:pPr>
      <w:r w:rsidRPr="007261AA">
        <w:rPr>
          <w:rFonts w:ascii="Times New Roman" w:hAnsi="Times New Roman" w:cs="Times New Roman" w:hint="eastAsia"/>
          <w:sz w:val="24"/>
          <w:szCs w:val="24"/>
        </w:rPr>
        <w:t>This study also explores how differences in ethics and morality across countries influence the disclosure of corporate social responsibility (CSR) information. This paper examines the importance and moral significance of grand challenges from an ethical perspective. In the field of management research, grand challenges are understood as 'global problems that can be reasonably solved through coordinated cooperation while adhering to ethical boundaries' (George et al., 2016). This paper applies Hofstede's Cultural Dimensions Theory, which is used to understand how cultural values shape behavior in societies and organizations, and emphasizes differences between nations. Businesses, employees, and researchers use this theory to address cultural diversity and improve cross-cultural communication. One of the pioneers of the corporate social responsibility concept, Carroll (1979, 1991), proposed a social responsibility pyramid that clarifies the logic behind businesses' involvement in CSR. In summary, he argued that for-profit organizations have economic responsibilities, legal responsibilities, ethical responsibilities, and discretionary (philanthropic) responsibilities to society. The distinction between universalist ethical standards approaches and relativist approaches (Bowen, 2006); cultural relativism is often viewed as a debate centered on pragmatism and cultural sensitivity, seen as a way to address the conflict challenges faced by the more popular universalist approach to public relations ethics (El-Astal, 2005). In multicultural societies, communication plays a crucial role in shaping relationships and promoting international relations. It helps bridge cultural gaps and foster mutual understanding among people from different backgrounds. Smith and Johnson (2023) point out that theories may evolve over time (Rydenfelt, 2015). Drawing on some ideas from Rorty (2006), part of this argument may rely on using moral imagination as a source of empirical data (Rydenfelt, 2023). By focusing on approaches to addressing issues at the intersection of ethics and business, some core practical implications of the pragmatist turn can be examined.</w:t>
      </w:r>
    </w:p>
    <w:p w14:paraId="087F5FEB" w14:textId="77777777" w:rsidR="00A652CF" w:rsidRDefault="00A652CF">
      <w:pPr>
        <w:rPr>
          <w:rFonts w:ascii="Times New Roman" w:hAnsi="Times New Roman" w:cs="Times New Roman"/>
          <w:sz w:val="24"/>
          <w:szCs w:val="24"/>
        </w:rPr>
      </w:pPr>
    </w:p>
    <w:p w14:paraId="2F0B68C8" w14:textId="77777777" w:rsidR="00A652CF" w:rsidRDefault="00A652CF">
      <w:pPr>
        <w:rPr>
          <w:rFonts w:ascii="Times New Roman" w:hAnsi="Times New Roman" w:cs="Times New Roman"/>
          <w:sz w:val="24"/>
          <w:szCs w:val="24"/>
        </w:rPr>
      </w:pPr>
    </w:p>
    <w:p w14:paraId="45273362" w14:textId="77777777" w:rsidR="00A652CF" w:rsidRDefault="00A652CF">
      <w:pPr>
        <w:rPr>
          <w:rFonts w:ascii="Times New Roman" w:hAnsi="Times New Roman" w:cs="Times New Roman"/>
          <w:sz w:val="24"/>
          <w:szCs w:val="24"/>
        </w:rPr>
      </w:pPr>
    </w:p>
    <w:p w14:paraId="53139A09" w14:textId="77777777" w:rsidR="00A652CF" w:rsidRDefault="00A652CF">
      <w:pPr>
        <w:rPr>
          <w:rFonts w:ascii="Times New Roman" w:hAnsi="Times New Roman" w:cs="Times New Roman"/>
          <w:sz w:val="24"/>
          <w:szCs w:val="24"/>
        </w:rPr>
      </w:pPr>
    </w:p>
    <w:p w14:paraId="22494736" w14:textId="77777777" w:rsidR="00A652CF" w:rsidRDefault="00A652CF">
      <w:pPr>
        <w:rPr>
          <w:rFonts w:ascii="Times New Roman" w:hAnsi="Times New Roman" w:cs="Times New Roman"/>
          <w:sz w:val="24"/>
          <w:szCs w:val="24"/>
        </w:rPr>
      </w:pPr>
    </w:p>
    <w:p w14:paraId="6B83EDBD" w14:textId="77777777" w:rsidR="007261AA" w:rsidRDefault="007261AA">
      <w:pPr>
        <w:rPr>
          <w:rFonts w:ascii="Times New Roman" w:hAnsi="Times New Roman" w:cs="Times New Roman"/>
          <w:sz w:val="24"/>
          <w:szCs w:val="24"/>
        </w:rPr>
      </w:pPr>
    </w:p>
    <w:p w14:paraId="39E8C8B6" w14:textId="77777777" w:rsidR="007261AA" w:rsidRDefault="007261AA">
      <w:pPr>
        <w:rPr>
          <w:rFonts w:ascii="Times New Roman" w:hAnsi="Times New Roman" w:cs="Times New Roman"/>
          <w:sz w:val="24"/>
          <w:szCs w:val="24"/>
        </w:rPr>
      </w:pPr>
    </w:p>
    <w:p w14:paraId="7941AE5F" w14:textId="77777777" w:rsidR="007261AA" w:rsidRDefault="007261AA">
      <w:pPr>
        <w:rPr>
          <w:rFonts w:ascii="Times New Roman" w:hAnsi="Times New Roman" w:cs="Times New Roman"/>
          <w:sz w:val="24"/>
          <w:szCs w:val="24"/>
        </w:rPr>
      </w:pPr>
    </w:p>
    <w:p w14:paraId="009863DA" w14:textId="77777777" w:rsidR="007261AA" w:rsidRDefault="007261AA">
      <w:pPr>
        <w:rPr>
          <w:rFonts w:ascii="Times New Roman" w:hAnsi="Times New Roman" w:cs="Times New Roman"/>
          <w:sz w:val="24"/>
          <w:szCs w:val="24"/>
        </w:rPr>
      </w:pPr>
    </w:p>
    <w:p w14:paraId="0DA889C5" w14:textId="77777777" w:rsidR="007261AA" w:rsidRDefault="007261AA">
      <w:pPr>
        <w:rPr>
          <w:rFonts w:ascii="Times New Roman" w:hAnsi="Times New Roman" w:cs="Times New Roman"/>
          <w:sz w:val="24"/>
          <w:szCs w:val="24"/>
        </w:rPr>
      </w:pPr>
    </w:p>
    <w:p w14:paraId="1E3F1C0C" w14:textId="77777777" w:rsidR="007261AA" w:rsidRDefault="007261AA">
      <w:pPr>
        <w:rPr>
          <w:rFonts w:ascii="Times New Roman" w:hAnsi="Times New Roman" w:cs="Times New Roman"/>
          <w:sz w:val="24"/>
          <w:szCs w:val="24"/>
        </w:rPr>
      </w:pPr>
    </w:p>
    <w:p w14:paraId="51DA3E89" w14:textId="77777777" w:rsidR="007261AA" w:rsidRDefault="007261AA">
      <w:pPr>
        <w:rPr>
          <w:rFonts w:ascii="Times New Roman" w:hAnsi="Times New Roman" w:cs="Times New Roman"/>
          <w:sz w:val="24"/>
          <w:szCs w:val="24"/>
        </w:rPr>
      </w:pPr>
    </w:p>
    <w:p w14:paraId="0684C983" w14:textId="77777777" w:rsidR="00D02D8F" w:rsidRDefault="00D02D8F">
      <w:pPr>
        <w:rPr>
          <w:rFonts w:ascii="Times New Roman" w:hAnsi="Times New Roman" w:cs="Times New Roman"/>
          <w:sz w:val="24"/>
          <w:szCs w:val="24"/>
        </w:rPr>
      </w:pPr>
    </w:p>
    <w:p w14:paraId="5EF302EE" w14:textId="77777777" w:rsidR="00A652CF" w:rsidRDefault="00A652CF">
      <w:pPr>
        <w:rPr>
          <w:rFonts w:ascii="Times New Roman" w:hAnsi="Times New Roman" w:cs="Times New Roman"/>
          <w:sz w:val="24"/>
          <w:szCs w:val="24"/>
        </w:rPr>
      </w:pPr>
    </w:p>
    <w:p w14:paraId="00BC3FCC" w14:textId="184633A3" w:rsidR="00457DBB" w:rsidRPr="00D12F38" w:rsidRDefault="00D12F38" w:rsidP="00D12F38">
      <w:pPr>
        <w:pStyle w:val="1"/>
        <w:rPr>
          <w:rFonts w:ascii="Times New Roman" w:hAnsi="Times New Roman" w:cs="Times New Roman"/>
          <w:b/>
          <w:bCs/>
          <w:color w:val="auto"/>
          <w:sz w:val="24"/>
          <w:szCs w:val="24"/>
        </w:rPr>
      </w:pPr>
      <w:bookmarkStart w:id="10" w:name="OLE_LINK42"/>
      <w:bookmarkStart w:id="11" w:name="_Toc216215221"/>
      <w:r>
        <w:rPr>
          <w:rFonts w:ascii="Times New Roman" w:hAnsi="Times New Roman" w:cs="Times New Roman" w:hint="eastAsia"/>
          <w:b/>
          <w:bCs/>
          <w:color w:val="auto"/>
          <w:sz w:val="24"/>
          <w:szCs w:val="24"/>
        </w:rPr>
        <w:lastRenderedPageBreak/>
        <w:t>1.0</w:t>
      </w:r>
      <w:r w:rsidR="00457DBB" w:rsidRPr="00D12F38">
        <w:rPr>
          <w:rFonts w:ascii="Times New Roman" w:hAnsi="Times New Roman" w:cs="Times New Roman"/>
          <w:b/>
          <w:bCs/>
          <w:color w:val="auto"/>
          <w:sz w:val="24"/>
          <w:szCs w:val="24"/>
        </w:rPr>
        <w:t>Chinese cultu</w:t>
      </w:r>
      <w:bookmarkEnd w:id="10"/>
      <w:r w:rsidR="00457DBB" w:rsidRPr="00D12F38">
        <w:rPr>
          <w:rFonts w:ascii="Times New Roman" w:hAnsi="Times New Roman" w:cs="Times New Roman"/>
          <w:b/>
          <w:bCs/>
          <w:color w:val="auto"/>
          <w:sz w:val="24"/>
          <w:szCs w:val="24"/>
        </w:rPr>
        <w:t>re</w:t>
      </w:r>
      <w:bookmarkEnd w:id="11"/>
    </w:p>
    <w:p w14:paraId="3DA8853A" w14:textId="2E40F324" w:rsidR="001B4963" w:rsidRPr="001B4963" w:rsidRDefault="001B4963" w:rsidP="001B4963">
      <w:pPr>
        <w:rPr>
          <w:rFonts w:ascii="Times New Roman" w:hAnsi="Times New Roman" w:cs="Times New Roman"/>
          <w:sz w:val="24"/>
          <w:szCs w:val="24"/>
        </w:rPr>
      </w:pPr>
      <w:r w:rsidRPr="001B4963">
        <w:rPr>
          <w:rFonts w:ascii="Times New Roman" w:hAnsi="Times New Roman" w:cs="Times New Roman" w:hint="eastAsia"/>
          <w:sz w:val="24"/>
          <w:szCs w:val="24"/>
        </w:rPr>
        <w:t>Using Hofstede's Cultural Dimensions Theory, one of the pioneers of the Corporate Social Responsibility (CSR) concept, Carroll (1979, 1991), proposed a social responsibility pyramid. This paper explains and illustrates the logic behind Chinese state-owned enterprises' (SOEs) participation in CSR by combining this pyramid with case analyses of Chinese SOEs and an analysis of China's national conditions.</w:t>
      </w:r>
    </w:p>
    <w:p w14:paraId="52B0B00B" w14:textId="06AFF93F" w:rsidR="005C4A34" w:rsidRPr="00D12F38" w:rsidRDefault="005C4A34" w:rsidP="00D12F38">
      <w:pPr>
        <w:pStyle w:val="2"/>
        <w:rPr>
          <w:rFonts w:ascii="Times New Roman" w:hAnsi="Times New Roman" w:cs="Times New Roman"/>
          <w:b/>
          <w:bCs/>
          <w:color w:val="auto"/>
          <w:sz w:val="24"/>
          <w:szCs w:val="24"/>
        </w:rPr>
      </w:pPr>
      <w:bookmarkStart w:id="12" w:name="_Toc216215222"/>
      <w:r w:rsidRPr="00D12F38">
        <w:rPr>
          <w:rFonts w:ascii="Times New Roman" w:hAnsi="Times New Roman" w:cs="Times New Roman"/>
          <w:b/>
          <w:bCs/>
          <w:color w:val="auto"/>
          <w:sz w:val="24"/>
          <w:szCs w:val="24"/>
        </w:rPr>
        <w:t>1.1 Chinese state-owned enterprises are tools of the state</w:t>
      </w:r>
      <w:bookmarkEnd w:id="12"/>
    </w:p>
    <w:p w14:paraId="20E2B6CA" w14:textId="77777777" w:rsidR="005C4A34" w:rsidRDefault="005C4A34" w:rsidP="00457DBB">
      <w:pPr>
        <w:rPr>
          <w:rFonts w:ascii="Times New Roman" w:hAnsi="Times New Roman" w:cs="Times New Roman"/>
          <w:sz w:val="24"/>
          <w:szCs w:val="24"/>
        </w:rPr>
      </w:pPr>
    </w:p>
    <w:p w14:paraId="27766985" w14:textId="2622D218" w:rsidR="00A652CF" w:rsidRPr="00457DBB" w:rsidRDefault="00457DBB" w:rsidP="00457DBB">
      <w:pPr>
        <w:rPr>
          <w:rFonts w:ascii="Times New Roman" w:hAnsi="Times New Roman" w:cs="Times New Roman"/>
          <w:sz w:val="24"/>
          <w:szCs w:val="24"/>
        </w:rPr>
      </w:pPr>
      <w:r w:rsidRPr="00457DBB">
        <w:rPr>
          <w:rFonts w:ascii="Times New Roman" w:hAnsi="Times New Roman" w:cs="Times New Roman" w:hint="eastAsia"/>
          <w:sz w:val="24"/>
          <w:szCs w:val="24"/>
        </w:rPr>
        <w:t>State-owned enterprises (SOEs) play a crucial role in China's economy, particularly in areas such as infrastructure construction, energy supply, and social welfare (National Development and Reform Commission, 2021). In recent years, against the backdrop of the Communist Party of China (CPC) placing greater emphasis on party building, the governance structure and corporate social responsibility (CSR) practices of state-owned enterprises have undergone profound changes. The Central Committee of the Communist Party of China has explicitly required strengthening the Party's leadership over state-owned enterprises, ensuring the Party's core position within these enterprises, thereby enhancing their capacity to fulfill social responsibilities (Central Committee of the Communist Party of China, 2024).</w:t>
      </w:r>
    </w:p>
    <w:p w14:paraId="0E85931C" w14:textId="77777777" w:rsidR="00A652CF" w:rsidRDefault="00A652CF">
      <w:pPr>
        <w:rPr>
          <w:rFonts w:ascii="Times New Roman" w:hAnsi="Times New Roman" w:cs="Times New Roman"/>
          <w:sz w:val="24"/>
          <w:szCs w:val="24"/>
        </w:rPr>
      </w:pPr>
    </w:p>
    <w:p w14:paraId="227D9BB0" w14:textId="1DD62F88" w:rsidR="00A652CF" w:rsidRPr="00D12F38" w:rsidRDefault="00296A8E" w:rsidP="00D12F38">
      <w:pPr>
        <w:pStyle w:val="2"/>
        <w:rPr>
          <w:rFonts w:ascii="Times New Roman" w:hAnsi="Times New Roman" w:cs="Times New Roman"/>
          <w:b/>
          <w:bCs/>
          <w:color w:val="auto"/>
          <w:sz w:val="24"/>
          <w:szCs w:val="24"/>
        </w:rPr>
      </w:pPr>
      <w:bookmarkStart w:id="13" w:name="_Toc216215223"/>
      <w:bookmarkStart w:id="14" w:name="OLE_LINK43"/>
      <w:r w:rsidRPr="00D12F38">
        <w:rPr>
          <w:rFonts w:ascii="Times New Roman" w:hAnsi="Times New Roman" w:cs="Times New Roman"/>
          <w:b/>
          <w:bCs/>
          <w:color w:val="auto"/>
          <w:sz w:val="24"/>
          <w:szCs w:val="24"/>
        </w:rPr>
        <w:t>1.2 Power Distance in China</w:t>
      </w:r>
      <w:bookmarkEnd w:id="13"/>
    </w:p>
    <w:bookmarkEnd w:id="14"/>
    <w:p w14:paraId="3C56355A" w14:textId="26EA39EE" w:rsidR="00A652CF" w:rsidRDefault="0079696F">
      <w:pPr>
        <w:rPr>
          <w:rFonts w:ascii="Times New Roman" w:hAnsi="Times New Roman" w:cs="Times New Roman"/>
          <w:sz w:val="24"/>
          <w:szCs w:val="24"/>
        </w:rPr>
      </w:pPr>
      <w:r w:rsidRPr="0079696F">
        <w:rPr>
          <w:rFonts w:ascii="Times New Roman" w:hAnsi="Times New Roman" w:cs="Times New Roman" w:hint="eastAsia"/>
          <w:sz w:val="24"/>
          <w:szCs w:val="24"/>
        </w:rPr>
        <w:t xml:space="preserve">Power distance refers to the extent to which less powerful members of a society accept and expect unequal distribution of power. High power distance cultures, such as China, often accept hierarchical structures, with authority rarely questioned and decision-making power highly concentrated at the top. For example, in the case of Chinese state-owned enterprises, they are under the leadership of the Communist Party of China and receive financial support and subsidy relief programs in accordance with relevant policies. Both China's central state-owned enterprises and local state-owned enterprises comply with the </w:t>
      </w:r>
      <w:proofErr w:type="gramStart"/>
      <w:r w:rsidRPr="0079696F">
        <w:rPr>
          <w:rFonts w:ascii="Times New Roman" w:hAnsi="Times New Roman" w:cs="Times New Roman" w:hint="eastAsia"/>
          <w:sz w:val="24"/>
          <w:szCs w:val="24"/>
        </w:rPr>
        <w:t>high power</w:t>
      </w:r>
      <w:proofErr w:type="gramEnd"/>
      <w:r w:rsidRPr="0079696F">
        <w:rPr>
          <w:rFonts w:ascii="Times New Roman" w:hAnsi="Times New Roman" w:cs="Times New Roman" w:hint="eastAsia"/>
          <w:sz w:val="24"/>
          <w:szCs w:val="24"/>
        </w:rPr>
        <w:t xml:space="preserve"> distance culture.</w:t>
      </w:r>
      <w:r w:rsidR="001F37ED" w:rsidRPr="001F37ED">
        <w:rPr>
          <w:rFonts w:ascii="Times New Roman" w:hAnsi="Times New Roman" w:cs="Times New Roman"/>
          <w:color w:val="000000"/>
          <w:sz w:val="24"/>
          <w:szCs w:val="24"/>
          <w:shd w:val="clear" w:color="auto" w:fill="FFFFFF"/>
        </w:rPr>
        <w:t xml:space="preserve"> </w:t>
      </w:r>
      <w:bookmarkStart w:id="15" w:name="OLE_LINK23"/>
      <w:r w:rsidR="001F37ED">
        <w:rPr>
          <w:rFonts w:ascii="Times New Roman" w:hAnsi="Times New Roman" w:cs="Times New Roman" w:hint="eastAsia"/>
          <w:color w:val="000000"/>
          <w:sz w:val="24"/>
          <w:szCs w:val="24"/>
          <w:shd w:val="clear" w:color="auto" w:fill="FFFFFF"/>
        </w:rPr>
        <w:t>（</w:t>
      </w:r>
      <w:r w:rsidR="001F37ED" w:rsidRPr="00296A8E">
        <w:rPr>
          <w:rFonts w:ascii="Times New Roman" w:hAnsi="Times New Roman" w:cs="Times New Roman"/>
          <w:color w:val="000000"/>
          <w:sz w:val="24"/>
          <w:szCs w:val="24"/>
          <w:shd w:val="clear" w:color="auto" w:fill="FFFFFF"/>
        </w:rPr>
        <w:t>Hofstede, 1980).</w:t>
      </w:r>
    </w:p>
    <w:bookmarkEnd w:id="15"/>
    <w:p w14:paraId="4A4C6E50" w14:textId="77777777" w:rsidR="00296A8E" w:rsidRDefault="00296A8E">
      <w:pPr>
        <w:rPr>
          <w:rFonts w:ascii="Times New Roman" w:hAnsi="Times New Roman" w:cs="Times New Roman"/>
          <w:sz w:val="24"/>
          <w:szCs w:val="24"/>
        </w:rPr>
      </w:pPr>
    </w:p>
    <w:p w14:paraId="7A9B8FC8" w14:textId="307B9B7F" w:rsidR="00296A8E" w:rsidRPr="00D12F38" w:rsidRDefault="005C4A34" w:rsidP="00D12F38">
      <w:pPr>
        <w:pStyle w:val="2"/>
        <w:rPr>
          <w:rFonts w:ascii="Times New Roman" w:hAnsi="Times New Roman" w:cs="Times New Roman"/>
          <w:b/>
          <w:bCs/>
          <w:color w:val="auto"/>
          <w:sz w:val="24"/>
          <w:szCs w:val="24"/>
        </w:rPr>
      </w:pPr>
      <w:bookmarkStart w:id="16" w:name="_Toc216215224"/>
      <w:bookmarkStart w:id="17" w:name="OLE_LINK44"/>
      <w:r w:rsidRPr="00D12F38">
        <w:rPr>
          <w:rFonts w:ascii="Times New Roman" w:hAnsi="Times New Roman" w:cs="Times New Roman"/>
          <w:b/>
          <w:bCs/>
          <w:color w:val="auto"/>
          <w:sz w:val="24"/>
          <w:szCs w:val="24"/>
        </w:rPr>
        <w:t>1.3 The role of collectivism in Chinese state-owned enterprises</w:t>
      </w:r>
      <w:bookmarkEnd w:id="16"/>
    </w:p>
    <w:bookmarkEnd w:id="17"/>
    <w:p w14:paraId="0298D285" w14:textId="77777777" w:rsidR="00457DBB" w:rsidRDefault="00457DBB">
      <w:pPr>
        <w:rPr>
          <w:rFonts w:ascii="Times New Roman" w:hAnsi="Times New Roman" w:cs="Times New Roman"/>
          <w:sz w:val="24"/>
          <w:szCs w:val="24"/>
        </w:rPr>
      </w:pPr>
    </w:p>
    <w:p w14:paraId="5A70EB38" w14:textId="1A39CF35" w:rsidR="00457DBB" w:rsidRDefault="00CA6E05">
      <w:pPr>
        <w:rPr>
          <w:rFonts w:ascii="Times New Roman" w:hAnsi="Times New Roman" w:cs="Times New Roman"/>
          <w:sz w:val="24"/>
          <w:szCs w:val="24"/>
        </w:rPr>
      </w:pPr>
      <w:r w:rsidRPr="00CA6E05">
        <w:rPr>
          <w:rFonts w:ascii="Times New Roman" w:hAnsi="Times New Roman" w:cs="Times New Roman" w:hint="eastAsia"/>
          <w:sz w:val="24"/>
          <w:szCs w:val="24"/>
        </w:rPr>
        <w:t>This dimension measures whether people in a specific culture prioritize individual goals or group goals. In collectivist cultures, such as China, decisions are often made with group harmony as the starting point. For example, in a collectivist business environment, employees may avoid publicly expressing differing opinions in meetings to maintain unity (Hofstede, 1980). This study uses planned collectivism to enrich the theory of corporate social responsibility (CSR) practice in Chinese enterprises. Unlike Western Chinese CSR, which emphasizes stakeholder theory and the social contract of enterprises, the CSR practice of Chinese state-owned enterprises prioritizes alignment with the policies of the Party and the country, reflecting a unique indigenous path of corporate social responsibility (Wang, 2022).</w:t>
      </w:r>
    </w:p>
    <w:p w14:paraId="4FE191D4" w14:textId="77777777" w:rsidR="00457DBB" w:rsidRDefault="00457DBB">
      <w:pPr>
        <w:rPr>
          <w:rFonts w:ascii="Times New Roman" w:hAnsi="Times New Roman" w:cs="Times New Roman"/>
          <w:sz w:val="24"/>
          <w:szCs w:val="24"/>
        </w:rPr>
      </w:pPr>
    </w:p>
    <w:p w14:paraId="0B8E44BF" w14:textId="77777777" w:rsidR="00457DBB" w:rsidRDefault="00457DBB">
      <w:pPr>
        <w:rPr>
          <w:rFonts w:ascii="Times New Roman" w:hAnsi="Times New Roman" w:cs="Times New Roman"/>
          <w:sz w:val="24"/>
          <w:szCs w:val="24"/>
        </w:rPr>
      </w:pPr>
    </w:p>
    <w:p w14:paraId="751E3D1B" w14:textId="3ED454D0" w:rsidR="00457DBB" w:rsidRPr="00D12F38" w:rsidRDefault="0096000F" w:rsidP="00D12F38">
      <w:pPr>
        <w:pStyle w:val="2"/>
        <w:rPr>
          <w:rFonts w:ascii="Times New Roman" w:hAnsi="Times New Roman" w:cs="Times New Roman"/>
          <w:b/>
          <w:bCs/>
          <w:color w:val="auto"/>
          <w:sz w:val="24"/>
          <w:szCs w:val="24"/>
        </w:rPr>
      </w:pPr>
      <w:bookmarkStart w:id="18" w:name="_Toc216215225"/>
      <w:r w:rsidRPr="00D12F38">
        <w:rPr>
          <w:rFonts w:ascii="Times New Roman" w:hAnsi="Times New Roman" w:cs="Times New Roman"/>
          <w:b/>
          <w:bCs/>
          <w:color w:val="auto"/>
          <w:sz w:val="24"/>
          <w:szCs w:val="24"/>
        </w:rPr>
        <w:t>1.4</w:t>
      </w:r>
      <w:r w:rsidR="001B4963" w:rsidRPr="00D12F38">
        <w:rPr>
          <w:rFonts w:ascii="Times New Roman" w:hAnsi="Times New Roman" w:cs="Times New Roman"/>
          <w:b/>
          <w:bCs/>
          <w:color w:val="auto"/>
          <w:sz w:val="24"/>
          <w:szCs w:val="24"/>
        </w:rPr>
        <w:t xml:space="preserve"> Long-term</w:t>
      </w:r>
      <w:bookmarkEnd w:id="18"/>
    </w:p>
    <w:p w14:paraId="4118997F" w14:textId="66DE172D" w:rsidR="00457DBB" w:rsidRDefault="00CA6E05">
      <w:pPr>
        <w:rPr>
          <w:rFonts w:ascii="Times New Roman" w:hAnsi="Times New Roman" w:cs="Times New Roman"/>
          <w:sz w:val="24"/>
          <w:szCs w:val="24"/>
        </w:rPr>
      </w:pPr>
      <w:r w:rsidRPr="00CA6E05">
        <w:rPr>
          <w:rFonts w:ascii="Times New Roman" w:hAnsi="Times New Roman" w:cs="Times New Roman" w:hint="eastAsia"/>
          <w:sz w:val="24"/>
          <w:szCs w:val="24"/>
        </w:rPr>
        <w:t>Long-term orientation reflects whether a culture prioritizes future rewards or immediate results. In cultures with a long-term orientation, such as China, people value perseverance, planning, and frugality. When making decisions, the impact on future generations is often considered (Hofstede, Minkov, 2010) (Bond, 1991). For example, China's economic policies are also based on long-term goals. Its development objectives include achieving high-quality regional integration and promoting new-type urbanization (Li et al., 2022). The Chinese government has recognized that driving high-quality development of city clusters is of great significance for achieving high-quality economic development and regional integration (Feng et al., 2018; Harrison &amp; Hoyler, 2015; Yi et al., 2018).</w:t>
      </w:r>
    </w:p>
    <w:p w14:paraId="1A6D5A60" w14:textId="77777777" w:rsidR="00457DBB" w:rsidRDefault="00457DBB">
      <w:pPr>
        <w:rPr>
          <w:rFonts w:ascii="Times New Roman" w:hAnsi="Times New Roman" w:cs="Times New Roman"/>
          <w:sz w:val="24"/>
          <w:szCs w:val="24"/>
        </w:rPr>
      </w:pPr>
    </w:p>
    <w:p w14:paraId="1BCD877F" w14:textId="77777777" w:rsidR="00457DBB" w:rsidRDefault="00457DBB">
      <w:pPr>
        <w:rPr>
          <w:rFonts w:ascii="Times New Roman" w:hAnsi="Times New Roman" w:cs="Times New Roman"/>
          <w:sz w:val="24"/>
          <w:szCs w:val="24"/>
        </w:rPr>
      </w:pPr>
    </w:p>
    <w:p w14:paraId="43B0F796" w14:textId="74E1CF93" w:rsidR="00457DBB" w:rsidRPr="00D12F38" w:rsidRDefault="005A0303" w:rsidP="00D12F38">
      <w:pPr>
        <w:pStyle w:val="2"/>
        <w:rPr>
          <w:rFonts w:ascii="Times New Roman" w:hAnsi="Times New Roman" w:cs="Times New Roman"/>
          <w:b/>
          <w:bCs/>
          <w:color w:val="auto"/>
          <w:sz w:val="24"/>
          <w:szCs w:val="24"/>
        </w:rPr>
      </w:pPr>
      <w:bookmarkStart w:id="19" w:name="_Toc216215226"/>
      <w:bookmarkStart w:id="20" w:name="OLE_LINK45"/>
      <w:r w:rsidRPr="00D12F38">
        <w:rPr>
          <w:rFonts w:ascii="Times New Roman" w:hAnsi="Times New Roman" w:cs="Times New Roman"/>
          <w:b/>
          <w:bCs/>
          <w:color w:val="auto"/>
          <w:sz w:val="24"/>
          <w:szCs w:val="24"/>
        </w:rPr>
        <w:t>1.5 State-Owned Enterprise Social Responsibility</w:t>
      </w:r>
      <w:bookmarkEnd w:id="19"/>
    </w:p>
    <w:bookmarkEnd w:id="20"/>
    <w:p w14:paraId="431E4516" w14:textId="5A851AB9" w:rsidR="00CA6E05" w:rsidRDefault="00CA6E05">
      <w:pPr>
        <w:rPr>
          <w:rFonts w:ascii="Times New Roman" w:hAnsi="Times New Roman" w:cs="Times New Roman"/>
          <w:sz w:val="24"/>
          <w:szCs w:val="24"/>
        </w:rPr>
      </w:pPr>
      <w:r w:rsidRPr="00CA6E05">
        <w:rPr>
          <w:rFonts w:ascii="Times New Roman" w:hAnsi="Times New Roman" w:cs="Times New Roman" w:hint="eastAsia"/>
          <w:sz w:val="24"/>
          <w:szCs w:val="24"/>
        </w:rPr>
        <w:t>The consistency between the Party's values and corporate social responsibility (CSR) practices refers to the extent to which CSR activities reflect the Party's guiding principles and core values. Research indicates that the CSR behaviors of state-owned enterprises (SOEs) are often influenced by the Party's values. Li Ming (2020) analyzed the CSR reports of multiple SOEs and found that values such as 'integrity,' 'responsibility,' and 'dedication' are prominently reflected in their social responsibility practices, particularly in areas such as poverty alleviation, environmental protection, and public welfare. Case data analysis of corporate social responsibility activities shows that financial banking industry enterprises have the highest alignment, with an average of 84.3%, including 86% for Industrial and Commercial Bank of China and 84% for China Construction Bank. The average alignment of energy industry enterprises is 79.7%, with State Grid Corporation reaching 83% and China National Petroleum and Chemical Corporation at 77%. Manufacturing enterprises have relatively lower alignment, with an average of 75.3%, including 74% for Baowu Group and 77% for China Aviation Industry Group.</w:t>
      </w:r>
    </w:p>
    <w:p w14:paraId="6651928D" w14:textId="1280ADD4" w:rsidR="00F50CBD" w:rsidRPr="00781D32" w:rsidRDefault="00F50CBD" w:rsidP="00781D32">
      <w:pPr>
        <w:pStyle w:val="2"/>
        <w:rPr>
          <w:rFonts w:ascii="Times New Roman" w:hAnsi="Times New Roman" w:cs="Times New Roman"/>
          <w:b/>
          <w:bCs/>
          <w:color w:val="auto"/>
          <w:sz w:val="24"/>
          <w:szCs w:val="24"/>
        </w:rPr>
      </w:pPr>
      <w:bookmarkStart w:id="21" w:name="_Toc216215227"/>
      <w:r w:rsidRPr="00781D32">
        <w:rPr>
          <w:rFonts w:ascii="Times New Roman" w:hAnsi="Times New Roman" w:cs="Times New Roman"/>
          <w:b/>
          <w:bCs/>
          <w:color w:val="auto"/>
          <w:sz w:val="24"/>
          <w:szCs w:val="24"/>
        </w:rPr>
        <w:t>1.6</w:t>
      </w:r>
      <w:r w:rsidR="00781D32" w:rsidRPr="00781D32">
        <w:rPr>
          <w:rFonts w:ascii="Times New Roman" w:hAnsi="Times New Roman" w:cs="Times New Roman"/>
          <w:b/>
          <w:bCs/>
          <w:color w:val="auto"/>
          <w:sz w:val="24"/>
          <w:szCs w:val="24"/>
        </w:rPr>
        <w:t xml:space="preserve"> How can three countries establish contact</w:t>
      </w:r>
      <w:bookmarkEnd w:id="21"/>
    </w:p>
    <w:p w14:paraId="2CB9D1A2" w14:textId="77777777" w:rsidR="001939BB" w:rsidRDefault="001939BB" w:rsidP="00F50CBD">
      <w:pPr>
        <w:rPr>
          <w:rFonts w:ascii="Times New Roman" w:hAnsi="Times New Roman" w:cs="Times New Roman"/>
          <w:sz w:val="24"/>
          <w:szCs w:val="24"/>
        </w:rPr>
      </w:pPr>
    </w:p>
    <w:p w14:paraId="335A3638" w14:textId="77777777" w:rsidR="001939BB" w:rsidRDefault="001939BB" w:rsidP="00F50CBD">
      <w:pPr>
        <w:rPr>
          <w:rFonts w:ascii="Times New Roman" w:hAnsi="Times New Roman" w:cs="Times New Roman"/>
          <w:sz w:val="24"/>
          <w:szCs w:val="24"/>
        </w:rPr>
      </w:pPr>
    </w:p>
    <w:p w14:paraId="56E30D9B" w14:textId="77777777" w:rsidR="00404315" w:rsidRPr="00404315" w:rsidRDefault="00404315" w:rsidP="00404315">
      <w:pPr>
        <w:rPr>
          <w:rFonts w:ascii="Times New Roman" w:hAnsi="Times New Roman" w:cs="Times New Roman"/>
          <w:sz w:val="24"/>
          <w:szCs w:val="24"/>
        </w:rPr>
      </w:pPr>
      <w:r w:rsidRPr="00404315">
        <w:rPr>
          <w:rFonts w:ascii="Times New Roman" w:hAnsi="Times New Roman" w:cs="Times New Roman" w:hint="eastAsia"/>
          <w:sz w:val="24"/>
          <w:szCs w:val="24"/>
        </w:rPr>
        <w:t xml:space="preserve">The principle of universalism holds that human rights are inherent rights of all people (Katarzyna Gruszko, 2023) (Arvind Kumar, 2024). However, this universalist approach faces a serious challenge from cultural relativism, which argues that human rights must be interpreted within the context of local cultural norms and traditions (Michael Krennerich, 2024). Supporters of cultural relativism contend that adherence to universal human rights could lead to cultural imperialism, undermining local customs and values (Michael Krennerich, 2024). In contrast, supporters of universalism argue that fundamental human rights must transcend cultural boundaries to ensure dignity and </w:t>
      </w:r>
      <w:r w:rsidRPr="00404315">
        <w:rPr>
          <w:rFonts w:ascii="Times New Roman" w:hAnsi="Times New Roman" w:cs="Times New Roman" w:hint="eastAsia"/>
          <w:sz w:val="24"/>
          <w:szCs w:val="24"/>
        </w:rPr>
        <w:lastRenderedPageBreak/>
        <w:t>justice for all (Arvind Kumar, 2024). Therefore, the ongoing dialogue between universalism and cultural relativism remains crucial for shaping the future of international human rights law and its application in multicultural contexts.</w:t>
      </w:r>
    </w:p>
    <w:p w14:paraId="5F8DE785" w14:textId="77777777" w:rsidR="00404315" w:rsidRPr="00404315" w:rsidRDefault="00404315" w:rsidP="00404315">
      <w:pPr>
        <w:rPr>
          <w:rFonts w:ascii="Times New Roman" w:hAnsi="Times New Roman" w:cs="Times New Roman"/>
          <w:sz w:val="24"/>
          <w:szCs w:val="24"/>
        </w:rPr>
      </w:pPr>
    </w:p>
    <w:p w14:paraId="4E4A4D67" w14:textId="71DF9D02" w:rsidR="001939BB" w:rsidRDefault="00404315" w:rsidP="00404315">
      <w:pPr>
        <w:rPr>
          <w:rFonts w:ascii="Times New Roman" w:hAnsi="Times New Roman" w:cs="Times New Roman"/>
          <w:sz w:val="24"/>
          <w:szCs w:val="24"/>
        </w:rPr>
      </w:pPr>
      <w:r w:rsidRPr="00404315">
        <w:rPr>
          <w:rFonts w:ascii="Times New Roman" w:hAnsi="Times New Roman" w:cs="Times New Roman" w:hint="eastAsia"/>
          <w:sz w:val="24"/>
          <w:szCs w:val="24"/>
        </w:rPr>
        <w:cr/>
        <w:t>The theory of cultural relativism is a challenging concept that may not be universally acceptable in Western societies inclined toward universalism. Within the framework of cultural relativism, emphasis is placed on the unique principles of each continent as well as commonalities between cultures, providing an acceptable perspective for discussing human rights issues (Ghanbari, Rezaei, Torabi, 2024). For example, a relativist approach is adopted in Chinese state-owned enterprises (SOEs). Take the Chinese state-owned enterprise Hongqi Auto in the automotive manufacturing industry as a case in point: whether it is China's Hongqi or Japan's Toyota, both adhere to cultural relativism in the same way. However, Toyota follows a leadership management model and fosters a family culture in its operations; by contrast, Hongqi Auto places importance on propaganda work and cultural sensitivity, focusing on employee management.</w:t>
      </w:r>
      <w:r w:rsidRPr="00404315">
        <w:rPr>
          <w:rFonts w:hint="eastAsia"/>
        </w:rPr>
        <w:t xml:space="preserve"> </w:t>
      </w:r>
      <w:r w:rsidRPr="00404315">
        <w:rPr>
          <w:rFonts w:ascii="Times New Roman" w:hAnsi="Times New Roman" w:cs="Times New Roman" w:hint="eastAsia"/>
          <w:sz w:val="24"/>
          <w:szCs w:val="24"/>
        </w:rPr>
        <w:t>Universalist countries include the United Kingdom and the United States. For example, in the case below, Tesco of the United Kingdom and Volkswagen of Germany pay more attention to universalism in their operations.</w:t>
      </w:r>
    </w:p>
    <w:p w14:paraId="6C8DF937" w14:textId="77777777" w:rsidR="001939BB" w:rsidRDefault="001939BB" w:rsidP="00F50CBD">
      <w:pPr>
        <w:rPr>
          <w:rFonts w:ascii="Times New Roman" w:hAnsi="Times New Roman" w:cs="Times New Roman"/>
          <w:sz w:val="24"/>
          <w:szCs w:val="24"/>
        </w:rPr>
      </w:pPr>
    </w:p>
    <w:p w14:paraId="6BF0E7F5" w14:textId="77777777" w:rsidR="001939BB" w:rsidRDefault="001939BB" w:rsidP="00F50CBD">
      <w:pPr>
        <w:rPr>
          <w:rFonts w:ascii="Times New Roman" w:hAnsi="Times New Roman" w:cs="Times New Roman"/>
          <w:sz w:val="24"/>
          <w:szCs w:val="24"/>
        </w:rPr>
      </w:pPr>
    </w:p>
    <w:p w14:paraId="4EBCD712" w14:textId="77777777" w:rsidR="001939BB" w:rsidRDefault="001939BB" w:rsidP="00F50CBD">
      <w:pPr>
        <w:rPr>
          <w:rFonts w:ascii="Times New Roman" w:hAnsi="Times New Roman" w:cs="Times New Roman"/>
          <w:sz w:val="24"/>
          <w:szCs w:val="24"/>
        </w:rPr>
      </w:pPr>
    </w:p>
    <w:p w14:paraId="6435A9A9" w14:textId="77777777" w:rsidR="001939BB" w:rsidRDefault="001939BB" w:rsidP="00F50CBD">
      <w:pPr>
        <w:rPr>
          <w:rFonts w:ascii="Times New Roman" w:hAnsi="Times New Roman" w:cs="Times New Roman"/>
          <w:sz w:val="24"/>
          <w:szCs w:val="24"/>
        </w:rPr>
      </w:pPr>
    </w:p>
    <w:p w14:paraId="0621329E" w14:textId="77777777" w:rsidR="001939BB" w:rsidRDefault="001939BB" w:rsidP="00F50CBD">
      <w:pPr>
        <w:rPr>
          <w:rFonts w:ascii="Times New Roman" w:hAnsi="Times New Roman" w:cs="Times New Roman"/>
          <w:sz w:val="24"/>
          <w:szCs w:val="24"/>
        </w:rPr>
      </w:pPr>
    </w:p>
    <w:p w14:paraId="7F547163" w14:textId="77777777" w:rsidR="001939BB" w:rsidRDefault="001939BB" w:rsidP="00F50CBD">
      <w:pPr>
        <w:rPr>
          <w:rFonts w:ascii="Times New Roman" w:hAnsi="Times New Roman" w:cs="Times New Roman"/>
          <w:sz w:val="24"/>
          <w:szCs w:val="24"/>
        </w:rPr>
      </w:pPr>
    </w:p>
    <w:p w14:paraId="33B990DF" w14:textId="77777777" w:rsidR="001939BB" w:rsidRDefault="001939BB" w:rsidP="00F50CBD">
      <w:pPr>
        <w:rPr>
          <w:rFonts w:ascii="Times New Roman" w:hAnsi="Times New Roman" w:cs="Times New Roman"/>
          <w:sz w:val="24"/>
          <w:szCs w:val="24"/>
        </w:rPr>
      </w:pPr>
    </w:p>
    <w:p w14:paraId="644A2A0C" w14:textId="77777777" w:rsidR="001939BB" w:rsidRDefault="001939BB" w:rsidP="00F50CBD">
      <w:pPr>
        <w:rPr>
          <w:rFonts w:ascii="Times New Roman" w:hAnsi="Times New Roman" w:cs="Times New Roman"/>
          <w:sz w:val="24"/>
          <w:szCs w:val="24"/>
        </w:rPr>
      </w:pPr>
    </w:p>
    <w:p w14:paraId="685BD05B" w14:textId="77777777" w:rsidR="00F50CBD" w:rsidRDefault="00F50CBD">
      <w:pPr>
        <w:rPr>
          <w:rFonts w:ascii="Times New Roman" w:hAnsi="Times New Roman" w:cs="Times New Roman"/>
          <w:sz w:val="24"/>
          <w:szCs w:val="24"/>
        </w:rPr>
      </w:pPr>
    </w:p>
    <w:p w14:paraId="27AF2002" w14:textId="77777777" w:rsidR="00404315" w:rsidRDefault="00404315">
      <w:pPr>
        <w:rPr>
          <w:rFonts w:ascii="Times New Roman" w:hAnsi="Times New Roman" w:cs="Times New Roman"/>
          <w:sz w:val="24"/>
          <w:szCs w:val="24"/>
        </w:rPr>
      </w:pPr>
    </w:p>
    <w:p w14:paraId="3140ED4E" w14:textId="77777777" w:rsidR="00404315" w:rsidRDefault="00404315">
      <w:pPr>
        <w:rPr>
          <w:rFonts w:ascii="Times New Roman" w:hAnsi="Times New Roman" w:cs="Times New Roman"/>
          <w:sz w:val="24"/>
          <w:szCs w:val="24"/>
        </w:rPr>
      </w:pPr>
    </w:p>
    <w:p w14:paraId="5F6F4AEA" w14:textId="77777777" w:rsidR="007261AA" w:rsidRDefault="007261AA">
      <w:pPr>
        <w:rPr>
          <w:rFonts w:ascii="Times New Roman" w:hAnsi="Times New Roman" w:cs="Times New Roman"/>
          <w:sz w:val="24"/>
          <w:szCs w:val="24"/>
        </w:rPr>
      </w:pPr>
    </w:p>
    <w:p w14:paraId="693A1123" w14:textId="77777777" w:rsidR="007261AA" w:rsidRDefault="007261AA">
      <w:pPr>
        <w:rPr>
          <w:rFonts w:ascii="Times New Roman" w:hAnsi="Times New Roman" w:cs="Times New Roman"/>
          <w:sz w:val="24"/>
          <w:szCs w:val="24"/>
        </w:rPr>
      </w:pPr>
    </w:p>
    <w:p w14:paraId="4DFB9827" w14:textId="77777777" w:rsidR="007261AA" w:rsidRDefault="007261AA">
      <w:pPr>
        <w:rPr>
          <w:rFonts w:ascii="Times New Roman" w:hAnsi="Times New Roman" w:cs="Times New Roman"/>
          <w:sz w:val="24"/>
          <w:szCs w:val="24"/>
        </w:rPr>
      </w:pPr>
    </w:p>
    <w:p w14:paraId="18C12381" w14:textId="77777777" w:rsidR="007261AA" w:rsidRDefault="007261AA">
      <w:pPr>
        <w:rPr>
          <w:rFonts w:ascii="Times New Roman" w:hAnsi="Times New Roman" w:cs="Times New Roman"/>
          <w:sz w:val="24"/>
          <w:szCs w:val="24"/>
        </w:rPr>
      </w:pPr>
    </w:p>
    <w:p w14:paraId="5DA9D8C5" w14:textId="77777777" w:rsidR="007261AA" w:rsidRDefault="007261AA">
      <w:pPr>
        <w:rPr>
          <w:rFonts w:ascii="Times New Roman" w:hAnsi="Times New Roman" w:cs="Times New Roman"/>
          <w:sz w:val="24"/>
          <w:szCs w:val="24"/>
        </w:rPr>
      </w:pPr>
    </w:p>
    <w:p w14:paraId="5F3BCB1A" w14:textId="77777777" w:rsidR="007261AA" w:rsidRDefault="007261AA">
      <w:pPr>
        <w:rPr>
          <w:rFonts w:ascii="Times New Roman" w:hAnsi="Times New Roman" w:cs="Times New Roman"/>
          <w:sz w:val="24"/>
          <w:szCs w:val="24"/>
        </w:rPr>
      </w:pPr>
    </w:p>
    <w:p w14:paraId="4C69C76A" w14:textId="77777777" w:rsidR="007261AA" w:rsidRDefault="007261AA">
      <w:pPr>
        <w:rPr>
          <w:rFonts w:ascii="Times New Roman" w:hAnsi="Times New Roman" w:cs="Times New Roman"/>
          <w:sz w:val="24"/>
          <w:szCs w:val="24"/>
        </w:rPr>
      </w:pPr>
    </w:p>
    <w:p w14:paraId="4E930A6F" w14:textId="77777777" w:rsidR="00781D32" w:rsidRDefault="00781D32">
      <w:pPr>
        <w:rPr>
          <w:rFonts w:ascii="Times New Roman" w:hAnsi="Times New Roman" w:cs="Times New Roman"/>
          <w:sz w:val="24"/>
          <w:szCs w:val="24"/>
        </w:rPr>
      </w:pPr>
    </w:p>
    <w:p w14:paraId="42054412" w14:textId="77777777" w:rsidR="00404315" w:rsidRDefault="00404315">
      <w:pPr>
        <w:rPr>
          <w:rFonts w:ascii="Times New Roman" w:hAnsi="Times New Roman" w:cs="Times New Roman"/>
          <w:sz w:val="24"/>
          <w:szCs w:val="24"/>
        </w:rPr>
      </w:pPr>
    </w:p>
    <w:p w14:paraId="2477F3E1" w14:textId="77777777" w:rsidR="00404315" w:rsidRDefault="00404315">
      <w:pPr>
        <w:rPr>
          <w:rFonts w:ascii="Times New Roman" w:hAnsi="Times New Roman" w:cs="Times New Roman"/>
          <w:sz w:val="24"/>
          <w:szCs w:val="24"/>
        </w:rPr>
      </w:pPr>
    </w:p>
    <w:p w14:paraId="147EB000" w14:textId="77777777" w:rsidR="00404315" w:rsidRDefault="00404315">
      <w:pPr>
        <w:rPr>
          <w:rFonts w:ascii="Times New Roman" w:hAnsi="Times New Roman" w:cs="Times New Roman"/>
          <w:sz w:val="24"/>
          <w:szCs w:val="24"/>
        </w:rPr>
      </w:pPr>
    </w:p>
    <w:p w14:paraId="4628A571" w14:textId="77777777" w:rsidR="00404315" w:rsidRDefault="00404315">
      <w:pPr>
        <w:rPr>
          <w:rFonts w:ascii="Times New Roman" w:hAnsi="Times New Roman" w:cs="Times New Roman"/>
          <w:sz w:val="24"/>
          <w:szCs w:val="24"/>
        </w:rPr>
      </w:pPr>
    </w:p>
    <w:p w14:paraId="34596E3B" w14:textId="77777777" w:rsidR="00404315" w:rsidRDefault="00404315">
      <w:pPr>
        <w:rPr>
          <w:rFonts w:ascii="Times New Roman" w:hAnsi="Times New Roman" w:cs="Times New Roman"/>
          <w:sz w:val="24"/>
          <w:szCs w:val="24"/>
        </w:rPr>
      </w:pPr>
    </w:p>
    <w:p w14:paraId="5FEC6B85" w14:textId="77777777" w:rsidR="00404315" w:rsidRPr="00F50CBD" w:rsidRDefault="00404315">
      <w:pPr>
        <w:rPr>
          <w:rFonts w:ascii="Times New Roman" w:hAnsi="Times New Roman" w:cs="Times New Roman" w:hint="eastAsia"/>
          <w:sz w:val="24"/>
          <w:szCs w:val="24"/>
        </w:rPr>
      </w:pPr>
    </w:p>
    <w:p w14:paraId="27EA4A4F" w14:textId="08A30CEE" w:rsidR="00E8390C" w:rsidRPr="00D12F38" w:rsidRDefault="00E8390C" w:rsidP="00D12F38">
      <w:pPr>
        <w:pStyle w:val="2"/>
        <w:rPr>
          <w:rFonts w:ascii="Times New Roman" w:hAnsi="Times New Roman" w:cs="Times New Roman"/>
          <w:b/>
          <w:bCs/>
          <w:color w:val="auto"/>
          <w:sz w:val="24"/>
          <w:szCs w:val="24"/>
        </w:rPr>
      </w:pPr>
      <w:bookmarkStart w:id="22" w:name="_Toc216215228"/>
      <w:r w:rsidRPr="00D12F38">
        <w:rPr>
          <w:rFonts w:ascii="Times New Roman" w:hAnsi="Times New Roman" w:cs="Times New Roman"/>
          <w:b/>
          <w:bCs/>
          <w:color w:val="auto"/>
          <w:sz w:val="24"/>
          <w:szCs w:val="24"/>
        </w:rPr>
        <w:lastRenderedPageBreak/>
        <w:t>1.7China Hongqi Automobile Case</w:t>
      </w:r>
      <w:bookmarkEnd w:id="22"/>
    </w:p>
    <w:p w14:paraId="174BB50F" w14:textId="0C7ABB1A" w:rsidR="00E8390C" w:rsidRPr="00E8390C" w:rsidRDefault="00E8390C" w:rsidP="00E8390C">
      <w:pPr>
        <w:rPr>
          <w:rFonts w:ascii="Times New Roman" w:hAnsi="Times New Roman" w:cs="Times New Roman"/>
          <w:sz w:val="24"/>
          <w:szCs w:val="24"/>
        </w:rPr>
      </w:pPr>
      <w:r w:rsidRPr="00E8390C">
        <w:rPr>
          <w:rFonts w:ascii="Times New Roman" w:hAnsi="Times New Roman" w:cs="Times New Roman" w:hint="eastAsia"/>
          <w:sz w:val="24"/>
          <w:szCs w:val="24"/>
        </w:rPr>
        <w:t>Asian countries like China hold a significant position in the global automotive market. Undoubtedly, as competition in the global automotive industry intensifies, the pressure on research and development and car sales is also increasing (Wells 2010). The Chinese government continues to support Hongqi's innovation while not violating the four pillars of corporate social responsibility. Intelligent vehicles have become an emerging direction for the future development of the automotive industry (Cao et al. 2022). At the same time, considering the contribution of new energy vehicles to alleviating environmental pressure, Hongqi is actively engaged in the research, development, and promotion of new energy vehicles (Lantos 2014). After more than 70 years of development, China's Hongqi automotive industry and market have occupied a key position in the evolution of the global automotive industry (Wang et al. 2022) and have established itself as a major global automotive exporter. In 2024, China's automotive market sales reached 25.58 million units, with export volume reaching a record high of 5.859 million units. Hongqi has won the trust of customers in other markets, and its cultural relativism and corporate social responsibility ethics have also been validated.</w:t>
      </w:r>
    </w:p>
    <w:p w14:paraId="62317E28" w14:textId="77777777" w:rsidR="00E8390C" w:rsidRDefault="00E8390C" w:rsidP="00E8390C">
      <w:pPr>
        <w:rPr>
          <w:rFonts w:ascii="Times New Roman" w:hAnsi="Times New Roman" w:cs="Times New Roman"/>
          <w:sz w:val="24"/>
          <w:szCs w:val="24"/>
        </w:rPr>
      </w:pPr>
    </w:p>
    <w:p w14:paraId="219A9F4A" w14:textId="7EC69357" w:rsidR="00457DBB" w:rsidRPr="00D12F38" w:rsidRDefault="00C477C8" w:rsidP="00D12F38">
      <w:pPr>
        <w:pStyle w:val="2"/>
        <w:rPr>
          <w:rFonts w:ascii="Times New Roman" w:hAnsi="Times New Roman" w:cs="Times New Roman"/>
          <w:b/>
          <w:bCs/>
          <w:color w:val="auto"/>
          <w:sz w:val="24"/>
          <w:szCs w:val="24"/>
        </w:rPr>
      </w:pPr>
      <w:bookmarkStart w:id="23" w:name="_Toc216215229"/>
      <w:r w:rsidRPr="00D12F38">
        <w:rPr>
          <w:rFonts w:ascii="Times New Roman" w:hAnsi="Times New Roman" w:cs="Times New Roman"/>
          <w:b/>
          <w:bCs/>
          <w:color w:val="auto"/>
          <w:sz w:val="24"/>
          <w:szCs w:val="24"/>
        </w:rPr>
        <w:t>1.</w:t>
      </w:r>
      <w:r w:rsidR="00E8390C" w:rsidRPr="00D12F38">
        <w:rPr>
          <w:rFonts w:ascii="Times New Roman" w:hAnsi="Times New Roman" w:cs="Times New Roman"/>
          <w:b/>
          <w:bCs/>
          <w:color w:val="auto"/>
          <w:sz w:val="24"/>
          <w:szCs w:val="24"/>
        </w:rPr>
        <w:t>8</w:t>
      </w:r>
      <w:r w:rsidR="00826806" w:rsidRPr="00D12F38">
        <w:rPr>
          <w:rFonts w:ascii="Times New Roman" w:hAnsi="Times New Roman" w:cs="Times New Roman"/>
          <w:b/>
          <w:bCs/>
          <w:color w:val="auto"/>
          <w:sz w:val="24"/>
          <w:szCs w:val="24"/>
        </w:rPr>
        <w:t xml:space="preserve"> </w:t>
      </w:r>
      <w:r w:rsidR="00BE1EDA" w:rsidRPr="00D12F38">
        <w:rPr>
          <w:rFonts w:ascii="Times New Roman" w:hAnsi="Times New Roman" w:cs="Times New Roman"/>
          <w:b/>
          <w:bCs/>
          <w:color w:val="auto"/>
          <w:sz w:val="24"/>
          <w:szCs w:val="24"/>
        </w:rPr>
        <w:t>Summary of Chinese Cross-Cultural Communication</w:t>
      </w:r>
      <w:bookmarkEnd w:id="23"/>
    </w:p>
    <w:p w14:paraId="09B85EC5" w14:textId="77777777" w:rsidR="003940FA" w:rsidRPr="00BE1EDA" w:rsidRDefault="003940FA">
      <w:pPr>
        <w:rPr>
          <w:rFonts w:ascii="Times New Roman" w:hAnsi="Times New Roman" w:cs="Times New Roman"/>
          <w:sz w:val="24"/>
          <w:szCs w:val="24"/>
        </w:rPr>
      </w:pPr>
    </w:p>
    <w:p w14:paraId="588C240F" w14:textId="780B1116" w:rsidR="00C477C8" w:rsidRDefault="00E8390C">
      <w:pPr>
        <w:rPr>
          <w:rFonts w:ascii="Times New Roman" w:hAnsi="Times New Roman" w:cs="Times New Roman"/>
          <w:sz w:val="24"/>
          <w:szCs w:val="24"/>
        </w:rPr>
      </w:pPr>
      <w:r w:rsidRPr="00E8390C">
        <w:rPr>
          <w:rFonts w:ascii="Times New Roman" w:hAnsi="Times New Roman" w:cs="Times New Roman" w:hint="eastAsia"/>
          <w:sz w:val="24"/>
          <w:szCs w:val="24"/>
        </w:rPr>
        <w:t>Cultural relativism and Corporate Social Responsibility (CSR) jointly validate a significant alignment between the value of activities and Party building work, especially when the country is facing disasters. State-owned enterprises (SOEs) have responded to the national call by conducting donation activities. For example, during the 2020 Wuhan epidemic and the 2022 Southern floods, 85% of Chinese state-owned enterprises responded to the national call and actively advocated for material donation activities, which also helps to establish the ethical image of enterprises and the moral image of national organizational calls.</w:t>
      </w:r>
      <w:r w:rsidRPr="00E8390C">
        <w:rPr>
          <w:rFonts w:hint="eastAsia"/>
        </w:rPr>
        <w:t xml:space="preserve"> </w:t>
      </w:r>
      <w:r w:rsidRPr="00E8390C">
        <w:rPr>
          <w:rFonts w:ascii="Times New Roman" w:hAnsi="Times New Roman" w:cs="Times New Roman" w:hint="eastAsia"/>
          <w:sz w:val="24"/>
          <w:szCs w:val="24"/>
        </w:rPr>
        <w:t>The social actions taken by Chinese state-owned enterprises are consistent with government or national policies. Their legitimacy is granted by the government, rather than being driven by pressure from external stakeholders. State-owned enterprises face less pressure to maintain competitiveness and improve long-term profits. Their drawbacks may include a lack of innovation experience, strong political orientation, and limited scope for market expansion, which are also validated by collectivism and cultural relativism, as well as corporate social responsibility ethics and morality.</w:t>
      </w:r>
      <w:r w:rsidR="00BE1EDA" w:rsidRPr="00BE1EDA">
        <w:rPr>
          <w:rFonts w:hint="eastAsia"/>
        </w:rPr>
        <w:t xml:space="preserve"> </w:t>
      </w:r>
      <w:r w:rsidR="00BE1EDA" w:rsidRPr="00BE1EDA">
        <w:rPr>
          <w:rFonts w:ascii="Times New Roman" w:hAnsi="Times New Roman" w:cs="Times New Roman" w:hint="eastAsia"/>
          <w:sz w:val="24"/>
          <w:szCs w:val="24"/>
        </w:rPr>
        <w:t>Through theoretical analysis and case studies of Chinese state-owned enterprises, the benefits and drawbacks of cultural relativism in China have also been summarized.</w:t>
      </w:r>
    </w:p>
    <w:p w14:paraId="70946355" w14:textId="77777777" w:rsidR="00844E05" w:rsidRDefault="00844E05" w:rsidP="00D12F38">
      <w:pPr>
        <w:pStyle w:val="1"/>
        <w:rPr>
          <w:rFonts w:ascii="Times New Roman" w:hAnsi="Times New Roman" w:cs="Times New Roman"/>
          <w:b/>
          <w:bCs/>
          <w:color w:val="auto"/>
          <w:sz w:val="24"/>
          <w:szCs w:val="24"/>
        </w:rPr>
      </w:pPr>
      <w:bookmarkStart w:id="24" w:name="_Toc216215230"/>
    </w:p>
    <w:p w14:paraId="0FAF4DD1" w14:textId="77777777" w:rsidR="00844E05" w:rsidRDefault="00844E05" w:rsidP="00D12F38">
      <w:pPr>
        <w:pStyle w:val="1"/>
        <w:rPr>
          <w:rFonts w:ascii="Times New Roman" w:hAnsi="Times New Roman" w:cs="Times New Roman"/>
          <w:b/>
          <w:bCs/>
          <w:color w:val="auto"/>
          <w:sz w:val="24"/>
          <w:szCs w:val="24"/>
        </w:rPr>
      </w:pPr>
    </w:p>
    <w:p w14:paraId="086F1C39" w14:textId="07B396DD" w:rsidR="00C477C8" w:rsidRPr="00D12F38" w:rsidRDefault="00C8240F" w:rsidP="00D12F38">
      <w:pPr>
        <w:pStyle w:val="1"/>
        <w:rPr>
          <w:rFonts w:ascii="Times New Roman" w:hAnsi="Times New Roman" w:cs="Times New Roman"/>
          <w:b/>
          <w:bCs/>
          <w:color w:val="auto"/>
          <w:sz w:val="24"/>
          <w:szCs w:val="24"/>
        </w:rPr>
      </w:pPr>
      <w:r w:rsidRPr="00D12F38">
        <w:rPr>
          <w:rFonts w:ascii="Times New Roman" w:hAnsi="Times New Roman" w:cs="Times New Roman"/>
          <w:b/>
          <w:bCs/>
          <w:color w:val="auto"/>
          <w:sz w:val="24"/>
          <w:szCs w:val="24"/>
        </w:rPr>
        <w:t>2.0 Differences in Japanese culture</w:t>
      </w:r>
      <w:bookmarkEnd w:id="24"/>
    </w:p>
    <w:p w14:paraId="050FC4C6" w14:textId="151C4441" w:rsidR="00C477C8" w:rsidRDefault="00C477C8">
      <w:pPr>
        <w:rPr>
          <w:rFonts w:ascii="Times New Roman" w:hAnsi="Times New Roman" w:cs="Times New Roman"/>
          <w:sz w:val="24"/>
          <w:szCs w:val="24"/>
        </w:rPr>
      </w:pPr>
    </w:p>
    <w:p w14:paraId="1B767C8D" w14:textId="16F223F1" w:rsidR="00C477C8" w:rsidRDefault="00FB1B52">
      <w:pPr>
        <w:rPr>
          <w:rFonts w:ascii="Times New Roman" w:hAnsi="Times New Roman" w:cs="Times New Roman"/>
          <w:sz w:val="24"/>
          <w:szCs w:val="24"/>
        </w:rPr>
      </w:pPr>
      <w:r w:rsidRPr="00FB1B52">
        <w:rPr>
          <w:rFonts w:ascii="Times New Roman" w:hAnsi="Times New Roman" w:cs="Times New Roman" w:hint="eastAsia"/>
          <w:sz w:val="24"/>
          <w:szCs w:val="24"/>
        </w:rPr>
        <w:t xml:space="preserve">In the context of general management research, studies on Japanese family businesses have developed specific theoretical concepts for their own research projects, such as family members' participation in the control and management of the company, or intergenerational succession as an explicit goal (Brigham and Payne, 2019); for example, </w:t>
      </w:r>
      <w:r w:rsidR="0067027F">
        <w:rPr>
          <w:rFonts w:ascii="Times New Roman" w:hAnsi="Times New Roman" w:cs="Times New Roman" w:hint="eastAsia"/>
          <w:sz w:val="24"/>
          <w:szCs w:val="24"/>
        </w:rPr>
        <w:t>（</w:t>
      </w:r>
      <w:r w:rsidRPr="00FB1B52">
        <w:rPr>
          <w:rFonts w:ascii="Times New Roman" w:hAnsi="Times New Roman" w:cs="Times New Roman" w:hint="eastAsia"/>
          <w:sz w:val="24"/>
          <w:szCs w:val="24"/>
        </w:rPr>
        <w:t xml:space="preserve">Swab </w:t>
      </w:r>
      <w:r w:rsidR="0067027F">
        <w:rPr>
          <w:rFonts w:ascii="Times New Roman" w:hAnsi="Times New Roman" w:cs="Times New Roman" w:hint="eastAsia"/>
          <w:sz w:val="24"/>
          <w:szCs w:val="24"/>
        </w:rPr>
        <w:t>，</w:t>
      </w:r>
      <w:r w:rsidRPr="00FB1B52">
        <w:rPr>
          <w:rFonts w:ascii="Times New Roman" w:hAnsi="Times New Roman" w:cs="Times New Roman" w:hint="eastAsia"/>
          <w:sz w:val="24"/>
          <w:szCs w:val="24"/>
        </w:rPr>
        <w:t>2020) distinguished between the necessary conditions and sufficient conditions for social-emotional wealth, both of which are individual internal states and embedded in social relationships and interactions. Therefore, social-emotional wealth is embodied in these social relationships: a common example is the relationship between the owner family and employees, which is a 'benevolent social bond'.</w:t>
      </w:r>
    </w:p>
    <w:p w14:paraId="0D7F3689" w14:textId="27DF4FF2" w:rsidR="00C477C8" w:rsidRDefault="00FB1B52">
      <w:pPr>
        <w:rPr>
          <w:rFonts w:ascii="Times New Roman" w:hAnsi="Times New Roman" w:cs="Times New Roman"/>
          <w:sz w:val="24"/>
          <w:szCs w:val="24"/>
        </w:rPr>
      </w:pPr>
      <w:r w:rsidRPr="000202B6">
        <w:rPr>
          <w:rFonts w:ascii="Times New Roman" w:hAnsi="Times New Roman" w:cs="Times New Roman" w:hint="eastAsia"/>
          <w:sz w:val="24"/>
          <w:szCs w:val="24"/>
        </w:rPr>
        <w:t xml:space="preserve">This study integrates Japanese cultural relativism, which emphasizes understanding behavior within a cultural </w:t>
      </w:r>
      <w:proofErr w:type="gramStart"/>
      <w:r w:rsidRPr="000202B6">
        <w:rPr>
          <w:rFonts w:ascii="Times New Roman" w:hAnsi="Times New Roman" w:cs="Times New Roman" w:hint="eastAsia"/>
          <w:sz w:val="24"/>
          <w:szCs w:val="24"/>
        </w:rPr>
        <w:t>context.</w:t>
      </w:r>
      <w:r w:rsidR="0067027F">
        <w:rPr>
          <w:rFonts w:ascii="Times New Roman" w:hAnsi="Times New Roman" w:cs="Times New Roman" w:hint="eastAsia"/>
          <w:sz w:val="24"/>
          <w:szCs w:val="24"/>
        </w:rPr>
        <w:t>（</w:t>
      </w:r>
      <w:proofErr w:type="gramEnd"/>
      <w:r w:rsidR="0067027F" w:rsidRPr="0067027F">
        <w:rPr>
          <w:rFonts w:ascii="Times New Roman" w:hAnsi="Times New Roman" w:cs="Times New Roman" w:hint="eastAsia"/>
          <w:sz w:val="24"/>
          <w:szCs w:val="24"/>
        </w:rPr>
        <w:t xml:space="preserve"> Eden</w:t>
      </w:r>
      <w:proofErr w:type="gramStart"/>
      <w:r w:rsidR="0067027F" w:rsidRPr="0067027F">
        <w:rPr>
          <w:rFonts w:ascii="Times New Roman" w:hAnsi="Times New Roman" w:cs="Times New Roman" w:hint="eastAsia"/>
          <w:sz w:val="24"/>
          <w:szCs w:val="24"/>
        </w:rPr>
        <w:t>, ,</w:t>
      </w:r>
      <w:proofErr w:type="gramEnd"/>
      <w:r w:rsidR="0067027F" w:rsidRPr="0067027F">
        <w:rPr>
          <w:rFonts w:ascii="Times New Roman" w:hAnsi="Times New Roman" w:cs="Times New Roman" w:hint="eastAsia"/>
          <w:sz w:val="24"/>
          <w:szCs w:val="24"/>
        </w:rPr>
        <w:t xml:space="preserve"> </w:t>
      </w:r>
      <w:proofErr w:type="gramStart"/>
      <w:r w:rsidR="0067027F" w:rsidRPr="0067027F">
        <w:rPr>
          <w:rFonts w:ascii="Times New Roman" w:hAnsi="Times New Roman" w:cs="Times New Roman" w:hint="eastAsia"/>
          <w:sz w:val="24"/>
          <w:szCs w:val="24"/>
        </w:rPr>
        <w:t>Chisom,.,</w:t>
      </w:r>
      <w:proofErr w:type="gramEnd"/>
      <w:r w:rsidR="0067027F" w:rsidRPr="0067027F">
        <w:rPr>
          <w:rFonts w:ascii="Times New Roman" w:hAnsi="Times New Roman" w:cs="Times New Roman" w:hint="eastAsia"/>
          <w:sz w:val="24"/>
          <w:szCs w:val="24"/>
        </w:rPr>
        <w:t xml:space="preserve"> Adeni, 2024.</w:t>
      </w:r>
      <w:r w:rsidR="0067027F">
        <w:rPr>
          <w:rFonts w:ascii="Times New Roman" w:hAnsi="Times New Roman" w:cs="Times New Roman" w:hint="eastAsia"/>
          <w:sz w:val="24"/>
          <w:szCs w:val="24"/>
        </w:rPr>
        <w:t xml:space="preserve"> </w:t>
      </w:r>
      <w:r w:rsidR="0067027F">
        <w:rPr>
          <w:rFonts w:ascii="Times New Roman" w:hAnsi="Times New Roman" w:cs="Times New Roman" w:hint="eastAsia"/>
          <w:sz w:val="24"/>
          <w:szCs w:val="24"/>
        </w:rPr>
        <w:t>）</w:t>
      </w:r>
      <w:r w:rsidR="00A52B2B" w:rsidRPr="00A52B2B">
        <w:rPr>
          <w:rFonts w:ascii="Times New Roman" w:hAnsi="Times New Roman" w:cs="Times New Roman" w:hint="eastAsia"/>
          <w:sz w:val="24"/>
          <w:szCs w:val="24"/>
        </w:rPr>
        <w:t>Taking Toyota Motor Corporation of Japan as a case, such countries (referring to the cultural context in Japan) have fostered traditions of responsibility, obedience, and discipline, which are conducive to the paternalistic clan-like organizational form prevalent in Toyota Motor Corporation. The relationship between employees and employers is like that within a family. Young and old help each other, and through collective deliberation in both favorable and adverse circumstances, Toyota Motor Corporation has provided additional safety guarantees to production line workers, leading its employees to stop frequently changing companies.</w:t>
      </w:r>
    </w:p>
    <w:p w14:paraId="30964F7C" w14:textId="77777777" w:rsidR="00C477C8" w:rsidRDefault="00C477C8">
      <w:pPr>
        <w:rPr>
          <w:rFonts w:ascii="Times New Roman" w:hAnsi="Times New Roman" w:cs="Times New Roman"/>
          <w:sz w:val="24"/>
          <w:szCs w:val="24"/>
        </w:rPr>
      </w:pPr>
    </w:p>
    <w:p w14:paraId="2E78BC52" w14:textId="5BC4E8AE" w:rsidR="00C477C8" w:rsidRDefault="000202B6">
      <w:pPr>
        <w:rPr>
          <w:rFonts w:ascii="Times New Roman" w:hAnsi="Times New Roman" w:cs="Times New Roman"/>
          <w:sz w:val="24"/>
          <w:szCs w:val="24"/>
        </w:rPr>
      </w:pPr>
      <w:bookmarkStart w:id="25" w:name="OLE_LINK4"/>
      <w:r w:rsidRPr="000202B6">
        <w:rPr>
          <w:rFonts w:ascii="Times New Roman" w:hAnsi="Times New Roman" w:cs="Times New Roman" w:hint="eastAsia"/>
          <w:sz w:val="24"/>
          <w:szCs w:val="24"/>
        </w:rPr>
        <w:t>This study integrates Japanese cultural relativism, which emphasizes understanding behavior within a cultural context.</w:t>
      </w:r>
      <w:bookmarkEnd w:id="25"/>
      <w:r w:rsidR="0067027F" w:rsidRPr="0067027F">
        <w:rPr>
          <w:rFonts w:ascii="Times New Roman" w:hAnsi="Times New Roman" w:cs="Times New Roman" w:hint="eastAsia"/>
          <w:sz w:val="24"/>
          <w:szCs w:val="24"/>
        </w:rPr>
        <w:t xml:space="preserve"> </w:t>
      </w:r>
      <w:r w:rsidR="0067027F">
        <w:rPr>
          <w:rFonts w:ascii="Times New Roman" w:hAnsi="Times New Roman" w:cs="Times New Roman" w:hint="eastAsia"/>
          <w:sz w:val="24"/>
          <w:szCs w:val="24"/>
        </w:rPr>
        <w:t>（</w:t>
      </w:r>
      <w:r w:rsidR="0067027F" w:rsidRPr="0067027F">
        <w:rPr>
          <w:rFonts w:ascii="Times New Roman" w:hAnsi="Times New Roman" w:cs="Times New Roman" w:hint="eastAsia"/>
          <w:sz w:val="24"/>
          <w:szCs w:val="24"/>
        </w:rPr>
        <w:t>Awashreh</w:t>
      </w:r>
      <w:r w:rsidR="0067027F">
        <w:rPr>
          <w:rFonts w:ascii="Times New Roman" w:hAnsi="Times New Roman" w:cs="Times New Roman" w:hint="eastAsia"/>
          <w:sz w:val="24"/>
          <w:szCs w:val="24"/>
        </w:rPr>
        <w:t>，</w:t>
      </w:r>
      <w:r w:rsidR="0067027F">
        <w:rPr>
          <w:rFonts w:ascii="Times New Roman" w:hAnsi="Times New Roman" w:cs="Times New Roman" w:hint="eastAsia"/>
          <w:sz w:val="24"/>
          <w:szCs w:val="24"/>
        </w:rPr>
        <w:t>2025</w:t>
      </w:r>
      <w:r w:rsidR="0067027F">
        <w:rPr>
          <w:rFonts w:ascii="Times New Roman" w:hAnsi="Times New Roman" w:cs="Times New Roman" w:hint="eastAsia"/>
          <w:sz w:val="24"/>
          <w:szCs w:val="24"/>
        </w:rPr>
        <w:t>）</w:t>
      </w:r>
      <w:r w:rsidRPr="000202B6">
        <w:rPr>
          <w:rFonts w:ascii="Times New Roman" w:hAnsi="Times New Roman" w:cs="Times New Roman" w:hint="eastAsia"/>
          <w:sz w:val="24"/>
          <w:szCs w:val="24"/>
        </w:rPr>
        <w:t xml:space="preserve"> It often prioritizes work performance over intrinsic interest and relies on external support rather than autonomous exploration of work. Case analysis: Toyota is a large global enterprise with currently 370,000 employees. Toyota is committed to ensuring that all employees work according to rules and contribute to the company's progress. Integrating 'discipline' (Shitsuke) into daily life; foreign employees also understand and practice the 'Toyota Way'; employees are dedicated to improving current operations. As shown in the case analysis example, Toyota Motor Corporation in Japan also adheres to ethical bottom lines. Through cultural relativism, Toyota Motor Corporation embodies cultural relativism, placing greater emphasis on rules for employees, and monitoring corporate social responsibility for enterprises and managers.</w:t>
      </w:r>
    </w:p>
    <w:p w14:paraId="0940AB6F" w14:textId="3CDB9454" w:rsidR="003D213B" w:rsidRDefault="0067027F">
      <w:pPr>
        <w:rPr>
          <w:rFonts w:ascii="Times New Roman" w:hAnsi="Times New Roman" w:cs="Times New Roman"/>
          <w:sz w:val="24"/>
          <w:szCs w:val="24"/>
        </w:rPr>
      </w:pPr>
      <w:r w:rsidRPr="0067027F">
        <w:rPr>
          <w:rFonts w:ascii="Times New Roman" w:hAnsi="Times New Roman" w:cs="Times New Roman" w:hint="eastAsia"/>
          <w:sz w:val="24"/>
          <w:szCs w:val="24"/>
        </w:rPr>
        <w:t xml:space="preserve">Uncertainty avoidance measures a culture's tolerance for ambiguity, change, and the </w:t>
      </w:r>
      <w:r w:rsidRPr="0067027F">
        <w:rPr>
          <w:rFonts w:ascii="Times New Roman" w:hAnsi="Times New Roman" w:cs="Times New Roman" w:hint="eastAsia"/>
          <w:sz w:val="24"/>
          <w:szCs w:val="24"/>
        </w:rPr>
        <w:lastRenderedPageBreak/>
        <w:t>unknown. People tend to prefer clear rules, detailed plans, and stability. For example, in Japan, companies may spend a lot of time creating detailed contracts and agreements before taking action. At the societal level, people may have strong expectations regarding etiquette, dress, and behavior to maintain predictability in life.</w:t>
      </w:r>
    </w:p>
    <w:p w14:paraId="30AC212B" w14:textId="548559BA" w:rsidR="0067027F" w:rsidRDefault="00357CF4">
      <w:pPr>
        <w:rPr>
          <w:rFonts w:ascii="Times New Roman" w:hAnsi="Times New Roman" w:cs="Times New Roman"/>
          <w:sz w:val="24"/>
          <w:szCs w:val="24"/>
        </w:rPr>
      </w:pPr>
      <w:r w:rsidRPr="00357CF4">
        <w:rPr>
          <w:rFonts w:ascii="Times New Roman" w:hAnsi="Times New Roman" w:cs="Times New Roman" w:hint="eastAsia"/>
          <w:sz w:val="24"/>
          <w:szCs w:val="24"/>
        </w:rPr>
        <w:t>Collectivist culture emphasizes unity and harmony, avoids conflict, and typically values interpersonal relationships more than strictly adhering to rules (N</w:t>
      </w:r>
      <w:r w:rsidRPr="00357CF4">
        <w:rPr>
          <w:rFonts w:ascii="Times New Roman" w:hAnsi="Times New Roman" w:cs="Times New Roman" w:hint="eastAsia"/>
          <w:sz w:val="24"/>
          <w:szCs w:val="24"/>
        </w:rPr>
        <w:t>ú</w:t>
      </w:r>
      <w:r w:rsidRPr="00357CF4">
        <w:rPr>
          <w:rFonts w:ascii="Times New Roman" w:hAnsi="Times New Roman" w:cs="Times New Roman" w:hint="eastAsia"/>
          <w:sz w:val="24"/>
          <w:szCs w:val="24"/>
        </w:rPr>
        <w:t>ñez-Acosta, S</w:t>
      </w:r>
      <w:r w:rsidRPr="00357CF4">
        <w:rPr>
          <w:rFonts w:ascii="Times New Roman" w:hAnsi="Times New Roman" w:cs="Times New Roman" w:hint="eastAsia"/>
          <w:sz w:val="24"/>
          <w:szCs w:val="24"/>
        </w:rPr>
        <w:t>á</w:t>
      </w:r>
      <w:r w:rsidRPr="00357CF4">
        <w:rPr>
          <w:rFonts w:ascii="Times New Roman" w:hAnsi="Times New Roman" w:cs="Times New Roman" w:hint="eastAsia"/>
          <w:sz w:val="24"/>
          <w:szCs w:val="24"/>
        </w:rPr>
        <w:t>nchez-Garc</w:t>
      </w:r>
      <w:r w:rsidRPr="00357CF4">
        <w:rPr>
          <w:rFonts w:ascii="Times New Roman" w:hAnsi="Times New Roman" w:cs="Times New Roman" w:hint="eastAsia"/>
          <w:sz w:val="24"/>
          <w:szCs w:val="24"/>
        </w:rPr>
        <w:t>í</w:t>
      </w:r>
      <w:r w:rsidRPr="00357CF4">
        <w:rPr>
          <w:rFonts w:ascii="Times New Roman" w:hAnsi="Times New Roman" w:cs="Times New Roman" w:hint="eastAsia"/>
          <w:sz w:val="24"/>
          <w:szCs w:val="24"/>
        </w:rPr>
        <w:t>a, 2024). The Japanese government has fostered a healthy environment for the business sector and cultivated a long-term perspective on business practices. In addition to maintaining a healthy business environment and ensuring workers' well-being, Japan's businesses place importance on employees' work environment and physical and mental health. This focus on creating a harmonious and positive relationship between managers and employees helps reduce conflicts and contradictions caused by poor working conditions.</w:t>
      </w:r>
    </w:p>
    <w:p w14:paraId="4B558729" w14:textId="631D5A6C" w:rsidR="003D213B" w:rsidRPr="00D12F38" w:rsidRDefault="005444FE" w:rsidP="00D12F38">
      <w:pPr>
        <w:pStyle w:val="1"/>
        <w:rPr>
          <w:rFonts w:ascii="Times New Roman" w:hAnsi="Times New Roman" w:cs="Times New Roman"/>
          <w:b/>
          <w:bCs/>
          <w:color w:val="auto"/>
          <w:sz w:val="24"/>
          <w:szCs w:val="24"/>
        </w:rPr>
      </w:pPr>
      <w:bookmarkStart w:id="26" w:name="_Toc216215231"/>
      <w:r w:rsidRPr="00D12F38">
        <w:rPr>
          <w:rFonts w:ascii="Times New Roman" w:hAnsi="Times New Roman" w:cs="Times New Roman"/>
          <w:b/>
          <w:bCs/>
          <w:color w:val="auto"/>
          <w:sz w:val="24"/>
          <w:szCs w:val="24"/>
        </w:rPr>
        <w:t>3.0</w:t>
      </w:r>
      <w:r w:rsidR="0099686D" w:rsidRPr="00D12F38">
        <w:rPr>
          <w:rFonts w:ascii="Times New Roman" w:hAnsi="Times New Roman" w:cs="Times New Roman"/>
          <w:b/>
          <w:bCs/>
          <w:color w:val="auto"/>
          <w:sz w:val="24"/>
          <w:szCs w:val="24"/>
        </w:rPr>
        <w:t xml:space="preserve"> Differences in the way Western countries interact</w:t>
      </w:r>
      <w:bookmarkEnd w:id="26"/>
    </w:p>
    <w:p w14:paraId="220C14A3" w14:textId="20836957" w:rsidR="00C477C8" w:rsidRPr="00D12F38" w:rsidRDefault="00927ADC" w:rsidP="00D12F38">
      <w:pPr>
        <w:pStyle w:val="2"/>
        <w:rPr>
          <w:rFonts w:ascii="Times New Roman" w:hAnsi="Times New Roman" w:cs="Times New Roman"/>
          <w:b/>
          <w:bCs/>
          <w:color w:val="auto"/>
          <w:sz w:val="24"/>
          <w:szCs w:val="24"/>
        </w:rPr>
      </w:pPr>
      <w:bookmarkStart w:id="27" w:name="_Toc216215232"/>
      <w:r w:rsidRPr="00D12F38">
        <w:rPr>
          <w:rFonts w:ascii="Times New Roman" w:hAnsi="Times New Roman" w:cs="Times New Roman"/>
          <w:b/>
          <w:bCs/>
          <w:color w:val="auto"/>
          <w:sz w:val="24"/>
          <w:szCs w:val="24"/>
        </w:rPr>
        <w:t>3.1 Western Business Strategy</w:t>
      </w:r>
      <w:bookmarkEnd w:id="27"/>
    </w:p>
    <w:p w14:paraId="64FD89FD" w14:textId="228B857D" w:rsidR="00457DBB" w:rsidRDefault="0099686D">
      <w:pPr>
        <w:rPr>
          <w:rFonts w:ascii="Times New Roman" w:hAnsi="Times New Roman" w:cs="Times New Roman"/>
          <w:sz w:val="24"/>
          <w:szCs w:val="24"/>
        </w:rPr>
      </w:pPr>
      <w:r w:rsidRPr="0099686D">
        <w:rPr>
          <w:rFonts w:ascii="Times New Roman" w:hAnsi="Times New Roman" w:cs="Times New Roman" w:hint="eastAsia"/>
          <w:sz w:val="24"/>
          <w:szCs w:val="24"/>
        </w:rPr>
        <w:t>In the West, particularly in cultures with lower power distance such as the United Kingdom and the United States, people prefer flat organizational structures and expect leaders to be approachable and open to opinions.</w:t>
      </w:r>
      <w:r w:rsidR="00E7568A" w:rsidRPr="00E7568A">
        <w:rPr>
          <w:rFonts w:ascii="Times New Roman" w:hAnsi="Times New Roman" w:cs="Times New Roman" w:hint="eastAsia"/>
          <w:color w:val="000000"/>
          <w:sz w:val="24"/>
          <w:szCs w:val="24"/>
          <w:shd w:val="clear" w:color="auto" w:fill="FFFFFF"/>
        </w:rPr>
        <w:t xml:space="preserve"> </w:t>
      </w:r>
      <w:r w:rsidR="00E7568A">
        <w:rPr>
          <w:rFonts w:ascii="Times New Roman" w:hAnsi="Times New Roman" w:cs="Times New Roman" w:hint="eastAsia"/>
          <w:color w:val="000000"/>
          <w:sz w:val="24"/>
          <w:szCs w:val="24"/>
          <w:shd w:val="clear" w:color="auto" w:fill="FFFFFF"/>
        </w:rPr>
        <w:t>（</w:t>
      </w:r>
      <w:r w:rsidR="00E7568A" w:rsidRPr="00296A8E">
        <w:rPr>
          <w:rFonts w:ascii="Times New Roman" w:hAnsi="Times New Roman" w:cs="Times New Roman"/>
          <w:color w:val="000000"/>
          <w:sz w:val="24"/>
          <w:szCs w:val="24"/>
          <w:shd w:val="clear" w:color="auto" w:fill="FFFFFF"/>
        </w:rPr>
        <w:t>Hofstede, 1980).</w:t>
      </w:r>
      <w:r w:rsidRPr="0099686D">
        <w:rPr>
          <w:rFonts w:ascii="Times New Roman" w:hAnsi="Times New Roman" w:cs="Times New Roman" w:hint="eastAsia"/>
          <w:sz w:val="24"/>
          <w:szCs w:val="24"/>
        </w:rPr>
        <w:t xml:space="preserve">Western countries place greater emphasis on individual freedom, self-reliance, and </w:t>
      </w:r>
      <w:proofErr w:type="gramStart"/>
      <w:r w:rsidRPr="0099686D">
        <w:rPr>
          <w:rFonts w:ascii="Times New Roman" w:hAnsi="Times New Roman" w:cs="Times New Roman" w:hint="eastAsia"/>
          <w:sz w:val="24"/>
          <w:szCs w:val="24"/>
        </w:rPr>
        <w:t>achievement.The</w:t>
      </w:r>
      <w:proofErr w:type="gramEnd"/>
      <w:r w:rsidRPr="0099686D">
        <w:rPr>
          <w:rFonts w:ascii="Times New Roman" w:hAnsi="Times New Roman" w:cs="Times New Roman" w:hint="eastAsia"/>
          <w:sz w:val="24"/>
          <w:szCs w:val="24"/>
        </w:rPr>
        <w:t xml:space="preserve"> West places more emphasis on women's culture, focusing on work-life balance, social support, and consensus.</w:t>
      </w:r>
    </w:p>
    <w:p w14:paraId="426ADF03" w14:textId="77777777" w:rsidR="0099686D" w:rsidRDefault="0099686D">
      <w:pPr>
        <w:rPr>
          <w:rFonts w:ascii="Times New Roman" w:hAnsi="Times New Roman" w:cs="Times New Roman"/>
          <w:sz w:val="24"/>
          <w:szCs w:val="24"/>
        </w:rPr>
      </w:pPr>
    </w:p>
    <w:p w14:paraId="7D9010D0" w14:textId="7F9F4080" w:rsidR="00E7568A" w:rsidRDefault="0099686D" w:rsidP="00E7568A">
      <w:pPr>
        <w:rPr>
          <w:rFonts w:ascii="Times New Roman" w:hAnsi="Times New Roman" w:cs="Times New Roman"/>
          <w:sz w:val="24"/>
          <w:szCs w:val="24"/>
        </w:rPr>
      </w:pPr>
      <w:r w:rsidRPr="0099686D">
        <w:rPr>
          <w:rFonts w:ascii="Times New Roman" w:hAnsi="Times New Roman" w:cs="Times New Roman" w:hint="eastAsia"/>
          <w:sz w:val="24"/>
          <w:szCs w:val="24"/>
        </w:rPr>
        <w:t>In Western countries, particularly in the U.S. with a culture oriented toward short-term gains, people focus on immediate results, personal stability, and maintaining established traditions. They place greater emphasis on fulfilling social obligations, enjoying the present moment, and preserving personal reputation. People often favor quick fixes and sometimes prioritize adaptability over long-term planning. This tendency influences business strategies, political decisions, and even personal financial habits.</w:t>
      </w:r>
      <w:r w:rsidR="00E7568A" w:rsidRPr="00E7568A">
        <w:rPr>
          <w:rFonts w:ascii="Times New Roman" w:hAnsi="Times New Roman" w:cs="Times New Roman" w:hint="eastAsia"/>
          <w:color w:val="000000"/>
          <w:sz w:val="24"/>
          <w:szCs w:val="24"/>
          <w:shd w:val="clear" w:color="auto" w:fill="FFFFFF"/>
        </w:rPr>
        <w:t xml:space="preserve"> </w:t>
      </w:r>
    </w:p>
    <w:p w14:paraId="1CAC66E4" w14:textId="1AE207C2" w:rsidR="0099686D" w:rsidRDefault="0099686D" w:rsidP="0099686D">
      <w:pPr>
        <w:rPr>
          <w:rFonts w:ascii="Times New Roman" w:hAnsi="Times New Roman" w:cs="Times New Roman"/>
          <w:sz w:val="24"/>
          <w:szCs w:val="24"/>
        </w:rPr>
      </w:pPr>
    </w:p>
    <w:p w14:paraId="32B362D3" w14:textId="77777777" w:rsidR="00844E05" w:rsidRDefault="00844E05" w:rsidP="0099686D">
      <w:pPr>
        <w:rPr>
          <w:rFonts w:ascii="Times New Roman" w:hAnsi="Times New Roman" w:cs="Times New Roman"/>
          <w:sz w:val="24"/>
          <w:szCs w:val="24"/>
        </w:rPr>
      </w:pPr>
    </w:p>
    <w:p w14:paraId="6D16024D" w14:textId="77777777" w:rsidR="00844E05" w:rsidRDefault="00844E05" w:rsidP="0099686D">
      <w:pPr>
        <w:rPr>
          <w:rFonts w:ascii="Times New Roman" w:hAnsi="Times New Roman" w:cs="Times New Roman"/>
          <w:sz w:val="24"/>
          <w:szCs w:val="24"/>
        </w:rPr>
      </w:pPr>
    </w:p>
    <w:p w14:paraId="78F3BE45" w14:textId="77777777" w:rsidR="00844E05" w:rsidRDefault="00844E05" w:rsidP="0099686D">
      <w:pPr>
        <w:rPr>
          <w:rFonts w:ascii="Times New Roman" w:hAnsi="Times New Roman" w:cs="Times New Roman"/>
          <w:sz w:val="24"/>
          <w:szCs w:val="24"/>
        </w:rPr>
      </w:pPr>
    </w:p>
    <w:p w14:paraId="14F42DB5" w14:textId="77777777" w:rsidR="00844E05" w:rsidRDefault="00844E05" w:rsidP="0099686D">
      <w:pPr>
        <w:rPr>
          <w:rFonts w:ascii="Times New Roman" w:hAnsi="Times New Roman" w:cs="Times New Roman"/>
          <w:sz w:val="24"/>
          <w:szCs w:val="24"/>
        </w:rPr>
      </w:pPr>
    </w:p>
    <w:p w14:paraId="2EA17BAB" w14:textId="77777777" w:rsidR="00844E05" w:rsidRDefault="00844E05" w:rsidP="0099686D">
      <w:pPr>
        <w:rPr>
          <w:rFonts w:ascii="Times New Roman" w:hAnsi="Times New Roman" w:cs="Times New Roman"/>
          <w:sz w:val="24"/>
          <w:szCs w:val="24"/>
        </w:rPr>
      </w:pPr>
    </w:p>
    <w:p w14:paraId="42D4EF6D" w14:textId="77777777" w:rsidR="00844E05" w:rsidRDefault="00844E05" w:rsidP="0099686D">
      <w:pPr>
        <w:rPr>
          <w:rFonts w:ascii="Times New Roman" w:hAnsi="Times New Roman" w:cs="Times New Roman" w:hint="eastAsia"/>
          <w:sz w:val="24"/>
          <w:szCs w:val="24"/>
        </w:rPr>
      </w:pPr>
    </w:p>
    <w:p w14:paraId="373A8E7B" w14:textId="77777777" w:rsidR="00457DBB" w:rsidRDefault="00457DBB">
      <w:pPr>
        <w:rPr>
          <w:rFonts w:ascii="Times New Roman" w:hAnsi="Times New Roman" w:cs="Times New Roman"/>
          <w:sz w:val="24"/>
          <w:szCs w:val="24"/>
        </w:rPr>
      </w:pPr>
    </w:p>
    <w:p w14:paraId="3BE15DF4" w14:textId="77777777" w:rsidR="0099686D" w:rsidRDefault="0099686D">
      <w:pPr>
        <w:rPr>
          <w:rFonts w:ascii="Times New Roman" w:hAnsi="Times New Roman" w:cs="Times New Roman"/>
          <w:sz w:val="24"/>
          <w:szCs w:val="24"/>
        </w:rPr>
      </w:pPr>
    </w:p>
    <w:p w14:paraId="06BC94BC" w14:textId="2AC10B45" w:rsidR="0099686D" w:rsidRPr="00D12F38" w:rsidRDefault="00E1583B" w:rsidP="00D12F38">
      <w:pPr>
        <w:pStyle w:val="2"/>
        <w:rPr>
          <w:rFonts w:ascii="Times New Roman" w:hAnsi="Times New Roman" w:cs="Times New Roman"/>
          <w:b/>
          <w:bCs/>
          <w:color w:val="auto"/>
          <w:sz w:val="24"/>
          <w:szCs w:val="24"/>
        </w:rPr>
      </w:pPr>
      <w:bookmarkStart w:id="28" w:name="_Toc216215233"/>
      <w:r w:rsidRPr="00D12F38">
        <w:rPr>
          <w:rFonts w:ascii="Times New Roman" w:hAnsi="Times New Roman" w:cs="Times New Roman"/>
          <w:b/>
          <w:bCs/>
          <w:color w:val="auto"/>
          <w:sz w:val="24"/>
          <w:szCs w:val="24"/>
        </w:rPr>
        <w:lastRenderedPageBreak/>
        <w:t>3.2Case Analysis of Ethics and Morality in Western Countries</w:t>
      </w:r>
      <w:bookmarkEnd w:id="28"/>
    </w:p>
    <w:p w14:paraId="66D5E6B5" w14:textId="77777777" w:rsidR="0099686D" w:rsidRPr="00E1583B" w:rsidRDefault="0099686D">
      <w:pPr>
        <w:rPr>
          <w:rFonts w:ascii="Times New Roman" w:hAnsi="Times New Roman" w:cs="Times New Roman"/>
          <w:b/>
          <w:bCs/>
          <w:sz w:val="24"/>
          <w:szCs w:val="24"/>
        </w:rPr>
      </w:pPr>
    </w:p>
    <w:p w14:paraId="2C69CC5B" w14:textId="0D196D84" w:rsidR="0099686D" w:rsidRDefault="00357CF4">
      <w:pPr>
        <w:rPr>
          <w:rFonts w:ascii="Times New Roman" w:hAnsi="Times New Roman" w:cs="Times New Roman"/>
          <w:sz w:val="24"/>
          <w:szCs w:val="24"/>
        </w:rPr>
      </w:pPr>
      <w:bookmarkStart w:id="29" w:name="OLE_LINK8"/>
      <w:r w:rsidRPr="00357CF4">
        <w:rPr>
          <w:rFonts w:ascii="Times New Roman" w:hAnsi="Times New Roman" w:cs="Times New Roman" w:hint="eastAsia"/>
          <w:sz w:val="24"/>
          <w:szCs w:val="24"/>
        </w:rPr>
        <w:t xml:space="preserve">The universalist approach holds that there are shared moral or ethical standards, and a standardized foundation is crucial for rational decision-making (Bowen, 2006). </w:t>
      </w:r>
      <w:bookmarkEnd w:id="29"/>
      <w:r w:rsidRPr="00357CF4">
        <w:rPr>
          <w:rFonts w:ascii="Times New Roman" w:hAnsi="Times New Roman" w:cs="Times New Roman" w:hint="eastAsia"/>
          <w:sz w:val="24"/>
          <w:szCs w:val="24"/>
        </w:rPr>
        <w:t xml:space="preserve">Universal principles align with standardized global practices but may overlook local </w:t>
      </w:r>
      <w:proofErr w:type="gramStart"/>
      <w:r w:rsidRPr="00357CF4">
        <w:rPr>
          <w:rFonts w:ascii="Times New Roman" w:hAnsi="Times New Roman" w:cs="Times New Roman" w:hint="eastAsia"/>
          <w:sz w:val="24"/>
          <w:szCs w:val="24"/>
        </w:rPr>
        <w:t>values.</w:t>
      </w:r>
      <w:r w:rsidR="00927ADC" w:rsidRPr="00927ADC">
        <w:rPr>
          <w:rFonts w:ascii="Times New Roman" w:hAnsi="Times New Roman" w:cs="Times New Roman" w:hint="eastAsia"/>
          <w:sz w:val="24"/>
          <w:szCs w:val="24"/>
        </w:rPr>
        <w:t>Based</w:t>
      </w:r>
      <w:proofErr w:type="gramEnd"/>
      <w:r w:rsidR="00927ADC" w:rsidRPr="00927ADC">
        <w:rPr>
          <w:rFonts w:ascii="Times New Roman" w:hAnsi="Times New Roman" w:cs="Times New Roman" w:hint="eastAsia"/>
          <w:sz w:val="24"/>
          <w:szCs w:val="24"/>
        </w:rPr>
        <w:t xml:space="preserve"> on a literature review of the implementation of corporate social responsibility (CSR) across various industries, it can be concluded that corporate social responsibility requires enterprises to focus not only on profits but also on the social, environmental, economic, and cultural impacts generated by their operational activities. The Carroll Pyramid theory indicates that, compared to Eastern culture, Western culture may also cross ethical boundaries in the operations of multinational corporations. For example, German Volkswagen and British Tesco have been lacking in environmental corporate social responsibility in their business practices.</w:t>
      </w:r>
    </w:p>
    <w:p w14:paraId="0DA7A67A" w14:textId="77777777" w:rsidR="0099686D" w:rsidRDefault="0099686D">
      <w:pPr>
        <w:rPr>
          <w:rFonts w:ascii="Times New Roman" w:hAnsi="Times New Roman" w:cs="Times New Roman"/>
          <w:sz w:val="24"/>
          <w:szCs w:val="24"/>
        </w:rPr>
      </w:pPr>
    </w:p>
    <w:p w14:paraId="0E968508" w14:textId="36CCEAE8" w:rsidR="0099686D" w:rsidRDefault="00E87585">
      <w:pPr>
        <w:rPr>
          <w:rFonts w:ascii="Times New Roman" w:hAnsi="Times New Roman" w:cs="Times New Roman"/>
          <w:sz w:val="24"/>
          <w:szCs w:val="24"/>
        </w:rPr>
      </w:pPr>
      <w:r w:rsidRPr="00E87585">
        <w:rPr>
          <w:rFonts w:ascii="Times New Roman" w:hAnsi="Times New Roman" w:cs="Times New Roman" w:hint="eastAsia"/>
          <w:sz w:val="24"/>
          <w:szCs w:val="24"/>
        </w:rPr>
        <w:t xml:space="preserve">To make its cars comply with emission standards, Volkswagen conducted emission tests in laboratories rather than on actual roads (Le Page, 2015). Volkswagen programmed the vehicles equipped with TDI diesel engines to detect their status during emission tests and collect information such as braking, acceleration, and steering. Subsequently, the program made minor adjustments to the engine settings with the aim of reducing the level of nitrogen oxides emitted by Volkswagen diesel cars. This led to employees resigning en masse, causing a slump in Volkswagen's labor market, and sales of Volkswagen cars in the U.S. market continued to </w:t>
      </w:r>
      <w:proofErr w:type="gramStart"/>
      <w:r w:rsidRPr="00E87585">
        <w:rPr>
          <w:rFonts w:ascii="Times New Roman" w:hAnsi="Times New Roman" w:cs="Times New Roman" w:hint="eastAsia"/>
          <w:sz w:val="24"/>
          <w:szCs w:val="24"/>
        </w:rPr>
        <w:t>decline.</w:t>
      </w:r>
      <w:r w:rsidR="00FC1E7D" w:rsidRPr="00FC1E7D">
        <w:rPr>
          <w:rFonts w:ascii="Times New Roman" w:hAnsi="Times New Roman" w:cs="Times New Roman" w:hint="eastAsia"/>
          <w:sz w:val="24"/>
          <w:szCs w:val="24"/>
        </w:rPr>
        <w:t>For</w:t>
      </w:r>
      <w:proofErr w:type="gramEnd"/>
      <w:r w:rsidR="00FC1E7D" w:rsidRPr="00FC1E7D">
        <w:rPr>
          <w:rFonts w:ascii="Times New Roman" w:hAnsi="Times New Roman" w:cs="Times New Roman" w:hint="eastAsia"/>
          <w:sz w:val="24"/>
          <w:szCs w:val="24"/>
        </w:rPr>
        <w:t xml:space="preserve"> example, supermarkets like Tesco in the UK have violated environmental laws in two aspects. For instance, Tesco's operations are primarily based on killing plants and animals and deforestation. They are trying to use 'certified soybeans' to obtain raw materials, but this also violates the natural environment, legal ethics, and moral standards. This will never reduce deforestation to the extent and speed required to stop wildlife loss, end the genocide of indigenous peoples, and address climate change.</w:t>
      </w:r>
      <w:r w:rsidR="00E51B66" w:rsidRPr="00E51B66">
        <w:rPr>
          <w:rFonts w:hint="eastAsia"/>
        </w:rPr>
        <w:t xml:space="preserve"> </w:t>
      </w:r>
      <w:r w:rsidR="00E51B66" w:rsidRPr="00E51B66">
        <w:rPr>
          <w:rFonts w:ascii="Times New Roman" w:hAnsi="Times New Roman" w:cs="Times New Roman" w:hint="eastAsia"/>
          <w:sz w:val="24"/>
          <w:szCs w:val="24"/>
        </w:rPr>
        <w:t>While the general principles are consistent with global standardization practices, they may overlook local values. As demonstrated by these cases, companies like Ford and Tesco Retail have only focused on the cultural concepts of their own countries; if they want to export to other regions, they also need to pay attention to the cultural and legal requirements of other Western countries.</w:t>
      </w:r>
    </w:p>
    <w:p w14:paraId="4D134EA3" w14:textId="77777777" w:rsidR="0099686D" w:rsidRDefault="0099686D">
      <w:pPr>
        <w:rPr>
          <w:rFonts w:ascii="Times New Roman" w:hAnsi="Times New Roman" w:cs="Times New Roman"/>
          <w:sz w:val="24"/>
          <w:szCs w:val="24"/>
        </w:rPr>
      </w:pPr>
    </w:p>
    <w:p w14:paraId="3B3A91CC" w14:textId="77777777" w:rsidR="00EF0F4A" w:rsidRDefault="00EF0F4A">
      <w:pPr>
        <w:rPr>
          <w:rFonts w:ascii="Times New Roman" w:hAnsi="Times New Roman" w:cs="Times New Roman"/>
          <w:sz w:val="24"/>
          <w:szCs w:val="24"/>
        </w:rPr>
      </w:pPr>
    </w:p>
    <w:p w14:paraId="46C67758" w14:textId="77777777" w:rsidR="00D12F38" w:rsidRDefault="00D12F38" w:rsidP="00D12F38">
      <w:pPr>
        <w:pStyle w:val="1"/>
        <w:rPr>
          <w:rFonts w:ascii="Times New Roman" w:hAnsi="Times New Roman" w:cs="Times New Roman"/>
          <w:b/>
          <w:bCs/>
          <w:color w:val="auto"/>
          <w:sz w:val="24"/>
          <w:szCs w:val="24"/>
        </w:rPr>
      </w:pPr>
    </w:p>
    <w:p w14:paraId="52829E7D" w14:textId="77777777" w:rsidR="00D937E4" w:rsidRDefault="00D937E4" w:rsidP="00D937E4">
      <w:pPr>
        <w:rPr>
          <w:rFonts w:hint="eastAsia"/>
        </w:rPr>
      </w:pPr>
    </w:p>
    <w:p w14:paraId="424E507A" w14:textId="77777777" w:rsidR="00D937E4" w:rsidRDefault="00D937E4" w:rsidP="00D937E4">
      <w:pPr>
        <w:rPr>
          <w:rFonts w:hint="eastAsia"/>
        </w:rPr>
      </w:pPr>
    </w:p>
    <w:p w14:paraId="26489191" w14:textId="77777777" w:rsidR="00D937E4" w:rsidRDefault="00D937E4" w:rsidP="00D937E4">
      <w:pPr>
        <w:rPr>
          <w:rFonts w:hint="eastAsia"/>
        </w:rPr>
      </w:pPr>
    </w:p>
    <w:p w14:paraId="66F795EB" w14:textId="77777777" w:rsidR="00D937E4" w:rsidRDefault="00D937E4" w:rsidP="00D937E4">
      <w:pPr>
        <w:rPr>
          <w:rFonts w:hint="eastAsia"/>
        </w:rPr>
      </w:pPr>
    </w:p>
    <w:p w14:paraId="701ED21B" w14:textId="77777777" w:rsidR="00D937E4" w:rsidRDefault="00D937E4" w:rsidP="00D937E4">
      <w:pPr>
        <w:rPr>
          <w:rFonts w:hint="eastAsia"/>
        </w:rPr>
      </w:pPr>
    </w:p>
    <w:p w14:paraId="45544D73" w14:textId="77777777" w:rsidR="007261AA" w:rsidRDefault="007261AA" w:rsidP="00D937E4">
      <w:pPr>
        <w:rPr>
          <w:rFonts w:hint="eastAsia"/>
        </w:rPr>
      </w:pPr>
    </w:p>
    <w:p w14:paraId="058B5DA8" w14:textId="014B74A4" w:rsidR="00EC7796" w:rsidRPr="00D12F38" w:rsidRDefault="00EC7796" w:rsidP="00D12F38">
      <w:pPr>
        <w:pStyle w:val="1"/>
        <w:rPr>
          <w:rFonts w:ascii="Times New Roman" w:hAnsi="Times New Roman" w:cs="Times New Roman"/>
          <w:b/>
          <w:bCs/>
          <w:color w:val="auto"/>
          <w:sz w:val="24"/>
          <w:szCs w:val="24"/>
        </w:rPr>
      </w:pPr>
      <w:bookmarkStart w:id="30" w:name="_Toc216215234"/>
      <w:r w:rsidRPr="00D12F38">
        <w:rPr>
          <w:rFonts w:ascii="Times New Roman" w:hAnsi="Times New Roman" w:cs="Times New Roman"/>
          <w:b/>
          <w:bCs/>
          <w:color w:val="auto"/>
          <w:sz w:val="24"/>
          <w:szCs w:val="24"/>
        </w:rPr>
        <w:lastRenderedPageBreak/>
        <w:t>Conclusion</w:t>
      </w:r>
      <w:bookmarkEnd w:id="30"/>
    </w:p>
    <w:p w14:paraId="0436FFFA" w14:textId="4D8D9EDA" w:rsidR="00EF0F4A" w:rsidRDefault="000040F6">
      <w:pPr>
        <w:rPr>
          <w:rFonts w:ascii="Times New Roman" w:hAnsi="Times New Roman" w:cs="Times New Roman"/>
          <w:sz w:val="24"/>
          <w:szCs w:val="24"/>
        </w:rPr>
      </w:pPr>
      <w:r w:rsidRPr="000040F6">
        <w:rPr>
          <w:rFonts w:ascii="Times New Roman" w:hAnsi="Times New Roman" w:cs="Times New Roman" w:hint="eastAsia"/>
          <w:sz w:val="24"/>
          <w:szCs w:val="24"/>
        </w:rPr>
        <w:t>The conclusion also draws on how differences in a country's ethics and morality influence the theoretical disclosure of corporate social responsibility (CSR) information. An ethical perspective is extremely important in every country worldwide; whether it is a local enterprise or a multinational company operating in another country, they should establish correct ethical and moral standards. By applying Hofstede's Cultural Dimensions Theory, differences between countries' cultures are identified, and through these cultural differences, suggestions for learning and reference are provided to companies that need to operate in foreign countries. This helps organizations, managers, and employees avoid pitfalls and reduce conflicts arising from different cultures. Cultural relativism, which centers on pragmatism and cultural sensitivity, is viewed as a way to address the conflict challenges faced by the more popular universalist approach to public relations ethics. The differences between these two ideologies also correspond to differences in how countries interact, but correct corporate ethics and adherence to legal bottom lines should still be established.</w:t>
      </w:r>
    </w:p>
    <w:p w14:paraId="17D0DBDD" w14:textId="77777777" w:rsidR="00EF0F4A" w:rsidRDefault="00EF0F4A">
      <w:pPr>
        <w:rPr>
          <w:rFonts w:ascii="Times New Roman" w:hAnsi="Times New Roman" w:cs="Times New Roman"/>
          <w:sz w:val="24"/>
          <w:szCs w:val="24"/>
        </w:rPr>
      </w:pPr>
    </w:p>
    <w:p w14:paraId="409E44CF" w14:textId="77777777" w:rsidR="00EF0F4A" w:rsidRDefault="00EF0F4A">
      <w:pPr>
        <w:rPr>
          <w:rFonts w:ascii="Times New Roman" w:hAnsi="Times New Roman" w:cs="Times New Roman"/>
          <w:sz w:val="24"/>
          <w:szCs w:val="24"/>
        </w:rPr>
      </w:pPr>
    </w:p>
    <w:p w14:paraId="4B621165" w14:textId="77777777" w:rsidR="00EF0F4A" w:rsidRDefault="00EF0F4A">
      <w:pPr>
        <w:rPr>
          <w:rFonts w:ascii="Times New Roman" w:hAnsi="Times New Roman" w:cs="Times New Roman"/>
          <w:sz w:val="24"/>
          <w:szCs w:val="24"/>
        </w:rPr>
      </w:pPr>
    </w:p>
    <w:p w14:paraId="05B42582" w14:textId="77777777" w:rsidR="00D12F38" w:rsidRDefault="00D12F38">
      <w:pPr>
        <w:rPr>
          <w:rFonts w:ascii="Times New Roman" w:hAnsi="Times New Roman" w:cs="Times New Roman"/>
          <w:sz w:val="24"/>
          <w:szCs w:val="24"/>
        </w:rPr>
      </w:pPr>
    </w:p>
    <w:p w14:paraId="50C7D590" w14:textId="77777777" w:rsidR="00D12F38" w:rsidRDefault="00D12F38">
      <w:pPr>
        <w:rPr>
          <w:rFonts w:ascii="Times New Roman" w:hAnsi="Times New Roman" w:cs="Times New Roman"/>
          <w:sz w:val="24"/>
          <w:szCs w:val="24"/>
        </w:rPr>
      </w:pPr>
    </w:p>
    <w:p w14:paraId="7451CE5A" w14:textId="77777777" w:rsidR="00D12F38" w:rsidRDefault="00D12F38">
      <w:pPr>
        <w:rPr>
          <w:rFonts w:ascii="Times New Roman" w:hAnsi="Times New Roman" w:cs="Times New Roman"/>
          <w:sz w:val="24"/>
          <w:szCs w:val="24"/>
        </w:rPr>
      </w:pPr>
    </w:p>
    <w:p w14:paraId="4D47D625" w14:textId="77777777" w:rsidR="00D12F38" w:rsidRDefault="00D12F38">
      <w:pPr>
        <w:rPr>
          <w:rFonts w:ascii="Times New Roman" w:hAnsi="Times New Roman" w:cs="Times New Roman"/>
          <w:sz w:val="24"/>
          <w:szCs w:val="24"/>
        </w:rPr>
      </w:pPr>
    </w:p>
    <w:p w14:paraId="0F3A1AFD" w14:textId="77777777" w:rsidR="00D12F38" w:rsidRDefault="00D12F38">
      <w:pPr>
        <w:rPr>
          <w:rFonts w:ascii="Times New Roman" w:hAnsi="Times New Roman" w:cs="Times New Roman"/>
          <w:sz w:val="24"/>
          <w:szCs w:val="24"/>
        </w:rPr>
      </w:pPr>
    </w:p>
    <w:p w14:paraId="4237FCA2" w14:textId="77777777" w:rsidR="00D12F38" w:rsidRDefault="00D12F38">
      <w:pPr>
        <w:rPr>
          <w:rFonts w:ascii="Times New Roman" w:hAnsi="Times New Roman" w:cs="Times New Roman"/>
          <w:sz w:val="24"/>
          <w:szCs w:val="24"/>
        </w:rPr>
      </w:pPr>
    </w:p>
    <w:p w14:paraId="51C68F93" w14:textId="77777777" w:rsidR="00D12F38" w:rsidRDefault="00D12F38">
      <w:pPr>
        <w:rPr>
          <w:rFonts w:ascii="Times New Roman" w:hAnsi="Times New Roman" w:cs="Times New Roman"/>
          <w:sz w:val="24"/>
          <w:szCs w:val="24"/>
        </w:rPr>
      </w:pPr>
    </w:p>
    <w:p w14:paraId="238F89F4" w14:textId="77777777" w:rsidR="00D12F38" w:rsidRDefault="00D12F38">
      <w:pPr>
        <w:rPr>
          <w:rFonts w:ascii="Times New Roman" w:hAnsi="Times New Roman" w:cs="Times New Roman"/>
          <w:sz w:val="24"/>
          <w:szCs w:val="24"/>
        </w:rPr>
      </w:pPr>
    </w:p>
    <w:p w14:paraId="69D7B3AF" w14:textId="77777777" w:rsidR="00D12F38" w:rsidRDefault="00D12F38">
      <w:pPr>
        <w:rPr>
          <w:rFonts w:ascii="Times New Roman" w:hAnsi="Times New Roman" w:cs="Times New Roman"/>
          <w:sz w:val="24"/>
          <w:szCs w:val="24"/>
        </w:rPr>
      </w:pPr>
    </w:p>
    <w:p w14:paraId="51B6D250" w14:textId="77777777" w:rsidR="00D937E4" w:rsidRDefault="00D937E4">
      <w:pPr>
        <w:rPr>
          <w:rFonts w:ascii="Times New Roman" w:hAnsi="Times New Roman" w:cs="Times New Roman"/>
          <w:sz w:val="24"/>
          <w:szCs w:val="24"/>
        </w:rPr>
      </w:pPr>
    </w:p>
    <w:p w14:paraId="72D02C9D" w14:textId="77777777" w:rsidR="00D937E4" w:rsidRDefault="00D937E4">
      <w:pPr>
        <w:rPr>
          <w:rFonts w:ascii="Times New Roman" w:hAnsi="Times New Roman" w:cs="Times New Roman"/>
          <w:sz w:val="24"/>
          <w:szCs w:val="24"/>
        </w:rPr>
      </w:pPr>
    </w:p>
    <w:bookmarkEnd w:id="1"/>
    <w:p w14:paraId="0A906CBA" w14:textId="77777777" w:rsidR="00D937E4" w:rsidRDefault="00D937E4">
      <w:pPr>
        <w:rPr>
          <w:rFonts w:ascii="Times New Roman" w:hAnsi="Times New Roman" w:cs="Times New Roman"/>
          <w:sz w:val="24"/>
          <w:szCs w:val="24"/>
        </w:rPr>
      </w:pPr>
    </w:p>
    <w:p w14:paraId="7B6BCBCC" w14:textId="77777777" w:rsidR="00D937E4" w:rsidRDefault="00D937E4">
      <w:pPr>
        <w:rPr>
          <w:rFonts w:ascii="Times New Roman" w:hAnsi="Times New Roman" w:cs="Times New Roman"/>
          <w:sz w:val="24"/>
          <w:szCs w:val="24"/>
        </w:rPr>
      </w:pPr>
    </w:p>
    <w:p w14:paraId="6464CD03" w14:textId="77777777" w:rsidR="00D937E4" w:rsidRDefault="00D937E4">
      <w:pPr>
        <w:rPr>
          <w:rFonts w:ascii="Times New Roman" w:hAnsi="Times New Roman" w:cs="Times New Roman"/>
          <w:sz w:val="24"/>
          <w:szCs w:val="24"/>
        </w:rPr>
      </w:pPr>
    </w:p>
    <w:p w14:paraId="19CB0D23" w14:textId="77777777" w:rsidR="00D937E4" w:rsidRDefault="00D937E4">
      <w:pPr>
        <w:rPr>
          <w:rFonts w:ascii="Times New Roman" w:hAnsi="Times New Roman" w:cs="Times New Roman"/>
          <w:sz w:val="24"/>
          <w:szCs w:val="24"/>
        </w:rPr>
      </w:pPr>
    </w:p>
    <w:p w14:paraId="767A093F" w14:textId="77777777" w:rsidR="00D937E4" w:rsidRDefault="00D937E4">
      <w:pPr>
        <w:rPr>
          <w:rFonts w:ascii="Times New Roman" w:hAnsi="Times New Roman" w:cs="Times New Roman"/>
          <w:sz w:val="24"/>
          <w:szCs w:val="24"/>
        </w:rPr>
      </w:pPr>
    </w:p>
    <w:p w14:paraId="1A56FA6B" w14:textId="77777777" w:rsidR="00D937E4" w:rsidRDefault="00D937E4">
      <w:pPr>
        <w:rPr>
          <w:rFonts w:ascii="Times New Roman" w:hAnsi="Times New Roman" w:cs="Times New Roman"/>
          <w:sz w:val="24"/>
          <w:szCs w:val="24"/>
        </w:rPr>
      </w:pPr>
    </w:p>
    <w:p w14:paraId="256845D2" w14:textId="77777777" w:rsidR="00D937E4" w:rsidRDefault="00D937E4">
      <w:pPr>
        <w:rPr>
          <w:rFonts w:ascii="Times New Roman" w:hAnsi="Times New Roman" w:cs="Times New Roman"/>
          <w:sz w:val="24"/>
          <w:szCs w:val="24"/>
        </w:rPr>
      </w:pPr>
    </w:p>
    <w:p w14:paraId="307CEE50" w14:textId="77777777" w:rsidR="00D12F38" w:rsidRDefault="00D12F38">
      <w:pPr>
        <w:rPr>
          <w:rFonts w:ascii="Times New Roman" w:hAnsi="Times New Roman" w:cs="Times New Roman"/>
          <w:sz w:val="24"/>
          <w:szCs w:val="24"/>
        </w:rPr>
      </w:pPr>
    </w:p>
    <w:p w14:paraId="005EE745" w14:textId="77777777" w:rsidR="00D12F38" w:rsidRDefault="00D12F38">
      <w:pPr>
        <w:rPr>
          <w:rFonts w:ascii="Times New Roman" w:hAnsi="Times New Roman" w:cs="Times New Roman"/>
          <w:sz w:val="24"/>
          <w:szCs w:val="24"/>
        </w:rPr>
      </w:pPr>
    </w:p>
    <w:p w14:paraId="11E828B9" w14:textId="77777777" w:rsidR="00D12F38" w:rsidRDefault="00D12F38">
      <w:pPr>
        <w:rPr>
          <w:rFonts w:ascii="Times New Roman" w:hAnsi="Times New Roman" w:cs="Times New Roman"/>
          <w:sz w:val="24"/>
          <w:szCs w:val="24"/>
        </w:rPr>
      </w:pPr>
    </w:p>
    <w:p w14:paraId="7B23D59C" w14:textId="77777777" w:rsidR="00D12F38" w:rsidRDefault="00D12F38">
      <w:pPr>
        <w:rPr>
          <w:rFonts w:ascii="Times New Roman" w:hAnsi="Times New Roman" w:cs="Times New Roman"/>
          <w:sz w:val="24"/>
          <w:szCs w:val="24"/>
        </w:rPr>
      </w:pPr>
    </w:p>
    <w:p w14:paraId="60432375" w14:textId="77777777" w:rsidR="00EF0F4A" w:rsidRDefault="00EF0F4A">
      <w:pPr>
        <w:rPr>
          <w:rFonts w:ascii="Times New Roman" w:hAnsi="Times New Roman" w:cs="Times New Roman"/>
          <w:sz w:val="24"/>
          <w:szCs w:val="24"/>
        </w:rPr>
      </w:pPr>
    </w:p>
    <w:p w14:paraId="15CAA55E" w14:textId="0BC654DE" w:rsidR="00EF0F4A" w:rsidRPr="00844E05" w:rsidRDefault="00EC7796" w:rsidP="00844E05">
      <w:pPr>
        <w:pStyle w:val="1"/>
        <w:rPr>
          <w:rFonts w:ascii="Times New Roman" w:hAnsi="Times New Roman" w:cs="Times New Roman" w:hint="eastAsia"/>
          <w:b/>
          <w:bCs/>
          <w:color w:val="auto"/>
          <w:sz w:val="24"/>
          <w:szCs w:val="24"/>
          <w:shd w:val="clear" w:color="auto" w:fill="FFFFFF"/>
        </w:rPr>
      </w:pPr>
      <w:bookmarkStart w:id="31" w:name="_Toc213966699"/>
      <w:bookmarkStart w:id="32" w:name="_Toc216215235"/>
      <w:r w:rsidRPr="00D12F38">
        <w:rPr>
          <w:rFonts w:ascii="Times New Roman" w:hAnsi="Times New Roman" w:cs="Times New Roman"/>
          <w:b/>
          <w:bCs/>
          <w:color w:val="auto"/>
          <w:sz w:val="24"/>
          <w:szCs w:val="24"/>
          <w:shd w:val="clear" w:color="auto" w:fill="FFFFFF"/>
        </w:rPr>
        <w:lastRenderedPageBreak/>
        <w:t>References</w:t>
      </w:r>
      <w:bookmarkEnd w:id="31"/>
      <w:bookmarkEnd w:id="32"/>
    </w:p>
    <w:p w14:paraId="4D7A0FD1" w14:textId="77777777" w:rsidR="00EC7796" w:rsidRPr="00D12F38" w:rsidRDefault="00EC7796">
      <w:pPr>
        <w:rPr>
          <w:rFonts w:ascii="Times New Roman" w:hAnsi="Times New Roman" w:cs="Times New Roman"/>
          <w:sz w:val="24"/>
          <w:szCs w:val="24"/>
        </w:rPr>
      </w:pPr>
    </w:p>
    <w:p w14:paraId="52E7A0E1" w14:textId="41465887" w:rsidR="008F72D1" w:rsidRPr="00D12F38" w:rsidRDefault="008F72D1">
      <w:pPr>
        <w:rPr>
          <w:rFonts w:ascii="Times New Roman" w:hAnsi="Times New Roman" w:cs="Times New Roman"/>
          <w:sz w:val="24"/>
          <w:szCs w:val="24"/>
        </w:rPr>
      </w:pPr>
      <w:r w:rsidRPr="00D12F38">
        <w:rPr>
          <w:rFonts w:ascii="Times New Roman" w:hAnsi="Times New Roman" w:cs="Times New Roman"/>
          <w:sz w:val="24"/>
          <w:szCs w:val="24"/>
        </w:rPr>
        <w:t xml:space="preserve">Baker </w:t>
      </w:r>
      <w:proofErr w:type="gramStart"/>
      <w:r w:rsidRPr="00D12F38">
        <w:rPr>
          <w:rFonts w:ascii="Times New Roman" w:hAnsi="Times New Roman" w:cs="Times New Roman"/>
          <w:sz w:val="24"/>
          <w:szCs w:val="24"/>
        </w:rPr>
        <w:t>A.C..</w:t>
      </w:r>
      <w:proofErr w:type="gramEnd"/>
      <w:r w:rsidRPr="00D12F38">
        <w:rPr>
          <w:rFonts w:ascii="Times New Roman" w:hAnsi="Times New Roman" w:cs="Times New Roman"/>
          <w:sz w:val="24"/>
          <w:szCs w:val="24"/>
        </w:rPr>
        <w:t xml:space="preserve"> (</w:t>
      </w:r>
      <w:proofErr w:type="gramStart"/>
      <w:r w:rsidRPr="00D12F38">
        <w:rPr>
          <w:rFonts w:ascii="Times New Roman" w:hAnsi="Times New Roman" w:cs="Times New Roman"/>
          <w:sz w:val="24"/>
          <w:szCs w:val="24"/>
        </w:rPr>
        <w:t>2022)How</w:t>
      </w:r>
      <w:proofErr w:type="gramEnd"/>
      <w:r w:rsidRPr="00D12F38">
        <w:rPr>
          <w:rFonts w:ascii="Times New Roman" w:hAnsi="Times New Roman" w:cs="Times New Roman"/>
          <w:sz w:val="24"/>
          <w:szCs w:val="24"/>
        </w:rPr>
        <w:t xml:space="preserve"> Much Should We Trust the Difference-in-Differences Estimates? </w:t>
      </w:r>
      <w:r w:rsidRPr="00FA7B84">
        <w:rPr>
          <w:rFonts w:ascii="Times New Roman" w:hAnsi="Times New Roman" w:cs="Times New Roman"/>
          <w:i/>
          <w:iCs/>
          <w:sz w:val="24"/>
          <w:szCs w:val="24"/>
        </w:rPr>
        <w:t>Journal of Financial Economics</w:t>
      </w:r>
      <w:bookmarkStart w:id="33" w:name="OLE_LINK10"/>
      <w:r w:rsidRPr="00FA7B84">
        <w:rPr>
          <w:rFonts w:ascii="Times New Roman" w:hAnsi="Times New Roman" w:cs="Times New Roman"/>
          <w:i/>
          <w:iCs/>
          <w:sz w:val="24"/>
          <w:szCs w:val="24"/>
        </w:rPr>
        <w:t xml:space="preserve"> </w:t>
      </w:r>
      <w:bookmarkEnd w:id="33"/>
    </w:p>
    <w:p w14:paraId="20DADDEB" w14:textId="77777777" w:rsidR="008F72D1" w:rsidRPr="00D12F38" w:rsidRDefault="008F72D1">
      <w:pPr>
        <w:rPr>
          <w:rFonts w:ascii="Times New Roman" w:hAnsi="Times New Roman" w:cs="Times New Roman"/>
          <w:sz w:val="24"/>
          <w:szCs w:val="24"/>
        </w:rPr>
      </w:pPr>
    </w:p>
    <w:p w14:paraId="2384D1C9" w14:textId="63EC6C63" w:rsidR="00457DBB" w:rsidRPr="00FA7B84" w:rsidRDefault="008F72D1">
      <w:pPr>
        <w:rPr>
          <w:rFonts w:ascii="Times New Roman" w:hAnsi="Times New Roman" w:cs="Times New Roman"/>
          <w:i/>
          <w:iCs/>
          <w:sz w:val="24"/>
          <w:szCs w:val="24"/>
        </w:rPr>
      </w:pPr>
      <w:bookmarkStart w:id="34" w:name="OLE_LINK12"/>
      <w:r w:rsidRPr="00D12F38">
        <w:rPr>
          <w:rFonts w:ascii="Times New Roman" w:hAnsi="Times New Roman" w:cs="Times New Roman"/>
          <w:sz w:val="24"/>
          <w:szCs w:val="24"/>
        </w:rPr>
        <w:t xml:space="preserve"> </w:t>
      </w:r>
      <w:bookmarkEnd w:id="34"/>
      <w:r w:rsidRPr="00D12F38">
        <w:rPr>
          <w:rFonts w:ascii="Times New Roman" w:hAnsi="Times New Roman" w:cs="Times New Roman"/>
          <w:sz w:val="24"/>
          <w:szCs w:val="24"/>
        </w:rPr>
        <w:t xml:space="preserve">Banerjee. A (2020) On the Road: Accessibility and Economic Growth in China's Transportation Infrastructure </w:t>
      </w:r>
      <w:r w:rsidRPr="00FA7B84">
        <w:rPr>
          <w:rFonts w:ascii="Times New Roman" w:hAnsi="Times New Roman" w:cs="Times New Roman"/>
          <w:i/>
          <w:iCs/>
          <w:sz w:val="24"/>
          <w:szCs w:val="24"/>
        </w:rPr>
        <w:t>Journal of Development Economics</w:t>
      </w:r>
      <w:bookmarkStart w:id="35" w:name="OLE_LINK11"/>
      <w:r w:rsidRPr="00FA7B84">
        <w:rPr>
          <w:rFonts w:ascii="Times New Roman" w:hAnsi="Times New Roman" w:cs="Times New Roman"/>
          <w:i/>
          <w:iCs/>
          <w:sz w:val="24"/>
          <w:szCs w:val="24"/>
        </w:rPr>
        <w:t xml:space="preserve"> </w:t>
      </w:r>
      <w:bookmarkEnd w:id="35"/>
    </w:p>
    <w:p w14:paraId="20F964FE" w14:textId="77777777" w:rsidR="00457DBB" w:rsidRPr="00D12F38" w:rsidRDefault="00457DBB">
      <w:pPr>
        <w:rPr>
          <w:rFonts w:ascii="Times New Roman" w:hAnsi="Times New Roman" w:cs="Times New Roman"/>
          <w:sz w:val="24"/>
          <w:szCs w:val="24"/>
        </w:rPr>
      </w:pPr>
    </w:p>
    <w:p w14:paraId="24F369A1" w14:textId="77777777" w:rsidR="00457DBB" w:rsidRPr="00D12F38" w:rsidRDefault="00457DBB">
      <w:pPr>
        <w:rPr>
          <w:rFonts w:ascii="Times New Roman" w:hAnsi="Times New Roman" w:cs="Times New Roman"/>
          <w:sz w:val="24"/>
          <w:szCs w:val="24"/>
        </w:rPr>
      </w:pPr>
    </w:p>
    <w:p w14:paraId="01750024" w14:textId="06BA5B4C" w:rsidR="00457DBB" w:rsidRPr="00D12F38" w:rsidRDefault="008F72D1">
      <w:pPr>
        <w:rPr>
          <w:rFonts w:ascii="Times New Roman" w:hAnsi="Times New Roman" w:cs="Times New Roman"/>
          <w:sz w:val="24"/>
          <w:szCs w:val="24"/>
        </w:rPr>
      </w:pPr>
      <w:r w:rsidRPr="00D12F38">
        <w:rPr>
          <w:rFonts w:ascii="Times New Roman" w:hAnsi="Times New Roman" w:cs="Times New Roman"/>
          <w:sz w:val="24"/>
          <w:szCs w:val="24"/>
        </w:rPr>
        <w:t>Chen Z (2017) Inter-industry Linkages and Industrial Policy Efficiency: Evidence from China's Export Processing Zones. '</w:t>
      </w:r>
      <w:r w:rsidRPr="00FA7B84">
        <w:rPr>
          <w:rFonts w:ascii="Times New Roman" w:hAnsi="Times New Roman" w:cs="Times New Roman"/>
          <w:i/>
          <w:iCs/>
          <w:sz w:val="24"/>
          <w:szCs w:val="24"/>
        </w:rPr>
        <w:t>Journal of Comparative Economics'</w:t>
      </w:r>
      <w:r w:rsidRPr="00D12F38">
        <w:rPr>
          <w:rFonts w:ascii="Times New Roman" w:hAnsi="Times New Roman" w:cs="Times New Roman"/>
          <w:sz w:val="24"/>
          <w:szCs w:val="24"/>
        </w:rPr>
        <w:t xml:space="preserve"> </w:t>
      </w:r>
      <w:bookmarkStart w:id="36" w:name="OLE_LINK13"/>
    </w:p>
    <w:bookmarkEnd w:id="36"/>
    <w:p w14:paraId="2860B765" w14:textId="0F3779CE" w:rsidR="00457DBB" w:rsidRPr="00D12F38" w:rsidRDefault="00457DBB">
      <w:pPr>
        <w:rPr>
          <w:rFonts w:ascii="Times New Roman" w:hAnsi="Times New Roman" w:cs="Times New Roman"/>
          <w:sz w:val="24"/>
          <w:szCs w:val="24"/>
        </w:rPr>
      </w:pPr>
    </w:p>
    <w:p w14:paraId="0B8AB5B1" w14:textId="257BF741" w:rsidR="00457DBB" w:rsidRPr="00D12F38" w:rsidRDefault="00826806">
      <w:pPr>
        <w:rPr>
          <w:rFonts w:ascii="Times New Roman" w:hAnsi="Times New Roman" w:cs="Times New Roman"/>
          <w:sz w:val="24"/>
          <w:szCs w:val="24"/>
        </w:rPr>
      </w:pPr>
      <w:bookmarkStart w:id="37" w:name="OLE_LINK14"/>
      <w:r w:rsidRPr="00D12F38">
        <w:rPr>
          <w:rFonts w:ascii="Times New Roman" w:hAnsi="Times New Roman" w:cs="Times New Roman"/>
          <w:sz w:val="24"/>
          <w:szCs w:val="24"/>
        </w:rPr>
        <w:t xml:space="preserve">Adams, C. A., &amp; Abhayawansa, S. (2021). Connecting the COVID-19 pandemic, environmental, social and governance (ESG) investing and calls for “harmonisation” of sustainability reporting. </w:t>
      </w:r>
      <w:r w:rsidRPr="00FA7B84">
        <w:rPr>
          <w:rFonts w:ascii="Times New Roman" w:hAnsi="Times New Roman" w:cs="Times New Roman"/>
          <w:i/>
          <w:iCs/>
          <w:sz w:val="24"/>
          <w:szCs w:val="24"/>
        </w:rPr>
        <w:t>Critical Perspectives on Accounting</w:t>
      </w:r>
      <w:r w:rsidRPr="00D12F38">
        <w:rPr>
          <w:rFonts w:ascii="Times New Roman" w:hAnsi="Times New Roman" w:cs="Times New Roman"/>
          <w:sz w:val="24"/>
          <w:szCs w:val="24"/>
        </w:rPr>
        <w:t>, 82, 102309.</w:t>
      </w:r>
    </w:p>
    <w:p w14:paraId="4D35B84B" w14:textId="77777777" w:rsidR="00457DBB" w:rsidRPr="00D12F38" w:rsidRDefault="00457DBB">
      <w:pPr>
        <w:rPr>
          <w:rFonts w:ascii="Times New Roman" w:hAnsi="Times New Roman" w:cs="Times New Roman"/>
          <w:sz w:val="24"/>
          <w:szCs w:val="24"/>
        </w:rPr>
      </w:pPr>
    </w:p>
    <w:p w14:paraId="329F8F4A" w14:textId="4F221BC2" w:rsidR="00457DBB" w:rsidRPr="00D12F38" w:rsidRDefault="00826806">
      <w:pPr>
        <w:rPr>
          <w:rFonts w:ascii="Times New Roman" w:hAnsi="Times New Roman" w:cs="Times New Roman"/>
          <w:sz w:val="24"/>
          <w:szCs w:val="24"/>
        </w:rPr>
      </w:pPr>
      <w:r w:rsidRPr="00D12F38">
        <w:rPr>
          <w:rFonts w:ascii="Times New Roman" w:hAnsi="Times New Roman" w:cs="Times New Roman"/>
          <w:sz w:val="24"/>
          <w:szCs w:val="24"/>
        </w:rPr>
        <w:t xml:space="preserve">Albuquerque, R., Koskinen, Y., Yang, S., &amp; Zhang, C. (2020). Resiliency of environmental and social stocks: An analysis of the exogenous COVID-19 market crash. </w:t>
      </w:r>
      <w:r w:rsidRPr="00FA7B84">
        <w:rPr>
          <w:rFonts w:ascii="Times New Roman" w:hAnsi="Times New Roman" w:cs="Times New Roman"/>
          <w:i/>
          <w:iCs/>
          <w:sz w:val="24"/>
          <w:szCs w:val="24"/>
        </w:rPr>
        <w:t>The Review of Corporate Finance Studies,</w:t>
      </w:r>
      <w:r w:rsidRPr="00D12F38">
        <w:rPr>
          <w:rFonts w:ascii="Times New Roman" w:hAnsi="Times New Roman" w:cs="Times New Roman"/>
          <w:sz w:val="24"/>
          <w:szCs w:val="24"/>
        </w:rPr>
        <w:t xml:space="preserve"> 9(3), 593–621</w:t>
      </w:r>
      <w:bookmarkEnd w:id="37"/>
    </w:p>
    <w:p w14:paraId="39612F67" w14:textId="77777777" w:rsidR="00457DBB" w:rsidRPr="00D12F38" w:rsidRDefault="00457DBB">
      <w:pPr>
        <w:rPr>
          <w:rFonts w:ascii="Times New Roman" w:hAnsi="Times New Roman" w:cs="Times New Roman"/>
          <w:sz w:val="24"/>
          <w:szCs w:val="24"/>
        </w:rPr>
      </w:pPr>
    </w:p>
    <w:p w14:paraId="499E34C1" w14:textId="77777777" w:rsidR="005444FE" w:rsidRPr="00D12F38" w:rsidRDefault="005444FE">
      <w:pPr>
        <w:rPr>
          <w:rFonts w:ascii="Times New Roman" w:hAnsi="Times New Roman" w:cs="Times New Roman"/>
          <w:sz w:val="24"/>
          <w:szCs w:val="24"/>
        </w:rPr>
      </w:pPr>
      <w:r w:rsidRPr="00D12F38">
        <w:rPr>
          <w:rFonts w:ascii="Times New Roman" w:hAnsi="Times New Roman" w:cs="Times New Roman"/>
          <w:sz w:val="24"/>
          <w:szCs w:val="24"/>
        </w:rPr>
        <w:t>Bond, MH (1991). Beyond the Chinese Face: Insights from Psychology. Oxford University Press, USA. Hampden-Turner, C., &amp; Trompenaars, F. (1997). A Response to Geert Hofstede</w:t>
      </w:r>
      <w:r w:rsidRPr="00FA7B84">
        <w:rPr>
          <w:rFonts w:ascii="Times New Roman" w:hAnsi="Times New Roman" w:cs="Times New Roman"/>
          <w:i/>
          <w:iCs/>
          <w:sz w:val="24"/>
          <w:szCs w:val="24"/>
        </w:rPr>
        <w:t xml:space="preserve">. International Journal of Intercultural Relations, </w:t>
      </w:r>
      <w:r w:rsidRPr="00D12F38">
        <w:rPr>
          <w:rFonts w:ascii="Times New Roman" w:hAnsi="Times New Roman" w:cs="Times New Roman"/>
          <w:sz w:val="24"/>
          <w:szCs w:val="24"/>
        </w:rPr>
        <w:t xml:space="preserve">21(1), 149. </w:t>
      </w:r>
    </w:p>
    <w:p w14:paraId="403522B6" w14:textId="77777777" w:rsidR="00EF0F4A" w:rsidRPr="00D12F38" w:rsidRDefault="00EF0F4A">
      <w:pPr>
        <w:rPr>
          <w:rFonts w:ascii="Times New Roman" w:hAnsi="Times New Roman" w:cs="Times New Roman"/>
          <w:sz w:val="24"/>
          <w:szCs w:val="24"/>
        </w:rPr>
      </w:pPr>
    </w:p>
    <w:p w14:paraId="13113D7D" w14:textId="77777777" w:rsidR="005444FE" w:rsidRPr="00D12F38" w:rsidRDefault="005444FE">
      <w:pPr>
        <w:rPr>
          <w:rFonts w:ascii="Times New Roman" w:hAnsi="Times New Roman" w:cs="Times New Roman"/>
          <w:sz w:val="24"/>
          <w:szCs w:val="24"/>
        </w:rPr>
      </w:pPr>
      <w:r w:rsidRPr="00D12F38">
        <w:rPr>
          <w:rFonts w:ascii="Times New Roman" w:hAnsi="Times New Roman" w:cs="Times New Roman"/>
          <w:sz w:val="24"/>
          <w:szCs w:val="24"/>
        </w:rPr>
        <w:t xml:space="preserve">Hofstede, G. (1980). Culture and Organizations. </w:t>
      </w:r>
      <w:r w:rsidRPr="00FA7B84">
        <w:rPr>
          <w:rFonts w:ascii="Times New Roman" w:hAnsi="Times New Roman" w:cs="Times New Roman"/>
          <w:i/>
          <w:iCs/>
          <w:sz w:val="24"/>
          <w:szCs w:val="24"/>
        </w:rPr>
        <w:t>International Journal of Management and Organization Studies</w:t>
      </w:r>
      <w:r w:rsidRPr="00D12F38">
        <w:rPr>
          <w:rFonts w:ascii="Times New Roman" w:hAnsi="Times New Roman" w:cs="Times New Roman"/>
          <w:sz w:val="24"/>
          <w:szCs w:val="24"/>
        </w:rPr>
        <w:t xml:space="preserve">, 10(4), 15-41. </w:t>
      </w:r>
    </w:p>
    <w:p w14:paraId="6F97F904" w14:textId="77777777" w:rsidR="00EF0F4A" w:rsidRPr="00D12F38" w:rsidRDefault="00EF0F4A">
      <w:pPr>
        <w:rPr>
          <w:rFonts w:ascii="Times New Roman" w:hAnsi="Times New Roman" w:cs="Times New Roman"/>
          <w:sz w:val="24"/>
          <w:szCs w:val="24"/>
        </w:rPr>
      </w:pPr>
    </w:p>
    <w:p w14:paraId="547CFCC6" w14:textId="77777777" w:rsidR="005444FE" w:rsidRPr="00D12F38" w:rsidRDefault="005444FE">
      <w:pPr>
        <w:rPr>
          <w:rFonts w:ascii="Times New Roman" w:hAnsi="Times New Roman" w:cs="Times New Roman"/>
          <w:sz w:val="24"/>
          <w:szCs w:val="24"/>
        </w:rPr>
      </w:pPr>
      <w:r w:rsidRPr="00D12F38">
        <w:rPr>
          <w:rFonts w:ascii="Times New Roman" w:hAnsi="Times New Roman" w:cs="Times New Roman"/>
          <w:sz w:val="24"/>
          <w:szCs w:val="24"/>
        </w:rPr>
        <w:t xml:space="preserve">Hofstede, G. (2011). Cultural Dimensions: The Background of the Hofstede Model. </w:t>
      </w:r>
      <w:r w:rsidRPr="00FA7B84">
        <w:rPr>
          <w:rFonts w:ascii="Times New Roman" w:hAnsi="Times New Roman" w:cs="Times New Roman"/>
          <w:i/>
          <w:iCs/>
          <w:sz w:val="24"/>
          <w:szCs w:val="24"/>
        </w:rPr>
        <w:t xml:space="preserve">Online Readings in Psychology and Culture, </w:t>
      </w:r>
      <w:r w:rsidRPr="00D12F38">
        <w:rPr>
          <w:rFonts w:ascii="Times New Roman" w:hAnsi="Times New Roman" w:cs="Times New Roman"/>
          <w:sz w:val="24"/>
          <w:szCs w:val="24"/>
        </w:rPr>
        <w:t>2(1), 2307-0919.</w:t>
      </w:r>
    </w:p>
    <w:p w14:paraId="0CA64CC3" w14:textId="77777777" w:rsidR="00EF0F4A" w:rsidRPr="00D12F38" w:rsidRDefault="00EF0F4A">
      <w:pPr>
        <w:rPr>
          <w:rFonts w:ascii="Times New Roman" w:hAnsi="Times New Roman" w:cs="Times New Roman"/>
          <w:sz w:val="24"/>
          <w:szCs w:val="24"/>
        </w:rPr>
      </w:pPr>
    </w:p>
    <w:p w14:paraId="06FD8255" w14:textId="5BD02F3E" w:rsidR="00FA7B84" w:rsidRDefault="005444FE">
      <w:pPr>
        <w:rPr>
          <w:rFonts w:ascii="Times New Roman" w:hAnsi="Times New Roman" w:cs="Times New Roman"/>
          <w:sz w:val="24"/>
          <w:szCs w:val="24"/>
        </w:rPr>
      </w:pPr>
      <w:r w:rsidRPr="00D12F38">
        <w:rPr>
          <w:rFonts w:ascii="Times New Roman" w:hAnsi="Times New Roman" w:cs="Times New Roman"/>
          <w:sz w:val="24"/>
          <w:szCs w:val="24"/>
        </w:rPr>
        <w:t xml:space="preserve"> Hofstede, G., Minkov, M. (2010). Long-Term Orientation versus Short-Term Orientation: A New Perspective. </w:t>
      </w:r>
      <w:r w:rsidRPr="00FA7B84">
        <w:rPr>
          <w:rFonts w:ascii="Times New Roman" w:hAnsi="Times New Roman" w:cs="Times New Roman"/>
          <w:i/>
          <w:iCs/>
          <w:sz w:val="24"/>
          <w:szCs w:val="24"/>
        </w:rPr>
        <w:t xml:space="preserve">Asia Pacific Business Review, </w:t>
      </w:r>
      <w:r w:rsidRPr="00D12F38">
        <w:rPr>
          <w:rFonts w:ascii="Times New Roman" w:hAnsi="Times New Roman" w:cs="Times New Roman"/>
          <w:sz w:val="24"/>
          <w:szCs w:val="24"/>
        </w:rPr>
        <w:t xml:space="preserve">16(4), 493-504. </w:t>
      </w:r>
    </w:p>
    <w:p w14:paraId="5D705D11" w14:textId="77777777" w:rsidR="00FA7B84" w:rsidRDefault="00FA7B84">
      <w:pPr>
        <w:rPr>
          <w:rFonts w:ascii="Times New Roman" w:hAnsi="Times New Roman" w:cs="Times New Roman"/>
          <w:sz w:val="24"/>
          <w:szCs w:val="24"/>
        </w:rPr>
      </w:pPr>
    </w:p>
    <w:p w14:paraId="6D4E58C8" w14:textId="467DA6AF" w:rsidR="005444FE" w:rsidRPr="00D12F38" w:rsidRDefault="005444FE">
      <w:pPr>
        <w:rPr>
          <w:rFonts w:ascii="Times New Roman" w:hAnsi="Times New Roman" w:cs="Times New Roman"/>
          <w:sz w:val="24"/>
          <w:szCs w:val="24"/>
        </w:rPr>
      </w:pPr>
      <w:r w:rsidRPr="00D12F38">
        <w:rPr>
          <w:rFonts w:ascii="Times New Roman" w:hAnsi="Times New Roman" w:cs="Times New Roman"/>
          <w:sz w:val="24"/>
          <w:szCs w:val="24"/>
        </w:rPr>
        <w:t xml:space="preserve">Hofstede, G. (1980). </w:t>
      </w:r>
      <w:r w:rsidRPr="00FA7B84">
        <w:rPr>
          <w:rFonts w:ascii="Times New Roman" w:hAnsi="Times New Roman" w:cs="Times New Roman"/>
          <w:i/>
          <w:iCs/>
          <w:sz w:val="24"/>
          <w:szCs w:val="24"/>
        </w:rPr>
        <w:t xml:space="preserve">The Cultural Consequences </w:t>
      </w:r>
      <w:r w:rsidRPr="00D12F38">
        <w:rPr>
          <w:rFonts w:ascii="Times New Roman" w:hAnsi="Times New Roman" w:cs="Times New Roman"/>
          <w:sz w:val="24"/>
          <w:szCs w:val="24"/>
        </w:rPr>
        <w:t>(Vol.). Sage Publications: Beverly</w:t>
      </w:r>
    </w:p>
    <w:p w14:paraId="1DF79B59" w14:textId="77777777" w:rsidR="00EF0F4A" w:rsidRPr="00D12F38" w:rsidRDefault="00EF0F4A">
      <w:pPr>
        <w:rPr>
          <w:rFonts w:ascii="Times New Roman" w:hAnsi="Times New Roman" w:cs="Times New Roman"/>
          <w:sz w:val="24"/>
          <w:szCs w:val="24"/>
        </w:rPr>
      </w:pPr>
    </w:p>
    <w:p w14:paraId="00DE8CEA" w14:textId="383D8FFE" w:rsidR="00D02D8F" w:rsidRPr="00D12F38" w:rsidRDefault="005444FE">
      <w:pPr>
        <w:rPr>
          <w:rFonts w:ascii="Times New Roman" w:hAnsi="Times New Roman" w:cs="Times New Roman"/>
          <w:sz w:val="24"/>
          <w:szCs w:val="24"/>
        </w:rPr>
      </w:pPr>
      <w:r w:rsidRPr="00D12F38">
        <w:rPr>
          <w:rFonts w:ascii="Times New Roman" w:hAnsi="Times New Roman" w:cs="Times New Roman"/>
          <w:sz w:val="24"/>
          <w:szCs w:val="24"/>
        </w:rPr>
        <w:t xml:space="preserve"> Hills, C. Hofstede, G. (1991).</w:t>
      </w:r>
      <w:r w:rsidRPr="00FA7B84">
        <w:rPr>
          <w:rFonts w:ascii="Times New Roman" w:hAnsi="Times New Roman" w:cs="Times New Roman"/>
          <w:i/>
          <w:iCs/>
          <w:sz w:val="24"/>
          <w:szCs w:val="24"/>
        </w:rPr>
        <w:t xml:space="preserve"> Culture and Organizations: Software </w:t>
      </w:r>
      <w:r w:rsidRPr="00D12F38">
        <w:rPr>
          <w:rFonts w:ascii="Times New Roman" w:hAnsi="Times New Roman" w:cs="Times New Roman"/>
          <w:sz w:val="24"/>
          <w:szCs w:val="24"/>
        </w:rPr>
        <w:t>of the Mind. London, UK</w:t>
      </w:r>
    </w:p>
    <w:p w14:paraId="5FF45CAA" w14:textId="4485148C" w:rsidR="005444FE" w:rsidRPr="00D12F38" w:rsidRDefault="005444FE">
      <w:pPr>
        <w:rPr>
          <w:rFonts w:ascii="Times New Roman" w:hAnsi="Times New Roman" w:cs="Times New Roman"/>
          <w:sz w:val="24"/>
          <w:szCs w:val="24"/>
        </w:rPr>
      </w:pPr>
      <w:proofErr w:type="gramStart"/>
      <w:r w:rsidRPr="00D12F38">
        <w:rPr>
          <w:rFonts w:ascii="Times New Roman" w:hAnsi="Times New Roman" w:cs="Times New Roman"/>
          <w:sz w:val="24"/>
          <w:szCs w:val="24"/>
        </w:rPr>
        <w:t>McGraw</w:t>
      </w:r>
      <w:r w:rsidR="00FA7B84">
        <w:rPr>
          <w:rFonts w:ascii="Times New Roman" w:hAnsi="Times New Roman" w:cs="Times New Roman" w:hint="eastAsia"/>
          <w:sz w:val="24"/>
          <w:szCs w:val="24"/>
        </w:rPr>
        <w:t>,H</w:t>
      </w:r>
      <w:proofErr w:type="gramEnd"/>
      <w:r w:rsidR="00FA7B84">
        <w:rPr>
          <w:rFonts w:ascii="Times New Roman" w:hAnsi="Times New Roman" w:cs="Times New Roman" w:hint="eastAsia"/>
          <w:sz w:val="24"/>
          <w:szCs w:val="24"/>
        </w:rPr>
        <w:t xml:space="preserve"> </w:t>
      </w:r>
      <w:r w:rsidRPr="00D12F38">
        <w:rPr>
          <w:rFonts w:ascii="Times New Roman" w:hAnsi="Times New Roman" w:cs="Times New Roman"/>
          <w:sz w:val="24"/>
          <w:szCs w:val="24"/>
        </w:rPr>
        <w:t xml:space="preserve"> McSweeney, B. (2002). The Academic Imperative: A Response to Geert Hofstede.</w:t>
      </w:r>
      <w:r w:rsidRPr="00FA7B84">
        <w:rPr>
          <w:rFonts w:ascii="Times New Roman" w:hAnsi="Times New Roman" w:cs="Times New Roman"/>
          <w:i/>
          <w:iCs/>
          <w:sz w:val="24"/>
          <w:szCs w:val="24"/>
        </w:rPr>
        <w:t xml:space="preserve"> Human Relations,</w:t>
      </w:r>
      <w:r w:rsidRPr="00D12F38">
        <w:rPr>
          <w:rFonts w:ascii="Times New Roman" w:hAnsi="Times New Roman" w:cs="Times New Roman"/>
          <w:sz w:val="24"/>
          <w:szCs w:val="24"/>
        </w:rPr>
        <w:t xml:space="preserve"> 55(11), 1363-1372. </w:t>
      </w:r>
    </w:p>
    <w:p w14:paraId="4A86F21B" w14:textId="77777777" w:rsidR="00EF0F4A" w:rsidRPr="00D12F38" w:rsidRDefault="00EF0F4A">
      <w:pPr>
        <w:rPr>
          <w:rFonts w:ascii="Times New Roman" w:hAnsi="Times New Roman" w:cs="Times New Roman"/>
          <w:sz w:val="24"/>
          <w:szCs w:val="24"/>
        </w:rPr>
      </w:pPr>
    </w:p>
    <w:p w14:paraId="040EEED8" w14:textId="54BFDFAA" w:rsidR="00457DBB" w:rsidRPr="00D12F38" w:rsidRDefault="005444FE">
      <w:pPr>
        <w:rPr>
          <w:rFonts w:ascii="Times New Roman" w:hAnsi="Times New Roman" w:cs="Times New Roman"/>
          <w:sz w:val="24"/>
          <w:szCs w:val="24"/>
        </w:rPr>
      </w:pPr>
      <w:r w:rsidRPr="00D12F38">
        <w:rPr>
          <w:rFonts w:ascii="Times New Roman" w:hAnsi="Times New Roman" w:cs="Times New Roman"/>
          <w:sz w:val="24"/>
          <w:szCs w:val="24"/>
        </w:rPr>
        <w:t xml:space="preserve"> Hauser, WJ (2008). Re-examining Hofstede's Cultural Dimensions: A Call for 21st Century Intercultural Research. </w:t>
      </w:r>
      <w:r w:rsidRPr="00FA7B84">
        <w:rPr>
          <w:rFonts w:ascii="Times New Roman" w:hAnsi="Times New Roman" w:cs="Times New Roman"/>
          <w:i/>
          <w:iCs/>
          <w:sz w:val="24"/>
          <w:szCs w:val="24"/>
        </w:rPr>
        <w:t>Journal of Marketing Management</w:t>
      </w:r>
      <w:r w:rsidRPr="00D12F38">
        <w:rPr>
          <w:rFonts w:ascii="Times New Roman" w:hAnsi="Times New Roman" w:cs="Times New Roman"/>
          <w:sz w:val="24"/>
          <w:szCs w:val="24"/>
        </w:rPr>
        <w:t>, 18(2), 1-19.</w:t>
      </w:r>
    </w:p>
    <w:p w14:paraId="7234A434" w14:textId="77777777" w:rsidR="00457DBB" w:rsidRPr="00D12F38" w:rsidRDefault="00457DBB">
      <w:pPr>
        <w:rPr>
          <w:rFonts w:ascii="Times New Roman" w:hAnsi="Times New Roman" w:cs="Times New Roman"/>
          <w:sz w:val="24"/>
          <w:szCs w:val="24"/>
        </w:rPr>
      </w:pPr>
    </w:p>
    <w:p w14:paraId="6C232DB9" w14:textId="77777777" w:rsidR="00457DBB" w:rsidRPr="00D12F38" w:rsidRDefault="00457DBB">
      <w:pPr>
        <w:rPr>
          <w:rFonts w:ascii="Times New Roman" w:hAnsi="Times New Roman" w:cs="Times New Roman"/>
          <w:sz w:val="24"/>
          <w:szCs w:val="24"/>
        </w:rPr>
      </w:pPr>
    </w:p>
    <w:p w14:paraId="1A5CD7E6" w14:textId="77777777" w:rsidR="00927ADC" w:rsidRPr="00D12F38" w:rsidRDefault="00927ADC">
      <w:pPr>
        <w:rPr>
          <w:rFonts w:ascii="Times New Roman" w:hAnsi="Times New Roman" w:cs="Times New Roman"/>
          <w:sz w:val="24"/>
          <w:szCs w:val="24"/>
        </w:rPr>
      </w:pPr>
      <w:r w:rsidRPr="00D12F38">
        <w:rPr>
          <w:rFonts w:ascii="Times New Roman" w:hAnsi="Times New Roman" w:cs="Times New Roman"/>
          <w:sz w:val="24"/>
          <w:szCs w:val="24"/>
        </w:rPr>
        <w:lastRenderedPageBreak/>
        <w:t xml:space="preserve">Achmad, W., &amp; Yulianah. (2022). Corporate Social Responsibility of the Hotel Industry in Achieving Sustainable Tourism Development. </w:t>
      </w:r>
      <w:r w:rsidRPr="00FA7B84">
        <w:rPr>
          <w:rFonts w:ascii="Times New Roman" w:hAnsi="Times New Roman" w:cs="Times New Roman"/>
          <w:i/>
          <w:iCs/>
          <w:sz w:val="24"/>
          <w:szCs w:val="24"/>
        </w:rPr>
        <w:t>Journal of Management</w:t>
      </w:r>
      <w:r w:rsidRPr="00D12F38">
        <w:rPr>
          <w:rFonts w:ascii="Times New Roman" w:hAnsi="Times New Roman" w:cs="Times New Roman"/>
          <w:sz w:val="24"/>
          <w:szCs w:val="24"/>
        </w:rPr>
        <w:t>, 12(2), 1610–1616.</w:t>
      </w:r>
    </w:p>
    <w:p w14:paraId="73ABA08D" w14:textId="3B893902" w:rsidR="00457DBB" w:rsidRPr="00D12F38" w:rsidRDefault="00927ADC">
      <w:pPr>
        <w:rPr>
          <w:rFonts w:ascii="Times New Roman" w:hAnsi="Times New Roman" w:cs="Times New Roman"/>
          <w:sz w:val="24"/>
          <w:szCs w:val="24"/>
        </w:rPr>
      </w:pPr>
      <w:r w:rsidRPr="00D12F38">
        <w:rPr>
          <w:rFonts w:ascii="Times New Roman" w:hAnsi="Times New Roman" w:cs="Times New Roman"/>
          <w:sz w:val="24"/>
          <w:szCs w:val="24"/>
        </w:rPr>
        <w:t xml:space="preserve"> Carroll, AB (1991). The Pyramid of Corporate Social Responsibility: Toward the Moral Management of Organizational Stakeholders. </w:t>
      </w:r>
      <w:r w:rsidRPr="00FA7B84">
        <w:rPr>
          <w:rFonts w:ascii="Times New Roman" w:hAnsi="Times New Roman" w:cs="Times New Roman"/>
          <w:i/>
          <w:iCs/>
          <w:sz w:val="24"/>
          <w:szCs w:val="24"/>
        </w:rPr>
        <w:t>Business Horizons,</w:t>
      </w:r>
      <w:r w:rsidRPr="00D12F38">
        <w:rPr>
          <w:rFonts w:ascii="Times New Roman" w:hAnsi="Times New Roman" w:cs="Times New Roman"/>
          <w:sz w:val="24"/>
          <w:szCs w:val="24"/>
        </w:rPr>
        <w:t xml:space="preserve"> 34(4), 39-48.</w:t>
      </w:r>
    </w:p>
    <w:p w14:paraId="6D49EFED" w14:textId="77777777" w:rsidR="00457DBB" w:rsidRPr="00D12F38" w:rsidRDefault="00457DBB">
      <w:pPr>
        <w:rPr>
          <w:rFonts w:ascii="Times New Roman" w:hAnsi="Times New Roman" w:cs="Times New Roman"/>
          <w:sz w:val="24"/>
          <w:szCs w:val="24"/>
        </w:rPr>
      </w:pPr>
    </w:p>
    <w:p w14:paraId="644E9C9D" w14:textId="77777777" w:rsidR="00457DBB" w:rsidRPr="00D12F38" w:rsidRDefault="00457DBB">
      <w:pPr>
        <w:rPr>
          <w:rFonts w:ascii="Times New Roman" w:hAnsi="Times New Roman" w:cs="Times New Roman"/>
          <w:sz w:val="24"/>
          <w:szCs w:val="24"/>
        </w:rPr>
      </w:pPr>
    </w:p>
    <w:p w14:paraId="0D9AD2C4" w14:textId="5A75276F" w:rsidR="00457DBB" w:rsidRPr="00D12F38" w:rsidRDefault="00927ADC">
      <w:pPr>
        <w:rPr>
          <w:rFonts w:ascii="Times New Roman" w:hAnsi="Times New Roman" w:cs="Times New Roman"/>
          <w:sz w:val="24"/>
          <w:szCs w:val="24"/>
        </w:rPr>
      </w:pPr>
      <w:r w:rsidRPr="00D12F38">
        <w:rPr>
          <w:rFonts w:ascii="Times New Roman" w:hAnsi="Times New Roman" w:cs="Times New Roman"/>
          <w:sz w:val="24"/>
          <w:szCs w:val="24"/>
        </w:rPr>
        <w:t xml:space="preserve">Shin, H., Sharma, A., Nicolau, J.L., &amp; Kang, J. (2021). The impact of hotel corporate social responsibility strategic philanthropy on booking behavior and hotel performance during the COVID-19 pandemic. </w:t>
      </w:r>
      <w:r w:rsidRPr="00FA7B84">
        <w:rPr>
          <w:rFonts w:ascii="Times New Roman" w:hAnsi="Times New Roman" w:cs="Times New Roman"/>
          <w:i/>
          <w:iCs/>
          <w:sz w:val="24"/>
          <w:szCs w:val="24"/>
        </w:rPr>
        <w:t>Tourism Management,</w:t>
      </w:r>
      <w:r w:rsidRPr="00D12F38">
        <w:rPr>
          <w:rFonts w:ascii="Times New Roman" w:hAnsi="Times New Roman" w:cs="Times New Roman"/>
          <w:sz w:val="24"/>
          <w:szCs w:val="24"/>
        </w:rPr>
        <w:t xml:space="preserve"> 85.</w:t>
      </w:r>
    </w:p>
    <w:p w14:paraId="60753F3C" w14:textId="77777777" w:rsidR="00457DBB" w:rsidRPr="00D12F38" w:rsidRDefault="00457DBB">
      <w:pPr>
        <w:rPr>
          <w:rFonts w:ascii="Times New Roman" w:hAnsi="Times New Roman" w:cs="Times New Roman"/>
          <w:sz w:val="24"/>
          <w:szCs w:val="24"/>
        </w:rPr>
      </w:pPr>
    </w:p>
    <w:p w14:paraId="01CE347F" w14:textId="1BC0ED74" w:rsidR="00457DBB" w:rsidRPr="00D12F38" w:rsidRDefault="00EF0F4A">
      <w:pPr>
        <w:rPr>
          <w:rFonts w:ascii="Times New Roman" w:hAnsi="Times New Roman" w:cs="Times New Roman"/>
          <w:sz w:val="24"/>
          <w:szCs w:val="24"/>
        </w:rPr>
      </w:pPr>
      <w:r w:rsidRPr="00D12F38">
        <w:rPr>
          <w:rFonts w:ascii="Times New Roman" w:hAnsi="Times New Roman" w:cs="Times New Roman"/>
          <w:sz w:val="24"/>
          <w:szCs w:val="24"/>
        </w:rPr>
        <w:t xml:space="preserve">Gomez, A. (January 4, 2016) Volkswagen (VLKAY) stock closed as U.S. sales fell 10%, </w:t>
      </w:r>
      <w:r w:rsidRPr="00FA7B84">
        <w:rPr>
          <w:rFonts w:ascii="Times New Roman" w:hAnsi="Times New Roman" w:cs="Times New Roman"/>
          <w:i/>
          <w:iCs/>
          <w:sz w:val="24"/>
          <w:szCs w:val="24"/>
        </w:rPr>
        <w:t>TheStreet.</w:t>
      </w:r>
    </w:p>
    <w:p w14:paraId="1DB2877B" w14:textId="77777777" w:rsidR="00457DBB" w:rsidRPr="00D12F38" w:rsidRDefault="00457DBB">
      <w:pPr>
        <w:rPr>
          <w:rFonts w:ascii="Times New Roman" w:hAnsi="Times New Roman" w:cs="Times New Roman"/>
          <w:sz w:val="24"/>
          <w:szCs w:val="24"/>
        </w:rPr>
      </w:pPr>
    </w:p>
    <w:p w14:paraId="2DA46BB0" w14:textId="3B9DF308" w:rsidR="00EF0F4A" w:rsidRPr="00D12F38" w:rsidRDefault="00EF0F4A" w:rsidP="00EF0F4A">
      <w:pPr>
        <w:rPr>
          <w:rFonts w:ascii="Times New Roman" w:hAnsi="Times New Roman" w:cs="Times New Roman"/>
          <w:sz w:val="24"/>
          <w:szCs w:val="24"/>
        </w:rPr>
      </w:pPr>
      <w:r w:rsidRPr="00D12F38">
        <w:rPr>
          <w:rFonts w:ascii="Times New Roman" w:hAnsi="Times New Roman" w:cs="Times New Roman"/>
          <w:sz w:val="24"/>
          <w:szCs w:val="24"/>
        </w:rPr>
        <w:t xml:space="preserve">Ding, R X (2025) Data analytics, decision support and upholding business </w:t>
      </w:r>
    </w:p>
    <w:p w14:paraId="6E5BF782" w14:textId="17C40213" w:rsidR="00457DBB" w:rsidRPr="00D12F38" w:rsidRDefault="00EF0F4A" w:rsidP="00EF0F4A">
      <w:pPr>
        <w:rPr>
          <w:rFonts w:ascii="Times New Roman" w:hAnsi="Times New Roman" w:cs="Times New Roman"/>
          <w:sz w:val="24"/>
          <w:szCs w:val="24"/>
        </w:rPr>
      </w:pPr>
      <w:r w:rsidRPr="00D12F38">
        <w:rPr>
          <w:rFonts w:ascii="Times New Roman" w:hAnsi="Times New Roman" w:cs="Times New Roman"/>
          <w:sz w:val="24"/>
          <w:szCs w:val="24"/>
        </w:rPr>
        <w:t>ethics in Chinese automobile market.</w:t>
      </w:r>
    </w:p>
    <w:p w14:paraId="42F448A2" w14:textId="77777777" w:rsidR="00EF0F4A" w:rsidRPr="00D12F38" w:rsidRDefault="00EF0F4A" w:rsidP="00EF0F4A">
      <w:pPr>
        <w:rPr>
          <w:rFonts w:ascii="Times New Roman" w:hAnsi="Times New Roman" w:cs="Times New Roman"/>
          <w:sz w:val="24"/>
          <w:szCs w:val="24"/>
        </w:rPr>
      </w:pPr>
    </w:p>
    <w:p w14:paraId="1C4D2C01" w14:textId="54B7632F" w:rsidR="00EF0F4A" w:rsidRPr="00D12F38" w:rsidRDefault="00EF0F4A" w:rsidP="00EF0F4A">
      <w:pPr>
        <w:rPr>
          <w:rFonts w:ascii="Times New Roman" w:hAnsi="Times New Roman" w:cs="Times New Roman"/>
          <w:sz w:val="24"/>
          <w:szCs w:val="24"/>
        </w:rPr>
      </w:pPr>
      <w:r w:rsidRPr="00D12F38">
        <w:rPr>
          <w:rFonts w:ascii="Times New Roman" w:hAnsi="Times New Roman" w:cs="Times New Roman"/>
          <w:sz w:val="24"/>
          <w:szCs w:val="24"/>
        </w:rPr>
        <w:t xml:space="preserve">Elson, C. M., Ferrell, C. K., &amp; Goossen, N. J. (2015). </w:t>
      </w:r>
      <w:r w:rsidRPr="00FA7B84">
        <w:rPr>
          <w:rFonts w:ascii="Times New Roman" w:hAnsi="Times New Roman" w:cs="Times New Roman"/>
          <w:i/>
          <w:iCs/>
          <w:sz w:val="24"/>
          <w:szCs w:val="24"/>
        </w:rPr>
        <w:t>The Volkswagen Defect: Implications for Co-Determination, Ownership, and Board Structure. Journal of Applied Corporate Finance,</w:t>
      </w:r>
      <w:r w:rsidRPr="00D12F38">
        <w:rPr>
          <w:rFonts w:ascii="Times New Roman" w:hAnsi="Times New Roman" w:cs="Times New Roman"/>
          <w:sz w:val="24"/>
          <w:szCs w:val="24"/>
        </w:rPr>
        <w:t xml:space="preserve"> 27(4), 36-43.</w:t>
      </w:r>
    </w:p>
    <w:p w14:paraId="2C5ADA67" w14:textId="77777777" w:rsidR="00EF0F4A" w:rsidRPr="00D12F38" w:rsidRDefault="00EF0F4A" w:rsidP="00EF0F4A">
      <w:pPr>
        <w:rPr>
          <w:rFonts w:ascii="Times New Roman" w:hAnsi="Times New Roman" w:cs="Times New Roman"/>
          <w:sz w:val="24"/>
          <w:szCs w:val="24"/>
        </w:rPr>
      </w:pPr>
    </w:p>
    <w:p w14:paraId="317ABBAB" w14:textId="42890655" w:rsidR="00EF0F4A" w:rsidRPr="00D12F38" w:rsidRDefault="00EF0F4A" w:rsidP="00EF0F4A">
      <w:pPr>
        <w:rPr>
          <w:rFonts w:ascii="Times New Roman" w:hAnsi="Times New Roman" w:cs="Times New Roman"/>
          <w:sz w:val="24"/>
          <w:szCs w:val="24"/>
        </w:rPr>
      </w:pPr>
      <w:r w:rsidRPr="00D12F38">
        <w:rPr>
          <w:rFonts w:ascii="Times New Roman" w:hAnsi="Times New Roman" w:cs="Times New Roman"/>
          <w:sz w:val="24"/>
          <w:szCs w:val="24"/>
        </w:rPr>
        <w:t xml:space="preserve">Godos-D, J.-L.; Cabeza-G, L.; Fernández-G, C. </w:t>
      </w:r>
      <w:r w:rsidRPr="00D12F38">
        <w:rPr>
          <w:rFonts w:ascii="Times New Roman" w:hAnsi="Times New Roman" w:cs="Times New Roman"/>
          <w:sz w:val="24"/>
          <w:szCs w:val="24"/>
        </w:rPr>
        <w:t>（</w:t>
      </w:r>
      <w:r w:rsidRPr="00D12F38">
        <w:rPr>
          <w:rFonts w:ascii="Times New Roman" w:hAnsi="Times New Roman" w:cs="Times New Roman"/>
          <w:sz w:val="24"/>
          <w:szCs w:val="24"/>
        </w:rPr>
        <w:t>2018</w:t>
      </w:r>
      <w:proofErr w:type="gramStart"/>
      <w:r w:rsidRPr="00D12F38">
        <w:rPr>
          <w:rFonts w:ascii="Times New Roman" w:hAnsi="Times New Roman" w:cs="Times New Roman"/>
          <w:sz w:val="24"/>
          <w:szCs w:val="24"/>
        </w:rPr>
        <w:t>）</w:t>
      </w:r>
      <w:r w:rsidRPr="00D12F38">
        <w:rPr>
          <w:rFonts w:ascii="Times New Roman" w:hAnsi="Times New Roman" w:cs="Times New Roman"/>
          <w:sz w:val="24"/>
          <w:szCs w:val="24"/>
        </w:rPr>
        <w:t>,Relationship</w:t>
      </w:r>
      <w:proofErr w:type="gramEnd"/>
      <w:r w:rsidRPr="00D12F38">
        <w:rPr>
          <w:rFonts w:ascii="Times New Roman" w:hAnsi="Times New Roman" w:cs="Times New Roman"/>
          <w:sz w:val="24"/>
          <w:szCs w:val="24"/>
        </w:rPr>
        <w:t xml:space="preserve"> between Corporate Social Responsibility (CSR) and Internationalisation Strategies: A Descriptive Study in the Spanish Context. Adm. Sci. 8, 57. </w:t>
      </w:r>
    </w:p>
    <w:p w14:paraId="39512553" w14:textId="77777777" w:rsidR="00E1583B" w:rsidRPr="00D12F38" w:rsidRDefault="00E1583B" w:rsidP="00EF0F4A">
      <w:pPr>
        <w:rPr>
          <w:rFonts w:ascii="Times New Roman" w:hAnsi="Times New Roman" w:cs="Times New Roman"/>
          <w:sz w:val="24"/>
          <w:szCs w:val="24"/>
        </w:rPr>
      </w:pPr>
    </w:p>
    <w:p w14:paraId="35821380" w14:textId="097AE722" w:rsidR="00E1583B" w:rsidRPr="00D12F38" w:rsidRDefault="00E1583B" w:rsidP="00E1583B">
      <w:pPr>
        <w:rPr>
          <w:rFonts w:ascii="Times New Roman" w:hAnsi="Times New Roman" w:cs="Times New Roman"/>
          <w:sz w:val="24"/>
          <w:szCs w:val="24"/>
        </w:rPr>
      </w:pPr>
      <w:r w:rsidRPr="00D12F38">
        <w:rPr>
          <w:rFonts w:ascii="Times New Roman" w:hAnsi="Times New Roman" w:cs="Times New Roman"/>
          <w:sz w:val="24"/>
          <w:szCs w:val="24"/>
        </w:rPr>
        <w:t xml:space="preserve">Christmann, P. Manag. J. </w:t>
      </w:r>
      <w:r w:rsidRPr="00D12F38">
        <w:rPr>
          <w:rFonts w:ascii="Times New Roman" w:hAnsi="Times New Roman" w:cs="Times New Roman"/>
          <w:sz w:val="24"/>
          <w:szCs w:val="24"/>
        </w:rPr>
        <w:t>（</w:t>
      </w:r>
      <w:r w:rsidRPr="00D12F38">
        <w:rPr>
          <w:rFonts w:ascii="Times New Roman" w:hAnsi="Times New Roman" w:cs="Times New Roman"/>
          <w:sz w:val="24"/>
          <w:szCs w:val="24"/>
        </w:rPr>
        <w:t>2004</w:t>
      </w:r>
      <w:r w:rsidRPr="00D12F38">
        <w:rPr>
          <w:rFonts w:ascii="Times New Roman" w:hAnsi="Times New Roman" w:cs="Times New Roman"/>
          <w:sz w:val="24"/>
          <w:szCs w:val="24"/>
        </w:rPr>
        <w:t>）</w:t>
      </w:r>
      <w:r w:rsidRPr="00D12F38">
        <w:rPr>
          <w:rFonts w:ascii="Times New Roman" w:hAnsi="Times New Roman" w:cs="Times New Roman"/>
          <w:sz w:val="24"/>
          <w:szCs w:val="24"/>
        </w:rPr>
        <w:t>Multinational Companies and the Natural Environment: Determinants of Global Environmental Policy. Acad.47, 747–760.</w:t>
      </w:r>
    </w:p>
    <w:p w14:paraId="6F1792E5" w14:textId="77777777" w:rsidR="00E1583B" w:rsidRPr="00D12F38" w:rsidRDefault="00E1583B" w:rsidP="00E1583B">
      <w:pPr>
        <w:rPr>
          <w:rFonts w:ascii="Times New Roman" w:hAnsi="Times New Roman" w:cs="Times New Roman"/>
          <w:sz w:val="24"/>
          <w:szCs w:val="24"/>
        </w:rPr>
      </w:pPr>
    </w:p>
    <w:p w14:paraId="0F5346CE" w14:textId="07C50AE2" w:rsidR="00E1583B" w:rsidRPr="00D12F38" w:rsidRDefault="00E1583B" w:rsidP="00E1583B">
      <w:pPr>
        <w:rPr>
          <w:rFonts w:ascii="Times New Roman" w:hAnsi="Times New Roman" w:cs="Times New Roman"/>
          <w:sz w:val="24"/>
          <w:szCs w:val="24"/>
        </w:rPr>
      </w:pPr>
      <w:r w:rsidRPr="00D12F38">
        <w:rPr>
          <w:rFonts w:ascii="Times New Roman" w:hAnsi="Times New Roman" w:cs="Times New Roman"/>
          <w:sz w:val="24"/>
          <w:szCs w:val="24"/>
        </w:rPr>
        <w:t xml:space="preserve">Attig, N.; Boubakri, N.; El </w:t>
      </w:r>
      <w:r w:rsidRPr="00D12F38">
        <w:rPr>
          <w:rFonts w:ascii="Times New Roman" w:hAnsi="Times New Roman" w:cs="Times New Roman"/>
          <w:sz w:val="24"/>
          <w:szCs w:val="24"/>
        </w:rPr>
        <w:t>（</w:t>
      </w:r>
      <w:r w:rsidRPr="00D12F38">
        <w:rPr>
          <w:rFonts w:ascii="Times New Roman" w:hAnsi="Times New Roman" w:cs="Times New Roman"/>
          <w:kern w:val="0"/>
          <w:sz w:val="24"/>
          <w:szCs w:val="24"/>
          <w14:ligatures w14:val="none"/>
        </w:rPr>
        <w:t>2016</w:t>
      </w:r>
      <w:r w:rsidRPr="00D12F38">
        <w:rPr>
          <w:rFonts w:ascii="Times New Roman" w:hAnsi="Times New Roman" w:cs="Times New Roman"/>
          <w:kern w:val="0"/>
          <w:sz w:val="24"/>
          <w:szCs w:val="24"/>
          <w14:ligatures w14:val="none"/>
        </w:rPr>
        <w:t>）</w:t>
      </w:r>
      <w:r w:rsidRPr="00D12F38">
        <w:rPr>
          <w:rFonts w:ascii="Times New Roman" w:hAnsi="Times New Roman" w:cs="Times New Roman"/>
          <w:kern w:val="0"/>
          <w:sz w:val="24"/>
          <w:szCs w:val="24"/>
          <w14:ligatures w14:val="none"/>
        </w:rPr>
        <w:t>,</w:t>
      </w:r>
      <w:r w:rsidRPr="00D12F38">
        <w:rPr>
          <w:rFonts w:ascii="Times New Roman" w:hAnsi="Times New Roman" w:cs="Times New Roman"/>
          <w:sz w:val="24"/>
          <w:szCs w:val="24"/>
        </w:rPr>
        <w:t xml:space="preserve"> Ghoul, S.; Guedhami, O. Firm Internationalization and Corporate Social Responsibility.</w:t>
      </w:r>
      <w:r w:rsidRPr="00220078">
        <w:rPr>
          <w:rFonts w:ascii="Times New Roman" w:hAnsi="Times New Roman" w:cs="Times New Roman"/>
          <w:i/>
          <w:iCs/>
          <w:sz w:val="24"/>
          <w:szCs w:val="24"/>
        </w:rPr>
        <w:t xml:space="preserve"> J. Bus. Ethics</w:t>
      </w:r>
      <w:r w:rsidRPr="00D12F38">
        <w:rPr>
          <w:rFonts w:ascii="Times New Roman" w:hAnsi="Times New Roman" w:cs="Times New Roman"/>
          <w:sz w:val="24"/>
          <w:szCs w:val="24"/>
        </w:rPr>
        <w:t xml:space="preserve">134, 171–197. </w:t>
      </w:r>
    </w:p>
    <w:p w14:paraId="77F89E42" w14:textId="77777777" w:rsidR="0067027F" w:rsidRPr="00D12F38" w:rsidRDefault="0067027F" w:rsidP="00E1583B">
      <w:pPr>
        <w:rPr>
          <w:rFonts w:ascii="Times New Roman" w:hAnsi="Times New Roman" w:cs="Times New Roman"/>
          <w:sz w:val="24"/>
          <w:szCs w:val="24"/>
        </w:rPr>
      </w:pPr>
    </w:p>
    <w:p w14:paraId="7560D9D2" w14:textId="77777777" w:rsidR="0067027F" w:rsidRPr="00D12F38" w:rsidRDefault="0067027F" w:rsidP="0067027F">
      <w:pPr>
        <w:rPr>
          <w:rFonts w:ascii="Times New Roman" w:hAnsi="Times New Roman" w:cs="Times New Roman"/>
          <w:sz w:val="24"/>
          <w:szCs w:val="24"/>
        </w:rPr>
      </w:pPr>
      <w:bookmarkStart w:id="38" w:name="OLE_LINK5"/>
      <w:r w:rsidRPr="00D12F38">
        <w:rPr>
          <w:rFonts w:ascii="Times New Roman" w:hAnsi="Times New Roman" w:cs="Times New Roman"/>
          <w:sz w:val="24"/>
          <w:szCs w:val="24"/>
        </w:rPr>
        <w:t>Awashreh</w:t>
      </w:r>
      <w:bookmarkEnd w:id="38"/>
      <w:r w:rsidRPr="00D12F38">
        <w:rPr>
          <w:rFonts w:ascii="Times New Roman" w:hAnsi="Times New Roman" w:cs="Times New Roman"/>
          <w:sz w:val="24"/>
          <w:szCs w:val="24"/>
        </w:rPr>
        <w:t xml:space="preserve">, R., 2025. Private Universities in Oman: A Debate Between Human Development Progress and Weaknesses in Educational Quality. </w:t>
      </w:r>
      <w:r w:rsidRPr="00220078">
        <w:rPr>
          <w:rFonts w:ascii="Times New Roman" w:hAnsi="Times New Roman" w:cs="Times New Roman"/>
          <w:i/>
          <w:iCs/>
          <w:sz w:val="24"/>
          <w:szCs w:val="24"/>
        </w:rPr>
        <w:t xml:space="preserve">Journal of International Education Organizations and Leadership. </w:t>
      </w:r>
      <w:r w:rsidRPr="00D12F38">
        <w:rPr>
          <w:rFonts w:ascii="Times New Roman" w:hAnsi="Times New Roman" w:cs="Times New Roman"/>
          <w:sz w:val="24"/>
          <w:szCs w:val="24"/>
        </w:rPr>
        <w:t>32(1), 1–15. DOI: https://doi.org/10.18848/2329-1656/CGP/v32i01/1-15https://doi.org/10.18848/2329-1656/CGP/v32i01/1-15</w:t>
      </w:r>
    </w:p>
    <w:p w14:paraId="7A1C2CC3" w14:textId="05453962" w:rsidR="0067027F" w:rsidRPr="00D12F38" w:rsidRDefault="0067027F" w:rsidP="0067027F">
      <w:pPr>
        <w:rPr>
          <w:rFonts w:ascii="Times New Roman" w:hAnsi="Times New Roman" w:cs="Times New Roman"/>
          <w:sz w:val="24"/>
          <w:szCs w:val="24"/>
        </w:rPr>
      </w:pPr>
      <w:r w:rsidRPr="00D12F38">
        <w:rPr>
          <w:rFonts w:ascii="Times New Roman" w:hAnsi="Times New Roman" w:cs="Times New Roman"/>
          <w:sz w:val="24"/>
          <w:szCs w:val="24"/>
        </w:rPr>
        <w:cr/>
        <w:t xml:space="preserve"> </w:t>
      </w:r>
      <w:bookmarkStart w:id="39" w:name="OLE_LINK6"/>
      <w:r w:rsidRPr="00D12F38">
        <w:rPr>
          <w:rFonts w:ascii="Times New Roman" w:hAnsi="Times New Roman" w:cs="Times New Roman"/>
          <w:sz w:val="24"/>
          <w:szCs w:val="24"/>
        </w:rPr>
        <w:t>Eden, C.A., Chisom, O.N., Adeniyi, I.S., 2024.</w:t>
      </w:r>
      <w:bookmarkEnd w:id="39"/>
      <w:r w:rsidRPr="00D12F38">
        <w:rPr>
          <w:rFonts w:ascii="Times New Roman" w:hAnsi="Times New Roman" w:cs="Times New Roman"/>
          <w:sz w:val="24"/>
          <w:szCs w:val="24"/>
        </w:rPr>
        <w:t xml:space="preserve"> Cultural Competence in Education: Strategies for Promoting Inclusivity and Awareness of Diversity. International </w:t>
      </w:r>
      <w:r w:rsidRPr="00220078">
        <w:rPr>
          <w:rFonts w:ascii="Times New Roman" w:hAnsi="Times New Roman" w:cs="Times New Roman"/>
          <w:i/>
          <w:iCs/>
          <w:sz w:val="24"/>
          <w:szCs w:val="24"/>
        </w:rPr>
        <w:t>Journal of Applied Social Sciences.</w:t>
      </w:r>
      <w:r w:rsidRPr="00D12F38">
        <w:rPr>
          <w:rFonts w:ascii="Times New Roman" w:hAnsi="Times New Roman" w:cs="Times New Roman"/>
          <w:sz w:val="24"/>
          <w:szCs w:val="24"/>
        </w:rPr>
        <w:t xml:space="preserve"> 6(3), 383–392. DOI: </w:t>
      </w:r>
      <w:hyperlink r:id="rId11" w:history="1">
        <w:r w:rsidRPr="00D12F38">
          <w:rPr>
            <w:rStyle w:val="af2"/>
            <w:rFonts w:ascii="Times New Roman" w:hAnsi="Times New Roman" w:cs="Times New Roman"/>
            <w:sz w:val="24"/>
            <w:szCs w:val="24"/>
          </w:rPr>
          <w:t>https://doi.org/10.51594/ijarss.v6i3.895https://doi.org/10.51594/ijarss.v6i3.895</w:t>
        </w:r>
      </w:hyperlink>
    </w:p>
    <w:p w14:paraId="4AAFE426" w14:textId="77777777" w:rsidR="0067027F" w:rsidRPr="00D12F38" w:rsidRDefault="0067027F" w:rsidP="0067027F">
      <w:pPr>
        <w:rPr>
          <w:rFonts w:ascii="Times New Roman" w:hAnsi="Times New Roman" w:cs="Times New Roman"/>
          <w:sz w:val="24"/>
          <w:szCs w:val="24"/>
        </w:rPr>
      </w:pPr>
    </w:p>
    <w:p w14:paraId="1BCA2DE8" w14:textId="77CAB225" w:rsidR="0067027F" w:rsidRPr="00D12F38" w:rsidRDefault="0067027F" w:rsidP="0067027F">
      <w:pPr>
        <w:rPr>
          <w:rFonts w:ascii="Times New Roman" w:hAnsi="Times New Roman" w:cs="Times New Roman"/>
          <w:sz w:val="24"/>
          <w:szCs w:val="24"/>
        </w:rPr>
      </w:pPr>
      <w:bookmarkStart w:id="40" w:name="OLE_LINK7"/>
      <w:r w:rsidRPr="00D12F38">
        <w:rPr>
          <w:rFonts w:ascii="Times New Roman" w:hAnsi="Times New Roman" w:cs="Times New Roman"/>
          <w:sz w:val="24"/>
          <w:szCs w:val="24"/>
        </w:rPr>
        <w:t>Núñez-Acosta, A., Sánchez-García, J.Y., 2024</w:t>
      </w:r>
      <w:bookmarkEnd w:id="40"/>
      <w:r w:rsidRPr="00D12F38">
        <w:rPr>
          <w:rFonts w:ascii="Times New Roman" w:hAnsi="Times New Roman" w:cs="Times New Roman"/>
          <w:sz w:val="24"/>
          <w:szCs w:val="24"/>
        </w:rPr>
        <w:t xml:space="preserve">. The Impact of Private University Leadership on Research Sustainability Performance: A System Dynamics Approach. Volume 14, Issue 8 of Administrative Sciences, p. 166. DOI: </w:t>
      </w:r>
      <w:hyperlink r:id="rId12" w:history="1">
        <w:r w:rsidR="00431A5C" w:rsidRPr="00D12F38">
          <w:rPr>
            <w:rStyle w:val="af2"/>
            <w:rFonts w:ascii="Times New Roman" w:hAnsi="Times New Roman" w:cs="Times New Roman"/>
            <w:sz w:val="24"/>
            <w:szCs w:val="24"/>
          </w:rPr>
          <w:t>https://doi.org/10.3390/admsci1408016</w:t>
        </w:r>
      </w:hyperlink>
    </w:p>
    <w:p w14:paraId="4897BD14" w14:textId="77777777" w:rsidR="00431A5C" w:rsidRPr="00D12F38" w:rsidRDefault="00431A5C" w:rsidP="0067027F">
      <w:pPr>
        <w:rPr>
          <w:rFonts w:ascii="Times New Roman" w:hAnsi="Times New Roman" w:cs="Times New Roman"/>
          <w:sz w:val="24"/>
          <w:szCs w:val="24"/>
        </w:rPr>
      </w:pPr>
    </w:p>
    <w:p w14:paraId="04D6285E" w14:textId="47408182" w:rsidR="00431A5C" w:rsidRPr="00D12F38" w:rsidRDefault="00431A5C" w:rsidP="0067027F">
      <w:pPr>
        <w:rPr>
          <w:rFonts w:ascii="Times New Roman" w:hAnsi="Times New Roman" w:cs="Times New Roman"/>
          <w:sz w:val="24"/>
          <w:szCs w:val="24"/>
        </w:rPr>
      </w:pPr>
      <w:r w:rsidRPr="00D12F38">
        <w:rPr>
          <w:rFonts w:ascii="Times New Roman" w:hAnsi="Times New Roman" w:cs="Times New Roman"/>
          <w:sz w:val="24"/>
          <w:szCs w:val="24"/>
        </w:rPr>
        <w:t xml:space="preserve">Adarbah, H.Y., Jajarmi, H., 2022. Active learning for Omani at-risk students through educational technology: A case of content-based language instruction. </w:t>
      </w:r>
      <w:r w:rsidRPr="00220078">
        <w:rPr>
          <w:rFonts w:ascii="Times New Roman" w:hAnsi="Times New Roman" w:cs="Times New Roman"/>
          <w:i/>
          <w:iCs/>
          <w:sz w:val="24"/>
          <w:szCs w:val="24"/>
        </w:rPr>
        <w:t>International Journal of Social, Cultural, and Language Studies.</w:t>
      </w:r>
      <w:r w:rsidRPr="00D12F38">
        <w:rPr>
          <w:rFonts w:ascii="Times New Roman" w:hAnsi="Times New Roman" w:cs="Times New Roman"/>
          <w:sz w:val="24"/>
          <w:szCs w:val="24"/>
        </w:rPr>
        <w:t xml:space="preserve"> 10(2), 82–91</w:t>
      </w:r>
    </w:p>
    <w:p w14:paraId="69F65000" w14:textId="77777777" w:rsidR="00431A5C" w:rsidRPr="00D12F38" w:rsidRDefault="00431A5C" w:rsidP="0067027F">
      <w:pPr>
        <w:rPr>
          <w:rFonts w:ascii="Times New Roman" w:hAnsi="Times New Roman" w:cs="Times New Roman"/>
          <w:sz w:val="24"/>
          <w:szCs w:val="24"/>
        </w:rPr>
      </w:pPr>
    </w:p>
    <w:p w14:paraId="7DF9812B" w14:textId="29280C57" w:rsidR="00C25D39" w:rsidRDefault="00C25D39" w:rsidP="0067027F">
      <w:pPr>
        <w:rPr>
          <w:rFonts w:ascii="Times New Roman" w:hAnsi="Times New Roman" w:cs="Times New Roman"/>
          <w:sz w:val="24"/>
          <w:szCs w:val="24"/>
        </w:rPr>
      </w:pPr>
      <w:r w:rsidRPr="00D12F38">
        <w:rPr>
          <w:rFonts w:ascii="Times New Roman" w:hAnsi="Times New Roman" w:cs="Times New Roman"/>
          <w:sz w:val="24"/>
          <w:szCs w:val="24"/>
        </w:rPr>
        <w:t xml:space="preserve">Ryan, R.M., Deci, E.L., 2020. Intrinsic and Extrinsic Motivation from the Perspective of Self-Determination Theory: Definitions, Theories, Practices, and Future Directions. </w:t>
      </w:r>
      <w:r w:rsidRPr="00220078">
        <w:rPr>
          <w:rFonts w:ascii="Times New Roman" w:hAnsi="Times New Roman" w:cs="Times New Roman"/>
          <w:i/>
          <w:iCs/>
          <w:sz w:val="24"/>
          <w:szCs w:val="24"/>
        </w:rPr>
        <w:t>Contemporary Educational Psychology,</w:t>
      </w:r>
      <w:r w:rsidRPr="00D12F38">
        <w:rPr>
          <w:rFonts w:ascii="Times New Roman" w:hAnsi="Times New Roman" w:cs="Times New Roman"/>
          <w:sz w:val="24"/>
          <w:szCs w:val="24"/>
        </w:rPr>
        <w:t xml:space="preserve"> 62, 101860. DOI: </w:t>
      </w:r>
      <w:hyperlink r:id="rId13" w:history="1">
        <w:r w:rsidR="00DA7D3E" w:rsidRPr="0067593C">
          <w:rPr>
            <w:rStyle w:val="af2"/>
            <w:rFonts w:ascii="Times New Roman" w:hAnsi="Times New Roman" w:cs="Times New Roman" w:hint="eastAsia"/>
            <w:sz w:val="24"/>
            <w:szCs w:val="24"/>
          </w:rPr>
          <w:t>https://doi.org/10.1016/j.cedpsych.2020.101860</w:t>
        </w:r>
      </w:hyperlink>
    </w:p>
    <w:p w14:paraId="2567F67F" w14:textId="77777777" w:rsidR="00DA7D3E" w:rsidRDefault="00DA7D3E" w:rsidP="0067027F">
      <w:pPr>
        <w:rPr>
          <w:rFonts w:ascii="Times New Roman" w:hAnsi="Times New Roman" w:cs="Times New Roman"/>
          <w:sz w:val="24"/>
          <w:szCs w:val="24"/>
        </w:rPr>
      </w:pPr>
    </w:p>
    <w:p w14:paraId="4D22BC79" w14:textId="77777777" w:rsidR="00DA7D3E" w:rsidRPr="00DA7D3E" w:rsidRDefault="00DA7D3E" w:rsidP="00DA7D3E">
      <w:pPr>
        <w:rPr>
          <w:rFonts w:ascii="Times New Roman" w:hAnsi="Times New Roman" w:cs="Times New Roman"/>
          <w:sz w:val="24"/>
          <w:szCs w:val="24"/>
        </w:rPr>
      </w:pPr>
      <w:r w:rsidRPr="00DA7D3E">
        <w:rPr>
          <w:rFonts w:ascii="Times New Roman" w:hAnsi="Times New Roman" w:cs="Times New Roman" w:hint="eastAsia"/>
          <w:sz w:val="24"/>
          <w:szCs w:val="24"/>
        </w:rPr>
        <w:t xml:space="preserve">Ghanbari, H., Rezaei, A., &amp; Torabi, G. (2024). Opportunities and Threats of the </w:t>
      </w:r>
    </w:p>
    <w:p w14:paraId="0666C09D" w14:textId="52FC8856" w:rsidR="00DA7D3E" w:rsidRDefault="00DA7D3E" w:rsidP="00DA7D3E">
      <w:pPr>
        <w:rPr>
          <w:rFonts w:ascii="Times New Roman" w:hAnsi="Times New Roman" w:cs="Times New Roman"/>
          <w:sz w:val="24"/>
          <w:szCs w:val="24"/>
        </w:rPr>
      </w:pPr>
      <w:r w:rsidRPr="00DA7D3E">
        <w:rPr>
          <w:rFonts w:ascii="Times New Roman" w:hAnsi="Times New Roman" w:cs="Times New Roman" w:hint="eastAsia"/>
          <w:sz w:val="24"/>
          <w:szCs w:val="24"/>
        </w:rPr>
        <w:t xml:space="preserve">Islamic Republic of Iran in the Kurdistan Region of Iraq due to the Presence of Israel. </w:t>
      </w:r>
      <w:r w:rsidRPr="00220078">
        <w:rPr>
          <w:rFonts w:ascii="Times New Roman" w:hAnsi="Times New Roman" w:cs="Times New Roman" w:hint="eastAsia"/>
          <w:i/>
          <w:iCs/>
          <w:sz w:val="24"/>
          <w:szCs w:val="24"/>
        </w:rPr>
        <w:t>World Politics</w:t>
      </w:r>
      <w:r w:rsidRPr="00DA7D3E">
        <w:rPr>
          <w:rFonts w:ascii="Times New Roman" w:hAnsi="Times New Roman" w:cs="Times New Roman" w:hint="eastAsia"/>
          <w:sz w:val="24"/>
          <w:szCs w:val="24"/>
        </w:rPr>
        <w:t>, 12(4), 39-59</w:t>
      </w:r>
    </w:p>
    <w:p w14:paraId="19DF346A" w14:textId="77777777" w:rsidR="00D937E4" w:rsidRDefault="00D937E4" w:rsidP="00DA7D3E">
      <w:pPr>
        <w:rPr>
          <w:rFonts w:ascii="Times New Roman" w:hAnsi="Times New Roman" w:cs="Times New Roman"/>
          <w:sz w:val="24"/>
          <w:szCs w:val="24"/>
        </w:rPr>
      </w:pPr>
    </w:p>
    <w:p w14:paraId="1A563334" w14:textId="24558F8A" w:rsidR="00D937E4" w:rsidRPr="00D937E4" w:rsidRDefault="00D937E4" w:rsidP="00DA7D3E">
      <w:pPr>
        <w:rPr>
          <w:rFonts w:ascii="Times New Roman" w:hAnsi="Times New Roman" w:cs="Times New Roman"/>
          <w:sz w:val="24"/>
          <w:szCs w:val="24"/>
        </w:rPr>
      </w:pPr>
      <w:bookmarkStart w:id="41" w:name="OLE_LINK51"/>
      <w:proofErr w:type="gramStart"/>
      <w:r w:rsidRPr="00D937E4">
        <w:rPr>
          <w:rFonts w:ascii="Times New Roman" w:hAnsi="Times New Roman" w:cs="Times New Roman"/>
          <w:sz w:val="24"/>
          <w:szCs w:val="24"/>
          <w:shd w:val="clear" w:color="auto" w:fill="FFFFFF"/>
        </w:rPr>
        <w:t>Arvind,  Kumar,  and,  Sachin,  Kumar</w:t>
      </w:r>
      <w:proofErr w:type="gramEnd"/>
      <w:r w:rsidRPr="00D937E4">
        <w:rPr>
          <w:rFonts w:ascii="Times New Roman" w:hAnsi="Times New Roman" w:cs="Times New Roman"/>
          <w:sz w:val="24"/>
          <w:szCs w:val="24"/>
          <w:shd w:val="clear" w:color="auto" w:fill="FFFFFF"/>
        </w:rPr>
        <w:t xml:space="preserve">.  (2024).  </w:t>
      </w:r>
      <w:proofErr w:type="gramStart"/>
      <w:r w:rsidRPr="00220078">
        <w:rPr>
          <w:rFonts w:ascii="Times New Roman" w:hAnsi="Times New Roman" w:cs="Times New Roman"/>
          <w:i/>
          <w:iCs/>
          <w:sz w:val="24"/>
          <w:szCs w:val="24"/>
          <w:shd w:val="clear" w:color="auto" w:fill="FFFFFF"/>
        </w:rPr>
        <w:t>Contribution  of</w:t>
      </w:r>
      <w:proofErr w:type="gramEnd"/>
      <w:r w:rsidRPr="00220078">
        <w:rPr>
          <w:rFonts w:ascii="Times New Roman" w:hAnsi="Times New Roman" w:cs="Times New Roman"/>
          <w:i/>
          <w:iCs/>
          <w:sz w:val="24"/>
          <w:szCs w:val="24"/>
          <w:shd w:val="clear" w:color="auto" w:fill="FFFFFF"/>
        </w:rPr>
        <w:t xml:space="preserve">  </w:t>
      </w:r>
      <w:proofErr w:type="gramStart"/>
      <w:r w:rsidRPr="00220078">
        <w:rPr>
          <w:rFonts w:ascii="Times New Roman" w:hAnsi="Times New Roman" w:cs="Times New Roman"/>
          <w:i/>
          <w:iCs/>
          <w:sz w:val="24"/>
          <w:szCs w:val="24"/>
          <w:shd w:val="clear" w:color="auto" w:fill="FFFFFF"/>
        </w:rPr>
        <w:t>the  Declaration</w:t>
      </w:r>
      <w:proofErr w:type="gramEnd"/>
      <w:r w:rsidRPr="00220078">
        <w:rPr>
          <w:rFonts w:ascii="Times New Roman" w:hAnsi="Times New Roman" w:cs="Times New Roman"/>
          <w:i/>
          <w:iCs/>
          <w:sz w:val="24"/>
          <w:szCs w:val="24"/>
          <w:shd w:val="clear" w:color="auto" w:fill="FFFFFF"/>
        </w:rPr>
        <w:t xml:space="preserve">  </w:t>
      </w:r>
      <w:proofErr w:type="gramStart"/>
      <w:r w:rsidRPr="00220078">
        <w:rPr>
          <w:rFonts w:ascii="Times New Roman" w:hAnsi="Times New Roman" w:cs="Times New Roman"/>
          <w:i/>
          <w:iCs/>
          <w:sz w:val="24"/>
          <w:szCs w:val="24"/>
          <w:shd w:val="clear" w:color="auto" w:fill="FFFFFF"/>
        </w:rPr>
        <w:t>of  Universal</w:t>
      </w:r>
      <w:proofErr w:type="gramEnd"/>
      <w:r w:rsidRPr="00220078">
        <w:rPr>
          <w:rFonts w:ascii="Times New Roman" w:hAnsi="Times New Roman" w:cs="Times New Roman"/>
          <w:i/>
          <w:iCs/>
          <w:sz w:val="24"/>
          <w:szCs w:val="24"/>
          <w:shd w:val="clear" w:color="auto" w:fill="FFFFFF"/>
        </w:rPr>
        <w:t xml:space="preserve"> </w:t>
      </w:r>
      <w:proofErr w:type="gramStart"/>
      <w:r w:rsidRPr="00220078">
        <w:rPr>
          <w:rFonts w:ascii="Times New Roman" w:hAnsi="Times New Roman" w:cs="Times New Roman"/>
          <w:i/>
          <w:iCs/>
          <w:sz w:val="24"/>
          <w:szCs w:val="24"/>
          <w:shd w:val="clear" w:color="auto" w:fill="FFFFFF"/>
        </w:rPr>
        <w:t>Human  Rights</w:t>
      </w:r>
      <w:proofErr w:type="gramEnd"/>
      <w:r w:rsidRPr="00220078">
        <w:rPr>
          <w:rFonts w:ascii="Times New Roman" w:hAnsi="Times New Roman" w:cs="Times New Roman"/>
          <w:i/>
          <w:iCs/>
          <w:sz w:val="24"/>
          <w:szCs w:val="24"/>
          <w:shd w:val="clear" w:color="auto" w:fill="FFFFFF"/>
        </w:rPr>
        <w:t xml:space="preserve">  </w:t>
      </w:r>
      <w:proofErr w:type="gramStart"/>
      <w:r w:rsidRPr="00220078">
        <w:rPr>
          <w:rFonts w:ascii="Times New Roman" w:hAnsi="Times New Roman" w:cs="Times New Roman"/>
          <w:i/>
          <w:iCs/>
          <w:sz w:val="24"/>
          <w:szCs w:val="24"/>
          <w:shd w:val="clear" w:color="auto" w:fill="FFFFFF"/>
        </w:rPr>
        <w:t>in  the</w:t>
      </w:r>
      <w:proofErr w:type="gramEnd"/>
      <w:r w:rsidRPr="00220078">
        <w:rPr>
          <w:rFonts w:ascii="Times New Roman" w:hAnsi="Times New Roman" w:cs="Times New Roman"/>
          <w:i/>
          <w:iCs/>
          <w:sz w:val="24"/>
          <w:szCs w:val="24"/>
          <w:shd w:val="clear" w:color="auto" w:fill="FFFFFF"/>
        </w:rPr>
        <w:t xml:space="preserve"> </w:t>
      </w:r>
      <w:proofErr w:type="gramStart"/>
      <w:r w:rsidRPr="00220078">
        <w:rPr>
          <w:rFonts w:ascii="Times New Roman" w:hAnsi="Times New Roman" w:cs="Times New Roman"/>
          <w:i/>
          <w:iCs/>
          <w:sz w:val="24"/>
          <w:szCs w:val="24"/>
          <w:shd w:val="clear" w:color="auto" w:fill="FFFFFF"/>
        </w:rPr>
        <w:t>Empowerment  of</w:t>
      </w:r>
      <w:proofErr w:type="gramEnd"/>
      <w:r w:rsidRPr="00220078">
        <w:rPr>
          <w:rFonts w:ascii="Times New Roman" w:hAnsi="Times New Roman" w:cs="Times New Roman"/>
          <w:i/>
          <w:iCs/>
          <w:sz w:val="24"/>
          <w:szCs w:val="24"/>
          <w:shd w:val="clear" w:color="auto" w:fill="FFFFFF"/>
        </w:rPr>
        <w:t xml:space="preserve">  </w:t>
      </w:r>
      <w:proofErr w:type="gramStart"/>
      <w:r w:rsidRPr="00220078">
        <w:rPr>
          <w:rFonts w:ascii="Times New Roman" w:hAnsi="Times New Roman" w:cs="Times New Roman"/>
          <w:i/>
          <w:iCs/>
          <w:sz w:val="24"/>
          <w:szCs w:val="24"/>
          <w:shd w:val="clear" w:color="auto" w:fill="FFFFFF"/>
        </w:rPr>
        <w:t>Human  rights</w:t>
      </w:r>
      <w:proofErr w:type="gramEnd"/>
      <w:r w:rsidRPr="00220078">
        <w:rPr>
          <w:rFonts w:ascii="Times New Roman" w:hAnsi="Times New Roman" w:cs="Times New Roman"/>
          <w:i/>
          <w:iCs/>
          <w:sz w:val="24"/>
          <w:szCs w:val="24"/>
          <w:shd w:val="clear" w:color="auto" w:fill="FFFFFF"/>
        </w:rPr>
        <w:t xml:space="preserve">:  </w:t>
      </w:r>
      <w:proofErr w:type="gramStart"/>
      <w:r w:rsidRPr="00220078">
        <w:rPr>
          <w:rFonts w:ascii="Times New Roman" w:hAnsi="Times New Roman" w:cs="Times New Roman"/>
          <w:i/>
          <w:iCs/>
          <w:sz w:val="24"/>
          <w:szCs w:val="24"/>
          <w:shd w:val="clear" w:color="auto" w:fill="FFFFFF"/>
        </w:rPr>
        <w:t>A  legal</w:t>
      </w:r>
      <w:proofErr w:type="gramEnd"/>
      <w:r w:rsidRPr="00220078">
        <w:rPr>
          <w:rFonts w:ascii="Times New Roman" w:hAnsi="Times New Roman" w:cs="Times New Roman"/>
          <w:i/>
          <w:iCs/>
          <w:sz w:val="24"/>
          <w:szCs w:val="24"/>
          <w:shd w:val="clear" w:color="auto" w:fill="FFFFFF"/>
        </w:rPr>
        <w:t xml:space="preserve"> </w:t>
      </w:r>
      <w:r w:rsidRPr="00D937E4">
        <w:rPr>
          <w:rFonts w:ascii="Times New Roman" w:hAnsi="Times New Roman" w:cs="Times New Roman"/>
          <w:sz w:val="24"/>
          <w:szCs w:val="24"/>
          <w:shd w:val="clear" w:color="auto" w:fill="FFFFFF"/>
        </w:rPr>
        <w:t xml:space="preserve"> study.  Multidisciplinary </w:t>
      </w:r>
      <w:proofErr w:type="gramStart"/>
      <w:r w:rsidRPr="00D937E4">
        <w:rPr>
          <w:rFonts w:ascii="Times New Roman" w:hAnsi="Times New Roman" w:cs="Times New Roman"/>
          <w:sz w:val="24"/>
          <w:szCs w:val="24"/>
          <w:shd w:val="clear" w:color="auto" w:fill="FFFFFF"/>
        </w:rPr>
        <w:t>Journal,  doi</w:t>
      </w:r>
      <w:proofErr w:type="gramEnd"/>
      <w:r w:rsidRPr="00D937E4">
        <w:rPr>
          <w:rFonts w:ascii="Times New Roman" w:hAnsi="Times New Roman" w:cs="Times New Roman"/>
          <w:sz w:val="24"/>
          <w:szCs w:val="24"/>
          <w:shd w:val="clear" w:color="auto" w:fill="FFFFFF"/>
        </w:rPr>
        <w:t>: 10.57067/</w:t>
      </w:r>
      <w:proofErr w:type="gramStart"/>
      <w:r w:rsidRPr="00D937E4">
        <w:rPr>
          <w:rFonts w:ascii="Times New Roman" w:hAnsi="Times New Roman" w:cs="Times New Roman"/>
          <w:sz w:val="24"/>
          <w:szCs w:val="24"/>
          <w:shd w:val="clear" w:color="auto" w:fill="FFFFFF"/>
        </w:rPr>
        <w:t>kr.v</w:t>
      </w:r>
      <w:proofErr w:type="gramEnd"/>
      <w:r w:rsidRPr="00D937E4">
        <w:rPr>
          <w:rFonts w:ascii="Times New Roman" w:hAnsi="Times New Roman" w:cs="Times New Roman"/>
          <w:sz w:val="24"/>
          <w:szCs w:val="24"/>
          <w:shd w:val="clear" w:color="auto" w:fill="FFFFFF"/>
        </w:rPr>
        <w:t>2i1.200</w:t>
      </w:r>
      <w:bookmarkEnd w:id="41"/>
    </w:p>
    <w:sectPr w:rsidR="00D937E4" w:rsidRPr="00D937E4">
      <w:footerReference w:type="default" r:id="rId1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47C70C" w14:textId="77777777" w:rsidR="00967076" w:rsidRDefault="00967076" w:rsidP="007E14B0">
      <w:pPr>
        <w:rPr>
          <w:rFonts w:hint="eastAsia"/>
        </w:rPr>
      </w:pPr>
      <w:r>
        <w:separator/>
      </w:r>
    </w:p>
  </w:endnote>
  <w:endnote w:type="continuationSeparator" w:id="0">
    <w:p w14:paraId="1A3FC3FA" w14:textId="77777777" w:rsidR="00967076" w:rsidRDefault="00967076" w:rsidP="007E14B0">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9330001"/>
      <w:docPartObj>
        <w:docPartGallery w:val="Page Numbers (Bottom of Page)"/>
        <w:docPartUnique/>
      </w:docPartObj>
    </w:sdtPr>
    <w:sdtContent>
      <w:p w14:paraId="062113DD" w14:textId="32AFCD54" w:rsidR="007E14B0" w:rsidRDefault="007E14B0">
        <w:pPr>
          <w:pStyle w:val="af0"/>
          <w:jc w:val="center"/>
          <w:rPr>
            <w:rFonts w:hint="eastAsia"/>
          </w:rPr>
        </w:pPr>
        <w:r>
          <w:fldChar w:fldCharType="begin"/>
        </w:r>
        <w:r>
          <w:instrText>PAGE   \* MERGEFORMAT</w:instrText>
        </w:r>
        <w:r>
          <w:fldChar w:fldCharType="separate"/>
        </w:r>
        <w:r>
          <w:rPr>
            <w:lang w:val="zh-CN"/>
          </w:rPr>
          <w:t>2</w:t>
        </w:r>
        <w:r>
          <w:fldChar w:fldCharType="end"/>
        </w:r>
      </w:p>
    </w:sdtContent>
  </w:sdt>
  <w:p w14:paraId="2300FCCF" w14:textId="77777777" w:rsidR="007E14B0" w:rsidRDefault="007E14B0">
    <w:pPr>
      <w:pStyle w:val="af0"/>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93DAEC" w14:textId="77777777" w:rsidR="00967076" w:rsidRDefault="00967076" w:rsidP="007E14B0">
      <w:pPr>
        <w:rPr>
          <w:rFonts w:hint="eastAsia"/>
        </w:rPr>
      </w:pPr>
      <w:r>
        <w:separator/>
      </w:r>
    </w:p>
  </w:footnote>
  <w:footnote w:type="continuationSeparator" w:id="0">
    <w:p w14:paraId="3780649D" w14:textId="77777777" w:rsidR="00967076" w:rsidRDefault="00967076" w:rsidP="007E14B0">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E437DF"/>
    <w:multiLevelType w:val="hybridMultilevel"/>
    <w:tmpl w:val="3CC22E50"/>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74966DEF"/>
    <w:multiLevelType w:val="multilevel"/>
    <w:tmpl w:val="76ECD072"/>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num w:numId="1" w16cid:durableId="611787985">
    <w:abstractNumId w:val="1"/>
  </w:num>
  <w:num w:numId="2" w16cid:durableId="777063979">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proofState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D33"/>
    <w:rsid w:val="000040F6"/>
    <w:rsid w:val="000063D0"/>
    <w:rsid w:val="000202B6"/>
    <w:rsid w:val="00052A49"/>
    <w:rsid w:val="00066CC0"/>
    <w:rsid w:val="00085FF7"/>
    <w:rsid w:val="000C6701"/>
    <w:rsid w:val="000E570A"/>
    <w:rsid w:val="000F4B64"/>
    <w:rsid w:val="00104C62"/>
    <w:rsid w:val="00113DFF"/>
    <w:rsid w:val="00134D9A"/>
    <w:rsid w:val="00134F66"/>
    <w:rsid w:val="00157795"/>
    <w:rsid w:val="00166725"/>
    <w:rsid w:val="001939BB"/>
    <w:rsid w:val="001964AF"/>
    <w:rsid w:val="001A7CE6"/>
    <w:rsid w:val="001B4963"/>
    <w:rsid w:val="001B7D97"/>
    <w:rsid w:val="001C7D05"/>
    <w:rsid w:val="001D449E"/>
    <w:rsid w:val="001F37ED"/>
    <w:rsid w:val="00220078"/>
    <w:rsid w:val="002634A2"/>
    <w:rsid w:val="002733F2"/>
    <w:rsid w:val="002746BB"/>
    <w:rsid w:val="00296A8E"/>
    <w:rsid w:val="00296C19"/>
    <w:rsid w:val="002A1649"/>
    <w:rsid w:val="002A7C69"/>
    <w:rsid w:val="002B0093"/>
    <w:rsid w:val="002C08F2"/>
    <w:rsid w:val="003265A3"/>
    <w:rsid w:val="0033751A"/>
    <w:rsid w:val="00346B43"/>
    <w:rsid w:val="003478EA"/>
    <w:rsid w:val="003519AB"/>
    <w:rsid w:val="00356D39"/>
    <w:rsid w:val="00357CF4"/>
    <w:rsid w:val="003708EC"/>
    <w:rsid w:val="003713A6"/>
    <w:rsid w:val="00371C01"/>
    <w:rsid w:val="003738CE"/>
    <w:rsid w:val="00375F7F"/>
    <w:rsid w:val="003940FA"/>
    <w:rsid w:val="003974C7"/>
    <w:rsid w:val="003A0AF9"/>
    <w:rsid w:val="003D213B"/>
    <w:rsid w:val="003D6317"/>
    <w:rsid w:val="003E0081"/>
    <w:rsid w:val="003E3A8A"/>
    <w:rsid w:val="003E555F"/>
    <w:rsid w:val="0040027B"/>
    <w:rsid w:val="00404315"/>
    <w:rsid w:val="00421DC3"/>
    <w:rsid w:val="00431A5C"/>
    <w:rsid w:val="00431CBE"/>
    <w:rsid w:val="00457DBB"/>
    <w:rsid w:val="00464C65"/>
    <w:rsid w:val="00467504"/>
    <w:rsid w:val="00477BE2"/>
    <w:rsid w:val="004A3499"/>
    <w:rsid w:val="004C1EEA"/>
    <w:rsid w:val="00504C3D"/>
    <w:rsid w:val="00516149"/>
    <w:rsid w:val="005444FE"/>
    <w:rsid w:val="00566728"/>
    <w:rsid w:val="005768B2"/>
    <w:rsid w:val="005A0303"/>
    <w:rsid w:val="005A2DC0"/>
    <w:rsid w:val="005B09FC"/>
    <w:rsid w:val="005C3F33"/>
    <w:rsid w:val="005C4A34"/>
    <w:rsid w:val="005D75CB"/>
    <w:rsid w:val="005E2C12"/>
    <w:rsid w:val="005E58C9"/>
    <w:rsid w:val="005F34B4"/>
    <w:rsid w:val="00603272"/>
    <w:rsid w:val="00626BFA"/>
    <w:rsid w:val="00635BEB"/>
    <w:rsid w:val="00636B55"/>
    <w:rsid w:val="00643E0D"/>
    <w:rsid w:val="00654D98"/>
    <w:rsid w:val="00666D33"/>
    <w:rsid w:val="0067027F"/>
    <w:rsid w:val="00683508"/>
    <w:rsid w:val="006A48EE"/>
    <w:rsid w:val="007261AA"/>
    <w:rsid w:val="00732580"/>
    <w:rsid w:val="00735AF9"/>
    <w:rsid w:val="00737C33"/>
    <w:rsid w:val="0074141A"/>
    <w:rsid w:val="00763366"/>
    <w:rsid w:val="007667DF"/>
    <w:rsid w:val="00781D32"/>
    <w:rsid w:val="0079696F"/>
    <w:rsid w:val="007A25C4"/>
    <w:rsid w:val="007B2BE5"/>
    <w:rsid w:val="007B4499"/>
    <w:rsid w:val="007E14B0"/>
    <w:rsid w:val="008049D4"/>
    <w:rsid w:val="00826806"/>
    <w:rsid w:val="00844E05"/>
    <w:rsid w:val="00846AFA"/>
    <w:rsid w:val="00863892"/>
    <w:rsid w:val="0087026E"/>
    <w:rsid w:val="00876F73"/>
    <w:rsid w:val="008B1F14"/>
    <w:rsid w:val="008D4C6B"/>
    <w:rsid w:val="008F72D1"/>
    <w:rsid w:val="00901FF4"/>
    <w:rsid w:val="00927ADC"/>
    <w:rsid w:val="0096000F"/>
    <w:rsid w:val="009652E0"/>
    <w:rsid w:val="00967076"/>
    <w:rsid w:val="0097087C"/>
    <w:rsid w:val="0098009D"/>
    <w:rsid w:val="009840EC"/>
    <w:rsid w:val="009922C8"/>
    <w:rsid w:val="0099686D"/>
    <w:rsid w:val="009D61C9"/>
    <w:rsid w:val="009F59CA"/>
    <w:rsid w:val="00A13DCA"/>
    <w:rsid w:val="00A30167"/>
    <w:rsid w:val="00A3535B"/>
    <w:rsid w:val="00A44433"/>
    <w:rsid w:val="00A50D27"/>
    <w:rsid w:val="00A52B2B"/>
    <w:rsid w:val="00A64394"/>
    <w:rsid w:val="00A652CF"/>
    <w:rsid w:val="00A73CA7"/>
    <w:rsid w:val="00A757A1"/>
    <w:rsid w:val="00B03F12"/>
    <w:rsid w:val="00B20459"/>
    <w:rsid w:val="00B26960"/>
    <w:rsid w:val="00B27A2A"/>
    <w:rsid w:val="00B52A96"/>
    <w:rsid w:val="00B56277"/>
    <w:rsid w:val="00B5726F"/>
    <w:rsid w:val="00BD0034"/>
    <w:rsid w:val="00BD37CA"/>
    <w:rsid w:val="00BE1EDA"/>
    <w:rsid w:val="00BF0322"/>
    <w:rsid w:val="00BF2BEF"/>
    <w:rsid w:val="00BF62AB"/>
    <w:rsid w:val="00C25D39"/>
    <w:rsid w:val="00C477C8"/>
    <w:rsid w:val="00C818B7"/>
    <w:rsid w:val="00C8240F"/>
    <w:rsid w:val="00CA6E05"/>
    <w:rsid w:val="00CD28E4"/>
    <w:rsid w:val="00CE4289"/>
    <w:rsid w:val="00D02D8F"/>
    <w:rsid w:val="00D0653B"/>
    <w:rsid w:val="00D12F38"/>
    <w:rsid w:val="00D31211"/>
    <w:rsid w:val="00D60DDA"/>
    <w:rsid w:val="00D61623"/>
    <w:rsid w:val="00D639F8"/>
    <w:rsid w:val="00D77E35"/>
    <w:rsid w:val="00D90AEE"/>
    <w:rsid w:val="00D911AC"/>
    <w:rsid w:val="00D937E4"/>
    <w:rsid w:val="00DA7D3E"/>
    <w:rsid w:val="00DD1366"/>
    <w:rsid w:val="00DE063C"/>
    <w:rsid w:val="00DF6E99"/>
    <w:rsid w:val="00E14568"/>
    <w:rsid w:val="00E1583B"/>
    <w:rsid w:val="00E168C5"/>
    <w:rsid w:val="00E3221A"/>
    <w:rsid w:val="00E51B66"/>
    <w:rsid w:val="00E55FB4"/>
    <w:rsid w:val="00E573FC"/>
    <w:rsid w:val="00E610D1"/>
    <w:rsid w:val="00E71C6F"/>
    <w:rsid w:val="00E7568A"/>
    <w:rsid w:val="00E8390C"/>
    <w:rsid w:val="00E87585"/>
    <w:rsid w:val="00EC7796"/>
    <w:rsid w:val="00ED0722"/>
    <w:rsid w:val="00ED1B1E"/>
    <w:rsid w:val="00ED2602"/>
    <w:rsid w:val="00ED4E21"/>
    <w:rsid w:val="00EF0F4A"/>
    <w:rsid w:val="00F01CB3"/>
    <w:rsid w:val="00F11EF3"/>
    <w:rsid w:val="00F12976"/>
    <w:rsid w:val="00F16FC3"/>
    <w:rsid w:val="00F217E3"/>
    <w:rsid w:val="00F36ACD"/>
    <w:rsid w:val="00F42F53"/>
    <w:rsid w:val="00F4597E"/>
    <w:rsid w:val="00F50CBD"/>
    <w:rsid w:val="00F66512"/>
    <w:rsid w:val="00F750E4"/>
    <w:rsid w:val="00FA7B84"/>
    <w:rsid w:val="00FB1B52"/>
    <w:rsid w:val="00FC1E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06270F"/>
  <w15:chartTrackingRefBased/>
  <w15:docId w15:val="{C47ADD59-984E-40E4-B508-B3AEBF8D3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202B6"/>
    <w:pPr>
      <w:widowControl w:val="0"/>
      <w:jc w:val="both"/>
    </w:pPr>
  </w:style>
  <w:style w:type="paragraph" w:styleId="1">
    <w:name w:val="heading 1"/>
    <w:basedOn w:val="a"/>
    <w:next w:val="a"/>
    <w:link w:val="10"/>
    <w:uiPriority w:val="9"/>
    <w:qFormat/>
    <w:rsid w:val="00666D33"/>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unhideWhenUsed/>
    <w:qFormat/>
    <w:rsid w:val="00666D33"/>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666D33"/>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666D33"/>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666D33"/>
    <w:pPr>
      <w:keepNext/>
      <w:keepLines/>
      <w:spacing w:before="80" w:after="40"/>
      <w:outlineLvl w:val="4"/>
    </w:pPr>
    <w:rPr>
      <w:rFonts w:cstheme="majorBidi"/>
      <w:color w:val="2F5496" w:themeColor="accent1" w:themeShade="BF"/>
      <w:sz w:val="24"/>
      <w:szCs w:val="24"/>
    </w:rPr>
  </w:style>
  <w:style w:type="paragraph" w:styleId="6">
    <w:name w:val="heading 6"/>
    <w:basedOn w:val="a"/>
    <w:next w:val="a"/>
    <w:link w:val="60"/>
    <w:uiPriority w:val="9"/>
    <w:semiHidden/>
    <w:unhideWhenUsed/>
    <w:qFormat/>
    <w:rsid w:val="00666D33"/>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666D33"/>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666D33"/>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666D33"/>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666D33"/>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rsid w:val="00666D33"/>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666D33"/>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666D33"/>
    <w:rPr>
      <w:rFonts w:cstheme="majorBidi"/>
      <w:color w:val="2F5496" w:themeColor="accent1" w:themeShade="BF"/>
      <w:sz w:val="28"/>
      <w:szCs w:val="28"/>
    </w:rPr>
  </w:style>
  <w:style w:type="character" w:customStyle="1" w:styleId="50">
    <w:name w:val="标题 5 字符"/>
    <w:basedOn w:val="a0"/>
    <w:link w:val="5"/>
    <w:uiPriority w:val="9"/>
    <w:semiHidden/>
    <w:rsid w:val="00666D33"/>
    <w:rPr>
      <w:rFonts w:cstheme="majorBidi"/>
      <w:color w:val="2F5496" w:themeColor="accent1" w:themeShade="BF"/>
      <w:sz w:val="24"/>
      <w:szCs w:val="24"/>
    </w:rPr>
  </w:style>
  <w:style w:type="character" w:customStyle="1" w:styleId="60">
    <w:name w:val="标题 6 字符"/>
    <w:basedOn w:val="a0"/>
    <w:link w:val="6"/>
    <w:uiPriority w:val="9"/>
    <w:semiHidden/>
    <w:rsid w:val="00666D33"/>
    <w:rPr>
      <w:rFonts w:cstheme="majorBidi"/>
      <w:b/>
      <w:bCs/>
      <w:color w:val="2F5496" w:themeColor="accent1" w:themeShade="BF"/>
    </w:rPr>
  </w:style>
  <w:style w:type="character" w:customStyle="1" w:styleId="70">
    <w:name w:val="标题 7 字符"/>
    <w:basedOn w:val="a0"/>
    <w:link w:val="7"/>
    <w:uiPriority w:val="9"/>
    <w:semiHidden/>
    <w:rsid w:val="00666D33"/>
    <w:rPr>
      <w:rFonts w:cstheme="majorBidi"/>
      <w:b/>
      <w:bCs/>
      <w:color w:val="595959" w:themeColor="text1" w:themeTint="A6"/>
    </w:rPr>
  </w:style>
  <w:style w:type="character" w:customStyle="1" w:styleId="80">
    <w:name w:val="标题 8 字符"/>
    <w:basedOn w:val="a0"/>
    <w:link w:val="8"/>
    <w:uiPriority w:val="9"/>
    <w:semiHidden/>
    <w:rsid w:val="00666D33"/>
    <w:rPr>
      <w:rFonts w:cstheme="majorBidi"/>
      <w:color w:val="595959" w:themeColor="text1" w:themeTint="A6"/>
    </w:rPr>
  </w:style>
  <w:style w:type="character" w:customStyle="1" w:styleId="90">
    <w:name w:val="标题 9 字符"/>
    <w:basedOn w:val="a0"/>
    <w:link w:val="9"/>
    <w:uiPriority w:val="9"/>
    <w:semiHidden/>
    <w:rsid w:val="00666D33"/>
    <w:rPr>
      <w:rFonts w:eastAsiaTheme="majorEastAsia" w:cstheme="majorBidi"/>
      <w:color w:val="595959" w:themeColor="text1" w:themeTint="A6"/>
    </w:rPr>
  </w:style>
  <w:style w:type="paragraph" w:styleId="a3">
    <w:name w:val="Title"/>
    <w:basedOn w:val="a"/>
    <w:next w:val="a"/>
    <w:link w:val="a4"/>
    <w:uiPriority w:val="10"/>
    <w:qFormat/>
    <w:rsid w:val="00666D33"/>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qFormat/>
    <w:rsid w:val="00666D3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66D33"/>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666D33"/>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666D33"/>
    <w:pPr>
      <w:spacing w:before="160" w:after="160"/>
      <w:jc w:val="center"/>
    </w:pPr>
    <w:rPr>
      <w:i/>
      <w:iCs/>
      <w:color w:val="404040" w:themeColor="text1" w:themeTint="BF"/>
    </w:rPr>
  </w:style>
  <w:style w:type="character" w:customStyle="1" w:styleId="a8">
    <w:name w:val="引用 字符"/>
    <w:basedOn w:val="a0"/>
    <w:link w:val="a7"/>
    <w:uiPriority w:val="29"/>
    <w:rsid w:val="00666D33"/>
    <w:rPr>
      <w:i/>
      <w:iCs/>
      <w:color w:val="404040" w:themeColor="text1" w:themeTint="BF"/>
    </w:rPr>
  </w:style>
  <w:style w:type="paragraph" w:styleId="a9">
    <w:name w:val="List Paragraph"/>
    <w:basedOn w:val="a"/>
    <w:uiPriority w:val="34"/>
    <w:qFormat/>
    <w:rsid w:val="00666D33"/>
    <w:pPr>
      <w:ind w:left="720"/>
      <w:contextualSpacing/>
    </w:pPr>
  </w:style>
  <w:style w:type="character" w:styleId="aa">
    <w:name w:val="Intense Emphasis"/>
    <w:basedOn w:val="a0"/>
    <w:uiPriority w:val="21"/>
    <w:qFormat/>
    <w:rsid w:val="00666D33"/>
    <w:rPr>
      <w:i/>
      <w:iCs/>
      <w:color w:val="2F5496" w:themeColor="accent1" w:themeShade="BF"/>
    </w:rPr>
  </w:style>
  <w:style w:type="paragraph" w:styleId="ab">
    <w:name w:val="Intense Quote"/>
    <w:basedOn w:val="a"/>
    <w:next w:val="a"/>
    <w:link w:val="ac"/>
    <w:uiPriority w:val="30"/>
    <w:qFormat/>
    <w:rsid w:val="00666D3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666D33"/>
    <w:rPr>
      <w:i/>
      <w:iCs/>
      <w:color w:val="2F5496" w:themeColor="accent1" w:themeShade="BF"/>
    </w:rPr>
  </w:style>
  <w:style w:type="character" w:styleId="ad">
    <w:name w:val="Intense Reference"/>
    <w:basedOn w:val="a0"/>
    <w:uiPriority w:val="32"/>
    <w:qFormat/>
    <w:rsid w:val="00666D33"/>
    <w:rPr>
      <w:b/>
      <w:bCs/>
      <w:smallCaps/>
      <w:color w:val="2F5496" w:themeColor="accent1" w:themeShade="BF"/>
      <w:spacing w:val="5"/>
    </w:rPr>
  </w:style>
  <w:style w:type="paragraph" w:styleId="ae">
    <w:name w:val="header"/>
    <w:basedOn w:val="a"/>
    <w:link w:val="af"/>
    <w:unhideWhenUsed/>
    <w:rsid w:val="007E14B0"/>
    <w:pPr>
      <w:tabs>
        <w:tab w:val="center" w:pos="4153"/>
        <w:tab w:val="right" w:pos="8306"/>
      </w:tabs>
      <w:snapToGrid w:val="0"/>
      <w:jc w:val="center"/>
    </w:pPr>
    <w:rPr>
      <w:sz w:val="18"/>
      <w:szCs w:val="18"/>
    </w:rPr>
  </w:style>
  <w:style w:type="character" w:customStyle="1" w:styleId="af">
    <w:name w:val="页眉 字符"/>
    <w:basedOn w:val="a0"/>
    <w:link w:val="ae"/>
    <w:rsid w:val="007E14B0"/>
    <w:rPr>
      <w:sz w:val="18"/>
      <w:szCs w:val="18"/>
    </w:rPr>
  </w:style>
  <w:style w:type="paragraph" w:styleId="af0">
    <w:name w:val="footer"/>
    <w:basedOn w:val="a"/>
    <w:link w:val="af1"/>
    <w:uiPriority w:val="99"/>
    <w:unhideWhenUsed/>
    <w:rsid w:val="007E14B0"/>
    <w:pPr>
      <w:tabs>
        <w:tab w:val="center" w:pos="4153"/>
        <w:tab w:val="right" w:pos="8306"/>
      </w:tabs>
      <w:snapToGrid w:val="0"/>
      <w:jc w:val="left"/>
    </w:pPr>
    <w:rPr>
      <w:sz w:val="18"/>
      <w:szCs w:val="18"/>
    </w:rPr>
  </w:style>
  <w:style w:type="character" w:customStyle="1" w:styleId="af1">
    <w:name w:val="页脚 字符"/>
    <w:basedOn w:val="a0"/>
    <w:link w:val="af0"/>
    <w:uiPriority w:val="99"/>
    <w:rsid w:val="007E14B0"/>
    <w:rPr>
      <w:sz w:val="18"/>
      <w:szCs w:val="18"/>
    </w:rPr>
  </w:style>
  <w:style w:type="character" w:styleId="af2">
    <w:name w:val="Hyperlink"/>
    <w:basedOn w:val="a0"/>
    <w:uiPriority w:val="99"/>
    <w:unhideWhenUsed/>
    <w:rsid w:val="0067027F"/>
    <w:rPr>
      <w:color w:val="0563C1" w:themeColor="hyperlink"/>
      <w:u w:val="single"/>
    </w:rPr>
  </w:style>
  <w:style w:type="character" w:styleId="af3">
    <w:name w:val="Unresolved Mention"/>
    <w:basedOn w:val="a0"/>
    <w:uiPriority w:val="99"/>
    <w:semiHidden/>
    <w:unhideWhenUsed/>
    <w:rsid w:val="0067027F"/>
    <w:rPr>
      <w:color w:val="605E5C"/>
      <w:shd w:val="clear" w:color="auto" w:fill="E1DFDD"/>
    </w:rPr>
  </w:style>
  <w:style w:type="paragraph" w:styleId="TOC">
    <w:name w:val="TOC Heading"/>
    <w:basedOn w:val="1"/>
    <w:next w:val="a"/>
    <w:uiPriority w:val="39"/>
    <w:unhideWhenUsed/>
    <w:qFormat/>
    <w:rsid w:val="00D12F38"/>
    <w:pPr>
      <w:widowControl/>
      <w:spacing w:before="240" w:after="0" w:line="259" w:lineRule="auto"/>
      <w:jc w:val="left"/>
      <w:outlineLvl w:val="9"/>
    </w:pPr>
    <w:rPr>
      <w:kern w:val="0"/>
      <w:sz w:val="32"/>
      <w:szCs w:val="32"/>
      <w14:ligatures w14:val="none"/>
    </w:rPr>
  </w:style>
  <w:style w:type="paragraph" w:styleId="TOC1">
    <w:name w:val="toc 1"/>
    <w:basedOn w:val="a"/>
    <w:next w:val="a"/>
    <w:autoRedefine/>
    <w:uiPriority w:val="39"/>
    <w:unhideWhenUsed/>
    <w:rsid w:val="00D12F38"/>
  </w:style>
  <w:style w:type="paragraph" w:styleId="TOC2">
    <w:name w:val="toc 2"/>
    <w:basedOn w:val="a"/>
    <w:next w:val="a"/>
    <w:autoRedefine/>
    <w:uiPriority w:val="39"/>
    <w:unhideWhenUsed/>
    <w:rsid w:val="00D12F38"/>
    <w:pPr>
      <w:ind w:leftChars="200" w:left="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cedpsych.2020.10186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3390/admsci1408016"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51594/ijarss.v6i3.895https://doi.org/10.51594/ijarss.v6i3.895"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cid:image001.png@01D0EA4A.2BD679A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2091FE-74A0-4084-90D4-74E2A1D9E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500</TotalTime>
  <Pages>17</Pages>
  <Words>4718</Words>
  <Characters>26894</Characters>
  <Application>Microsoft Office Word</Application>
  <DocSecurity>0</DocSecurity>
  <Lines>224</Lines>
  <Paragraphs>63</Paragraphs>
  <ScaleCrop>false</ScaleCrop>
  <Company/>
  <LinksUpToDate>false</LinksUpToDate>
  <CharactersWithSpaces>31549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yuanling zhang</dc:creator>
  <cp:keywords/>
  <dc:description/>
  <cp:lastModifiedBy>yuanling zhang</cp:lastModifiedBy>
  <cp:revision>32</cp:revision>
  <dcterms:created xsi:type="dcterms:W3CDTF">2025-12-02T20:42:00Z</dcterms:created>
  <dcterms:modified xsi:type="dcterms:W3CDTF">2025-12-11T01:04:00Z</dcterms:modified>
</cp:coreProperties>
</file>