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r>
        <w:rPr>
          <w:rFonts w:eastAsia="Times New Roman"/>
          <w:b/>
          <w:sz w:val="32"/>
          <w:szCs w:val="32"/>
          <w:u w:val="single"/>
        </w:rPr>
        <w:t>Academic Discipline of Hospitality and Tourism</w:t>
      </w:r>
    </w:p>
    <w:p>
      <w:pPr>
        <w:spacing w:line="360" w:lineRule="auto"/>
        <w:jc w:val="center"/>
        <w:rPr>
          <w:rFonts w:eastAsia="Times New Roman"/>
          <w:b/>
          <w:sz w:val="32"/>
          <w:szCs w:val="32"/>
          <w:u w:val="single"/>
        </w:rPr>
      </w:pPr>
      <w:r>
        <w:rPr>
          <w:rFonts w:eastAsia="Times New Roman"/>
          <w:b/>
          <w:sz w:val="32"/>
          <w:szCs w:val="32"/>
          <w:u w:val="single"/>
        </w:rPr>
        <w:t>Management</w:t>
      </w:r>
    </w:p>
    <w:p>
      <w:pPr>
        <w:spacing w:line="360" w:lineRule="auto"/>
        <w:jc w:val="center"/>
        <w:rPr>
          <w:rFonts w:eastAsia="Times New Roman"/>
          <w:b/>
          <w:sz w:val="32"/>
          <w:szCs w:val="32"/>
          <w:u w:val="single"/>
        </w:rPr>
      </w:pPr>
      <w:r>
        <w:rPr>
          <w:rFonts w:eastAsia="Times New Roman"/>
          <w:b/>
          <w:sz w:val="32"/>
          <w:szCs w:val="32"/>
          <w:u w:val="single"/>
        </w:rPr>
        <w:t>BA International Hotel Management</w:t>
      </w:r>
    </w:p>
    <w:p>
      <w:pPr>
        <w:spacing w:line="360" w:lineRule="auto"/>
        <w:jc w:val="center"/>
        <w:rPr>
          <w:rFonts w:eastAsia="Times New Roman"/>
          <w:b/>
          <w:sz w:val="32"/>
          <w:szCs w:val="32"/>
          <w:u w:val="single"/>
        </w:rPr>
      </w:pPr>
      <w:r>
        <w:rPr>
          <w:rFonts w:eastAsia="Times New Roman"/>
          <w:b/>
          <w:sz w:val="32"/>
          <w:szCs w:val="32"/>
          <w:u w:val="single"/>
        </w:rPr>
        <w:t>BMIH5005 Personnel Resourcing and Development</w:t>
      </w:r>
    </w:p>
    <w:p>
      <w:pPr>
        <w:pStyle w:val="13"/>
        <w:spacing w:before="0" w:beforeAutospacing="0" w:after="0" w:afterAutospacing="0" w:line="360" w:lineRule="auto"/>
        <w:jc w:val="center"/>
        <w:rPr>
          <w:rFonts w:hint="default" w:ascii="Arial" w:hAnsi="Arial" w:cs="Arial"/>
          <w:lang w:val="en-GB"/>
        </w:rPr>
      </w:pPr>
      <w:r>
        <w:rPr>
          <w:rFonts w:ascii="Arial" w:hAnsi="Arial" w:cs="Arial"/>
          <w:b/>
          <w:bCs/>
          <w:i/>
          <w:iCs/>
          <w:color w:val="000000"/>
        </w:rPr>
        <w:t>Student’s Name:</w:t>
      </w:r>
      <w:r>
        <w:rPr>
          <w:rFonts w:hint="default" w:ascii="Arial" w:hAnsi="Arial" w:cs="Arial"/>
          <w:b/>
          <w:bCs/>
          <w:i/>
          <w:iCs/>
          <w:color w:val="000000"/>
          <w:lang w:val="en-GB"/>
        </w:rPr>
        <w:t xml:space="preserve"> Catalin Mircea Leva</w:t>
      </w:r>
    </w:p>
    <w:p>
      <w:pPr>
        <w:pStyle w:val="13"/>
        <w:spacing w:before="0" w:beforeAutospacing="0" w:after="0" w:afterAutospacing="0" w:line="360" w:lineRule="auto"/>
        <w:jc w:val="center"/>
        <w:rPr>
          <w:rFonts w:ascii="Arial" w:hAnsi="Arial" w:cs="Arial"/>
        </w:rPr>
      </w:pPr>
      <w:r>
        <w:rPr>
          <w:rFonts w:ascii="Arial" w:hAnsi="Arial" w:cs="Arial"/>
          <w:b/>
          <w:bCs/>
          <w:i/>
          <w:iCs/>
          <w:color w:val="000000"/>
        </w:rPr>
        <w:t>Student ID: </w:t>
      </w:r>
      <w:r>
        <w:rPr>
          <w:rFonts w:hint="default" w:ascii="Arial" w:hAnsi="Arial"/>
          <w:b/>
          <w:bCs/>
          <w:i/>
          <w:iCs/>
          <w:color w:val="000000"/>
        </w:rPr>
        <w:t>2244690</w:t>
      </w:r>
      <w:bookmarkStart w:id="30" w:name="_GoBack"/>
      <w:bookmarkEnd w:id="30"/>
    </w:p>
    <w:p>
      <w:pPr>
        <w:pStyle w:val="13"/>
        <w:spacing w:before="0" w:beforeAutospacing="0" w:after="0" w:afterAutospacing="0" w:line="360" w:lineRule="auto"/>
        <w:jc w:val="center"/>
        <w:rPr>
          <w:rFonts w:hint="default" w:ascii="Arial" w:hAnsi="Arial"/>
          <w:b/>
          <w:bCs/>
          <w:i/>
          <w:iCs/>
          <w:color w:val="000000"/>
        </w:rPr>
      </w:pPr>
      <w:r>
        <w:rPr>
          <w:rFonts w:ascii="Arial" w:hAnsi="Arial" w:cs="Arial"/>
          <w:b/>
          <w:bCs/>
          <w:i/>
          <w:iCs/>
          <w:color w:val="000000"/>
        </w:rPr>
        <w:t>Course Name:</w:t>
      </w:r>
      <w:r>
        <w:rPr>
          <w:rFonts w:hint="default" w:ascii="Arial" w:hAnsi="Arial"/>
          <w:b/>
          <w:bCs/>
          <w:i/>
          <w:iCs/>
          <w:color w:val="000000"/>
        </w:rPr>
        <w:t>BMIH5005</w:t>
      </w:r>
    </w:p>
    <w:p>
      <w:pPr>
        <w:pStyle w:val="13"/>
        <w:spacing w:before="0" w:beforeAutospacing="0" w:after="0" w:afterAutospacing="0" w:line="360" w:lineRule="auto"/>
        <w:jc w:val="center"/>
        <w:rPr>
          <w:rFonts w:ascii="Arial" w:hAnsi="Arial" w:cs="Arial"/>
          <w:b/>
          <w:bCs/>
          <w:i/>
          <w:iCs/>
          <w:color w:val="000000"/>
        </w:rPr>
      </w:pPr>
      <w:r>
        <w:rPr>
          <w:rFonts w:hint="default" w:ascii="Arial" w:hAnsi="Arial"/>
          <w:b/>
          <w:bCs/>
          <w:i/>
          <w:iCs/>
          <w:color w:val="000000"/>
        </w:rPr>
        <w:t>Personnel Resourcing and Development</w:t>
      </w:r>
    </w:p>
    <w:p>
      <w:pPr>
        <w:pStyle w:val="13"/>
        <w:spacing w:before="0" w:beforeAutospacing="0" w:after="0" w:afterAutospacing="0" w:line="360" w:lineRule="auto"/>
        <w:jc w:val="center"/>
        <w:rPr>
          <w:rFonts w:hint="default" w:ascii="Arial" w:hAnsi="Arial" w:cs="Arial"/>
          <w:b/>
          <w:bCs/>
          <w:i/>
          <w:iCs/>
          <w:color w:val="000000"/>
          <w:lang w:val="en-GB"/>
        </w:rPr>
      </w:pPr>
      <w:r>
        <w:rPr>
          <w:rFonts w:hint="default" w:ascii="Arial" w:hAnsi="Arial" w:cs="Arial"/>
          <w:b/>
          <w:bCs/>
          <w:i/>
          <w:iCs/>
          <w:color w:val="000000"/>
          <w:lang w:val="en-GB"/>
        </w:rPr>
        <w:t>Module leader :</w:t>
      </w:r>
      <w:r>
        <w:rPr>
          <w:rFonts w:hint="default" w:ascii="Arial" w:hAnsi="Arial"/>
          <w:b/>
          <w:bCs/>
          <w:i/>
          <w:iCs/>
          <w:color w:val="000000"/>
          <w:lang w:val="en-GB"/>
        </w:rPr>
        <w:t>Scott James</w:t>
      </w:r>
    </w:p>
    <w:p>
      <w:pPr>
        <w:spacing w:line="360" w:lineRule="auto"/>
        <w:jc w:val="center"/>
        <w:rPr>
          <w:rFonts w:eastAsia="Times New Roman"/>
          <w:b/>
          <w:sz w:val="24"/>
          <w:szCs w:val="24"/>
        </w:rPr>
      </w:pPr>
    </w:p>
    <w:p>
      <w:pPr>
        <w:spacing w:line="360" w:lineRule="auto"/>
        <w:jc w:val="center"/>
        <w:rPr>
          <w:rFonts w:eastAsia="Times New Roman"/>
          <w:b/>
          <w:sz w:val="24"/>
          <w:szCs w:val="24"/>
        </w:rPr>
      </w:pPr>
    </w:p>
    <w:p>
      <w:pPr>
        <w:spacing w:line="360" w:lineRule="auto"/>
        <w:jc w:val="center"/>
        <w:rPr>
          <w:rFonts w:eastAsia="Times New Roman"/>
          <w:b/>
          <w:sz w:val="24"/>
          <w:szCs w:val="24"/>
        </w:rPr>
      </w:pPr>
      <w:r>
        <w:rPr>
          <w:rFonts w:eastAsia="Times New Roman"/>
          <w:b/>
          <w:sz w:val="24"/>
          <w:szCs w:val="24"/>
        </w:rPr>
        <w:t>Research Proposal Topic -</w:t>
      </w:r>
      <w:r>
        <w:rPr>
          <w:rFonts w:eastAsia="Times New Roman"/>
          <w:b/>
          <w:sz w:val="24"/>
          <w:szCs w:val="24"/>
          <w:highlight w:val="white"/>
        </w:rPr>
        <w:t xml:space="preserve"> Analyse the impacts of socio-economic force on employees’ performance management and monitoring in different work modes: Hospitality HR’s perspective</w:t>
      </w:r>
    </w:p>
    <w:p>
      <w:pPr>
        <w:spacing w:line="360" w:lineRule="auto"/>
      </w:pPr>
      <w:r>
        <w:br w:type="page"/>
      </w:r>
    </w:p>
    <w:sdt>
      <w:sdtPr>
        <w:rPr>
          <w:rFonts w:ascii="Arial" w:hAnsi="Arial" w:eastAsia="Arial" w:cs="Arial"/>
          <w:color w:val="auto"/>
          <w:sz w:val="22"/>
          <w:szCs w:val="22"/>
          <w:lang w:val="en-GB" w:eastAsia="en-GB"/>
        </w:rPr>
        <w:id w:val="-1471825638"/>
        <w:docPartObj>
          <w:docPartGallery w:val="Table of Contents"/>
          <w:docPartUnique/>
        </w:docPartObj>
      </w:sdtPr>
      <w:sdtEndPr>
        <w:rPr>
          <w:rFonts w:ascii="Arial" w:hAnsi="Arial" w:eastAsia="Arial" w:cs="Arial"/>
          <w:b/>
          <w:bCs/>
          <w:color w:val="auto"/>
          <w:sz w:val="22"/>
          <w:szCs w:val="22"/>
          <w:lang w:val="en-GB" w:eastAsia="en-GB"/>
        </w:rPr>
      </w:sdtEndPr>
      <w:sdtContent>
        <w:p>
          <w:pPr>
            <w:pStyle w:val="21"/>
            <w:spacing w:line="360" w:lineRule="auto"/>
            <w:jc w:val="center"/>
            <w:rPr>
              <w:rFonts w:ascii="Arial" w:hAnsi="Arial" w:cs="Arial"/>
              <w:b/>
              <w:color w:val="000000" w:themeColor="text1"/>
              <w:sz w:val="24"/>
              <w:szCs w:val="24"/>
              <w14:textFill>
                <w14:solidFill>
                  <w14:schemeClr w14:val="tx1"/>
                </w14:solidFill>
              </w14:textFill>
            </w:rPr>
          </w:pPr>
          <w:bookmarkStart w:id="0" w:name="_x9nvgnoxmft2" w:colFirst="0" w:colLast="0"/>
          <w:bookmarkEnd w:id="0"/>
          <w:r>
            <w:rPr>
              <w:rFonts w:ascii="Arial" w:hAnsi="Arial" w:cs="Arial"/>
              <w:b/>
              <w:color w:val="000000" w:themeColor="text1"/>
              <w:sz w:val="24"/>
              <w:szCs w:val="24"/>
              <w14:textFill>
                <w14:solidFill>
                  <w14:schemeClr w14:val="tx1"/>
                </w14:solidFill>
              </w14:textFill>
            </w:rPr>
            <w:t>Table of Contents</w:t>
          </w:r>
        </w:p>
        <w:p>
          <w:pPr>
            <w:pStyle w:val="16"/>
            <w:tabs>
              <w:tab w:val="right" w:leader="dot" w:pos="9019"/>
            </w:tabs>
            <w:spacing w:line="360" w:lineRule="auto"/>
            <w:jc w:val="both"/>
            <w:rPr>
              <w:sz w:val="24"/>
              <w:szCs w:val="24"/>
            </w:rPr>
          </w:pPr>
          <w:r>
            <w:rPr>
              <w:sz w:val="24"/>
              <w:szCs w:val="24"/>
            </w:rPr>
            <w:fldChar w:fldCharType="begin"/>
          </w:r>
          <w:r>
            <w:rPr>
              <w:sz w:val="24"/>
              <w:szCs w:val="24"/>
            </w:rPr>
            <w:instrText xml:space="preserve"> TOC \o "1-3" \h \z \u </w:instrText>
          </w:r>
          <w:r>
            <w:rPr>
              <w:sz w:val="24"/>
              <w:szCs w:val="24"/>
            </w:rPr>
            <w:fldChar w:fldCharType="separate"/>
          </w:r>
          <w:r>
            <w:fldChar w:fldCharType="begin"/>
          </w:r>
          <w:r>
            <w:instrText xml:space="preserve"> HYPERLINK \l "_Toc165472792" </w:instrText>
          </w:r>
          <w:r>
            <w:fldChar w:fldCharType="separate"/>
          </w:r>
          <w:r>
            <w:rPr>
              <w:rStyle w:val="12"/>
              <w:sz w:val="24"/>
              <w:szCs w:val="24"/>
            </w:rPr>
            <w:t>Selected Company - Marriott Hotel</w:t>
          </w:r>
          <w:r>
            <w:rPr>
              <w:sz w:val="24"/>
              <w:szCs w:val="24"/>
            </w:rPr>
            <w:tab/>
          </w:r>
          <w:r>
            <w:rPr>
              <w:sz w:val="24"/>
              <w:szCs w:val="24"/>
            </w:rPr>
            <w:fldChar w:fldCharType="begin"/>
          </w:r>
          <w:r>
            <w:rPr>
              <w:sz w:val="24"/>
              <w:szCs w:val="24"/>
            </w:rPr>
            <w:instrText xml:space="preserve"> PAGEREF _Toc165472792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"_Toc165472793" </w:instrText>
          </w:r>
          <w:r>
            <w:fldChar w:fldCharType="separate"/>
          </w:r>
          <w:r>
            <w:rPr>
              <w:rStyle w:val="12"/>
              <w:sz w:val="24"/>
              <w:szCs w:val="24"/>
            </w:rPr>
            <w:t>1. Introduction and Background</w:t>
          </w:r>
          <w:r>
            <w:rPr>
              <w:sz w:val="24"/>
              <w:szCs w:val="24"/>
            </w:rPr>
            <w:tab/>
          </w:r>
          <w:r>
            <w:rPr>
              <w:sz w:val="24"/>
              <w:szCs w:val="24"/>
            </w:rPr>
            <w:fldChar w:fldCharType="begin"/>
          </w:r>
          <w:r>
            <w:rPr>
              <w:sz w:val="24"/>
              <w:szCs w:val="24"/>
            </w:rPr>
            <w:instrText xml:space="preserve"> PAGEREF _Toc165472793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"_Toc165472794" </w:instrText>
          </w:r>
          <w:r>
            <w:fldChar w:fldCharType="separate"/>
          </w:r>
          <w:r>
            <w:rPr>
              <w:rStyle w:val="12"/>
              <w:sz w:val="24"/>
              <w:szCs w:val="24"/>
            </w:rPr>
            <w:t>1.1 Introduction to the Organisation</w:t>
          </w:r>
          <w:r>
            <w:rPr>
              <w:sz w:val="24"/>
              <w:szCs w:val="24"/>
            </w:rPr>
            <w:tab/>
          </w:r>
          <w:r>
            <w:rPr>
              <w:sz w:val="24"/>
              <w:szCs w:val="24"/>
            </w:rPr>
            <w:fldChar w:fldCharType="begin"/>
          </w:r>
          <w:r>
            <w:rPr>
              <w:sz w:val="24"/>
              <w:szCs w:val="24"/>
            </w:rPr>
            <w:instrText xml:space="preserve"> PAGEREF _Toc165472794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"_Toc165472795" </w:instrText>
          </w:r>
          <w:r>
            <w:fldChar w:fldCharType="separate"/>
          </w:r>
          <w:r>
            <w:rPr>
              <w:rStyle w:val="12"/>
              <w:sz w:val="24"/>
              <w:szCs w:val="24"/>
            </w:rPr>
            <w:t>1.2 Aim and Objective</w:t>
          </w:r>
          <w:r>
            <w:rPr>
              <w:sz w:val="24"/>
              <w:szCs w:val="24"/>
            </w:rPr>
            <w:tab/>
          </w:r>
          <w:r>
            <w:rPr>
              <w:sz w:val="24"/>
              <w:szCs w:val="24"/>
            </w:rPr>
            <w:fldChar w:fldCharType="begin"/>
          </w:r>
          <w:r>
            <w:rPr>
              <w:sz w:val="24"/>
              <w:szCs w:val="24"/>
            </w:rPr>
            <w:instrText xml:space="preserve"> PAGEREF _Toc165472795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"_Toc165472796" </w:instrText>
          </w:r>
          <w:r>
            <w:fldChar w:fldCharType="separate"/>
          </w:r>
          <w:r>
            <w:rPr>
              <w:rStyle w:val="12"/>
              <w:sz w:val="24"/>
              <w:szCs w:val="24"/>
            </w:rPr>
            <w:t>1.3 Background of the topic</w:t>
          </w:r>
          <w:r>
            <w:rPr>
              <w:sz w:val="24"/>
              <w:szCs w:val="24"/>
            </w:rPr>
            <w:tab/>
          </w:r>
          <w:r>
            <w:rPr>
              <w:sz w:val="24"/>
              <w:szCs w:val="24"/>
            </w:rPr>
            <w:fldChar w:fldCharType="begin"/>
          </w:r>
          <w:r>
            <w:rPr>
              <w:sz w:val="24"/>
              <w:szCs w:val="24"/>
            </w:rPr>
            <w:instrText xml:space="preserve"> PAGEREF _Toc165472796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"_Toc165472797" </w:instrText>
          </w:r>
          <w:r>
            <w:fldChar w:fldCharType="separate"/>
          </w:r>
          <w:r>
            <w:rPr>
              <w:rStyle w:val="12"/>
              <w:sz w:val="24"/>
              <w:szCs w:val="24"/>
            </w:rPr>
            <w:t>2. Discussion/Literature</w:t>
          </w:r>
          <w:r>
            <w:rPr>
              <w:sz w:val="24"/>
              <w:szCs w:val="24"/>
            </w:rPr>
            <w:tab/>
          </w:r>
          <w:r>
            <w:rPr>
              <w:sz w:val="24"/>
              <w:szCs w:val="24"/>
            </w:rPr>
            <w:fldChar w:fldCharType="begin"/>
          </w:r>
          <w:r>
            <w:rPr>
              <w:sz w:val="24"/>
              <w:szCs w:val="24"/>
            </w:rPr>
            <w:instrText xml:space="preserve"> PAGEREF _Toc165472797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"_Toc165472798" </w:instrText>
          </w:r>
          <w:r>
            <w:fldChar w:fldCharType="separate"/>
          </w:r>
          <w:r>
            <w:rPr>
              <w:rStyle w:val="12"/>
              <w:sz w:val="24"/>
              <w:szCs w:val="24"/>
            </w:rPr>
            <w:t>2.1 Describe socio-economic factors, a part of PESTLE Analysis</w:t>
          </w:r>
          <w:r>
            <w:rPr>
              <w:sz w:val="24"/>
              <w:szCs w:val="24"/>
            </w:rPr>
            <w:tab/>
          </w:r>
          <w:r>
            <w:rPr>
              <w:sz w:val="24"/>
              <w:szCs w:val="24"/>
            </w:rPr>
            <w:fldChar w:fldCharType="begin"/>
          </w:r>
          <w:r>
            <w:rPr>
              <w:sz w:val="24"/>
              <w:szCs w:val="24"/>
            </w:rPr>
            <w:instrText xml:space="preserve"> PAGEREF _Toc165472798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"_Toc165472799" </w:instrText>
          </w:r>
          <w:r>
            <w:fldChar w:fldCharType="separate"/>
          </w:r>
          <w:r>
            <w:rPr>
              <w:rStyle w:val="12"/>
              <w:sz w:val="24"/>
              <w:szCs w:val="24"/>
            </w:rPr>
            <w:t>2.2 Describe the industry trend associated with the hospitality sector</w:t>
          </w:r>
          <w:r>
            <w:rPr>
              <w:sz w:val="24"/>
              <w:szCs w:val="24"/>
            </w:rPr>
            <w:tab/>
          </w:r>
          <w:r>
            <w:rPr>
              <w:sz w:val="24"/>
              <w:szCs w:val="24"/>
            </w:rPr>
            <w:fldChar w:fldCharType="begin"/>
          </w:r>
          <w:r>
            <w:rPr>
              <w:sz w:val="24"/>
              <w:szCs w:val="24"/>
            </w:rPr>
            <w:instrText xml:space="preserve"> PAGEREF _Toc165472799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"_Toc165472800" </w:instrText>
          </w:r>
          <w:r>
            <w:fldChar w:fldCharType="separate"/>
          </w:r>
          <w:r>
            <w:rPr>
              <w:rStyle w:val="12"/>
              <w:sz w:val="24"/>
              <w:szCs w:val="24"/>
            </w:rPr>
            <w:t>2.3 Discuss the emergence of different work modes in the hospitality industry over these five years</w:t>
          </w:r>
          <w:r>
            <w:rPr>
              <w:sz w:val="24"/>
              <w:szCs w:val="24"/>
            </w:rPr>
            <w:tab/>
          </w:r>
          <w:r>
            <w:rPr>
              <w:sz w:val="24"/>
              <w:szCs w:val="24"/>
            </w:rPr>
            <w:fldChar w:fldCharType="begin"/>
          </w:r>
          <w:r>
            <w:rPr>
              <w:sz w:val="24"/>
              <w:szCs w:val="24"/>
            </w:rPr>
            <w:instrText xml:space="preserve"> PAGEREF _Toc165472800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"_Toc165472801" </w:instrText>
          </w:r>
          <w:r>
            <w:fldChar w:fldCharType="separate"/>
          </w:r>
          <w:r>
            <w:rPr>
              <w:rStyle w:val="12"/>
              <w:sz w:val="24"/>
              <w:szCs w:val="24"/>
            </w:rPr>
            <w:t>2.4 Provide examples of how the selected international hotel brand monitors employees</w:t>
          </w:r>
          <w:r>
            <w:rPr>
              <w:sz w:val="24"/>
              <w:szCs w:val="24"/>
            </w:rPr>
            <w:tab/>
          </w:r>
          <w:r>
            <w:rPr>
              <w:sz w:val="24"/>
              <w:szCs w:val="24"/>
            </w:rPr>
            <w:fldChar w:fldCharType="begin"/>
          </w:r>
          <w:r>
            <w:rPr>
              <w:sz w:val="24"/>
              <w:szCs w:val="24"/>
            </w:rPr>
            <w:instrText xml:space="preserve"> PAGEREF _Toc165472801 \h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"_Toc165472802" </w:instrText>
          </w:r>
          <w:r>
            <w:fldChar w:fldCharType="separate"/>
          </w:r>
          <w:r>
            <w:rPr>
              <w:rStyle w:val="12"/>
              <w:sz w:val="24"/>
              <w:szCs w:val="24"/>
            </w:rPr>
            <w:t>2.5 What are potential solutions?</w:t>
          </w:r>
          <w:r>
            <w:rPr>
              <w:sz w:val="24"/>
              <w:szCs w:val="24"/>
            </w:rPr>
            <w:tab/>
          </w:r>
          <w:r>
            <w:rPr>
              <w:sz w:val="24"/>
              <w:szCs w:val="24"/>
            </w:rPr>
            <w:fldChar w:fldCharType="begin"/>
          </w:r>
          <w:r>
            <w:rPr>
              <w:sz w:val="24"/>
              <w:szCs w:val="24"/>
            </w:rPr>
            <w:instrText xml:space="preserve"> PAGEREF _Toc165472802 \h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"_Toc165472803" </w:instrText>
          </w:r>
          <w:r>
            <w:fldChar w:fldCharType="separate"/>
          </w:r>
          <w:r>
            <w:rPr>
              <w:rStyle w:val="12"/>
              <w:sz w:val="24"/>
              <w:szCs w:val="24"/>
            </w:rPr>
            <w:t>3. Evaluation and Conclusion</w:t>
          </w:r>
          <w:r>
            <w:rPr>
              <w:sz w:val="24"/>
              <w:szCs w:val="24"/>
            </w:rPr>
            <w:tab/>
          </w:r>
          <w:r>
            <w:rPr>
              <w:sz w:val="24"/>
              <w:szCs w:val="24"/>
            </w:rPr>
            <w:fldChar w:fldCharType="begin"/>
          </w:r>
          <w:r>
            <w:rPr>
              <w:sz w:val="24"/>
              <w:szCs w:val="24"/>
            </w:rPr>
            <w:instrText xml:space="preserve"> PAGEREF _Toc165472803 \h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"_Toc165472804" </w:instrText>
          </w:r>
          <w:r>
            <w:fldChar w:fldCharType="separate"/>
          </w:r>
          <w:r>
            <w:rPr>
              <w:rStyle w:val="12"/>
              <w:sz w:val="24"/>
              <w:szCs w:val="24"/>
            </w:rPr>
            <w:t>3.1 Conclusion</w:t>
          </w:r>
          <w:r>
            <w:rPr>
              <w:sz w:val="24"/>
              <w:szCs w:val="24"/>
            </w:rPr>
            <w:tab/>
          </w:r>
          <w:r>
            <w:rPr>
              <w:sz w:val="24"/>
              <w:szCs w:val="24"/>
            </w:rPr>
            <w:fldChar w:fldCharType="begin"/>
          </w:r>
          <w:r>
            <w:rPr>
              <w:sz w:val="24"/>
              <w:szCs w:val="24"/>
            </w:rPr>
            <w:instrText xml:space="preserve"> PAGEREF _Toc165472804 \h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"_Toc165472805" </w:instrText>
          </w:r>
          <w:r>
            <w:fldChar w:fldCharType="separate"/>
          </w:r>
          <w:r>
            <w:rPr>
              <w:rStyle w:val="12"/>
              <w:sz w:val="24"/>
              <w:szCs w:val="24"/>
            </w:rPr>
            <w:t>3.2 Recommendations</w:t>
          </w:r>
          <w:r>
            <w:rPr>
              <w:sz w:val="24"/>
              <w:szCs w:val="24"/>
            </w:rPr>
            <w:tab/>
          </w:r>
          <w:r>
            <w:rPr>
              <w:sz w:val="24"/>
              <w:szCs w:val="24"/>
            </w:rPr>
            <w:fldChar w:fldCharType="begin"/>
          </w:r>
          <w:r>
            <w:rPr>
              <w:sz w:val="24"/>
              <w:szCs w:val="24"/>
            </w:rPr>
            <w:instrText xml:space="preserve"> PAGEREF _Toc165472805 \h </w:instrText>
          </w:r>
          <w:r>
            <w:rPr>
              <w:sz w:val="24"/>
              <w:szCs w:val="24"/>
            </w:rPr>
            <w:fldChar w:fldCharType="separate"/>
          </w:r>
          <w:r>
            <w:rPr>
              <w:sz w:val="24"/>
              <w:szCs w:val="24"/>
            </w:rPr>
            <w:t>9</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"_Toc165472806" </w:instrText>
          </w:r>
          <w:r>
            <w:fldChar w:fldCharType="separate"/>
          </w:r>
          <w:r>
            <w:rPr>
              <w:rStyle w:val="12"/>
              <w:sz w:val="24"/>
              <w:szCs w:val="24"/>
            </w:rPr>
            <w:t>4. References</w:t>
          </w:r>
          <w:r>
            <w:rPr>
              <w:sz w:val="24"/>
              <w:szCs w:val="24"/>
            </w:rPr>
            <w:tab/>
          </w:r>
          <w:r>
            <w:rPr>
              <w:sz w:val="24"/>
              <w:szCs w:val="24"/>
            </w:rPr>
            <w:fldChar w:fldCharType="begin"/>
          </w:r>
          <w:r>
            <w:rPr>
              <w:sz w:val="24"/>
              <w:szCs w:val="24"/>
            </w:rPr>
            <w:instrText xml:space="preserve"> PAGEREF _Toc165472806 \h </w:instrText>
          </w:r>
          <w:r>
            <w:rPr>
              <w:sz w:val="24"/>
              <w:szCs w:val="24"/>
            </w:rPr>
            <w:fldChar w:fldCharType="separate"/>
          </w:r>
          <w:r>
            <w:rPr>
              <w:sz w:val="24"/>
              <w:szCs w:val="24"/>
            </w:rPr>
            <w:t>10</w:t>
          </w:r>
          <w:r>
            <w:rPr>
              <w:sz w:val="24"/>
              <w:szCs w:val="24"/>
            </w:rPr>
            <w:fldChar w:fldCharType="end"/>
          </w:r>
          <w:r>
            <w:rPr>
              <w:sz w:val="24"/>
              <w:szCs w:val="24"/>
            </w:rPr>
            <w:fldChar w:fldCharType="end"/>
          </w:r>
        </w:p>
        <w:p>
          <w:pPr>
            <w:spacing w:line="360" w:lineRule="auto"/>
            <w:jc w:val="both"/>
          </w:pPr>
          <w:r>
            <w:rPr>
              <w:b/>
              <w:bCs/>
              <w:sz w:val="24"/>
              <w:szCs w:val="24"/>
            </w:rPr>
            <w:fldChar w:fldCharType="end"/>
          </w:r>
        </w:p>
      </w:sdtContent>
    </w:sdt>
    <w:p>
      <w:pPr>
        <w:spacing w:line="360" w:lineRule="auto"/>
        <w:rPr>
          <w:rFonts w:eastAsia="Times New Roman"/>
          <w:b/>
          <w:sz w:val="24"/>
          <w:szCs w:val="24"/>
        </w:rPr>
      </w:pPr>
      <w:r>
        <w:br w:type="page"/>
      </w:r>
    </w:p>
    <w:p>
      <w:pPr>
        <w:pStyle w:val="2"/>
        <w:rPr>
          <w:rFonts w:ascii="Arial" w:hAnsi="Arial" w:cs="Arial"/>
        </w:rPr>
      </w:pPr>
      <w:bookmarkStart w:id="1" w:name="_Toc165472792"/>
      <w:r>
        <w:rPr>
          <w:rFonts w:ascii="Arial" w:hAnsi="Arial" w:cs="Arial"/>
        </w:rPr>
        <w:t>Selected Company - Marriott Hotel</w:t>
      </w:r>
      <w:bookmarkEnd w:id="1"/>
      <w:r>
        <w:rPr>
          <w:rFonts w:ascii="Arial" w:hAnsi="Arial" w:cs="Arial"/>
        </w:rPr>
        <w:t xml:space="preserve"> </w:t>
      </w:r>
    </w:p>
    <w:p>
      <w:pPr>
        <w:pStyle w:val="2"/>
        <w:rPr>
          <w:rFonts w:ascii="Arial" w:hAnsi="Arial" w:cs="Arial"/>
        </w:rPr>
      </w:pPr>
      <w:bookmarkStart w:id="2" w:name="_7e7mz28g6rte" w:colFirst="0" w:colLast="0"/>
      <w:bookmarkEnd w:id="2"/>
      <w:bookmarkStart w:id="3" w:name="_Toc165472793"/>
      <w:r>
        <w:rPr>
          <w:rFonts w:ascii="Arial" w:hAnsi="Arial" w:cs="Arial"/>
        </w:rPr>
        <w:t>1. Introduction and Background</w:t>
      </w:r>
      <w:bookmarkEnd w:id="3"/>
      <w:r>
        <w:rPr>
          <w:rFonts w:ascii="Arial" w:hAnsi="Arial" w:cs="Arial"/>
        </w:rPr>
        <w:t xml:space="preserve"> </w:t>
      </w:r>
    </w:p>
    <w:p>
      <w:pPr>
        <w:pStyle w:val="3"/>
        <w:rPr>
          <w:rFonts w:ascii="Arial" w:hAnsi="Arial" w:cs="Arial"/>
        </w:rPr>
      </w:pPr>
      <w:bookmarkStart w:id="4" w:name="_lyoagg4bojym" w:colFirst="0" w:colLast="0"/>
      <w:bookmarkEnd w:id="4"/>
      <w:bookmarkStart w:id="5" w:name="_Toc165472794"/>
      <w:r>
        <w:rPr>
          <w:rFonts w:ascii="Arial" w:hAnsi="Arial" w:cs="Arial"/>
        </w:rPr>
        <w:t>1.1 Introduction to the organisation</w:t>
      </w:r>
      <w:bookmarkEnd w:id="5"/>
      <w:r>
        <w:rPr>
          <w:rFonts w:ascii="Arial" w:hAnsi="Arial" w:cs="Arial"/>
        </w:rPr>
        <w:t xml:space="preserve"> </w:t>
      </w:r>
    </w:p>
    <w:p>
      <w:pPr>
        <w:spacing w:line="360" w:lineRule="auto"/>
        <w:jc w:val="both"/>
        <w:rPr>
          <w:rFonts w:eastAsia="Times New Roman"/>
          <w:sz w:val="24"/>
          <w:szCs w:val="24"/>
        </w:rPr>
      </w:pPr>
      <w:r>
        <w:rPr>
          <w:rFonts w:eastAsia="Times New Roman"/>
          <w:sz w:val="24"/>
          <w:szCs w:val="24"/>
        </w:rPr>
        <w:t xml:space="preserve">Marriott Hotel is one of the largest hospitality brands operating in the UK as of today in terms of their revenue margin. The brand is known for its quality services and hospitality among tourists travelling from all across the globe. As of today, the hotel chain operates in almost 586 locations across different continents, which makes it one of the best in this particular industry. Most importantly, the brand has managed to secure a revenue margin of 19.05 billion GBP as of 2022, which is one of the very best in number considering the UK hospitality industry (marriott.gcs-web.com, 2023). </w:t>
      </w:r>
    </w:p>
    <w:p>
      <w:pPr>
        <w:spacing w:line="360" w:lineRule="auto"/>
        <w:jc w:val="center"/>
        <w:rPr>
          <w:rFonts w:eastAsia="Times New Roman"/>
          <w:sz w:val="24"/>
          <w:szCs w:val="24"/>
        </w:rPr>
      </w:pPr>
      <w:r>
        <w:rPr>
          <w:rFonts w:eastAsia="Times New Roman"/>
          <w:sz w:val="24"/>
          <w:szCs w:val="24"/>
          <w:lang w:val="en-IN" w:eastAsia="en-IN"/>
        </w:rPr>
        <w:drawing>
          <wp:inline distT="114300" distB="114300" distL="114300" distR="114300">
            <wp:extent cx="1959610" cy="154432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1959737" cy="1544538"/>
                    </a:xfrm>
                    <a:prstGeom prst="rect">
                      <a:avLst/>
                    </a:prstGeom>
                    <a:ln w="12700">
                      <a:solidFill>
                        <a:srgbClr val="000000"/>
                      </a:solidFill>
                      <a:prstDash val="solid"/>
                    </a:ln>
                  </pic:spPr>
                </pic:pic>
              </a:graphicData>
            </a:graphic>
          </wp:inline>
        </w:drawing>
      </w:r>
    </w:p>
    <w:p>
      <w:pPr>
        <w:spacing w:line="360" w:lineRule="auto"/>
        <w:jc w:val="center"/>
        <w:rPr>
          <w:rFonts w:eastAsia="Times New Roman"/>
          <w:b/>
          <w:sz w:val="24"/>
          <w:szCs w:val="24"/>
        </w:rPr>
      </w:pPr>
      <w:r>
        <w:rPr>
          <w:rFonts w:eastAsia="Times New Roman"/>
          <w:b/>
          <w:sz w:val="24"/>
          <w:szCs w:val="24"/>
        </w:rPr>
        <w:t>Figure 1: Official Logo of Marriott</w:t>
      </w:r>
    </w:p>
    <w:p>
      <w:pPr>
        <w:spacing w:line="360" w:lineRule="auto"/>
        <w:jc w:val="center"/>
        <w:rPr>
          <w:rFonts w:eastAsia="Times New Roman"/>
          <w:sz w:val="24"/>
          <w:szCs w:val="24"/>
        </w:rPr>
      </w:pPr>
      <w:r>
        <w:rPr>
          <w:rFonts w:eastAsia="Times New Roman"/>
          <w:sz w:val="24"/>
          <w:szCs w:val="24"/>
        </w:rPr>
        <w:t>(Source: marriott.com, 2024)</w:t>
      </w:r>
    </w:p>
    <w:p>
      <w:pPr>
        <w:pStyle w:val="3"/>
        <w:rPr>
          <w:rFonts w:ascii="Arial" w:hAnsi="Arial" w:cs="Arial"/>
        </w:rPr>
      </w:pPr>
      <w:bookmarkStart w:id="6" w:name="_yr3rz1dn33s6" w:colFirst="0" w:colLast="0"/>
      <w:bookmarkEnd w:id="6"/>
      <w:bookmarkStart w:id="7" w:name="_Toc165472795"/>
      <w:r>
        <w:rPr>
          <w:rFonts w:ascii="Arial" w:hAnsi="Arial" w:cs="Arial"/>
        </w:rPr>
        <w:t>1.2 Aim and Objective</w:t>
      </w:r>
      <w:bookmarkEnd w:id="7"/>
      <w:r>
        <w:rPr>
          <w:rFonts w:ascii="Arial" w:hAnsi="Arial" w:cs="Arial"/>
        </w:rPr>
        <w:t xml:space="preserve"> </w:t>
      </w:r>
    </w:p>
    <w:p>
      <w:pPr>
        <w:spacing w:line="360" w:lineRule="auto"/>
        <w:jc w:val="both"/>
        <w:rPr>
          <w:rFonts w:eastAsia="Times New Roman"/>
          <w:sz w:val="24"/>
          <w:szCs w:val="24"/>
        </w:rPr>
      </w:pPr>
      <w:r>
        <w:rPr>
          <w:rFonts w:eastAsia="Times New Roman"/>
          <w:b/>
          <w:sz w:val="24"/>
          <w:szCs w:val="24"/>
        </w:rPr>
        <w:t>Aim:</w:t>
      </w:r>
      <w:r>
        <w:rPr>
          <w:rFonts w:eastAsia="Times New Roman"/>
          <w:sz w:val="24"/>
          <w:szCs w:val="24"/>
        </w:rPr>
        <w:t xml:space="preserve"> The primary aim of this research is to figure out the impact associated with </w:t>
      </w:r>
      <w:r>
        <w:rPr>
          <w:rFonts w:eastAsia="Times New Roman"/>
          <w:sz w:val="24"/>
          <w:szCs w:val="24"/>
          <w:highlight w:val="white"/>
        </w:rPr>
        <w:t xml:space="preserve">socio-economic factors on employee performance for Marriott Hotel. </w:t>
      </w:r>
    </w:p>
    <w:p>
      <w:pPr>
        <w:spacing w:line="360" w:lineRule="auto"/>
        <w:jc w:val="both"/>
        <w:rPr>
          <w:rFonts w:eastAsia="Times New Roman"/>
          <w:b/>
          <w:sz w:val="24"/>
          <w:szCs w:val="24"/>
        </w:rPr>
      </w:pPr>
      <w:r>
        <w:rPr>
          <w:rFonts w:eastAsia="Times New Roman"/>
          <w:b/>
          <w:sz w:val="24"/>
          <w:szCs w:val="24"/>
        </w:rPr>
        <w:t xml:space="preserve">Objectives </w:t>
      </w:r>
    </w:p>
    <w:p>
      <w:pPr>
        <w:numPr>
          <w:ilvl w:val="0"/>
          <w:numId w:val="1"/>
        </w:numPr>
        <w:spacing w:line="360" w:lineRule="auto"/>
        <w:jc w:val="both"/>
        <w:rPr>
          <w:rFonts w:eastAsia="Times New Roman"/>
          <w:sz w:val="24"/>
          <w:szCs w:val="24"/>
        </w:rPr>
      </w:pPr>
      <w:r>
        <w:rPr>
          <w:rFonts w:eastAsia="Times New Roman"/>
          <w:sz w:val="24"/>
          <w:szCs w:val="24"/>
        </w:rPr>
        <w:t xml:space="preserve">To analyse the factors associated with socio-cultural influence on the working prowess of employees for a brand like Marriott Hotel </w:t>
      </w:r>
    </w:p>
    <w:p>
      <w:pPr>
        <w:numPr>
          <w:ilvl w:val="0"/>
          <w:numId w:val="1"/>
        </w:numPr>
        <w:spacing w:line="360" w:lineRule="auto"/>
        <w:jc w:val="both"/>
        <w:rPr>
          <w:rFonts w:eastAsia="Times New Roman"/>
          <w:sz w:val="24"/>
          <w:szCs w:val="24"/>
        </w:rPr>
      </w:pPr>
      <w:r>
        <w:rPr>
          <w:rFonts w:eastAsia="Times New Roman"/>
          <w:sz w:val="24"/>
          <w:szCs w:val="24"/>
        </w:rPr>
        <w:t xml:space="preserve">To evaluate the interrelation between different external factors and employee performance to secure a sustainable out for a hospitality brand like the Marriott Hotel </w:t>
      </w:r>
    </w:p>
    <w:p>
      <w:pPr>
        <w:numPr>
          <w:ilvl w:val="0"/>
          <w:numId w:val="1"/>
        </w:numPr>
        <w:spacing w:line="360" w:lineRule="auto"/>
        <w:jc w:val="both"/>
        <w:rPr>
          <w:rFonts w:eastAsia="Times New Roman"/>
          <w:sz w:val="24"/>
          <w:szCs w:val="24"/>
        </w:rPr>
      </w:pPr>
      <w:r>
        <w:rPr>
          <w:rFonts w:eastAsia="Times New Roman"/>
          <w:sz w:val="24"/>
          <w:szCs w:val="24"/>
        </w:rPr>
        <w:t>To identify various issues that the HRM of Marriott Hotel has faced regarding socio-economic factors which are somehow affecting their employee performance</w:t>
      </w:r>
    </w:p>
    <w:p>
      <w:pPr>
        <w:numPr>
          <w:ilvl w:val="0"/>
          <w:numId w:val="1"/>
        </w:numPr>
        <w:spacing w:line="360" w:lineRule="auto"/>
        <w:jc w:val="both"/>
        <w:rPr>
          <w:rFonts w:eastAsia="Times New Roman"/>
          <w:sz w:val="24"/>
          <w:szCs w:val="24"/>
        </w:rPr>
      </w:pPr>
      <w:r>
        <w:rPr>
          <w:rFonts w:eastAsia="Times New Roman"/>
          <w:sz w:val="24"/>
          <w:szCs w:val="24"/>
        </w:rPr>
        <w:t>To recommend different strategies that the HRM of Marriott Hotel can eventually take to strengthen their employee performance by working on socio-cultural factors</w:t>
      </w:r>
    </w:p>
    <w:p>
      <w:pPr>
        <w:pStyle w:val="3"/>
        <w:rPr>
          <w:rFonts w:ascii="Arial" w:hAnsi="Arial" w:cs="Arial"/>
        </w:rPr>
      </w:pPr>
      <w:bookmarkStart w:id="8" w:name="_sg3v3mswma0v" w:colFirst="0" w:colLast="0"/>
      <w:bookmarkEnd w:id="8"/>
      <w:bookmarkStart w:id="9" w:name="_Toc165472796"/>
      <w:r>
        <w:rPr>
          <w:rFonts w:ascii="Arial" w:hAnsi="Arial" w:cs="Arial"/>
        </w:rPr>
        <w:t>1.3 Background of the topic</w:t>
      </w:r>
      <w:bookmarkEnd w:id="9"/>
      <w:r>
        <w:rPr>
          <w:rFonts w:ascii="Arial" w:hAnsi="Arial" w:cs="Arial"/>
        </w:rPr>
        <w:t xml:space="preserve"> </w:t>
      </w:r>
    </w:p>
    <w:p>
      <w:pPr>
        <w:spacing w:line="360" w:lineRule="auto"/>
        <w:jc w:val="both"/>
        <w:rPr>
          <w:rFonts w:eastAsia="Times New Roman"/>
          <w:b/>
          <w:i/>
          <w:sz w:val="24"/>
          <w:szCs w:val="24"/>
        </w:rPr>
      </w:pPr>
      <w:r>
        <w:rPr>
          <w:rFonts w:eastAsia="Times New Roman"/>
          <w:b/>
          <w:i/>
          <w:sz w:val="24"/>
          <w:szCs w:val="24"/>
        </w:rPr>
        <w:t xml:space="preserve">The issues associated with socio-economic factors on employee performance </w:t>
      </w:r>
    </w:p>
    <w:p>
      <w:pPr>
        <w:spacing w:line="360" w:lineRule="auto"/>
        <w:jc w:val="both"/>
        <w:rPr>
          <w:rFonts w:eastAsia="Times New Roman"/>
          <w:sz w:val="24"/>
          <w:szCs w:val="24"/>
        </w:rPr>
      </w:pPr>
      <w:r>
        <w:rPr>
          <w:rFonts w:eastAsia="Times New Roman"/>
          <w:sz w:val="24"/>
          <w:szCs w:val="24"/>
        </w:rPr>
        <w:t>Friedman (2012) claims, socio-economic factors can be considered as one of such major elements that eventually decide the overall work done for an organisation irrespective of different industries. The inflation in the UK has been a troubling factor for different brands operating in the hospitality industry.</w:t>
      </w:r>
      <w:r>
        <w:rPr>
          <w:rFonts w:eastAsia="Times New Roman"/>
          <w:i/>
          <w:sz w:val="24"/>
          <w:szCs w:val="24"/>
        </w:rPr>
        <w:t xml:space="preserve"> Lack of employment opportunities, labour market issues, inflation, </w:t>
      </w:r>
      <w:r>
        <w:rPr>
          <w:rFonts w:eastAsia="Times New Roman"/>
          <w:sz w:val="24"/>
          <w:szCs w:val="24"/>
        </w:rPr>
        <w:t xml:space="preserve">and </w:t>
      </w:r>
      <w:r>
        <w:rPr>
          <w:rFonts w:eastAsia="Times New Roman"/>
          <w:i/>
          <w:sz w:val="24"/>
          <w:szCs w:val="24"/>
        </w:rPr>
        <w:t xml:space="preserve">affordability </w:t>
      </w:r>
      <w:r>
        <w:rPr>
          <w:rFonts w:eastAsia="Times New Roman"/>
          <w:sz w:val="24"/>
          <w:szCs w:val="24"/>
        </w:rPr>
        <w:t xml:space="preserve">are some of the major problems that the brand is observing which is somehow influencing the overall motivation of the employees. Lack of employee development training due to less gross profit is somehow causing issues for the brand in managing a sustainable outcome overall. </w:t>
      </w:r>
    </w:p>
    <w:p>
      <w:pPr>
        <w:spacing w:line="360" w:lineRule="auto"/>
        <w:jc w:val="both"/>
        <w:rPr>
          <w:rFonts w:eastAsia="Times New Roman"/>
          <w:b/>
          <w:i/>
          <w:sz w:val="24"/>
          <w:szCs w:val="24"/>
        </w:rPr>
      </w:pPr>
      <w:r>
        <w:rPr>
          <w:rFonts w:eastAsia="Times New Roman"/>
          <w:b/>
          <w:i/>
          <w:sz w:val="24"/>
          <w:szCs w:val="24"/>
        </w:rPr>
        <w:t>Impact of these socio-economic factors on employee monitoring and management in different work modes</w:t>
      </w:r>
    </w:p>
    <w:p>
      <w:pPr>
        <w:spacing w:line="360" w:lineRule="auto"/>
        <w:jc w:val="both"/>
        <w:rPr>
          <w:rFonts w:eastAsia="Times New Roman"/>
          <w:sz w:val="24"/>
          <w:szCs w:val="24"/>
        </w:rPr>
      </w:pPr>
      <w:r>
        <w:rPr>
          <w:rFonts w:eastAsia="Times New Roman"/>
          <w:sz w:val="24"/>
          <w:szCs w:val="24"/>
        </w:rPr>
        <w:t xml:space="preserve">As stated by Gallagher (2016), issues with socio-economic factors can eventually prove to be lethal in managing a decent employee motivation to generate a sustainable output. However, due to the imposed lockdown for over a year due to the pandemic, the employees had to switch to different working modes such as </w:t>
      </w:r>
      <w:r>
        <w:rPr>
          <w:rFonts w:eastAsia="Times New Roman"/>
          <w:i/>
          <w:sz w:val="24"/>
          <w:szCs w:val="24"/>
        </w:rPr>
        <w:t xml:space="preserve">hybrid work mode, office work arrangement </w:t>
      </w:r>
      <w:r>
        <w:rPr>
          <w:rFonts w:eastAsia="Times New Roman"/>
          <w:sz w:val="24"/>
          <w:szCs w:val="24"/>
        </w:rPr>
        <w:t xml:space="preserve">and </w:t>
      </w:r>
      <w:r>
        <w:rPr>
          <w:rFonts w:eastAsia="Times New Roman"/>
          <w:i/>
          <w:sz w:val="24"/>
          <w:szCs w:val="24"/>
        </w:rPr>
        <w:t xml:space="preserve">flexi work mode. Lack of socialising </w:t>
      </w:r>
      <w:r>
        <w:rPr>
          <w:rFonts w:eastAsia="Times New Roman"/>
          <w:sz w:val="24"/>
          <w:szCs w:val="24"/>
        </w:rPr>
        <w:t>and</w:t>
      </w:r>
      <w:r>
        <w:rPr>
          <w:rFonts w:eastAsia="Times New Roman"/>
          <w:i/>
          <w:sz w:val="24"/>
          <w:szCs w:val="24"/>
        </w:rPr>
        <w:t xml:space="preserve"> employee engagement </w:t>
      </w:r>
      <w:r>
        <w:rPr>
          <w:rFonts w:eastAsia="Times New Roman"/>
          <w:sz w:val="24"/>
          <w:szCs w:val="24"/>
        </w:rPr>
        <w:t xml:space="preserve">somehow affected the brand a lot in securing a decent outcome as it eventually affected the productivity of the employees by a large scale. </w:t>
      </w:r>
    </w:p>
    <w:p>
      <w:pPr>
        <w:pStyle w:val="2"/>
        <w:rPr>
          <w:rFonts w:ascii="Arial" w:hAnsi="Arial" w:cs="Arial"/>
        </w:rPr>
      </w:pPr>
      <w:bookmarkStart w:id="10" w:name="_7ifpl8858g19" w:colFirst="0" w:colLast="0"/>
      <w:bookmarkEnd w:id="10"/>
      <w:bookmarkStart w:id="11" w:name="_Toc165472797"/>
      <w:r>
        <w:rPr>
          <w:rFonts w:ascii="Arial" w:hAnsi="Arial" w:cs="Arial"/>
        </w:rPr>
        <w:t>2. Discussion/Literature</w:t>
      </w:r>
      <w:bookmarkEnd w:id="11"/>
      <w:r>
        <w:rPr>
          <w:rFonts w:ascii="Arial" w:hAnsi="Arial" w:cs="Arial"/>
        </w:rPr>
        <w:t xml:space="preserve"> </w:t>
      </w:r>
    </w:p>
    <w:p>
      <w:pPr>
        <w:pStyle w:val="3"/>
        <w:rPr>
          <w:rFonts w:ascii="Arial" w:hAnsi="Arial" w:cs="Arial"/>
        </w:rPr>
      </w:pPr>
      <w:bookmarkStart w:id="12" w:name="_ydgcrgt42rib" w:colFirst="0" w:colLast="0"/>
      <w:bookmarkEnd w:id="12"/>
      <w:bookmarkStart w:id="13" w:name="_Toc165472798"/>
      <w:r>
        <w:rPr>
          <w:rFonts w:ascii="Arial" w:hAnsi="Arial" w:cs="Arial"/>
        </w:rPr>
        <w:t>2.1 Describe socio-economic factors, a part of PESTLE Analysis</w:t>
      </w:r>
      <w:bookmarkEnd w:id="13"/>
    </w:p>
    <w:p>
      <w:pPr>
        <w:spacing w:line="360" w:lineRule="auto"/>
        <w:jc w:val="both"/>
        <w:rPr>
          <w:rFonts w:eastAsia="Times New Roman"/>
          <w:b/>
          <w:sz w:val="24"/>
          <w:szCs w:val="24"/>
        </w:rPr>
      </w:pPr>
      <w:r>
        <w:rPr>
          <w:rFonts w:eastAsia="Times New Roman"/>
          <w:b/>
          <w:i/>
          <w:sz w:val="24"/>
          <w:szCs w:val="24"/>
        </w:rPr>
        <w:t xml:space="preserve">Socio-economic factors </w:t>
      </w:r>
    </w:p>
    <w:tbl>
      <w:tblPr>
        <w:tblStyle w:val="18"/>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100" w:type="dxa"/>
          <w:left w:w="100" w:type="dxa"/>
          <w:bottom w:w="100" w:type="dxa"/>
          <w:right w:w="100" w:type="dxa"/>
        </w:tblCellMar>
      </w:tblPr>
      <w:tblGrid>
        <w:gridCol w:w="1796"/>
        <w:gridCol w:w="2376"/>
        <w:gridCol w:w="2667"/>
        <w:gridCol w:w="239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973"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eastAsia="Times New Roman"/>
                <w:b/>
                <w:sz w:val="24"/>
                <w:szCs w:val="24"/>
                <w:u w:val="single"/>
              </w:rPr>
            </w:pPr>
            <w:r>
              <w:rPr>
                <w:rFonts w:eastAsia="Times New Roman"/>
                <w:b/>
                <w:sz w:val="24"/>
                <w:szCs w:val="24"/>
                <w:u w:val="single"/>
              </w:rPr>
              <w:t xml:space="preserve">Factors </w:t>
            </w:r>
          </w:p>
        </w:tc>
        <w:tc>
          <w:tcPr>
            <w:tcW w:w="1287"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eastAsia="Times New Roman"/>
                <w:b/>
                <w:sz w:val="24"/>
                <w:szCs w:val="24"/>
                <w:u w:val="single"/>
              </w:rPr>
            </w:pPr>
            <w:r>
              <w:rPr>
                <w:rFonts w:eastAsia="Times New Roman"/>
                <w:b/>
                <w:sz w:val="24"/>
                <w:szCs w:val="24"/>
                <w:u w:val="single"/>
              </w:rPr>
              <w:t>Impact</w:t>
            </w:r>
          </w:p>
        </w:tc>
        <w:tc>
          <w:tcPr>
            <w:tcW w:w="1445"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eastAsia="Times New Roman"/>
                <w:b/>
                <w:sz w:val="24"/>
                <w:szCs w:val="24"/>
                <w:u w:val="single"/>
              </w:rPr>
            </w:pPr>
            <w:r>
              <w:rPr>
                <w:rFonts w:eastAsia="Times New Roman"/>
                <w:b/>
                <w:sz w:val="24"/>
                <w:szCs w:val="24"/>
                <w:u w:val="single"/>
              </w:rPr>
              <w:t xml:space="preserve">Positive </w:t>
            </w:r>
          </w:p>
        </w:tc>
        <w:tc>
          <w:tcPr>
            <w:tcW w:w="1295"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eastAsia="Times New Roman"/>
                <w:b/>
                <w:sz w:val="24"/>
                <w:szCs w:val="24"/>
                <w:u w:val="single"/>
              </w:rPr>
            </w:pPr>
            <w:r>
              <w:rPr>
                <w:rFonts w:eastAsia="Times New Roman"/>
                <w:b/>
                <w:sz w:val="24"/>
                <w:szCs w:val="24"/>
                <w:u w:val="single"/>
              </w:rPr>
              <w:t xml:space="preserve">Negative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973"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 xml:space="preserve">Political Factors </w:t>
            </w:r>
          </w:p>
        </w:tc>
        <w:tc>
          <w:tcPr>
            <w:tcW w:w="1287" w:type="pct"/>
            <w:shd w:val="clear" w:color="auto" w:fill="auto"/>
            <w:tcMar>
              <w:top w:w="100" w:type="dxa"/>
              <w:left w:w="100" w:type="dxa"/>
              <w:bottom w:w="100" w:type="dxa"/>
              <w:right w:w="100" w:type="dxa"/>
            </w:tcMar>
          </w:tcPr>
          <w:p>
            <w:pPr>
              <w:widowControl w:val="0"/>
              <w:numPr>
                <w:ilvl w:val="0"/>
                <w:numId w:val="2"/>
              </w:numPr>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 xml:space="preserve">Unstable Geo-Politics </w:t>
            </w:r>
          </w:p>
          <w:p>
            <w:pPr>
              <w:widowControl w:val="0"/>
              <w:numPr>
                <w:ilvl w:val="0"/>
                <w:numId w:val="2"/>
              </w:numPr>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Brexit</w:t>
            </w:r>
          </w:p>
        </w:tc>
        <w:tc>
          <w:tcPr>
            <w:tcW w:w="1445"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 xml:space="preserve">Since </w:t>
            </w:r>
            <w:r>
              <w:rPr>
                <w:rFonts w:eastAsia="Times New Roman"/>
                <w:i/>
                <w:sz w:val="24"/>
                <w:szCs w:val="24"/>
              </w:rPr>
              <w:t>Britain’s</w:t>
            </w:r>
            <w:r>
              <w:rPr>
                <w:rFonts w:eastAsia="Times New Roman"/>
                <w:sz w:val="24"/>
                <w:szCs w:val="24"/>
              </w:rPr>
              <w:t xml:space="preserve"> exit from the </w:t>
            </w:r>
            <w:r>
              <w:rPr>
                <w:rFonts w:eastAsia="Times New Roman"/>
                <w:i/>
                <w:sz w:val="24"/>
                <w:szCs w:val="24"/>
              </w:rPr>
              <w:t>EU</w:t>
            </w:r>
            <w:r>
              <w:rPr>
                <w:rFonts w:eastAsia="Times New Roman"/>
                <w:sz w:val="24"/>
                <w:szCs w:val="24"/>
              </w:rPr>
              <w:t xml:space="preserve"> in the form of </w:t>
            </w:r>
            <w:r>
              <w:rPr>
                <w:rFonts w:eastAsia="Times New Roman"/>
                <w:i/>
                <w:sz w:val="24"/>
                <w:szCs w:val="24"/>
              </w:rPr>
              <w:t>Brexit</w:t>
            </w:r>
            <w:r>
              <w:rPr>
                <w:rFonts w:eastAsia="Times New Roman"/>
                <w:sz w:val="24"/>
                <w:szCs w:val="24"/>
              </w:rPr>
              <w:t xml:space="preserve">, getting visas for different European countries has been a problematic thing. This has somehow boosted domestic travelling a lot in recent times. For this, the hospitality industry as a whole is getting affected due to that. </w:t>
            </w:r>
          </w:p>
        </w:tc>
        <w:tc>
          <w:tcPr>
            <w:tcW w:w="1295"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 xml:space="preserve">Unstable geopolitics due to the Russia-Ukraine way and the </w:t>
            </w:r>
            <w:r>
              <w:rPr>
                <w:rFonts w:eastAsia="Times New Roman"/>
                <w:i/>
                <w:sz w:val="24"/>
                <w:szCs w:val="24"/>
              </w:rPr>
              <w:t>Israel-Palestine</w:t>
            </w:r>
            <w:r>
              <w:rPr>
                <w:rFonts w:eastAsia="Times New Roman"/>
                <w:sz w:val="24"/>
                <w:szCs w:val="24"/>
              </w:rPr>
              <w:t xml:space="preserve"> conflict have drastically hampered the business development of different hospitality brands. The number of foreign tourists has significantly dropped down due to these factors in recent times, which is not an ideal scenario at any given point in time.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973"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Economic Factors</w:t>
            </w:r>
          </w:p>
        </w:tc>
        <w:tc>
          <w:tcPr>
            <w:tcW w:w="1287" w:type="pct"/>
            <w:shd w:val="clear" w:color="auto" w:fill="auto"/>
            <w:tcMar>
              <w:top w:w="100" w:type="dxa"/>
              <w:left w:w="100" w:type="dxa"/>
              <w:bottom w:w="100" w:type="dxa"/>
              <w:right w:w="100" w:type="dxa"/>
            </w:tcMar>
          </w:tcPr>
          <w:p>
            <w:pPr>
              <w:widowControl w:val="0"/>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 xml:space="preserve">Inflation </w:t>
            </w:r>
          </w:p>
          <w:p>
            <w:pPr>
              <w:widowControl w:val="0"/>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GDP Growth Rate</w:t>
            </w:r>
          </w:p>
        </w:tc>
        <w:tc>
          <w:tcPr>
            <w:tcW w:w="1445"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 xml:space="preserve">The </w:t>
            </w:r>
            <w:r>
              <w:rPr>
                <w:rFonts w:eastAsia="Times New Roman"/>
                <w:i/>
                <w:sz w:val="24"/>
                <w:szCs w:val="24"/>
              </w:rPr>
              <w:t>labour market</w:t>
            </w:r>
            <w:r>
              <w:rPr>
                <w:rFonts w:eastAsia="Times New Roman"/>
                <w:sz w:val="24"/>
                <w:szCs w:val="24"/>
              </w:rPr>
              <w:t xml:space="preserve"> is somehow coming back to its original shape after the concussion of the pandemic. Due to the reduced employment, the </w:t>
            </w:r>
            <w:r>
              <w:rPr>
                <w:rFonts w:eastAsia="Times New Roman"/>
                <w:i/>
                <w:sz w:val="24"/>
                <w:szCs w:val="24"/>
              </w:rPr>
              <w:t>GDP growth rate</w:t>
            </w:r>
            <w:r>
              <w:rPr>
                <w:rFonts w:eastAsia="Times New Roman"/>
                <w:sz w:val="24"/>
                <w:szCs w:val="24"/>
              </w:rPr>
              <w:t xml:space="preserve"> is somehow enhancing within the country. As the </w:t>
            </w:r>
            <w:r>
              <w:rPr>
                <w:rFonts w:eastAsia="Times New Roman"/>
                <w:i/>
                <w:sz w:val="24"/>
                <w:szCs w:val="24"/>
              </w:rPr>
              <w:t xml:space="preserve">per capita income </w:t>
            </w:r>
            <w:r>
              <w:rPr>
                <w:rFonts w:eastAsia="Times New Roman"/>
                <w:sz w:val="24"/>
                <w:szCs w:val="24"/>
              </w:rPr>
              <w:t xml:space="preserve">of people is increasing, they are thinking of spending money on travelling just like old days. </w:t>
            </w:r>
          </w:p>
        </w:tc>
        <w:tc>
          <w:tcPr>
            <w:tcW w:w="1295"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i/>
                <w:sz w:val="24"/>
                <w:szCs w:val="24"/>
              </w:rPr>
              <w:t>Inflation</w:t>
            </w:r>
            <w:r>
              <w:rPr>
                <w:rFonts w:eastAsia="Times New Roman"/>
                <w:sz w:val="24"/>
                <w:szCs w:val="24"/>
              </w:rPr>
              <w:t xml:space="preserve"> is arguably one such modern curse which is still there in the UK market as of today. Due to inflation, the price of essential items is increasing every single day, making the common people reluctant to invent more travelling options.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973"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 xml:space="preserve">Social Factors </w:t>
            </w:r>
          </w:p>
        </w:tc>
        <w:tc>
          <w:tcPr>
            <w:tcW w:w="1287" w:type="pct"/>
            <w:shd w:val="clear" w:color="auto" w:fill="auto"/>
            <w:tcMar>
              <w:top w:w="100" w:type="dxa"/>
              <w:left w:w="100" w:type="dxa"/>
              <w:bottom w:w="100" w:type="dxa"/>
              <w:right w:w="100" w:type="dxa"/>
            </w:tcMar>
          </w:tcPr>
          <w:p>
            <w:pPr>
              <w:widowControl w:val="0"/>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 xml:space="preserve">Cultural differences </w:t>
            </w:r>
          </w:p>
          <w:p>
            <w:pPr>
              <w:widowControl w:val="0"/>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 xml:space="preserve">Affordability </w:t>
            </w:r>
          </w:p>
        </w:tc>
        <w:tc>
          <w:tcPr>
            <w:tcW w:w="1445"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i/>
                <w:sz w:val="24"/>
                <w:szCs w:val="24"/>
              </w:rPr>
              <w:t>Change in affordability</w:t>
            </w:r>
            <w:r>
              <w:rPr>
                <w:rFonts w:eastAsia="Times New Roman"/>
                <w:sz w:val="24"/>
                <w:szCs w:val="24"/>
              </w:rPr>
              <w:t xml:space="preserve"> after the recently concluded pandemic is one of such major factors, which is somehow boosting the business of different brands operating in the hospitality industry. Due to the enhanced per capita income, the affordability of people is also enhancing for people which is eventually a good sign for different brands operating in the hospitality sector. </w:t>
            </w:r>
          </w:p>
        </w:tc>
        <w:tc>
          <w:tcPr>
            <w:tcW w:w="1295"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i/>
                <w:sz w:val="24"/>
                <w:szCs w:val="24"/>
              </w:rPr>
              <w:t>Cultural differences</w:t>
            </w:r>
            <w:r>
              <w:rPr>
                <w:rFonts w:eastAsia="Times New Roman"/>
                <w:sz w:val="24"/>
                <w:szCs w:val="24"/>
              </w:rPr>
              <w:t xml:space="preserve"> among different people within the society are one of such major elements, which negatively affect the business development of different hospitality brands. Due to the fear of cross-contamination after the pandemic, people are still reluctant to travel to certain locations as a form of travelling purposes. </w:t>
            </w:r>
          </w:p>
        </w:tc>
      </w:tr>
    </w:tbl>
    <w:p>
      <w:pPr>
        <w:spacing w:line="360" w:lineRule="auto"/>
        <w:jc w:val="both"/>
        <w:rPr>
          <w:rFonts w:eastAsia="Times New Roman"/>
          <w:b/>
          <w:sz w:val="24"/>
          <w:szCs w:val="24"/>
        </w:rPr>
      </w:pPr>
    </w:p>
    <w:p>
      <w:pPr>
        <w:pStyle w:val="3"/>
        <w:rPr>
          <w:rFonts w:ascii="Arial" w:hAnsi="Arial" w:cs="Arial"/>
        </w:rPr>
      </w:pPr>
      <w:bookmarkStart w:id="14" w:name="_b88aa9z2z63j" w:colFirst="0" w:colLast="0"/>
      <w:bookmarkEnd w:id="14"/>
      <w:bookmarkStart w:id="15" w:name="_Toc165472799"/>
      <w:r>
        <w:rPr>
          <w:rFonts w:ascii="Arial" w:hAnsi="Arial" w:cs="Arial"/>
        </w:rPr>
        <w:t>2.2 Describe the industry trend associated with the hospitality sector</w:t>
      </w:r>
      <w:bookmarkEnd w:id="15"/>
      <w:r>
        <w:rPr>
          <w:rFonts w:ascii="Arial" w:hAnsi="Arial" w:cs="Arial"/>
        </w:rPr>
        <w:t xml:space="preserve"> </w:t>
      </w:r>
    </w:p>
    <w:p>
      <w:pPr>
        <w:spacing w:line="360" w:lineRule="auto"/>
        <w:jc w:val="both"/>
        <w:rPr>
          <w:rFonts w:eastAsia="Times New Roman"/>
          <w:sz w:val="24"/>
          <w:szCs w:val="24"/>
        </w:rPr>
      </w:pPr>
      <w:r>
        <w:rPr>
          <w:rFonts w:eastAsia="Times New Roman"/>
          <w:sz w:val="24"/>
          <w:szCs w:val="24"/>
        </w:rPr>
        <w:t xml:space="preserve">As per the views of Horn (2009), the hospitality industry has seen different types of industrial trends over the years since the inception of digitalisation. People have started to focus more on contactless openings more than anything else for fear of cross-contamination. Sustainable practices in terms of hospitality brands are one of such major trends that millennials are focusing on at this moment. </w:t>
      </w:r>
    </w:p>
    <w:p>
      <w:pPr>
        <w:spacing w:line="360" w:lineRule="auto"/>
        <w:jc w:val="both"/>
        <w:rPr>
          <w:rFonts w:eastAsia="Times New Roman"/>
          <w:b/>
          <w:i/>
          <w:sz w:val="24"/>
          <w:szCs w:val="24"/>
        </w:rPr>
      </w:pPr>
      <w:r>
        <w:rPr>
          <w:rFonts w:eastAsia="Times New Roman"/>
          <w:b/>
          <w:i/>
          <w:sz w:val="24"/>
          <w:szCs w:val="24"/>
        </w:rPr>
        <w:t xml:space="preserve">Contactless payment interface </w:t>
      </w:r>
    </w:p>
    <w:p>
      <w:pPr>
        <w:spacing w:line="360" w:lineRule="auto"/>
        <w:jc w:val="both"/>
        <w:rPr>
          <w:rFonts w:eastAsia="Times New Roman"/>
          <w:sz w:val="24"/>
          <w:szCs w:val="24"/>
        </w:rPr>
      </w:pPr>
      <w:r>
        <w:rPr>
          <w:rFonts w:eastAsia="Times New Roman"/>
          <w:sz w:val="24"/>
          <w:szCs w:val="24"/>
        </w:rPr>
        <w:t xml:space="preserve">As opined by Johnston </w:t>
      </w:r>
      <w:r>
        <w:rPr>
          <w:rFonts w:eastAsia="Times New Roman"/>
          <w:i/>
          <w:sz w:val="24"/>
          <w:szCs w:val="24"/>
        </w:rPr>
        <w:t>et al</w:t>
      </w:r>
      <w:r>
        <w:rPr>
          <w:rFonts w:eastAsia="Times New Roman"/>
          <w:sz w:val="24"/>
          <w:szCs w:val="24"/>
        </w:rPr>
        <w:t xml:space="preserve">., (2012), the contactless payment interface is one of such major trends that often gets seen in the hospitality industry as of today. Since the conclusion of the pandemic, people now are focusing on paying online as the fear of cross-contamination is still in place. This is somehow influencing the overall operations of different brands in managing a stable output within the hospitality sector. </w:t>
      </w:r>
    </w:p>
    <w:p>
      <w:pPr>
        <w:spacing w:line="360" w:lineRule="auto"/>
        <w:jc w:val="both"/>
        <w:rPr>
          <w:rFonts w:eastAsia="Times New Roman"/>
          <w:b/>
          <w:i/>
          <w:sz w:val="24"/>
          <w:szCs w:val="24"/>
        </w:rPr>
      </w:pPr>
      <w:r>
        <w:rPr>
          <w:rFonts w:eastAsia="Times New Roman"/>
          <w:b/>
          <w:i/>
          <w:sz w:val="24"/>
          <w:szCs w:val="24"/>
        </w:rPr>
        <w:t>Sustainable practices for accommodation and travelling</w:t>
      </w:r>
    </w:p>
    <w:p>
      <w:pPr>
        <w:spacing w:line="360" w:lineRule="auto"/>
        <w:jc w:val="both"/>
        <w:rPr>
          <w:rFonts w:eastAsia="Times New Roman"/>
          <w:sz w:val="24"/>
          <w:szCs w:val="24"/>
        </w:rPr>
      </w:pPr>
      <w:r>
        <w:rPr>
          <w:rFonts w:eastAsia="Times New Roman"/>
          <w:sz w:val="24"/>
          <w:szCs w:val="24"/>
        </w:rPr>
        <w:t xml:space="preserve">As people are now focusing on sustainable lifestyles a bit more, different eco-friendly measures are something that the brands within the hospitality sector are looking at right now. Different sustainable practices such as eco-friendly accommodation and electric vehicles for travelling are some of the major trends that people are following now with the entire hospitality sector. </w:t>
      </w:r>
    </w:p>
    <w:p>
      <w:pPr>
        <w:pStyle w:val="3"/>
        <w:rPr>
          <w:rFonts w:ascii="Arial" w:hAnsi="Arial" w:cs="Arial"/>
        </w:rPr>
      </w:pPr>
      <w:bookmarkStart w:id="16" w:name="_g45ndbn2j3m3" w:colFirst="0" w:colLast="0"/>
      <w:bookmarkEnd w:id="16"/>
      <w:bookmarkStart w:id="17" w:name="_Toc165472800"/>
      <w:r>
        <w:rPr>
          <w:rFonts w:ascii="Arial" w:hAnsi="Arial" w:cs="Arial"/>
        </w:rPr>
        <w:t>2.3 Discuss the emergence of different work modes in the hospitality industry over these five years</w:t>
      </w:r>
      <w:bookmarkEnd w:id="17"/>
    </w:p>
    <w:p>
      <w:pPr>
        <w:spacing w:line="360" w:lineRule="auto"/>
        <w:jc w:val="both"/>
        <w:rPr>
          <w:rFonts w:eastAsia="Times New Roman"/>
          <w:sz w:val="24"/>
          <w:szCs w:val="24"/>
        </w:rPr>
      </w:pPr>
      <w:r>
        <w:rPr>
          <w:rFonts w:eastAsia="Times New Roman"/>
          <w:sz w:val="24"/>
          <w:szCs w:val="24"/>
        </w:rPr>
        <w:t xml:space="preserve">As proposed by </w:t>
      </w:r>
      <w:r>
        <w:rPr>
          <w:rFonts w:eastAsia="Times New Roman"/>
          <w:sz w:val="24"/>
          <w:szCs w:val="24"/>
          <w:highlight w:val="white"/>
        </w:rPr>
        <w:t xml:space="preserve">Salazar (2018, p. 678), </w:t>
      </w:r>
      <w:r>
        <w:rPr>
          <w:rFonts w:eastAsia="Times New Roman"/>
          <w:sz w:val="24"/>
          <w:szCs w:val="24"/>
        </w:rPr>
        <w:t xml:space="preserve">since the recently concluded pandemic the working process of different brands has changed a lot more than it used to back in the day. However, different types of working modes have emerged a lot over the years, which has eventually made operations management a bit more complex. </w:t>
      </w:r>
    </w:p>
    <w:p>
      <w:pPr>
        <w:spacing w:line="360" w:lineRule="auto"/>
        <w:jc w:val="center"/>
        <w:rPr>
          <w:rFonts w:eastAsia="Times New Roman"/>
          <w:sz w:val="24"/>
          <w:szCs w:val="24"/>
        </w:rPr>
      </w:pPr>
      <w:r>
        <w:rPr>
          <w:rFonts w:eastAsia="Times New Roman"/>
          <w:sz w:val="24"/>
          <w:szCs w:val="24"/>
          <w:lang w:val="en-IN" w:eastAsia="en-IN"/>
        </w:rPr>
        <w:drawing>
          <wp:inline distT="114300" distB="114300" distL="114300" distR="114300">
            <wp:extent cx="4793615" cy="2861945"/>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4794037" cy="2862263"/>
                    </a:xfrm>
                    <a:prstGeom prst="rect">
                      <a:avLst/>
                    </a:prstGeom>
                    <a:ln w="12700">
                      <a:solidFill>
                        <a:srgbClr val="000000"/>
                      </a:solidFill>
                      <a:prstDash val="solid"/>
                    </a:ln>
                  </pic:spPr>
                </pic:pic>
              </a:graphicData>
            </a:graphic>
          </wp:inline>
        </w:drawing>
      </w:r>
    </w:p>
    <w:p>
      <w:pPr>
        <w:spacing w:line="360" w:lineRule="auto"/>
        <w:jc w:val="center"/>
        <w:rPr>
          <w:rFonts w:eastAsia="Times New Roman"/>
          <w:b/>
          <w:sz w:val="24"/>
          <w:szCs w:val="24"/>
        </w:rPr>
      </w:pPr>
      <w:r>
        <w:rPr>
          <w:rFonts w:eastAsia="Times New Roman"/>
          <w:b/>
          <w:sz w:val="24"/>
          <w:szCs w:val="24"/>
        </w:rPr>
        <w:t>Figure 2: Hybrid mode of working trends in UK hospitality industry during 2022</w:t>
      </w:r>
    </w:p>
    <w:p>
      <w:pPr>
        <w:spacing w:line="360" w:lineRule="auto"/>
        <w:jc w:val="center"/>
        <w:rPr>
          <w:rFonts w:eastAsia="Times New Roman"/>
          <w:sz w:val="24"/>
          <w:szCs w:val="24"/>
        </w:rPr>
      </w:pPr>
      <w:r>
        <w:rPr>
          <w:rFonts w:eastAsia="Times New Roman"/>
          <w:sz w:val="24"/>
          <w:szCs w:val="24"/>
        </w:rPr>
        <w:t>(Source: statista.com, 2023)</w:t>
      </w:r>
    </w:p>
    <w:p>
      <w:pPr>
        <w:spacing w:line="360" w:lineRule="auto"/>
        <w:jc w:val="both"/>
        <w:rPr>
          <w:rFonts w:eastAsia="Times New Roman"/>
          <w:b/>
          <w:i/>
          <w:sz w:val="24"/>
          <w:szCs w:val="24"/>
        </w:rPr>
      </w:pPr>
      <w:r>
        <w:rPr>
          <w:rFonts w:eastAsia="Times New Roman"/>
          <w:b/>
          <w:i/>
          <w:sz w:val="24"/>
          <w:szCs w:val="24"/>
        </w:rPr>
        <w:t>Hybrid work mode</w:t>
      </w:r>
    </w:p>
    <w:p>
      <w:pPr>
        <w:spacing w:line="360" w:lineRule="auto"/>
        <w:jc w:val="both"/>
        <w:rPr>
          <w:rFonts w:eastAsia="Times New Roman"/>
          <w:sz w:val="24"/>
          <w:szCs w:val="24"/>
        </w:rPr>
      </w:pPr>
      <w:r>
        <w:rPr>
          <w:rFonts w:eastAsia="Times New Roman"/>
          <w:i/>
          <w:sz w:val="24"/>
          <w:szCs w:val="24"/>
        </w:rPr>
        <w:t>The hybrid mode of working</w:t>
      </w:r>
      <w:r>
        <w:rPr>
          <w:rFonts w:eastAsia="Times New Roman"/>
          <w:sz w:val="24"/>
          <w:szCs w:val="24"/>
        </w:rPr>
        <w:t xml:space="preserve"> is all about the combination of both online working from remote locations and offline working from the office (</w:t>
      </w:r>
      <w:r>
        <w:rPr>
          <w:rFonts w:eastAsia="Times New Roman"/>
          <w:sz w:val="24"/>
          <w:szCs w:val="24"/>
          <w:highlight w:val="white"/>
        </w:rPr>
        <w:t xml:space="preserve">Aksoy </w:t>
      </w:r>
      <w:r>
        <w:rPr>
          <w:rFonts w:eastAsia="Times New Roman"/>
          <w:i/>
          <w:sz w:val="24"/>
          <w:szCs w:val="24"/>
          <w:highlight w:val="white"/>
        </w:rPr>
        <w:t>et al</w:t>
      </w:r>
      <w:r>
        <w:rPr>
          <w:rFonts w:eastAsia="Times New Roman"/>
          <w:sz w:val="24"/>
          <w:szCs w:val="24"/>
          <w:highlight w:val="white"/>
        </w:rPr>
        <w:t>., 2022, p. 970)</w:t>
      </w:r>
      <w:r>
        <w:rPr>
          <w:rFonts w:eastAsia="Times New Roman"/>
          <w:sz w:val="24"/>
          <w:szCs w:val="24"/>
        </w:rPr>
        <w:t xml:space="preserve">. The hybrid-working mode has become so popular since the recent lockdown that many of the brands are still using this particular mode of operations to manage their overall revenue margin. This particular mode of operation is flexible in nature and productive as well. </w:t>
      </w:r>
    </w:p>
    <w:p>
      <w:pPr>
        <w:spacing w:line="360" w:lineRule="auto"/>
        <w:jc w:val="both"/>
        <w:rPr>
          <w:rFonts w:eastAsia="Times New Roman"/>
          <w:b/>
          <w:i/>
          <w:sz w:val="24"/>
          <w:szCs w:val="24"/>
        </w:rPr>
      </w:pPr>
      <w:r>
        <w:rPr>
          <w:rFonts w:eastAsia="Times New Roman"/>
          <w:b/>
          <w:i/>
          <w:sz w:val="24"/>
          <w:szCs w:val="24"/>
        </w:rPr>
        <w:t>Office work arrangement</w:t>
      </w:r>
    </w:p>
    <w:p>
      <w:pPr>
        <w:spacing w:line="360" w:lineRule="auto"/>
        <w:jc w:val="both"/>
        <w:rPr>
          <w:rFonts w:eastAsia="Times New Roman"/>
          <w:sz w:val="24"/>
          <w:szCs w:val="24"/>
        </w:rPr>
      </w:pPr>
      <w:r>
        <w:rPr>
          <w:rFonts w:eastAsia="Times New Roman"/>
          <w:i/>
          <w:sz w:val="24"/>
          <w:szCs w:val="24"/>
        </w:rPr>
        <w:t xml:space="preserve">Office work arrangement </w:t>
      </w:r>
      <w:r>
        <w:rPr>
          <w:rFonts w:eastAsia="Times New Roman"/>
          <w:sz w:val="24"/>
          <w:szCs w:val="24"/>
        </w:rPr>
        <w:t xml:space="preserve">is mainly the conventional working type where offline working is the only option for the employees and remote working remains prohibited. The office work arrangements can be crucial at times when the nerve gets changed irrespective of different external conditions. The hospitality sector is mainly a B2C service-based industry. For this, office work arrangement or offline, working at the office remains the utmost priority for different brands, which are operating, in this particular sector. </w:t>
      </w:r>
    </w:p>
    <w:p>
      <w:pPr>
        <w:spacing w:line="360" w:lineRule="auto"/>
        <w:jc w:val="both"/>
        <w:rPr>
          <w:rFonts w:eastAsia="Times New Roman"/>
          <w:b/>
          <w:i/>
          <w:sz w:val="24"/>
          <w:szCs w:val="24"/>
        </w:rPr>
      </w:pPr>
      <w:r>
        <w:rPr>
          <w:rFonts w:eastAsia="Times New Roman"/>
          <w:b/>
          <w:i/>
          <w:sz w:val="24"/>
          <w:szCs w:val="24"/>
        </w:rPr>
        <w:t>Flexi work mode</w:t>
      </w:r>
    </w:p>
    <w:p>
      <w:pPr>
        <w:spacing w:line="360" w:lineRule="auto"/>
        <w:jc w:val="both"/>
        <w:rPr>
          <w:rFonts w:eastAsia="Times New Roman"/>
          <w:sz w:val="24"/>
          <w:szCs w:val="24"/>
        </w:rPr>
      </w:pPr>
      <w:r>
        <w:rPr>
          <w:rFonts w:eastAsia="Times New Roman"/>
          <w:sz w:val="24"/>
          <w:szCs w:val="24"/>
        </w:rPr>
        <w:t xml:space="preserve">As depicted by </w:t>
      </w:r>
      <w:r>
        <w:rPr>
          <w:rFonts w:eastAsia="Times New Roman"/>
          <w:sz w:val="24"/>
          <w:szCs w:val="24"/>
          <w:highlight w:val="white"/>
        </w:rPr>
        <w:t xml:space="preserve">Huminic (2018, p. 90), </w:t>
      </w:r>
      <w:r>
        <w:rPr>
          <w:rFonts w:eastAsia="Times New Roman"/>
          <w:i/>
          <w:sz w:val="24"/>
          <w:szCs w:val="24"/>
        </w:rPr>
        <w:t xml:space="preserve">flexible work mode </w:t>
      </w:r>
      <w:r>
        <w:rPr>
          <w:rFonts w:eastAsia="Times New Roman"/>
          <w:sz w:val="24"/>
          <w:szCs w:val="24"/>
        </w:rPr>
        <w:t xml:space="preserve">is a type of alternative scheduling for employees where they get the chance to work as per their time to maintain standard productivity while working for the organisation. Flexi work mode or flexible timing is one of such major elements, which is somehow affecting the overall business development for different brands operating in the hospitality sector as the industry demands offline work a lot. Hence, these are some of the major movies working which are somehow affecting the outcome of different brands operating in this industry. </w:t>
      </w:r>
    </w:p>
    <w:p>
      <w:pPr>
        <w:pStyle w:val="3"/>
        <w:rPr>
          <w:rFonts w:ascii="Arial" w:hAnsi="Arial" w:cs="Arial"/>
        </w:rPr>
      </w:pPr>
      <w:bookmarkStart w:id="18" w:name="_ejexnh93szoj" w:colFirst="0" w:colLast="0"/>
      <w:bookmarkEnd w:id="18"/>
      <w:bookmarkStart w:id="19" w:name="_Toc165472801"/>
      <w:r>
        <w:rPr>
          <w:rFonts w:ascii="Arial" w:hAnsi="Arial" w:cs="Arial"/>
        </w:rPr>
        <w:t>2.4 Provide examples of how the selected international hotel brand monitors employees</w:t>
      </w:r>
      <w:bookmarkEnd w:id="19"/>
    </w:p>
    <w:p>
      <w:pPr>
        <w:spacing w:line="360" w:lineRule="auto"/>
        <w:jc w:val="both"/>
        <w:rPr>
          <w:rFonts w:eastAsia="Times New Roman"/>
          <w:b/>
          <w:sz w:val="24"/>
          <w:szCs w:val="24"/>
        </w:rPr>
      </w:pPr>
      <w:r>
        <w:rPr>
          <w:rFonts w:eastAsia="Times New Roman"/>
          <w:b/>
          <w:sz w:val="24"/>
          <w:szCs w:val="24"/>
        </w:rPr>
        <w:t>Management in different work modes</w:t>
      </w:r>
    </w:p>
    <w:p>
      <w:pPr>
        <w:spacing w:line="360" w:lineRule="auto"/>
        <w:jc w:val="both"/>
        <w:rPr>
          <w:rFonts w:eastAsia="Times New Roman"/>
          <w:sz w:val="24"/>
          <w:szCs w:val="24"/>
        </w:rPr>
      </w:pPr>
      <w:r>
        <w:rPr>
          <w:rFonts w:eastAsia="Times New Roman"/>
          <w:sz w:val="24"/>
          <w:szCs w:val="24"/>
        </w:rPr>
        <w:t xml:space="preserve">As per the views of </w:t>
      </w:r>
      <w:r>
        <w:rPr>
          <w:rFonts w:eastAsia="Times New Roman"/>
          <w:sz w:val="24"/>
          <w:szCs w:val="24"/>
          <w:highlight w:val="white"/>
        </w:rPr>
        <w:t xml:space="preserve">Babar and Ali (2019, p. 630), </w:t>
      </w:r>
      <w:r>
        <w:rPr>
          <w:rFonts w:eastAsia="Times New Roman"/>
          <w:sz w:val="24"/>
          <w:szCs w:val="24"/>
        </w:rPr>
        <w:t xml:space="preserve">monitoring the overall work done can be crucial at times as different working modes eventually make operations management a bit complex. For example, </w:t>
      </w:r>
      <w:r>
        <w:rPr>
          <w:rFonts w:eastAsia="Times New Roman"/>
          <w:i/>
          <w:sz w:val="24"/>
          <w:szCs w:val="24"/>
        </w:rPr>
        <w:t xml:space="preserve">Marriott Hotel </w:t>
      </w:r>
      <w:r>
        <w:rPr>
          <w:rFonts w:eastAsia="Times New Roman"/>
          <w:sz w:val="24"/>
          <w:szCs w:val="24"/>
        </w:rPr>
        <w:t xml:space="preserve">does team review meetings every single weekend to manage and monitor the entire work done by the employee who has opted for hybrid mode or flexi work mode. By doing team review meetings every single weekend, the managers and supervisors overview the entire work done by the employee from productivity to error percentage. This is one of such major approaches which has somehow helped the brand overall over the years in managing a suitable outcome in its different locations across the entire globe. However, </w:t>
      </w:r>
      <w:r>
        <w:rPr>
          <w:rFonts w:eastAsia="Times New Roman"/>
          <w:i/>
          <w:sz w:val="24"/>
          <w:szCs w:val="24"/>
        </w:rPr>
        <w:t>IHG Hotel Group</w:t>
      </w:r>
      <w:r>
        <w:rPr>
          <w:rFonts w:eastAsia="Times New Roman"/>
          <w:sz w:val="24"/>
          <w:szCs w:val="24"/>
        </w:rPr>
        <w:t xml:space="preserve"> is yet another major brand, which uses different communication tools such as Trello and Asana for establishing online meetings with their employees on a daily basis. Talking to the employees on a daily basis and getting updated about their work has made the brand successful in recent years as they have all the access to manage their employee productivity more accurately than other different brands operating in this sector. </w:t>
      </w:r>
    </w:p>
    <w:p>
      <w:pPr>
        <w:pStyle w:val="3"/>
        <w:rPr>
          <w:rFonts w:ascii="Arial" w:hAnsi="Arial" w:cs="Arial"/>
        </w:rPr>
      </w:pPr>
      <w:bookmarkStart w:id="20" w:name="_llvtg5fbf3z9" w:colFirst="0" w:colLast="0"/>
      <w:bookmarkEnd w:id="20"/>
      <w:bookmarkStart w:id="21" w:name="_Toc165472802"/>
      <w:r>
        <w:rPr>
          <w:rFonts w:ascii="Arial" w:hAnsi="Arial" w:cs="Arial"/>
        </w:rPr>
        <w:t>2.5 What are potential solutions?</w:t>
      </w:r>
      <w:bookmarkEnd w:id="21"/>
    </w:p>
    <w:p>
      <w:pPr>
        <w:spacing w:line="360" w:lineRule="auto"/>
        <w:jc w:val="both"/>
        <w:rPr>
          <w:rFonts w:eastAsia="Times New Roman"/>
          <w:sz w:val="24"/>
          <w:szCs w:val="24"/>
        </w:rPr>
      </w:pPr>
      <w:r>
        <w:rPr>
          <w:rFonts w:eastAsia="Times New Roman"/>
          <w:sz w:val="24"/>
          <w:szCs w:val="24"/>
        </w:rPr>
        <w:t xml:space="preserve">As stated by </w:t>
      </w:r>
      <w:r>
        <w:rPr>
          <w:rFonts w:eastAsia="Times New Roman"/>
          <w:sz w:val="24"/>
          <w:szCs w:val="24"/>
          <w:highlight w:val="white"/>
        </w:rPr>
        <w:t xml:space="preserve">Kansakar </w:t>
      </w:r>
      <w:r>
        <w:rPr>
          <w:rFonts w:eastAsia="Times New Roman"/>
          <w:i/>
          <w:sz w:val="24"/>
          <w:szCs w:val="24"/>
          <w:highlight w:val="white"/>
        </w:rPr>
        <w:t>et al</w:t>
      </w:r>
      <w:r>
        <w:rPr>
          <w:rFonts w:eastAsia="Times New Roman"/>
          <w:sz w:val="24"/>
          <w:szCs w:val="24"/>
          <w:highlight w:val="white"/>
        </w:rPr>
        <w:t xml:space="preserve">., (2019, p. 65), </w:t>
      </w:r>
      <w:r>
        <w:rPr>
          <w:rFonts w:eastAsia="Times New Roman"/>
          <w:sz w:val="24"/>
          <w:szCs w:val="24"/>
        </w:rPr>
        <w:t>monitoring continuous growth or the employee work done is one of such crucial factors which ultimately decides how much success a company is going to get in the long run. The hospitality industry is one of such major factors where the room for error is very less and consumer satisfaction eventually decides the brand perception. As the entire working majorly depends on service-based perceptions, the hospitality industry and different brands should look to normalise offline working from now onwards as the pandemic has not there for a few years now. However, if that is not possible, the brands should look after appointing a set of supervisors to correctly monitor the working prowess of different people who have opted for hybrid mode or flexible work mode.</w:t>
      </w:r>
      <w:r>
        <w:rPr>
          <w:rFonts w:eastAsia="Times New Roman"/>
          <w:i/>
          <w:sz w:val="24"/>
          <w:szCs w:val="24"/>
        </w:rPr>
        <w:t xml:space="preserve"> Setting up different parameters, regular team meetings,</w:t>
      </w:r>
      <w:r>
        <w:rPr>
          <w:rFonts w:eastAsia="Times New Roman"/>
          <w:sz w:val="24"/>
          <w:szCs w:val="24"/>
        </w:rPr>
        <w:t xml:space="preserve"> and</w:t>
      </w:r>
      <w:r>
        <w:rPr>
          <w:rFonts w:eastAsia="Times New Roman"/>
          <w:i/>
          <w:sz w:val="24"/>
          <w:szCs w:val="24"/>
        </w:rPr>
        <w:t xml:space="preserve"> review analysis</w:t>
      </w:r>
      <w:r>
        <w:rPr>
          <w:rFonts w:eastAsia="Times New Roman"/>
          <w:sz w:val="24"/>
          <w:szCs w:val="24"/>
        </w:rPr>
        <w:t xml:space="preserve"> would be the perfect combination by which different brands would be able to analyse the working prowess of their employees. </w:t>
      </w:r>
    </w:p>
    <w:p>
      <w:pPr>
        <w:pStyle w:val="2"/>
        <w:rPr>
          <w:rFonts w:ascii="Arial" w:hAnsi="Arial" w:cs="Arial"/>
        </w:rPr>
      </w:pPr>
      <w:bookmarkStart w:id="22" w:name="_umc2fi3qdl1f" w:colFirst="0" w:colLast="0"/>
      <w:bookmarkEnd w:id="22"/>
      <w:bookmarkStart w:id="23" w:name="_Toc165472803"/>
      <w:r>
        <w:rPr>
          <w:rFonts w:ascii="Arial" w:hAnsi="Arial" w:cs="Arial"/>
        </w:rPr>
        <w:t>3. Evaluation and Conclusion</w:t>
      </w:r>
      <w:bookmarkEnd w:id="23"/>
      <w:r>
        <w:rPr>
          <w:rFonts w:ascii="Arial" w:hAnsi="Arial" w:cs="Arial"/>
        </w:rPr>
        <w:t xml:space="preserve"> </w:t>
      </w:r>
    </w:p>
    <w:p>
      <w:pPr>
        <w:pStyle w:val="3"/>
        <w:rPr>
          <w:rFonts w:ascii="Arial" w:hAnsi="Arial" w:cs="Arial"/>
        </w:rPr>
      </w:pPr>
      <w:bookmarkStart w:id="24" w:name="_t3tks0hfa6dz" w:colFirst="0" w:colLast="0"/>
      <w:bookmarkEnd w:id="24"/>
      <w:bookmarkStart w:id="25" w:name="_Toc165472804"/>
      <w:r>
        <w:rPr>
          <w:rFonts w:ascii="Arial" w:hAnsi="Arial" w:cs="Arial"/>
        </w:rPr>
        <w:t>3.1 Conclusion</w:t>
      </w:r>
      <w:bookmarkEnd w:id="25"/>
      <w:r>
        <w:rPr>
          <w:rFonts w:ascii="Arial" w:hAnsi="Arial" w:cs="Arial"/>
        </w:rPr>
        <w:t xml:space="preserve"> </w:t>
      </w:r>
    </w:p>
    <w:p>
      <w:pPr>
        <w:spacing w:line="360" w:lineRule="auto"/>
        <w:jc w:val="both"/>
      </w:pPr>
      <w:r>
        <w:rPr>
          <w:rFonts w:eastAsia="Times New Roman"/>
          <w:sz w:val="24"/>
          <w:szCs w:val="24"/>
        </w:rPr>
        <w:t xml:space="preserve">The hospitality sector is one of the largest growing sectors within the entire UK in terms of its revenue margin. As the entire industry is mainly a service-based sector, monitoring the work done by the employees is perhaps the most important thing that eventually decides the fate of any brand which is operating within a tough sector like the UK hospitality industry. Different international brands have taken various modes of techniques over the years to manage their entire working of employees who do not visit the office daily. The hospitality sector has seen a drastic growth in recent years since the recently concluded pandemic. However, the social constant of the pandemic, cultural differences and affordability have completely changed the working of different brands including the Marriott Hotel, which is arguably one of the biggest names in the UK Hospitality sector. The UK hospitality industry has seen trends like contactless payment and sustainable practices as people now prefer these elements while travelling to some places. This is somehow influencing the overall work done on behalf of the brand as respecting market requirements is essential to develop a sustainable output. Moreover, a few recommendations are also there from the brand’s perspectives that Marriott Hotel can eventually take to monitor their employee performance within a vulnerable geo-political situation like this. </w:t>
      </w:r>
    </w:p>
    <w:p>
      <w:pPr>
        <w:pStyle w:val="3"/>
        <w:rPr>
          <w:rFonts w:ascii="Arial" w:hAnsi="Arial" w:cs="Arial"/>
        </w:rPr>
      </w:pPr>
      <w:bookmarkStart w:id="26" w:name="_bayn4q9pn02g" w:colFirst="0" w:colLast="0"/>
      <w:bookmarkEnd w:id="26"/>
      <w:bookmarkStart w:id="27" w:name="_Toc165472805"/>
      <w:r>
        <w:rPr>
          <w:rFonts w:ascii="Arial" w:hAnsi="Arial" w:cs="Arial"/>
        </w:rPr>
        <w:t>3.2 Recommendations</w:t>
      </w:r>
      <w:bookmarkEnd w:id="27"/>
    </w:p>
    <w:p>
      <w:pPr>
        <w:spacing w:line="360" w:lineRule="auto"/>
        <w:jc w:val="both"/>
      </w:pPr>
      <w:r>
        <w:rPr>
          <w:rFonts w:eastAsia="Times New Roman"/>
          <w:sz w:val="24"/>
          <w:szCs w:val="24"/>
        </w:rPr>
        <w:t xml:space="preserve">Effective monitoring of employee performance in one of such major elements, which eventually helps a brand in performing beyond expectation. The hospitality industry is one of the vulnerable sectors where brand perception ultimately decides the fate of a brand. Although Marriott Hotel does different team review meetings at weekends to analyse their employee performances, there are certain issues that they are still facing with this particular approach. For example, without having access to employee reports on a daily basis is somehow creating a gap between the employee and their subordinates. However, using different </w:t>
      </w:r>
      <w:r>
        <w:rPr>
          <w:rFonts w:eastAsia="Times New Roman"/>
          <w:i/>
          <w:sz w:val="24"/>
          <w:szCs w:val="24"/>
        </w:rPr>
        <w:t>KPI Metrics</w:t>
      </w:r>
      <w:r>
        <w:rPr>
          <w:rFonts w:eastAsia="Times New Roman"/>
          <w:sz w:val="24"/>
          <w:szCs w:val="24"/>
        </w:rPr>
        <w:t xml:space="preserve"> for the employees would be a perfect choice that the brand can opt for to monitor the entire work done. Most importantly, </w:t>
      </w:r>
      <w:r>
        <w:rPr>
          <w:rFonts w:eastAsia="Times New Roman"/>
          <w:i/>
          <w:sz w:val="24"/>
          <w:szCs w:val="24"/>
        </w:rPr>
        <w:t>setting up a standard and error percentage for all the employees</w:t>
      </w:r>
      <w:r>
        <w:rPr>
          <w:rFonts w:eastAsia="Times New Roman"/>
          <w:sz w:val="24"/>
          <w:szCs w:val="24"/>
        </w:rPr>
        <w:t xml:space="preserve"> would eventually help them thrive in their capability even from working through their home. Moreover, the brand should be using </w:t>
      </w:r>
      <w:r>
        <w:rPr>
          <w:rFonts w:eastAsia="Times New Roman"/>
          <w:i/>
          <w:sz w:val="24"/>
          <w:szCs w:val="24"/>
        </w:rPr>
        <w:t>data analytics</w:t>
      </w:r>
      <w:r>
        <w:rPr>
          <w:rFonts w:eastAsia="Times New Roman"/>
          <w:sz w:val="24"/>
          <w:szCs w:val="24"/>
        </w:rPr>
        <w:t xml:space="preserve"> to manage their employee’s performance so that </w:t>
      </w:r>
      <w:r>
        <w:rPr>
          <w:rFonts w:eastAsia="Times New Roman"/>
          <w:i/>
          <w:sz w:val="24"/>
          <w:szCs w:val="24"/>
        </w:rPr>
        <w:t>checking error percentage</w:t>
      </w:r>
      <w:r>
        <w:rPr>
          <w:rFonts w:eastAsia="Times New Roman"/>
          <w:sz w:val="24"/>
          <w:szCs w:val="24"/>
        </w:rPr>
        <w:t xml:space="preserve">s can eventually become better. This is one such thing, which would somehow help the brand manage a decent outcome while operating in a tough market like the UK hospitality sector. </w:t>
      </w:r>
      <w:r>
        <w:br w:type="page"/>
      </w:r>
    </w:p>
    <w:p>
      <w:pPr>
        <w:pStyle w:val="2"/>
        <w:spacing w:before="240" w:after="240"/>
        <w:rPr>
          <w:rFonts w:ascii="Arial" w:hAnsi="Arial" w:cs="Arial"/>
          <w:color w:val="000000" w:themeColor="text1"/>
          <w14:textFill>
            <w14:solidFill>
              <w14:schemeClr w14:val="tx1"/>
            </w14:solidFill>
          </w14:textFill>
        </w:rPr>
      </w:pPr>
      <w:bookmarkStart w:id="28" w:name="_ibtcm0hmjfre" w:colFirst="0" w:colLast="0"/>
      <w:bookmarkEnd w:id="28"/>
      <w:bookmarkStart w:id="29" w:name="_Toc165472806"/>
      <w:r>
        <w:rPr>
          <w:rFonts w:ascii="Arial" w:hAnsi="Arial" w:cs="Arial"/>
          <w:color w:val="000000" w:themeColor="text1"/>
          <w14:textFill>
            <w14:solidFill>
              <w14:schemeClr w14:val="tx1"/>
            </w14:solidFill>
          </w14:textFill>
        </w:rPr>
        <w:t>4. References</w:t>
      </w:r>
      <w:bookmarkEnd w:id="29"/>
      <w:r>
        <w:rPr>
          <w:rFonts w:ascii="Arial" w:hAnsi="Arial" w:cs="Arial"/>
          <w:color w:val="000000" w:themeColor="text1"/>
          <w14:textFill>
            <w14:solidFill>
              <w14:schemeClr w14:val="tx1"/>
            </w14:solidFill>
          </w14:textFill>
        </w:rPr>
        <w:t xml:space="preserve"> </w:t>
      </w:r>
    </w:p>
    <w:p>
      <w:pPr>
        <w:spacing w:before="240" w:after="240" w:line="360" w:lineRule="auto"/>
        <w:jc w:val="both"/>
        <w:rPr>
          <w:color w:val="000000" w:themeColor="text1"/>
          <w:sz w:val="20"/>
          <w:szCs w:val="20"/>
          <w:highlight w:val="white"/>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Aksoy, L., Choi, S., Dogru, T., Keiningham, T., Lorenz, M., Rubin, D. and Tracey, J.B., (2022). Global trends in hospitality. </w:t>
      </w:r>
      <w:r>
        <w:rPr>
          <w:rFonts w:eastAsia="Times New Roman"/>
          <w:i/>
          <w:color w:val="000000" w:themeColor="text1"/>
          <w:sz w:val="24"/>
          <w:szCs w:val="24"/>
          <w:highlight w:val="white"/>
          <w14:textFill>
            <w14:solidFill>
              <w14:schemeClr w14:val="tx1"/>
            </w14:solidFill>
          </w14:textFill>
        </w:rPr>
        <w:t>Journal of Business Research</w:t>
      </w:r>
      <w:r>
        <w:rPr>
          <w:rFonts w:eastAsia="Times New Roman"/>
          <w:color w:val="000000" w:themeColor="text1"/>
          <w:sz w:val="24"/>
          <w:szCs w:val="24"/>
          <w:highlight w:val="white"/>
          <w14:textFill>
            <w14:solidFill>
              <w14:schemeClr w14:val="tx1"/>
            </w14:solidFill>
          </w14:textFill>
        </w:rPr>
        <w:t xml:space="preserve">, </w:t>
      </w:r>
      <w:r>
        <w:rPr>
          <w:rFonts w:eastAsia="Times New Roman"/>
          <w:i/>
          <w:color w:val="000000" w:themeColor="text1"/>
          <w:sz w:val="24"/>
          <w:szCs w:val="24"/>
          <w:highlight w:val="white"/>
          <w14:textFill>
            <w14:solidFill>
              <w14:schemeClr w14:val="tx1"/>
            </w14:solidFill>
          </w14:textFill>
        </w:rPr>
        <w:t>142</w:t>
      </w:r>
      <w:r>
        <w:rPr>
          <w:rFonts w:eastAsia="Times New Roman"/>
          <w:color w:val="000000" w:themeColor="text1"/>
          <w:sz w:val="24"/>
          <w:szCs w:val="24"/>
          <w:highlight w:val="white"/>
          <w14:textFill>
            <w14:solidFill>
              <w14:schemeClr w14:val="tx1"/>
            </w14:solidFill>
          </w14:textFill>
        </w:rPr>
        <w:t xml:space="preserve">, pp.957-973. </w:t>
      </w:r>
      <w:r>
        <w:fldChar w:fldCharType="begin"/>
      </w:r>
      <w:r>
        <w:instrText xml:space="preserve"> HYPERLINK "https://www.sciencedirect.com/science/article/pii/S0148296321009826" \h </w:instrText>
      </w:r>
      <w:r>
        <w:fldChar w:fldCharType="separate"/>
      </w:r>
      <w:r>
        <w:rPr>
          <w:rFonts w:eastAsia="Times New Roman"/>
          <w:color w:val="000000" w:themeColor="text1"/>
          <w:sz w:val="24"/>
          <w:szCs w:val="24"/>
          <w:highlight w:val="white"/>
          <w14:textFill>
            <w14:solidFill>
              <w14:schemeClr w14:val="tx1"/>
            </w14:solidFill>
          </w14:textFill>
        </w:rPr>
        <w:t>https://www.sciencedirect.com/science/article/pii/S0148296321009826</w:t>
      </w:r>
      <w:r>
        <w:rPr>
          <w:rFonts w:eastAsia="Times New Roman"/>
          <w:color w:val="000000" w:themeColor="text1"/>
          <w:sz w:val="24"/>
          <w:szCs w:val="24"/>
          <w:highlight w:val="white"/>
          <w14:textFill>
            <w14:solidFill>
              <w14:schemeClr w14:val="tx1"/>
            </w14:solidFill>
          </w14:textFill>
        </w:rPr>
        <w:fldChar w:fldCharType="end"/>
      </w:r>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Babar, H. and Ali, H.M., (2019). Towards hybrid nanofluids: preparation, thermophysical properties, applications, and challenges. </w:t>
      </w:r>
      <w:r>
        <w:rPr>
          <w:rFonts w:eastAsia="Times New Roman"/>
          <w:i/>
          <w:color w:val="000000" w:themeColor="text1"/>
          <w:sz w:val="24"/>
          <w:szCs w:val="24"/>
          <w:highlight w:val="white"/>
          <w14:textFill>
            <w14:solidFill>
              <w14:schemeClr w14:val="tx1"/>
            </w14:solidFill>
          </w14:textFill>
        </w:rPr>
        <w:t>Journal of Molecular Liquids</w:t>
      </w:r>
      <w:r>
        <w:rPr>
          <w:rFonts w:eastAsia="Times New Roman"/>
          <w:color w:val="000000" w:themeColor="text1"/>
          <w:sz w:val="24"/>
          <w:szCs w:val="24"/>
          <w:highlight w:val="white"/>
          <w14:textFill>
            <w14:solidFill>
              <w14:schemeClr w14:val="tx1"/>
            </w14:solidFill>
          </w14:textFill>
        </w:rPr>
        <w:t xml:space="preserve">, </w:t>
      </w:r>
      <w:r>
        <w:rPr>
          <w:rFonts w:eastAsia="Times New Roman"/>
          <w:i/>
          <w:color w:val="000000" w:themeColor="text1"/>
          <w:sz w:val="24"/>
          <w:szCs w:val="24"/>
          <w:highlight w:val="white"/>
          <w14:textFill>
            <w14:solidFill>
              <w14:schemeClr w14:val="tx1"/>
            </w14:solidFill>
          </w14:textFill>
        </w:rPr>
        <w:t>281</w:t>
      </w:r>
      <w:r>
        <w:rPr>
          <w:rFonts w:eastAsia="Times New Roman"/>
          <w:color w:val="000000" w:themeColor="text1"/>
          <w:sz w:val="24"/>
          <w:szCs w:val="24"/>
          <w:highlight w:val="white"/>
          <w14:textFill>
            <w14:solidFill>
              <w14:schemeClr w14:val="tx1"/>
            </w14:solidFill>
          </w14:textFill>
        </w:rPr>
        <w:t xml:space="preserve">, pp.598-633. </w:t>
      </w:r>
      <w:r>
        <w:fldChar w:fldCharType="begin"/>
      </w:r>
      <w:r>
        <w:instrText xml:space="preserve"> HYPERLINK "https://www.sciencedirect.com/science/article/pii/S0167732218366236" \h </w:instrText>
      </w:r>
      <w:r>
        <w:fldChar w:fldCharType="separate"/>
      </w:r>
      <w:r>
        <w:rPr>
          <w:rFonts w:eastAsia="Times New Roman"/>
          <w:color w:val="000000" w:themeColor="text1"/>
          <w:sz w:val="24"/>
          <w:szCs w:val="24"/>
          <w:highlight w:val="white"/>
          <w14:textFill>
            <w14:solidFill>
              <w14:schemeClr w14:val="tx1"/>
            </w14:solidFill>
          </w14:textFill>
        </w:rPr>
        <w:t>https://www.sciencedirect.com/science/article/pii/S0167732218366236</w:t>
      </w:r>
      <w:r>
        <w:rPr>
          <w:rFonts w:eastAsia="Times New Roman"/>
          <w:color w:val="000000" w:themeColor="text1"/>
          <w:sz w:val="24"/>
          <w:szCs w:val="24"/>
          <w:highlight w:val="white"/>
          <w14:textFill>
            <w14:solidFill>
              <w14:schemeClr w14:val="tx1"/>
            </w14:solidFill>
          </w14:textFill>
        </w:rPr>
        <w:fldChar w:fldCharType="end"/>
      </w:r>
    </w:p>
    <w:p>
      <w:pPr>
        <w:spacing w:before="240" w:after="240" w:line="360" w:lineRule="auto"/>
        <w:jc w:val="both"/>
        <w:rPr>
          <w:rFonts w:eastAsia="Times New Roman"/>
          <w:color w:val="000000" w:themeColor="text1"/>
          <w:sz w:val="24"/>
          <w:szCs w:val="24"/>
          <w14:textFill>
            <w14:solidFill>
              <w14:schemeClr w14:val="tx1"/>
            </w14:solidFill>
          </w14:textFill>
        </w:rPr>
      </w:pPr>
      <w:r>
        <w:rPr>
          <w:rFonts w:eastAsia="Times New Roman"/>
          <w:color w:val="000000" w:themeColor="text1"/>
          <w:sz w:val="24"/>
          <w:szCs w:val="24"/>
          <w14:textFill>
            <w14:solidFill>
              <w14:schemeClr w14:val="tx1"/>
            </w14:solidFill>
          </w14:textFill>
        </w:rPr>
        <w:t xml:space="preserve">Friedman, A. (2012) </w:t>
      </w:r>
      <w:r>
        <w:rPr>
          <w:rFonts w:eastAsia="Times New Roman"/>
          <w:i/>
          <w:color w:val="000000" w:themeColor="text1"/>
          <w:sz w:val="24"/>
          <w:szCs w:val="24"/>
          <w14:textFill>
            <w14:solidFill>
              <w14:schemeClr w14:val="tx1"/>
            </w14:solidFill>
          </w14:textFill>
        </w:rPr>
        <w:t>Continuing professional development</w:t>
      </w:r>
      <w:r>
        <w:rPr>
          <w:rFonts w:eastAsia="Times New Roman"/>
          <w:color w:val="000000" w:themeColor="text1"/>
          <w:sz w:val="24"/>
          <w:szCs w:val="24"/>
          <w14:textFill>
            <w14:solidFill>
              <w14:schemeClr w14:val="tx1"/>
            </w14:solidFill>
          </w14:textFill>
        </w:rPr>
        <w:t>: lifelong learning of millions. London: Routledge.</w:t>
      </w:r>
    </w:p>
    <w:p>
      <w:pPr>
        <w:spacing w:before="240" w:after="240" w:line="360" w:lineRule="auto"/>
        <w:jc w:val="both"/>
        <w:rPr>
          <w:rFonts w:eastAsia="Times New Roman"/>
          <w:color w:val="000000" w:themeColor="text1"/>
          <w:sz w:val="24"/>
          <w:szCs w:val="24"/>
          <w14:textFill>
            <w14:solidFill>
              <w14:schemeClr w14:val="tx1"/>
            </w14:solidFill>
          </w14:textFill>
        </w:rPr>
      </w:pPr>
      <w:r>
        <w:rPr>
          <w:rFonts w:eastAsia="Times New Roman"/>
          <w:color w:val="000000" w:themeColor="text1"/>
          <w:sz w:val="24"/>
          <w:szCs w:val="24"/>
          <w14:textFill>
            <w14:solidFill>
              <w14:schemeClr w14:val="tx1"/>
            </w14:solidFill>
          </w14:textFill>
        </w:rPr>
        <w:t xml:space="preserve">Gallagher, K. (2016) </w:t>
      </w:r>
      <w:r>
        <w:rPr>
          <w:rFonts w:eastAsia="Times New Roman"/>
          <w:i/>
          <w:color w:val="000000" w:themeColor="text1"/>
          <w:sz w:val="24"/>
          <w:szCs w:val="24"/>
          <w14:textFill>
            <w14:solidFill>
              <w14:schemeClr w14:val="tx1"/>
            </w14:solidFill>
          </w14:textFill>
        </w:rPr>
        <w:t>Essential study and employment skills for business and management students</w:t>
      </w:r>
      <w:r>
        <w:rPr>
          <w:rFonts w:eastAsia="Times New Roman"/>
          <w:color w:val="000000" w:themeColor="text1"/>
          <w:sz w:val="24"/>
          <w:szCs w:val="24"/>
          <w14:textFill>
            <w14:solidFill>
              <w14:schemeClr w14:val="tx1"/>
            </w14:solidFill>
          </w14:textFill>
        </w:rPr>
        <w:t>. Oxford: Oxford University Press.</w:t>
      </w:r>
    </w:p>
    <w:p>
      <w:pPr>
        <w:spacing w:before="240" w:after="240" w:line="360" w:lineRule="auto"/>
        <w:jc w:val="both"/>
        <w:rPr>
          <w:rFonts w:eastAsia="Times New Roman"/>
          <w:color w:val="000000" w:themeColor="text1"/>
          <w:sz w:val="24"/>
          <w:szCs w:val="24"/>
          <w14:textFill>
            <w14:solidFill>
              <w14:schemeClr w14:val="tx1"/>
            </w14:solidFill>
          </w14:textFill>
        </w:rPr>
      </w:pPr>
      <w:r>
        <w:rPr>
          <w:rFonts w:eastAsia="Times New Roman"/>
          <w:color w:val="000000" w:themeColor="text1"/>
          <w:sz w:val="24"/>
          <w:szCs w:val="24"/>
          <w14:textFill>
            <w14:solidFill>
              <w14:schemeClr w14:val="tx1"/>
            </w14:solidFill>
          </w14:textFill>
        </w:rPr>
        <w:t>Horn, R. (2009)</w:t>
      </w:r>
      <w:r>
        <w:rPr>
          <w:rFonts w:eastAsia="Times New Roman"/>
          <w:i/>
          <w:color w:val="000000" w:themeColor="text1"/>
          <w:sz w:val="24"/>
          <w:szCs w:val="24"/>
          <w14:textFill>
            <w14:solidFill>
              <w14:schemeClr w14:val="tx1"/>
            </w14:solidFill>
          </w14:textFill>
        </w:rPr>
        <w:t xml:space="preserve"> The business skills handbook</w:t>
      </w:r>
      <w:r>
        <w:rPr>
          <w:rFonts w:eastAsia="Times New Roman"/>
          <w:color w:val="000000" w:themeColor="text1"/>
          <w:sz w:val="24"/>
          <w:szCs w:val="24"/>
          <w14:textFill>
            <w14:solidFill>
              <w14:schemeClr w14:val="tx1"/>
            </w14:solidFill>
          </w14:textFill>
        </w:rPr>
        <w:t xml:space="preserve">. London: Chartered Institute of Personnel and Development. </w:t>
      </w:r>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Huminic, G. and Huminic, A., (2018). Hybrid nanofluids for heat transfer applications–a state-of-the-art review. </w:t>
      </w:r>
      <w:r>
        <w:rPr>
          <w:rFonts w:eastAsia="Times New Roman"/>
          <w:i/>
          <w:color w:val="000000" w:themeColor="text1"/>
          <w:sz w:val="24"/>
          <w:szCs w:val="24"/>
          <w:highlight w:val="white"/>
          <w14:textFill>
            <w14:solidFill>
              <w14:schemeClr w14:val="tx1"/>
            </w14:solidFill>
          </w14:textFill>
        </w:rPr>
        <w:t>International Journal of Heat and Mass Transfer</w:t>
      </w:r>
      <w:r>
        <w:rPr>
          <w:rFonts w:eastAsia="Times New Roman"/>
          <w:color w:val="000000" w:themeColor="text1"/>
          <w:sz w:val="24"/>
          <w:szCs w:val="24"/>
          <w:highlight w:val="white"/>
          <w14:textFill>
            <w14:solidFill>
              <w14:schemeClr w14:val="tx1"/>
            </w14:solidFill>
          </w14:textFill>
        </w:rPr>
        <w:t xml:space="preserve">, </w:t>
      </w:r>
      <w:r>
        <w:rPr>
          <w:rFonts w:eastAsia="Times New Roman"/>
          <w:i/>
          <w:color w:val="000000" w:themeColor="text1"/>
          <w:sz w:val="24"/>
          <w:szCs w:val="24"/>
          <w:highlight w:val="white"/>
          <w14:textFill>
            <w14:solidFill>
              <w14:schemeClr w14:val="tx1"/>
            </w14:solidFill>
          </w14:textFill>
        </w:rPr>
        <w:t>125</w:t>
      </w:r>
      <w:r>
        <w:rPr>
          <w:rFonts w:eastAsia="Times New Roman"/>
          <w:color w:val="000000" w:themeColor="text1"/>
          <w:sz w:val="24"/>
          <w:szCs w:val="24"/>
          <w:highlight w:val="white"/>
          <w14:textFill>
            <w14:solidFill>
              <w14:schemeClr w14:val="tx1"/>
            </w14:solidFill>
          </w14:textFill>
        </w:rPr>
        <w:t xml:space="preserve">, pp.82-103. </w:t>
      </w:r>
      <w:r>
        <w:fldChar w:fldCharType="begin"/>
      </w:r>
      <w:r>
        <w:instrText xml:space="preserve"> HYPERLINK "https://www.sciencedirect.com/science/article/pii/S0017931018303582" \h </w:instrText>
      </w:r>
      <w:r>
        <w:fldChar w:fldCharType="separate"/>
      </w:r>
      <w:r>
        <w:rPr>
          <w:rFonts w:eastAsia="Times New Roman"/>
          <w:color w:val="000000" w:themeColor="text1"/>
          <w:sz w:val="24"/>
          <w:szCs w:val="24"/>
          <w:highlight w:val="white"/>
          <w14:textFill>
            <w14:solidFill>
              <w14:schemeClr w14:val="tx1"/>
            </w14:solidFill>
          </w14:textFill>
        </w:rPr>
        <w:t>https://www.sciencedirect.com/science/article/pii/S0017931018303582</w:t>
      </w:r>
      <w:r>
        <w:rPr>
          <w:rFonts w:eastAsia="Times New Roman"/>
          <w:color w:val="000000" w:themeColor="text1"/>
          <w:sz w:val="24"/>
          <w:szCs w:val="24"/>
          <w:highlight w:val="white"/>
          <w14:textFill>
            <w14:solidFill>
              <w14:schemeClr w14:val="tx1"/>
            </w14:solidFill>
          </w14:textFill>
        </w:rPr>
        <w:fldChar w:fldCharType="end"/>
      </w:r>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14:textFill>
            <w14:solidFill>
              <w14:schemeClr w14:val="tx1"/>
            </w14:solidFill>
          </w14:textFill>
        </w:rPr>
        <w:t xml:space="preserve">Johnston, R. Clark, G. Shulver, M (2012). </w:t>
      </w:r>
      <w:r>
        <w:rPr>
          <w:rFonts w:eastAsia="Times New Roman"/>
          <w:i/>
          <w:color w:val="000000" w:themeColor="text1"/>
          <w:sz w:val="24"/>
          <w:szCs w:val="24"/>
          <w14:textFill>
            <w14:solidFill>
              <w14:schemeClr w14:val="tx1"/>
            </w14:solidFill>
          </w14:textFill>
        </w:rPr>
        <w:t>Service Operations Management</w:t>
      </w:r>
      <w:r>
        <w:rPr>
          <w:rFonts w:eastAsia="Times New Roman"/>
          <w:color w:val="000000" w:themeColor="text1"/>
          <w:sz w:val="24"/>
          <w:szCs w:val="24"/>
          <w14:textFill>
            <w14:solidFill>
              <w14:schemeClr w14:val="tx1"/>
            </w14:solidFill>
          </w14:textFill>
        </w:rPr>
        <w:t>, Pearson, London</w:t>
      </w:r>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Kansakar, P., Munir, A. and Shabani, N., (2019). Technology in the hospitality industry: Prospects and challenges. </w:t>
      </w:r>
      <w:r>
        <w:rPr>
          <w:rFonts w:eastAsia="Times New Roman"/>
          <w:i/>
          <w:color w:val="000000" w:themeColor="text1"/>
          <w:sz w:val="24"/>
          <w:szCs w:val="24"/>
          <w:highlight w:val="white"/>
          <w14:textFill>
            <w14:solidFill>
              <w14:schemeClr w14:val="tx1"/>
            </w14:solidFill>
          </w14:textFill>
        </w:rPr>
        <w:t>IEEE Consumer Electronics Magazine</w:t>
      </w:r>
      <w:r>
        <w:rPr>
          <w:rFonts w:eastAsia="Times New Roman"/>
          <w:color w:val="000000" w:themeColor="text1"/>
          <w:sz w:val="24"/>
          <w:szCs w:val="24"/>
          <w:highlight w:val="white"/>
          <w14:textFill>
            <w14:solidFill>
              <w14:schemeClr w14:val="tx1"/>
            </w14:solidFill>
          </w14:textFill>
        </w:rPr>
        <w:t xml:space="preserve">, </w:t>
      </w:r>
      <w:r>
        <w:rPr>
          <w:rFonts w:eastAsia="Times New Roman"/>
          <w:i/>
          <w:color w:val="000000" w:themeColor="text1"/>
          <w:sz w:val="24"/>
          <w:szCs w:val="24"/>
          <w:highlight w:val="white"/>
          <w14:textFill>
            <w14:solidFill>
              <w14:schemeClr w14:val="tx1"/>
            </w14:solidFill>
          </w14:textFill>
        </w:rPr>
        <w:t>8</w:t>
      </w:r>
      <w:r>
        <w:rPr>
          <w:rFonts w:eastAsia="Times New Roman"/>
          <w:color w:val="000000" w:themeColor="text1"/>
          <w:sz w:val="24"/>
          <w:szCs w:val="24"/>
          <w:highlight w:val="white"/>
          <w14:textFill>
            <w14:solidFill>
              <w14:schemeClr w14:val="tx1"/>
            </w14:solidFill>
          </w14:textFill>
        </w:rPr>
        <w:t xml:space="preserve">(3), pp.60-65. </w:t>
      </w:r>
      <w:r>
        <w:fldChar w:fldCharType="begin"/>
      </w:r>
      <w:r>
        <w:instrText xml:space="preserve"> HYPERLINK "https://ieeexplore.ieee.org/abstract/document/8684803/" \h </w:instrText>
      </w:r>
      <w:r>
        <w:fldChar w:fldCharType="separate"/>
      </w:r>
      <w:r>
        <w:rPr>
          <w:rFonts w:eastAsia="Times New Roman"/>
          <w:color w:val="000000" w:themeColor="text1"/>
          <w:sz w:val="24"/>
          <w:szCs w:val="24"/>
          <w:highlight w:val="white"/>
          <w14:textFill>
            <w14:solidFill>
              <w14:schemeClr w14:val="tx1"/>
            </w14:solidFill>
          </w14:textFill>
        </w:rPr>
        <w:t>https://ieeexplore.ieee.org/abstract/document/8684803/</w:t>
      </w:r>
      <w:r>
        <w:rPr>
          <w:rFonts w:eastAsia="Times New Roman"/>
          <w:color w:val="000000" w:themeColor="text1"/>
          <w:sz w:val="24"/>
          <w:szCs w:val="24"/>
          <w:highlight w:val="white"/>
          <w14:textFill>
            <w14:solidFill>
              <w14:schemeClr w14:val="tx1"/>
            </w14:solidFill>
          </w14:textFill>
        </w:rPr>
        <w:fldChar w:fldCharType="end"/>
      </w:r>
    </w:p>
    <w:p>
      <w:pPr>
        <w:spacing w:before="240" w:after="240" w:line="360" w:lineRule="auto"/>
        <w:jc w:val="both"/>
        <w:rPr>
          <w:rFonts w:eastAsia="Times New Roman"/>
          <w:color w:val="000000" w:themeColor="text1"/>
          <w:sz w:val="24"/>
          <w:szCs w:val="24"/>
          <w14:textFill>
            <w14:solidFill>
              <w14:schemeClr w14:val="tx1"/>
            </w14:solidFill>
          </w14:textFill>
        </w:rPr>
      </w:pPr>
      <w:r>
        <w:rPr>
          <w:rFonts w:eastAsia="Times New Roman"/>
          <w:color w:val="000000" w:themeColor="text1"/>
          <w:sz w:val="24"/>
          <w:szCs w:val="24"/>
          <w14:textFill>
            <w14:solidFill>
              <w14:schemeClr w14:val="tx1"/>
            </w14:solidFill>
          </w14:textFill>
        </w:rPr>
        <w:t xml:space="preserve">marriott.com, (2024). </w:t>
      </w:r>
      <w:r>
        <w:rPr>
          <w:rFonts w:eastAsia="Times New Roman"/>
          <w:i/>
          <w:color w:val="000000" w:themeColor="text1"/>
          <w:sz w:val="24"/>
          <w:szCs w:val="24"/>
          <w14:textFill>
            <w14:solidFill>
              <w14:schemeClr w14:val="tx1"/>
            </w14:solidFill>
          </w14:textFill>
        </w:rPr>
        <w:t xml:space="preserve">Marriott Hotel. </w:t>
      </w:r>
      <w:r>
        <w:rPr>
          <w:rFonts w:eastAsia="Times New Roman"/>
          <w:color w:val="000000" w:themeColor="text1"/>
          <w:sz w:val="24"/>
          <w:szCs w:val="24"/>
          <w14:textFill>
            <w14:solidFill>
              <w14:schemeClr w14:val="tx1"/>
            </w14:solidFill>
          </w14:textFill>
        </w:rPr>
        <w:t>[Online] Available at: https://www.marriott.com/default.mi?nst=paid&amp;cid=PAI_GLB00050CK_GLE000BLSZ_GLF000ONTS&amp;ppc=ppc&amp;pId=intbppc&amp;gad_source=1&amp;gclid=CjwKCAjwrcKxBhBMEiwAIVF8rEZT9WXnaLPe-qInLO2K1fIMztv9U8rxasAQtLOjxezgyCnm4YbEGRoCpTAQAvD_BwE&amp;gclsrc=aw.ds</w:t>
      </w:r>
    </w:p>
    <w:p>
      <w:pPr>
        <w:spacing w:before="240" w:after="240" w:line="360" w:lineRule="auto"/>
        <w:jc w:val="both"/>
        <w:rPr>
          <w:color w:val="000000" w:themeColor="text1"/>
          <w:sz w:val="20"/>
          <w:szCs w:val="20"/>
          <w:highlight w:val="white"/>
          <w14:textFill>
            <w14:solidFill>
              <w14:schemeClr w14:val="tx1"/>
            </w14:solidFill>
          </w14:textFill>
        </w:rPr>
      </w:pPr>
      <w:r>
        <w:rPr>
          <w:rFonts w:eastAsia="Times New Roman"/>
          <w:color w:val="000000" w:themeColor="text1"/>
          <w:sz w:val="24"/>
          <w:szCs w:val="24"/>
          <w14:textFill>
            <w14:solidFill>
              <w14:schemeClr w14:val="tx1"/>
            </w14:solidFill>
          </w14:textFill>
        </w:rPr>
        <w:t xml:space="preserve">marriott.gcs-web.com, (2023). </w:t>
      </w:r>
      <w:r>
        <w:rPr>
          <w:rFonts w:eastAsia="Times New Roman"/>
          <w:i/>
          <w:color w:val="000000" w:themeColor="text1"/>
          <w:sz w:val="24"/>
          <w:szCs w:val="24"/>
          <w14:textFill>
            <w14:solidFill>
              <w14:schemeClr w14:val="tx1"/>
            </w14:solidFill>
          </w14:textFill>
        </w:rPr>
        <w:t xml:space="preserve">Annual Report of 2022. </w:t>
      </w:r>
      <w:r>
        <w:rPr>
          <w:rFonts w:eastAsia="Times New Roman"/>
          <w:color w:val="000000" w:themeColor="text1"/>
          <w:sz w:val="24"/>
          <w:szCs w:val="24"/>
          <w14:textFill>
            <w14:solidFill>
              <w14:schemeClr w14:val="tx1"/>
            </w14:solidFill>
          </w14:textFill>
        </w:rPr>
        <w:t>[Online] Available at: https://marriott.gcs-web.com/static-files/b82978a6-9d28-4e38-9855-fc4ae2cebe11</w:t>
      </w:r>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Salazar, A., (2018). Hospitality trends: opportunities and challenges. </w:t>
      </w:r>
      <w:r>
        <w:rPr>
          <w:rFonts w:eastAsia="Times New Roman"/>
          <w:i/>
          <w:color w:val="000000" w:themeColor="text1"/>
          <w:sz w:val="24"/>
          <w:szCs w:val="24"/>
          <w:highlight w:val="white"/>
          <w14:textFill>
            <w14:solidFill>
              <w14:schemeClr w14:val="tx1"/>
            </w14:solidFill>
          </w14:textFill>
        </w:rPr>
        <w:t>Worldwide Hospitality and Tourism Themes</w:t>
      </w:r>
      <w:r>
        <w:rPr>
          <w:rFonts w:eastAsia="Times New Roman"/>
          <w:color w:val="000000" w:themeColor="text1"/>
          <w:sz w:val="24"/>
          <w:szCs w:val="24"/>
          <w:highlight w:val="white"/>
          <w14:textFill>
            <w14:solidFill>
              <w14:schemeClr w14:val="tx1"/>
            </w14:solidFill>
          </w14:textFill>
        </w:rPr>
        <w:t xml:space="preserve">, </w:t>
      </w:r>
      <w:r>
        <w:rPr>
          <w:rFonts w:eastAsia="Times New Roman"/>
          <w:i/>
          <w:color w:val="000000" w:themeColor="text1"/>
          <w:sz w:val="24"/>
          <w:szCs w:val="24"/>
          <w:highlight w:val="white"/>
          <w14:textFill>
            <w14:solidFill>
              <w14:schemeClr w14:val="tx1"/>
            </w14:solidFill>
          </w14:textFill>
        </w:rPr>
        <w:t>10</w:t>
      </w:r>
      <w:r>
        <w:rPr>
          <w:rFonts w:eastAsia="Times New Roman"/>
          <w:color w:val="000000" w:themeColor="text1"/>
          <w:sz w:val="24"/>
          <w:szCs w:val="24"/>
          <w:highlight w:val="white"/>
          <w14:textFill>
            <w14:solidFill>
              <w14:schemeClr w14:val="tx1"/>
            </w14:solidFill>
          </w14:textFill>
        </w:rPr>
        <w:t xml:space="preserve">(6), pp.674-679. </w:t>
      </w:r>
      <w:r>
        <w:fldChar w:fldCharType="begin"/>
      </w:r>
      <w:r>
        <w:instrText xml:space="preserve"> HYPERLINK "https://www.emerald.com/insight/content/doi/10.1108/WHATT-07-2018-0047/full/html" \h </w:instrText>
      </w:r>
      <w:r>
        <w:fldChar w:fldCharType="separate"/>
      </w:r>
      <w:r>
        <w:rPr>
          <w:rFonts w:eastAsia="Times New Roman"/>
          <w:color w:val="000000" w:themeColor="text1"/>
          <w:sz w:val="24"/>
          <w:szCs w:val="24"/>
          <w:highlight w:val="white"/>
          <w14:textFill>
            <w14:solidFill>
              <w14:schemeClr w14:val="tx1"/>
            </w14:solidFill>
          </w14:textFill>
        </w:rPr>
        <w:t>https://www.emerald.com/insight/content/doi/10.1108/WHATT-07-2018-0047/full/html</w:t>
      </w:r>
      <w:r>
        <w:rPr>
          <w:rFonts w:eastAsia="Times New Roman"/>
          <w:color w:val="000000" w:themeColor="text1"/>
          <w:sz w:val="24"/>
          <w:szCs w:val="24"/>
          <w:highlight w:val="white"/>
          <w14:textFill>
            <w14:solidFill>
              <w14:schemeClr w14:val="tx1"/>
            </w14:solidFill>
          </w14:textFill>
        </w:rPr>
        <w:fldChar w:fldCharType="end"/>
      </w:r>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statista.com, (2023). </w:t>
      </w:r>
      <w:r>
        <w:rPr>
          <w:rFonts w:eastAsia="Times New Roman"/>
          <w:i/>
          <w:color w:val="000000" w:themeColor="text1"/>
          <w:sz w:val="24"/>
          <w:szCs w:val="24"/>
          <w:highlight w:val="white"/>
          <w14:textFill>
            <w14:solidFill>
              <w14:schemeClr w14:val="tx1"/>
            </w14:solidFill>
          </w14:textFill>
        </w:rPr>
        <w:t xml:space="preserve">Anticipated hybrid work changes for employers and employees post-COVID-19. </w:t>
      </w:r>
      <w:r>
        <w:rPr>
          <w:rFonts w:eastAsia="Times New Roman"/>
          <w:color w:val="000000" w:themeColor="text1"/>
          <w:sz w:val="24"/>
          <w:szCs w:val="24"/>
          <w:highlight w:val="white"/>
          <w14:textFill>
            <w14:solidFill>
              <w14:schemeClr w14:val="tx1"/>
            </w14:solidFill>
          </w14:textFill>
        </w:rPr>
        <w:t>[Online] Available at: https://www.statista.com/statistics/1226730/global-hybrid-work-trends-employee-employer-post-pandemic/</w:t>
      </w:r>
    </w:p>
    <w:sectPr>
      <w:footerReference r:id="rId5" w:type="default"/>
      <w:pgSz w:w="11909" w:h="16834"/>
      <w:pgMar w:top="1440" w:right="1440" w:bottom="1440" w:left="1440" w:header="720" w:footer="720" w:gutter="0"/>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44883630"/>
      <w:docPartObj>
        <w:docPartGallery w:val="AutoText"/>
      </w:docPartObj>
    </w:sdtPr>
    <w:sdtContent>
      <w:sdt>
        <w:sdtPr>
          <w:id w:val="-1769616900"/>
          <w:docPartObj>
            <w:docPartGallery w:val="AutoText"/>
          </w:docPartObj>
        </w:sdtPr>
        <w:sdtContent>
          <w:p>
            <w:pPr>
              <w:pStyle w:val="10"/>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12</w:t>
            </w:r>
            <w:r>
              <w:rPr>
                <w:b/>
                <w:bCs/>
                <w:sz w:val="24"/>
                <w:szCs w:val="24"/>
              </w:rPr>
              <w:fldChar w:fldCharType="end"/>
            </w:r>
          </w:p>
        </w:sdtContent>
      </w:sdt>
    </w:sdtContent>
  </w:sdt>
  <w:p>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D40638"/>
    <w:multiLevelType w:val="multilevel"/>
    <w:tmpl w:val="12D40638"/>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3F572C37"/>
    <w:multiLevelType w:val="multilevel"/>
    <w:tmpl w:val="3F572C37"/>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412447E6"/>
    <w:multiLevelType w:val="multilevel"/>
    <w:tmpl w:val="412447E6"/>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7E0568E0"/>
    <w:multiLevelType w:val="multilevel"/>
    <w:tmpl w:val="7E0568E0"/>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150"/>
    <w:rsid w:val="00087E63"/>
    <w:rsid w:val="004737CD"/>
    <w:rsid w:val="00627F38"/>
    <w:rsid w:val="00676776"/>
    <w:rsid w:val="006A7222"/>
    <w:rsid w:val="00707B96"/>
    <w:rsid w:val="00967DE1"/>
    <w:rsid w:val="009E6D88"/>
    <w:rsid w:val="00D811B0"/>
    <w:rsid w:val="00E41150"/>
    <w:rsid w:val="26EA7AD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lang w:val="en-GB" w:eastAsia="en-GB" w:bidi="ar-SA"/>
    </w:rPr>
  </w:style>
  <w:style w:type="paragraph" w:styleId="2">
    <w:name w:val="heading 1"/>
    <w:basedOn w:val="1"/>
    <w:next w:val="1"/>
    <w:autoRedefine/>
    <w:qFormat/>
    <w:uiPriority w:val="0"/>
    <w:pPr>
      <w:keepNext/>
      <w:keepLines/>
      <w:spacing w:line="360" w:lineRule="auto"/>
      <w:jc w:val="both"/>
      <w:outlineLvl w:val="0"/>
    </w:pPr>
    <w:rPr>
      <w:rFonts w:ascii="Times New Roman" w:hAnsi="Times New Roman" w:eastAsia="Times New Roman" w:cs="Times New Roman"/>
      <w:b/>
      <w:sz w:val="24"/>
      <w:szCs w:val="24"/>
    </w:rPr>
  </w:style>
  <w:style w:type="paragraph" w:styleId="3">
    <w:name w:val="heading 2"/>
    <w:basedOn w:val="1"/>
    <w:next w:val="1"/>
    <w:autoRedefine/>
    <w:qFormat/>
    <w:uiPriority w:val="0"/>
    <w:pPr>
      <w:keepNext/>
      <w:keepLines/>
      <w:spacing w:line="360" w:lineRule="auto"/>
      <w:jc w:val="both"/>
      <w:outlineLvl w:val="1"/>
    </w:pPr>
    <w:rPr>
      <w:rFonts w:ascii="Times New Roman" w:hAnsi="Times New Roman" w:eastAsia="Times New Roman" w:cs="Times New Roman"/>
      <w:b/>
      <w:sz w:val="24"/>
      <w:szCs w:val="24"/>
    </w:rPr>
  </w:style>
  <w:style w:type="paragraph" w:styleId="4">
    <w:name w:val="heading 3"/>
    <w:basedOn w:val="1"/>
    <w:next w:val="1"/>
    <w:autoRedefine/>
    <w:qFormat/>
    <w:uiPriority w:val="0"/>
    <w:pPr>
      <w:keepNext/>
      <w:keepLines/>
      <w:spacing w:before="320" w:after="80"/>
      <w:outlineLvl w:val="2"/>
    </w:pPr>
    <w:rPr>
      <w:color w:val="434343"/>
      <w:sz w:val="28"/>
      <w:szCs w:val="28"/>
    </w:rPr>
  </w:style>
  <w:style w:type="paragraph" w:styleId="5">
    <w:name w:val="heading 4"/>
    <w:basedOn w:val="1"/>
    <w:next w:val="1"/>
    <w:uiPriority w:val="0"/>
    <w:pPr>
      <w:keepNext/>
      <w:keepLines/>
      <w:spacing w:before="280" w:after="80"/>
      <w:outlineLvl w:val="3"/>
    </w:pPr>
    <w:rPr>
      <w:color w:val="666666"/>
      <w:sz w:val="24"/>
      <w:szCs w:val="24"/>
    </w:rPr>
  </w:style>
  <w:style w:type="paragraph" w:styleId="6">
    <w:name w:val="heading 5"/>
    <w:basedOn w:val="1"/>
    <w:next w:val="1"/>
    <w:uiPriority w:val="0"/>
    <w:pPr>
      <w:keepNext/>
      <w:keepLines/>
      <w:spacing w:before="240" w:after="80"/>
      <w:outlineLvl w:val="4"/>
    </w:pPr>
    <w:rPr>
      <w:color w:val="666666"/>
    </w:rPr>
  </w:style>
  <w:style w:type="paragraph" w:styleId="7">
    <w:name w:val="heading 6"/>
    <w:basedOn w:val="1"/>
    <w:next w:val="1"/>
    <w:autoRedefine/>
    <w:uiPriority w:val="0"/>
    <w:pPr>
      <w:keepNext/>
      <w:keepLines/>
      <w:spacing w:before="240" w:after="80"/>
      <w:outlineLvl w:val="5"/>
    </w:pPr>
    <w:rPr>
      <w:i/>
      <w:color w:val="666666"/>
    </w:rPr>
  </w:style>
  <w:style w:type="character" w:default="1" w:styleId="8">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20"/>
    <w:unhideWhenUsed/>
    <w:uiPriority w:val="99"/>
    <w:pPr>
      <w:tabs>
        <w:tab w:val="center" w:pos="4513"/>
        <w:tab w:val="right" w:pos="9026"/>
      </w:tabs>
      <w:spacing w:line="240" w:lineRule="auto"/>
    </w:pPr>
  </w:style>
  <w:style w:type="paragraph" w:styleId="11">
    <w:name w:val="header"/>
    <w:basedOn w:val="1"/>
    <w:link w:val="19"/>
    <w:unhideWhenUsed/>
    <w:uiPriority w:val="99"/>
    <w:pPr>
      <w:tabs>
        <w:tab w:val="center" w:pos="4513"/>
        <w:tab w:val="right" w:pos="9026"/>
      </w:tabs>
      <w:spacing w:line="240" w:lineRule="auto"/>
    </w:pPr>
  </w:style>
  <w:style w:type="character" w:styleId="12">
    <w:name w:val="Hyperlink"/>
    <w:basedOn w:val="8"/>
    <w:unhideWhenUsed/>
    <w:uiPriority w:val="99"/>
    <w:rPr>
      <w:color w:val="0000FF" w:themeColor="hyperlink"/>
      <w:u w:val="single"/>
      <w14:textFill>
        <w14:solidFill>
          <w14:schemeClr w14:val="hlink"/>
        </w14:solidFill>
      </w14:textFill>
    </w:rPr>
  </w:style>
  <w:style w:type="paragraph" w:styleId="13">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paragraph" w:styleId="14">
    <w:name w:val="Subtitle"/>
    <w:basedOn w:val="1"/>
    <w:next w:val="1"/>
    <w:qFormat/>
    <w:uiPriority w:val="0"/>
    <w:pPr>
      <w:keepNext/>
      <w:keepLines/>
      <w:spacing w:after="320"/>
    </w:pPr>
    <w:rPr>
      <w:color w:val="666666"/>
      <w:sz w:val="30"/>
      <w:szCs w:val="30"/>
    </w:rPr>
  </w:style>
  <w:style w:type="paragraph" w:styleId="15">
    <w:name w:val="Title"/>
    <w:basedOn w:val="1"/>
    <w:next w:val="1"/>
    <w:uiPriority w:val="0"/>
    <w:pPr>
      <w:keepNext/>
      <w:keepLines/>
      <w:spacing w:after="60"/>
    </w:pPr>
    <w:rPr>
      <w:sz w:val="52"/>
      <w:szCs w:val="52"/>
    </w:rPr>
  </w:style>
  <w:style w:type="paragraph" w:styleId="16">
    <w:name w:val="toc 1"/>
    <w:basedOn w:val="1"/>
    <w:next w:val="1"/>
    <w:autoRedefine/>
    <w:unhideWhenUsed/>
    <w:uiPriority w:val="39"/>
    <w:pPr>
      <w:spacing w:after="100"/>
    </w:pPr>
  </w:style>
  <w:style w:type="paragraph" w:styleId="17">
    <w:name w:val="toc 2"/>
    <w:basedOn w:val="1"/>
    <w:next w:val="1"/>
    <w:autoRedefine/>
    <w:unhideWhenUsed/>
    <w:uiPriority w:val="39"/>
    <w:pPr>
      <w:spacing w:after="100"/>
      <w:ind w:left="220"/>
    </w:pPr>
  </w:style>
  <w:style w:type="table" w:customStyle="1" w:styleId="18">
    <w:name w:val="a"/>
    <w:basedOn w:val="9"/>
    <w:uiPriority w:val="0"/>
    <w:tblPr>
      <w:tblCellMar>
        <w:top w:w="100" w:type="dxa"/>
        <w:left w:w="100" w:type="dxa"/>
        <w:bottom w:w="100" w:type="dxa"/>
        <w:right w:w="100" w:type="dxa"/>
      </w:tblCellMar>
    </w:tblPr>
  </w:style>
  <w:style w:type="character" w:customStyle="1" w:styleId="19">
    <w:name w:val="Header Char"/>
    <w:basedOn w:val="8"/>
    <w:link w:val="11"/>
    <w:autoRedefine/>
    <w:uiPriority w:val="99"/>
  </w:style>
  <w:style w:type="character" w:customStyle="1" w:styleId="20">
    <w:name w:val="Footer Char"/>
    <w:basedOn w:val="8"/>
    <w:link w:val="10"/>
    <w:autoRedefine/>
    <w:qFormat/>
    <w:uiPriority w:val="99"/>
  </w:style>
  <w:style w:type="paragraph" w:customStyle="1" w:styleId="21">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color w:val="376092" w:themeColor="accent1" w:themeShade="BF"/>
      <w:sz w:val="32"/>
      <w:szCs w:val="32"/>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D74A73B-8087-4C23-A85F-BA579F96D6EB}">
  <ds:schemaRefs/>
</ds:datastoreItem>
</file>

<file path=docProps/app.xml><?xml version="1.0" encoding="utf-8"?>
<Properties xmlns="http://schemas.openxmlformats.org/officeDocument/2006/extended-properties" xmlns:vt="http://schemas.openxmlformats.org/officeDocument/2006/docPropsVTypes">
  <Template>Normal</Template>
  <Pages>12</Pages>
  <Words>2754</Words>
  <Characters>15699</Characters>
  <Lines>130</Lines>
  <Paragraphs>36</Paragraphs>
  <TotalTime>0</TotalTime>
  <ScaleCrop>false</ScaleCrop>
  <LinksUpToDate>false</LinksUpToDate>
  <CharactersWithSpaces>18417</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2024-05-01T11:00:00Z</dcterms:created>
  <dc:creator>user</dc:creator>
  <cp:lastModifiedBy>i study</cp:lastModifiedBy>
  <dcterms:modified xsi:type="dcterms:W3CDTF">2024-05-07T14:40:31Z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2057-12.2.0.16731</vt:lpwstr>
  </property>
  <property fmtid="{D5CDD505-2E9C-101B-9397-08002B2CF9AE}" pid="3" name="ICV">
    <vt:lpwstr>75557470645D4C78A56DFC5247784A3A_12</vt:lpwstr>
  </property>
</Properties>
</file>