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37994" w14:textId="38BD582E" w:rsidR="00A3203F" w:rsidRDefault="008A6BAE" w:rsidP="00A3203F">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52ECB0DB" wp14:editId="05395EA2">
            <wp:extent cx="4290060" cy="1737360"/>
            <wp:effectExtent l="0" t="0" r="0" b="0"/>
            <wp:docPr id="136665942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59424" name="Picture 1" descr="A black text on a white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290060" cy="1737360"/>
                    </a:xfrm>
                    <a:prstGeom prst="rect">
                      <a:avLst/>
                    </a:prstGeom>
                  </pic:spPr>
                </pic:pic>
              </a:graphicData>
            </a:graphic>
          </wp:inline>
        </w:drawing>
      </w:r>
    </w:p>
    <w:p w14:paraId="038ECC8B" w14:textId="77777777" w:rsidR="008F2B34" w:rsidRDefault="008F2B34" w:rsidP="00A3203F">
      <w:pPr>
        <w:spacing w:line="360" w:lineRule="auto"/>
        <w:jc w:val="center"/>
        <w:rPr>
          <w:rFonts w:ascii="Arial" w:hAnsi="Arial" w:cs="Arial"/>
          <w:b/>
          <w:bCs/>
          <w:sz w:val="28"/>
          <w:szCs w:val="28"/>
        </w:rPr>
      </w:pPr>
    </w:p>
    <w:p w14:paraId="14DEB376" w14:textId="06C2DF33" w:rsidR="00A3203F" w:rsidRPr="00DA3CB6" w:rsidRDefault="006179C3" w:rsidP="00E77FFA">
      <w:pPr>
        <w:spacing w:line="360" w:lineRule="auto"/>
        <w:jc w:val="center"/>
        <w:rPr>
          <w:rFonts w:ascii="Arial" w:hAnsi="Arial" w:cs="Arial"/>
          <w:b/>
          <w:bCs/>
          <w:sz w:val="28"/>
          <w:szCs w:val="28"/>
        </w:rPr>
      </w:pPr>
      <w:r w:rsidRPr="00DA3CB6">
        <w:rPr>
          <w:rFonts w:ascii="Arial" w:hAnsi="Arial" w:cs="Arial"/>
          <w:b/>
          <w:bCs/>
          <w:sz w:val="28"/>
          <w:szCs w:val="28"/>
        </w:rPr>
        <w:t>Student Name: At</w:t>
      </w:r>
      <w:r w:rsidR="00B74ABA" w:rsidRPr="00DA3CB6">
        <w:rPr>
          <w:rFonts w:ascii="Arial" w:hAnsi="Arial" w:cs="Arial"/>
          <w:b/>
          <w:bCs/>
          <w:sz w:val="28"/>
          <w:szCs w:val="28"/>
        </w:rPr>
        <w:t>a</w:t>
      </w:r>
      <w:r w:rsidRPr="00DA3CB6">
        <w:rPr>
          <w:rFonts w:ascii="Arial" w:hAnsi="Arial" w:cs="Arial"/>
          <w:b/>
          <w:bCs/>
          <w:sz w:val="28"/>
          <w:szCs w:val="28"/>
        </w:rPr>
        <w:t>f Rashid</w:t>
      </w:r>
    </w:p>
    <w:p w14:paraId="05CAA804" w14:textId="782A4C57" w:rsidR="006179C3" w:rsidRPr="00DA3CB6" w:rsidRDefault="006179C3" w:rsidP="00FC1DF7">
      <w:pPr>
        <w:spacing w:line="360" w:lineRule="auto"/>
        <w:jc w:val="center"/>
        <w:rPr>
          <w:rFonts w:ascii="Arial" w:hAnsi="Arial" w:cs="Arial"/>
          <w:b/>
          <w:bCs/>
          <w:sz w:val="28"/>
          <w:szCs w:val="28"/>
        </w:rPr>
      </w:pPr>
      <w:r w:rsidRPr="00DA3CB6">
        <w:rPr>
          <w:rFonts w:ascii="Arial" w:hAnsi="Arial" w:cs="Arial"/>
          <w:b/>
          <w:bCs/>
          <w:sz w:val="28"/>
          <w:szCs w:val="28"/>
        </w:rPr>
        <w:t>Student ID:</w:t>
      </w:r>
      <w:r w:rsidR="00355E2D">
        <w:rPr>
          <w:rFonts w:ascii="Arial" w:hAnsi="Arial" w:cs="Arial"/>
          <w:b/>
          <w:bCs/>
          <w:sz w:val="28"/>
          <w:szCs w:val="28"/>
        </w:rPr>
        <w:t xml:space="preserve"> </w:t>
      </w:r>
      <w:r w:rsidR="002B5527">
        <w:rPr>
          <w:rFonts w:ascii="Arial" w:hAnsi="Arial" w:cs="Arial"/>
          <w:b/>
          <w:bCs/>
          <w:sz w:val="28"/>
          <w:szCs w:val="28"/>
        </w:rPr>
        <w:t>2434316</w:t>
      </w:r>
    </w:p>
    <w:p w14:paraId="6ADD5B58" w14:textId="09BFACDB" w:rsidR="006179C3" w:rsidRPr="00DA3CB6" w:rsidRDefault="006179C3" w:rsidP="00FC1DF7">
      <w:pPr>
        <w:spacing w:line="360" w:lineRule="auto"/>
        <w:jc w:val="center"/>
        <w:rPr>
          <w:rFonts w:ascii="Arial" w:hAnsi="Arial" w:cs="Arial"/>
          <w:b/>
          <w:bCs/>
          <w:sz w:val="28"/>
          <w:szCs w:val="28"/>
        </w:rPr>
      </w:pPr>
      <w:r w:rsidRPr="00DA3CB6">
        <w:rPr>
          <w:rFonts w:ascii="Arial" w:hAnsi="Arial" w:cs="Arial"/>
          <w:b/>
          <w:bCs/>
          <w:sz w:val="28"/>
          <w:szCs w:val="28"/>
        </w:rPr>
        <w:t>Module: Introduction to Public Health</w:t>
      </w:r>
    </w:p>
    <w:p w14:paraId="0FC66BE7" w14:textId="1956FBCB" w:rsidR="006179C3" w:rsidRPr="005246AE" w:rsidRDefault="006179C3" w:rsidP="00FC1DF7">
      <w:pPr>
        <w:spacing w:line="360" w:lineRule="auto"/>
        <w:jc w:val="center"/>
        <w:rPr>
          <w:rFonts w:ascii="Arial" w:hAnsi="Arial" w:cs="Arial"/>
          <w:b/>
          <w:bCs/>
          <w:sz w:val="28"/>
          <w:szCs w:val="28"/>
          <w:lang w:val="fr-FR"/>
        </w:rPr>
      </w:pPr>
      <w:r w:rsidRPr="005246AE">
        <w:rPr>
          <w:rFonts w:ascii="Arial" w:hAnsi="Arial" w:cs="Arial"/>
          <w:b/>
          <w:bCs/>
          <w:sz w:val="28"/>
          <w:szCs w:val="28"/>
          <w:lang w:val="fr-FR"/>
        </w:rPr>
        <w:t>Module code: LCHS4008</w:t>
      </w:r>
    </w:p>
    <w:p w14:paraId="398DDCA9" w14:textId="390650FF" w:rsidR="006179C3" w:rsidRPr="005246AE" w:rsidRDefault="006179C3" w:rsidP="00FC1DF7">
      <w:pPr>
        <w:spacing w:line="360" w:lineRule="auto"/>
        <w:jc w:val="center"/>
        <w:rPr>
          <w:rFonts w:ascii="Arial" w:hAnsi="Arial" w:cs="Arial"/>
          <w:b/>
          <w:bCs/>
          <w:sz w:val="28"/>
          <w:szCs w:val="28"/>
          <w:lang w:val="fr-FR"/>
        </w:rPr>
      </w:pPr>
      <w:proofErr w:type="spellStart"/>
      <w:r w:rsidRPr="005246AE">
        <w:rPr>
          <w:rFonts w:ascii="Arial" w:hAnsi="Arial" w:cs="Arial"/>
          <w:b/>
          <w:bCs/>
          <w:sz w:val="28"/>
          <w:szCs w:val="28"/>
          <w:lang w:val="fr-FR"/>
        </w:rPr>
        <w:t>Lecturer</w:t>
      </w:r>
      <w:proofErr w:type="spellEnd"/>
      <w:r w:rsidRPr="005246AE">
        <w:rPr>
          <w:rFonts w:ascii="Arial" w:hAnsi="Arial" w:cs="Arial"/>
          <w:b/>
          <w:bCs/>
          <w:sz w:val="28"/>
          <w:szCs w:val="28"/>
          <w:lang w:val="fr-FR"/>
        </w:rPr>
        <w:t xml:space="preserve">: </w:t>
      </w:r>
      <w:r w:rsidR="00F80A70" w:rsidRPr="005246AE">
        <w:rPr>
          <w:rFonts w:ascii="Arial" w:hAnsi="Arial" w:cs="Arial"/>
          <w:b/>
          <w:bCs/>
          <w:sz w:val="28"/>
          <w:szCs w:val="28"/>
          <w:lang w:val="fr-FR"/>
        </w:rPr>
        <w:t xml:space="preserve">Mumtaz </w:t>
      </w:r>
      <w:proofErr w:type="spellStart"/>
      <w:r w:rsidR="00F80A70" w:rsidRPr="005246AE">
        <w:rPr>
          <w:rFonts w:ascii="Arial" w:hAnsi="Arial" w:cs="Arial"/>
          <w:b/>
          <w:bCs/>
          <w:sz w:val="28"/>
          <w:szCs w:val="28"/>
          <w:lang w:val="fr-FR"/>
        </w:rPr>
        <w:t>G</w:t>
      </w:r>
      <w:r w:rsidR="008157DA" w:rsidRPr="005246AE">
        <w:rPr>
          <w:rFonts w:ascii="Arial" w:hAnsi="Arial" w:cs="Arial"/>
          <w:b/>
          <w:bCs/>
          <w:sz w:val="28"/>
          <w:szCs w:val="28"/>
          <w:lang w:val="fr-FR"/>
        </w:rPr>
        <w:t>oolam</w:t>
      </w:r>
      <w:proofErr w:type="spellEnd"/>
    </w:p>
    <w:p w14:paraId="1257199C" w14:textId="77777777" w:rsidR="006179C3" w:rsidRPr="00DA3CB6" w:rsidRDefault="006179C3" w:rsidP="00FC1DF7">
      <w:pPr>
        <w:spacing w:line="360" w:lineRule="auto"/>
        <w:jc w:val="center"/>
        <w:rPr>
          <w:rFonts w:ascii="Arial" w:hAnsi="Arial" w:cs="Arial"/>
          <w:b/>
          <w:bCs/>
          <w:sz w:val="28"/>
          <w:szCs w:val="28"/>
        </w:rPr>
      </w:pPr>
      <w:r w:rsidRPr="00DA3CB6">
        <w:rPr>
          <w:rFonts w:ascii="Arial" w:hAnsi="Arial" w:cs="Arial"/>
          <w:b/>
          <w:bCs/>
          <w:sz w:val="28"/>
          <w:szCs w:val="28"/>
        </w:rPr>
        <w:t>Assignment Title: Assessment 2 - Report on a Health Issue</w:t>
      </w:r>
    </w:p>
    <w:p w14:paraId="327E43D3" w14:textId="77777777" w:rsidR="006179C3" w:rsidRDefault="006179C3" w:rsidP="006179C3"/>
    <w:p w14:paraId="30FCBA70" w14:textId="77777777" w:rsidR="006179C3" w:rsidRDefault="006179C3" w:rsidP="006179C3"/>
    <w:p w14:paraId="7FADE8B7" w14:textId="77777777" w:rsidR="003D348F" w:rsidRDefault="003D348F" w:rsidP="006179C3"/>
    <w:p w14:paraId="34585342" w14:textId="77777777" w:rsidR="003D348F" w:rsidRDefault="003D348F" w:rsidP="006179C3"/>
    <w:p w14:paraId="0A31C4BC" w14:textId="77777777" w:rsidR="003D348F" w:rsidRDefault="003D348F" w:rsidP="006179C3"/>
    <w:p w14:paraId="07A4A4EC" w14:textId="77777777" w:rsidR="003D348F" w:rsidRDefault="003D348F" w:rsidP="006179C3"/>
    <w:p w14:paraId="6CD5069F" w14:textId="77777777" w:rsidR="00676E7C" w:rsidRDefault="00676E7C" w:rsidP="00026662">
      <w:pPr>
        <w:spacing w:line="360" w:lineRule="auto"/>
      </w:pPr>
    </w:p>
    <w:p w14:paraId="2B9BEC19" w14:textId="77777777" w:rsidR="00FC1DF7" w:rsidRDefault="00FC1DF7" w:rsidP="00026662">
      <w:pPr>
        <w:spacing w:line="360" w:lineRule="auto"/>
      </w:pPr>
    </w:p>
    <w:p w14:paraId="55F6CD54" w14:textId="77777777" w:rsidR="00FC1DF7" w:rsidRDefault="00FC1DF7" w:rsidP="00026662">
      <w:pPr>
        <w:spacing w:line="360" w:lineRule="auto"/>
      </w:pPr>
    </w:p>
    <w:p w14:paraId="60BEFDBD" w14:textId="77777777" w:rsidR="00FC1DF7" w:rsidRDefault="00FC1DF7" w:rsidP="00026662">
      <w:pPr>
        <w:spacing w:line="360" w:lineRule="auto"/>
      </w:pPr>
    </w:p>
    <w:p w14:paraId="51320BF6" w14:textId="77777777" w:rsidR="00FC1DF7" w:rsidRDefault="00FC1DF7" w:rsidP="00026662">
      <w:pPr>
        <w:spacing w:line="360" w:lineRule="auto"/>
      </w:pPr>
    </w:p>
    <w:sdt>
      <w:sdtPr>
        <w:rPr>
          <w:rFonts w:ascii="Arial" w:eastAsiaTheme="minorHAnsi" w:hAnsi="Arial" w:cs="Arial"/>
          <w:b/>
          <w:bCs/>
          <w:color w:val="auto"/>
          <w:kern w:val="2"/>
          <w:sz w:val="24"/>
          <w:szCs w:val="24"/>
          <w:lang w:eastAsia="en-US"/>
          <w14:ligatures w14:val="standardContextual"/>
        </w:rPr>
        <w:id w:val="1440016901"/>
        <w:docPartObj>
          <w:docPartGallery w:val="Table of Contents"/>
          <w:docPartUnique/>
        </w:docPartObj>
      </w:sdtPr>
      <w:sdtEndPr>
        <w:rPr>
          <w:rFonts w:asciiTheme="minorHAnsi" w:hAnsiTheme="minorHAnsi" w:cstheme="minorBidi"/>
        </w:rPr>
      </w:sdtEndPr>
      <w:sdtContent>
        <w:p w14:paraId="4C622F7A" w14:textId="507E1BE5" w:rsidR="00676E7C" w:rsidRPr="00FC1DF7" w:rsidRDefault="00676E7C" w:rsidP="00FC1DF7">
          <w:pPr>
            <w:pStyle w:val="TOCHeading"/>
            <w:jc w:val="center"/>
            <w:rPr>
              <w:rFonts w:ascii="Arial" w:hAnsi="Arial" w:cs="Arial"/>
              <w:b/>
              <w:bCs/>
              <w:color w:val="auto"/>
              <w:sz w:val="24"/>
              <w:szCs w:val="24"/>
            </w:rPr>
          </w:pPr>
          <w:r w:rsidRPr="00FC1DF7">
            <w:rPr>
              <w:rFonts w:ascii="Arial" w:hAnsi="Arial" w:cs="Arial"/>
              <w:b/>
              <w:bCs/>
              <w:color w:val="auto"/>
              <w:sz w:val="24"/>
              <w:szCs w:val="24"/>
            </w:rPr>
            <w:t>Table Of Contents</w:t>
          </w:r>
        </w:p>
        <w:p w14:paraId="11BFF0D1" w14:textId="77777777" w:rsidR="00FC1DF7" w:rsidRPr="00FC1DF7" w:rsidRDefault="00FC1DF7" w:rsidP="00FC1DF7">
          <w:pPr>
            <w:rPr>
              <w:lang w:eastAsia="en-GB"/>
            </w:rPr>
          </w:pPr>
        </w:p>
        <w:p w14:paraId="7595BFBD" w14:textId="0DD566BB" w:rsidR="00676E7C" w:rsidRPr="00FC1DF7" w:rsidRDefault="00676E7C" w:rsidP="00FC1DF7">
          <w:pPr>
            <w:pStyle w:val="TOC1"/>
            <w:rPr>
              <w:rFonts w:eastAsiaTheme="minorEastAsia"/>
              <w:lang w:eastAsia="en-GB"/>
            </w:rPr>
          </w:pPr>
          <w:r w:rsidRPr="00FC1DF7">
            <w:fldChar w:fldCharType="begin"/>
          </w:r>
          <w:r w:rsidRPr="00FC1DF7">
            <w:instrText xml:space="preserve"> TOC \o "1-3" \h \z \u </w:instrText>
          </w:r>
          <w:r w:rsidRPr="00FC1DF7">
            <w:fldChar w:fldCharType="separate"/>
          </w:r>
          <w:hyperlink w:anchor="_Toc214229499" w:history="1">
            <w:r w:rsidRPr="00FC1DF7">
              <w:rPr>
                <w:rStyle w:val="Hyperlink"/>
              </w:rPr>
              <w:t>Introduction</w:t>
            </w:r>
            <w:r w:rsidRPr="00FC1DF7">
              <w:rPr>
                <w:webHidden/>
              </w:rPr>
              <w:tab/>
            </w:r>
            <w:r w:rsidRPr="00FC1DF7">
              <w:rPr>
                <w:webHidden/>
              </w:rPr>
              <w:fldChar w:fldCharType="begin"/>
            </w:r>
            <w:r w:rsidRPr="00FC1DF7">
              <w:rPr>
                <w:webHidden/>
              </w:rPr>
              <w:instrText xml:space="preserve"> PAGEREF _Toc214229499 \h </w:instrText>
            </w:r>
            <w:r w:rsidRPr="00FC1DF7">
              <w:rPr>
                <w:webHidden/>
              </w:rPr>
            </w:r>
            <w:r w:rsidRPr="00FC1DF7">
              <w:rPr>
                <w:webHidden/>
              </w:rPr>
              <w:fldChar w:fldCharType="separate"/>
            </w:r>
            <w:r w:rsidR="000A4012">
              <w:rPr>
                <w:webHidden/>
              </w:rPr>
              <w:t>3</w:t>
            </w:r>
            <w:r w:rsidRPr="00FC1DF7">
              <w:rPr>
                <w:webHidden/>
              </w:rPr>
              <w:fldChar w:fldCharType="end"/>
            </w:r>
          </w:hyperlink>
        </w:p>
        <w:p w14:paraId="0CE99DE4" w14:textId="484C7488" w:rsidR="00676E7C" w:rsidRPr="00FC1DF7" w:rsidRDefault="00676E7C" w:rsidP="00FC1DF7">
          <w:pPr>
            <w:pStyle w:val="TOC1"/>
            <w:rPr>
              <w:rFonts w:eastAsiaTheme="minorEastAsia"/>
              <w:lang w:eastAsia="en-GB"/>
            </w:rPr>
          </w:pPr>
          <w:hyperlink w:anchor="_Toc214229500" w:history="1">
            <w:r w:rsidRPr="00FC1DF7">
              <w:rPr>
                <w:rStyle w:val="Hyperlink"/>
              </w:rPr>
              <w:t>Definition of the disease</w:t>
            </w:r>
            <w:r w:rsidRPr="00FC1DF7">
              <w:rPr>
                <w:webHidden/>
              </w:rPr>
              <w:tab/>
            </w:r>
            <w:r w:rsidRPr="00FC1DF7">
              <w:rPr>
                <w:webHidden/>
              </w:rPr>
              <w:fldChar w:fldCharType="begin"/>
            </w:r>
            <w:r w:rsidRPr="00FC1DF7">
              <w:rPr>
                <w:webHidden/>
              </w:rPr>
              <w:instrText xml:space="preserve"> PAGEREF _Toc214229500 \h </w:instrText>
            </w:r>
            <w:r w:rsidRPr="00FC1DF7">
              <w:rPr>
                <w:webHidden/>
              </w:rPr>
            </w:r>
            <w:r w:rsidRPr="00FC1DF7">
              <w:rPr>
                <w:webHidden/>
              </w:rPr>
              <w:fldChar w:fldCharType="separate"/>
            </w:r>
            <w:r w:rsidR="000A4012">
              <w:rPr>
                <w:webHidden/>
              </w:rPr>
              <w:t>3</w:t>
            </w:r>
            <w:r w:rsidRPr="00FC1DF7">
              <w:rPr>
                <w:webHidden/>
              </w:rPr>
              <w:fldChar w:fldCharType="end"/>
            </w:r>
          </w:hyperlink>
        </w:p>
        <w:p w14:paraId="795ADA6A" w14:textId="267906DB" w:rsidR="00676E7C" w:rsidRPr="00FC1DF7" w:rsidRDefault="00676E7C" w:rsidP="00FC1DF7">
          <w:pPr>
            <w:pStyle w:val="TOC1"/>
            <w:rPr>
              <w:rFonts w:eastAsiaTheme="minorEastAsia"/>
              <w:lang w:eastAsia="en-GB"/>
            </w:rPr>
          </w:pPr>
          <w:hyperlink w:anchor="_Toc214229501" w:history="1">
            <w:r w:rsidRPr="00FC1DF7">
              <w:rPr>
                <w:rStyle w:val="Hyperlink"/>
              </w:rPr>
              <w:t>Signs and symptoms</w:t>
            </w:r>
            <w:r w:rsidRPr="00FC1DF7">
              <w:rPr>
                <w:webHidden/>
              </w:rPr>
              <w:tab/>
            </w:r>
            <w:r w:rsidRPr="00FC1DF7">
              <w:rPr>
                <w:webHidden/>
              </w:rPr>
              <w:fldChar w:fldCharType="begin"/>
            </w:r>
            <w:r w:rsidRPr="00FC1DF7">
              <w:rPr>
                <w:webHidden/>
              </w:rPr>
              <w:instrText xml:space="preserve"> PAGEREF _Toc214229501 \h </w:instrText>
            </w:r>
            <w:r w:rsidRPr="00FC1DF7">
              <w:rPr>
                <w:webHidden/>
              </w:rPr>
            </w:r>
            <w:r w:rsidRPr="00FC1DF7">
              <w:rPr>
                <w:webHidden/>
              </w:rPr>
              <w:fldChar w:fldCharType="separate"/>
            </w:r>
            <w:r w:rsidR="000A4012">
              <w:rPr>
                <w:webHidden/>
              </w:rPr>
              <w:t>3</w:t>
            </w:r>
            <w:r w:rsidRPr="00FC1DF7">
              <w:rPr>
                <w:webHidden/>
              </w:rPr>
              <w:fldChar w:fldCharType="end"/>
            </w:r>
          </w:hyperlink>
        </w:p>
        <w:p w14:paraId="2D7A0341" w14:textId="45252DCE" w:rsidR="00676E7C" w:rsidRPr="00FC1DF7" w:rsidRDefault="00676E7C" w:rsidP="00FC1DF7">
          <w:pPr>
            <w:pStyle w:val="TOC1"/>
            <w:rPr>
              <w:rFonts w:eastAsiaTheme="minorEastAsia"/>
              <w:lang w:eastAsia="en-GB"/>
            </w:rPr>
          </w:pPr>
          <w:hyperlink w:anchor="_Toc214229502" w:history="1">
            <w:r w:rsidRPr="00FC1DF7">
              <w:rPr>
                <w:rStyle w:val="Hyperlink"/>
              </w:rPr>
              <w:t>Levels of incidence and prevalence (global and UK)</w:t>
            </w:r>
            <w:r w:rsidRPr="00FC1DF7">
              <w:rPr>
                <w:webHidden/>
              </w:rPr>
              <w:tab/>
            </w:r>
            <w:r w:rsidRPr="00FC1DF7">
              <w:rPr>
                <w:webHidden/>
              </w:rPr>
              <w:fldChar w:fldCharType="begin"/>
            </w:r>
            <w:r w:rsidRPr="00FC1DF7">
              <w:rPr>
                <w:webHidden/>
              </w:rPr>
              <w:instrText xml:space="preserve"> PAGEREF _Toc214229502 \h </w:instrText>
            </w:r>
            <w:r w:rsidRPr="00FC1DF7">
              <w:rPr>
                <w:webHidden/>
              </w:rPr>
            </w:r>
            <w:r w:rsidRPr="00FC1DF7">
              <w:rPr>
                <w:webHidden/>
              </w:rPr>
              <w:fldChar w:fldCharType="separate"/>
            </w:r>
            <w:r w:rsidR="000A4012">
              <w:rPr>
                <w:webHidden/>
              </w:rPr>
              <w:t>4</w:t>
            </w:r>
            <w:r w:rsidRPr="00FC1DF7">
              <w:rPr>
                <w:webHidden/>
              </w:rPr>
              <w:fldChar w:fldCharType="end"/>
            </w:r>
          </w:hyperlink>
        </w:p>
        <w:p w14:paraId="3CDB9A13" w14:textId="442CC944" w:rsidR="00676E7C" w:rsidRPr="00FC1DF7" w:rsidRDefault="00676E7C" w:rsidP="00FC1DF7">
          <w:pPr>
            <w:pStyle w:val="TOC1"/>
            <w:rPr>
              <w:rFonts w:eastAsiaTheme="minorEastAsia"/>
              <w:lang w:eastAsia="en-GB"/>
            </w:rPr>
          </w:pPr>
          <w:hyperlink w:anchor="_Toc214229503" w:history="1">
            <w:r w:rsidRPr="00FC1DF7">
              <w:rPr>
                <w:rStyle w:val="Hyperlink"/>
              </w:rPr>
              <w:t>Consequences of Type 2 Diabetes in the Community</w:t>
            </w:r>
            <w:r w:rsidRPr="00FC1DF7">
              <w:rPr>
                <w:webHidden/>
              </w:rPr>
              <w:tab/>
            </w:r>
            <w:r w:rsidRPr="00FC1DF7">
              <w:rPr>
                <w:webHidden/>
              </w:rPr>
              <w:fldChar w:fldCharType="begin"/>
            </w:r>
            <w:r w:rsidRPr="00FC1DF7">
              <w:rPr>
                <w:webHidden/>
              </w:rPr>
              <w:instrText xml:space="preserve"> PAGEREF _Toc214229503 \h </w:instrText>
            </w:r>
            <w:r w:rsidRPr="00FC1DF7">
              <w:rPr>
                <w:webHidden/>
              </w:rPr>
            </w:r>
            <w:r w:rsidRPr="00FC1DF7">
              <w:rPr>
                <w:webHidden/>
              </w:rPr>
              <w:fldChar w:fldCharType="separate"/>
            </w:r>
            <w:r w:rsidR="000A4012">
              <w:rPr>
                <w:webHidden/>
              </w:rPr>
              <w:t>4</w:t>
            </w:r>
            <w:r w:rsidRPr="00FC1DF7">
              <w:rPr>
                <w:webHidden/>
              </w:rPr>
              <w:fldChar w:fldCharType="end"/>
            </w:r>
          </w:hyperlink>
        </w:p>
        <w:p w14:paraId="4FB28CFD" w14:textId="6ACAAD57" w:rsidR="00676E7C" w:rsidRPr="00FC1DF7" w:rsidRDefault="00676E7C" w:rsidP="00FC1DF7">
          <w:pPr>
            <w:pStyle w:val="TOC1"/>
            <w:rPr>
              <w:rFonts w:eastAsiaTheme="minorEastAsia"/>
              <w:lang w:eastAsia="en-GB"/>
            </w:rPr>
          </w:pPr>
          <w:hyperlink w:anchor="_Toc214229504" w:history="1">
            <w:r w:rsidRPr="00FC1DF7">
              <w:rPr>
                <w:rStyle w:val="Hyperlink"/>
              </w:rPr>
              <w:t>Consequences for the NHS</w:t>
            </w:r>
            <w:r w:rsidRPr="00FC1DF7">
              <w:rPr>
                <w:webHidden/>
              </w:rPr>
              <w:tab/>
            </w:r>
            <w:r w:rsidRPr="00FC1DF7">
              <w:rPr>
                <w:webHidden/>
              </w:rPr>
              <w:fldChar w:fldCharType="begin"/>
            </w:r>
            <w:r w:rsidRPr="00FC1DF7">
              <w:rPr>
                <w:webHidden/>
              </w:rPr>
              <w:instrText xml:space="preserve"> PAGEREF _Toc214229504 \h </w:instrText>
            </w:r>
            <w:r w:rsidRPr="00FC1DF7">
              <w:rPr>
                <w:webHidden/>
              </w:rPr>
            </w:r>
            <w:r w:rsidRPr="00FC1DF7">
              <w:rPr>
                <w:webHidden/>
              </w:rPr>
              <w:fldChar w:fldCharType="separate"/>
            </w:r>
            <w:r w:rsidR="000A4012">
              <w:rPr>
                <w:webHidden/>
              </w:rPr>
              <w:t>5</w:t>
            </w:r>
            <w:r w:rsidRPr="00FC1DF7">
              <w:rPr>
                <w:webHidden/>
              </w:rPr>
              <w:fldChar w:fldCharType="end"/>
            </w:r>
          </w:hyperlink>
        </w:p>
        <w:p w14:paraId="0FD7A7B2" w14:textId="5D5C41C2" w:rsidR="00676E7C" w:rsidRPr="00FC1DF7" w:rsidRDefault="00676E7C" w:rsidP="00FC1DF7">
          <w:pPr>
            <w:pStyle w:val="TOC1"/>
            <w:rPr>
              <w:rFonts w:eastAsiaTheme="minorEastAsia"/>
              <w:lang w:eastAsia="en-GB"/>
            </w:rPr>
          </w:pPr>
          <w:hyperlink w:anchor="_Toc214229505" w:history="1">
            <w:r w:rsidRPr="00FC1DF7">
              <w:rPr>
                <w:rStyle w:val="Hyperlink"/>
              </w:rPr>
              <w:t>How Type 2 Diabetes is Controlled</w:t>
            </w:r>
            <w:r w:rsidRPr="00FC1DF7">
              <w:rPr>
                <w:webHidden/>
              </w:rPr>
              <w:tab/>
            </w:r>
            <w:r w:rsidRPr="00FC1DF7">
              <w:rPr>
                <w:webHidden/>
              </w:rPr>
              <w:fldChar w:fldCharType="begin"/>
            </w:r>
            <w:r w:rsidRPr="00FC1DF7">
              <w:rPr>
                <w:webHidden/>
              </w:rPr>
              <w:instrText xml:space="preserve"> PAGEREF _Toc214229505 \h </w:instrText>
            </w:r>
            <w:r w:rsidRPr="00FC1DF7">
              <w:rPr>
                <w:webHidden/>
              </w:rPr>
            </w:r>
            <w:r w:rsidRPr="00FC1DF7">
              <w:rPr>
                <w:webHidden/>
              </w:rPr>
              <w:fldChar w:fldCharType="separate"/>
            </w:r>
            <w:r w:rsidR="000A4012">
              <w:rPr>
                <w:webHidden/>
              </w:rPr>
              <w:t>5</w:t>
            </w:r>
            <w:r w:rsidRPr="00FC1DF7">
              <w:rPr>
                <w:webHidden/>
              </w:rPr>
              <w:fldChar w:fldCharType="end"/>
            </w:r>
          </w:hyperlink>
        </w:p>
        <w:p w14:paraId="5F490CB6" w14:textId="1B90F10C" w:rsidR="00676E7C" w:rsidRPr="00FC1DF7" w:rsidRDefault="00676E7C" w:rsidP="00FC1DF7">
          <w:pPr>
            <w:pStyle w:val="TOC1"/>
            <w:rPr>
              <w:rFonts w:eastAsiaTheme="minorEastAsia"/>
              <w:lang w:eastAsia="en-GB"/>
            </w:rPr>
          </w:pPr>
          <w:hyperlink w:anchor="_Toc214229506" w:history="1">
            <w:r w:rsidRPr="00FC1DF7">
              <w:rPr>
                <w:rStyle w:val="Hyperlink"/>
              </w:rPr>
              <w:t>Factors influencing health and well-being</w:t>
            </w:r>
            <w:r w:rsidRPr="00FC1DF7">
              <w:rPr>
                <w:webHidden/>
              </w:rPr>
              <w:tab/>
            </w:r>
            <w:r w:rsidRPr="00FC1DF7">
              <w:rPr>
                <w:webHidden/>
              </w:rPr>
              <w:fldChar w:fldCharType="begin"/>
            </w:r>
            <w:r w:rsidRPr="00FC1DF7">
              <w:rPr>
                <w:webHidden/>
              </w:rPr>
              <w:instrText xml:space="preserve"> PAGEREF _Toc214229506 \h </w:instrText>
            </w:r>
            <w:r w:rsidRPr="00FC1DF7">
              <w:rPr>
                <w:webHidden/>
              </w:rPr>
            </w:r>
            <w:r w:rsidRPr="00FC1DF7">
              <w:rPr>
                <w:webHidden/>
              </w:rPr>
              <w:fldChar w:fldCharType="separate"/>
            </w:r>
            <w:r w:rsidR="000A4012">
              <w:rPr>
                <w:webHidden/>
              </w:rPr>
              <w:t>6</w:t>
            </w:r>
            <w:r w:rsidRPr="00FC1DF7">
              <w:rPr>
                <w:webHidden/>
              </w:rPr>
              <w:fldChar w:fldCharType="end"/>
            </w:r>
          </w:hyperlink>
        </w:p>
        <w:p w14:paraId="1079930A" w14:textId="0EB72061" w:rsidR="00676E7C" w:rsidRPr="00FC1DF7" w:rsidRDefault="00676E7C" w:rsidP="00FC1DF7">
          <w:pPr>
            <w:pStyle w:val="TOC1"/>
            <w:rPr>
              <w:rFonts w:eastAsiaTheme="minorEastAsia"/>
              <w:lang w:eastAsia="en-GB"/>
            </w:rPr>
          </w:pPr>
          <w:hyperlink w:anchor="_Toc214229507" w:history="1">
            <w:r w:rsidRPr="00FC1DF7">
              <w:rPr>
                <w:rStyle w:val="Hyperlink"/>
              </w:rPr>
              <w:t>Conclusion</w:t>
            </w:r>
            <w:r w:rsidRPr="00FC1DF7">
              <w:rPr>
                <w:webHidden/>
              </w:rPr>
              <w:tab/>
            </w:r>
            <w:r w:rsidRPr="00FC1DF7">
              <w:rPr>
                <w:webHidden/>
              </w:rPr>
              <w:fldChar w:fldCharType="begin"/>
            </w:r>
            <w:r w:rsidRPr="00FC1DF7">
              <w:rPr>
                <w:webHidden/>
              </w:rPr>
              <w:instrText xml:space="preserve"> PAGEREF _Toc214229507 \h </w:instrText>
            </w:r>
            <w:r w:rsidRPr="00FC1DF7">
              <w:rPr>
                <w:webHidden/>
              </w:rPr>
            </w:r>
            <w:r w:rsidRPr="00FC1DF7">
              <w:rPr>
                <w:webHidden/>
              </w:rPr>
              <w:fldChar w:fldCharType="separate"/>
            </w:r>
            <w:r w:rsidR="000A4012">
              <w:rPr>
                <w:webHidden/>
              </w:rPr>
              <w:t>7</w:t>
            </w:r>
            <w:r w:rsidRPr="00FC1DF7">
              <w:rPr>
                <w:webHidden/>
              </w:rPr>
              <w:fldChar w:fldCharType="end"/>
            </w:r>
          </w:hyperlink>
        </w:p>
        <w:p w14:paraId="230A8FD8" w14:textId="208DDC72" w:rsidR="00676E7C" w:rsidRPr="00FC1DF7" w:rsidRDefault="00676E7C" w:rsidP="00FC1DF7">
          <w:pPr>
            <w:pStyle w:val="TOC1"/>
            <w:rPr>
              <w:rFonts w:eastAsiaTheme="minorEastAsia"/>
              <w:lang w:eastAsia="en-GB"/>
            </w:rPr>
          </w:pPr>
          <w:hyperlink w:anchor="_Toc214229508" w:history="1">
            <w:r w:rsidRPr="00FC1DF7">
              <w:rPr>
                <w:rStyle w:val="Hyperlink"/>
                <w:lang w:val="fr-FR"/>
              </w:rPr>
              <w:t>Reference List</w:t>
            </w:r>
            <w:r w:rsidRPr="00FC1DF7">
              <w:rPr>
                <w:webHidden/>
              </w:rPr>
              <w:tab/>
            </w:r>
            <w:r w:rsidRPr="00FC1DF7">
              <w:rPr>
                <w:webHidden/>
              </w:rPr>
              <w:fldChar w:fldCharType="begin"/>
            </w:r>
            <w:r w:rsidRPr="00FC1DF7">
              <w:rPr>
                <w:webHidden/>
              </w:rPr>
              <w:instrText xml:space="preserve"> PAGEREF _Toc214229508 \h </w:instrText>
            </w:r>
            <w:r w:rsidRPr="00FC1DF7">
              <w:rPr>
                <w:webHidden/>
              </w:rPr>
            </w:r>
            <w:r w:rsidRPr="00FC1DF7">
              <w:rPr>
                <w:webHidden/>
              </w:rPr>
              <w:fldChar w:fldCharType="separate"/>
            </w:r>
            <w:r w:rsidR="000A4012">
              <w:rPr>
                <w:webHidden/>
              </w:rPr>
              <w:t>8</w:t>
            </w:r>
            <w:r w:rsidRPr="00FC1DF7">
              <w:rPr>
                <w:webHidden/>
              </w:rPr>
              <w:fldChar w:fldCharType="end"/>
            </w:r>
          </w:hyperlink>
        </w:p>
        <w:p w14:paraId="6DC42ABE" w14:textId="1A3AFA77" w:rsidR="00676E7C" w:rsidRDefault="00676E7C">
          <w:r w:rsidRPr="00FC1DF7">
            <w:rPr>
              <w:rFonts w:ascii="Arial" w:hAnsi="Arial" w:cs="Arial"/>
            </w:rPr>
            <w:fldChar w:fldCharType="end"/>
          </w:r>
        </w:p>
      </w:sdtContent>
    </w:sdt>
    <w:p w14:paraId="22455C22" w14:textId="77777777" w:rsidR="00F5737B" w:rsidRPr="00676E7C" w:rsidRDefault="00F5737B" w:rsidP="00026662">
      <w:pPr>
        <w:spacing w:line="360" w:lineRule="auto"/>
        <w:rPr>
          <w:rFonts w:ascii="Arial" w:hAnsi="Arial" w:cs="Arial"/>
          <w:sz w:val="22"/>
          <w:szCs w:val="22"/>
        </w:rPr>
      </w:pPr>
    </w:p>
    <w:p w14:paraId="571AE6B2" w14:textId="77777777" w:rsidR="00F5737B" w:rsidRPr="00676E7C" w:rsidRDefault="00F5737B" w:rsidP="00026662">
      <w:pPr>
        <w:spacing w:line="360" w:lineRule="auto"/>
        <w:rPr>
          <w:rFonts w:ascii="Arial" w:hAnsi="Arial" w:cs="Arial"/>
          <w:sz w:val="22"/>
          <w:szCs w:val="22"/>
        </w:rPr>
      </w:pPr>
    </w:p>
    <w:p w14:paraId="1D52C36B" w14:textId="77777777" w:rsidR="00676E7C" w:rsidRPr="00676E7C" w:rsidRDefault="00676E7C" w:rsidP="00026662">
      <w:pPr>
        <w:spacing w:line="360" w:lineRule="auto"/>
        <w:rPr>
          <w:rFonts w:ascii="Arial" w:hAnsi="Arial" w:cs="Arial"/>
          <w:sz w:val="22"/>
          <w:szCs w:val="22"/>
        </w:rPr>
      </w:pPr>
    </w:p>
    <w:p w14:paraId="596C8093" w14:textId="77777777" w:rsidR="00676E7C" w:rsidRPr="00676E7C" w:rsidRDefault="00676E7C" w:rsidP="00026662">
      <w:pPr>
        <w:spacing w:line="360" w:lineRule="auto"/>
        <w:rPr>
          <w:rFonts w:ascii="Arial" w:hAnsi="Arial" w:cs="Arial"/>
          <w:sz w:val="22"/>
          <w:szCs w:val="22"/>
        </w:rPr>
      </w:pPr>
    </w:p>
    <w:p w14:paraId="77481D21" w14:textId="77777777" w:rsidR="00676E7C" w:rsidRPr="00676E7C" w:rsidRDefault="00676E7C" w:rsidP="00026662">
      <w:pPr>
        <w:spacing w:line="360" w:lineRule="auto"/>
        <w:rPr>
          <w:rFonts w:ascii="Arial" w:hAnsi="Arial" w:cs="Arial"/>
          <w:sz w:val="22"/>
          <w:szCs w:val="22"/>
        </w:rPr>
      </w:pPr>
    </w:p>
    <w:p w14:paraId="20B28DF7" w14:textId="77777777" w:rsidR="00676E7C" w:rsidRPr="00676E7C" w:rsidRDefault="00676E7C" w:rsidP="00026662">
      <w:pPr>
        <w:spacing w:line="360" w:lineRule="auto"/>
        <w:rPr>
          <w:rFonts w:ascii="Arial" w:hAnsi="Arial" w:cs="Arial"/>
          <w:sz w:val="22"/>
          <w:szCs w:val="22"/>
        </w:rPr>
      </w:pPr>
    </w:p>
    <w:p w14:paraId="0F080DE3" w14:textId="77777777" w:rsidR="00676E7C" w:rsidRPr="00676E7C" w:rsidRDefault="00676E7C" w:rsidP="00026662">
      <w:pPr>
        <w:spacing w:line="360" w:lineRule="auto"/>
        <w:rPr>
          <w:rFonts w:ascii="Arial" w:hAnsi="Arial" w:cs="Arial"/>
          <w:sz w:val="22"/>
          <w:szCs w:val="22"/>
        </w:rPr>
      </w:pPr>
    </w:p>
    <w:p w14:paraId="5B196C6A" w14:textId="77777777" w:rsidR="00676E7C" w:rsidRPr="00676E7C" w:rsidRDefault="00676E7C" w:rsidP="00026662">
      <w:pPr>
        <w:spacing w:line="360" w:lineRule="auto"/>
        <w:rPr>
          <w:rFonts w:ascii="Arial" w:hAnsi="Arial" w:cs="Arial"/>
          <w:sz w:val="22"/>
          <w:szCs w:val="22"/>
        </w:rPr>
      </w:pPr>
    </w:p>
    <w:p w14:paraId="17D3C3A1" w14:textId="77777777" w:rsidR="00676E7C" w:rsidRPr="00676E7C" w:rsidRDefault="00676E7C" w:rsidP="00026662">
      <w:pPr>
        <w:spacing w:line="360" w:lineRule="auto"/>
        <w:rPr>
          <w:rFonts w:ascii="Arial" w:hAnsi="Arial" w:cs="Arial"/>
          <w:sz w:val="22"/>
          <w:szCs w:val="22"/>
        </w:rPr>
      </w:pPr>
    </w:p>
    <w:p w14:paraId="781F9766" w14:textId="77777777" w:rsidR="00676E7C" w:rsidRPr="00676E7C" w:rsidRDefault="00676E7C" w:rsidP="00026662">
      <w:pPr>
        <w:spacing w:line="360" w:lineRule="auto"/>
        <w:rPr>
          <w:rFonts w:ascii="Arial" w:hAnsi="Arial" w:cs="Arial"/>
          <w:sz w:val="22"/>
          <w:szCs w:val="22"/>
        </w:rPr>
      </w:pPr>
    </w:p>
    <w:p w14:paraId="736A8A7F" w14:textId="77777777" w:rsidR="00676E7C" w:rsidRPr="00676E7C" w:rsidRDefault="00676E7C" w:rsidP="00026662">
      <w:pPr>
        <w:spacing w:line="360" w:lineRule="auto"/>
        <w:rPr>
          <w:rFonts w:ascii="Arial" w:hAnsi="Arial" w:cs="Arial"/>
          <w:sz w:val="22"/>
          <w:szCs w:val="22"/>
        </w:rPr>
      </w:pPr>
    </w:p>
    <w:p w14:paraId="7266E982" w14:textId="77777777" w:rsidR="00676E7C" w:rsidRPr="00676E7C" w:rsidRDefault="00676E7C" w:rsidP="00026662">
      <w:pPr>
        <w:spacing w:line="360" w:lineRule="auto"/>
        <w:rPr>
          <w:rFonts w:ascii="Arial" w:hAnsi="Arial" w:cs="Arial"/>
          <w:sz w:val="22"/>
          <w:szCs w:val="22"/>
        </w:rPr>
      </w:pPr>
    </w:p>
    <w:p w14:paraId="67C7FE21" w14:textId="77777777" w:rsidR="00676E7C" w:rsidRPr="00676E7C" w:rsidRDefault="00676E7C" w:rsidP="00026662">
      <w:pPr>
        <w:spacing w:line="360" w:lineRule="auto"/>
        <w:rPr>
          <w:rFonts w:ascii="Arial" w:hAnsi="Arial" w:cs="Arial"/>
          <w:sz w:val="22"/>
          <w:szCs w:val="22"/>
        </w:rPr>
      </w:pPr>
    </w:p>
    <w:p w14:paraId="3AE43195" w14:textId="77777777" w:rsidR="00676E7C" w:rsidRPr="00676E7C" w:rsidRDefault="00676E7C" w:rsidP="00026662">
      <w:pPr>
        <w:spacing w:line="360" w:lineRule="auto"/>
        <w:rPr>
          <w:rFonts w:ascii="Arial" w:hAnsi="Arial" w:cs="Arial"/>
          <w:sz w:val="22"/>
          <w:szCs w:val="22"/>
        </w:rPr>
      </w:pPr>
    </w:p>
    <w:p w14:paraId="73B9D0DE" w14:textId="77777777" w:rsidR="00676E7C" w:rsidRPr="00676E7C" w:rsidRDefault="00676E7C" w:rsidP="00026662">
      <w:pPr>
        <w:spacing w:line="360" w:lineRule="auto"/>
        <w:rPr>
          <w:rFonts w:ascii="Arial" w:hAnsi="Arial" w:cs="Arial"/>
          <w:sz w:val="22"/>
          <w:szCs w:val="22"/>
        </w:rPr>
      </w:pPr>
    </w:p>
    <w:p w14:paraId="120A5DA8" w14:textId="77777777" w:rsidR="00676E7C" w:rsidRPr="00676E7C" w:rsidRDefault="00676E7C" w:rsidP="00026662">
      <w:pPr>
        <w:spacing w:line="360" w:lineRule="auto"/>
        <w:rPr>
          <w:rFonts w:ascii="Arial" w:hAnsi="Arial" w:cs="Arial"/>
          <w:sz w:val="22"/>
          <w:szCs w:val="22"/>
        </w:rPr>
      </w:pPr>
    </w:p>
    <w:p w14:paraId="066D82A8" w14:textId="3E6450AC" w:rsidR="006179C3" w:rsidRPr="00676E7C" w:rsidRDefault="006179C3" w:rsidP="003D348F">
      <w:pPr>
        <w:spacing w:line="360" w:lineRule="auto"/>
        <w:jc w:val="center"/>
        <w:rPr>
          <w:rFonts w:ascii="Arial" w:hAnsi="Arial" w:cs="Arial"/>
          <w:b/>
          <w:bCs/>
          <w:sz w:val="22"/>
          <w:szCs w:val="22"/>
        </w:rPr>
      </w:pPr>
      <w:r w:rsidRPr="00676E7C">
        <w:rPr>
          <w:rFonts w:ascii="Arial" w:hAnsi="Arial" w:cs="Arial"/>
          <w:b/>
          <w:bCs/>
          <w:sz w:val="22"/>
          <w:szCs w:val="22"/>
        </w:rPr>
        <w:lastRenderedPageBreak/>
        <w:t>Type 2 Diabetes: Impact, Control and Implications for the NHS</w:t>
      </w:r>
    </w:p>
    <w:p w14:paraId="323A1BEF" w14:textId="77777777" w:rsidR="006179C3" w:rsidRPr="00676E7C" w:rsidRDefault="006179C3" w:rsidP="003D348F">
      <w:pPr>
        <w:spacing w:line="360" w:lineRule="auto"/>
        <w:rPr>
          <w:rFonts w:ascii="Arial" w:hAnsi="Arial" w:cs="Arial"/>
          <w:sz w:val="22"/>
          <w:szCs w:val="22"/>
        </w:rPr>
      </w:pPr>
    </w:p>
    <w:p w14:paraId="7A4E5C70" w14:textId="77777777" w:rsidR="006179C3" w:rsidRPr="003B06BE" w:rsidRDefault="006179C3" w:rsidP="00F5737B">
      <w:pPr>
        <w:pStyle w:val="Heading1"/>
        <w:rPr>
          <w:rFonts w:ascii="Arial" w:hAnsi="Arial" w:cs="Arial"/>
          <w:b/>
          <w:bCs/>
          <w:color w:val="auto"/>
          <w:sz w:val="22"/>
          <w:szCs w:val="22"/>
        </w:rPr>
      </w:pPr>
      <w:bookmarkStart w:id="0" w:name="_Toc214229499"/>
      <w:r w:rsidRPr="003B06BE">
        <w:rPr>
          <w:rFonts w:ascii="Arial" w:hAnsi="Arial" w:cs="Arial"/>
          <w:b/>
          <w:bCs/>
          <w:color w:val="auto"/>
          <w:sz w:val="22"/>
          <w:szCs w:val="22"/>
        </w:rPr>
        <w:t>Introduction</w:t>
      </w:r>
      <w:bookmarkEnd w:id="0"/>
      <w:r w:rsidRPr="003B06BE">
        <w:rPr>
          <w:rFonts w:ascii="Arial" w:hAnsi="Arial" w:cs="Arial"/>
          <w:b/>
          <w:bCs/>
          <w:color w:val="auto"/>
          <w:sz w:val="22"/>
          <w:szCs w:val="22"/>
        </w:rPr>
        <w:t xml:space="preserve"> </w:t>
      </w:r>
    </w:p>
    <w:p w14:paraId="2B3D32DE" w14:textId="71F94D22" w:rsidR="006179C3" w:rsidRPr="00676E7C" w:rsidRDefault="006179C3" w:rsidP="003D348F">
      <w:pPr>
        <w:spacing w:line="360" w:lineRule="auto"/>
        <w:rPr>
          <w:rFonts w:ascii="Arial" w:hAnsi="Arial" w:cs="Arial"/>
          <w:sz w:val="22"/>
          <w:szCs w:val="22"/>
        </w:rPr>
      </w:pPr>
      <w:r w:rsidRPr="00676E7C">
        <w:rPr>
          <w:rFonts w:ascii="Arial" w:hAnsi="Arial" w:cs="Arial"/>
          <w:sz w:val="22"/>
          <w:szCs w:val="22"/>
        </w:rPr>
        <w:t xml:space="preserve">Type 2 diabetes mellitus (T2DM) is a chronic metabolic disorder characterised by insulin resistance and relative insulin deficiency, leading to persistent hyperglycaemia (NICE, </w:t>
      </w:r>
      <w:r w:rsidR="003B06BE">
        <w:rPr>
          <w:rFonts w:ascii="Arial" w:hAnsi="Arial" w:cs="Arial"/>
          <w:sz w:val="22"/>
          <w:szCs w:val="22"/>
        </w:rPr>
        <w:t>2015</w:t>
      </w:r>
      <w:r w:rsidRPr="00676E7C">
        <w:rPr>
          <w:rFonts w:ascii="Arial" w:hAnsi="Arial" w:cs="Arial"/>
          <w:sz w:val="22"/>
          <w:szCs w:val="22"/>
        </w:rPr>
        <w:t xml:space="preserve">). It is the most prevalent form of diabetes worldwide and has increased sharply in recent decades, driven by population ageing, obesity, sedentary lifestyles and poor diet (World Health </w:t>
      </w:r>
      <w:r w:rsidR="005C7CA0" w:rsidRPr="00676E7C">
        <w:rPr>
          <w:rFonts w:ascii="Arial" w:hAnsi="Arial" w:cs="Arial"/>
          <w:sz w:val="22"/>
          <w:szCs w:val="22"/>
        </w:rPr>
        <w:t>Organisation</w:t>
      </w:r>
      <w:r w:rsidRPr="00676E7C">
        <w:rPr>
          <w:rFonts w:ascii="Arial" w:hAnsi="Arial" w:cs="Arial"/>
          <w:sz w:val="22"/>
          <w:szCs w:val="22"/>
        </w:rPr>
        <w:t xml:space="preserve">, 2024). T2DM is a progressive condition, with many individuals living for years with prediabetes or </w:t>
      </w:r>
      <w:r w:rsidR="005C7CA0" w:rsidRPr="00676E7C">
        <w:rPr>
          <w:rFonts w:ascii="Arial" w:hAnsi="Arial" w:cs="Arial"/>
          <w:sz w:val="22"/>
          <w:szCs w:val="22"/>
        </w:rPr>
        <w:t xml:space="preserve">an </w:t>
      </w:r>
      <w:r w:rsidRPr="00676E7C">
        <w:rPr>
          <w:rFonts w:ascii="Arial" w:hAnsi="Arial" w:cs="Arial"/>
          <w:sz w:val="22"/>
          <w:szCs w:val="22"/>
        </w:rPr>
        <w:t xml:space="preserve">undiagnosed disease before complications develop (NHS England, 2024). The disease is significant not only for its direct symptom’s polyuria, polydipsia, </w:t>
      </w:r>
      <w:r w:rsidR="005C7CA0" w:rsidRPr="00676E7C">
        <w:rPr>
          <w:rFonts w:ascii="Arial" w:hAnsi="Arial" w:cs="Arial"/>
          <w:sz w:val="22"/>
          <w:szCs w:val="22"/>
        </w:rPr>
        <w:t xml:space="preserve">and </w:t>
      </w:r>
      <w:r w:rsidRPr="00676E7C">
        <w:rPr>
          <w:rFonts w:ascii="Arial" w:hAnsi="Arial" w:cs="Arial"/>
          <w:sz w:val="22"/>
          <w:szCs w:val="22"/>
        </w:rPr>
        <w:t>fatigue</w:t>
      </w:r>
      <w:r w:rsidR="005C7CA0" w:rsidRPr="00676E7C">
        <w:rPr>
          <w:rFonts w:ascii="Arial" w:hAnsi="Arial" w:cs="Arial"/>
          <w:sz w:val="22"/>
          <w:szCs w:val="22"/>
        </w:rPr>
        <w:t>,</w:t>
      </w:r>
      <w:r w:rsidRPr="00676E7C">
        <w:rPr>
          <w:rFonts w:ascii="Arial" w:hAnsi="Arial" w:cs="Arial"/>
          <w:sz w:val="22"/>
          <w:szCs w:val="22"/>
        </w:rPr>
        <w:t xml:space="preserve"> but also for its role as a major risk factor for cardiovascular disease, renal failure, retinopathy and amputations (Holman et al., 2008). In both global and UK contexts, the growing number of people affected, along with the associated costs to health services, make T2DM a major public health challenge (Diabetes UK, 2024; NHS England, 2024).</w:t>
      </w:r>
    </w:p>
    <w:p w14:paraId="65D543FD" w14:textId="77777777" w:rsidR="006179C3" w:rsidRPr="00676E7C" w:rsidRDefault="006179C3" w:rsidP="003D348F">
      <w:pPr>
        <w:spacing w:line="360" w:lineRule="auto"/>
        <w:rPr>
          <w:rFonts w:ascii="Arial" w:hAnsi="Arial" w:cs="Arial"/>
          <w:sz w:val="22"/>
          <w:szCs w:val="22"/>
        </w:rPr>
      </w:pPr>
    </w:p>
    <w:p w14:paraId="419E3CD7" w14:textId="77777777" w:rsidR="006179C3" w:rsidRPr="003B06BE" w:rsidRDefault="006179C3" w:rsidP="00F5737B">
      <w:pPr>
        <w:pStyle w:val="Heading1"/>
        <w:rPr>
          <w:rFonts w:ascii="Arial" w:hAnsi="Arial" w:cs="Arial"/>
          <w:b/>
          <w:bCs/>
          <w:color w:val="auto"/>
          <w:sz w:val="22"/>
          <w:szCs w:val="22"/>
        </w:rPr>
      </w:pPr>
      <w:bookmarkStart w:id="1" w:name="_Toc214229500"/>
      <w:r w:rsidRPr="003B06BE">
        <w:rPr>
          <w:rFonts w:ascii="Arial" w:hAnsi="Arial" w:cs="Arial"/>
          <w:b/>
          <w:bCs/>
          <w:color w:val="auto"/>
          <w:sz w:val="22"/>
          <w:szCs w:val="22"/>
        </w:rPr>
        <w:t>Definition of the disease</w:t>
      </w:r>
      <w:bookmarkEnd w:id="1"/>
    </w:p>
    <w:p w14:paraId="491D81E0" w14:textId="3FFC65DD" w:rsidR="006179C3" w:rsidRPr="003B06BE" w:rsidRDefault="0003701A" w:rsidP="003D348F">
      <w:pPr>
        <w:spacing w:line="360" w:lineRule="auto"/>
        <w:rPr>
          <w:rFonts w:ascii="Arial" w:hAnsi="Arial" w:cs="Arial"/>
          <w:sz w:val="22"/>
          <w:szCs w:val="22"/>
        </w:rPr>
      </w:pPr>
      <w:r w:rsidRPr="0003701A">
        <w:rPr>
          <w:rFonts w:ascii="Arial" w:hAnsi="Arial" w:cs="Arial"/>
          <w:sz w:val="22"/>
          <w:szCs w:val="22"/>
        </w:rPr>
        <w:t xml:space="preserve">Chronic </w:t>
      </w:r>
      <w:r w:rsidRPr="0003701A">
        <w:rPr>
          <w:rFonts w:ascii="Arial" w:hAnsi="Arial" w:cs="Arial"/>
          <w:sz w:val="22"/>
          <w:szCs w:val="22"/>
        </w:rPr>
        <w:t>hyperglycaemia</w:t>
      </w:r>
      <w:r w:rsidRPr="0003701A">
        <w:rPr>
          <w:rFonts w:ascii="Arial" w:hAnsi="Arial" w:cs="Arial"/>
          <w:sz w:val="22"/>
          <w:szCs w:val="22"/>
        </w:rPr>
        <w:t xml:space="preserve"> brought on by decreased insulin secretion and reduced insulin action (insulin resistance) is a hallmark of type 2 diabetes mellitus, a metabolic disease (NICE, 2015). Glycated </w:t>
      </w:r>
      <w:r>
        <w:rPr>
          <w:rFonts w:ascii="Arial" w:hAnsi="Arial" w:cs="Arial"/>
          <w:sz w:val="22"/>
          <w:szCs w:val="22"/>
        </w:rPr>
        <w:t>haemoglobin</w:t>
      </w:r>
      <w:r w:rsidRPr="0003701A">
        <w:rPr>
          <w:rFonts w:ascii="Arial" w:hAnsi="Arial" w:cs="Arial"/>
          <w:sz w:val="22"/>
          <w:szCs w:val="22"/>
        </w:rPr>
        <w:t xml:space="preserve"> is a diagnostic criterion. Following a glucose tolerance test administered orally (Public Health England, 2023). In contrast to Type 1 diabetes, which is caused by the autoimmune destruction of beta cells in the pancreas, type 2 diabetes is linked to genetic predisposition as well as environmental and lifestyle variables such </w:t>
      </w:r>
      <w:r>
        <w:rPr>
          <w:rFonts w:ascii="Arial" w:hAnsi="Arial" w:cs="Arial"/>
          <w:sz w:val="22"/>
          <w:szCs w:val="22"/>
        </w:rPr>
        <w:t xml:space="preserve">as </w:t>
      </w:r>
      <w:r w:rsidRPr="0003701A">
        <w:rPr>
          <w:rFonts w:ascii="Arial" w:hAnsi="Arial" w:cs="Arial"/>
          <w:sz w:val="22"/>
          <w:szCs w:val="22"/>
        </w:rPr>
        <w:t xml:space="preserve">obesity, </w:t>
      </w:r>
      <w:r>
        <w:rPr>
          <w:rFonts w:ascii="Arial" w:hAnsi="Arial" w:cs="Arial"/>
          <w:sz w:val="22"/>
          <w:szCs w:val="22"/>
        </w:rPr>
        <w:t>ageing</w:t>
      </w:r>
      <w:r w:rsidRPr="0003701A">
        <w:rPr>
          <w:rFonts w:ascii="Arial" w:hAnsi="Arial" w:cs="Arial"/>
          <w:sz w:val="22"/>
          <w:szCs w:val="22"/>
        </w:rPr>
        <w:t>, and physical inactivity (Davies et al., 2018).</w:t>
      </w:r>
    </w:p>
    <w:p w14:paraId="0C0C4D9D" w14:textId="77777777" w:rsidR="006179C3" w:rsidRPr="003B06BE" w:rsidRDefault="006179C3" w:rsidP="00676E7C">
      <w:pPr>
        <w:pStyle w:val="Heading1"/>
        <w:rPr>
          <w:rFonts w:ascii="Arial" w:hAnsi="Arial" w:cs="Arial"/>
          <w:b/>
          <w:bCs/>
          <w:color w:val="auto"/>
          <w:sz w:val="22"/>
          <w:szCs w:val="22"/>
        </w:rPr>
      </w:pPr>
      <w:bookmarkStart w:id="2" w:name="_Toc214229501"/>
      <w:r w:rsidRPr="003B06BE">
        <w:rPr>
          <w:rFonts w:ascii="Arial" w:hAnsi="Arial" w:cs="Arial"/>
          <w:b/>
          <w:bCs/>
          <w:color w:val="auto"/>
          <w:sz w:val="22"/>
          <w:szCs w:val="22"/>
        </w:rPr>
        <w:t>Signs and symptoms</w:t>
      </w:r>
      <w:bookmarkEnd w:id="2"/>
    </w:p>
    <w:p w14:paraId="4F0A2E57" w14:textId="613CFF75"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T2DM often develops gradually, and many individuals remain asymptomatic for years (NICE, </w:t>
      </w:r>
      <w:r w:rsidR="008767F8">
        <w:rPr>
          <w:rFonts w:ascii="Arial" w:hAnsi="Arial" w:cs="Arial"/>
          <w:sz w:val="22"/>
          <w:szCs w:val="22"/>
        </w:rPr>
        <w:t>2015</w:t>
      </w:r>
      <w:r w:rsidRPr="003B06BE">
        <w:rPr>
          <w:rFonts w:ascii="Arial" w:hAnsi="Arial" w:cs="Arial"/>
          <w:sz w:val="22"/>
          <w:szCs w:val="22"/>
        </w:rPr>
        <w:t xml:space="preserve">). When symptoms occur, they include polyuria, polydipsia, fatigue, blurred vision and recurrent infections (World Health </w:t>
      </w:r>
      <w:r w:rsidR="00943AB6" w:rsidRPr="003B06BE">
        <w:rPr>
          <w:rFonts w:ascii="Arial" w:hAnsi="Arial" w:cs="Arial"/>
          <w:sz w:val="22"/>
          <w:szCs w:val="22"/>
        </w:rPr>
        <w:t>Organisation</w:t>
      </w:r>
      <w:r w:rsidRPr="003B06BE">
        <w:rPr>
          <w:rFonts w:ascii="Arial" w:hAnsi="Arial" w:cs="Arial"/>
          <w:sz w:val="22"/>
          <w:szCs w:val="22"/>
        </w:rPr>
        <w:t xml:space="preserve">, 2024). Diabetic neuropathy may cause numbness, tingling or pain in the extremities, while wounds can heal slowly, and fungal infections may </w:t>
      </w:r>
      <w:r w:rsidR="00943AB6" w:rsidRPr="003B06BE">
        <w:rPr>
          <w:rFonts w:ascii="Arial" w:hAnsi="Arial" w:cs="Arial"/>
          <w:sz w:val="22"/>
          <w:szCs w:val="22"/>
        </w:rPr>
        <w:t>recur</w:t>
      </w:r>
      <w:r w:rsidRPr="003B06BE">
        <w:rPr>
          <w:rFonts w:ascii="Arial" w:hAnsi="Arial" w:cs="Arial"/>
          <w:sz w:val="22"/>
          <w:szCs w:val="22"/>
        </w:rPr>
        <w:t xml:space="preserve"> (Diabetes UK, 2024). Early symptoms are frequently mild or absent, meaning diagnosis often occurs during routine health checks or after complications have developed (Holman et al., 2008).</w:t>
      </w:r>
    </w:p>
    <w:p w14:paraId="54A0A32F" w14:textId="77777777" w:rsidR="006179C3" w:rsidRPr="003B06BE" w:rsidRDefault="006179C3" w:rsidP="003D348F">
      <w:pPr>
        <w:spacing w:line="360" w:lineRule="auto"/>
        <w:rPr>
          <w:rFonts w:ascii="Arial" w:hAnsi="Arial" w:cs="Arial"/>
          <w:sz w:val="22"/>
          <w:szCs w:val="22"/>
        </w:rPr>
      </w:pPr>
    </w:p>
    <w:p w14:paraId="31A12B46" w14:textId="77777777" w:rsidR="006179C3" w:rsidRPr="003B06BE" w:rsidRDefault="006179C3" w:rsidP="00676E7C">
      <w:pPr>
        <w:pStyle w:val="Heading1"/>
        <w:rPr>
          <w:rFonts w:ascii="Arial" w:hAnsi="Arial" w:cs="Arial"/>
          <w:b/>
          <w:bCs/>
          <w:color w:val="auto"/>
          <w:sz w:val="22"/>
          <w:szCs w:val="22"/>
        </w:rPr>
      </w:pPr>
      <w:bookmarkStart w:id="3" w:name="_Toc214229502"/>
      <w:r w:rsidRPr="003B06BE">
        <w:rPr>
          <w:rFonts w:ascii="Arial" w:hAnsi="Arial" w:cs="Arial"/>
          <w:b/>
          <w:bCs/>
          <w:color w:val="auto"/>
          <w:sz w:val="22"/>
          <w:szCs w:val="22"/>
        </w:rPr>
        <w:lastRenderedPageBreak/>
        <w:t>Levels of incidence and prevalence (global and UK)</w:t>
      </w:r>
      <w:bookmarkEnd w:id="3"/>
    </w:p>
    <w:p w14:paraId="0F05F72C" w14:textId="5BB26168"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Globally, diabetes affects approximately 589 million adults aged 20–79 years (World Health </w:t>
      </w:r>
      <w:r w:rsidR="00943AB6" w:rsidRPr="003B06BE">
        <w:rPr>
          <w:rFonts w:ascii="Arial" w:hAnsi="Arial" w:cs="Arial"/>
          <w:sz w:val="22"/>
          <w:szCs w:val="22"/>
        </w:rPr>
        <w:t>Organisation</w:t>
      </w:r>
      <w:r w:rsidRPr="003B06BE">
        <w:rPr>
          <w:rFonts w:ascii="Arial" w:hAnsi="Arial" w:cs="Arial"/>
          <w:sz w:val="22"/>
          <w:szCs w:val="22"/>
        </w:rPr>
        <w:t xml:space="preserve">, 2024). The WHO projects this number will exceed 780 million by 2045 if current trends continue. Around 43% of people with diabetes remain undiagnosed, with the majority in low- and middle-income countries (World Health </w:t>
      </w:r>
      <w:r w:rsidR="00943AB6" w:rsidRPr="003B06BE">
        <w:rPr>
          <w:rFonts w:ascii="Arial" w:hAnsi="Arial" w:cs="Arial"/>
          <w:sz w:val="22"/>
          <w:szCs w:val="22"/>
        </w:rPr>
        <w:t>Organisation</w:t>
      </w:r>
      <w:r w:rsidRPr="003B06BE">
        <w:rPr>
          <w:rFonts w:ascii="Arial" w:hAnsi="Arial" w:cs="Arial"/>
          <w:sz w:val="22"/>
          <w:szCs w:val="22"/>
        </w:rPr>
        <w:t>, 2024).</w:t>
      </w:r>
    </w:p>
    <w:p w14:paraId="794D198E" w14:textId="2E0A991B" w:rsidR="00001E85" w:rsidRPr="003B06BE" w:rsidRDefault="00264C7D" w:rsidP="003D348F">
      <w:pPr>
        <w:spacing w:line="360" w:lineRule="auto"/>
        <w:rPr>
          <w:rFonts w:ascii="Arial" w:hAnsi="Arial" w:cs="Arial"/>
          <w:sz w:val="22"/>
          <w:szCs w:val="22"/>
        </w:rPr>
      </w:pPr>
      <w:r w:rsidRPr="003B06BE">
        <w:rPr>
          <w:rFonts w:ascii="Arial" w:hAnsi="Arial" w:cs="Arial"/>
          <w:sz w:val="22"/>
          <w:szCs w:val="22"/>
        </w:rPr>
        <w:t>Over 5 million individuals in the UK, including diagnosed and undiagnosed, have diabetes (Diabetes UK, 2024). As of March 2024, 7.0% of adults in England had T2DM, according to GP records (GOV.UK, 2025). Furthermore, prediabetes, a significant risk factor for the development of type 2 diabetes, affects over 2 million people (NHS England, 2024). The financial burden is significant; the NHS spends more than £10 billion a year on diabetes care, which accounts for over 10% of the whole NHS budget (University of York, 2024).</w:t>
      </w:r>
    </w:p>
    <w:p w14:paraId="2ADA522D" w14:textId="77777777" w:rsidR="00264C7D" w:rsidRPr="003B06BE" w:rsidRDefault="00264C7D" w:rsidP="003D348F">
      <w:pPr>
        <w:spacing w:line="360" w:lineRule="auto"/>
        <w:rPr>
          <w:rFonts w:ascii="Arial" w:hAnsi="Arial" w:cs="Arial"/>
          <w:sz w:val="22"/>
          <w:szCs w:val="22"/>
        </w:rPr>
      </w:pPr>
    </w:p>
    <w:p w14:paraId="11D1D1F7" w14:textId="3970B704" w:rsidR="00C514A4" w:rsidRPr="00C514A4" w:rsidRDefault="006179C3" w:rsidP="00C514A4">
      <w:pPr>
        <w:pStyle w:val="Heading1"/>
        <w:rPr>
          <w:rFonts w:ascii="Arial" w:hAnsi="Arial" w:cs="Arial"/>
          <w:b/>
          <w:bCs/>
          <w:color w:val="auto"/>
          <w:sz w:val="22"/>
          <w:szCs w:val="22"/>
        </w:rPr>
      </w:pPr>
      <w:bookmarkStart w:id="4" w:name="_Toc214229503"/>
      <w:r w:rsidRPr="003B06BE">
        <w:rPr>
          <w:rFonts w:ascii="Arial" w:hAnsi="Arial" w:cs="Arial"/>
          <w:b/>
          <w:bCs/>
          <w:color w:val="auto"/>
          <w:sz w:val="22"/>
          <w:szCs w:val="22"/>
        </w:rPr>
        <w:t xml:space="preserve">Consequences of Type 2 Diabetes in the </w:t>
      </w:r>
      <w:r w:rsidR="00261F47" w:rsidRPr="003B06BE">
        <w:rPr>
          <w:rFonts w:ascii="Arial" w:hAnsi="Arial" w:cs="Arial"/>
          <w:b/>
          <w:bCs/>
          <w:color w:val="auto"/>
          <w:sz w:val="22"/>
          <w:szCs w:val="22"/>
        </w:rPr>
        <w:t>Community</w:t>
      </w:r>
      <w:bookmarkEnd w:id="4"/>
    </w:p>
    <w:p w14:paraId="08AF5056" w14:textId="11AEF828" w:rsidR="00A87919" w:rsidRPr="00C514A4" w:rsidRDefault="00A87919" w:rsidP="003D348F">
      <w:pPr>
        <w:spacing w:line="360" w:lineRule="auto"/>
        <w:rPr>
          <w:rFonts w:ascii="Arial" w:hAnsi="Arial" w:cs="Arial"/>
          <w:b/>
          <w:bCs/>
          <w:i/>
          <w:iCs/>
          <w:sz w:val="22"/>
          <w:szCs w:val="22"/>
        </w:rPr>
      </w:pPr>
      <w:r w:rsidRPr="00C514A4">
        <w:rPr>
          <w:rFonts w:ascii="Arial" w:hAnsi="Arial" w:cs="Arial"/>
          <w:b/>
          <w:bCs/>
          <w:i/>
          <w:iCs/>
          <w:sz w:val="22"/>
          <w:szCs w:val="22"/>
        </w:rPr>
        <w:t>T2DM presents significant social, economic, and health issues for communities</w:t>
      </w:r>
      <w:r w:rsidR="00E0416E">
        <w:rPr>
          <w:rFonts w:ascii="Arial" w:hAnsi="Arial" w:cs="Arial"/>
          <w:b/>
          <w:bCs/>
          <w:i/>
          <w:iCs/>
          <w:sz w:val="22"/>
          <w:szCs w:val="22"/>
        </w:rPr>
        <w:t>.</w:t>
      </w:r>
    </w:p>
    <w:p w14:paraId="44156E0B" w14:textId="77777777" w:rsidR="00C514A4" w:rsidRDefault="006179C3" w:rsidP="003D348F">
      <w:pPr>
        <w:spacing w:line="360" w:lineRule="auto"/>
        <w:rPr>
          <w:rFonts w:ascii="Arial" w:hAnsi="Arial" w:cs="Arial"/>
          <w:sz w:val="22"/>
          <w:szCs w:val="22"/>
        </w:rPr>
      </w:pPr>
      <w:r w:rsidRPr="003B06BE">
        <w:rPr>
          <w:rFonts w:ascii="Arial" w:hAnsi="Arial" w:cs="Arial"/>
          <w:sz w:val="22"/>
          <w:szCs w:val="22"/>
        </w:rPr>
        <w:t>Health outcomes</w:t>
      </w:r>
      <w:r w:rsidR="00C514A4">
        <w:rPr>
          <w:rFonts w:ascii="Arial" w:hAnsi="Arial" w:cs="Arial"/>
          <w:sz w:val="22"/>
          <w:szCs w:val="22"/>
        </w:rPr>
        <w:t xml:space="preserve">: </w:t>
      </w:r>
    </w:p>
    <w:p w14:paraId="60A6326D" w14:textId="01753539"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The condition markedly increases the risk of macrovascular complications such as coronary heart disease, stroke and peripheral arterial disease and microvascular complications including retinopathy, nephropathy and neuropathy (NHS England, 2024). These complications contribute to blindness, renal failure requiring dialysis, and lower-limb amputations (Holman et al., 2008). Cardiovascular disease remains the leading cause of death among individuals with diabetes (NHS Digital, 2024).</w:t>
      </w:r>
    </w:p>
    <w:p w14:paraId="061F8845" w14:textId="77777777" w:rsidR="00C514A4" w:rsidRDefault="006179C3" w:rsidP="003D348F">
      <w:pPr>
        <w:spacing w:line="360" w:lineRule="auto"/>
        <w:rPr>
          <w:rFonts w:ascii="Arial" w:hAnsi="Arial" w:cs="Arial"/>
          <w:sz w:val="22"/>
          <w:szCs w:val="22"/>
        </w:rPr>
      </w:pPr>
      <w:r w:rsidRPr="003B06BE">
        <w:rPr>
          <w:rFonts w:ascii="Arial" w:hAnsi="Arial" w:cs="Arial"/>
          <w:sz w:val="22"/>
          <w:szCs w:val="22"/>
        </w:rPr>
        <w:t>Social and economic impacts</w:t>
      </w:r>
      <w:r w:rsidR="00C514A4">
        <w:rPr>
          <w:rFonts w:ascii="Arial" w:hAnsi="Arial" w:cs="Arial"/>
          <w:sz w:val="22"/>
          <w:szCs w:val="22"/>
        </w:rPr>
        <w:t>:</w:t>
      </w:r>
    </w:p>
    <w:p w14:paraId="2AD013CF" w14:textId="08876FC0" w:rsidR="00C514A4"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 T2DM reduces productivity due to sickness absence, early retirement and increased disability (Nuffield Trust, 2024). Family members frequently provide unpaid care, increasing emotional and financial strain (King’s Fund, 2024). Health inequalities worsen as deprived and minority ethnic communities experience higher prevalence and poorer outcomes (Public Health England, 2023).</w:t>
      </w:r>
    </w:p>
    <w:p w14:paraId="42A243B8" w14:textId="77777777" w:rsidR="00C514A4" w:rsidRDefault="006179C3" w:rsidP="003D348F">
      <w:pPr>
        <w:spacing w:line="360" w:lineRule="auto"/>
        <w:rPr>
          <w:rFonts w:ascii="Arial" w:hAnsi="Arial" w:cs="Arial"/>
          <w:sz w:val="22"/>
          <w:szCs w:val="22"/>
        </w:rPr>
      </w:pPr>
      <w:r w:rsidRPr="003B06BE">
        <w:rPr>
          <w:rFonts w:ascii="Arial" w:hAnsi="Arial" w:cs="Arial"/>
          <w:sz w:val="22"/>
          <w:szCs w:val="22"/>
        </w:rPr>
        <w:t>Younger onset</w:t>
      </w:r>
      <w:r w:rsidR="00C514A4">
        <w:rPr>
          <w:rFonts w:ascii="Arial" w:hAnsi="Arial" w:cs="Arial"/>
          <w:sz w:val="22"/>
          <w:szCs w:val="22"/>
        </w:rPr>
        <w:t>:</w:t>
      </w:r>
    </w:p>
    <w:p w14:paraId="325A32D6" w14:textId="30262691"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The UK has seen a worrying rise in T2DM among people under 40, largely due to obesity and poor diet (The Guardian, 2024). Early onset leads to earlier complications and significantly higher lifetime healthcare costs (NHS England, 2024).</w:t>
      </w:r>
    </w:p>
    <w:p w14:paraId="495D0AA4" w14:textId="77777777" w:rsidR="006179C3" w:rsidRPr="003B06BE" w:rsidRDefault="006179C3" w:rsidP="003D348F">
      <w:pPr>
        <w:spacing w:line="360" w:lineRule="auto"/>
        <w:rPr>
          <w:rFonts w:ascii="Arial" w:hAnsi="Arial" w:cs="Arial"/>
          <w:sz w:val="22"/>
          <w:szCs w:val="22"/>
        </w:rPr>
      </w:pPr>
    </w:p>
    <w:p w14:paraId="116E19AF" w14:textId="77777777" w:rsidR="006179C3" w:rsidRPr="003B06BE" w:rsidRDefault="006179C3" w:rsidP="00676E7C">
      <w:pPr>
        <w:pStyle w:val="Heading1"/>
        <w:rPr>
          <w:rFonts w:ascii="Arial" w:hAnsi="Arial" w:cs="Arial"/>
          <w:b/>
          <w:bCs/>
          <w:color w:val="auto"/>
          <w:sz w:val="22"/>
          <w:szCs w:val="22"/>
        </w:rPr>
      </w:pPr>
      <w:bookmarkStart w:id="5" w:name="_Toc214229504"/>
      <w:r w:rsidRPr="003B06BE">
        <w:rPr>
          <w:rFonts w:ascii="Arial" w:hAnsi="Arial" w:cs="Arial"/>
          <w:b/>
          <w:bCs/>
          <w:color w:val="auto"/>
          <w:sz w:val="22"/>
          <w:szCs w:val="22"/>
        </w:rPr>
        <w:lastRenderedPageBreak/>
        <w:t>Consequences for the NHS</w:t>
      </w:r>
      <w:bookmarkEnd w:id="5"/>
    </w:p>
    <w:p w14:paraId="622451E8" w14:textId="402B1A47" w:rsidR="006179C3" w:rsidRPr="00C514A4" w:rsidRDefault="006179C3" w:rsidP="003D348F">
      <w:pPr>
        <w:spacing w:line="360" w:lineRule="auto"/>
        <w:rPr>
          <w:rFonts w:ascii="Arial" w:hAnsi="Arial" w:cs="Arial"/>
          <w:b/>
          <w:bCs/>
          <w:i/>
          <w:iCs/>
          <w:sz w:val="22"/>
          <w:szCs w:val="22"/>
        </w:rPr>
      </w:pPr>
      <w:r w:rsidRPr="00C514A4">
        <w:rPr>
          <w:rFonts w:ascii="Arial" w:hAnsi="Arial" w:cs="Arial"/>
          <w:b/>
          <w:bCs/>
          <w:i/>
          <w:iCs/>
          <w:sz w:val="22"/>
          <w:szCs w:val="22"/>
        </w:rPr>
        <w:t>The NHS faces substantial pressures due to T2DM’s growing prevalence</w:t>
      </w:r>
      <w:r w:rsidR="00E0416E">
        <w:rPr>
          <w:rFonts w:ascii="Arial" w:hAnsi="Arial" w:cs="Arial"/>
          <w:b/>
          <w:bCs/>
          <w:i/>
          <w:iCs/>
          <w:sz w:val="22"/>
          <w:szCs w:val="22"/>
        </w:rPr>
        <w:t>.</w:t>
      </w:r>
    </w:p>
    <w:p w14:paraId="00260116" w14:textId="77777777" w:rsidR="003E6C16" w:rsidRPr="003B06BE" w:rsidRDefault="003E6C16" w:rsidP="003D348F">
      <w:pPr>
        <w:spacing w:line="360" w:lineRule="auto"/>
        <w:rPr>
          <w:rFonts w:ascii="Arial" w:hAnsi="Arial" w:cs="Arial"/>
          <w:b/>
          <w:bCs/>
          <w:sz w:val="22"/>
          <w:szCs w:val="22"/>
        </w:rPr>
      </w:pPr>
    </w:p>
    <w:p w14:paraId="1C8C01AA" w14:textId="7EEF138C" w:rsidR="005C14A9" w:rsidRPr="003B06BE" w:rsidRDefault="006179C3" w:rsidP="003D348F">
      <w:pPr>
        <w:spacing w:line="360" w:lineRule="auto"/>
        <w:rPr>
          <w:rFonts w:ascii="Arial" w:hAnsi="Arial" w:cs="Arial"/>
          <w:sz w:val="22"/>
          <w:szCs w:val="22"/>
        </w:rPr>
      </w:pPr>
      <w:r w:rsidRPr="003B06BE">
        <w:rPr>
          <w:rFonts w:ascii="Arial" w:hAnsi="Arial" w:cs="Arial"/>
          <w:b/>
          <w:bCs/>
          <w:sz w:val="22"/>
          <w:szCs w:val="22"/>
        </w:rPr>
        <w:t>Service demand</w:t>
      </w:r>
      <w:r w:rsidRPr="003B06BE">
        <w:rPr>
          <w:rFonts w:ascii="Arial" w:hAnsi="Arial" w:cs="Arial"/>
          <w:sz w:val="22"/>
          <w:szCs w:val="22"/>
        </w:rPr>
        <w:t xml:space="preserve"> - </w:t>
      </w:r>
      <w:r w:rsidR="005C14A9" w:rsidRPr="003B06BE">
        <w:rPr>
          <w:rFonts w:ascii="Arial" w:hAnsi="Arial" w:cs="Arial"/>
          <w:sz w:val="22"/>
          <w:szCs w:val="22"/>
        </w:rPr>
        <w:t xml:space="preserve">According to NHS Digital (2024), T2DM is a major driver of healthcare </w:t>
      </w:r>
      <w:r w:rsidR="00B81603" w:rsidRPr="003B06BE">
        <w:rPr>
          <w:rFonts w:ascii="Arial" w:hAnsi="Arial" w:cs="Arial"/>
          <w:sz w:val="22"/>
          <w:szCs w:val="22"/>
        </w:rPr>
        <w:t>utilisation</w:t>
      </w:r>
      <w:r w:rsidR="005C14A9" w:rsidRPr="003B06BE">
        <w:rPr>
          <w:rFonts w:ascii="Arial" w:hAnsi="Arial" w:cs="Arial"/>
          <w:sz w:val="22"/>
          <w:szCs w:val="22"/>
        </w:rPr>
        <w:t xml:space="preserve"> in primary care (for monitoring and prescriptions), secondary care (for problems), and community services (for screening and foot care). Prescription drugs for diabetes cost billions of dollars a year (NHSBSA, 2023).</w:t>
      </w:r>
    </w:p>
    <w:p w14:paraId="5A56339B" w14:textId="77777777" w:rsidR="006179C3" w:rsidRPr="003B06BE" w:rsidRDefault="006179C3" w:rsidP="003D348F">
      <w:pPr>
        <w:spacing w:line="360" w:lineRule="auto"/>
        <w:rPr>
          <w:rFonts w:ascii="Arial" w:hAnsi="Arial" w:cs="Arial"/>
          <w:sz w:val="22"/>
          <w:szCs w:val="22"/>
        </w:rPr>
      </w:pPr>
    </w:p>
    <w:p w14:paraId="38069D3F" w14:textId="77777777"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t>Financial pressure</w:t>
      </w:r>
      <w:r w:rsidRPr="003B06BE">
        <w:rPr>
          <w:rFonts w:ascii="Arial" w:hAnsi="Arial" w:cs="Arial"/>
          <w:sz w:val="22"/>
          <w:szCs w:val="22"/>
        </w:rPr>
        <w:t xml:space="preserve"> - The York Health Economics Consortium (2024) estimates that the total cost of diabetes to the UK economy is £14 billion per year, including £10 billion in direct NHS treatment costs. Most of the spending arises from treating complications such as heart disease, stroke, amputations and renal failure (Diabetes UK, 2024).</w:t>
      </w:r>
    </w:p>
    <w:p w14:paraId="70CB4EDA" w14:textId="77777777" w:rsidR="006179C3" w:rsidRPr="003B06BE" w:rsidRDefault="006179C3" w:rsidP="003D348F">
      <w:pPr>
        <w:spacing w:line="360" w:lineRule="auto"/>
        <w:rPr>
          <w:rFonts w:ascii="Arial" w:hAnsi="Arial" w:cs="Arial"/>
          <w:b/>
          <w:bCs/>
          <w:sz w:val="22"/>
          <w:szCs w:val="22"/>
        </w:rPr>
      </w:pPr>
    </w:p>
    <w:p w14:paraId="429D00A6" w14:textId="4AAA6C3F"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t>Workforce challenges</w:t>
      </w:r>
      <w:r w:rsidRPr="003B06BE">
        <w:rPr>
          <w:rFonts w:ascii="Arial" w:hAnsi="Arial" w:cs="Arial"/>
          <w:sz w:val="22"/>
          <w:szCs w:val="22"/>
        </w:rPr>
        <w:t xml:space="preserve"> - Effective diabetes management requires multidisciplinary teams including GPs, diabetes nurses, dietitians, podiatrists and pharmacists (NICE, 2</w:t>
      </w:r>
      <w:r w:rsidR="00C731AF" w:rsidRPr="003B06BE">
        <w:rPr>
          <w:rFonts w:ascii="Arial" w:hAnsi="Arial" w:cs="Arial"/>
          <w:sz w:val="22"/>
          <w:szCs w:val="22"/>
        </w:rPr>
        <w:t>015</w:t>
      </w:r>
      <w:r w:rsidRPr="003B06BE">
        <w:rPr>
          <w:rFonts w:ascii="Arial" w:hAnsi="Arial" w:cs="Arial"/>
          <w:sz w:val="22"/>
          <w:szCs w:val="22"/>
        </w:rPr>
        <w:t>). Workforce shortages and regional service disparities hinder consistent care delivery (UKHSA, 2023). Failure to prioritise prevention leads to higher long-term costs and missed opportunities for early intervention (University of York, 2024).</w:t>
      </w:r>
    </w:p>
    <w:p w14:paraId="1C2EB919" w14:textId="77777777" w:rsidR="006179C3" w:rsidRPr="003B06BE" w:rsidRDefault="006179C3" w:rsidP="003D348F">
      <w:pPr>
        <w:spacing w:line="360" w:lineRule="auto"/>
        <w:rPr>
          <w:rFonts w:ascii="Arial" w:hAnsi="Arial" w:cs="Arial"/>
          <w:sz w:val="22"/>
          <w:szCs w:val="22"/>
        </w:rPr>
      </w:pPr>
    </w:p>
    <w:p w14:paraId="477FB0EC" w14:textId="6C4B9B41" w:rsidR="006179C3" w:rsidRPr="003B06BE" w:rsidRDefault="006179C3" w:rsidP="00676E7C">
      <w:pPr>
        <w:pStyle w:val="Heading1"/>
        <w:rPr>
          <w:rFonts w:ascii="Arial" w:hAnsi="Arial" w:cs="Arial"/>
          <w:b/>
          <w:bCs/>
          <w:color w:val="auto"/>
          <w:sz w:val="22"/>
          <w:szCs w:val="22"/>
        </w:rPr>
      </w:pPr>
      <w:bookmarkStart w:id="6" w:name="_Toc214229505"/>
      <w:r w:rsidRPr="003B06BE">
        <w:rPr>
          <w:rFonts w:ascii="Arial" w:hAnsi="Arial" w:cs="Arial"/>
          <w:b/>
          <w:bCs/>
          <w:color w:val="auto"/>
          <w:sz w:val="22"/>
          <w:szCs w:val="22"/>
        </w:rPr>
        <w:t xml:space="preserve">How Type 2 Diabetes is </w:t>
      </w:r>
      <w:r w:rsidR="00261F47" w:rsidRPr="003B06BE">
        <w:rPr>
          <w:rFonts w:ascii="Arial" w:hAnsi="Arial" w:cs="Arial"/>
          <w:b/>
          <w:bCs/>
          <w:color w:val="auto"/>
          <w:sz w:val="22"/>
          <w:szCs w:val="22"/>
        </w:rPr>
        <w:t>Controlled</w:t>
      </w:r>
      <w:bookmarkEnd w:id="6"/>
    </w:p>
    <w:p w14:paraId="08B33A76" w14:textId="1892086E" w:rsidR="006179C3" w:rsidRPr="00F532AA" w:rsidRDefault="006179C3" w:rsidP="003D348F">
      <w:pPr>
        <w:spacing w:line="360" w:lineRule="auto"/>
        <w:rPr>
          <w:rFonts w:ascii="Arial" w:hAnsi="Arial" w:cs="Arial"/>
          <w:i/>
          <w:iCs/>
          <w:sz w:val="22"/>
          <w:szCs w:val="22"/>
        </w:rPr>
      </w:pPr>
      <w:r w:rsidRPr="00F532AA">
        <w:rPr>
          <w:rFonts w:ascii="Arial" w:hAnsi="Arial" w:cs="Arial"/>
          <w:b/>
          <w:bCs/>
          <w:i/>
          <w:iCs/>
          <w:sz w:val="22"/>
          <w:szCs w:val="22"/>
        </w:rPr>
        <w:t>Control of T2DM involves both public health initiatives and clinical management</w:t>
      </w:r>
      <w:r w:rsidR="00E0416E">
        <w:rPr>
          <w:rFonts w:ascii="Arial" w:hAnsi="Arial" w:cs="Arial"/>
          <w:b/>
          <w:bCs/>
          <w:i/>
          <w:iCs/>
          <w:sz w:val="22"/>
          <w:szCs w:val="22"/>
        </w:rPr>
        <w:t>.</w:t>
      </w:r>
    </w:p>
    <w:p w14:paraId="5ED6637C" w14:textId="77777777" w:rsidR="006179C3" w:rsidRPr="003B06BE" w:rsidRDefault="006179C3" w:rsidP="003D348F">
      <w:pPr>
        <w:spacing w:line="360" w:lineRule="auto"/>
        <w:rPr>
          <w:rFonts w:ascii="Arial" w:hAnsi="Arial" w:cs="Arial"/>
          <w:sz w:val="22"/>
          <w:szCs w:val="22"/>
        </w:rPr>
      </w:pPr>
    </w:p>
    <w:p w14:paraId="61B362BD" w14:textId="77777777"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t xml:space="preserve">Population prevention - </w:t>
      </w:r>
      <w:r w:rsidRPr="003B06BE">
        <w:rPr>
          <w:rFonts w:ascii="Arial" w:hAnsi="Arial" w:cs="Arial"/>
          <w:sz w:val="22"/>
          <w:szCs w:val="22"/>
        </w:rPr>
        <w:t>UK policies focus on reducing obesity and promoting healthy lifestyles through measures such as the Soft Drinks Industry Levy, calorie reduction programmes and improved access to physical activity (UK Parliament, 2024). The NHS Diabetes Prevention Programme (NDPP) provides structured lifestyle interventions targeting individuals at high risk (NHS England, 2024).</w:t>
      </w:r>
    </w:p>
    <w:p w14:paraId="39DFCC92" w14:textId="77777777" w:rsidR="006179C3" w:rsidRPr="003B06BE" w:rsidRDefault="006179C3" w:rsidP="003D348F">
      <w:pPr>
        <w:spacing w:line="360" w:lineRule="auto"/>
        <w:rPr>
          <w:rFonts w:ascii="Arial" w:hAnsi="Arial" w:cs="Arial"/>
          <w:sz w:val="22"/>
          <w:szCs w:val="22"/>
        </w:rPr>
      </w:pPr>
    </w:p>
    <w:p w14:paraId="59B7C3B2" w14:textId="2822B5CC"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t>Clinical management -</w:t>
      </w:r>
      <w:r w:rsidRPr="003B06BE">
        <w:rPr>
          <w:rFonts w:ascii="Arial" w:hAnsi="Arial" w:cs="Arial"/>
          <w:sz w:val="22"/>
          <w:szCs w:val="22"/>
        </w:rPr>
        <w:t xml:space="preserve"> NICE guidelines recommend initial lifestyle modification—dietary changes, physical activity and weight management—followed by pharmacological treatment when required. Metformin remains the first-line therapy, with additional agents such as </w:t>
      </w:r>
      <w:r w:rsidRPr="003B06BE">
        <w:rPr>
          <w:rFonts w:ascii="Arial" w:hAnsi="Arial" w:cs="Arial"/>
          <w:sz w:val="22"/>
          <w:szCs w:val="22"/>
        </w:rPr>
        <w:lastRenderedPageBreak/>
        <w:t xml:space="preserve">SGLT2 inhibitors, GLP-1 receptor agonists or insulin introduced as needed (NICE, </w:t>
      </w:r>
      <w:r w:rsidR="00233B6E" w:rsidRPr="003B06BE">
        <w:rPr>
          <w:rFonts w:ascii="Arial" w:hAnsi="Arial" w:cs="Arial"/>
          <w:sz w:val="22"/>
          <w:szCs w:val="22"/>
        </w:rPr>
        <w:t>2015</w:t>
      </w:r>
      <w:r w:rsidRPr="003B06BE">
        <w:rPr>
          <w:rFonts w:ascii="Arial" w:hAnsi="Arial" w:cs="Arial"/>
          <w:sz w:val="22"/>
          <w:szCs w:val="22"/>
        </w:rPr>
        <w:t>). Treatment is personalised based on individual risk factors and comorbidities (NHS England, 2024).</w:t>
      </w:r>
    </w:p>
    <w:p w14:paraId="71457C86" w14:textId="343678B4" w:rsidR="006179C3" w:rsidRDefault="006179C3" w:rsidP="003D348F">
      <w:pPr>
        <w:spacing w:line="360" w:lineRule="auto"/>
        <w:rPr>
          <w:rFonts w:ascii="Arial" w:hAnsi="Arial" w:cs="Arial"/>
          <w:sz w:val="22"/>
          <w:szCs w:val="22"/>
        </w:rPr>
      </w:pPr>
      <w:r w:rsidRPr="003B06BE">
        <w:rPr>
          <w:rFonts w:ascii="Arial" w:hAnsi="Arial" w:cs="Arial"/>
          <w:sz w:val="22"/>
          <w:szCs w:val="22"/>
        </w:rPr>
        <w:t xml:space="preserve">Monitoring and follow-up. Regular assessments of HbA1c, blood pressure, renal function, lipids and foot and eye health are essential to prevent complications (NICE, </w:t>
      </w:r>
      <w:r w:rsidR="00D32F9B" w:rsidRPr="003B06BE">
        <w:rPr>
          <w:rFonts w:ascii="Arial" w:hAnsi="Arial" w:cs="Arial"/>
          <w:sz w:val="22"/>
          <w:szCs w:val="22"/>
        </w:rPr>
        <w:t>2015</w:t>
      </w:r>
      <w:r w:rsidRPr="003B06BE">
        <w:rPr>
          <w:rFonts w:ascii="Arial" w:hAnsi="Arial" w:cs="Arial"/>
          <w:sz w:val="22"/>
          <w:szCs w:val="22"/>
        </w:rPr>
        <w:t>). The National Diabetes Audit tracks quality indicators and outcomes (NHS Digital, 2024).</w:t>
      </w:r>
    </w:p>
    <w:p w14:paraId="1D1C408D" w14:textId="77777777" w:rsidR="00D963FE" w:rsidRPr="003B06BE" w:rsidRDefault="00D963FE" w:rsidP="003D348F">
      <w:pPr>
        <w:spacing w:line="360" w:lineRule="auto"/>
        <w:rPr>
          <w:rFonts w:ascii="Arial" w:hAnsi="Arial" w:cs="Arial"/>
          <w:sz w:val="22"/>
          <w:szCs w:val="22"/>
        </w:rPr>
      </w:pPr>
    </w:p>
    <w:p w14:paraId="1AAAC4E0" w14:textId="471D5B89" w:rsidR="006179C3" w:rsidRDefault="006179C3" w:rsidP="003D348F">
      <w:pPr>
        <w:spacing w:line="360" w:lineRule="auto"/>
        <w:rPr>
          <w:rFonts w:ascii="Arial" w:hAnsi="Arial" w:cs="Arial"/>
          <w:sz w:val="22"/>
          <w:szCs w:val="22"/>
        </w:rPr>
      </w:pPr>
      <w:r w:rsidRPr="003B06BE">
        <w:rPr>
          <w:rFonts w:ascii="Arial" w:hAnsi="Arial" w:cs="Arial"/>
          <w:b/>
          <w:bCs/>
          <w:sz w:val="22"/>
          <w:szCs w:val="22"/>
        </w:rPr>
        <w:t>Self-management and technology -</w:t>
      </w:r>
      <w:r w:rsidRPr="003B06BE">
        <w:rPr>
          <w:rFonts w:ascii="Arial" w:hAnsi="Arial" w:cs="Arial"/>
          <w:sz w:val="22"/>
          <w:szCs w:val="22"/>
        </w:rPr>
        <w:t xml:space="preserve"> Education and self-care support are central to diabetes control. Continuous glucose monitoring, insulin pumps and digital tools such as mobile apps improve adherence and glycaemic control (NHS, 2024). Newer therapies</w:t>
      </w:r>
      <w:r w:rsidR="00736AFB">
        <w:rPr>
          <w:rFonts w:ascii="Arial" w:hAnsi="Arial" w:cs="Arial"/>
          <w:sz w:val="22"/>
          <w:szCs w:val="22"/>
        </w:rPr>
        <w:t>,</w:t>
      </w:r>
      <w:r w:rsidRPr="003B06BE">
        <w:rPr>
          <w:rFonts w:ascii="Arial" w:hAnsi="Arial" w:cs="Arial"/>
          <w:sz w:val="22"/>
          <w:szCs w:val="22"/>
        </w:rPr>
        <w:t xml:space="preserve"> including SGLT2 inhibitors and GLP-1 receptor agonists</w:t>
      </w:r>
      <w:r w:rsidR="00736AFB">
        <w:rPr>
          <w:rFonts w:ascii="Arial" w:hAnsi="Arial" w:cs="Arial"/>
          <w:sz w:val="22"/>
          <w:szCs w:val="22"/>
        </w:rPr>
        <w:t>,</w:t>
      </w:r>
      <w:r w:rsidRPr="003B06BE">
        <w:rPr>
          <w:rFonts w:ascii="Arial" w:hAnsi="Arial" w:cs="Arial"/>
          <w:sz w:val="22"/>
          <w:szCs w:val="22"/>
        </w:rPr>
        <w:t xml:space="preserve"> also reduce cardiovascular and renal risks (Davies et al., 2018).</w:t>
      </w:r>
    </w:p>
    <w:p w14:paraId="7404356D" w14:textId="77777777" w:rsidR="00D963FE" w:rsidRPr="00D963FE" w:rsidRDefault="00D963FE" w:rsidP="003D348F">
      <w:pPr>
        <w:spacing w:line="360" w:lineRule="auto"/>
        <w:rPr>
          <w:rFonts w:ascii="Arial" w:hAnsi="Arial" w:cs="Arial"/>
          <w:sz w:val="22"/>
          <w:szCs w:val="22"/>
        </w:rPr>
      </w:pPr>
    </w:p>
    <w:p w14:paraId="6514781E" w14:textId="013007CF" w:rsidR="006179C3" w:rsidRDefault="006179C3" w:rsidP="00795E0C">
      <w:pPr>
        <w:pStyle w:val="Heading1"/>
        <w:rPr>
          <w:rFonts w:ascii="Arial" w:hAnsi="Arial" w:cs="Arial"/>
          <w:b/>
          <w:bCs/>
          <w:color w:val="auto"/>
          <w:sz w:val="22"/>
          <w:szCs w:val="22"/>
        </w:rPr>
      </w:pPr>
      <w:bookmarkStart w:id="7" w:name="_Toc214229506"/>
      <w:r w:rsidRPr="003B06BE">
        <w:rPr>
          <w:rFonts w:ascii="Arial" w:hAnsi="Arial" w:cs="Arial"/>
          <w:b/>
          <w:bCs/>
          <w:color w:val="auto"/>
          <w:sz w:val="22"/>
          <w:szCs w:val="22"/>
        </w:rPr>
        <w:t>Factors influencing health and well-being</w:t>
      </w:r>
      <w:bookmarkEnd w:id="7"/>
    </w:p>
    <w:p w14:paraId="1616400E" w14:textId="77777777" w:rsidR="00795E0C" w:rsidRPr="00795E0C" w:rsidRDefault="00795E0C" w:rsidP="00795E0C"/>
    <w:p w14:paraId="5D510DF5" w14:textId="77777777"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t>Social determinants</w:t>
      </w:r>
      <w:r w:rsidRPr="003B06BE">
        <w:rPr>
          <w:rFonts w:ascii="Arial" w:hAnsi="Arial" w:cs="Arial"/>
          <w:sz w:val="22"/>
          <w:szCs w:val="22"/>
        </w:rPr>
        <w:t xml:space="preserve"> - Poverty, poor diet options, limited access to green spaces and food deserts all heighten risk and complicate management (Nuffield Trust, 2024).</w:t>
      </w:r>
    </w:p>
    <w:p w14:paraId="099161E6" w14:textId="77777777" w:rsidR="006179C3" w:rsidRPr="003B06BE" w:rsidRDefault="006179C3" w:rsidP="003D348F">
      <w:pPr>
        <w:spacing w:line="360" w:lineRule="auto"/>
        <w:rPr>
          <w:rFonts w:ascii="Arial" w:hAnsi="Arial" w:cs="Arial"/>
          <w:sz w:val="22"/>
          <w:szCs w:val="22"/>
        </w:rPr>
      </w:pPr>
    </w:p>
    <w:p w14:paraId="29656BA1" w14:textId="77777777"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t>Psychological factors -</w:t>
      </w:r>
      <w:r w:rsidRPr="003B06BE">
        <w:rPr>
          <w:rFonts w:ascii="Arial" w:hAnsi="Arial" w:cs="Arial"/>
          <w:sz w:val="22"/>
          <w:szCs w:val="22"/>
        </w:rPr>
        <w:t xml:space="preserve"> People with T2DM are more likely to experience depression and diabetes-related distress, both linked to poor self-management and outcomes (NHS Digital, 2024).</w:t>
      </w:r>
    </w:p>
    <w:p w14:paraId="32DEC65F" w14:textId="77777777" w:rsidR="006179C3" w:rsidRPr="003B06BE" w:rsidRDefault="006179C3" w:rsidP="003D348F">
      <w:pPr>
        <w:spacing w:line="360" w:lineRule="auto"/>
        <w:rPr>
          <w:rFonts w:ascii="Arial" w:hAnsi="Arial" w:cs="Arial"/>
          <w:sz w:val="22"/>
          <w:szCs w:val="22"/>
        </w:rPr>
      </w:pPr>
    </w:p>
    <w:p w14:paraId="276CFDE9" w14:textId="6AC59E78"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t>Healthcare access -</w:t>
      </w:r>
      <w:r w:rsidRPr="003B06BE">
        <w:rPr>
          <w:rFonts w:ascii="Arial" w:hAnsi="Arial" w:cs="Arial"/>
          <w:sz w:val="22"/>
          <w:szCs w:val="22"/>
        </w:rPr>
        <w:t xml:space="preserve"> Disparities in access to care, structured education</w:t>
      </w:r>
      <w:r w:rsidR="0086422A" w:rsidRPr="003B06BE">
        <w:rPr>
          <w:rFonts w:ascii="Arial" w:hAnsi="Arial" w:cs="Arial"/>
          <w:sz w:val="22"/>
          <w:szCs w:val="22"/>
        </w:rPr>
        <w:t>,</w:t>
      </w:r>
      <w:r w:rsidRPr="003B06BE">
        <w:rPr>
          <w:rFonts w:ascii="Arial" w:hAnsi="Arial" w:cs="Arial"/>
          <w:sz w:val="22"/>
          <w:szCs w:val="22"/>
        </w:rPr>
        <w:t xml:space="preserve"> and specialist services lead to worse outcomes for disadvantaged populations (UKHSA, 2023).</w:t>
      </w:r>
    </w:p>
    <w:p w14:paraId="1B558D7E" w14:textId="77777777" w:rsidR="006179C3" w:rsidRPr="003B06BE" w:rsidRDefault="006179C3" w:rsidP="003D348F">
      <w:pPr>
        <w:spacing w:line="360" w:lineRule="auto"/>
        <w:rPr>
          <w:rFonts w:ascii="Arial" w:hAnsi="Arial" w:cs="Arial"/>
          <w:sz w:val="22"/>
          <w:szCs w:val="22"/>
        </w:rPr>
      </w:pPr>
    </w:p>
    <w:p w14:paraId="3C21D6F1" w14:textId="77777777"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t>Family and community support</w:t>
      </w:r>
      <w:r w:rsidRPr="003B06BE">
        <w:rPr>
          <w:rFonts w:ascii="Arial" w:hAnsi="Arial" w:cs="Arial"/>
          <w:sz w:val="22"/>
          <w:szCs w:val="22"/>
        </w:rPr>
        <w:t xml:space="preserve"> - Support from family, workplaces and community organisations is key to maintaining treatment adherence and lifestyle changes, whereas stigma can discourage engagement (King’s Fund, 2024).</w:t>
      </w:r>
    </w:p>
    <w:p w14:paraId="793FAFEB" w14:textId="77777777" w:rsidR="006179C3" w:rsidRPr="003B06BE" w:rsidRDefault="006179C3" w:rsidP="003D348F">
      <w:pPr>
        <w:spacing w:line="360" w:lineRule="auto"/>
        <w:rPr>
          <w:rFonts w:ascii="Arial" w:hAnsi="Arial" w:cs="Arial"/>
          <w:sz w:val="22"/>
          <w:szCs w:val="22"/>
        </w:rPr>
      </w:pPr>
    </w:p>
    <w:p w14:paraId="1B4CB871" w14:textId="77777777" w:rsidR="006179C3" w:rsidRPr="003B06BE" w:rsidRDefault="006179C3" w:rsidP="003D348F">
      <w:pPr>
        <w:spacing w:line="360" w:lineRule="auto"/>
        <w:rPr>
          <w:rFonts w:ascii="Arial" w:hAnsi="Arial" w:cs="Arial"/>
          <w:sz w:val="22"/>
          <w:szCs w:val="22"/>
        </w:rPr>
      </w:pPr>
      <w:r w:rsidRPr="003B06BE">
        <w:rPr>
          <w:rFonts w:ascii="Arial" w:hAnsi="Arial" w:cs="Arial"/>
          <w:b/>
          <w:bCs/>
          <w:sz w:val="22"/>
          <w:szCs w:val="22"/>
        </w:rPr>
        <w:lastRenderedPageBreak/>
        <w:t>Economic burden -</w:t>
      </w:r>
      <w:r w:rsidRPr="003B06BE">
        <w:rPr>
          <w:rFonts w:ascii="Arial" w:hAnsi="Arial" w:cs="Arial"/>
          <w:sz w:val="22"/>
          <w:szCs w:val="22"/>
        </w:rPr>
        <w:t xml:space="preserve"> Indirect costs such as transport, diet adjustments and time off work add to financial pressures and affect adherence (University of York, 2024).</w:t>
      </w:r>
    </w:p>
    <w:p w14:paraId="694C9A72" w14:textId="77777777" w:rsidR="006179C3" w:rsidRPr="003B06BE" w:rsidRDefault="006179C3" w:rsidP="003D348F">
      <w:pPr>
        <w:spacing w:line="360" w:lineRule="auto"/>
        <w:rPr>
          <w:rFonts w:ascii="Arial" w:hAnsi="Arial" w:cs="Arial"/>
          <w:sz w:val="22"/>
          <w:szCs w:val="22"/>
        </w:rPr>
      </w:pPr>
    </w:p>
    <w:p w14:paraId="3ACDE79F" w14:textId="77777777" w:rsidR="006179C3" w:rsidRPr="003B06BE" w:rsidRDefault="006179C3" w:rsidP="00676E7C">
      <w:pPr>
        <w:pStyle w:val="Heading1"/>
        <w:rPr>
          <w:rFonts w:ascii="Arial" w:hAnsi="Arial" w:cs="Arial"/>
          <w:b/>
          <w:bCs/>
          <w:color w:val="auto"/>
          <w:sz w:val="22"/>
          <w:szCs w:val="22"/>
        </w:rPr>
      </w:pPr>
      <w:bookmarkStart w:id="8" w:name="_Toc214229507"/>
      <w:r w:rsidRPr="003B06BE">
        <w:rPr>
          <w:rFonts w:ascii="Arial" w:hAnsi="Arial" w:cs="Arial"/>
          <w:b/>
          <w:bCs/>
          <w:color w:val="auto"/>
          <w:sz w:val="22"/>
          <w:szCs w:val="22"/>
        </w:rPr>
        <w:t>Conclusion</w:t>
      </w:r>
      <w:bookmarkEnd w:id="8"/>
    </w:p>
    <w:p w14:paraId="083BA14C" w14:textId="51E8DF24"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Type 2 diabetes is a major preventable chronic condition that poses severe consequences for individuals, communities and the NHS. Its complications</w:t>
      </w:r>
      <w:r w:rsidR="009D5FAE" w:rsidRPr="003B06BE">
        <w:rPr>
          <w:rFonts w:ascii="Arial" w:hAnsi="Arial" w:cs="Arial"/>
          <w:sz w:val="22"/>
          <w:szCs w:val="22"/>
        </w:rPr>
        <w:t>,</w:t>
      </w:r>
      <w:r w:rsidRPr="003B06BE">
        <w:rPr>
          <w:rFonts w:ascii="Arial" w:hAnsi="Arial" w:cs="Arial"/>
          <w:sz w:val="22"/>
          <w:szCs w:val="22"/>
        </w:rPr>
        <w:t xml:space="preserve"> heart disease, kidney failure, retinopathy and amputations</w:t>
      </w:r>
      <w:r w:rsidR="009D5FAE" w:rsidRPr="003B06BE">
        <w:rPr>
          <w:rFonts w:ascii="Arial" w:hAnsi="Arial" w:cs="Arial"/>
          <w:sz w:val="22"/>
          <w:szCs w:val="22"/>
        </w:rPr>
        <w:t>,</w:t>
      </w:r>
      <w:r w:rsidRPr="003B06BE">
        <w:rPr>
          <w:rFonts w:ascii="Arial" w:hAnsi="Arial" w:cs="Arial"/>
          <w:sz w:val="22"/>
          <w:szCs w:val="22"/>
        </w:rPr>
        <w:t xml:space="preserve"> cause substantial disability and mortality. Managing T2DM effectively requires coordinated public health prevention, systematic risk identification, evidence-based clinical care and strong patient education. New drug therapies and digital tools offer improved control and reduced complications, but addressing underlying inequalities and lifestyle factors remains essential. For the NHS, investment in prevention and community-based care will help lower costs and improve outcomes. Ultimately, combating T2DM demands not only medical solutions but also societal commitment to promoting healthier living environments and equitable healthcare access (NICE, </w:t>
      </w:r>
      <w:r w:rsidR="00EB63D4" w:rsidRPr="003B06BE">
        <w:rPr>
          <w:rFonts w:ascii="Arial" w:hAnsi="Arial" w:cs="Arial"/>
          <w:sz w:val="22"/>
          <w:szCs w:val="22"/>
        </w:rPr>
        <w:t>2015</w:t>
      </w:r>
      <w:r w:rsidRPr="003B06BE">
        <w:rPr>
          <w:rFonts w:ascii="Arial" w:hAnsi="Arial" w:cs="Arial"/>
          <w:sz w:val="22"/>
          <w:szCs w:val="22"/>
        </w:rPr>
        <w:t xml:space="preserve">; World Health </w:t>
      </w:r>
      <w:r w:rsidR="00604079" w:rsidRPr="003B06BE">
        <w:rPr>
          <w:rFonts w:ascii="Arial" w:hAnsi="Arial" w:cs="Arial"/>
          <w:sz w:val="22"/>
          <w:szCs w:val="22"/>
        </w:rPr>
        <w:t>Organisation</w:t>
      </w:r>
      <w:r w:rsidRPr="003B06BE">
        <w:rPr>
          <w:rFonts w:ascii="Arial" w:hAnsi="Arial" w:cs="Arial"/>
          <w:sz w:val="22"/>
          <w:szCs w:val="22"/>
        </w:rPr>
        <w:t>, 2024).</w:t>
      </w:r>
    </w:p>
    <w:p w14:paraId="72A78E9D" w14:textId="77777777" w:rsidR="006179C3" w:rsidRPr="003B06BE" w:rsidRDefault="006179C3" w:rsidP="003D348F">
      <w:pPr>
        <w:spacing w:line="360" w:lineRule="auto"/>
        <w:rPr>
          <w:rFonts w:ascii="Arial" w:hAnsi="Arial" w:cs="Arial"/>
          <w:sz w:val="22"/>
          <w:szCs w:val="22"/>
        </w:rPr>
      </w:pPr>
    </w:p>
    <w:p w14:paraId="21170B1B" w14:textId="77777777" w:rsidR="006179C3" w:rsidRPr="003B06BE" w:rsidRDefault="006179C3" w:rsidP="003D348F">
      <w:pPr>
        <w:spacing w:line="360" w:lineRule="auto"/>
        <w:rPr>
          <w:rFonts w:ascii="Arial" w:hAnsi="Arial" w:cs="Arial"/>
          <w:sz w:val="22"/>
          <w:szCs w:val="22"/>
        </w:rPr>
      </w:pPr>
    </w:p>
    <w:p w14:paraId="0C11DE35" w14:textId="77777777" w:rsidR="006179C3" w:rsidRPr="003B06BE" w:rsidRDefault="006179C3" w:rsidP="003D348F">
      <w:pPr>
        <w:spacing w:line="360" w:lineRule="auto"/>
        <w:rPr>
          <w:rFonts w:ascii="Arial" w:hAnsi="Arial" w:cs="Arial"/>
          <w:sz w:val="22"/>
          <w:szCs w:val="22"/>
        </w:rPr>
      </w:pPr>
    </w:p>
    <w:p w14:paraId="2486511A" w14:textId="77777777" w:rsidR="006179C3" w:rsidRPr="003B06BE" w:rsidRDefault="006179C3" w:rsidP="003D348F">
      <w:pPr>
        <w:spacing w:line="360" w:lineRule="auto"/>
        <w:rPr>
          <w:rFonts w:ascii="Arial" w:hAnsi="Arial" w:cs="Arial"/>
          <w:sz w:val="22"/>
          <w:szCs w:val="22"/>
        </w:rPr>
      </w:pPr>
    </w:p>
    <w:p w14:paraId="4FE20E9D" w14:textId="77777777" w:rsidR="006179C3" w:rsidRPr="003B06BE" w:rsidRDefault="006179C3" w:rsidP="003D348F">
      <w:pPr>
        <w:spacing w:line="360" w:lineRule="auto"/>
        <w:rPr>
          <w:rFonts w:ascii="Arial" w:hAnsi="Arial" w:cs="Arial"/>
          <w:sz w:val="22"/>
          <w:szCs w:val="22"/>
        </w:rPr>
      </w:pPr>
    </w:p>
    <w:p w14:paraId="2E577168" w14:textId="77777777" w:rsidR="006179C3" w:rsidRPr="003B06BE" w:rsidRDefault="006179C3" w:rsidP="003D348F">
      <w:pPr>
        <w:spacing w:line="360" w:lineRule="auto"/>
        <w:rPr>
          <w:rFonts w:ascii="Arial" w:hAnsi="Arial" w:cs="Arial"/>
          <w:sz w:val="22"/>
          <w:szCs w:val="22"/>
        </w:rPr>
      </w:pPr>
    </w:p>
    <w:p w14:paraId="6BA66A7C" w14:textId="77777777" w:rsidR="006179C3" w:rsidRPr="003B06BE" w:rsidRDefault="006179C3" w:rsidP="003D348F">
      <w:pPr>
        <w:spacing w:line="360" w:lineRule="auto"/>
        <w:rPr>
          <w:rFonts w:ascii="Arial" w:hAnsi="Arial" w:cs="Arial"/>
          <w:sz w:val="22"/>
          <w:szCs w:val="22"/>
        </w:rPr>
      </w:pPr>
    </w:p>
    <w:p w14:paraId="6A5010BA" w14:textId="77777777" w:rsidR="006179C3" w:rsidRPr="003B06BE" w:rsidRDefault="006179C3" w:rsidP="003D348F">
      <w:pPr>
        <w:spacing w:line="360" w:lineRule="auto"/>
        <w:rPr>
          <w:rFonts w:ascii="Arial" w:hAnsi="Arial" w:cs="Arial"/>
          <w:sz w:val="22"/>
          <w:szCs w:val="22"/>
        </w:rPr>
      </w:pPr>
    </w:p>
    <w:p w14:paraId="1C9EAF2D" w14:textId="77777777" w:rsidR="006179C3" w:rsidRPr="003B06BE" w:rsidRDefault="006179C3" w:rsidP="003D348F">
      <w:pPr>
        <w:spacing w:line="360" w:lineRule="auto"/>
        <w:rPr>
          <w:rFonts w:ascii="Arial" w:hAnsi="Arial" w:cs="Arial"/>
          <w:sz w:val="22"/>
          <w:szCs w:val="22"/>
        </w:rPr>
      </w:pPr>
    </w:p>
    <w:p w14:paraId="3E21BCC5" w14:textId="77777777" w:rsidR="00C75738" w:rsidRPr="003B06BE" w:rsidRDefault="00C75738" w:rsidP="003D348F">
      <w:pPr>
        <w:spacing w:line="360" w:lineRule="auto"/>
        <w:rPr>
          <w:rFonts w:ascii="Arial" w:hAnsi="Arial" w:cs="Arial"/>
          <w:sz w:val="22"/>
          <w:szCs w:val="22"/>
        </w:rPr>
      </w:pPr>
    </w:p>
    <w:p w14:paraId="0A396483" w14:textId="77777777" w:rsidR="00676E7C" w:rsidRPr="003B06BE" w:rsidRDefault="00676E7C" w:rsidP="003D348F">
      <w:pPr>
        <w:spacing w:line="360" w:lineRule="auto"/>
        <w:rPr>
          <w:rFonts w:ascii="Arial" w:hAnsi="Arial" w:cs="Arial"/>
          <w:sz w:val="22"/>
          <w:szCs w:val="22"/>
        </w:rPr>
      </w:pPr>
    </w:p>
    <w:p w14:paraId="47498093" w14:textId="77777777" w:rsidR="00676E7C" w:rsidRPr="003B06BE" w:rsidRDefault="00676E7C" w:rsidP="003D348F">
      <w:pPr>
        <w:spacing w:line="360" w:lineRule="auto"/>
        <w:rPr>
          <w:rFonts w:ascii="Arial" w:hAnsi="Arial" w:cs="Arial"/>
          <w:sz w:val="22"/>
          <w:szCs w:val="22"/>
        </w:rPr>
      </w:pPr>
    </w:p>
    <w:p w14:paraId="635CD6AA" w14:textId="77777777" w:rsidR="00676E7C" w:rsidRPr="003B06BE" w:rsidRDefault="00676E7C" w:rsidP="003D348F">
      <w:pPr>
        <w:spacing w:line="360" w:lineRule="auto"/>
        <w:rPr>
          <w:rFonts w:ascii="Arial" w:hAnsi="Arial" w:cs="Arial"/>
          <w:sz w:val="22"/>
          <w:szCs w:val="22"/>
        </w:rPr>
      </w:pPr>
    </w:p>
    <w:p w14:paraId="1C593C39" w14:textId="77777777" w:rsidR="004314AE" w:rsidRPr="003B06BE" w:rsidRDefault="004314AE" w:rsidP="003D348F">
      <w:pPr>
        <w:spacing w:line="360" w:lineRule="auto"/>
        <w:rPr>
          <w:rFonts w:ascii="Arial" w:hAnsi="Arial" w:cs="Arial"/>
          <w:sz w:val="22"/>
          <w:szCs w:val="22"/>
        </w:rPr>
      </w:pPr>
    </w:p>
    <w:p w14:paraId="6EA3A55E" w14:textId="77777777" w:rsidR="0057523E" w:rsidRPr="003B06BE" w:rsidRDefault="0057523E" w:rsidP="003D348F">
      <w:pPr>
        <w:spacing w:line="360" w:lineRule="auto"/>
        <w:rPr>
          <w:rFonts w:ascii="Arial" w:hAnsi="Arial" w:cs="Arial"/>
          <w:sz w:val="22"/>
          <w:szCs w:val="22"/>
        </w:rPr>
      </w:pPr>
    </w:p>
    <w:p w14:paraId="3FBC2BEC" w14:textId="7FDEDCF1" w:rsidR="006179C3" w:rsidRPr="003B06BE" w:rsidRDefault="006179C3" w:rsidP="00676E7C">
      <w:pPr>
        <w:pStyle w:val="Heading1"/>
        <w:rPr>
          <w:rFonts w:ascii="Arial" w:hAnsi="Arial" w:cs="Arial"/>
          <w:b/>
          <w:bCs/>
          <w:color w:val="auto"/>
          <w:sz w:val="22"/>
          <w:szCs w:val="22"/>
          <w:lang w:val="fr-FR"/>
        </w:rPr>
      </w:pPr>
      <w:bookmarkStart w:id="9" w:name="_Toc214229508"/>
      <w:r w:rsidRPr="003B06BE">
        <w:rPr>
          <w:rFonts w:ascii="Arial" w:hAnsi="Arial" w:cs="Arial"/>
          <w:b/>
          <w:bCs/>
          <w:color w:val="auto"/>
          <w:sz w:val="22"/>
          <w:szCs w:val="22"/>
          <w:lang w:val="fr-FR"/>
        </w:rPr>
        <w:t xml:space="preserve">Reference </w:t>
      </w:r>
      <w:r w:rsidR="004314AE" w:rsidRPr="003B06BE">
        <w:rPr>
          <w:rFonts w:ascii="Arial" w:hAnsi="Arial" w:cs="Arial"/>
          <w:b/>
          <w:bCs/>
          <w:color w:val="auto"/>
          <w:sz w:val="22"/>
          <w:szCs w:val="22"/>
          <w:lang w:val="fr-FR"/>
        </w:rPr>
        <w:t>List</w:t>
      </w:r>
      <w:bookmarkEnd w:id="9"/>
    </w:p>
    <w:p w14:paraId="30EDCFE8" w14:textId="7B8FA0AD" w:rsidR="006179C3" w:rsidRPr="003B06BE" w:rsidRDefault="006179C3" w:rsidP="003D348F">
      <w:pPr>
        <w:spacing w:line="360" w:lineRule="auto"/>
        <w:rPr>
          <w:rFonts w:ascii="Arial" w:hAnsi="Arial" w:cs="Arial"/>
          <w:sz w:val="22"/>
          <w:szCs w:val="22"/>
        </w:rPr>
      </w:pPr>
      <w:r w:rsidRPr="003B06BE">
        <w:rPr>
          <w:rFonts w:ascii="Arial" w:hAnsi="Arial" w:cs="Arial"/>
          <w:sz w:val="22"/>
          <w:szCs w:val="22"/>
          <w:lang w:val="fr-FR"/>
        </w:rPr>
        <w:t xml:space="preserve">Davies, M.J. et al. </w:t>
      </w:r>
      <w:r w:rsidRPr="003B06BE">
        <w:rPr>
          <w:rFonts w:ascii="Arial" w:hAnsi="Arial" w:cs="Arial"/>
          <w:sz w:val="22"/>
          <w:szCs w:val="22"/>
        </w:rPr>
        <w:t xml:space="preserve">(2018) Management of hyperglycaemia in Type 2 Diabetes: UK perspectives. </w:t>
      </w:r>
      <w:r w:rsidRPr="003B06BE">
        <w:rPr>
          <w:rFonts w:ascii="Arial" w:hAnsi="Arial" w:cs="Arial"/>
          <w:i/>
          <w:iCs/>
          <w:sz w:val="22"/>
          <w:szCs w:val="22"/>
        </w:rPr>
        <w:t>Diabetic Medicine</w:t>
      </w:r>
      <w:r w:rsidRPr="003B06BE">
        <w:rPr>
          <w:rFonts w:ascii="Arial" w:hAnsi="Arial" w:cs="Arial"/>
          <w:sz w:val="22"/>
          <w:szCs w:val="22"/>
        </w:rPr>
        <w:t>, 35(3), pp. 2461–2472.</w:t>
      </w:r>
    </w:p>
    <w:p w14:paraId="7712D80D" w14:textId="5369F8FC" w:rsidR="00CC086B"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Diabetes UK (2024) </w:t>
      </w:r>
      <w:r w:rsidR="00D97487" w:rsidRPr="003B06BE">
        <w:rPr>
          <w:rFonts w:ascii="Arial" w:hAnsi="Arial" w:cs="Arial"/>
          <w:i/>
          <w:iCs/>
          <w:sz w:val="22"/>
          <w:szCs w:val="22"/>
        </w:rPr>
        <w:t>Diabetic neuropathy (nerve damage).</w:t>
      </w:r>
      <w:r w:rsidR="00D97487" w:rsidRPr="003B06BE">
        <w:rPr>
          <w:rFonts w:ascii="Arial" w:hAnsi="Arial" w:cs="Arial"/>
          <w:sz w:val="22"/>
          <w:szCs w:val="22"/>
        </w:rPr>
        <w:t xml:space="preserve"> Available at: </w:t>
      </w:r>
      <w:hyperlink r:id="rId9" w:history="1">
        <w:r w:rsidR="00CC086B" w:rsidRPr="003B06BE">
          <w:rPr>
            <w:rStyle w:val="Hyperlink"/>
            <w:rFonts w:ascii="Arial" w:hAnsi="Arial" w:cs="Arial"/>
            <w:color w:val="auto"/>
            <w:sz w:val="22"/>
            <w:szCs w:val="22"/>
          </w:rPr>
          <w:t>https://www.diabetes.org.uk/about-diabetes/looking-after-diabetes/complications/nerves-neuropathy?gad_campaignid=15219795769&amp;gad_source=1</w:t>
        </w:r>
      </w:hyperlink>
      <w:r w:rsidR="00CC086B" w:rsidRPr="003B06BE">
        <w:rPr>
          <w:rFonts w:ascii="Arial" w:hAnsi="Arial" w:cs="Arial"/>
          <w:sz w:val="22"/>
          <w:szCs w:val="22"/>
        </w:rPr>
        <w:t xml:space="preserve"> (Accessed: 16 November 2025)</w:t>
      </w:r>
    </w:p>
    <w:p w14:paraId="42EEBC70" w14:textId="5BBFEED3" w:rsidR="00861FAD"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GOV.UK (2025) </w:t>
      </w:r>
      <w:r w:rsidRPr="003B06BE">
        <w:rPr>
          <w:rFonts w:ascii="Arial" w:hAnsi="Arial" w:cs="Arial"/>
          <w:i/>
          <w:iCs/>
          <w:sz w:val="22"/>
          <w:szCs w:val="22"/>
        </w:rPr>
        <w:t>Diabetes Profile: Statistical Commentary</w:t>
      </w:r>
      <w:r w:rsidRPr="003B06BE">
        <w:rPr>
          <w:rFonts w:ascii="Arial" w:hAnsi="Arial" w:cs="Arial"/>
          <w:sz w:val="22"/>
          <w:szCs w:val="22"/>
        </w:rPr>
        <w:t xml:space="preserve">, March 2025. </w:t>
      </w:r>
      <w:r w:rsidR="00834E97" w:rsidRPr="003B06BE">
        <w:rPr>
          <w:rFonts w:ascii="Arial" w:hAnsi="Arial" w:cs="Arial"/>
          <w:sz w:val="22"/>
          <w:szCs w:val="22"/>
        </w:rPr>
        <w:t xml:space="preserve">Available at: </w:t>
      </w:r>
      <w:hyperlink r:id="rId10" w:history="1">
        <w:r w:rsidR="00834E97" w:rsidRPr="003B06BE">
          <w:rPr>
            <w:rStyle w:val="Hyperlink"/>
            <w:rFonts w:ascii="Arial" w:hAnsi="Arial" w:cs="Arial"/>
            <w:color w:val="auto"/>
            <w:sz w:val="22"/>
            <w:szCs w:val="22"/>
          </w:rPr>
          <w:t>www.gov.uk/government/statistics/diabetes-profile-update-march-2025/diabetes-profile-statistical-commentary-march-2025</w:t>
        </w:r>
      </w:hyperlink>
      <w:r w:rsidR="00834E97" w:rsidRPr="003B06BE">
        <w:rPr>
          <w:rFonts w:ascii="Arial" w:hAnsi="Arial" w:cs="Arial"/>
          <w:sz w:val="22"/>
          <w:szCs w:val="22"/>
        </w:rPr>
        <w:t xml:space="preserve"> (Accessed: 16 November 2025)</w:t>
      </w:r>
    </w:p>
    <w:p w14:paraId="3416626D" w14:textId="6B52EA8B" w:rsidR="006179C3" w:rsidRPr="003B06BE" w:rsidRDefault="006179C3" w:rsidP="003D348F">
      <w:pPr>
        <w:spacing w:line="360" w:lineRule="auto"/>
        <w:rPr>
          <w:rFonts w:ascii="Arial" w:hAnsi="Arial" w:cs="Arial"/>
          <w:sz w:val="22"/>
          <w:szCs w:val="22"/>
        </w:rPr>
      </w:pPr>
      <w:proofErr w:type="spellStart"/>
      <w:r w:rsidRPr="003B06BE">
        <w:rPr>
          <w:rFonts w:ascii="Arial" w:hAnsi="Arial" w:cs="Arial"/>
          <w:sz w:val="22"/>
          <w:szCs w:val="22"/>
          <w:lang w:val="fr-FR"/>
        </w:rPr>
        <w:t>Holman</w:t>
      </w:r>
      <w:proofErr w:type="spellEnd"/>
      <w:r w:rsidRPr="003B06BE">
        <w:rPr>
          <w:rFonts w:ascii="Arial" w:hAnsi="Arial" w:cs="Arial"/>
          <w:sz w:val="22"/>
          <w:szCs w:val="22"/>
          <w:lang w:val="fr-FR"/>
        </w:rPr>
        <w:t xml:space="preserve">, R.R. et al. </w:t>
      </w:r>
      <w:r w:rsidRPr="003B06BE">
        <w:rPr>
          <w:rFonts w:ascii="Arial" w:hAnsi="Arial" w:cs="Arial"/>
          <w:sz w:val="22"/>
          <w:szCs w:val="22"/>
        </w:rPr>
        <w:t xml:space="preserve">(2008) ‘10-year follow-up of intensive glucose control in Type 2 </w:t>
      </w:r>
      <w:r w:rsidR="001D32C1" w:rsidRPr="003B06BE">
        <w:rPr>
          <w:rFonts w:ascii="Arial" w:hAnsi="Arial" w:cs="Arial"/>
          <w:sz w:val="22"/>
          <w:szCs w:val="22"/>
        </w:rPr>
        <w:t>D</w:t>
      </w:r>
      <w:r w:rsidRPr="003B06BE">
        <w:rPr>
          <w:rFonts w:ascii="Arial" w:hAnsi="Arial" w:cs="Arial"/>
          <w:sz w:val="22"/>
          <w:szCs w:val="22"/>
        </w:rPr>
        <w:t xml:space="preserve">iabetes’, </w:t>
      </w:r>
      <w:r w:rsidR="009642E2" w:rsidRPr="003B06BE">
        <w:rPr>
          <w:rFonts w:ascii="Arial" w:hAnsi="Arial" w:cs="Arial"/>
          <w:i/>
          <w:iCs/>
          <w:sz w:val="22"/>
          <w:szCs w:val="22"/>
        </w:rPr>
        <w:t>The</w:t>
      </w:r>
      <w:r w:rsidR="009642E2" w:rsidRPr="003B06BE">
        <w:rPr>
          <w:rFonts w:ascii="Arial" w:hAnsi="Arial" w:cs="Arial"/>
          <w:sz w:val="22"/>
          <w:szCs w:val="22"/>
        </w:rPr>
        <w:t xml:space="preserve"> </w:t>
      </w:r>
      <w:r w:rsidRPr="003B06BE">
        <w:rPr>
          <w:rFonts w:ascii="Arial" w:hAnsi="Arial" w:cs="Arial"/>
          <w:i/>
          <w:iCs/>
          <w:sz w:val="22"/>
          <w:szCs w:val="22"/>
        </w:rPr>
        <w:t>New England Journal of Medicine</w:t>
      </w:r>
      <w:r w:rsidRPr="003B06BE">
        <w:rPr>
          <w:rFonts w:ascii="Arial" w:hAnsi="Arial" w:cs="Arial"/>
          <w:sz w:val="22"/>
          <w:szCs w:val="22"/>
        </w:rPr>
        <w:t>, 359(15), pp. 1577–1589.</w:t>
      </w:r>
      <w:r w:rsidR="00CE446C" w:rsidRPr="003B06BE">
        <w:rPr>
          <w:rFonts w:ascii="Arial" w:hAnsi="Arial" w:cs="Arial"/>
          <w:sz w:val="22"/>
          <w:szCs w:val="22"/>
        </w:rPr>
        <w:t xml:space="preserve"> Available at: </w:t>
      </w:r>
      <w:hyperlink r:id="rId11" w:history="1">
        <w:r w:rsidR="00CE446C" w:rsidRPr="003B06BE">
          <w:rPr>
            <w:rStyle w:val="Hyperlink"/>
            <w:rFonts w:ascii="Arial" w:hAnsi="Arial" w:cs="Arial"/>
            <w:color w:val="auto"/>
            <w:sz w:val="22"/>
            <w:szCs w:val="22"/>
          </w:rPr>
          <w:t>https://www.nejm.org/doi/full/10.1056/NEJMoa0806470</w:t>
        </w:r>
      </w:hyperlink>
      <w:r w:rsidR="00CE446C" w:rsidRPr="003B06BE">
        <w:rPr>
          <w:rFonts w:ascii="Arial" w:hAnsi="Arial" w:cs="Arial"/>
          <w:sz w:val="22"/>
          <w:szCs w:val="22"/>
        </w:rPr>
        <w:t xml:space="preserve"> (Accessed: 16 November 2025)</w:t>
      </w:r>
    </w:p>
    <w:p w14:paraId="59CAC1F1"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King’s Fund (2024) Diabetes and Health Inequalities in the UK. London: The King’s Fund.</w:t>
      </w:r>
    </w:p>
    <w:p w14:paraId="527F2C4B"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NHS (2024) Living with Type 2 Diabetes: Advice and Support. London: NHS.</w:t>
      </w:r>
    </w:p>
    <w:p w14:paraId="30D20B48" w14:textId="6489DBCA" w:rsidR="00B659C7"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NHS Business Services Authority (2023) </w:t>
      </w:r>
      <w:r w:rsidRPr="003B06BE">
        <w:rPr>
          <w:rFonts w:ascii="Arial" w:hAnsi="Arial" w:cs="Arial"/>
          <w:i/>
          <w:iCs/>
          <w:sz w:val="22"/>
          <w:szCs w:val="22"/>
        </w:rPr>
        <w:t>Prescribing for Diabetes</w:t>
      </w:r>
      <w:r w:rsidRPr="003B06BE">
        <w:rPr>
          <w:rFonts w:ascii="Arial" w:hAnsi="Arial" w:cs="Arial"/>
          <w:sz w:val="22"/>
          <w:szCs w:val="22"/>
        </w:rPr>
        <w:t xml:space="preserve"> </w:t>
      </w:r>
      <w:r w:rsidRPr="003B06BE">
        <w:rPr>
          <w:rFonts w:ascii="Arial" w:hAnsi="Arial" w:cs="Arial"/>
          <w:i/>
          <w:iCs/>
          <w:sz w:val="22"/>
          <w:szCs w:val="22"/>
        </w:rPr>
        <w:t>– England 2015/16 to 2022/23</w:t>
      </w:r>
      <w:r w:rsidRPr="003B06BE">
        <w:rPr>
          <w:rFonts w:ascii="Arial" w:hAnsi="Arial" w:cs="Arial"/>
          <w:sz w:val="22"/>
          <w:szCs w:val="22"/>
        </w:rPr>
        <w:t>. Leeds: NHSBSA.</w:t>
      </w:r>
      <w:r w:rsidR="006B73E5" w:rsidRPr="003B06BE">
        <w:rPr>
          <w:rFonts w:ascii="Arial" w:hAnsi="Arial" w:cs="Arial"/>
          <w:sz w:val="22"/>
          <w:szCs w:val="22"/>
        </w:rPr>
        <w:t xml:space="preserve"> Available at: </w:t>
      </w:r>
      <w:hyperlink r:id="rId12" w:history="1">
        <w:r w:rsidR="006B73E5" w:rsidRPr="003B06BE">
          <w:rPr>
            <w:rStyle w:val="Hyperlink"/>
            <w:rFonts w:ascii="Arial" w:hAnsi="Arial" w:cs="Arial"/>
            <w:color w:val="auto"/>
            <w:sz w:val="22"/>
            <w:szCs w:val="22"/>
          </w:rPr>
          <w:t>https://www.nhsbsa.nhs.uk/statistical-collections/prescribing-diabetes-england/prescribing-diabetes-england-201516-202223</w:t>
        </w:r>
      </w:hyperlink>
      <w:r w:rsidR="006B73E5" w:rsidRPr="003B06BE">
        <w:rPr>
          <w:rFonts w:ascii="Arial" w:hAnsi="Arial" w:cs="Arial"/>
          <w:sz w:val="22"/>
          <w:szCs w:val="22"/>
        </w:rPr>
        <w:t xml:space="preserve"> (Accessed: 16 November 2025)</w:t>
      </w:r>
    </w:p>
    <w:p w14:paraId="02035684"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NHS Digital (2024) National Diabetes Audit: Summary Report 2024. Leeds: NHS Digital.</w:t>
      </w:r>
    </w:p>
    <w:p w14:paraId="551AB23C"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NHS England (2024) NHS Diabetes Prevention Programme: Annual Report 2024. London: NHS England.</w:t>
      </w:r>
    </w:p>
    <w:p w14:paraId="7C348F0C"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NHSBSA (2023) Diabetes Prescribing Data 2023. London: NHSBSA.</w:t>
      </w:r>
    </w:p>
    <w:p w14:paraId="0760BBBE" w14:textId="7701200C"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NICE</w:t>
      </w:r>
      <w:r w:rsidR="00076619" w:rsidRPr="003B06BE">
        <w:rPr>
          <w:rFonts w:ascii="Arial" w:hAnsi="Arial" w:cs="Arial"/>
          <w:sz w:val="22"/>
          <w:szCs w:val="22"/>
        </w:rPr>
        <w:t xml:space="preserve"> (National Institute for Health and Care Excellence</w:t>
      </w:r>
      <w:r w:rsidRPr="003B06BE">
        <w:rPr>
          <w:rFonts w:ascii="Arial" w:hAnsi="Arial" w:cs="Arial"/>
          <w:sz w:val="22"/>
          <w:szCs w:val="22"/>
        </w:rPr>
        <w:t xml:space="preserve"> (</w:t>
      </w:r>
      <w:r w:rsidR="004D15D4" w:rsidRPr="003B06BE">
        <w:rPr>
          <w:rFonts w:ascii="Arial" w:hAnsi="Arial" w:cs="Arial"/>
          <w:sz w:val="22"/>
          <w:szCs w:val="22"/>
        </w:rPr>
        <w:t>2015</w:t>
      </w:r>
      <w:r w:rsidRPr="003B06BE">
        <w:rPr>
          <w:rFonts w:ascii="Arial" w:hAnsi="Arial" w:cs="Arial"/>
          <w:sz w:val="22"/>
          <w:szCs w:val="22"/>
        </w:rPr>
        <w:t xml:space="preserve">) </w:t>
      </w:r>
      <w:r w:rsidRPr="003B06BE">
        <w:rPr>
          <w:rFonts w:ascii="Arial" w:hAnsi="Arial" w:cs="Arial"/>
          <w:i/>
          <w:iCs/>
          <w:sz w:val="22"/>
          <w:szCs w:val="22"/>
        </w:rPr>
        <w:t>Type 2 Diabetes in Adults: Management</w:t>
      </w:r>
      <w:r w:rsidRPr="003B06BE">
        <w:rPr>
          <w:rFonts w:ascii="Arial" w:hAnsi="Arial" w:cs="Arial"/>
          <w:sz w:val="22"/>
          <w:szCs w:val="22"/>
        </w:rPr>
        <w:t xml:space="preserve"> (NG28). London: </w:t>
      </w:r>
      <w:r w:rsidR="00076619" w:rsidRPr="003B06BE">
        <w:rPr>
          <w:rFonts w:ascii="Arial" w:hAnsi="Arial" w:cs="Arial"/>
          <w:sz w:val="22"/>
          <w:szCs w:val="22"/>
        </w:rPr>
        <w:t xml:space="preserve">NICE. </w:t>
      </w:r>
      <w:r w:rsidR="004D15D4" w:rsidRPr="003B06BE">
        <w:rPr>
          <w:rFonts w:ascii="Arial" w:hAnsi="Arial" w:cs="Arial"/>
          <w:sz w:val="22"/>
          <w:szCs w:val="22"/>
        </w:rPr>
        <w:t xml:space="preserve">Last updated 29 June 2022. Available at: </w:t>
      </w:r>
      <w:hyperlink r:id="rId13" w:history="1">
        <w:r w:rsidR="00640D9E" w:rsidRPr="003B06BE">
          <w:rPr>
            <w:rStyle w:val="Hyperlink"/>
            <w:rFonts w:ascii="Arial" w:hAnsi="Arial" w:cs="Arial"/>
            <w:color w:val="auto"/>
            <w:sz w:val="22"/>
            <w:szCs w:val="22"/>
          </w:rPr>
          <w:t>https://www.nice.org.uk/guidance/ng28</w:t>
        </w:r>
      </w:hyperlink>
      <w:r w:rsidR="00640D9E" w:rsidRPr="003B06BE">
        <w:rPr>
          <w:rFonts w:ascii="Arial" w:hAnsi="Arial" w:cs="Arial"/>
          <w:sz w:val="22"/>
          <w:szCs w:val="22"/>
        </w:rPr>
        <w:t xml:space="preserve"> (Accessed 16 November 2025)</w:t>
      </w:r>
    </w:p>
    <w:p w14:paraId="250F2F95"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Nuffield Trust (2024) </w:t>
      </w:r>
      <w:r w:rsidRPr="003B06BE">
        <w:rPr>
          <w:rFonts w:ascii="Arial" w:hAnsi="Arial" w:cs="Arial"/>
          <w:i/>
          <w:iCs/>
          <w:sz w:val="22"/>
          <w:szCs w:val="22"/>
        </w:rPr>
        <w:t>The Economic and Social Impact of Diabetes in the UK</w:t>
      </w:r>
      <w:r w:rsidRPr="003B06BE">
        <w:rPr>
          <w:rFonts w:ascii="Arial" w:hAnsi="Arial" w:cs="Arial"/>
          <w:sz w:val="22"/>
          <w:szCs w:val="22"/>
        </w:rPr>
        <w:t>. London: Nuffield Trust.</w:t>
      </w:r>
    </w:p>
    <w:p w14:paraId="52A12C83"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Public Health England (2023) </w:t>
      </w:r>
      <w:r w:rsidRPr="003B06BE">
        <w:rPr>
          <w:rFonts w:ascii="Arial" w:hAnsi="Arial" w:cs="Arial"/>
          <w:i/>
          <w:iCs/>
          <w:sz w:val="22"/>
          <w:szCs w:val="22"/>
        </w:rPr>
        <w:t>Health Matters: Preventing Type 2 Diabetes</w:t>
      </w:r>
      <w:r w:rsidRPr="003B06BE">
        <w:rPr>
          <w:rFonts w:ascii="Arial" w:hAnsi="Arial" w:cs="Arial"/>
          <w:sz w:val="22"/>
          <w:szCs w:val="22"/>
        </w:rPr>
        <w:t>. London: PHE.</w:t>
      </w:r>
    </w:p>
    <w:p w14:paraId="54081257" w14:textId="66C62F0D" w:rsidR="00B64995" w:rsidRPr="003B06BE" w:rsidRDefault="006179C3" w:rsidP="003D348F">
      <w:pPr>
        <w:spacing w:line="360" w:lineRule="auto"/>
        <w:rPr>
          <w:rFonts w:ascii="Arial" w:hAnsi="Arial" w:cs="Arial"/>
          <w:sz w:val="22"/>
          <w:szCs w:val="22"/>
        </w:rPr>
      </w:pPr>
      <w:r w:rsidRPr="003B06BE">
        <w:rPr>
          <w:rFonts w:ascii="Arial" w:hAnsi="Arial" w:cs="Arial"/>
          <w:sz w:val="22"/>
          <w:szCs w:val="22"/>
        </w:rPr>
        <w:lastRenderedPageBreak/>
        <w:t>The Guardian (2024</w:t>
      </w:r>
      <w:r w:rsidRPr="003B06BE">
        <w:rPr>
          <w:rFonts w:ascii="Arial" w:hAnsi="Arial" w:cs="Arial"/>
          <w:i/>
          <w:iCs/>
          <w:sz w:val="22"/>
          <w:szCs w:val="22"/>
        </w:rPr>
        <w:t>) ‘Sharp rise in Type 2 diabetes among under-40s in the UK’</w:t>
      </w:r>
      <w:r w:rsidRPr="003B06BE">
        <w:rPr>
          <w:rFonts w:ascii="Arial" w:hAnsi="Arial" w:cs="Arial"/>
          <w:sz w:val="22"/>
          <w:szCs w:val="22"/>
        </w:rPr>
        <w:t>, 22 May.</w:t>
      </w:r>
      <w:r w:rsidR="000D764B" w:rsidRPr="003B06BE">
        <w:rPr>
          <w:rFonts w:ascii="Arial" w:hAnsi="Arial" w:cs="Arial"/>
          <w:sz w:val="22"/>
          <w:szCs w:val="22"/>
        </w:rPr>
        <w:t xml:space="preserve"> Available at:</w:t>
      </w:r>
      <w:r w:rsidR="00B64995" w:rsidRPr="003B06BE">
        <w:rPr>
          <w:rFonts w:ascii="Arial" w:hAnsi="Arial" w:cs="Arial"/>
          <w:sz w:val="22"/>
          <w:szCs w:val="22"/>
        </w:rPr>
        <w:t xml:space="preserve"> </w:t>
      </w:r>
      <w:hyperlink r:id="rId14" w:history="1">
        <w:r w:rsidR="002A675F" w:rsidRPr="003B06BE">
          <w:rPr>
            <w:rStyle w:val="Hyperlink"/>
            <w:rFonts w:ascii="Arial" w:hAnsi="Arial" w:cs="Arial"/>
            <w:color w:val="auto"/>
            <w:sz w:val="22"/>
            <w:szCs w:val="22"/>
          </w:rPr>
          <w:t>https://www.theguardian.com/society/article/2024/may/22/type-2-diabetes-uk-rise-obesity-health-inequalities-junk-food</w:t>
        </w:r>
      </w:hyperlink>
      <w:r w:rsidR="00B64995" w:rsidRPr="003B06BE">
        <w:rPr>
          <w:rFonts w:ascii="Arial" w:hAnsi="Arial" w:cs="Arial"/>
          <w:sz w:val="22"/>
          <w:szCs w:val="22"/>
        </w:rPr>
        <w:t xml:space="preserve"> </w:t>
      </w:r>
      <w:r w:rsidR="000D764B" w:rsidRPr="003B06BE">
        <w:rPr>
          <w:rFonts w:ascii="Arial" w:hAnsi="Arial" w:cs="Arial"/>
          <w:sz w:val="22"/>
          <w:szCs w:val="22"/>
        </w:rPr>
        <w:t>(Accessed</w:t>
      </w:r>
      <w:r w:rsidR="00F31898" w:rsidRPr="003B06BE">
        <w:rPr>
          <w:rFonts w:ascii="Arial" w:hAnsi="Arial" w:cs="Arial"/>
          <w:sz w:val="22"/>
          <w:szCs w:val="22"/>
        </w:rPr>
        <w:t>: 16 November 2025)</w:t>
      </w:r>
    </w:p>
    <w:p w14:paraId="7B58BB70"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UK Government (2025) </w:t>
      </w:r>
      <w:r w:rsidRPr="003B06BE">
        <w:rPr>
          <w:rFonts w:ascii="Arial" w:hAnsi="Arial" w:cs="Arial"/>
          <w:i/>
          <w:iCs/>
          <w:sz w:val="22"/>
          <w:szCs w:val="22"/>
        </w:rPr>
        <w:t>Diabetes Data Dashboard</w:t>
      </w:r>
      <w:r w:rsidRPr="003B06BE">
        <w:rPr>
          <w:rFonts w:ascii="Arial" w:hAnsi="Arial" w:cs="Arial"/>
          <w:sz w:val="22"/>
          <w:szCs w:val="22"/>
        </w:rPr>
        <w:t>. London: HMSO.</w:t>
      </w:r>
    </w:p>
    <w:p w14:paraId="161BB917"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UK Health Security Agency (2023) </w:t>
      </w:r>
      <w:r w:rsidRPr="003B06BE">
        <w:rPr>
          <w:rFonts w:ascii="Arial" w:hAnsi="Arial" w:cs="Arial"/>
          <w:i/>
          <w:iCs/>
          <w:sz w:val="22"/>
          <w:szCs w:val="22"/>
        </w:rPr>
        <w:t>Diabetes and Public Health Reports</w:t>
      </w:r>
      <w:r w:rsidRPr="003B06BE">
        <w:rPr>
          <w:rFonts w:ascii="Arial" w:hAnsi="Arial" w:cs="Arial"/>
          <w:sz w:val="22"/>
          <w:szCs w:val="22"/>
        </w:rPr>
        <w:t>. London: UKHSA.</w:t>
      </w:r>
    </w:p>
    <w:p w14:paraId="40987582"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UK Parliament (2024) </w:t>
      </w:r>
      <w:r w:rsidRPr="003B06BE">
        <w:rPr>
          <w:rFonts w:ascii="Arial" w:hAnsi="Arial" w:cs="Arial"/>
          <w:i/>
          <w:iCs/>
          <w:sz w:val="22"/>
          <w:szCs w:val="22"/>
        </w:rPr>
        <w:t>Policy Papers on Obesity and Diabetes Preventio</w:t>
      </w:r>
      <w:r w:rsidRPr="003B06BE">
        <w:rPr>
          <w:rFonts w:ascii="Arial" w:hAnsi="Arial" w:cs="Arial"/>
          <w:sz w:val="22"/>
          <w:szCs w:val="22"/>
        </w:rPr>
        <w:t>n. London: UK Parliament.</w:t>
      </w:r>
    </w:p>
    <w:p w14:paraId="33E0C103"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University of York (2024</w:t>
      </w:r>
      <w:r w:rsidRPr="003B06BE">
        <w:rPr>
          <w:rFonts w:ascii="Arial" w:hAnsi="Arial" w:cs="Arial"/>
          <w:i/>
          <w:iCs/>
          <w:sz w:val="22"/>
          <w:szCs w:val="22"/>
        </w:rPr>
        <w:t>) Cost of Diabetes to the UK Estimated at £14 Billion</w:t>
      </w:r>
      <w:r w:rsidRPr="003B06BE">
        <w:rPr>
          <w:rFonts w:ascii="Arial" w:hAnsi="Arial" w:cs="Arial"/>
          <w:sz w:val="22"/>
          <w:szCs w:val="22"/>
        </w:rPr>
        <w:t>. York: University of York.</w:t>
      </w:r>
    </w:p>
    <w:p w14:paraId="50596030"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World Health Organization (2024) Diabetes Fact Sheet. Geneva: WHO.</w:t>
      </w:r>
    </w:p>
    <w:p w14:paraId="0FCBF1F3" w14:textId="77777777" w:rsidR="006179C3" w:rsidRPr="003B06BE" w:rsidRDefault="006179C3" w:rsidP="003D348F">
      <w:pPr>
        <w:spacing w:line="360" w:lineRule="auto"/>
        <w:rPr>
          <w:rFonts w:ascii="Arial" w:hAnsi="Arial" w:cs="Arial"/>
          <w:sz w:val="22"/>
          <w:szCs w:val="22"/>
        </w:rPr>
      </w:pPr>
      <w:r w:rsidRPr="003B06BE">
        <w:rPr>
          <w:rFonts w:ascii="Arial" w:hAnsi="Arial" w:cs="Arial"/>
          <w:sz w:val="22"/>
          <w:szCs w:val="22"/>
        </w:rPr>
        <w:t xml:space="preserve">York Health Economics Consortium (2024) </w:t>
      </w:r>
      <w:r w:rsidRPr="003B06BE">
        <w:rPr>
          <w:rFonts w:ascii="Arial" w:hAnsi="Arial" w:cs="Arial"/>
          <w:i/>
          <w:iCs/>
          <w:sz w:val="22"/>
          <w:szCs w:val="22"/>
        </w:rPr>
        <w:t>Economic Evaluation of Diabetes Care in the NHS</w:t>
      </w:r>
      <w:r w:rsidRPr="003B06BE">
        <w:rPr>
          <w:rFonts w:ascii="Arial" w:hAnsi="Arial" w:cs="Arial"/>
          <w:sz w:val="22"/>
          <w:szCs w:val="22"/>
        </w:rPr>
        <w:t>. York: University of York.</w:t>
      </w:r>
    </w:p>
    <w:p w14:paraId="45EF3084" w14:textId="77777777" w:rsidR="007826A6" w:rsidRDefault="007826A6"/>
    <w:sectPr w:rsidR="007826A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EA1C3" w14:textId="77777777" w:rsidR="00C0375D" w:rsidRDefault="00C0375D" w:rsidP="009F4B05">
      <w:pPr>
        <w:spacing w:after="0" w:line="240" w:lineRule="auto"/>
      </w:pPr>
      <w:r>
        <w:separator/>
      </w:r>
    </w:p>
  </w:endnote>
  <w:endnote w:type="continuationSeparator" w:id="0">
    <w:p w14:paraId="64FA78B6" w14:textId="77777777" w:rsidR="00C0375D" w:rsidRDefault="00C0375D" w:rsidP="009F4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92AD9" w14:textId="77777777" w:rsidR="00C0375D" w:rsidRDefault="00C0375D" w:rsidP="009F4B05">
      <w:pPr>
        <w:spacing w:after="0" w:line="240" w:lineRule="auto"/>
      </w:pPr>
      <w:r>
        <w:separator/>
      </w:r>
    </w:p>
  </w:footnote>
  <w:footnote w:type="continuationSeparator" w:id="0">
    <w:p w14:paraId="63DBCAC7" w14:textId="77777777" w:rsidR="00C0375D" w:rsidRDefault="00C0375D" w:rsidP="009F4B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2094032"/>
      <w:docPartObj>
        <w:docPartGallery w:val="Page Numbers (Top of Page)"/>
        <w:docPartUnique/>
      </w:docPartObj>
    </w:sdtPr>
    <w:sdtContent>
      <w:p w14:paraId="7142482F" w14:textId="7F2E3CCB" w:rsidR="009F4B05" w:rsidRDefault="009F4B05">
        <w:pPr>
          <w:pStyle w:val="Header"/>
        </w:pPr>
        <w:r>
          <w:fldChar w:fldCharType="begin"/>
        </w:r>
        <w:r>
          <w:instrText>PAGE   \* MERGEFORMAT</w:instrText>
        </w:r>
        <w:r>
          <w:fldChar w:fldCharType="separate"/>
        </w:r>
        <w:r>
          <w:t>2</w:t>
        </w:r>
        <w:r>
          <w:fldChar w:fldCharType="end"/>
        </w:r>
      </w:p>
    </w:sdtContent>
  </w:sdt>
  <w:p w14:paraId="196D02BE" w14:textId="77777777" w:rsidR="009F4B05" w:rsidRDefault="009F4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656A98"/>
    <w:multiLevelType w:val="multilevel"/>
    <w:tmpl w:val="A9D601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82527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9C3"/>
    <w:rsid w:val="00001E85"/>
    <w:rsid w:val="00026662"/>
    <w:rsid w:val="0003701A"/>
    <w:rsid w:val="000403F5"/>
    <w:rsid w:val="00076619"/>
    <w:rsid w:val="000A4012"/>
    <w:rsid w:val="000B0965"/>
    <w:rsid w:val="000D764B"/>
    <w:rsid w:val="001377B0"/>
    <w:rsid w:val="00170F0C"/>
    <w:rsid w:val="00184F1B"/>
    <w:rsid w:val="001876AC"/>
    <w:rsid w:val="001C6BBC"/>
    <w:rsid w:val="001D32C1"/>
    <w:rsid w:val="001D624F"/>
    <w:rsid w:val="001E6D4B"/>
    <w:rsid w:val="001F4EFB"/>
    <w:rsid w:val="002020FF"/>
    <w:rsid w:val="00205C1A"/>
    <w:rsid w:val="00233B6E"/>
    <w:rsid w:val="00233F38"/>
    <w:rsid w:val="00240A6D"/>
    <w:rsid w:val="00256CA2"/>
    <w:rsid w:val="00261F47"/>
    <w:rsid w:val="00264C7D"/>
    <w:rsid w:val="002A675F"/>
    <w:rsid w:val="002B5527"/>
    <w:rsid w:val="002E056B"/>
    <w:rsid w:val="00333C9C"/>
    <w:rsid w:val="00352727"/>
    <w:rsid w:val="00355E2D"/>
    <w:rsid w:val="0037038D"/>
    <w:rsid w:val="003A091E"/>
    <w:rsid w:val="003B06BE"/>
    <w:rsid w:val="003D348F"/>
    <w:rsid w:val="003E6C16"/>
    <w:rsid w:val="003F09DF"/>
    <w:rsid w:val="00423311"/>
    <w:rsid w:val="004314AE"/>
    <w:rsid w:val="00432111"/>
    <w:rsid w:val="004832E4"/>
    <w:rsid w:val="004B10BA"/>
    <w:rsid w:val="004D15D4"/>
    <w:rsid w:val="005246AE"/>
    <w:rsid w:val="00564A00"/>
    <w:rsid w:val="0057523E"/>
    <w:rsid w:val="005A3A3B"/>
    <w:rsid w:val="005A6347"/>
    <w:rsid w:val="005C14A9"/>
    <w:rsid w:val="005C7CA0"/>
    <w:rsid w:val="00604079"/>
    <w:rsid w:val="00606B00"/>
    <w:rsid w:val="006179C3"/>
    <w:rsid w:val="00640D9E"/>
    <w:rsid w:val="006572F7"/>
    <w:rsid w:val="00676E7C"/>
    <w:rsid w:val="006B73E5"/>
    <w:rsid w:val="007160A0"/>
    <w:rsid w:val="00736AFB"/>
    <w:rsid w:val="0073754F"/>
    <w:rsid w:val="007826A6"/>
    <w:rsid w:val="00795E0C"/>
    <w:rsid w:val="007C2461"/>
    <w:rsid w:val="008157DA"/>
    <w:rsid w:val="00834E97"/>
    <w:rsid w:val="00861FAD"/>
    <w:rsid w:val="0086422A"/>
    <w:rsid w:val="008736B6"/>
    <w:rsid w:val="0087521D"/>
    <w:rsid w:val="008767F8"/>
    <w:rsid w:val="008A6BAE"/>
    <w:rsid w:val="008F0FE1"/>
    <w:rsid w:val="008F2B34"/>
    <w:rsid w:val="00943AB6"/>
    <w:rsid w:val="00944DD9"/>
    <w:rsid w:val="00957286"/>
    <w:rsid w:val="009642E2"/>
    <w:rsid w:val="009D5FAE"/>
    <w:rsid w:val="009F4B05"/>
    <w:rsid w:val="00A22C95"/>
    <w:rsid w:val="00A3203F"/>
    <w:rsid w:val="00A87919"/>
    <w:rsid w:val="00AA6D9A"/>
    <w:rsid w:val="00AB5013"/>
    <w:rsid w:val="00B03AF2"/>
    <w:rsid w:val="00B44536"/>
    <w:rsid w:val="00B54778"/>
    <w:rsid w:val="00B64995"/>
    <w:rsid w:val="00B659C7"/>
    <w:rsid w:val="00B74ABA"/>
    <w:rsid w:val="00B81603"/>
    <w:rsid w:val="00B94A16"/>
    <w:rsid w:val="00B9507A"/>
    <w:rsid w:val="00BA2287"/>
    <w:rsid w:val="00C0375D"/>
    <w:rsid w:val="00C514A4"/>
    <w:rsid w:val="00C731AF"/>
    <w:rsid w:val="00C75738"/>
    <w:rsid w:val="00C85F27"/>
    <w:rsid w:val="00CC076F"/>
    <w:rsid w:val="00CC086B"/>
    <w:rsid w:val="00CE446C"/>
    <w:rsid w:val="00D04F9E"/>
    <w:rsid w:val="00D14567"/>
    <w:rsid w:val="00D16D7F"/>
    <w:rsid w:val="00D32F9B"/>
    <w:rsid w:val="00D43A76"/>
    <w:rsid w:val="00D47FC1"/>
    <w:rsid w:val="00D963FE"/>
    <w:rsid w:val="00D97487"/>
    <w:rsid w:val="00DA3CB6"/>
    <w:rsid w:val="00E0416E"/>
    <w:rsid w:val="00E14DE8"/>
    <w:rsid w:val="00E315C6"/>
    <w:rsid w:val="00E37FC3"/>
    <w:rsid w:val="00E77FFA"/>
    <w:rsid w:val="00E80FC0"/>
    <w:rsid w:val="00EA1E72"/>
    <w:rsid w:val="00EB5CD8"/>
    <w:rsid w:val="00EB63D4"/>
    <w:rsid w:val="00EF53E1"/>
    <w:rsid w:val="00EF7044"/>
    <w:rsid w:val="00F31898"/>
    <w:rsid w:val="00F532AA"/>
    <w:rsid w:val="00F54551"/>
    <w:rsid w:val="00F5737B"/>
    <w:rsid w:val="00F80A70"/>
    <w:rsid w:val="00F96E50"/>
    <w:rsid w:val="00FB04C6"/>
    <w:rsid w:val="00FC1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8461FC"/>
  <w15:chartTrackingRefBased/>
  <w15:docId w15:val="{E3778C64-C789-40DF-9657-EE9D8878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9C3"/>
    <w:pPr>
      <w:spacing w:line="278" w:lineRule="auto"/>
    </w:pPr>
    <w:rPr>
      <w:sz w:val="24"/>
      <w:szCs w:val="24"/>
    </w:rPr>
  </w:style>
  <w:style w:type="paragraph" w:styleId="Heading1">
    <w:name w:val="heading 1"/>
    <w:basedOn w:val="Normal"/>
    <w:next w:val="Normal"/>
    <w:link w:val="Heading1Char"/>
    <w:uiPriority w:val="9"/>
    <w:qFormat/>
    <w:rsid w:val="006179C3"/>
    <w:pPr>
      <w:keepNext/>
      <w:keepLines/>
      <w:spacing w:before="360" w:after="80" w:line="259" w:lineRule="auto"/>
      <w:outlineLvl w:val="0"/>
    </w:pPr>
    <w:rPr>
      <w:rFonts w:asciiTheme="majorHAnsi" w:eastAsiaTheme="majorEastAsia" w:hAnsiTheme="majorHAnsi" w:cstheme="majorBidi"/>
      <w:color w:val="881631" w:themeColor="accent1" w:themeShade="BF"/>
      <w:sz w:val="40"/>
      <w:szCs w:val="40"/>
    </w:rPr>
  </w:style>
  <w:style w:type="paragraph" w:styleId="Heading2">
    <w:name w:val="heading 2"/>
    <w:basedOn w:val="Normal"/>
    <w:next w:val="Normal"/>
    <w:link w:val="Heading2Char"/>
    <w:uiPriority w:val="9"/>
    <w:semiHidden/>
    <w:unhideWhenUsed/>
    <w:qFormat/>
    <w:rsid w:val="006179C3"/>
    <w:pPr>
      <w:keepNext/>
      <w:keepLines/>
      <w:spacing w:before="160" w:after="80" w:line="259" w:lineRule="auto"/>
      <w:outlineLvl w:val="1"/>
    </w:pPr>
    <w:rPr>
      <w:rFonts w:asciiTheme="majorHAnsi" w:eastAsiaTheme="majorEastAsia" w:hAnsiTheme="majorHAnsi" w:cstheme="majorBidi"/>
      <w:color w:val="881631" w:themeColor="accent1" w:themeShade="BF"/>
      <w:sz w:val="32"/>
      <w:szCs w:val="32"/>
    </w:rPr>
  </w:style>
  <w:style w:type="paragraph" w:styleId="Heading3">
    <w:name w:val="heading 3"/>
    <w:basedOn w:val="Normal"/>
    <w:next w:val="Normal"/>
    <w:link w:val="Heading3Char"/>
    <w:uiPriority w:val="9"/>
    <w:semiHidden/>
    <w:unhideWhenUsed/>
    <w:qFormat/>
    <w:rsid w:val="006179C3"/>
    <w:pPr>
      <w:keepNext/>
      <w:keepLines/>
      <w:spacing w:before="160" w:after="80" w:line="259" w:lineRule="auto"/>
      <w:outlineLvl w:val="2"/>
    </w:pPr>
    <w:rPr>
      <w:rFonts w:eastAsiaTheme="majorEastAsia" w:cstheme="majorBidi"/>
      <w:color w:val="881631" w:themeColor="accent1" w:themeShade="BF"/>
      <w:sz w:val="28"/>
      <w:szCs w:val="28"/>
    </w:rPr>
  </w:style>
  <w:style w:type="paragraph" w:styleId="Heading4">
    <w:name w:val="heading 4"/>
    <w:basedOn w:val="Normal"/>
    <w:next w:val="Normal"/>
    <w:link w:val="Heading4Char"/>
    <w:uiPriority w:val="9"/>
    <w:semiHidden/>
    <w:unhideWhenUsed/>
    <w:qFormat/>
    <w:rsid w:val="006179C3"/>
    <w:pPr>
      <w:keepNext/>
      <w:keepLines/>
      <w:spacing w:before="80" w:after="40" w:line="259" w:lineRule="auto"/>
      <w:outlineLvl w:val="3"/>
    </w:pPr>
    <w:rPr>
      <w:rFonts w:eastAsiaTheme="majorEastAsia" w:cstheme="majorBidi"/>
      <w:i/>
      <w:iCs/>
      <w:color w:val="881631" w:themeColor="accent1" w:themeShade="BF"/>
      <w:sz w:val="22"/>
      <w:szCs w:val="22"/>
    </w:rPr>
  </w:style>
  <w:style w:type="paragraph" w:styleId="Heading5">
    <w:name w:val="heading 5"/>
    <w:basedOn w:val="Normal"/>
    <w:next w:val="Normal"/>
    <w:link w:val="Heading5Char"/>
    <w:uiPriority w:val="9"/>
    <w:semiHidden/>
    <w:unhideWhenUsed/>
    <w:qFormat/>
    <w:rsid w:val="006179C3"/>
    <w:pPr>
      <w:keepNext/>
      <w:keepLines/>
      <w:spacing w:before="80" w:after="40" w:line="259" w:lineRule="auto"/>
      <w:outlineLvl w:val="4"/>
    </w:pPr>
    <w:rPr>
      <w:rFonts w:eastAsiaTheme="majorEastAsia" w:cstheme="majorBidi"/>
      <w:color w:val="881631" w:themeColor="accent1" w:themeShade="BF"/>
      <w:sz w:val="22"/>
      <w:szCs w:val="22"/>
    </w:rPr>
  </w:style>
  <w:style w:type="paragraph" w:styleId="Heading6">
    <w:name w:val="heading 6"/>
    <w:basedOn w:val="Normal"/>
    <w:next w:val="Normal"/>
    <w:link w:val="Heading6Char"/>
    <w:uiPriority w:val="9"/>
    <w:semiHidden/>
    <w:unhideWhenUsed/>
    <w:qFormat/>
    <w:rsid w:val="006179C3"/>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6179C3"/>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6179C3"/>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6179C3"/>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9C3"/>
    <w:rPr>
      <w:rFonts w:asciiTheme="majorHAnsi" w:eastAsiaTheme="majorEastAsia" w:hAnsiTheme="majorHAnsi" w:cstheme="majorBidi"/>
      <w:color w:val="881631" w:themeColor="accent1" w:themeShade="BF"/>
      <w:sz w:val="40"/>
      <w:szCs w:val="40"/>
    </w:rPr>
  </w:style>
  <w:style w:type="character" w:customStyle="1" w:styleId="Heading2Char">
    <w:name w:val="Heading 2 Char"/>
    <w:basedOn w:val="DefaultParagraphFont"/>
    <w:link w:val="Heading2"/>
    <w:uiPriority w:val="9"/>
    <w:semiHidden/>
    <w:rsid w:val="006179C3"/>
    <w:rPr>
      <w:rFonts w:asciiTheme="majorHAnsi" w:eastAsiaTheme="majorEastAsia" w:hAnsiTheme="majorHAnsi" w:cstheme="majorBidi"/>
      <w:color w:val="881631" w:themeColor="accent1" w:themeShade="BF"/>
      <w:sz w:val="32"/>
      <w:szCs w:val="32"/>
    </w:rPr>
  </w:style>
  <w:style w:type="character" w:customStyle="1" w:styleId="Heading3Char">
    <w:name w:val="Heading 3 Char"/>
    <w:basedOn w:val="DefaultParagraphFont"/>
    <w:link w:val="Heading3"/>
    <w:uiPriority w:val="9"/>
    <w:semiHidden/>
    <w:rsid w:val="006179C3"/>
    <w:rPr>
      <w:rFonts w:eastAsiaTheme="majorEastAsia" w:cstheme="majorBidi"/>
      <w:color w:val="881631" w:themeColor="accent1" w:themeShade="BF"/>
      <w:sz w:val="28"/>
      <w:szCs w:val="28"/>
    </w:rPr>
  </w:style>
  <w:style w:type="character" w:customStyle="1" w:styleId="Heading4Char">
    <w:name w:val="Heading 4 Char"/>
    <w:basedOn w:val="DefaultParagraphFont"/>
    <w:link w:val="Heading4"/>
    <w:uiPriority w:val="9"/>
    <w:semiHidden/>
    <w:rsid w:val="006179C3"/>
    <w:rPr>
      <w:rFonts w:eastAsiaTheme="majorEastAsia" w:cstheme="majorBidi"/>
      <w:i/>
      <w:iCs/>
      <w:color w:val="881631" w:themeColor="accent1" w:themeShade="BF"/>
    </w:rPr>
  </w:style>
  <w:style w:type="character" w:customStyle="1" w:styleId="Heading5Char">
    <w:name w:val="Heading 5 Char"/>
    <w:basedOn w:val="DefaultParagraphFont"/>
    <w:link w:val="Heading5"/>
    <w:uiPriority w:val="9"/>
    <w:semiHidden/>
    <w:rsid w:val="006179C3"/>
    <w:rPr>
      <w:rFonts w:eastAsiaTheme="majorEastAsia" w:cstheme="majorBidi"/>
      <w:color w:val="881631" w:themeColor="accent1" w:themeShade="BF"/>
    </w:rPr>
  </w:style>
  <w:style w:type="character" w:customStyle="1" w:styleId="Heading6Char">
    <w:name w:val="Heading 6 Char"/>
    <w:basedOn w:val="DefaultParagraphFont"/>
    <w:link w:val="Heading6"/>
    <w:uiPriority w:val="9"/>
    <w:semiHidden/>
    <w:rsid w:val="00617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9C3"/>
    <w:rPr>
      <w:rFonts w:eastAsiaTheme="majorEastAsia" w:cstheme="majorBidi"/>
      <w:color w:val="272727" w:themeColor="text1" w:themeTint="D8"/>
    </w:rPr>
  </w:style>
  <w:style w:type="paragraph" w:styleId="Title">
    <w:name w:val="Title"/>
    <w:basedOn w:val="Normal"/>
    <w:next w:val="Normal"/>
    <w:link w:val="TitleChar"/>
    <w:uiPriority w:val="10"/>
    <w:qFormat/>
    <w:rsid w:val="00617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9C3"/>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9C3"/>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6179C3"/>
    <w:rPr>
      <w:i/>
      <w:iCs/>
      <w:color w:val="404040" w:themeColor="text1" w:themeTint="BF"/>
    </w:rPr>
  </w:style>
  <w:style w:type="paragraph" w:styleId="ListParagraph">
    <w:name w:val="List Paragraph"/>
    <w:basedOn w:val="Normal"/>
    <w:uiPriority w:val="34"/>
    <w:qFormat/>
    <w:rsid w:val="006179C3"/>
    <w:pPr>
      <w:spacing w:line="259" w:lineRule="auto"/>
      <w:ind w:left="720"/>
      <w:contextualSpacing/>
    </w:pPr>
    <w:rPr>
      <w:sz w:val="22"/>
      <w:szCs w:val="22"/>
    </w:rPr>
  </w:style>
  <w:style w:type="character" w:styleId="IntenseEmphasis">
    <w:name w:val="Intense Emphasis"/>
    <w:basedOn w:val="DefaultParagraphFont"/>
    <w:uiPriority w:val="21"/>
    <w:qFormat/>
    <w:rsid w:val="006179C3"/>
    <w:rPr>
      <w:i/>
      <w:iCs/>
      <w:color w:val="881631" w:themeColor="accent1" w:themeShade="BF"/>
    </w:rPr>
  </w:style>
  <w:style w:type="paragraph" w:styleId="IntenseQuote">
    <w:name w:val="Intense Quote"/>
    <w:basedOn w:val="Normal"/>
    <w:next w:val="Normal"/>
    <w:link w:val="IntenseQuoteChar"/>
    <w:uiPriority w:val="30"/>
    <w:qFormat/>
    <w:rsid w:val="006179C3"/>
    <w:pPr>
      <w:pBdr>
        <w:top w:val="single" w:sz="4" w:space="10" w:color="881631" w:themeColor="accent1" w:themeShade="BF"/>
        <w:bottom w:val="single" w:sz="4" w:space="10" w:color="881631" w:themeColor="accent1" w:themeShade="BF"/>
      </w:pBdr>
      <w:spacing w:before="360" w:after="360" w:line="259" w:lineRule="auto"/>
      <w:ind w:left="864" w:right="864"/>
      <w:jc w:val="center"/>
    </w:pPr>
    <w:rPr>
      <w:i/>
      <w:iCs/>
      <w:color w:val="881631" w:themeColor="accent1" w:themeShade="BF"/>
      <w:sz w:val="22"/>
      <w:szCs w:val="22"/>
    </w:rPr>
  </w:style>
  <w:style w:type="character" w:customStyle="1" w:styleId="IntenseQuoteChar">
    <w:name w:val="Intense Quote Char"/>
    <w:basedOn w:val="DefaultParagraphFont"/>
    <w:link w:val="IntenseQuote"/>
    <w:uiPriority w:val="30"/>
    <w:rsid w:val="006179C3"/>
    <w:rPr>
      <w:i/>
      <w:iCs/>
      <w:color w:val="881631" w:themeColor="accent1" w:themeShade="BF"/>
    </w:rPr>
  </w:style>
  <w:style w:type="character" w:styleId="IntenseReference">
    <w:name w:val="Intense Reference"/>
    <w:basedOn w:val="DefaultParagraphFont"/>
    <w:uiPriority w:val="32"/>
    <w:qFormat/>
    <w:rsid w:val="006179C3"/>
    <w:rPr>
      <w:b/>
      <w:bCs/>
      <w:smallCaps/>
      <w:color w:val="881631" w:themeColor="accent1" w:themeShade="BF"/>
      <w:spacing w:val="5"/>
    </w:rPr>
  </w:style>
  <w:style w:type="paragraph" w:styleId="Header">
    <w:name w:val="header"/>
    <w:basedOn w:val="Normal"/>
    <w:link w:val="HeaderChar"/>
    <w:uiPriority w:val="99"/>
    <w:unhideWhenUsed/>
    <w:rsid w:val="009F4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B05"/>
    <w:rPr>
      <w:sz w:val="24"/>
      <w:szCs w:val="24"/>
    </w:rPr>
  </w:style>
  <w:style w:type="paragraph" w:styleId="Footer">
    <w:name w:val="footer"/>
    <w:basedOn w:val="Normal"/>
    <w:link w:val="FooterChar"/>
    <w:uiPriority w:val="99"/>
    <w:unhideWhenUsed/>
    <w:rsid w:val="009F4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B05"/>
    <w:rPr>
      <w:sz w:val="24"/>
      <w:szCs w:val="24"/>
    </w:rPr>
  </w:style>
  <w:style w:type="character" w:styleId="Hyperlink">
    <w:name w:val="Hyperlink"/>
    <w:basedOn w:val="DefaultParagraphFont"/>
    <w:uiPriority w:val="99"/>
    <w:unhideWhenUsed/>
    <w:rsid w:val="00D97487"/>
    <w:rPr>
      <w:color w:val="FA2B5C" w:themeColor="hyperlink"/>
      <w:u w:val="single"/>
    </w:rPr>
  </w:style>
  <w:style w:type="character" w:styleId="UnresolvedMention">
    <w:name w:val="Unresolved Mention"/>
    <w:basedOn w:val="DefaultParagraphFont"/>
    <w:uiPriority w:val="99"/>
    <w:semiHidden/>
    <w:unhideWhenUsed/>
    <w:rsid w:val="00D97487"/>
    <w:rPr>
      <w:color w:val="605E5C"/>
      <w:shd w:val="clear" w:color="auto" w:fill="E1DFDD"/>
    </w:rPr>
  </w:style>
  <w:style w:type="character" w:styleId="FollowedHyperlink">
    <w:name w:val="FollowedHyperlink"/>
    <w:basedOn w:val="DefaultParagraphFont"/>
    <w:uiPriority w:val="99"/>
    <w:semiHidden/>
    <w:unhideWhenUsed/>
    <w:rsid w:val="00B659C7"/>
    <w:rPr>
      <w:color w:val="BC658E" w:themeColor="followedHyperlink"/>
      <w:u w:val="single"/>
    </w:rPr>
  </w:style>
  <w:style w:type="paragraph" w:styleId="TOCHeading">
    <w:name w:val="TOC Heading"/>
    <w:basedOn w:val="Heading1"/>
    <w:next w:val="Normal"/>
    <w:uiPriority w:val="39"/>
    <w:unhideWhenUsed/>
    <w:qFormat/>
    <w:rsid w:val="00F5737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C1DF7"/>
    <w:pPr>
      <w:tabs>
        <w:tab w:val="right" w:leader="dot" w:pos="9016"/>
      </w:tabs>
      <w:spacing w:after="10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ice.org.uk/guidance/ng2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bsa.nhs.uk/statistical-collections/prescribing-diabetes-england/prescribing-diabetes-england-201516-20222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jm.org/doi/full/10.1056/NEJMoa080647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gov.uk/government/statistics/diabetes-profile-update-march-2025/diabetes-profile-statistical-commentary-march-2025" TargetMode="External"/><Relationship Id="rId4" Type="http://schemas.openxmlformats.org/officeDocument/2006/relationships/settings" Target="settings.xml"/><Relationship Id="rId9" Type="http://schemas.openxmlformats.org/officeDocument/2006/relationships/hyperlink" Target="https://www.diabetes.org.uk/about-diabetes/looking-after-diabetes/complications/nerves-neuropathy?gad_campaignid=15219795769&amp;gad_source=1" TargetMode="External"/><Relationship Id="rId14" Type="http://schemas.openxmlformats.org/officeDocument/2006/relationships/hyperlink" Target="https://www.theguardian.com/society/article/2024/may/22/type-2-diabetes-uk-rise-obesity-health-inequalities-junk-food" TargetMode="Externa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272C3-DC06-4999-83A3-650F371A8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1674</Words>
  <Characters>10672</Characters>
  <Application>Microsoft Office Word</Application>
  <DocSecurity>0</DocSecurity>
  <Lines>243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ataf r</dc:creator>
  <cp:keywords/>
  <dc:description/>
  <cp:lastModifiedBy>ataf r</cp:lastModifiedBy>
  <cp:revision>2</cp:revision>
  <dcterms:created xsi:type="dcterms:W3CDTF">2025-11-18T00:42:00Z</dcterms:created>
  <dcterms:modified xsi:type="dcterms:W3CDTF">2025-11-18T00:42:00Z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440bd56d-6245-4535-9925-dbad487f765b</vt:lpwstr>
  </property>
</Properties>
</file>