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FFEE1" w14:textId="6A519D47" w:rsidR="006F3759" w:rsidRDefault="00BA6C3A" w:rsidP="00BA6C3A">
      <w:pPr>
        <w:jc w:val="center"/>
      </w:pPr>
      <w:r>
        <w:rPr>
          <w:noProof/>
        </w:rPr>
        <w:drawing>
          <wp:inline distT="0" distB="0" distL="0" distR="0" wp14:anchorId="580BA9B3" wp14:editId="527A0A00">
            <wp:extent cx="1965960" cy="786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65960" cy="786384"/>
                    </a:xfrm>
                    <a:prstGeom prst="rect">
                      <a:avLst/>
                    </a:prstGeom>
                  </pic:spPr>
                </pic:pic>
              </a:graphicData>
            </a:graphic>
          </wp:inline>
        </w:drawing>
      </w:r>
    </w:p>
    <w:p w14:paraId="6A01E117" w14:textId="77777777" w:rsidR="006F3759" w:rsidRDefault="00000000">
      <w:pPr>
        <w:jc w:val="center"/>
      </w:pPr>
      <w:r>
        <w:rPr>
          <w:b/>
        </w:rPr>
        <w:t>MASTER OF BUSINESS ADMINISTRATION</w:t>
      </w:r>
    </w:p>
    <w:p w14:paraId="65252A03" w14:textId="77777777" w:rsidR="006F3759" w:rsidRDefault="00000000">
      <w:pPr>
        <w:jc w:val="center"/>
      </w:pPr>
      <w:r>
        <w:rPr>
          <w:b/>
        </w:rPr>
        <w:t>Human Capital Management (LCMB7023)</w:t>
      </w:r>
    </w:p>
    <w:p w14:paraId="1A79DB3F" w14:textId="77777777" w:rsidR="006F3759" w:rsidRDefault="006F3759"/>
    <w:p w14:paraId="4FDCB263" w14:textId="77777777" w:rsidR="006F3759" w:rsidRDefault="00000000">
      <w:pPr>
        <w:jc w:val="center"/>
      </w:pPr>
      <w:r>
        <w:rPr>
          <w:b/>
        </w:rPr>
        <w:t>ASSESSMENT COMPONENT 1 – INDIVIDUAL REPORT</w:t>
      </w:r>
    </w:p>
    <w:p w14:paraId="0458A952" w14:textId="27E0812B" w:rsidR="006F3759" w:rsidRPr="0036086B" w:rsidRDefault="0036086B">
      <w:pPr>
        <w:jc w:val="center"/>
        <w:rPr>
          <w:b/>
          <w:bCs/>
          <w:sz w:val="32"/>
          <w:szCs w:val="28"/>
        </w:rPr>
      </w:pPr>
      <w:r w:rsidRPr="0036086B">
        <w:rPr>
          <w:b/>
          <w:bCs/>
          <w:sz w:val="32"/>
          <w:szCs w:val="28"/>
        </w:rPr>
        <w:t>ASSIGNMENT TOPIC: INNOVATING NEW WORKING PRACTICES AND BREEDING AN ENVIRONMENT WHERE TALENT MAY GROW</w:t>
      </w:r>
    </w:p>
    <w:p w14:paraId="586451C8" w14:textId="77777777" w:rsidR="006F3759" w:rsidRDefault="006F3759"/>
    <w:p w14:paraId="1BA238D4" w14:textId="77777777" w:rsidR="006F3759" w:rsidRDefault="006F3759"/>
    <w:tbl>
      <w:tblPr>
        <w:tblW w:w="0" w:type="auto"/>
        <w:jc w:val="center"/>
        <w:tblLook w:val="04A0" w:firstRow="1" w:lastRow="0" w:firstColumn="1" w:lastColumn="0" w:noHBand="0" w:noVBand="1"/>
      </w:tblPr>
      <w:tblGrid>
        <w:gridCol w:w="4526"/>
        <w:gridCol w:w="4716"/>
      </w:tblGrid>
      <w:tr w:rsidR="006F3759" w14:paraId="4618CF09" w14:textId="77777777">
        <w:trPr>
          <w:jc w:val="center"/>
        </w:trPr>
        <w:tc>
          <w:tcPr>
            <w:tcW w:w="4824" w:type="dxa"/>
            <w:vAlign w:val="center"/>
          </w:tcPr>
          <w:p w14:paraId="396AE852" w14:textId="77777777" w:rsidR="006F3759" w:rsidRDefault="00000000">
            <w:r>
              <w:rPr>
                <w:b/>
              </w:rPr>
              <w:t>Student Name</w:t>
            </w:r>
          </w:p>
        </w:tc>
        <w:tc>
          <w:tcPr>
            <w:tcW w:w="4824" w:type="dxa"/>
            <w:vAlign w:val="center"/>
          </w:tcPr>
          <w:p w14:paraId="555F5A52" w14:textId="77777777" w:rsidR="006F3759" w:rsidRDefault="00000000">
            <w:r>
              <w:t>____________________________</w:t>
            </w:r>
          </w:p>
        </w:tc>
      </w:tr>
      <w:tr w:rsidR="006F3759" w14:paraId="19069DE7" w14:textId="77777777">
        <w:trPr>
          <w:jc w:val="center"/>
        </w:trPr>
        <w:tc>
          <w:tcPr>
            <w:tcW w:w="4824" w:type="dxa"/>
            <w:vAlign w:val="center"/>
          </w:tcPr>
          <w:p w14:paraId="40CB5E8B" w14:textId="77777777" w:rsidR="006F3759" w:rsidRDefault="00000000">
            <w:r>
              <w:rPr>
                <w:b/>
              </w:rPr>
              <w:t>Student ID</w:t>
            </w:r>
          </w:p>
        </w:tc>
        <w:tc>
          <w:tcPr>
            <w:tcW w:w="4824" w:type="dxa"/>
            <w:vAlign w:val="center"/>
          </w:tcPr>
          <w:p w14:paraId="54F6BEE8" w14:textId="77777777" w:rsidR="006F3759" w:rsidRDefault="00000000">
            <w:r>
              <w:t>____________________________</w:t>
            </w:r>
          </w:p>
        </w:tc>
      </w:tr>
      <w:tr w:rsidR="006F3759" w14:paraId="2B55A761" w14:textId="77777777">
        <w:trPr>
          <w:jc w:val="center"/>
        </w:trPr>
        <w:tc>
          <w:tcPr>
            <w:tcW w:w="4824" w:type="dxa"/>
            <w:vAlign w:val="center"/>
          </w:tcPr>
          <w:p w14:paraId="2DE475AB" w14:textId="77777777" w:rsidR="006F3759" w:rsidRDefault="00000000">
            <w:r>
              <w:rPr>
                <w:b/>
              </w:rPr>
              <w:t>Lecturer</w:t>
            </w:r>
          </w:p>
        </w:tc>
        <w:tc>
          <w:tcPr>
            <w:tcW w:w="4824" w:type="dxa"/>
            <w:vAlign w:val="center"/>
          </w:tcPr>
          <w:p w14:paraId="3082F74A" w14:textId="77777777" w:rsidR="006F3759" w:rsidRDefault="00000000">
            <w:r>
              <w:t>Gladius Kulothungan / Eno Maycock</w:t>
            </w:r>
          </w:p>
        </w:tc>
      </w:tr>
      <w:tr w:rsidR="006F3759" w14:paraId="1332F275" w14:textId="77777777">
        <w:trPr>
          <w:jc w:val="center"/>
        </w:trPr>
        <w:tc>
          <w:tcPr>
            <w:tcW w:w="4824" w:type="dxa"/>
            <w:vAlign w:val="center"/>
          </w:tcPr>
          <w:p w14:paraId="1002F162" w14:textId="77777777" w:rsidR="006F3759" w:rsidRDefault="00000000">
            <w:r>
              <w:rPr>
                <w:b/>
              </w:rPr>
              <w:t>Submission Date</w:t>
            </w:r>
          </w:p>
        </w:tc>
        <w:tc>
          <w:tcPr>
            <w:tcW w:w="4824" w:type="dxa"/>
            <w:vAlign w:val="center"/>
          </w:tcPr>
          <w:p w14:paraId="5BF2F878" w14:textId="77777777" w:rsidR="006F3759" w:rsidRDefault="00000000">
            <w:r>
              <w:t>15 October 2026</w:t>
            </w:r>
          </w:p>
        </w:tc>
      </w:tr>
      <w:tr w:rsidR="006F3759" w14:paraId="4320945B" w14:textId="77777777">
        <w:trPr>
          <w:jc w:val="center"/>
        </w:trPr>
        <w:tc>
          <w:tcPr>
            <w:tcW w:w="4824" w:type="dxa"/>
            <w:vAlign w:val="center"/>
          </w:tcPr>
          <w:p w14:paraId="248C2455" w14:textId="69B7D2CE" w:rsidR="006F3759" w:rsidRDefault="00000000">
            <w:r>
              <w:rPr>
                <w:b/>
              </w:rPr>
              <w:t>Word Count</w:t>
            </w:r>
          </w:p>
        </w:tc>
        <w:tc>
          <w:tcPr>
            <w:tcW w:w="4824" w:type="dxa"/>
            <w:vAlign w:val="center"/>
          </w:tcPr>
          <w:p w14:paraId="2F5AA2B4" w14:textId="1E19D85F" w:rsidR="006F3759" w:rsidRDefault="00BD1C7F">
            <w:r>
              <w:t>2500</w:t>
            </w:r>
          </w:p>
        </w:tc>
      </w:tr>
    </w:tbl>
    <w:p w14:paraId="53E82D0A" w14:textId="77777777" w:rsidR="006F3759" w:rsidRDefault="006F3759"/>
    <w:p w14:paraId="47FD2A5C" w14:textId="77777777" w:rsidR="006F3759" w:rsidRDefault="00000000">
      <w:r>
        <w:br w:type="page"/>
      </w:r>
    </w:p>
    <w:sdt>
      <w:sdtPr>
        <w:id w:val="-1875763822"/>
        <w:docPartObj>
          <w:docPartGallery w:val="Table of Contents"/>
          <w:docPartUnique/>
        </w:docPartObj>
      </w:sdtPr>
      <w:sdtEndPr>
        <w:rPr>
          <w:noProof/>
          <w:lang w:val="en-US"/>
        </w:rPr>
      </w:sdtEndPr>
      <w:sdtContent>
        <w:p w14:paraId="7A5304E8" w14:textId="0F9AFE45" w:rsidR="000C3CC9" w:rsidRDefault="000C3CC9" w:rsidP="000C3CC9">
          <w:pPr>
            <w:pStyle w:val="TOCHeading"/>
            <w:jc w:val="center"/>
          </w:pPr>
          <w:r>
            <w:t>Table of Contents</w:t>
          </w:r>
        </w:p>
        <w:p w14:paraId="006D7230" w14:textId="35598234" w:rsidR="000C3CC9" w:rsidRDefault="000C3CC9">
          <w:pPr>
            <w:pStyle w:val="TOC1"/>
            <w:tabs>
              <w:tab w:val="right" w:leader="dot" w:pos="9016"/>
            </w:tabs>
            <w:rPr>
              <w:noProof/>
            </w:rPr>
          </w:pPr>
          <w:r>
            <w:fldChar w:fldCharType="begin"/>
          </w:r>
          <w:r>
            <w:instrText xml:space="preserve"> TOC \o "1-3" \h \z \u </w:instrText>
          </w:r>
          <w:r>
            <w:fldChar w:fldCharType="separate"/>
          </w:r>
          <w:hyperlink w:anchor="_Toc242785440" w:history="1">
            <w:r w:rsidRPr="00CD6688">
              <w:rPr>
                <w:rStyle w:val="Hyperlink"/>
                <w:noProof/>
              </w:rPr>
              <w:t>1. Task A: Designing Innovative Working Practices</w:t>
            </w:r>
            <w:r>
              <w:rPr>
                <w:noProof/>
                <w:webHidden/>
              </w:rPr>
              <w:tab/>
            </w:r>
            <w:r>
              <w:rPr>
                <w:noProof/>
                <w:webHidden/>
              </w:rPr>
              <w:fldChar w:fldCharType="begin"/>
            </w:r>
            <w:r>
              <w:rPr>
                <w:noProof/>
                <w:webHidden/>
              </w:rPr>
              <w:instrText xml:space="preserve"> PAGEREF _Toc242785440 \h </w:instrText>
            </w:r>
            <w:r>
              <w:rPr>
                <w:noProof/>
                <w:webHidden/>
              </w:rPr>
            </w:r>
            <w:r>
              <w:rPr>
                <w:noProof/>
                <w:webHidden/>
              </w:rPr>
              <w:fldChar w:fldCharType="separate"/>
            </w:r>
            <w:r>
              <w:rPr>
                <w:noProof/>
                <w:webHidden/>
              </w:rPr>
              <w:t>2</w:t>
            </w:r>
            <w:r>
              <w:rPr>
                <w:noProof/>
                <w:webHidden/>
              </w:rPr>
              <w:fldChar w:fldCharType="end"/>
            </w:r>
          </w:hyperlink>
        </w:p>
        <w:p w14:paraId="01C2440E" w14:textId="74DA84CA" w:rsidR="000C3CC9" w:rsidRDefault="000C3CC9">
          <w:pPr>
            <w:pStyle w:val="TOC2"/>
            <w:tabs>
              <w:tab w:val="right" w:leader="dot" w:pos="9016"/>
            </w:tabs>
            <w:rPr>
              <w:noProof/>
            </w:rPr>
          </w:pPr>
          <w:hyperlink w:anchor="_Toc242785441" w:history="1">
            <w:r w:rsidRPr="00CD6688">
              <w:rPr>
                <w:rStyle w:val="Hyperlink"/>
                <w:noProof/>
              </w:rPr>
              <w:t>1.1 Critical evaluation of traditional and contemporary work design</w:t>
            </w:r>
            <w:r>
              <w:rPr>
                <w:noProof/>
                <w:webHidden/>
              </w:rPr>
              <w:tab/>
            </w:r>
            <w:r>
              <w:rPr>
                <w:noProof/>
                <w:webHidden/>
              </w:rPr>
              <w:fldChar w:fldCharType="begin"/>
            </w:r>
            <w:r>
              <w:rPr>
                <w:noProof/>
                <w:webHidden/>
              </w:rPr>
              <w:instrText xml:space="preserve"> PAGEREF _Toc242785441 \h </w:instrText>
            </w:r>
            <w:r>
              <w:rPr>
                <w:noProof/>
                <w:webHidden/>
              </w:rPr>
            </w:r>
            <w:r>
              <w:rPr>
                <w:noProof/>
                <w:webHidden/>
              </w:rPr>
              <w:fldChar w:fldCharType="separate"/>
            </w:r>
            <w:r>
              <w:rPr>
                <w:noProof/>
                <w:webHidden/>
              </w:rPr>
              <w:t>2</w:t>
            </w:r>
            <w:r>
              <w:rPr>
                <w:noProof/>
                <w:webHidden/>
              </w:rPr>
              <w:fldChar w:fldCharType="end"/>
            </w:r>
          </w:hyperlink>
        </w:p>
        <w:p w14:paraId="14B96B70" w14:textId="7275BFF6" w:rsidR="000C3CC9" w:rsidRDefault="000C3CC9">
          <w:pPr>
            <w:pStyle w:val="TOC2"/>
            <w:tabs>
              <w:tab w:val="right" w:leader="dot" w:pos="9016"/>
            </w:tabs>
            <w:rPr>
              <w:noProof/>
            </w:rPr>
          </w:pPr>
          <w:hyperlink w:anchor="_Toc242785442" w:history="1">
            <w:r w:rsidRPr="00CD6688">
              <w:rPr>
                <w:rStyle w:val="Hyperlink"/>
                <w:noProof/>
              </w:rPr>
              <w:t>1.2 Recommended integrated working framework for NHSX</w:t>
            </w:r>
            <w:r>
              <w:rPr>
                <w:noProof/>
                <w:webHidden/>
              </w:rPr>
              <w:tab/>
            </w:r>
            <w:r>
              <w:rPr>
                <w:noProof/>
                <w:webHidden/>
              </w:rPr>
              <w:fldChar w:fldCharType="begin"/>
            </w:r>
            <w:r>
              <w:rPr>
                <w:noProof/>
                <w:webHidden/>
              </w:rPr>
              <w:instrText xml:space="preserve"> PAGEREF _Toc242785442 \h </w:instrText>
            </w:r>
            <w:r>
              <w:rPr>
                <w:noProof/>
                <w:webHidden/>
              </w:rPr>
            </w:r>
            <w:r>
              <w:rPr>
                <w:noProof/>
                <w:webHidden/>
              </w:rPr>
              <w:fldChar w:fldCharType="separate"/>
            </w:r>
            <w:r>
              <w:rPr>
                <w:noProof/>
                <w:webHidden/>
              </w:rPr>
              <w:t>3</w:t>
            </w:r>
            <w:r>
              <w:rPr>
                <w:noProof/>
                <w:webHidden/>
              </w:rPr>
              <w:fldChar w:fldCharType="end"/>
            </w:r>
          </w:hyperlink>
        </w:p>
        <w:p w14:paraId="285B55F5" w14:textId="2F6FFF34" w:rsidR="000C3CC9" w:rsidRDefault="000C3CC9">
          <w:pPr>
            <w:pStyle w:val="TOC1"/>
            <w:tabs>
              <w:tab w:val="right" w:leader="dot" w:pos="9016"/>
            </w:tabs>
            <w:rPr>
              <w:noProof/>
            </w:rPr>
          </w:pPr>
          <w:hyperlink w:anchor="_Toc242785443" w:history="1">
            <w:r w:rsidRPr="00CD6688">
              <w:rPr>
                <w:rStyle w:val="Hyperlink"/>
                <w:noProof/>
              </w:rPr>
              <w:t>2. Task B: Breeding an Environment Where Talent May Grow</w:t>
            </w:r>
            <w:r>
              <w:rPr>
                <w:noProof/>
                <w:webHidden/>
              </w:rPr>
              <w:tab/>
            </w:r>
            <w:r>
              <w:rPr>
                <w:noProof/>
                <w:webHidden/>
              </w:rPr>
              <w:fldChar w:fldCharType="begin"/>
            </w:r>
            <w:r>
              <w:rPr>
                <w:noProof/>
                <w:webHidden/>
              </w:rPr>
              <w:instrText xml:space="preserve"> PAGEREF _Toc242785443 \h </w:instrText>
            </w:r>
            <w:r>
              <w:rPr>
                <w:noProof/>
                <w:webHidden/>
              </w:rPr>
            </w:r>
            <w:r>
              <w:rPr>
                <w:noProof/>
                <w:webHidden/>
              </w:rPr>
              <w:fldChar w:fldCharType="separate"/>
            </w:r>
            <w:r>
              <w:rPr>
                <w:noProof/>
                <w:webHidden/>
              </w:rPr>
              <w:t>5</w:t>
            </w:r>
            <w:r>
              <w:rPr>
                <w:noProof/>
                <w:webHidden/>
              </w:rPr>
              <w:fldChar w:fldCharType="end"/>
            </w:r>
          </w:hyperlink>
        </w:p>
        <w:p w14:paraId="52FD4DEA" w14:textId="2E38E4E1" w:rsidR="000C3CC9" w:rsidRDefault="000C3CC9">
          <w:pPr>
            <w:pStyle w:val="TOC2"/>
            <w:tabs>
              <w:tab w:val="right" w:leader="dot" w:pos="9016"/>
            </w:tabs>
            <w:rPr>
              <w:noProof/>
            </w:rPr>
          </w:pPr>
          <w:hyperlink w:anchor="_Toc242785444" w:history="1">
            <w:r w:rsidRPr="00CD6688">
              <w:rPr>
                <w:rStyle w:val="Hyperlink"/>
                <w:noProof/>
              </w:rPr>
              <w:t>2.1 Critical evaluation of how organisations create environments where talent flourishes</w:t>
            </w:r>
            <w:r>
              <w:rPr>
                <w:noProof/>
                <w:webHidden/>
              </w:rPr>
              <w:tab/>
            </w:r>
            <w:r>
              <w:rPr>
                <w:noProof/>
                <w:webHidden/>
              </w:rPr>
              <w:fldChar w:fldCharType="begin"/>
            </w:r>
            <w:r>
              <w:rPr>
                <w:noProof/>
                <w:webHidden/>
              </w:rPr>
              <w:instrText xml:space="preserve"> PAGEREF _Toc242785444 \h </w:instrText>
            </w:r>
            <w:r>
              <w:rPr>
                <w:noProof/>
                <w:webHidden/>
              </w:rPr>
            </w:r>
            <w:r>
              <w:rPr>
                <w:noProof/>
                <w:webHidden/>
              </w:rPr>
              <w:fldChar w:fldCharType="separate"/>
            </w:r>
            <w:r>
              <w:rPr>
                <w:noProof/>
                <w:webHidden/>
              </w:rPr>
              <w:t>5</w:t>
            </w:r>
            <w:r>
              <w:rPr>
                <w:noProof/>
                <w:webHidden/>
              </w:rPr>
              <w:fldChar w:fldCharType="end"/>
            </w:r>
          </w:hyperlink>
        </w:p>
        <w:p w14:paraId="5AA2EB27" w14:textId="48739464" w:rsidR="000C3CC9" w:rsidRDefault="000C3CC9">
          <w:pPr>
            <w:pStyle w:val="TOC2"/>
            <w:tabs>
              <w:tab w:val="right" w:leader="dot" w:pos="9016"/>
            </w:tabs>
            <w:rPr>
              <w:noProof/>
            </w:rPr>
          </w:pPr>
          <w:hyperlink w:anchor="_Toc242785445" w:history="1">
            <w:r w:rsidRPr="00CD6688">
              <w:rPr>
                <w:rStyle w:val="Hyperlink"/>
                <w:noProof/>
              </w:rPr>
              <w:t>2.2 Strategic talent growth strategy for NHSX</w:t>
            </w:r>
            <w:r>
              <w:rPr>
                <w:noProof/>
                <w:webHidden/>
              </w:rPr>
              <w:tab/>
            </w:r>
            <w:r>
              <w:rPr>
                <w:noProof/>
                <w:webHidden/>
              </w:rPr>
              <w:fldChar w:fldCharType="begin"/>
            </w:r>
            <w:r>
              <w:rPr>
                <w:noProof/>
                <w:webHidden/>
              </w:rPr>
              <w:instrText xml:space="preserve"> PAGEREF _Toc242785445 \h </w:instrText>
            </w:r>
            <w:r>
              <w:rPr>
                <w:noProof/>
                <w:webHidden/>
              </w:rPr>
            </w:r>
            <w:r>
              <w:rPr>
                <w:noProof/>
                <w:webHidden/>
              </w:rPr>
              <w:fldChar w:fldCharType="separate"/>
            </w:r>
            <w:r>
              <w:rPr>
                <w:noProof/>
                <w:webHidden/>
              </w:rPr>
              <w:t>6</w:t>
            </w:r>
            <w:r>
              <w:rPr>
                <w:noProof/>
                <w:webHidden/>
              </w:rPr>
              <w:fldChar w:fldCharType="end"/>
            </w:r>
          </w:hyperlink>
        </w:p>
        <w:p w14:paraId="372410EF" w14:textId="381CBF1F" w:rsidR="000C3CC9" w:rsidRDefault="000C3CC9">
          <w:pPr>
            <w:pStyle w:val="TOC1"/>
            <w:tabs>
              <w:tab w:val="right" w:leader="dot" w:pos="9016"/>
            </w:tabs>
            <w:rPr>
              <w:noProof/>
            </w:rPr>
          </w:pPr>
          <w:hyperlink w:anchor="_Toc242785446" w:history="1">
            <w:r w:rsidRPr="00CD6688">
              <w:rPr>
                <w:rStyle w:val="Hyperlink"/>
                <w:noProof/>
              </w:rPr>
              <w:t>3. Task C: Reflective Report</w:t>
            </w:r>
            <w:r>
              <w:rPr>
                <w:noProof/>
                <w:webHidden/>
              </w:rPr>
              <w:tab/>
            </w:r>
            <w:r>
              <w:rPr>
                <w:noProof/>
                <w:webHidden/>
              </w:rPr>
              <w:fldChar w:fldCharType="begin"/>
            </w:r>
            <w:r>
              <w:rPr>
                <w:noProof/>
                <w:webHidden/>
              </w:rPr>
              <w:instrText xml:space="preserve"> PAGEREF _Toc242785446 \h </w:instrText>
            </w:r>
            <w:r>
              <w:rPr>
                <w:noProof/>
                <w:webHidden/>
              </w:rPr>
            </w:r>
            <w:r>
              <w:rPr>
                <w:noProof/>
                <w:webHidden/>
              </w:rPr>
              <w:fldChar w:fldCharType="separate"/>
            </w:r>
            <w:r>
              <w:rPr>
                <w:noProof/>
                <w:webHidden/>
              </w:rPr>
              <w:t>7</w:t>
            </w:r>
            <w:r>
              <w:rPr>
                <w:noProof/>
                <w:webHidden/>
              </w:rPr>
              <w:fldChar w:fldCharType="end"/>
            </w:r>
          </w:hyperlink>
        </w:p>
        <w:p w14:paraId="7DAA6B86" w14:textId="52BB0707" w:rsidR="000C3CC9" w:rsidRDefault="000C3CC9">
          <w:pPr>
            <w:pStyle w:val="TOC2"/>
            <w:tabs>
              <w:tab w:val="right" w:leader="dot" w:pos="9016"/>
            </w:tabs>
            <w:rPr>
              <w:noProof/>
            </w:rPr>
          </w:pPr>
          <w:hyperlink w:anchor="_Toc242785447" w:history="1">
            <w:r w:rsidRPr="00CD6688">
              <w:rPr>
                <w:rStyle w:val="Hyperlink"/>
                <w:noProof/>
              </w:rPr>
              <w:t>3.1 AI as a Strategic HR Tool</w:t>
            </w:r>
            <w:r>
              <w:rPr>
                <w:noProof/>
                <w:webHidden/>
              </w:rPr>
              <w:tab/>
            </w:r>
            <w:r>
              <w:rPr>
                <w:noProof/>
                <w:webHidden/>
              </w:rPr>
              <w:fldChar w:fldCharType="begin"/>
            </w:r>
            <w:r>
              <w:rPr>
                <w:noProof/>
                <w:webHidden/>
              </w:rPr>
              <w:instrText xml:space="preserve"> PAGEREF _Toc242785447 \h </w:instrText>
            </w:r>
            <w:r>
              <w:rPr>
                <w:noProof/>
                <w:webHidden/>
              </w:rPr>
            </w:r>
            <w:r>
              <w:rPr>
                <w:noProof/>
                <w:webHidden/>
              </w:rPr>
              <w:fldChar w:fldCharType="separate"/>
            </w:r>
            <w:r>
              <w:rPr>
                <w:noProof/>
                <w:webHidden/>
              </w:rPr>
              <w:t>7</w:t>
            </w:r>
            <w:r>
              <w:rPr>
                <w:noProof/>
                <w:webHidden/>
              </w:rPr>
              <w:fldChar w:fldCharType="end"/>
            </w:r>
          </w:hyperlink>
        </w:p>
        <w:p w14:paraId="0DEBF78F" w14:textId="44D065EC" w:rsidR="000C3CC9" w:rsidRDefault="000C3CC9">
          <w:pPr>
            <w:pStyle w:val="TOC2"/>
            <w:tabs>
              <w:tab w:val="right" w:leader="dot" w:pos="9016"/>
            </w:tabs>
            <w:rPr>
              <w:noProof/>
            </w:rPr>
          </w:pPr>
          <w:hyperlink w:anchor="_Toc242785448" w:history="1">
            <w:r w:rsidRPr="00CD6688">
              <w:rPr>
                <w:rStyle w:val="Hyperlink"/>
                <w:noProof/>
              </w:rPr>
              <w:t>3.2 Reflective Analysis: Three Examples</w:t>
            </w:r>
            <w:r>
              <w:rPr>
                <w:noProof/>
                <w:webHidden/>
              </w:rPr>
              <w:tab/>
            </w:r>
            <w:r>
              <w:rPr>
                <w:noProof/>
                <w:webHidden/>
              </w:rPr>
              <w:fldChar w:fldCharType="begin"/>
            </w:r>
            <w:r>
              <w:rPr>
                <w:noProof/>
                <w:webHidden/>
              </w:rPr>
              <w:instrText xml:space="preserve"> PAGEREF _Toc242785448 \h </w:instrText>
            </w:r>
            <w:r>
              <w:rPr>
                <w:noProof/>
                <w:webHidden/>
              </w:rPr>
            </w:r>
            <w:r>
              <w:rPr>
                <w:noProof/>
                <w:webHidden/>
              </w:rPr>
              <w:fldChar w:fldCharType="separate"/>
            </w:r>
            <w:r>
              <w:rPr>
                <w:noProof/>
                <w:webHidden/>
              </w:rPr>
              <w:t>7</w:t>
            </w:r>
            <w:r>
              <w:rPr>
                <w:noProof/>
                <w:webHidden/>
              </w:rPr>
              <w:fldChar w:fldCharType="end"/>
            </w:r>
          </w:hyperlink>
        </w:p>
        <w:p w14:paraId="3084D070" w14:textId="63BE8184" w:rsidR="000C3CC9" w:rsidRDefault="000C3CC9">
          <w:pPr>
            <w:pStyle w:val="TOC2"/>
            <w:tabs>
              <w:tab w:val="right" w:leader="dot" w:pos="9016"/>
            </w:tabs>
            <w:rPr>
              <w:noProof/>
            </w:rPr>
          </w:pPr>
          <w:hyperlink w:anchor="_Toc242785449" w:history="1">
            <w:r w:rsidRPr="00CD6688">
              <w:rPr>
                <w:rStyle w:val="Hyperlink"/>
                <w:noProof/>
              </w:rPr>
              <w:t>3.3 Personal Capability Development Action Plan</w:t>
            </w:r>
            <w:r>
              <w:rPr>
                <w:noProof/>
                <w:webHidden/>
              </w:rPr>
              <w:tab/>
            </w:r>
            <w:r>
              <w:rPr>
                <w:noProof/>
                <w:webHidden/>
              </w:rPr>
              <w:fldChar w:fldCharType="begin"/>
            </w:r>
            <w:r>
              <w:rPr>
                <w:noProof/>
                <w:webHidden/>
              </w:rPr>
              <w:instrText xml:space="preserve"> PAGEREF _Toc242785449 \h </w:instrText>
            </w:r>
            <w:r>
              <w:rPr>
                <w:noProof/>
                <w:webHidden/>
              </w:rPr>
            </w:r>
            <w:r>
              <w:rPr>
                <w:noProof/>
                <w:webHidden/>
              </w:rPr>
              <w:fldChar w:fldCharType="separate"/>
            </w:r>
            <w:r>
              <w:rPr>
                <w:noProof/>
                <w:webHidden/>
              </w:rPr>
              <w:t>8</w:t>
            </w:r>
            <w:r>
              <w:rPr>
                <w:noProof/>
                <w:webHidden/>
              </w:rPr>
              <w:fldChar w:fldCharType="end"/>
            </w:r>
          </w:hyperlink>
        </w:p>
        <w:p w14:paraId="723D27F5" w14:textId="07340FF3" w:rsidR="000C3CC9" w:rsidRDefault="000C3CC9">
          <w:pPr>
            <w:pStyle w:val="TOC1"/>
            <w:tabs>
              <w:tab w:val="right" w:leader="dot" w:pos="9016"/>
            </w:tabs>
            <w:rPr>
              <w:noProof/>
            </w:rPr>
          </w:pPr>
          <w:hyperlink w:anchor="_Toc242785450" w:history="1">
            <w:r w:rsidRPr="00CD6688">
              <w:rPr>
                <w:rStyle w:val="Hyperlink"/>
                <w:noProof/>
              </w:rPr>
              <w:t>References</w:t>
            </w:r>
            <w:r>
              <w:rPr>
                <w:noProof/>
                <w:webHidden/>
              </w:rPr>
              <w:tab/>
            </w:r>
            <w:r>
              <w:rPr>
                <w:noProof/>
                <w:webHidden/>
              </w:rPr>
              <w:fldChar w:fldCharType="begin"/>
            </w:r>
            <w:r>
              <w:rPr>
                <w:noProof/>
                <w:webHidden/>
              </w:rPr>
              <w:instrText xml:space="preserve"> PAGEREF _Toc242785450 \h </w:instrText>
            </w:r>
            <w:r>
              <w:rPr>
                <w:noProof/>
                <w:webHidden/>
              </w:rPr>
            </w:r>
            <w:r>
              <w:rPr>
                <w:noProof/>
                <w:webHidden/>
              </w:rPr>
              <w:fldChar w:fldCharType="separate"/>
            </w:r>
            <w:r>
              <w:rPr>
                <w:noProof/>
                <w:webHidden/>
              </w:rPr>
              <w:t>10</w:t>
            </w:r>
            <w:r>
              <w:rPr>
                <w:noProof/>
                <w:webHidden/>
              </w:rPr>
              <w:fldChar w:fldCharType="end"/>
            </w:r>
          </w:hyperlink>
        </w:p>
        <w:p w14:paraId="5DF03D0D" w14:textId="735499BE" w:rsidR="000C3CC9" w:rsidRDefault="000C3CC9">
          <w:r>
            <w:rPr>
              <w:b/>
              <w:bCs/>
              <w:noProof/>
            </w:rPr>
            <w:fldChar w:fldCharType="end"/>
          </w:r>
        </w:p>
      </w:sdtContent>
    </w:sdt>
    <w:p w14:paraId="17A9B0DD" w14:textId="77777777" w:rsidR="000C3CC9" w:rsidRDefault="000C3CC9">
      <w:pPr>
        <w:spacing w:before="0" w:after="200" w:line="276" w:lineRule="auto"/>
        <w:jc w:val="left"/>
        <w:rPr>
          <w:b/>
          <w:bCs/>
        </w:rPr>
      </w:pPr>
      <w:bookmarkStart w:id="0" w:name="_Toc242785440"/>
      <w:r>
        <w:br w:type="page"/>
      </w:r>
    </w:p>
    <w:p w14:paraId="297C6E0B" w14:textId="572DEB53" w:rsidR="00BA6C3A" w:rsidRPr="00BA6C3A" w:rsidRDefault="00BA6C3A" w:rsidP="000C3CC9">
      <w:pPr>
        <w:pStyle w:val="Heading1"/>
        <w:rPr>
          <w:rFonts w:eastAsiaTheme="majorEastAsia" w:cstheme="majorBidi"/>
          <w:color w:val="365F91" w:themeColor="accent1" w:themeShade="BF"/>
          <w:szCs w:val="28"/>
        </w:rPr>
      </w:pPr>
      <w:r w:rsidRPr="00BA6C3A">
        <w:lastRenderedPageBreak/>
        <w:t>1. Task A: Designing Innovative Working Practices</w:t>
      </w:r>
      <w:bookmarkEnd w:id="0"/>
    </w:p>
    <w:p w14:paraId="2596679A" w14:textId="2C636FA3" w:rsidR="00BA6C3A" w:rsidRPr="00BA6C3A" w:rsidRDefault="00BA6C3A" w:rsidP="00BA6C3A">
      <w:pPr>
        <w:rPr>
          <w:lang w:val="en-IN"/>
        </w:rPr>
      </w:pPr>
      <w:r w:rsidRPr="00BA6C3A">
        <w:rPr>
          <w:lang w:val="en-IN"/>
        </w:rPr>
        <w:t xml:space="preserve">Due to fast international growth, investments in artificial intelligence, and a 600-member workforce, </w:t>
      </w:r>
      <w:proofErr w:type="spellStart"/>
      <w:r w:rsidRPr="00BA6C3A">
        <w:rPr>
          <w:lang w:val="en-IN"/>
        </w:rPr>
        <w:t>NexSpace</w:t>
      </w:r>
      <w:proofErr w:type="spellEnd"/>
      <w:r w:rsidRPr="00BA6C3A">
        <w:rPr>
          <w:lang w:val="en-IN"/>
        </w:rPr>
        <w:t xml:space="preserve"> Health Systems (NHSX) needs to innovate its working practices. NHSX should switch from a hierarchical to an integrated system of work combining high-performance work systems (HPWS), agile work design, flexible hybrid working, and sociotechnical work. NHSX should use this approach instead of solving issues with hierarchy, innovation, collaboration, and flexible work separately, because innovative work requires the interaction of people, processes, and technology (Bhatti </w:t>
      </w:r>
      <w:r w:rsidR="00BD1C7F" w:rsidRPr="00BD1C7F">
        <w:rPr>
          <w:i/>
          <w:iCs/>
          <w:lang w:val="en-IN"/>
        </w:rPr>
        <w:t>et al</w:t>
      </w:r>
      <w:r w:rsidRPr="00BA6C3A">
        <w:rPr>
          <w:lang w:val="en-IN"/>
        </w:rPr>
        <w:t xml:space="preserve">., 2021; </w:t>
      </w:r>
      <w:proofErr w:type="spellStart"/>
      <w:r w:rsidRPr="00BA6C3A">
        <w:rPr>
          <w:lang w:val="en-IN"/>
        </w:rPr>
        <w:t>Carayon</w:t>
      </w:r>
      <w:proofErr w:type="spellEnd"/>
      <w:r w:rsidRPr="00BA6C3A">
        <w:rPr>
          <w:lang w:val="en-IN"/>
        </w:rPr>
        <w:t xml:space="preserve"> and Salwei, 2021).</w:t>
      </w:r>
    </w:p>
    <w:p w14:paraId="16113CFD" w14:textId="77777777" w:rsidR="00BA6C3A" w:rsidRPr="00BA6C3A" w:rsidRDefault="00BA6C3A" w:rsidP="000C3CC9">
      <w:pPr>
        <w:pStyle w:val="Heading2"/>
      </w:pPr>
      <w:bookmarkStart w:id="1" w:name="_Toc242785441"/>
      <w:r w:rsidRPr="00BA6C3A">
        <w:t>1.1 Critical evaluation of traditional and contemporary work design</w:t>
      </w:r>
      <w:bookmarkEnd w:id="1"/>
    </w:p>
    <w:p w14:paraId="2E5D78AC" w14:textId="11E436E2" w:rsidR="00BA6C3A" w:rsidRPr="00BA6C3A" w:rsidRDefault="00BA6C3A" w:rsidP="00BA6C3A">
      <w:pPr>
        <w:rPr>
          <w:lang w:val="en-IN"/>
        </w:rPr>
      </w:pPr>
      <w:r w:rsidRPr="00BA6C3A">
        <w:rPr>
          <w:lang w:val="en-IN"/>
        </w:rPr>
        <w:t xml:space="preserve">The traditional hierarchical working model can provide clear authority, standardisation, and accountability. These attributes may be useful in healthcare technologies, since some clinical and digital decisions require clear responsibility and risk control. Still, excessive hierarchy can slow the decision-making process and limit employees' voice. Studies of HPWS prove that bundles of ability-, motivation-, and opportunity-enhancing practices can contribute to innovation and organisational performance, while there is evidence that high-performance systems can cause high stress and burnout as a result of higher demands when resources are scarce (Bhatti </w:t>
      </w:r>
      <w:r w:rsidR="00BD1C7F" w:rsidRPr="00BD1C7F">
        <w:rPr>
          <w:i/>
          <w:iCs/>
          <w:lang w:val="en-IN"/>
        </w:rPr>
        <w:t>et al</w:t>
      </w:r>
      <w:r w:rsidRPr="00BA6C3A">
        <w:rPr>
          <w:lang w:val="en-IN"/>
        </w:rPr>
        <w:t>., 2021; Chen and Chen, 2021). NHSX should therefore move away from a highly hierarchical working model towards HPWS. NHSX should maintain the necessary corporate governance system while providing more voice to teams.</w:t>
      </w:r>
    </w:p>
    <w:p w14:paraId="52EB3241" w14:textId="3A93E4EA" w:rsidR="00BA6C3A" w:rsidRPr="00BA6C3A" w:rsidRDefault="00BA6C3A" w:rsidP="00BA6C3A">
      <w:pPr>
        <w:rPr>
          <w:lang w:val="en-IN"/>
        </w:rPr>
      </w:pPr>
      <w:r w:rsidRPr="00BA6C3A">
        <w:rPr>
          <w:lang w:val="en-IN"/>
        </w:rPr>
        <w:t xml:space="preserve">HPWS can be useful because it combines people management, including recruitment, development, and performance management, with organisational results. A systematic review proves that HPWS research pays increasing attention to the connections between integrated people practices and organisational efficiency, although the results are determined by the way practices are implemented and integrated (Hassan, 2021). Project-based organisation research provides evidence that HPWS helps to support innovation through knowledge sharing, and thus people practices have to be developed to give employees the chance to share knowledge (Bhatti </w:t>
      </w:r>
      <w:r w:rsidR="00BD1C7F" w:rsidRPr="00BD1C7F">
        <w:rPr>
          <w:i/>
          <w:iCs/>
          <w:lang w:val="en-IN"/>
        </w:rPr>
        <w:t>et al</w:t>
      </w:r>
      <w:r w:rsidRPr="00BA6C3A">
        <w:rPr>
          <w:lang w:val="en-IN"/>
        </w:rPr>
        <w:t>., 2021). For NHSX, it means switching to shared goals, continuous learning, and cross-functional work from a job-centred approach.</w:t>
      </w:r>
    </w:p>
    <w:p w14:paraId="23F3C44D" w14:textId="77777777" w:rsidR="00BA6C3A" w:rsidRPr="00BA6C3A" w:rsidRDefault="00BA6C3A" w:rsidP="00BA6C3A">
      <w:pPr>
        <w:rPr>
          <w:lang w:val="en-IN"/>
        </w:rPr>
      </w:pPr>
      <w:r w:rsidRPr="00BA6C3A">
        <w:rPr>
          <w:lang w:val="en-IN"/>
        </w:rPr>
        <w:t xml:space="preserve">Agile work is a better solution for the need for speed and experimentation at NHSX. A recent definition of agile working includes the attributes of autonomy, equality, and iterative delivery. There is also evidence that agile work contributes to innovative work behaviour </w:t>
      </w:r>
      <w:r w:rsidRPr="00BA6C3A">
        <w:rPr>
          <w:lang w:val="en-IN"/>
        </w:rPr>
        <w:lastRenderedPageBreak/>
        <w:t xml:space="preserve">through psychological empowerment (Prediger and </w:t>
      </w:r>
      <w:proofErr w:type="spellStart"/>
      <w:r w:rsidRPr="00BA6C3A">
        <w:rPr>
          <w:lang w:val="en-IN"/>
        </w:rPr>
        <w:t>Schermuly</w:t>
      </w:r>
      <w:proofErr w:type="spellEnd"/>
      <w:r w:rsidRPr="00BA6C3A">
        <w:rPr>
          <w:lang w:val="en-IN"/>
        </w:rPr>
        <w:t>, 2025). But an agile approach does not necessarily mean permanent urgency. Autonomy can turn into another demand for an employee if employees' working lives consist of constantly changing deadlines and a lack of clear priorities. NHSX should therefore use iterative work cycles, clear priorities, and review points while providing sufficient employee wellbeing.</w:t>
      </w:r>
    </w:p>
    <w:p w14:paraId="59BE8BE6" w14:textId="77777777" w:rsidR="00BA6C3A" w:rsidRPr="00BA6C3A" w:rsidRDefault="00BA6C3A" w:rsidP="00BA6C3A">
      <w:pPr>
        <w:rPr>
          <w:lang w:val="en-IN"/>
        </w:rPr>
      </w:pPr>
      <w:r w:rsidRPr="00BA6C3A">
        <w:rPr>
          <w:lang w:val="en-IN"/>
        </w:rPr>
        <w:t>Hybrid and flexible working contribute to employee attraction and retention and improve employee experience. However, such an approach bears risks for collaboration. According to a Microsoft study, remote working makes professional networks more siloed, while excessive digital communication increases work intensity (Microsoft, 2021). In addition, recent UK research proves that in 2025, 74% of organisations had hybrid working in place, while employers saw both benefits, such as improved attraction and retention, and negative consequences, such as worsening managerial effectiveness and weaker company culture (CIPD, 2025). Thus, NHSX should avoid both fully remote and mandatory office-based working approaches because NHSX needs purposeful flexibility.</w:t>
      </w:r>
    </w:p>
    <w:p w14:paraId="7E09CCCB" w14:textId="77777777" w:rsidR="00BA6C3A" w:rsidRPr="00BA6C3A" w:rsidRDefault="00BA6C3A" w:rsidP="00BA6C3A">
      <w:pPr>
        <w:rPr>
          <w:lang w:val="en-IN"/>
        </w:rPr>
      </w:pPr>
      <w:r w:rsidRPr="00BA6C3A">
        <w:rPr>
          <w:lang w:val="en-IN"/>
        </w:rPr>
        <w:t>Sociotechnical thinking is a special case for NHSX, which produces AI-based healthcare technologies. Sociotechnical thinking is an approach according to which technology, people, and tasks are an interconnected system. NHSX requires a sociotechnical approach because digital tools can help to improve coordination, but they can also cause usability problems, higher workload, and burnout if work processes are poorly planned (</w:t>
      </w:r>
      <w:proofErr w:type="spellStart"/>
      <w:r w:rsidRPr="00BA6C3A">
        <w:rPr>
          <w:lang w:val="en-IN"/>
        </w:rPr>
        <w:t>Carayon</w:t>
      </w:r>
      <w:proofErr w:type="spellEnd"/>
      <w:r w:rsidRPr="00BA6C3A">
        <w:rPr>
          <w:lang w:val="en-IN"/>
        </w:rPr>
        <w:t xml:space="preserve"> and Salwei, 2021).</w:t>
      </w:r>
    </w:p>
    <w:p w14:paraId="59028A92" w14:textId="77777777" w:rsidR="00BA6C3A" w:rsidRPr="00BA6C3A" w:rsidRDefault="00BA6C3A" w:rsidP="000C3CC9">
      <w:pPr>
        <w:pStyle w:val="Heading2"/>
      </w:pPr>
      <w:bookmarkStart w:id="2" w:name="_Toc242785442"/>
      <w:r w:rsidRPr="00BA6C3A">
        <w:t>1.2 Recommended integrated working framework for NHSX</w:t>
      </w:r>
      <w:bookmarkEnd w:id="2"/>
    </w:p>
    <w:p w14:paraId="518AE292" w14:textId="77777777" w:rsidR="00BA6C3A" w:rsidRPr="00BA6C3A" w:rsidRDefault="00BA6C3A" w:rsidP="00BA6C3A">
      <w:pPr>
        <w:rPr>
          <w:lang w:val="en-IN"/>
        </w:rPr>
      </w:pPr>
      <w:r w:rsidRPr="00BA6C3A">
        <w:rPr>
          <w:lang w:val="en-IN"/>
        </w:rPr>
        <w:t>NHSX should implement an “Agile-Connected Hybrid Work Model” based on five interrelated practices.</w:t>
      </w:r>
    </w:p>
    <w:p w14:paraId="5822EB95" w14:textId="77777777" w:rsidR="00BA6C3A" w:rsidRPr="00BA6C3A" w:rsidRDefault="00BA6C3A" w:rsidP="00BA6C3A">
      <w:pPr>
        <w:rPr>
          <w:lang w:val="en-IN"/>
        </w:rPr>
      </w:pPr>
      <w:r w:rsidRPr="00BA6C3A">
        <w:rPr>
          <w:lang w:val="en-IN"/>
        </w:rPr>
        <w:t>First, NHSX should form cross-functional squads for major digital health projects. NHSX should compose squads from software, data, clinical, product, cybersecurity, and HR/user-experience experts in an appropriate way. A common goal should be set instead of narrow departmental targets. The study in the field of digital collaboration emphasises the importance of knowledge sharing in teamwork and value creation in diverse teams (Huang and Wang, 2024). Therefore, NHSX should use weekly short meetings, common documentation, and visible project dashboards in order to decrease information silos.</w:t>
      </w:r>
    </w:p>
    <w:p w14:paraId="4EB48639" w14:textId="77777777" w:rsidR="00BA6C3A" w:rsidRPr="00BA6C3A" w:rsidRDefault="00BA6C3A" w:rsidP="00BA6C3A">
      <w:pPr>
        <w:rPr>
          <w:lang w:val="en-IN"/>
        </w:rPr>
      </w:pPr>
      <w:r w:rsidRPr="00BA6C3A">
        <w:rPr>
          <w:lang w:val="en-IN"/>
        </w:rPr>
        <w:t xml:space="preserve">Secondly, NHSX should use a hybrid work model based on work purpose rather than the physical presence of the employee. Individual focus tasks should be done by employees </w:t>
      </w:r>
      <w:r w:rsidRPr="00BA6C3A">
        <w:rPr>
          <w:lang w:val="en-IN"/>
        </w:rPr>
        <w:lastRenderedPageBreak/>
        <w:t>remotely, while innovation workshops, complex problem-solving, onboarding, and relationship-building should usually take place during team sessions. Research proves that hybrid work positively affects retention without lowering performance when properly designed (Bloom, Han and Liang, 2024). Also, NHSX should use core collaboration hours across the UK, India, and UAE with asynchronous communication outside these hours in order to account for time-zone differences.</w:t>
      </w:r>
    </w:p>
    <w:p w14:paraId="7E8E2367" w14:textId="62CBD09B" w:rsidR="00BA6C3A" w:rsidRPr="00BA6C3A" w:rsidRDefault="00BA6C3A" w:rsidP="00BA6C3A">
      <w:pPr>
        <w:rPr>
          <w:lang w:val="en-IN"/>
        </w:rPr>
      </w:pPr>
      <w:r w:rsidRPr="00BA6C3A">
        <w:rPr>
          <w:lang w:val="en-IN"/>
        </w:rPr>
        <w:t xml:space="preserve">Thirdly, NHSX should increase employees' autonomy through decision rights at team level. The squads should determine task allocation, sprint planning, and local process innovations within clinical, legal, cybersecurity, and budgetary limits. Such an approach reflects the balance between empowerment and responsibility. Moreover, it corresponds to the evidence on HPWS in which a connection between opportunity-enhancing practices, innovation, and organisational learning was observed (Bhatti </w:t>
      </w:r>
      <w:r w:rsidR="00BD1C7F" w:rsidRPr="00BD1C7F">
        <w:rPr>
          <w:i/>
          <w:iCs/>
          <w:lang w:val="en-IN"/>
        </w:rPr>
        <w:t>et al</w:t>
      </w:r>
      <w:r w:rsidRPr="00BA6C3A">
        <w:rPr>
          <w:lang w:val="en-IN"/>
        </w:rPr>
        <w:t>., 2021).</w:t>
      </w:r>
    </w:p>
    <w:p w14:paraId="2DF1196F" w14:textId="77777777" w:rsidR="00BA6C3A" w:rsidRPr="00BA6C3A" w:rsidRDefault="00BA6C3A" w:rsidP="00BA6C3A">
      <w:pPr>
        <w:rPr>
          <w:lang w:val="en-IN"/>
        </w:rPr>
      </w:pPr>
      <w:r w:rsidRPr="00BA6C3A">
        <w:rPr>
          <w:lang w:val="en-IN"/>
        </w:rPr>
        <w:t xml:space="preserve">Fourthly, NHSX should use short two-to-four-week project sprints, demonstrations, feedback, and retrospective learning after them. Small experiments should be encouraged before investing on a larger scale. However, managers should monitor workload, psychological safety, and delivery quality in order to avoid uncontrolled risk. According to agile work research, the agile working model fosters innovative behaviour through psychological empowerment (Prediger and </w:t>
      </w:r>
      <w:proofErr w:type="spellStart"/>
      <w:r w:rsidRPr="00BA6C3A">
        <w:rPr>
          <w:lang w:val="en-IN"/>
        </w:rPr>
        <w:t>Schermuly</w:t>
      </w:r>
      <w:proofErr w:type="spellEnd"/>
      <w:r w:rsidRPr="00BA6C3A">
        <w:rPr>
          <w:lang w:val="en-IN"/>
        </w:rPr>
        <w:t>, 2025). But NHSX has to combine employee autonomy with clear goals and resources.</w:t>
      </w:r>
    </w:p>
    <w:p w14:paraId="15698A46" w14:textId="77777777" w:rsidR="00BA6C3A" w:rsidRPr="00BA6C3A" w:rsidRDefault="00BA6C3A" w:rsidP="00BA6C3A">
      <w:pPr>
        <w:rPr>
          <w:lang w:val="en-IN"/>
        </w:rPr>
      </w:pPr>
      <w:r w:rsidRPr="00BA6C3A">
        <w:rPr>
          <w:lang w:val="en-IN"/>
        </w:rPr>
        <w:t>Finally, NHSX should develop digital collaboration infrastructure with the use of a common workspace for project planning, decision-making, and knowledge repositories. There should be separation of urgent communication from other communication in the rules, recording of important decisions, and limitation of the number of meetings. Microsoft research proves the danger of digital overload and the reduction of professional networks (Microsoft, 2021). Research on digital collaboration teams demonstrates that appropriate leadership practices increase productive knowledge sharing (Huang and Wang, 2024).</w:t>
      </w:r>
    </w:p>
    <w:p w14:paraId="0CEA55D5" w14:textId="77777777" w:rsidR="00BA6C3A" w:rsidRPr="00BA6C3A" w:rsidRDefault="00BA6C3A" w:rsidP="00BA6C3A">
      <w:pPr>
        <w:rPr>
          <w:lang w:val="en-IN"/>
        </w:rPr>
      </w:pPr>
      <w:r w:rsidRPr="00BA6C3A">
        <w:rPr>
          <w:lang w:val="en-IN"/>
        </w:rPr>
        <w:t xml:space="preserve">Overall, the work model should be measured through innovation cycle time, employee-generated ideas for improvement, knowledge-sharing activity, voluntary turnover, delivery quality, and employee wellbeing. NHSX has to review the results of these measures quarterly and change the work model instead of using one design for all teams. As proved by flexible work research, employers should concentrate on outcomes, invest in appropriate technology, train managers, and control overworking and burnout (CIPD, 2023). This model will ensure </w:t>
      </w:r>
      <w:r w:rsidRPr="00BA6C3A">
        <w:rPr>
          <w:lang w:val="en-IN"/>
        </w:rPr>
        <w:lastRenderedPageBreak/>
        <w:t>the necessary healthcare governance in the company while providing employees with the autonomy, collaboration, and flexibility to innovate.</w:t>
      </w:r>
    </w:p>
    <w:p w14:paraId="38D1C964" w14:textId="01B13A8A" w:rsidR="009F009D" w:rsidRPr="009F009D" w:rsidRDefault="00BD1C7F" w:rsidP="000C3CC9">
      <w:pPr>
        <w:pStyle w:val="Heading1"/>
      </w:pPr>
      <w:bookmarkStart w:id="3" w:name="_Toc242785443"/>
      <w:r>
        <w:t xml:space="preserve">2. </w:t>
      </w:r>
      <w:r w:rsidR="009F009D" w:rsidRPr="009F009D">
        <w:t>Task B: Breeding an Environment Where Talent May Grow</w:t>
      </w:r>
      <w:bookmarkEnd w:id="3"/>
    </w:p>
    <w:p w14:paraId="34446FFE" w14:textId="77777777" w:rsidR="00FB0FE2" w:rsidRDefault="00FB0FE2" w:rsidP="009F009D">
      <w:proofErr w:type="spellStart"/>
      <w:r w:rsidRPr="00FB0FE2">
        <w:t>NexSpace</w:t>
      </w:r>
      <w:proofErr w:type="spellEnd"/>
      <w:r w:rsidRPr="00FB0FE2">
        <w:t xml:space="preserve"> Health Systems (NHSX) has approximately 600 staff members in the United Kingdom, India, and the United Arab Emirates. Some of the problems NHSX faces include retention of high-performing employees, poor career development, lack of knowledge transfer and the pressure to perform. NHSX requires an ecosystem of talent that would align learning, employee voice, career development, and well-being to its business objectives. Literature indicates that talent management initiatives impact employees, teams and organizations; however, there is no one-size-fits-all solution (</w:t>
      </w:r>
      <w:proofErr w:type="spellStart"/>
      <w:r w:rsidRPr="00FB0FE2">
        <w:t>Aljbour</w:t>
      </w:r>
      <w:proofErr w:type="spellEnd"/>
      <w:r w:rsidRPr="00FB0FE2">
        <w:t>, French and Ali, 2022). NHSX must develop an inclusive development model while supporting key competencies.</w:t>
      </w:r>
    </w:p>
    <w:p w14:paraId="0AF033B8" w14:textId="692E54AE" w:rsidR="009F009D" w:rsidRPr="009F009D" w:rsidRDefault="00BD1C7F" w:rsidP="000C3CC9">
      <w:pPr>
        <w:pStyle w:val="Heading2"/>
      </w:pPr>
      <w:bookmarkStart w:id="4" w:name="_Toc242785444"/>
      <w:r>
        <w:t>2.1</w:t>
      </w:r>
      <w:r w:rsidR="009F009D" w:rsidRPr="009F009D">
        <w:t xml:space="preserve"> Critical evaluation of how </w:t>
      </w:r>
      <w:proofErr w:type="spellStart"/>
      <w:r w:rsidR="009F009D" w:rsidRPr="009F009D">
        <w:t>organisations</w:t>
      </w:r>
      <w:proofErr w:type="spellEnd"/>
      <w:r w:rsidR="009F009D" w:rsidRPr="009F009D">
        <w:t xml:space="preserve"> create environments where talent flourishes</w:t>
      </w:r>
      <w:bookmarkEnd w:id="4"/>
    </w:p>
    <w:p w14:paraId="1C6BD10E" w14:textId="77777777" w:rsidR="00FB0FE2" w:rsidRDefault="00FB0FE2" w:rsidP="00FB0FE2">
      <w:r>
        <w:t xml:space="preserve">In a learning </w:t>
      </w:r>
      <w:proofErr w:type="spellStart"/>
      <w:r>
        <w:t>organisation</w:t>
      </w:r>
      <w:proofErr w:type="spellEnd"/>
      <w:r>
        <w:t>, learning is an ongoing process rather than a sporadic course. As such, the CIPD suggests that learning and development processes should reflect changes in the business and facilitate reskilling, collaboration and digital capabilities (CIPD, 2021). These factors are relevant to NHSX as they need up-to-date technical, clinical, regulatory and interpersonal skills from their employees for AI-enabled healthcare products. However, simply providing training is not enough to retain talent without giving employees enough time to practice new skills or any opportunity for career development.</w:t>
      </w:r>
    </w:p>
    <w:p w14:paraId="6F3FB8E3" w14:textId="77777777" w:rsidR="00FB0FE2" w:rsidRDefault="00FB0FE2" w:rsidP="00FB0FE2">
      <w:r>
        <w:t xml:space="preserve">The concept of growth mindset implies developing skills through effort, feedback and learning. A growth mindset can facilitate learning and even experiments, yet it cannot be applied to make employees responsible for </w:t>
      </w:r>
      <w:proofErr w:type="spellStart"/>
      <w:r>
        <w:t>organisational</w:t>
      </w:r>
      <w:proofErr w:type="spellEnd"/>
      <w:r>
        <w:t xml:space="preserve"> obstacles to learning. People cannot grow in conditions of excessive workload, when managers block opportunities and promotion process is not transparent. NHSX should combine learning goals with necessary resources, adequate feedback and clear career paths.</w:t>
      </w:r>
    </w:p>
    <w:p w14:paraId="7AA4BC25" w14:textId="77777777" w:rsidR="00FB0FE2" w:rsidRDefault="00FB0FE2" w:rsidP="00FB0FE2">
      <w:r>
        <w:t xml:space="preserve">Psychological safety implies that employees can ask questions, express concerns and make mistakes without being humiliated. Edmondson and Bransby (2023) state that there is a connection between psychological safety, learning, work experience and performance in complex </w:t>
      </w:r>
      <w:proofErr w:type="spellStart"/>
      <w:r>
        <w:t>organisations</w:t>
      </w:r>
      <w:proofErr w:type="spellEnd"/>
      <w:r>
        <w:t>. It is important for healthcare technology sector, where employees need to report any design defects, security risks and clinical safety issues. Yet, psychological safety does not mean lack of accountability. NHSX needs to encourage open communication but still to maintain standards of quality, data protection and patient safety.</w:t>
      </w:r>
    </w:p>
    <w:p w14:paraId="43A574B3" w14:textId="0D57507F" w:rsidR="00FB0FE2" w:rsidRDefault="00FB0FE2" w:rsidP="00FB0FE2">
      <w:r>
        <w:lastRenderedPageBreak/>
        <w:t xml:space="preserve">Talent management helps </w:t>
      </w:r>
      <w:proofErr w:type="spellStart"/>
      <w:r>
        <w:t>organisations</w:t>
      </w:r>
      <w:proofErr w:type="spellEnd"/>
      <w:r>
        <w:t xml:space="preserve"> to define necessary skills, develop employees and plan succession. According to a systematic review of 120 empirical studies, talent management can affect employee, group and </w:t>
      </w:r>
      <w:proofErr w:type="spellStart"/>
      <w:r>
        <w:t>organisational</w:t>
      </w:r>
      <w:proofErr w:type="spellEnd"/>
      <w:r>
        <w:t xml:space="preserve"> outcomes and different strategies are used in different </w:t>
      </w:r>
      <w:proofErr w:type="spellStart"/>
      <w:r>
        <w:t>organisations</w:t>
      </w:r>
      <w:proofErr w:type="spellEnd"/>
      <w:r>
        <w:t xml:space="preserve"> (</w:t>
      </w:r>
      <w:proofErr w:type="spellStart"/>
      <w:r>
        <w:t>Aljbour</w:t>
      </w:r>
      <w:proofErr w:type="spellEnd"/>
      <w:r>
        <w:t xml:space="preserve">, French and Ali, 2022). Talent development of a limited number of 'high potentials' may be more efficient in terms of resources but it can undermine equality and disengage other employees. Inclusive development can ensure that everyone has access to core learning, while certain skills and leadership positions will get additional support. Inclusive talent development continues to be a topical but poorly researched field (Gallardo-Gallardo </w:t>
      </w:r>
      <w:r w:rsidR="00BD1C7F" w:rsidRPr="00BD1C7F">
        <w:rPr>
          <w:i/>
          <w:iCs/>
        </w:rPr>
        <w:t>et al</w:t>
      </w:r>
      <w:r>
        <w:t>., 2023).</w:t>
      </w:r>
    </w:p>
    <w:p w14:paraId="143D1DC0" w14:textId="42A441A6" w:rsidR="009F009D" w:rsidRPr="009F009D" w:rsidRDefault="00FB0FE2" w:rsidP="00FB0FE2">
      <w:r w:rsidRPr="00FB0FE2">
        <w:t xml:space="preserve">According to Self-Determination Theory, autonomy, competence, and relatedness play a key role in the development of motivation. </w:t>
      </w:r>
      <w:r>
        <w:t>NHSX workers must have</w:t>
      </w:r>
      <w:r w:rsidRPr="00FB0FE2">
        <w:t xml:space="preserve"> an element of freedom in terms of doing work, developing competence, and maintaining a close relationship with co-workers in different countries. In addition, job crafting will help NHSX workers to adapt to a job or relation using their capabilities. Nevertheless, unlimited job crafting may ignore important responsibilities and result in an imbalance in workload.</w:t>
      </w:r>
      <w:r>
        <w:t xml:space="preserve"> </w:t>
      </w:r>
      <w:r w:rsidR="009F009D" w:rsidRPr="009F009D">
        <w:t>NHSX should allow agreed role adjustments within team goals, clinical safeguards and workload reviews.</w:t>
      </w:r>
    </w:p>
    <w:p w14:paraId="07AAFEC8" w14:textId="43EBE5DF" w:rsidR="009F009D" w:rsidRPr="009F009D" w:rsidRDefault="00BD1C7F" w:rsidP="000C3CC9">
      <w:pPr>
        <w:pStyle w:val="Heading2"/>
      </w:pPr>
      <w:bookmarkStart w:id="5" w:name="_Toc242785445"/>
      <w:r>
        <w:t>2.2</w:t>
      </w:r>
      <w:r w:rsidR="009F009D" w:rsidRPr="009F009D">
        <w:t xml:space="preserve"> Strategic talent growth strategy for NHSX</w:t>
      </w:r>
      <w:bookmarkEnd w:id="5"/>
    </w:p>
    <w:p w14:paraId="3F086683" w14:textId="5E1CF36B" w:rsidR="00BD1C7F" w:rsidRDefault="00BD1C7F" w:rsidP="00BD1C7F">
      <w:r>
        <w:t>“</w:t>
      </w:r>
      <w:r w:rsidRPr="00BD1C7F">
        <w:t>NHSX Talent Growth Ecosystem</w:t>
      </w:r>
      <w:r>
        <w:t>”</w:t>
      </w:r>
      <w:r w:rsidRPr="00BD1C7F">
        <w:t xml:space="preserve"> should involve five connected actions. </w:t>
      </w:r>
    </w:p>
    <w:p w14:paraId="5E14D485" w14:textId="6029CF73" w:rsidR="00BD1C7F" w:rsidRDefault="00BD1C7F" w:rsidP="00BD1C7F">
      <w:r w:rsidRPr="00BD1C7F">
        <w:t xml:space="preserve">First, develop skills and career frameworks for software, data, clinical, product, cybersecurity and people roles. Each framework should list the required skills, their levels, learning possibilities and ways to progress to specialist or leadership positions. Quarterly career conversations should outline development goals and cover open internal vacancies. This will address limited career development opportunities and make them transparent (CIPD, 2023). </w:t>
      </w:r>
    </w:p>
    <w:p w14:paraId="2792EFE6" w14:textId="4B0A1D5A" w:rsidR="00BD1C7F" w:rsidRDefault="00BD1C7F" w:rsidP="00BD1C7F">
      <w:r w:rsidRPr="00BD1C7F">
        <w:t xml:space="preserve">Second, offer protected learning time and development opportunities. Each employee should agree a quarterly learning goal which will relate to his or her current or future activities. Possible activities might include short courses, peer learning, mentoring, job shadowing and rotation between projects. The employee should put learned skills into practice in solving an NHSX problem and report on the results. This will link structured learning with practice and facilitate reskilling amid technological changes (CIPD, 2021; Fitzhugh and Daniels, 2025). </w:t>
      </w:r>
    </w:p>
    <w:p w14:paraId="2E9B0B03" w14:textId="0D022D5D" w:rsidR="00BD1C7F" w:rsidRDefault="00BD1C7F" w:rsidP="00BD1C7F">
      <w:r w:rsidRPr="00BD1C7F">
        <w:t xml:space="preserve">Third, ensure psychological safety through managers' behavior. Managers should welcome differing views, respond constructively to failures and conduct short learning reviews after reaching project milestones. Employees should be able to confidentially discuss excessive </w:t>
      </w:r>
      <w:r w:rsidRPr="00BD1C7F">
        <w:lastRenderedPageBreak/>
        <w:t xml:space="preserve">workload, unfairness or safety issues. Poor performance issues should not be overlooked either. This will balance learning and accountability (Edmondson and Bransby, 2023). </w:t>
      </w:r>
    </w:p>
    <w:p w14:paraId="5C4514B1" w14:textId="3698A1BE" w:rsidR="00BD1C7F" w:rsidRDefault="00BD1C7F" w:rsidP="00BD1C7F">
      <w:r w:rsidRPr="00BD1C7F">
        <w:t>Fourth, develop talents inclusively and selectively. All employees should have access to core learning, mentoring and career conversations programs. Selective programs should focus on critical digital health skills, emerging leaders and employees at risk of departure. Selection criteria should be published and analyzed for biases regarding countries and employee segments. This will allow for equitable access but also to allocate additional resources to skills needs (</w:t>
      </w:r>
      <w:proofErr w:type="spellStart"/>
      <w:r w:rsidRPr="00BD1C7F">
        <w:t>Aljbour</w:t>
      </w:r>
      <w:proofErr w:type="spellEnd"/>
      <w:r w:rsidRPr="00BD1C7F">
        <w:t xml:space="preserve">, French and Ali, 2022; Gallardo-Gallardo </w:t>
      </w:r>
      <w:r w:rsidRPr="00BD1C7F">
        <w:rPr>
          <w:i/>
          <w:iCs/>
        </w:rPr>
        <w:t>et al</w:t>
      </w:r>
      <w:r w:rsidRPr="00BD1C7F">
        <w:t xml:space="preserve">., 2023). </w:t>
      </w:r>
    </w:p>
    <w:p w14:paraId="1E1E6974" w14:textId="0FC03886" w:rsidR="00BD1C7F" w:rsidRDefault="00BD1C7F" w:rsidP="00BD1C7F">
      <w:r w:rsidRPr="00BD1C7F">
        <w:t xml:space="preserve">Fifth, protect wellbeing and assess the impact. Managers should assess workload, absences, overtime and feedback and adjust the targets whenever the load is unsustainable. Every quarter, NHSX should measure internal promotions, retention of key performers, learning completion and application, skills gaps, engagement and wellbeing. Results should be compared by location and teams to identify disparities. CIPD research underlines the importance of management support and wellbeing for employee outcomes (CIPD, 2025). </w:t>
      </w:r>
    </w:p>
    <w:p w14:paraId="7ED39674" w14:textId="052957EA" w:rsidR="00BD1C7F" w:rsidRDefault="00BD1C7F" w:rsidP="00BD1C7F">
      <w:r w:rsidRPr="00BD1C7F">
        <w:t>In total, this will integrate talent growth in day-to-day operations instead of implementing a standalone HR program. The Board should regularly assess the results and adapt the strategy. Benefits expected from such strategy will include better skills, clear career paths, secure knowledge transfer and enhanced retention, but NHSX should test them first.</w:t>
      </w:r>
    </w:p>
    <w:p w14:paraId="13AED2FA" w14:textId="69CD8261" w:rsidR="009F009D" w:rsidRPr="009F009D" w:rsidRDefault="00BD1C7F" w:rsidP="009F009D">
      <w:pPr>
        <w:pStyle w:val="Heading1"/>
      </w:pPr>
      <w:bookmarkStart w:id="6" w:name="_Toc242785446"/>
      <w:r>
        <w:t xml:space="preserve">3. </w:t>
      </w:r>
      <w:r w:rsidR="009F009D" w:rsidRPr="009F009D">
        <w:t>Task C: Reflective Report</w:t>
      </w:r>
      <w:bookmarkEnd w:id="6"/>
    </w:p>
    <w:p w14:paraId="34E08F59" w14:textId="290C2B77" w:rsidR="009F009D" w:rsidRPr="009F009D" w:rsidRDefault="00BD1C7F" w:rsidP="000C3CC9">
      <w:pPr>
        <w:pStyle w:val="Heading2"/>
      </w:pPr>
      <w:bookmarkStart w:id="7" w:name="_Toc242785447"/>
      <w:r>
        <w:t xml:space="preserve">3.1 </w:t>
      </w:r>
      <w:r w:rsidR="009F009D" w:rsidRPr="009F009D">
        <w:t>AI as a Strategic HR Tool</w:t>
      </w:r>
      <w:bookmarkEnd w:id="7"/>
    </w:p>
    <w:p w14:paraId="25E80A99" w14:textId="7B488AFA" w:rsidR="009F009D" w:rsidRPr="009F009D" w:rsidRDefault="009F009D" w:rsidP="009F009D">
      <w:pPr>
        <w:rPr>
          <w:lang w:val="en-IN"/>
        </w:rPr>
      </w:pPr>
      <w:r w:rsidRPr="009F009D">
        <w:rPr>
          <w:lang w:val="en-IN"/>
        </w:rPr>
        <w:t xml:space="preserve">AI can be used in assisting HR decisions through facilitating team members to </w:t>
      </w:r>
      <w:proofErr w:type="spellStart"/>
      <w:r w:rsidRPr="009F009D">
        <w:rPr>
          <w:lang w:val="en-IN"/>
        </w:rPr>
        <w:t>analyze</w:t>
      </w:r>
      <w:proofErr w:type="spellEnd"/>
      <w:r w:rsidRPr="009F009D">
        <w:rPr>
          <w:lang w:val="en-IN"/>
        </w:rPr>
        <w:t xml:space="preserve"> staff data, identifying skills gaps, planning recruitment, and learning. AI could make tasks quicker, but it should provide information to guide but not make professional decisions. AI can copy human bias, use private data improperly or provide reasons for its decision making. The guidance on responsible use of AI in recruitment provided by the UK government raises concerns about discriminatory consequences and digital exclusion (DSIT, 2025). Privacy, intensity of work, and inequality were among concerns raised by the OECD (2024). HR professionals have to consider available evidence, secure confidential data, provide explanations, and give individuals an opportunity to appeal decisions made by machines.</w:t>
      </w:r>
      <w:r>
        <w:rPr>
          <w:lang w:val="en-IN"/>
        </w:rPr>
        <w:t xml:space="preserve"> </w:t>
      </w:r>
      <w:r w:rsidRPr="009F009D">
        <w:rPr>
          <w:lang w:val="en-IN"/>
        </w:rPr>
        <w:t>Empathy and context remain important when decisions affect a person’s job, development or wellbeing.</w:t>
      </w:r>
    </w:p>
    <w:p w14:paraId="51EB4B13" w14:textId="5F63A549" w:rsidR="009F009D" w:rsidRPr="009F009D" w:rsidRDefault="00BD1C7F" w:rsidP="000C3CC9">
      <w:pPr>
        <w:pStyle w:val="Heading2"/>
      </w:pPr>
      <w:bookmarkStart w:id="8" w:name="_Toc242785448"/>
      <w:r>
        <w:t xml:space="preserve">3.2 </w:t>
      </w:r>
      <w:r w:rsidR="009F009D" w:rsidRPr="009F009D">
        <w:t>Reflective Analysis: Three Examples</w:t>
      </w:r>
      <w:bookmarkEnd w:id="8"/>
    </w:p>
    <w:p w14:paraId="455C8766" w14:textId="77777777" w:rsidR="009F009D" w:rsidRPr="009F009D" w:rsidRDefault="009F009D" w:rsidP="009F009D">
      <w:pPr>
        <w:rPr>
          <w:lang w:val="en-IN"/>
        </w:rPr>
      </w:pPr>
      <w:r w:rsidRPr="009F009D">
        <w:rPr>
          <w:lang w:val="en-IN"/>
        </w:rPr>
        <w:lastRenderedPageBreak/>
        <w:t>First, I utilized AI to gain insight into topics like high-performance work systems, agile working, and hybrid work. Explanations in plain language allowed me to pinpoint important notions but could over-simplify the discussion and ignore limitations. I thus had to compare plain-language explanations to academic literature and form my own view.</w:t>
      </w:r>
    </w:p>
    <w:p w14:paraId="09C338E9" w14:textId="77777777" w:rsidR="009F009D" w:rsidRPr="009F009D" w:rsidRDefault="009F009D" w:rsidP="009F009D">
      <w:pPr>
        <w:rPr>
          <w:lang w:val="en-IN"/>
        </w:rPr>
      </w:pPr>
      <w:r w:rsidRPr="009F009D">
        <w:rPr>
          <w:lang w:val="en-IN"/>
        </w:rPr>
        <w:t>Second, I used AI to explore research terminology and potential references regarding work design and collaboration between employees. AI allowed me to generate search words and determine themes that were worth investigating. However, one should note that an AI recommendation is not enough to prove that the source is credible. It is necessary for me to verify the author, place of publication, date, and DOI or the original web address before I could use a certain reference.</w:t>
      </w:r>
    </w:p>
    <w:p w14:paraId="166BC898" w14:textId="216B08DB" w:rsidR="009F009D" w:rsidRPr="009F009D" w:rsidRDefault="009F009D" w:rsidP="009F009D">
      <w:pPr>
        <w:rPr>
          <w:lang w:val="en-IN"/>
        </w:rPr>
      </w:pPr>
      <w:r w:rsidRPr="009F009D">
        <w:rPr>
          <w:lang w:val="en-IN"/>
        </w:rPr>
        <w:t>Third, I used AI to find possible recommendations and correct grammar and wording issues. In this dialogue, AI also contributed to producing the first draft of Task A. It would thus be inaccurate to state that all sentences have been written without any outside help. My responsibility is to verify all claims and references and adjust any wording that contradicts my own understanding. The CIPD (2024) encourages people professionals to use technology responsibly and think about its consequences for their employees.</w:t>
      </w:r>
    </w:p>
    <w:p w14:paraId="3FFB1B6D" w14:textId="7F6E7105" w:rsidR="009F009D" w:rsidRPr="009F009D" w:rsidRDefault="00BD1C7F" w:rsidP="000C3CC9">
      <w:pPr>
        <w:pStyle w:val="Heading2"/>
      </w:pPr>
      <w:bookmarkStart w:id="9" w:name="_Toc242785449"/>
      <w:r>
        <w:t xml:space="preserve">3.3 </w:t>
      </w:r>
      <w:r w:rsidR="009F009D" w:rsidRPr="009F009D">
        <w:t>Personal Capability Development Action Plan</w:t>
      </w:r>
      <w:bookmarkEnd w:id="9"/>
    </w:p>
    <w:tbl>
      <w:tblPr>
        <w:tblStyle w:val="TableGrid"/>
        <w:tblW w:w="0" w:type="auto"/>
        <w:tblLook w:val="04A0" w:firstRow="1" w:lastRow="0" w:firstColumn="1" w:lastColumn="0" w:noHBand="0" w:noVBand="1"/>
      </w:tblPr>
      <w:tblGrid>
        <w:gridCol w:w="1884"/>
        <w:gridCol w:w="3240"/>
        <w:gridCol w:w="1539"/>
        <w:gridCol w:w="2579"/>
      </w:tblGrid>
      <w:tr w:rsidR="009F009D" w:rsidRPr="009F009D" w14:paraId="5E927204" w14:textId="77777777" w:rsidTr="009F009D">
        <w:tc>
          <w:tcPr>
            <w:tcW w:w="0" w:type="auto"/>
            <w:hideMark/>
          </w:tcPr>
          <w:p w14:paraId="1F5804E2" w14:textId="77777777" w:rsidR="009F009D" w:rsidRPr="009F009D" w:rsidRDefault="009F009D" w:rsidP="009F009D">
            <w:pPr>
              <w:rPr>
                <w:b/>
                <w:bCs/>
                <w:lang w:val="en-IN"/>
              </w:rPr>
            </w:pPr>
            <w:r w:rsidRPr="009F009D">
              <w:rPr>
                <w:b/>
                <w:bCs/>
                <w:lang w:val="en-IN"/>
              </w:rPr>
              <w:t>Development need</w:t>
            </w:r>
          </w:p>
        </w:tc>
        <w:tc>
          <w:tcPr>
            <w:tcW w:w="0" w:type="auto"/>
            <w:hideMark/>
          </w:tcPr>
          <w:p w14:paraId="0EC0153E" w14:textId="77777777" w:rsidR="009F009D" w:rsidRPr="009F009D" w:rsidRDefault="009F009D" w:rsidP="009F009D">
            <w:pPr>
              <w:rPr>
                <w:b/>
                <w:bCs/>
                <w:lang w:val="en-IN"/>
              </w:rPr>
            </w:pPr>
            <w:r w:rsidRPr="009F009D">
              <w:rPr>
                <w:b/>
                <w:bCs/>
                <w:lang w:val="en-IN"/>
              </w:rPr>
              <w:t>Action</w:t>
            </w:r>
          </w:p>
        </w:tc>
        <w:tc>
          <w:tcPr>
            <w:tcW w:w="0" w:type="auto"/>
            <w:hideMark/>
          </w:tcPr>
          <w:p w14:paraId="79FB9568" w14:textId="77777777" w:rsidR="009F009D" w:rsidRPr="009F009D" w:rsidRDefault="009F009D" w:rsidP="009F009D">
            <w:pPr>
              <w:rPr>
                <w:b/>
                <w:bCs/>
                <w:lang w:val="en-IN"/>
              </w:rPr>
            </w:pPr>
            <w:r w:rsidRPr="009F009D">
              <w:rPr>
                <w:b/>
                <w:bCs/>
                <w:lang w:val="en-IN"/>
              </w:rPr>
              <w:t>Timescale</w:t>
            </w:r>
          </w:p>
        </w:tc>
        <w:tc>
          <w:tcPr>
            <w:tcW w:w="0" w:type="auto"/>
            <w:hideMark/>
          </w:tcPr>
          <w:p w14:paraId="439FA53A" w14:textId="77777777" w:rsidR="009F009D" w:rsidRPr="009F009D" w:rsidRDefault="009F009D" w:rsidP="009F009D">
            <w:pPr>
              <w:rPr>
                <w:b/>
                <w:bCs/>
                <w:lang w:val="en-IN"/>
              </w:rPr>
            </w:pPr>
            <w:r w:rsidRPr="009F009D">
              <w:rPr>
                <w:b/>
                <w:bCs/>
                <w:lang w:val="en-IN"/>
              </w:rPr>
              <w:t>Success measure</w:t>
            </w:r>
          </w:p>
        </w:tc>
      </w:tr>
      <w:tr w:rsidR="009F009D" w:rsidRPr="009F009D" w14:paraId="0A9B4824" w14:textId="77777777" w:rsidTr="009F009D">
        <w:tc>
          <w:tcPr>
            <w:tcW w:w="0" w:type="auto"/>
            <w:hideMark/>
          </w:tcPr>
          <w:p w14:paraId="332CFC63" w14:textId="77777777" w:rsidR="009F009D" w:rsidRPr="009F009D" w:rsidRDefault="009F009D" w:rsidP="009F009D">
            <w:pPr>
              <w:rPr>
                <w:lang w:val="en-IN"/>
              </w:rPr>
            </w:pPr>
            <w:r w:rsidRPr="009F009D">
              <w:rPr>
                <w:lang w:val="en-IN"/>
              </w:rPr>
              <w:t>Research and source checking</w:t>
            </w:r>
          </w:p>
        </w:tc>
        <w:tc>
          <w:tcPr>
            <w:tcW w:w="0" w:type="auto"/>
            <w:hideMark/>
          </w:tcPr>
          <w:p w14:paraId="5FDB423F" w14:textId="77777777" w:rsidR="009F009D" w:rsidRPr="009F009D" w:rsidRDefault="009F009D" w:rsidP="009F009D">
            <w:pPr>
              <w:rPr>
                <w:lang w:val="en-IN"/>
              </w:rPr>
            </w:pPr>
            <w:r w:rsidRPr="009F009D">
              <w:rPr>
                <w:lang w:val="en-IN"/>
              </w:rPr>
              <w:t>Verify every reference in the original publication or official website.</w:t>
            </w:r>
          </w:p>
        </w:tc>
        <w:tc>
          <w:tcPr>
            <w:tcW w:w="0" w:type="auto"/>
            <w:hideMark/>
          </w:tcPr>
          <w:p w14:paraId="79895462" w14:textId="77777777" w:rsidR="009F009D" w:rsidRPr="009F009D" w:rsidRDefault="009F009D" w:rsidP="009F009D">
            <w:pPr>
              <w:rPr>
                <w:lang w:val="en-IN"/>
              </w:rPr>
            </w:pPr>
            <w:r w:rsidRPr="009F009D">
              <w:rPr>
                <w:lang w:val="en-IN"/>
              </w:rPr>
              <w:t>Before each submission</w:t>
            </w:r>
          </w:p>
        </w:tc>
        <w:tc>
          <w:tcPr>
            <w:tcW w:w="0" w:type="auto"/>
            <w:hideMark/>
          </w:tcPr>
          <w:p w14:paraId="24772A37" w14:textId="77777777" w:rsidR="009F009D" w:rsidRPr="009F009D" w:rsidRDefault="009F009D" w:rsidP="009F009D">
            <w:pPr>
              <w:rPr>
                <w:lang w:val="en-IN"/>
              </w:rPr>
            </w:pPr>
            <w:r w:rsidRPr="009F009D">
              <w:rPr>
                <w:lang w:val="en-IN"/>
              </w:rPr>
              <w:t>All sources are traceable and accurately cited.</w:t>
            </w:r>
          </w:p>
        </w:tc>
      </w:tr>
      <w:tr w:rsidR="009F009D" w:rsidRPr="009F009D" w14:paraId="690D1ECB" w14:textId="77777777" w:rsidTr="009F009D">
        <w:tc>
          <w:tcPr>
            <w:tcW w:w="0" w:type="auto"/>
            <w:hideMark/>
          </w:tcPr>
          <w:p w14:paraId="022B3D7C" w14:textId="77777777" w:rsidR="009F009D" w:rsidRPr="009F009D" w:rsidRDefault="009F009D" w:rsidP="009F009D">
            <w:pPr>
              <w:rPr>
                <w:lang w:val="en-IN"/>
              </w:rPr>
            </w:pPr>
            <w:r w:rsidRPr="009F009D">
              <w:rPr>
                <w:lang w:val="en-IN"/>
              </w:rPr>
              <w:t>Ethical AI use</w:t>
            </w:r>
          </w:p>
        </w:tc>
        <w:tc>
          <w:tcPr>
            <w:tcW w:w="0" w:type="auto"/>
            <w:hideMark/>
          </w:tcPr>
          <w:p w14:paraId="4FE27E8F" w14:textId="77777777" w:rsidR="009F009D" w:rsidRPr="009F009D" w:rsidRDefault="009F009D" w:rsidP="009F009D">
            <w:pPr>
              <w:rPr>
                <w:lang w:val="en-IN"/>
              </w:rPr>
            </w:pPr>
            <w:r w:rsidRPr="009F009D">
              <w:rPr>
                <w:lang w:val="en-IN"/>
              </w:rPr>
              <w:t>Learn about bias, privacy, transparency and human oversight in HR.</w:t>
            </w:r>
          </w:p>
        </w:tc>
        <w:tc>
          <w:tcPr>
            <w:tcW w:w="0" w:type="auto"/>
            <w:hideMark/>
          </w:tcPr>
          <w:p w14:paraId="3F1E1CDA" w14:textId="77777777" w:rsidR="009F009D" w:rsidRPr="009F009D" w:rsidRDefault="009F009D" w:rsidP="009F009D">
            <w:pPr>
              <w:rPr>
                <w:lang w:val="en-IN"/>
              </w:rPr>
            </w:pPr>
            <w:r w:rsidRPr="009F009D">
              <w:rPr>
                <w:lang w:val="en-IN"/>
              </w:rPr>
              <w:t>Within 3 months</w:t>
            </w:r>
          </w:p>
        </w:tc>
        <w:tc>
          <w:tcPr>
            <w:tcW w:w="0" w:type="auto"/>
            <w:hideMark/>
          </w:tcPr>
          <w:p w14:paraId="0145AD11" w14:textId="77777777" w:rsidR="009F009D" w:rsidRPr="009F009D" w:rsidRDefault="009F009D" w:rsidP="009F009D">
            <w:pPr>
              <w:rPr>
                <w:lang w:val="en-IN"/>
              </w:rPr>
            </w:pPr>
            <w:r w:rsidRPr="009F009D">
              <w:rPr>
                <w:lang w:val="en-IN"/>
              </w:rPr>
              <w:t>Apply a checklist to any AI-supported HR task.</w:t>
            </w:r>
          </w:p>
        </w:tc>
      </w:tr>
      <w:tr w:rsidR="009F009D" w:rsidRPr="009F009D" w14:paraId="0E78A8D6" w14:textId="77777777" w:rsidTr="009F009D">
        <w:tc>
          <w:tcPr>
            <w:tcW w:w="0" w:type="auto"/>
            <w:hideMark/>
          </w:tcPr>
          <w:p w14:paraId="376345BD" w14:textId="77777777" w:rsidR="009F009D" w:rsidRPr="009F009D" w:rsidRDefault="009F009D" w:rsidP="009F009D">
            <w:pPr>
              <w:rPr>
                <w:lang w:val="en-IN"/>
              </w:rPr>
            </w:pPr>
            <w:r w:rsidRPr="009F009D">
              <w:rPr>
                <w:lang w:val="en-IN"/>
              </w:rPr>
              <w:t>Critical writing and judgement</w:t>
            </w:r>
          </w:p>
        </w:tc>
        <w:tc>
          <w:tcPr>
            <w:tcW w:w="0" w:type="auto"/>
            <w:hideMark/>
          </w:tcPr>
          <w:p w14:paraId="7677297E" w14:textId="77777777" w:rsidR="009F009D" w:rsidRPr="009F009D" w:rsidRDefault="009F009D" w:rsidP="009F009D">
            <w:pPr>
              <w:rPr>
                <w:lang w:val="en-IN"/>
              </w:rPr>
            </w:pPr>
            <w:r w:rsidRPr="009F009D">
              <w:rPr>
                <w:lang w:val="en-IN"/>
              </w:rPr>
              <w:t>Draft arguments independently before using AI for feedback; record what I accept or reject and why.</w:t>
            </w:r>
          </w:p>
        </w:tc>
        <w:tc>
          <w:tcPr>
            <w:tcW w:w="0" w:type="auto"/>
            <w:hideMark/>
          </w:tcPr>
          <w:p w14:paraId="547FABB3" w14:textId="77777777" w:rsidR="009F009D" w:rsidRPr="009F009D" w:rsidRDefault="009F009D" w:rsidP="009F009D">
            <w:pPr>
              <w:rPr>
                <w:lang w:val="en-IN"/>
              </w:rPr>
            </w:pPr>
            <w:r w:rsidRPr="009F009D">
              <w:rPr>
                <w:lang w:val="en-IN"/>
              </w:rPr>
              <w:t>Weekly for 3 months</w:t>
            </w:r>
          </w:p>
        </w:tc>
        <w:tc>
          <w:tcPr>
            <w:tcW w:w="0" w:type="auto"/>
            <w:hideMark/>
          </w:tcPr>
          <w:p w14:paraId="40EAE5A4" w14:textId="77777777" w:rsidR="009F009D" w:rsidRPr="009F009D" w:rsidRDefault="009F009D" w:rsidP="009F009D">
            <w:pPr>
              <w:rPr>
                <w:lang w:val="en-IN"/>
              </w:rPr>
            </w:pPr>
            <w:r w:rsidRPr="009F009D">
              <w:rPr>
                <w:lang w:val="en-IN"/>
              </w:rPr>
              <w:t>Produce clearer work with evidence-based reasoning and fewer unverified claims.</w:t>
            </w:r>
          </w:p>
        </w:tc>
      </w:tr>
    </w:tbl>
    <w:p w14:paraId="6E9F217E" w14:textId="77777777" w:rsidR="009F009D" w:rsidRDefault="009F009D" w:rsidP="009F009D">
      <w:pPr>
        <w:rPr>
          <w:lang w:val="en-IN"/>
        </w:rPr>
      </w:pPr>
      <w:r w:rsidRPr="009F009D">
        <w:rPr>
          <w:lang w:val="en-IN"/>
        </w:rPr>
        <w:lastRenderedPageBreak/>
        <w:t>In conclusion, AI can assist my future HR practice as long as I use it transparently and critically. I will retain accountability for decisions, ensure confidentiality and treat employees fairly.</w:t>
      </w:r>
    </w:p>
    <w:p w14:paraId="60C3FE25" w14:textId="77777777" w:rsidR="00BD1C7F" w:rsidRDefault="00BD1C7F">
      <w:pPr>
        <w:spacing w:before="0" w:after="200" w:line="276" w:lineRule="auto"/>
        <w:jc w:val="left"/>
        <w:rPr>
          <w:b/>
          <w:bCs/>
          <w:lang w:val="en-IN"/>
        </w:rPr>
      </w:pPr>
      <w:r>
        <w:rPr>
          <w:b/>
          <w:bCs/>
          <w:lang w:val="en-IN"/>
        </w:rPr>
        <w:br w:type="page"/>
      </w:r>
    </w:p>
    <w:p w14:paraId="688E6CB0" w14:textId="4AF2D436" w:rsidR="009F009D" w:rsidRPr="009F009D" w:rsidRDefault="009F009D" w:rsidP="000C3CC9">
      <w:pPr>
        <w:pStyle w:val="Heading1"/>
      </w:pPr>
      <w:bookmarkStart w:id="10" w:name="_Toc242785450"/>
      <w:r w:rsidRPr="009F009D">
        <w:lastRenderedPageBreak/>
        <w:t>References</w:t>
      </w:r>
      <w:bookmarkEnd w:id="10"/>
    </w:p>
    <w:p w14:paraId="58D994B0" w14:textId="77777777" w:rsidR="00BD1C7F" w:rsidRPr="009F009D" w:rsidRDefault="00BD1C7F" w:rsidP="009F009D">
      <w:proofErr w:type="spellStart"/>
      <w:r w:rsidRPr="009F009D">
        <w:t>Aljbour</w:t>
      </w:r>
      <w:proofErr w:type="spellEnd"/>
      <w:r w:rsidRPr="009F009D">
        <w:t xml:space="preserve">, A., French, E. and Ali, M. (2022) ‘An evidence-based multilevel framework of talent management: a systematic review’, International Journal of Productivity and Performance Management, 71(8), pp. 3348–3376. Available at: </w:t>
      </w:r>
      <w:hyperlink r:id="rId9" w:history="1">
        <w:r w:rsidRPr="00526C70">
          <w:rPr>
            <w:rStyle w:val="Hyperlink"/>
          </w:rPr>
          <w:t>https://doi.org/10.1108/IJPPM-02-2020-0065</w:t>
        </w:r>
      </w:hyperlink>
      <w:r>
        <w:t xml:space="preserve"> </w:t>
      </w:r>
    </w:p>
    <w:p w14:paraId="2E2A057F" w14:textId="77777777" w:rsidR="00BD1C7F" w:rsidRDefault="00BD1C7F" w:rsidP="00BA6C3A">
      <w:r>
        <w:t xml:space="preserve">Bhatti, S.H., Zakariya, R., Vrontis, D., Santoro, G. and Christofi, M. (2021) ‘High-performance work systems, innovation and knowledge sharing: An empirical analysis in the context of project-based organizations’, Employee Relations, 43(2), pp. 1–20. Available at: </w:t>
      </w:r>
      <w:hyperlink r:id="rId10" w:history="1">
        <w:r w:rsidRPr="009B3155">
          <w:rPr>
            <w:rStyle w:val="Hyperlink"/>
          </w:rPr>
          <w:t>https://doi.org/10.1108/ER-10-2019-0403</w:t>
        </w:r>
      </w:hyperlink>
      <w:r>
        <w:t xml:space="preserve"> </w:t>
      </w:r>
    </w:p>
    <w:p w14:paraId="1D219FA6" w14:textId="77777777" w:rsidR="00BD1C7F" w:rsidRDefault="00BD1C7F" w:rsidP="00BA6C3A">
      <w:r>
        <w:t xml:space="preserve">Bloom, N., Han, R. and Liang, J. (2024) ‘Hybrid working from home improves retention without damaging performance’, Nature, 630, pp. 920–925. Available at: </w:t>
      </w:r>
      <w:hyperlink r:id="rId11" w:history="1">
        <w:r w:rsidRPr="009B3155">
          <w:rPr>
            <w:rStyle w:val="Hyperlink"/>
          </w:rPr>
          <w:t>https://doi.org/10.1038/s41586-024-07500-2</w:t>
        </w:r>
      </w:hyperlink>
      <w:r>
        <w:t xml:space="preserve"> </w:t>
      </w:r>
    </w:p>
    <w:p w14:paraId="2DF653DC" w14:textId="77777777" w:rsidR="00BD1C7F" w:rsidRDefault="00BD1C7F" w:rsidP="00BA6C3A">
      <w:proofErr w:type="spellStart"/>
      <w:r>
        <w:t>Carayon</w:t>
      </w:r>
      <w:proofErr w:type="spellEnd"/>
      <w:r>
        <w:t xml:space="preserve">, P. and Salwei, M.E. (2021) ‘Moving toward a sociotechnical systems approach to continuous health information technology design: the path forward for improving electronic health record usability and reducing clinician burnout’, Journal of the American Medical Informatics Association, 28(5), pp. 1026–1028. Available at: </w:t>
      </w:r>
      <w:hyperlink r:id="rId12" w:history="1">
        <w:r w:rsidRPr="009B3155">
          <w:rPr>
            <w:rStyle w:val="Hyperlink"/>
          </w:rPr>
          <w:t>https://doi.org/10.1093/jamia/ocab002</w:t>
        </w:r>
      </w:hyperlink>
      <w:r>
        <w:t xml:space="preserve"> </w:t>
      </w:r>
    </w:p>
    <w:p w14:paraId="5DFBED5F" w14:textId="77777777" w:rsidR="00BD1C7F" w:rsidRDefault="00BD1C7F" w:rsidP="00BA6C3A">
      <w:r>
        <w:t xml:space="preserve">Chen, Y.-L. and Chen, S.-J. (2023) ‘Looking at both sides of high-performance work systems and individual performance: a job demands-resources model’, Journal of Management &amp; Organization, 29(5), pp. 872–892. Available at: </w:t>
      </w:r>
      <w:hyperlink r:id="rId13" w:history="1">
        <w:r w:rsidRPr="009B3155">
          <w:rPr>
            <w:rStyle w:val="Hyperlink"/>
          </w:rPr>
          <w:t>https://doi.org/10.1017/jmo.2021.4</w:t>
        </w:r>
      </w:hyperlink>
      <w:r>
        <w:t xml:space="preserve"> </w:t>
      </w:r>
    </w:p>
    <w:p w14:paraId="24CE362C" w14:textId="77777777" w:rsidR="00BD1C7F" w:rsidRPr="009F009D" w:rsidRDefault="00BD1C7F" w:rsidP="009F009D">
      <w:r w:rsidRPr="009F009D">
        <w:t xml:space="preserve">CIPD (2021) Learning and skills at work. Available at: </w:t>
      </w:r>
      <w:hyperlink r:id="rId14" w:history="1">
        <w:r w:rsidRPr="00526C70">
          <w:rPr>
            <w:rStyle w:val="Hyperlink"/>
          </w:rPr>
          <w:t>https://www.cipd.org/uk/knowledge/reports/learning-skills-work/</w:t>
        </w:r>
      </w:hyperlink>
      <w:r>
        <w:t xml:space="preserve"> </w:t>
      </w:r>
    </w:p>
    <w:p w14:paraId="1600F59A" w14:textId="77777777" w:rsidR="00BD1C7F" w:rsidRDefault="00BD1C7F" w:rsidP="00BA6C3A">
      <w:r>
        <w:t xml:space="preserve">CIPD (2023) Flexible working: the business case. Available at: </w:t>
      </w:r>
      <w:hyperlink r:id="rId15" w:history="1">
        <w:r w:rsidRPr="009B3155">
          <w:rPr>
            <w:rStyle w:val="Hyperlink"/>
          </w:rPr>
          <w:t>https://www.cipd.org/globalassets/media/knowledge/knowledge-hub/reports/2023-pdfs/2023-flexible-working-the-business-case-august.pdf</w:t>
        </w:r>
      </w:hyperlink>
      <w:r>
        <w:t xml:space="preserve"> </w:t>
      </w:r>
    </w:p>
    <w:p w14:paraId="3DDAD097" w14:textId="77777777" w:rsidR="00BD1C7F" w:rsidRPr="009F009D" w:rsidRDefault="00BD1C7F" w:rsidP="009F009D">
      <w:r w:rsidRPr="009F009D">
        <w:t xml:space="preserve">CIPD (2023) Learning at work 2023: Survey report. Available at: </w:t>
      </w:r>
      <w:hyperlink r:id="rId16" w:history="1">
        <w:r w:rsidRPr="00526C70">
          <w:rPr>
            <w:rStyle w:val="Hyperlink"/>
          </w:rPr>
          <w:t>https://www.cipd.org/en/knowledge/reports/learning-at-work/</w:t>
        </w:r>
      </w:hyperlink>
      <w:r>
        <w:t xml:space="preserve"> </w:t>
      </w:r>
    </w:p>
    <w:p w14:paraId="0E80FAD0" w14:textId="77777777" w:rsidR="00BD1C7F" w:rsidRPr="009F009D" w:rsidRDefault="00BD1C7F" w:rsidP="009F009D">
      <w:pPr>
        <w:rPr>
          <w:lang w:val="en-IN"/>
        </w:rPr>
      </w:pPr>
      <w:r w:rsidRPr="009F009D">
        <w:rPr>
          <w:lang w:val="en-IN"/>
        </w:rPr>
        <w:t xml:space="preserve">CIPD (2024) </w:t>
      </w:r>
      <w:r w:rsidRPr="009F009D">
        <w:rPr>
          <w:i/>
          <w:iCs/>
          <w:lang w:val="en-IN"/>
        </w:rPr>
        <w:t>Using technology responsibly: Guidance for people professionals</w:t>
      </w:r>
      <w:r w:rsidRPr="009F009D">
        <w:rPr>
          <w:lang w:val="en-IN"/>
        </w:rPr>
        <w:t xml:space="preserve">. Available at: </w:t>
      </w:r>
      <w:hyperlink r:id="rId17" w:history="1">
        <w:r w:rsidRPr="009F009D">
          <w:rPr>
            <w:rStyle w:val="Hyperlink"/>
            <w:lang w:val="en-IN"/>
          </w:rPr>
          <w:t>https://prod.cipd.org/uk/knowledge/guides/responsible-technology-use/</w:t>
        </w:r>
      </w:hyperlink>
      <w:r w:rsidRPr="009F009D">
        <w:rPr>
          <w:lang w:val="en-IN"/>
        </w:rPr>
        <w:t xml:space="preserve"> (Accessed: 13 October 2026).</w:t>
      </w:r>
    </w:p>
    <w:p w14:paraId="0522BBC2" w14:textId="77777777" w:rsidR="00BD1C7F" w:rsidRDefault="00BD1C7F" w:rsidP="00BA6C3A">
      <w:r>
        <w:lastRenderedPageBreak/>
        <w:t xml:space="preserve">CIPD (2025) Flexible and hybrid working practices in 2025. Available at: </w:t>
      </w:r>
      <w:hyperlink r:id="rId18" w:history="1">
        <w:r w:rsidRPr="009B3155">
          <w:rPr>
            <w:rStyle w:val="Hyperlink"/>
          </w:rPr>
          <w:t>https://www.cipd.org/en/knowledge/reports/flexible-hybrid-working/</w:t>
        </w:r>
      </w:hyperlink>
      <w:r>
        <w:t xml:space="preserve"> </w:t>
      </w:r>
    </w:p>
    <w:p w14:paraId="2089ABD0" w14:textId="77777777" w:rsidR="00BD1C7F" w:rsidRPr="009F009D" w:rsidRDefault="00BD1C7F" w:rsidP="009F009D">
      <w:r w:rsidRPr="009F009D">
        <w:t xml:space="preserve">CIPD (2025) Good Work Index 2025. Available at: </w:t>
      </w:r>
      <w:hyperlink r:id="rId19" w:history="1">
        <w:r w:rsidRPr="00526C70">
          <w:rPr>
            <w:rStyle w:val="Hyperlink"/>
          </w:rPr>
          <w:t>https://www.cipd.org/globalassets/media/knowledge/knowledge-hub/reports/2025-pdfs/8868-good-work-index-2025-report-web1.pdf</w:t>
        </w:r>
      </w:hyperlink>
      <w:r>
        <w:t xml:space="preserve"> </w:t>
      </w:r>
    </w:p>
    <w:p w14:paraId="5C911617" w14:textId="77777777" w:rsidR="00BD1C7F" w:rsidRPr="009F009D" w:rsidRDefault="00BD1C7F" w:rsidP="009F009D">
      <w:r w:rsidRPr="009F009D">
        <w:t xml:space="preserve">Deci, E.L., Olafsen, A.H. and Ryan, R.M. (2017) ‘Self-determination theory in work organizations: the state of a science’, Annual Review of Organizational Psychology and Organizational Behavior, 4, pp. 19–43. Available at: </w:t>
      </w:r>
      <w:hyperlink r:id="rId20" w:history="1">
        <w:r w:rsidRPr="00526C70">
          <w:rPr>
            <w:rStyle w:val="Hyperlink"/>
          </w:rPr>
          <w:t>https://doi.org/10.1146/annurev-orgpsych-032516-113108</w:t>
        </w:r>
      </w:hyperlink>
      <w:r>
        <w:t xml:space="preserve"> </w:t>
      </w:r>
    </w:p>
    <w:p w14:paraId="45094DCB" w14:textId="77777777" w:rsidR="00BD1C7F" w:rsidRPr="009F009D" w:rsidRDefault="00BD1C7F" w:rsidP="009F009D">
      <w:pPr>
        <w:rPr>
          <w:lang w:val="en-IN"/>
        </w:rPr>
      </w:pPr>
      <w:r w:rsidRPr="009F009D">
        <w:rPr>
          <w:lang w:val="en-IN"/>
        </w:rPr>
        <w:t xml:space="preserve">Department for Science, Innovation and Technology (DSIT) (2025) </w:t>
      </w:r>
      <w:r w:rsidRPr="009F009D">
        <w:rPr>
          <w:i/>
          <w:iCs/>
          <w:lang w:val="en-IN"/>
        </w:rPr>
        <w:t>Responsible AI in Recruitment guide</w:t>
      </w:r>
      <w:r w:rsidRPr="009F009D">
        <w:rPr>
          <w:lang w:val="en-IN"/>
        </w:rPr>
        <w:t xml:space="preserve">. Available at: </w:t>
      </w:r>
      <w:hyperlink r:id="rId21" w:history="1">
        <w:r w:rsidRPr="009F009D">
          <w:rPr>
            <w:rStyle w:val="Hyperlink"/>
            <w:lang w:val="en-IN"/>
          </w:rPr>
          <w:t>https://www.gov.uk/data-ethics-guidance/responsible-ai-in-recruitment-guide</w:t>
        </w:r>
      </w:hyperlink>
      <w:r w:rsidRPr="009F009D">
        <w:rPr>
          <w:lang w:val="en-IN"/>
        </w:rPr>
        <w:t xml:space="preserve"> (Accessed: 13 October 2026).</w:t>
      </w:r>
    </w:p>
    <w:p w14:paraId="10FA2BA2" w14:textId="77777777" w:rsidR="00BD1C7F" w:rsidRPr="009F009D" w:rsidRDefault="00BD1C7F" w:rsidP="009F009D">
      <w:r w:rsidRPr="009F009D">
        <w:t xml:space="preserve">Edmondson, A.C. and Bransby, D.P. (2023) ‘Psychological safety comes of age: observed themes in an established literature’, Annual Review of Organizational Psychology and Organizational Behavior, 10, pp. 55–78. Available at: </w:t>
      </w:r>
      <w:hyperlink r:id="rId22" w:history="1">
        <w:r w:rsidRPr="00526C70">
          <w:rPr>
            <w:rStyle w:val="Hyperlink"/>
          </w:rPr>
          <w:t>https://doi.org/10.1146/annurev-orgpsych-120920-055217</w:t>
        </w:r>
      </w:hyperlink>
      <w:r>
        <w:t xml:space="preserve"> </w:t>
      </w:r>
    </w:p>
    <w:p w14:paraId="686892E2" w14:textId="77777777" w:rsidR="00BD1C7F" w:rsidRPr="009F009D" w:rsidRDefault="00BD1C7F" w:rsidP="009F009D">
      <w:r w:rsidRPr="009F009D">
        <w:t xml:space="preserve">Fitzhugh, H. and Daniels, K. (2025) A rapid review of reviews on the nature of the relationship between learning and development and employee engagement, wellbeing, attraction and retention. Government Skills. Available at: </w:t>
      </w:r>
      <w:hyperlink r:id="rId23" w:history="1">
        <w:r w:rsidRPr="00526C70">
          <w:rPr>
            <w:rStyle w:val="Hyperlink"/>
          </w:rPr>
          <w:t>https://www.gov.uk/government/publications/learning-and-development-employee-engagement-and-wellbeing</w:t>
        </w:r>
      </w:hyperlink>
      <w:r>
        <w:t xml:space="preserve"> </w:t>
      </w:r>
    </w:p>
    <w:p w14:paraId="0ED7C850" w14:textId="451BF976" w:rsidR="00BD1C7F" w:rsidRPr="009F009D" w:rsidRDefault="00BD1C7F" w:rsidP="009F009D">
      <w:r w:rsidRPr="009F009D">
        <w:t xml:space="preserve">Gallardo-Gallardo, E. </w:t>
      </w:r>
      <w:r w:rsidRPr="00BD1C7F">
        <w:rPr>
          <w:i/>
          <w:iCs/>
        </w:rPr>
        <w:t>et al</w:t>
      </w:r>
      <w:r w:rsidRPr="009F009D">
        <w:t xml:space="preserve">. (2023) ‘Inclusive talent development as a key talent management approach: a systematic literature review’, Human Resource Management Review, 33(1), 100926. Available at: </w:t>
      </w:r>
      <w:hyperlink r:id="rId24" w:history="1">
        <w:r w:rsidRPr="00526C70">
          <w:rPr>
            <w:rStyle w:val="Hyperlink"/>
          </w:rPr>
          <w:t>https://doi.org/10.1016/j.hrmr.2022.100926</w:t>
        </w:r>
      </w:hyperlink>
      <w:r>
        <w:t xml:space="preserve"> </w:t>
      </w:r>
    </w:p>
    <w:p w14:paraId="072C613C" w14:textId="77777777" w:rsidR="00BD1C7F" w:rsidRPr="009F009D" w:rsidRDefault="00BD1C7F" w:rsidP="009F009D">
      <w:r w:rsidRPr="009F009D">
        <w:t xml:space="preserve">Gallup (2025) State of the Global Workplace: 2025 Report. Available at: </w:t>
      </w:r>
      <w:hyperlink r:id="rId25" w:history="1">
        <w:r w:rsidRPr="00526C70">
          <w:rPr>
            <w:rStyle w:val="Hyperlink"/>
          </w:rPr>
          <w:t>https://www.gallup.com/workplace/349484/state-of-the-global-workplace.aspx</w:t>
        </w:r>
      </w:hyperlink>
      <w:r>
        <w:t xml:space="preserve"> </w:t>
      </w:r>
    </w:p>
    <w:p w14:paraId="4C9AE8CD" w14:textId="77777777" w:rsidR="00BD1C7F" w:rsidRDefault="00BD1C7F" w:rsidP="00BA6C3A">
      <w:r>
        <w:t xml:space="preserve">Huang, H. and Wang, Q. (2024) ‘Within digital collaborative teams, how can leaders promote productive knowledge sharing among members with diverse settings?’, Digital Economy and Sustainable Development, 2, Article 2. Available at: </w:t>
      </w:r>
      <w:hyperlink r:id="rId26" w:history="1">
        <w:r w:rsidRPr="009B3155">
          <w:rPr>
            <w:rStyle w:val="Hyperlink"/>
          </w:rPr>
          <w:t>https://doi.org/10.1007/s44265-023-00027-w</w:t>
        </w:r>
      </w:hyperlink>
      <w:r>
        <w:t xml:space="preserve"> </w:t>
      </w:r>
    </w:p>
    <w:p w14:paraId="6DE1EE8A" w14:textId="77777777" w:rsidR="00BD1C7F" w:rsidRDefault="00BD1C7F" w:rsidP="00BA6C3A">
      <w:r>
        <w:lastRenderedPageBreak/>
        <w:t xml:space="preserve">Kaushik, D. and Mukherjee, U. (2022) ‘High-performance work system: a systematic review of literature’, International Journal of Organizational Analysis, 30(6), pp. 1624–1643. Available at: </w:t>
      </w:r>
      <w:hyperlink r:id="rId27" w:history="1">
        <w:r w:rsidRPr="009B3155">
          <w:rPr>
            <w:rStyle w:val="Hyperlink"/>
          </w:rPr>
          <w:t>https://doi.org/10.1108/IJOA-07-2020-2282</w:t>
        </w:r>
      </w:hyperlink>
      <w:r>
        <w:t xml:space="preserve"> </w:t>
      </w:r>
    </w:p>
    <w:p w14:paraId="0F891DD2" w14:textId="77777777" w:rsidR="00BD1C7F" w:rsidRDefault="00BD1C7F" w:rsidP="00BA6C3A">
      <w:r>
        <w:t xml:space="preserve">Microsoft (2021) The next great disruption is hybrid work—are we ready? Work Trend Index. Available at: </w:t>
      </w:r>
      <w:hyperlink r:id="rId28" w:history="1">
        <w:r w:rsidRPr="009B3155">
          <w:rPr>
            <w:rStyle w:val="Hyperlink"/>
          </w:rPr>
          <w:t>https://www.microsoft.com/en-us/worklab/work-trend-index/hybrid-work</w:t>
        </w:r>
      </w:hyperlink>
      <w:r>
        <w:t xml:space="preserve"> </w:t>
      </w:r>
    </w:p>
    <w:p w14:paraId="1A49B42B" w14:textId="77777777" w:rsidR="00BD1C7F" w:rsidRPr="009F009D" w:rsidRDefault="00BD1C7F" w:rsidP="009F009D">
      <w:pPr>
        <w:rPr>
          <w:lang w:val="en-IN"/>
        </w:rPr>
      </w:pPr>
      <w:r w:rsidRPr="009F009D">
        <w:rPr>
          <w:lang w:val="en-IN"/>
        </w:rPr>
        <w:t xml:space="preserve">OECD (2024) </w:t>
      </w:r>
      <w:r w:rsidRPr="009F009D">
        <w:rPr>
          <w:i/>
          <w:iCs/>
          <w:lang w:val="en-IN"/>
        </w:rPr>
        <w:t>Using AI in the workplace: Opportunities, risks and policy responses</w:t>
      </w:r>
      <w:r w:rsidRPr="009F009D">
        <w:rPr>
          <w:lang w:val="en-IN"/>
        </w:rPr>
        <w:t xml:space="preserve">. OECD Artificial Intelligence Papers, No. 11. Paris: OECD Publishing. Available at: </w:t>
      </w:r>
      <w:hyperlink r:id="rId29" w:history="1">
        <w:r w:rsidRPr="009F009D">
          <w:rPr>
            <w:rStyle w:val="Hyperlink"/>
            <w:lang w:val="en-IN"/>
          </w:rPr>
          <w:t>https://doi.org/10.1787/73d417f9-en</w:t>
        </w:r>
      </w:hyperlink>
      <w:r w:rsidRPr="009F009D">
        <w:rPr>
          <w:lang w:val="en-IN"/>
        </w:rPr>
        <w:t>.</w:t>
      </w:r>
    </w:p>
    <w:p w14:paraId="189195EA" w14:textId="77777777" w:rsidR="00BD1C7F" w:rsidRDefault="00BD1C7F" w:rsidP="00BA6C3A">
      <w:r>
        <w:t xml:space="preserve">Prediger, S. and Schermuly, C.C. (2025) ‘How Agile Working Increases Innovative Work Behavior: The Role of Psychological Empowerment and Communication Media’, Project Management Journal, 56(5). Available at: </w:t>
      </w:r>
      <w:hyperlink r:id="rId30" w:history="1">
        <w:r w:rsidRPr="009B3155">
          <w:rPr>
            <w:rStyle w:val="Hyperlink"/>
          </w:rPr>
          <w:t>https://doi.org/10.1177/87569728251314457</w:t>
        </w:r>
      </w:hyperlink>
      <w:r>
        <w:t xml:space="preserve"> </w:t>
      </w:r>
    </w:p>
    <w:p w14:paraId="2430DFA4" w14:textId="77777777" w:rsidR="00BD1C7F" w:rsidRDefault="00BD1C7F" w:rsidP="00BA6C3A">
      <w:r>
        <w:t xml:space="preserve">World Economic Forum (2023) The Future of Jobs Report 2023. Available at: </w:t>
      </w:r>
      <w:hyperlink r:id="rId31" w:history="1">
        <w:r w:rsidRPr="009B3155">
          <w:rPr>
            <w:rStyle w:val="Hyperlink"/>
          </w:rPr>
          <w:t>https://www.weforum.org/publications/the-future-of-jobs-report-2023/</w:t>
        </w:r>
      </w:hyperlink>
      <w:r>
        <w:t xml:space="preserve"> </w:t>
      </w:r>
    </w:p>
    <w:p w14:paraId="020061CF" w14:textId="77777777" w:rsidR="00BD1C7F" w:rsidRPr="009F009D" w:rsidRDefault="00BD1C7F" w:rsidP="009F009D">
      <w:r w:rsidRPr="009F009D">
        <w:t xml:space="preserve">World Economic Forum (2023) The Future of Jobs Report 2023. Available at: </w:t>
      </w:r>
      <w:hyperlink r:id="rId32" w:history="1">
        <w:r w:rsidRPr="00526C70">
          <w:rPr>
            <w:rStyle w:val="Hyperlink"/>
          </w:rPr>
          <w:t>https://www.weforum.org/publications/the-future-of-jobs-report-2023/</w:t>
        </w:r>
      </w:hyperlink>
      <w:r>
        <w:t xml:space="preserve"> </w:t>
      </w:r>
    </w:p>
    <w:p w14:paraId="63B503C2" w14:textId="77777777" w:rsidR="00BD1C7F" w:rsidRPr="009F009D" w:rsidRDefault="00BD1C7F" w:rsidP="009F009D">
      <w:r w:rsidRPr="009F009D">
        <w:t xml:space="preserve">World Health Organization (2022) WHO guidelines on mental health at work. Available at: </w:t>
      </w:r>
      <w:hyperlink r:id="rId33" w:history="1">
        <w:r w:rsidRPr="00526C70">
          <w:rPr>
            <w:rStyle w:val="Hyperlink"/>
          </w:rPr>
          <w:t>https://www.who.int/publications/i/item/9789240053052</w:t>
        </w:r>
      </w:hyperlink>
      <w:r>
        <w:t xml:space="preserve"> </w:t>
      </w:r>
    </w:p>
    <w:sectPr w:rsidR="00BD1C7F" w:rsidRPr="009F009D" w:rsidSect="00BA6C3A">
      <w:footerReference w:type="default" r:id="rId3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CC33C" w14:textId="77777777" w:rsidR="00271B99" w:rsidRDefault="00271B99">
      <w:pPr>
        <w:spacing w:before="0" w:after="0" w:line="240" w:lineRule="auto"/>
      </w:pPr>
      <w:r>
        <w:separator/>
      </w:r>
    </w:p>
  </w:endnote>
  <w:endnote w:type="continuationSeparator" w:id="0">
    <w:p w14:paraId="25136B85" w14:textId="77777777" w:rsidR="00271B99" w:rsidRDefault="00271B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D7681" w14:textId="77777777" w:rsidR="006F3759" w:rsidRDefault="00000000">
    <w:pPr>
      <w:pStyle w:val="Footer"/>
      <w:jc w:val="center"/>
    </w:pPr>
    <w:r>
      <w:fldChar w:fldCharType="begin"/>
    </w:r>
    <w:r>
      <w:instrText>PAGE</w:instrText>
    </w:r>
    <w:r>
      <w:fldChar w:fldCharType="separate"/>
    </w:r>
    <w:r w:rsidR="00BA6C3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9D5F0" w14:textId="77777777" w:rsidR="00271B99" w:rsidRDefault="00271B99">
      <w:pPr>
        <w:spacing w:before="0" w:after="0" w:line="240" w:lineRule="auto"/>
      </w:pPr>
      <w:r>
        <w:separator/>
      </w:r>
    </w:p>
  </w:footnote>
  <w:footnote w:type="continuationSeparator" w:id="0">
    <w:p w14:paraId="3F4F743F" w14:textId="77777777" w:rsidR="00271B99" w:rsidRDefault="00271B9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99437083">
    <w:abstractNumId w:val="8"/>
  </w:num>
  <w:num w:numId="2" w16cid:durableId="264196528">
    <w:abstractNumId w:val="6"/>
  </w:num>
  <w:num w:numId="3" w16cid:durableId="405104519">
    <w:abstractNumId w:val="5"/>
  </w:num>
  <w:num w:numId="4" w16cid:durableId="1763574635">
    <w:abstractNumId w:val="4"/>
  </w:num>
  <w:num w:numId="5" w16cid:durableId="113596693">
    <w:abstractNumId w:val="7"/>
  </w:num>
  <w:num w:numId="6" w16cid:durableId="850024874">
    <w:abstractNumId w:val="3"/>
  </w:num>
  <w:num w:numId="7" w16cid:durableId="739209255">
    <w:abstractNumId w:val="2"/>
  </w:num>
  <w:num w:numId="8" w16cid:durableId="20011876">
    <w:abstractNumId w:val="1"/>
  </w:num>
  <w:num w:numId="9" w16cid:durableId="292491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3CC9"/>
    <w:rsid w:val="0015074B"/>
    <w:rsid w:val="0017468A"/>
    <w:rsid w:val="00271B99"/>
    <w:rsid w:val="0029639D"/>
    <w:rsid w:val="00326F90"/>
    <w:rsid w:val="0036086B"/>
    <w:rsid w:val="00611532"/>
    <w:rsid w:val="00656506"/>
    <w:rsid w:val="00680D96"/>
    <w:rsid w:val="006F3759"/>
    <w:rsid w:val="009911EE"/>
    <w:rsid w:val="009F009D"/>
    <w:rsid w:val="00AA1D8D"/>
    <w:rsid w:val="00B47730"/>
    <w:rsid w:val="00BA6C3A"/>
    <w:rsid w:val="00BD1C7F"/>
    <w:rsid w:val="00C46404"/>
    <w:rsid w:val="00CB0664"/>
    <w:rsid w:val="00FB0F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C382D6"/>
  <w14:defaultImageDpi w14:val="300"/>
  <w15:docId w15:val="{7B310315-4983-41F9-B29F-4AAC33E2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C3A"/>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9F009D"/>
    <w:pPr>
      <w:outlineLvl w:val="0"/>
    </w:pPr>
    <w:rPr>
      <w:b/>
      <w:bCs/>
      <w:lang w:val="en-IN"/>
    </w:rPr>
  </w:style>
  <w:style w:type="paragraph" w:styleId="Heading2">
    <w:name w:val="heading 2"/>
    <w:basedOn w:val="Heading1"/>
    <w:next w:val="Normal"/>
    <w:link w:val="Heading2Char"/>
    <w:uiPriority w:val="9"/>
    <w:unhideWhenUsed/>
    <w:qFormat/>
    <w:rsid w:val="009F009D"/>
    <w:pPr>
      <w:outlineLvl w:val="1"/>
    </w:p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F009D"/>
    <w:rPr>
      <w:rFonts w:ascii="Times New Roman" w:eastAsia="Times New Roman" w:hAnsi="Times New Roman"/>
      <w:b/>
      <w:bCs/>
      <w:sz w:val="24"/>
      <w:lang w:val="en-IN"/>
    </w:rPr>
  </w:style>
  <w:style w:type="character" w:customStyle="1" w:styleId="Heading2Char">
    <w:name w:val="Heading 2 Char"/>
    <w:basedOn w:val="DefaultParagraphFont"/>
    <w:link w:val="Heading2"/>
    <w:uiPriority w:val="9"/>
    <w:rsid w:val="009F009D"/>
    <w:rPr>
      <w:rFonts w:ascii="Times New Roman" w:eastAsia="Times New Roman" w:hAnsi="Times New Roman"/>
      <w:b/>
      <w:bCs/>
      <w:sz w:val="24"/>
      <w:lang w:val="en-IN"/>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A6C3A"/>
    <w:rPr>
      <w:color w:val="0000FF" w:themeColor="hyperlink"/>
      <w:u w:val="single"/>
    </w:rPr>
  </w:style>
  <w:style w:type="character" w:styleId="UnresolvedMention">
    <w:name w:val="Unresolved Mention"/>
    <w:basedOn w:val="DefaultParagraphFont"/>
    <w:uiPriority w:val="99"/>
    <w:semiHidden/>
    <w:unhideWhenUsed/>
    <w:rsid w:val="00BA6C3A"/>
    <w:rPr>
      <w:color w:val="605E5C"/>
      <w:shd w:val="clear" w:color="auto" w:fill="E1DFDD"/>
    </w:rPr>
  </w:style>
  <w:style w:type="paragraph" w:styleId="TOC1">
    <w:name w:val="toc 1"/>
    <w:basedOn w:val="Normal"/>
    <w:next w:val="Normal"/>
    <w:autoRedefine/>
    <w:uiPriority w:val="39"/>
    <w:unhideWhenUsed/>
    <w:rsid w:val="000C3CC9"/>
    <w:pPr>
      <w:spacing w:after="100"/>
    </w:pPr>
  </w:style>
  <w:style w:type="paragraph" w:styleId="TOC2">
    <w:name w:val="toc 2"/>
    <w:basedOn w:val="Normal"/>
    <w:next w:val="Normal"/>
    <w:autoRedefine/>
    <w:uiPriority w:val="39"/>
    <w:unhideWhenUsed/>
    <w:rsid w:val="000C3C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jmo.2021.4" TargetMode="External"/><Relationship Id="rId18" Type="http://schemas.openxmlformats.org/officeDocument/2006/relationships/hyperlink" Target="https://www.cipd.org/en/knowledge/reports/flexible-hybrid-working/" TargetMode="External"/><Relationship Id="rId26" Type="http://schemas.openxmlformats.org/officeDocument/2006/relationships/hyperlink" Target="https://doi.org/10.1007/s44265-023-00027-w" TargetMode="External"/><Relationship Id="rId3" Type="http://schemas.openxmlformats.org/officeDocument/2006/relationships/styles" Target="styles.xml"/><Relationship Id="rId21" Type="http://schemas.openxmlformats.org/officeDocument/2006/relationships/hyperlink" Target="https://www.gov.uk/data-ethics-guidance/responsible-ai-in-recruitment-guid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93/jamia/ocab002" TargetMode="External"/><Relationship Id="rId17" Type="http://schemas.openxmlformats.org/officeDocument/2006/relationships/hyperlink" Target="https://prod.cipd.org/uk/knowledge/guides/responsible-technology-use/" TargetMode="External"/><Relationship Id="rId25" Type="http://schemas.openxmlformats.org/officeDocument/2006/relationships/hyperlink" Target="https://www.gallup.com/workplace/349484/state-of-the-global-workplace.aspx" TargetMode="External"/><Relationship Id="rId33" Type="http://schemas.openxmlformats.org/officeDocument/2006/relationships/hyperlink" Target="https://www.who.int/publications/i/item/9789240053052" TargetMode="External"/><Relationship Id="rId2" Type="http://schemas.openxmlformats.org/officeDocument/2006/relationships/numbering" Target="numbering.xml"/><Relationship Id="rId16" Type="http://schemas.openxmlformats.org/officeDocument/2006/relationships/hyperlink" Target="https://www.cipd.org/en/knowledge/reports/learning-at-work/" TargetMode="External"/><Relationship Id="rId20" Type="http://schemas.openxmlformats.org/officeDocument/2006/relationships/hyperlink" Target="https://doi.org/10.1146/annurev-orgpsych-032516-113108" TargetMode="External"/><Relationship Id="rId29" Type="http://schemas.openxmlformats.org/officeDocument/2006/relationships/hyperlink" Target="https://doi.org/10.1787/73d417f9-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86-024-07500-2" TargetMode="External"/><Relationship Id="rId24" Type="http://schemas.openxmlformats.org/officeDocument/2006/relationships/hyperlink" Target="https://doi.org/10.1016/j.hrmr.2022.100926" TargetMode="External"/><Relationship Id="rId32" Type="http://schemas.openxmlformats.org/officeDocument/2006/relationships/hyperlink" Target="https://www.weforum.org/publications/the-future-of-jobs-report-2023/"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2023-pdfs/2023-flexible-working-the-business-case-august.pdf" TargetMode="External"/><Relationship Id="rId23" Type="http://schemas.openxmlformats.org/officeDocument/2006/relationships/hyperlink" Target="https://www.gov.uk/government/publications/learning-and-development-employee-engagement-and-wellbeing" TargetMode="External"/><Relationship Id="rId28" Type="http://schemas.openxmlformats.org/officeDocument/2006/relationships/hyperlink" Target="https://www.microsoft.com/en-us/worklab/work-trend-index/hybrid-work" TargetMode="External"/><Relationship Id="rId36" Type="http://schemas.openxmlformats.org/officeDocument/2006/relationships/theme" Target="theme/theme1.xml"/><Relationship Id="rId10" Type="http://schemas.openxmlformats.org/officeDocument/2006/relationships/hyperlink" Target="https://doi.org/10.1108/ER-10-2019-0403" TargetMode="External"/><Relationship Id="rId19" Type="http://schemas.openxmlformats.org/officeDocument/2006/relationships/hyperlink" Target="https://www.cipd.org/globalassets/media/knowledge/knowledge-hub/reports/2025-pdfs/8868-good-work-index-2025-report-web1.pdf" TargetMode="External"/><Relationship Id="rId31" Type="http://schemas.openxmlformats.org/officeDocument/2006/relationships/hyperlink" Target="https://www.weforum.org/publications/the-future-of-jobs-report-2023/" TargetMode="External"/><Relationship Id="rId4" Type="http://schemas.openxmlformats.org/officeDocument/2006/relationships/settings" Target="settings.xml"/><Relationship Id="rId9" Type="http://schemas.openxmlformats.org/officeDocument/2006/relationships/hyperlink" Target="https://doi.org/10.1108/IJPPM-02-2020-0065" TargetMode="External"/><Relationship Id="rId14" Type="http://schemas.openxmlformats.org/officeDocument/2006/relationships/hyperlink" Target="https://www.cipd.org/uk/knowledge/reports/learning-skills-work/" TargetMode="External"/><Relationship Id="rId22" Type="http://schemas.openxmlformats.org/officeDocument/2006/relationships/hyperlink" Target="https://doi.org/10.1146/annurev-orgpsych-120920-055217" TargetMode="External"/><Relationship Id="rId27" Type="http://schemas.openxmlformats.org/officeDocument/2006/relationships/hyperlink" Target="https://doi.org/10.1108/IJOA-07-2020-2282" TargetMode="External"/><Relationship Id="rId30" Type="http://schemas.openxmlformats.org/officeDocument/2006/relationships/hyperlink" Target="https://doi.org/10.1177/87569728251314457"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13</Pages>
  <Words>4059</Words>
  <Characters>23141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27146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2013-12-23T23:15:00Z</dcterms:created>
  <dcterms:modified xsi:type="dcterms:W3CDTF">2026-10-13T06:33:00Z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b8c46f748f8c08a219159cf6d8d0c2298b05e19d8a3a1f6bdfcb989ad44bf161</vt:lpwstr>
  </property>
</Properties>
</file>