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091F7" w14:textId="77777777" w:rsidR="00407901" w:rsidRPr="00407901" w:rsidRDefault="00407901" w:rsidP="00407901">
      <w:pPr>
        <w:spacing w:line="360" w:lineRule="auto"/>
        <w:jc w:val="right"/>
        <w:rPr>
          <w:rFonts w:ascii="Times New Roman" w:eastAsia="Times New Roman" w:hAnsi="Times New Roman" w:cs="Times New Roman"/>
          <w:b/>
          <w:bCs/>
          <w:color w:val="374151"/>
          <w:kern w:val="0"/>
          <w:sz w:val="56"/>
          <w:szCs w:val="56"/>
          <w14:ligatures w14:val="none"/>
        </w:rPr>
      </w:pPr>
      <w:r w:rsidRPr="00407901">
        <w:rPr>
          <w:rFonts w:ascii="Times New Roman" w:eastAsia="Times New Roman" w:hAnsi="Times New Roman" w:cs="Times New Roman"/>
          <w:b/>
          <w:bCs/>
          <w:color w:val="374151"/>
          <w:kern w:val="0"/>
          <w:sz w:val="56"/>
          <w:szCs w:val="56"/>
          <w14:ligatures w14:val="none"/>
        </w:rPr>
        <w:t>A Vision of Change:</w:t>
      </w:r>
    </w:p>
    <w:p w14:paraId="512C7F08" w14:textId="77777777" w:rsidR="00407901" w:rsidRPr="00407901" w:rsidRDefault="00407901" w:rsidP="00407901">
      <w:pPr>
        <w:spacing w:line="360" w:lineRule="auto"/>
        <w:jc w:val="right"/>
        <w:rPr>
          <w:rFonts w:ascii="Times New Roman" w:eastAsia="Times New Roman" w:hAnsi="Times New Roman" w:cs="Times New Roman"/>
          <w:b/>
          <w:bCs/>
          <w:color w:val="374151"/>
          <w:kern w:val="0"/>
          <w:sz w:val="56"/>
          <w:szCs w:val="56"/>
          <w14:ligatures w14:val="none"/>
        </w:rPr>
      </w:pPr>
      <w:r w:rsidRPr="00407901">
        <w:rPr>
          <w:rFonts w:ascii="Times New Roman" w:eastAsia="Times New Roman" w:hAnsi="Times New Roman" w:cs="Times New Roman"/>
          <w:b/>
          <w:bCs/>
          <w:color w:val="374151"/>
          <w:kern w:val="0"/>
          <w:sz w:val="56"/>
          <w:szCs w:val="56"/>
          <w14:ligatures w14:val="none"/>
        </w:rPr>
        <w:t>Sustainability in the hotel industry</w:t>
      </w:r>
    </w:p>
    <w:p w14:paraId="37553B9F" w14:textId="77777777" w:rsidR="00407901" w:rsidRDefault="00407901" w:rsidP="00BF3DEC">
      <w:pPr>
        <w:spacing w:line="360" w:lineRule="auto"/>
        <w:jc w:val="right"/>
        <w:rPr>
          <w:rFonts w:ascii="Times New Roman" w:eastAsia="Times New Roman" w:hAnsi="Times New Roman" w:cs="Times New Roman"/>
          <w:b/>
          <w:bCs/>
          <w:color w:val="374151"/>
          <w:kern w:val="0"/>
          <w:sz w:val="36"/>
          <w:szCs w:val="36"/>
          <w14:ligatures w14:val="none"/>
        </w:rPr>
      </w:pPr>
    </w:p>
    <w:p w14:paraId="6D133693" w14:textId="77777777" w:rsidR="00407901" w:rsidRDefault="00407901" w:rsidP="00BF3DEC">
      <w:pPr>
        <w:spacing w:line="360" w:lineRule="auto"/>
        <w:jc w:val="right"/>
        <w:rPr>
          <w:rFonts w:ascii="Times New Roman" w:eastAsia="Times New Roman" w:hAnsi="Times New Roman" w:cs="Times New Roman"/>
          <w:b/>
          <w:bCs/>
          <w:color w:val="374151"/>
          <w:kern w:val="0"/>
          <w:sz w:val="36"/>
          <w:szCs w:val="36"/>
          <w14:ligatures w14:val="none"/>
        </w:rPr>
      </w:pPr>
    </w:p>
    <w:p w14:paraId="44EC934D" w14:textId="77777777" w:rsidR="00407901" w:rsidRDefault="00407901" w:rsidP="00BF3DEC">
      <w:pPr>
        <w:spacing w:line="360" w:lineRule="auto"/>
        <w:jc w:val="right"/>
        <w:rPr>
          <w:rFonts w:ascii="Times New Roman" w:eastAsia="Times New Roman" w:hAnsi="Times New Roman" w:cs="Times New Roman"/>
          <w:b/>
          <w:bCs/>
          <w:color w:val="374151"/>
          <w:kern w:val="0"/>
          <w:sz w:val="36"/>
          <w:szCs w:val="36"/>
          <w14:ligatures w14:val="none"/>
        </w:rPr>
      </w:pPr>
    </w:p>
    <w:p w14:paraId="02F816A5" w14:textId="77777777" w:rsidR="00407901" w:rsidRDefault="00407901" w:rsidP="00BF3DEC">
      <w:pPr>
        <w:spacing w:line="360" w:lineRule="auto"/>
        <w:jc w:val="right"/>
        <w:rPr>
          <w:rFonts w:ascii="Times New Roman" w:eastAsia="Times New Roman" w:hAnsi="Times New Roman" w:cs="Times New Roman"/>
          <w:b/>
          <w:bCs/>
          <w:color w:val="374151"/>
          <w:kern w:val="0"/>
          <w:sz w:val="36"/>
          <w:szCs w:val="36"/>
          <w14:ligatures w14:val="none"/>
        </w:rPr>
      </w:pPr>
    </w:p>
    <w:p w14:paraId="47337C9E" w14:textId="77777777" w:rsidR="00407901" w:rsidRDefault="00407901" w:rsidP="001962B8">
      <w:pPr>
        <w:spacing w:line="360" w:lineRule="auto"/>
        <w:rPr>
          <w:rFonts w:ascii="Times New Roman" w:eastAsia="Times New Roman" w:hAnsi="Times New Roman" w:cs="Times New Roman"/>
          <w:b/>
          <w:bCs/>
          <w:color w:val="374151"/>
          <w:kern w:val="0"/>
          <w:sz w:val="36"/>
          <w:szCs w:val="36"/>
          <w14:ligatures w14:val="none"/>
        </w:rPr>
      </w:pPr>
    </w:p>
    <w:p w14:paraId="01499EB7" w14:textId="5230F13B" w:rsidR="00E267FD" w:rsidRDefault="00E267FD" w:rsidP="00E267FD">
      <w:pPr>
        <w:spacing w:line="360" w:lineRule="auto"/>
        <w:jc w:val="right"/>
        <w:rPr>
          <w:rFonts w:ascii="Times New Roman" w:eastAsia="Times New Roman" w:hAnsi="Times New Roman" w:cs="Times New Roman"/>
          <w:b/>
          <w:bCs/>
          <w:color w:val="374151"/>
          <w:kern w:val="0"/>
          <w:sz w:val="36"/>
          <w:szCs w:val="36"/>
          <w14:ligatures w14:val="none"/>
        </w:rPr>
      </w:pPr>
      <w:r w:rsidRPr="00E267FD">
        <w:rPr>
          <w:rFonts w:ascii="Times New Roman" w:eastAsia="Times New Roman" w:hAnsi="Times New Roman" w:cs="Times New Roman"/>
          <w:b/>
          <w:bCs/>
          <w:color w:val="374151"/>
          <w:kern w:val="0"/>
          <w:sz w:val="36"/>
          <w:szCs w:val="36"/>
          <w14:ligatures w14:val="none"/>
        </w:rPr>
        <w:t>Sustainable Hospitality &amp; Tourism Management</w:t>
      </w:r>
    </w:p>
    <w:p w14:paraId="18582DE5" w14:textId="77777777" w:rsidR="00E267FD" w:rsidRPr="00E267FD" w:rsidRDefault="00E267FD" w:rsidP="00E267FD">
      <w:pPr>
        <w:spacing w:line="360" w:lineRule="auto"/>
        <w:jc w:val="right"/>
        <w:rPr>
          <w:rFonts w:ascii="Times New Roman" w:eastAsia="Times New Roman" w:hAnsi="Times New Roman" w:cs="Times New Roman"/>
          <w:b/>
          <w:bCs/>
          <w:color w:val="374151"/>
          <w:kern w:val="0"/>
          <w:sz w:val="36"/>
          <w:szCs w:val="36"/>
          <w14:ligatures w14:val="none"/>
        </w:rPr>
      </w:pPr>
      <w:r w:rsidRPr="00E267FD">
        <w:rPr>
          <w:rFonts w:ascii="Times New Roman" w:eastAsia="Times New Roman" w:hAnsi="Times New Roman" w:cs="Times New Roman"/>
          <w:b/>
          <w:bCs/>
          <w:color w:val="374151"/>
          <w:kern w:val="0"/>
          <w:sz w:val="36"/>
          <w:szCs w:val="36"/>
          <w14:ligatures w14:val="none"/>
        </w:rPr>
        <w:t>BMIH5006</w:t>
      </w:r>
    </w:p>
    <w:p w14:paraId="00069A40" w14:textId="77777777" w:rsidR="00E267FD" w:rsidRDefault="00E267FD" w:rsidP="00E267FD">
      <w:pPr>
        <w:spacing w:line="360" w:lineRule="auto"/>
        <w:jc w:val="right"/>
        <w:rPr>
          <w:rFonts w:ascii="Times New Roman" w:eastAsia="Times New Roman" w:hAnsi="Times New Roman" w:cs="Times New Roman"/>
          <w:b/>
          <w:bCs/>
          <w:color w:val="374151"/>
          <w:kern w:val="0"/>
          <w:sz w:val="36"/>
          <w:szCs w:val="36"/>
          <w14:ligatures w14:val="none"/>
        </w:rPr>
      </w:pPr>
    </w:p>
    <w:p w14:paraId="7F2375E9" w14:textId="6C3D288D" w:rsidR="00BF3DEC" w:rsidRPr="00B3101A" w:rsidRDefault="00BF3DEC" w:rsidP="00E267FD">
      <w:pPr>
        <w:spacing w:line="360" w:lineRule="auto"/>
        <w:jc w:val="right"/>
        <w:rPr>
          <w:rFonts w:ascii="Times New Roman" w:eastAsia="Times New Roman" w:hAnsi="Times New Roman" w:cs="Times New Roman"/>
          <w:b/>
          <w:bCs/>
          <w:color w:val="374151"/>
          <w:kern w:val="0"/>
          <w:sz w:val="32"/>
          <w:szCs w:val="32"/>
          <w14:ligatures w14:val="none"/>
        </w:rPr>
      </w:pPr>
      <w:r w:rsidRPr="00B3101A">
        <w:rPr>
          <w:rFonts w:ascii="Times New Roman" w:eastAsia="Times New Roman" w:hAnsi="Times New Roman" w:cs="Times New Roman"/>
          <w:b/>
          <w:bCs/>
          <w:color w:val="374151"/>
          <w:kern w:val="0"/>
          <w:sz w:val="32"/>
          <w:szCs w:val="32"/>
          <w14:ligatures w14:val="none"/>
        </w:rPr>
        <w:t>Module Le</w:t>
      </w:r>
      <w:r w:rsidR="005C1AD6" w:rsidRPr="00B3101A">
        <w:rPr>
          <w:rFonts w:ascii="Times New Roman" w:eastAsia="Times New Roman" w:hAnsi="Times New Roman" w:cs="Times New Roman"/>
          <w:b/>
          <w:bCs/>
          <w:color w:val="374151"/>
          <w:kern w:val="0"/>
          <w:sz w:val="32"/>
          <w:szCs w:val="32"/>
          <w14:ligatures w14:val="none"/>
        </w:rPr>
        <w:t>cturer</w:t>
      </w:r>
      <w:r w:rsidRPr="00B3101A">
        <w:rPr>
          <w:rFonts w:ascii="Times New Roman" w:eastAsia="Times New Roman" w:hAnsi="Times New Roman" w:cs="Times New Roman"/>
          <w:b/>
          <w:bCs/>
          <w:color w:val="374151"/>
          <w:kern w:val="0"/>
          <w:sz w:val="32"/>
          <w:szCs w:val="32"/>
          <w14:ligatures w14:val="none"/>
        </w:rPr>
        <w:t>:</w:t>
      </w:r>
      <w:r w:rsidR="00407901" w:rsidRPr="00B3101A">
        <w:rPr>
          <w:rFonts w:ascii="Times New Roman" w:eastAsia="Times New Roman" w:hAnsi="Times New Roman" w:cs="Times New Roman"/>
          <w:b/>
          <w:bCs/>
          <w:color w:val="374151"/>
          <w:kern w:val="0"/>
          <w:sz w:val="32"/>
          <w:szCs w:val="32"/>
          <w14:ligatures w14:val="none"/>
        </w:rPr>
        <w:t xml:space="preserve"> Ruth Tayler Davies</w:t>
      </w:r>
    </w:p>
    <w:p w14:paraId="7F96D118" w14:textId="77777777" w:rsidR="00E6766E" w:rsidRDefault="00E6766E" w:rsidP="00BF3DEC">
      <w:pPr>
        <w:spacing w:line="360" w:lineRule="auto"/>
        <w:jc w:val="right"/>
        <w:rPr>
          <w:rFonts w:ascii="Times New Roman" w:eastAsia="Times New Roman" w:hAnsi="Times New Roman" w:cs="Times New Roman"/>
          <w:b/>
          <w:bCs/>
          <w:color w:val="374151"/>
          <w:kern w:val="0"/>
          <w:sz w:val="36"/>
          <w:szCs w:val="36"/>
          <w14:ligatures w14:val="none"/>
        </w:rPr>
      </w:pPr>
    </w:p>
    <w:p w14:paraId="625E2C05" w14:textId="77777777" w:rsidR="001962B8" w:rsidRDefault="001962B8" w:rsidP="00BF3DEC">
      <w:pPr>
        <w:spacing w:line="360" w:lineRule="auto"/>
        <w:jc w:val="right"/>
        <w:rPr>
          <w:rFonts w:ascii="Times New Roman" w:eastAsia="Times New Roman" w:hAnsi="Times New Roman" w:cs="Times New Roman"/>
          <w:b/>
          <w:bCs/>
          <w:color w:val="374151"/>
          <w:kern w:val="0"/>
          <w:sz w:val="36"/>
          <w:szCs w:val="36"/>
          <w14:ligatures w14:val="none"/>
        </w:rPr>
      </w:pPr>
    </w:p>
    <w:p w14:paraId="0E918DA8" w14:textId="77777777" w:rsidR="001962B8" w:rsidRDefault="001962B8" w:rsidP="00BF3DEC">
      <w:pPr>
        <w:spacing w:line="360" w:lineRule="auto"/>
        <w:jc w:val="right"/>
        <w:rPr>
          <w:rFonts w:ascii="Times New Roman" w:eastAsia="Times New Roman" w:hAnsi="Times New Roman" w:cs="Times New Roman"/>
          <w:b/>
          <w:bCs/>
          <w:color w:val="374151"/>
          <w:kern w:val="0"/>
          <w:sz w:val="36"/>
          <w:szCs w:val="36"/>
          <w14:ligatures w14:val="none"/>
        </w:rPr>
      </w:pPr>
    </w:p>
    <w:p w14:paraId="0988F85D" w14:textId="0478A6E6" w:rsidR="001962B8" w:rsidRDefault="001962B8" w:rsidP="00A4048F">
      <w:pPr>
        <w:spacing w:line="360" w:lineRule="auto"/>
        <w:jc w:val="right"/>
        <w:rPr>
          <w:rFonts w:ascii="Times New Roman" w:eastAsia="Times New Roman" w:hAnsi="Times New Roman" w:cs="Times New Roman"/>
          <w:b/>
          <w:bCs/>
          <w:color w:val="374151"/>
          <w:kern w:val="0"/>
          <w:sz w:val="36"/>
          <w:szCs w:val="36"/>
          <w14:ligatures w14:val="none"/>
        </w:rPr>
      </w:pPr>
      <w:r w:rsidRPr="001962B8">
        <w:rPr>
          <w:rFonts w:ascii="Times New Roman" w:eastAsia="Times New Roman" w:hAnsi="Times New Roman" w:cs="Times New Roman"/>
          <w:b/>
          <w:bCs/>
          <w:color w:val="374151"/>
          <w:kern w:val="0"/>
          <w:sz w:val="36"/>
          <w:szCs w:val="36"/>
          <w14:ligatures w14:val="none"/>
        </w:rPr>
        <w:t>Ionela Violeta Baicu</w:t>
      </w:r>
      <w:r w:rsidR="00A4048F">
        <w:rPr>
          <w:rFonts w:ascii="Times New Roman" w:eastAsia="Times New Roman" w:hAnsi="Times New Roman" w:cs="Times New Roman"/>
          <w:b/>
          <w:bCs/>
          <w:color w:val="374151"/>
          <w:kern w:val="0"/>
          <w:sz w:val="36"/>
          <w:szCs w:val="36"/>
          <w14:ligatures w14:val="none"/>
        </w:rPr>
        <w:t xml:space="preserve">, </w:t>
      </w:r>
      <w:r w:rsidR="00A60B21">
        <w:rPr>
          <w:rFonts w:ascii="Times New Roman" w:eastAsia="Times New Roman" w:hAnsi="Times New Roman" w:cs="Times New Roman"/>
          <w:b/>
          <w:bCs/>
          <w:color w:val="374151"/>
          <w:kern w:val="0"/>
          <w:sz w:val="36"/>
          <w:szCs w:val="36"/>
          <w14:ligatures w14:val="none"/>
        </w:rPr>
        <w:t>2122260</w:t>
      </w:r>
    </w:p>
    <w:p w14:paraId="7B0A86D8" w14:textId="71A38EFE" w:rsidR="1D29D388" w:rsidRDefault="1D29D388" w:rsidP="1D29D388">
      <w:pPr>
        <w:spacing w:line="360" w:lineRule="auto"/>
        <w:jc w:val="right"/>
        <w:rPr>
          <w:rFonts w:ascii="Times New Roman" w:eastAsia="Times New Roman" w:hAnsi="Times New Roman" w:cs="Times New Roman"/>
          <w:b/>
          <w:bCs/>
          <w:color w:val="374151"/>
          <w:sz w:val="36"/>
          <w:szCs w:val="36"/>
        </w:rPr>
      </w:pPr>
    </w:p>
    <w:p w14:paraId="54B05AD9" w14:textId="79749BC6" w:rsidR="00EF27E9" w:rsidRPr="001962B8" w:rsidRDefault="00EF27E9" w:rsidP="001962B8">
      <w:pPr>
        <w:spacing w:line="360" w:lineRule="auto"/>
        <w:jc w:val="both"/>
        <w:rPr>
          <w:rFonts w:ascii="Times New Roman" w:eastAsia="Times New Roman" w:hAnsi="Times New Roman" w:cs="Times New Roman"/>
          <w:b/>
          <w:bCs/>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lastRenderedPageBreak/>
        <w:t>Th</w:t>
      </w:r>
      <w:r w:rsidR="00407901" w:rsidRPr="001962B8">
        <w:rPr>
          <w:rFonts w:ascii="Times New Roman" w:eastAsia="Times New Roman" w:hAnsi="Times New Roman" w:cs="Times New Roman"/>
          <w:color w:val="374151"/>
          <w:kern w:val="0"/>
          <w:sz w:val="24"/>
          <w:szCs w:val="24"/>
          <w14:ligatures w14:val="none"/>
        </w:rPr>
        <w:t>e</w:t>
      </w:r>
      <w:r w:rsidRPr="001962B8">
        <w:rPr>
          <w:rFonts w:ascii="Times New Roman" w:eastAsia="Times New Roman" w:hAnsi="Times New Roman" w:cs="Times New Roman"/>
          <w:color w:val="374151"/>
          <w:kern w:val="0"/>
          <w:sz w:val="24"/>
          <w:szCs w:val="24"/>
          <w14:ligatures w14:val="none"/>
        </w:rPr>
        <w:t xml:space="preserve"> hospitality industry, which plays a crucial role in worldwide economies, has a long-standing reputation for significantly impacting the environment through its substantial energy and water use, as well as its reliance on consumable resources.</w:t>
      </w:r>
      <w:r w:rsidR="002968E6" w:rsidRPr="001962B8">
        <w:rPr>
          <w:rFonts w:ascii="Times New Roman" w:eastAsia="Times New Roman" w:hAnsi="Times New Roman" w:cs="Times New Roman"/>
          <w:color w:val="374151"/>
          <w:kern w:val="0"/>
          <w:sz w:val="24"/>
          <w:szCs w:val="24"/>
          <w14:ligatures w14:val="none"/>
        </w:rPr>
        <w:t xml:space="preserve"> According </w:t>
      </w:r>
      <w:r w:rsidR="00F86CA7" w:rsidRPr="001962B8">
        <w:rPr>
          <w:rFonts w:ascii="Times New Roman" w:eastAsia="Times New Roman" w:hAnsi="Times New Roman" w:cs="Times New Roman"/>
          <w:color w:val="374151"/>
          <w:kern w:val="0"/>
          <w:sz w:val="24"/>
          <w:szCs w:val="24"/>
          <w14:ligatures w14:val="none"/>
        </w:rPr>
        <w:t>to</w:t>
      </w:r>
      <w:r w:rsidR="00F86CA7" w:rsidRPr="001962B8">
        <w:rPr>
          <w:rFonts w:ascii="Times New Roman" w:hAnsi="Times New Roman" w:cs="Times New Roman"/>
          <w:sz w:val="24"/>
          <w:szCs w:val="24"/>
        </w:rPr>
        <w:t xml:space="preserve"> </w:t>
      </w:r>
      <w:r w:rsidR="00F86CA7" w:rsidRPr="001962B8">
        <w:rPr>
          <w:rFonts w:ascii="Times New Roman" w:eastAsia="Times New Roman" w:hAnsi="Times New Roman" w:cs="Times New Roman"/>
          <w:color w:val="374151"/>
          <w:kern w:val="0"/>
          <w:sz w:val="24"/>
          <w:szCs w:val="24"/>
          <w14:ligatures w14:val="none"/>
        </w:rPr>
        <w:t>Susilo and Santos</w:t>
      </w:r>
      <w:r w:rsidR="00316869" w:rsidRPr="001962B8">
        <w:rPr>
          <w:rFonts w:ascii="Times New Roman" w:eastAsia="Times New Roman" w:hAnsi="Times New Roman" w:cs="Times New Roman"/>
          <w:color w:val="374151"/>
          <w:kern w:val="0"/>
          <w:sz w:val="24"/>
          <w:szCs w:val="24"/>
          <w14:ligatures w14:val="none"/>
        </w:rPr>
        <w:t xml:space="preserve"> </w:t>
      </w:r>
      <w:r w:rsidR="00F86CA7" w:rsidRPr="001962B8">
        <w:rPr>
          <w:rFonts w:ascii="Times New Roman" w:eastAsia="Times New Roman" w:hAnsi="Times New Roman" w:cs="Times New Roman"/>
          <w:color w:val="374151"/>
          <w:kern w:val="0"/>
          <w:sz w:val="24"/>
          <w:szCs w:val="24"/>
          <w14:ligatures w14:val="none"/>
        </w:rPr>
        <w:t>(2023)</w:t>
      </w:r>
      <w:r w:rsidR="00316869" w:rsidRPr="001962B8">
        <w:rPr>
          <w:rFonts w:ascii="Times New Roman" w:eastAsia="Times New Roman" w:hAnsi="Times New Roman" w:cs="Times New Roman"/>
          <w:color w:val="374151"/>
          <w:kern w:val="0"/>
          <w:sz w:val="24"/>
          <w:szCs w:val="24"/>
          <w14:ligatures w14:val="none"/>
        </w:rPr>
        <w:t>, w</w:t>
      </w:r>
      <w:r w:rsidR="00F86CA7" w:rsidRPr="001962B8">
        <w:rPr>
          <w:rFonts w:ascii="Times New Roman" w:eastAsia="Times New Roman" w:hAnsi="Times New Roman" w:cs="Times New Roman"/>
          <w:color w:val="374151"/>
          <w:kern w:val="0"/>
          <w:sz w:val="24"/>
          <w:szCs w:val="24"/>
          <w14:ligatures w14:val="none"/>
        </w:rPr>
        <w:t>ith</w:t>
      </w:r>
      <w:r w:rsidRPr="001962B8">
        <w:rPr>
          <w:rFonts w:ascii="Times New Roman" w:eastAsia="Times New Roman" w:hAnsi="Times New Roman" w:cs="Times New Roman"/>
          <w:color w:val="374151"/>
          <w:kern w:val="0"/>
          <w:sz w:val="24"/>
          <w:szCs w:val="24"/>
          <w14:ligatures w14:val="none"/>
        </w:rPr>
        <w:t xml:space="preserve"> the increasing momentum of environmental issues such as climate change and resource depletion, businesses that have significant impacts, such as the hotel industry, are being subjected to increased attention. Considering these circumstances, Corporate Social Responsibility (CSR) has transitioned from a discretionary pursuit to a fundamental corporate strategy. In contemporary society, there exists a prevailing inclination among customers to gravitate towards brands that are compatible with their personal beliefs. Furthermore, the implementation of more stringent rules has necessitated the adoption of environmentally conscious practises within business operations.</w:t>
      </w:r>
    </w:p>
    <w:p w14:paraId="212236F6" w14:textId="77777777" w:rsidR="008E2556" w:rsidRPr="001962B8" w:rsidRDefault="008E2556" w:rsidP="001962B8">
      <w:pPr>
        <w:spacing w:line="360" w:lineRule="auto"/>
        <w:jc w:val="both"/>
        <w:rPr>
          <w:rFonts w:ascii="Times New Roman" w:eastAsia="Times New Roman" w:hAnsi="Times New Roman" w:cs="Times New Roman"/>
          <w:color w:val="374151"/>
          <w:kern w:val="0"/>
          <w:sz w:val="24"/>
          <w:szCs w:val="24"/>
          <w14:ligatures w14:val="none"/>
        </w:rPr>
      </w:pPr>
    </w:p>
    <w:p w14:paraId="16345C46" w14:textId="6C6A6C7F" w:rsidR="00B83074" w:rsidRDefault="00EF27E9"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Accor, a prominent multinational hotel corporation, distinguishes itself via its dedicated stance on sustainability. Accor's CSR</w:t>
      </w:r>
      <w:r w:rsidR="0077619E">
        <w:rPr>
          <w:rFonts w:ascii="Times New Roman" w:eastAsia="Times New Roman" w:hAnsi="Times New Roman" w:cs="Times New Roman"/>
          <w:color w:val="374151"/>
          <w:kern w:val="0"/>
          <w:sz w:val="24"/>
          <w:szCs w:val="24"/>
          <w14:ligatures w14:val="none"/>
        </w:rPr>
        <w:t xml:space="preserve"> </w:t>
      </w:r>
      <w:r w:rsidRPr="001962B8">
        <w:rPr>
          <w:rFonts w:ascii="Times New Roman" w:eastAsia="Times New Roman" w:hAnsi="Times New Roman" w:cs="Times New Roman"/>
          <w:color w:val="374151"/>
          <w:kern w:val="0"/>
          <w:sz w:val="24"/>
          <w:szCs w:val="24"/>
          <w14:ligatures w14:val="none"/>
        </w:rPr>
        <w:t xml:space="preserve">policy reflects its dedication to meeting stakeholder expectations and its commitment to fostering a sustainable future. This policy serves as evidence of the hospitality industry's ability to drive constructive transformations. This essay aims to explore Accor's sustainability initiatives, examining their alignment with overarching paradigms such as the circular economy and the Triple Bottom Line. </w:t>
      </w:r>
      <w:r w:rsidR="00B83074" w:rsidRPr="00B83074">
        <w:rPr>
          <w:rFonts w:ascii="Times New Roman" w:eastAsia="Times New Roman" w:hAnsi="Times New Roman" w:cs="Times New Roman"/>
          <w:color w:val="374151"/>
          <w:kern w:val="0"/>
          <w:sz w:val="24"/>
          <w:szCs w:val="24"/>
          <w14:ligatures w14:val="none"/>
        </w:rPr>
        <w:t>The purpose of this essay is to elucidate the relationship between Corporate Social Responsibility initiatives and the overarching goal of sustainability in the hotel business.</w:t>
      </w:r>
    </w:p>
    <w:p w14:paraId="0783A1CF" w14:textId="1B8AE183" w:rsidR="00015FFE" w:rsidRPr="001962B8" w:rsidRDefault="0077619E" w:rsidP="001962B8">
      <w:pPr>
        <w:spacing w:line="360" w:lineRule="auto"/>
        <w:jc w:val="both"/>
        <w:rPr>
          <w:rFonts w:ascii="Times New Roman" w:eastAsia="Times New Roman" w:hAnsi="Times New Roman" w:cs="Times New Roman"/>
          <w:color w:val="374151"/>
          <w:kern w:val="0"/>
          <w:sz w:val="24"/>
          <w:szCs w:val="24"/>
          <w14:ligatures w14:val="none"/>
        </w:rPr>
      </w:pPr>
      <w:r w:rsidRPr="0077619E">
        <w:rPr>
          <w:rFonts w:ascii="Times New Roman" w:eastAsia="Times New Roman" w:hAnsi="Times New Roman" w:cs="Times New Roman"/>
          <w:color w:val="374151"/>
          <w:kern w:val="0"/>
          <w:sz w:val="24"/>
          <w:szCs w:val="24"/>
          <w14:ligatures w14:val="none"/>
        </w:rPr>
        <w:t xml:space="preserve">Cowan and Guzman's (2020) research confirms Accor's status as a major player in the hospitality industry at large. </w:t>
      </w:r>
      <w:r w:rsidR="00015FFE" w:rsidRPr="001962B8">
        <w:rPr>
          <w:rFonts w:ascii="Times New Roman" w:eastAsia="Times New Roman" w:hAnsi="Times New Roman" w:cs="Times New Roman"/>
          <w:color w:val="374151"/>
          <w:kern w:val="0"/>
          <w:sz w:val="24"/>
          <w:szCs w:val="24"/>
          <w14:ligatures w14:val="none"/>
        </w:rPr>
        <w:t>The reason for this position is not just due to its extensive operating presence, but also to its forward-thinking and proactive approach towards sustainability. Accor has deliberately integrated its Corporate Social Responsibility initiatives with its core business activities, demonstrating a praiseworthy fusion of commercial interests and ethical considerations in response to the industry's substantial environmental ramifications.</w:t>
      </w:r>
    </w:p>
    <w:p w14:paraId="28221B75" w14:textId="30B033A7" w:rsidR="00015FFE" w:rsidRPr="001962B8" w:rsidRDefault="00015FFE"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 places great emphasis on its CSR endeavours, with a primary focus on mitigating the negative environmental effects typically attributed to the hotel sector. </w:t>
      </w:r>
      <w:r w:rsidR="00BA470C" w:rsidRPr="00BA470C">
        <w:rPr>
          <w:rFonts w:ascii="Times New Roman" w:eastAsia="Times New Roman" w:hAnsi="Times New Roman" w:cs="Times New Roman"/>
          <w:color w:val="374151"/>
          <w:kern w:val="0"/>
          <w:sz w:val="24"/>
          <w:szCs w:val="24"/>
          <w14:ligatures w14:val="none"/>
        </w:rPr>
        <w:t xml:space="preserve">The resolution leads to the development of a specific strategy designed to mitigate carbon emissions, which holds significant importance within the global context of climate change. </w:t>
      </w:r>
      <w:r w:rsidRPr="001962B8">
        <w:rPr>
          <w:rFonts w:ascii="Times New Roman" w:eastAsia="Times New Roman" w:hAnsi="Times New Roman" w:cs="Times New Roman"/>
          <w:color w:val="374151"/>
          <w:kern w:val="0"/>
          <w:sz w:val="24"/>
          <w:szCs w:val="24"/>
          <w14:ligatures w14:val="none"/>
        </w:rPr>
        <w:t xml:space="preserve">Accor actively contributes to the larger objective of achieving a carbon-neutral future by engaging in investments in energy-efficient </w:t>
      </w:r>
      <w:r w:rsidRPr="001962B8">
        <w:rPr>
          <w:rFonts w:ascii="Times New Roman" w:eastAsia="Times New Roman" w:hAnsi="Times New Roman" w:cs="Times New Roman"/>
          <w:color w:val="374151"/>
          <w:kern w:val="0"/>
          <w:sz w:val="24"/>
          <w:szCs w:val="24"/>
          <w14:ligatures w14:val="none"/>
        </w:rPr>
        <w:lastRenderedPageBreak/>
        <w:t xml:space="preserve">technologies and advocating for the adoption of green building standards throughout their facilities </w:t>
      </w:r>
      <w:r w:rsidR="004F3C67">
        <w:rPr>
          <w:rFonts w:ascii="Times New Roman" w:eastAsia="Times New Roman" w:hAnsi="Times New Roman" w:cs="Times New Roman"/>
          <w:color w:val="374151"/>
          <w:kern w:val="0"/>
          <w:sz w:val="24"/>
          <w:szCs w:val="24"/>
          <w14:ligatures w14:val="none"/>
        </w:rPr>
        <w:t>(</w:t>
      </w:r>
      <w:r w:rsidR="00B11102" w:rsidRPr="001962B8">
        <w:rPr>
          <w:rFonts w:ascii="Times New Roman" w:eastAsia="Times New Roman" w:hAnsi="Times New Roman" w:cs="Times New Roman"/>
          <w:color w:val="374151"/>
          <w:kern w:val="0"/>
          <w:sz w:val="24"/>
          <w:szCs w:val="24"/>
          <w14:ligatures w14:val="none"/>
        </w:rPr>
        <w:t>Kagan and Dodge, 2023).</w:t>
      </w:r>
    </w:p>
    <w:p w14:paraId="48BFC42E" w14:textId="74883C98" w:rsidR="00015FFE" w:rsidRPr="001962B8" w:rsidRDefault="00C74F45"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According to Accor </w:t>
      </w:r>
      <w:r w:rsidR="00732076" w:rsidRPr="001962B8">
        <w:rPr>
          <w:rFonts w:ascii="Times New Roman" w:eastAsia="Times New Roman" w:hAnsi="Times New Roman" w:cs="Times New Roman"/>
          <w:color w:val="374151"/>
          <w:kern w:val="0"/>
          <w:sz w:val="24"/>
          <w:szCs w:val="24"/>
          <w14:ligatures w14:val="none"/>
        </w:rPr>
        <w:t>(2021), t</w:t>
      </w:r>
      <w:r w:rsidR="00015FFE" w:rsidRPr="001962B8">
        <w:rPr>
          <w:rFonts w:ascii="Times New Roman" w:eastAsia="Times New Roman" w:hAnsi="Times New Roman" w:cs="Times New Roman"/>
          <w:color w:val="374151"/>
          <w:kern w:val="0"/>
          <w:sz w:val="24"/>
          <w:szCs w:val="24"/>
          <w14:ligatures w14:val="none"/>
        </w:rPr>
        <w:t>he company's focus on biodiversity is particularly remarkable. In an era characterised by the imminent risk of extinction for several species and the vulnerability of ecosystems, Accor has strategically positioned itself as an advocate of the natural world. The corporation emphasises the interconnected relationship between enterprises and the natural environment by promoting practises that support biodiversity in its landscapes and forming collaborations focused on conservation efforts.</w:t>
      </w:r>
    </w:p>
    <w:p w14:paraId="506D3E5F" w14:textId="281A124F" w:rsidR="00015FFE" w:rsidRPr="001962B8" w:rsidRDefault="00015FFE"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Water, a valuable and more limited resource, is an additional domain in which Accor demonstrates excellence. Accor demonstrates a proactive approach towards water conservation by implementing water-saving devices, providing educational initiatives to guests on water conservation, and closely monitoring water use. This multifaceted approach allows Accor to surpass mere compliance and instead foster a more involved and conscientious utilisation of this essential resource. In addition, the waste management tactics employed by the organisation, which prioritise the reduction of single-use goods, recycling, and composting, serve to reinforce its dedication to fostering an environmentally sustainable and resource-efficient </w:t>
      </w:r>
      <w:r w:rsidR="00062864" w:rsidRPr="001962B8">
        <w:rPr>
          <w:rFonts w:ascii="Times New Roman" w:eastAsia="Times New Roman" w:hAnsi="Times New Roman" w:cs="Times New Roman"/>
          <w:color w:val="374151"/>
          <w:kern w:val="0"/>
          <w:sz w:val="24"/>
          <w:szCs w:val="24"/>
          <w14:ligatures w14:val="none"/>
        </w:rPr>
        <w:t>environment</w:t>
      </w:r>
      <w:r w:rsidRPr="001962B8">
        <w:rPr>
          <w:rFonts w:ascii="Times New Roman" w:eastAsia="Times New Roman" w:hAnsi="Times New Roman" w:cs="Times New Roman"/>
          <w:color w:val="374151"/>
          <w:kern w:val="0"/>
          <w:sz w:val="24"/>
          <w:szCs w:val="24"/>
          <w14:ligatures w14:val="none"/>
        </w:rPr>
        <w:t>.</w:t>
      </w:r>
    </w:p>
    <w:p w14:paraId="0B6FCFF4" w14:textId="6697D9B4" w:rsidR="00015FFE" w:rsidRPr="001962B8" w:rsidRDefault="00015FFE"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Accor's CSR goal extends beyond environmental sustainability, covering the broader societal dimension of sustainability. An important advancement in this regard is their endeavour to integrate local communities into the structure of their business. Accor assures the thriving of the communities in which they operate by engaging in practises such as sourcing locally, creating job opportunities, and supporting community-based programmes</w:t>
      </w:r>
      <w:r w:rsidR="004F3C67">
        <w:rPr>
          <w:rFonts w:ascii="Times New Roman" w:eastAsia="Times New Roman" w:hAnsi="Times New Roman" w:cs="Times New Roman"/>
          <w:color w:val="374151"/>
          <w:kern w:val="0"/>
          <w:sz w:val="24"/>
          <w:szCs w:val="24"/>
          <w14:ligatures w14:val="none"/>
        </w:rPr>
        <w:t>(</w:t>
      </w:r>
      <w:r w:rsidR="00EF3C1D" w:rsidRPr="001962B8">
        <w:rPr>
          <w:rFonts w:ascii="Times New Roman" w:eastAsia="Times New Roman" w:hAnsi="Times New Roman" w:cs="Times New Roman"/>
          <w:color w:val="374151"/>
          <w:kern w:val="0"/>
          <w:sz w:val="24"/>
          <w:szCs w:val="24"/>
          <w14:ligatures w14:val="none"/>
        </w:rPr>
        <w:t>Bohdanowicz and Zientara, 2016)</w:t>
      </w:r>
    </w:p>
    <w:p w14:paraId="42415BDE" w14:textId="768934D6" w:rsidR="00015FFE" w:rsidRPr="001962B8" w:rsidRDefault="00015FFE"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The 'Planet 21' programme implemented by Accor exemplifies the company's comprehensive approach to CSR. The entity in question is not only a software application, but rather a conceptual framework that embodies the brand's ambitions for a future characterised by environmental sustainability. Accor's 'Planet 21' initiative serves as a comprehensive framework for promoting responsible hospitality in the 21st century, including several domains such as food sustainability, responsible building, and guest awareness </w:t>
      </w:r>
      <w:r w:rsidR="004F3C67">
        <w:rPr>
          <w:rFonts w:ascii="Times New Roman" w:eastAsia="Times New Roman" w:hAnsi="Times New Roman" w:cs="Times New Roman"/>
          <w:color w:val="374151"/>
          <w:kern w:val="0"/>
          <w:sz w:val="24"/>
          <w:szCs w:val="24"/>
          <w14:ligatures w14:val="none"/>
        </w:rPr>
        <w:t>(</w:t>
      </w:r>
      <w:r w:rsidR="00394D98" w:rsidRPr="001962B8">
        <w:rPr>
          <w:rFonts w:ascii="Times New Roman" w:eastAsia="Times New Roman" w:hAnsi="Times New Roman" w:cs="Times New Roman"/>
          <w:color w:val="374151"/>
          <w:kern w:val="0"/>
          <w:sz w:val="24"/>
          <w:szCs w:val="24"/>
          <w14:ligatures w14:val="none"/>
        </w:rPr>
        <w:t>Martínez-Blanco, Inaba and Finkbeiner, 2016).</w:t>
      </w:r>
    </w:p>
    <w:p w14:paraId="506DD4D8" w14:textId="1B9644A9" w:rsidR="00E71439" w:rsidRPr="001962B8" w:rsidRDefault="00015FFE"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lastRenderedPageBreak/>
        <w:t xml:space="preserve">In summary, Accor's CSR strategy goes beyond superficial compliance and aligns with </w:t>
      </w:r>
      <w:r w:rsidR="00775B3D" w:rsidRPr="001962B8">
        <w:rPr>
          <w:rFonts w:ascii="Times New Roman" w:eastAsia="Times New Roman" w:hAnsi="Times New Roman" w:cs="Times New Roman"/>
          <w:color w:val="374151"/>
          <w:kern w:val="0"/>
          <w:sz w:val="24"/>
          <w:szCs w:val="24"/>
          <w14:ligatures w14:val="none"/>
        </w:rPr>
        <w:t>our contemporary day's pressing and diverse needs</w:t>
      </w:r>
      <w:r w:rsidRPr="001962B8">
        <w:rPr>
          <w:rFonts w:ascii="Times New Roman" w:eastAsia="Times New Roman" w:hAnsi="Times New Roman" w:cs="Times New Roman"/>
          <w:color w:val="374151"/>
          <w:kern w:val="0"/>
          <w:sz w:val="24"/>
          <w:szCs w:val="24"/>
          <w14:ligatures w14:val="none"/>
        </w:rPr>
        <w:t>, establishing a notable standard for the hospitality sector.</w:t>
      </w:r>
    </w:p>
    <w:p w14:paraId="18BDB591" w14:textId="77777777" w:rsidR="00775B3D" w:rsidRPr="001962B8" w:rsidRDefault="00775B3D" w:rsidP="001962B8">
      <w:pPr>
        <w:spacing w:line="360" w:lineRule="auto"/>
        <w:jc w:val="both"/>
        <w:rPr>
          <w:rFonts w:ascii="Times New Roman" w:eastAsia="Times New Roman" w:hAnsi="Times New Roman" w:cs="Times New Roman"/>
          <w:b/>
          <w:bCs/>
          <w:color w:val="374151"/>
          <w:kern w:val="0"/>
          <w:sz w:val="24"/>
          <w:szCs w:val="24"/>
          <w14:ligatures w14:val="none"/>
        </w:rPr>
      </w:pPr>
    </w:p>
    <w:p w14:paraId="6EAE85E7" w14:textId="7DB35830" w:rsidR="0027344F" w:rsidRPr="001962B8" w:rsidRDefault="00D4572D" w:rsidP="001962B8">
      <w:pPr>
        <w:spacing w:line="360" w:lineRule="auto"/>
        <w:jc w:val="both"/>
        <w:rPr>
          <w:rFonts w:ascii="Times New Roman" w:eastAsia="Times New Roman" w:hAnsi="Times New Roman" w:cs="Times New Roman"/>
          <w:color w:val="374151"/>
          <w:kern w:val="0"/>
          <w:sz w:val="24"/>
          <w:szCs w:val="24"/>
          <w14:ligatures w14:val="none"/>
        </w:rPr>
      </w:pPr>
      <w:r w:rsidRPr="00D4572D">
        <w:rPr>
          <w:rFonts w:ascii="Times New Roman" w:eastAsia="Times New Roman" w:hAnsi="Times New Roman" w:cs="Times New Roman"/>
          <w:color w:val="374151"/>
          <w:kern w:val="0"/>
          <w:sz w:val="24"/>
          <w:szCs w:val="24"/>
          <w14:ligatures w14:val="none"/>
        </w:rPr>
        <w:t xml:space="preserve">Over the past two decades, there has been a noticeable transformation in global corporate objectives, including several industries, such as the hotel industry. </w:t>
      </w:r>
      <w:r w:rsidR="0027344F" w:rsidRPr="001962B8">
        <w:rPr>
          <w:rFonts w:ascii="Times New Roman" w:eastAsia="Times New Roman" w:hAnsi="Times New Roman" w:cs="Times New Roman"/>
          <w:color w:val="374151"/>
          <w:kern w:val="0"/>
          <w:sz w:val="24"/>
          <w:szCs w:val="24"/>
          <w14:ligatures w14:val="none"/>
        </w:rPr>
        <w:t>Various circumstances have compelled hotels, particularly Accor, to include CSR and sustainability principles into their operational frameworks</w:t>
      </w:r>
      <w:r w:rsidR="00341389" w:rsidRPr="001962B8">
        <w:rPr>
          <w:rFonts w:ascii="Times New Roman" w:eastAsia="Times New Roman" w:hAnsi="Times New Roman" w:cs="Times New Roman"/>
          <w:color w:val="374151"/>
          <w:kern w:val="0"/>
          <w:sz w:val="24"/>
          <w:szCs w:val="24"/>
          <w14:ligatures w14:val="none"/>
        </w:rPr>
        <w:t xml:space="preserve"> </w:t>
      </w:r>
      <w:r w:rsidR="00FA7F00" w:rsidRPr="001962B8">
        <w:rPr>
          <w:rFonts w:ascii="Times New Roman" w:eastAsia="Times New Roman" w:hAnsi="Times New Roman" w:cs="Times New Roman"/>
          <w:color w:val="374151"/>
          <w:kern w:val="0"/>
          <w:sz w:val="24"/>
          <w:szCs w:val="24"/>
          <w14:ligatures w14:val="none"/>
        </w:rPr>
        <w:t>(Accor</w:t>
      </w:r>
      <w:r w:rsidR="00BD6535" w:rsidRPr="001962B8">
        <w:rPr>
          <w:rFonts w:ascii="Times New Roman" w:eastAsia="Times New Roman" w:hAnsi="Times New Roman" w:cs="Times New Roman"/>
          <w:color w:val="374151"/>
          <w:kern w:val="0"/>
          <w:sz w:val="24"/>
          <w:szCs w:val="24"/>
          <w14:ligatures w14:val="none"/>
        </w:rPr>
        <w:t xml:space="preserve"> </w:t>
      </w:r>
      <w:r w:rsidR="00DC5A9C" w:rsidRPr="001962B8">
        <w:rPr>
          <w:rFonts w:ascii="Times New Roman" w:eastAsia="Times New Roman" w:hAnsi="Times New Roman" w:cs="Times New Roman"/>
          <w:color w:val="374151"/>
          <w:kern w:val="0"/>
          <w:sz w:val="24"/>
          <w:szCs w:val="24"/>
          <w14:ligatures w14:val="none"/>
        </w:rPr>
        <w:t>Website</w:t>
      </w:r>
      <w:r w:rsidR="00BD6535" w:rsidRPr="001962B8">
        <w:rPr>
          <w:rFonts w:ascii="Times New Roman" w:eastAsia="Times New Roman" w:hAnsi="Times New Roman" w:cs="Times New Roman"/>
          <w:color w:val="374151"/>
          <w:kern w:val="0"/>
          <w:sz w:val="24"/>
          <w:szCs w:val="24"/>
          <w14:ligatures w14:val="none"/>
        </w:rPr>
        <w:t>,</w:t>
      </w:r>
      <w:r w:rsidR="00FA7F00" w:rsidRPr="001962B8">
        <w:rPr>
          <w:rFonts w:ascii="Times New Roman" w:eastAsia="Times New Roman" w:hAnsi="Times New Roman" w:cs="Times New Roman"/>
          <w:color w:val="374151"/>
          <w:kern w:val="0"/>
          <w:sz w:val="24"/>
          <w:szCs w:val="24"/>
          <w14:ligatures w14:val="none"/>
        </w:rPr>
        <w:t xml:space="preserve"> 2020)</w:t>
      </w:r>
      <w:r w:rsidR="004F3C67">
        <w:rPr>
          <w:rFonts w:ascii="Times New Roman" w:eastAsia="Times New Roman" w:hAnsi="Times New Roman" w:cs="Times New Roman"/>
          <w:color w:val="374151"/>
          <w:kern w:val="0"/>
          <w:sz w:val="24"/>
          <w:szCs w:val="24"/>
          <w14:ligatures w14:val="none"/>
        </w:rPr>
        <w:t>.</w:t>
      </w:r>
    </w:p>
    <w:p w14:paraId="05F5566D" w14:textId="6533783E" w:rsidR="0027344F" w:rsidRPr="001962B8" w:rsidRDefault="0027344F"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The dynamic nature of regulatory frameworks has significantly influenced the phenomenon. </w:t>
      </w:r>
      <w:bookmarkStart w:id="0" w:name="_Int_nr54uRRm"/>
      <w:r w:rsidRPr="001962B8">
        <w:rPr>
          <w:rFonts w:ascii="Times New Roman" w:eastAsia="Times New Roman" w:hAnsi="Times New Roman" w:cs="Times New Roman"/>
          <w:color w:val="374151"/>
          <w:kern w:val="0"/>
          <w:sz w:val="24"/>
          <w:szCs w:val="24"/>
          <w14:ligatures w14:val="none"/>
        </w:rPr>
        <w:t>Because of</w:t>
      </w:r>
      <w:bookmarkEnd w:id="0"/>
      <w:r w:rsidRPr="001962B8">
        <w:rPr>
          <w:rFonts w:ascii="Times New Roman" w:eastAsia="Times New Roman" w:hAnsi="Times New Roman" w:cs="Times New Roman"/>
          <w:color w:val="374151"/>
          <w:kern w:val="0"/>
          <w:sz w:val="24"/>
          <w:szCs w:val="24"/>
          <w14:ligatures w14:val="none"/>
        </w:rPr>
        <w:t xml:space="preserve"> the negative environmental consequences resulting from unrestrained industrial development, countries and international organisations have implemented stricter laws regarding sustainable operations. The regulatory framework encompasses several aspects of environmental management, including waste disposal practises, carbon emission reduction strategies, water resource utilisation, and energy conservation measures. The implementation of mandates has clearly communicated the need to adopt environmentally sustainable practises, under the risk of suffering financial and reputational repercussions. The </w:t>
      </w:r>
      <w:r w:rsidR="4AB96B9B" w:rsidRPr="4AB96B9B">
        <w:rPr>
          <w:rFonts w:ascii="Times New Roman" w:eastAsia="Times New Roman" w:hAnsi="Times New Roman" w:cs="Times New Roman"/>
          <w:color w:val="374151"/>
          <w:sz w:val="24"/>
          <w:szCs w:val="24"/>
        </w:rPr>
        <w:t>rules</w:t>
      </w:r>
      <w:r w:rsidRPr="4AB96B9B">
        <w:rPr>
          <w:rFonts w:ascii="Times New Roman" w:eastAsia="Times New Roman" w:hAnsi="Times New Roman" w:cs="Times New Roman"/>
          <w:color w:val="374151"/>
          <w:sz w:val="24"/>
          <w:szCs w:val="24"/>
        </w:rPr>
        <w:t xml:space="preserve"> </w:t>
      </w:r>
      <w:r w:rsidR="00DE3643" w:rsidRPr="4A0AD268">
        <w:rPr>
          <w:rFonts w:ascii="Times New Roman" w:eastAsia="Times New Roman" w:hAnsi="Times New Roman" w:cs="Times New Roman"/>
          <w:color w:val="374151"/>
          <w:sz w:val="24"/>
          <w:szCs w:val="24"/>
        </w:rPr>
        <w:t>mentioned earlier</w:t>
      </w:r>
      <w:r w:rsidRPr="4A0AD268">
        <w:rPr>
          <w:rFonts w:ascii="Times New Roman" w:eastAsia="Times New Roman" w:hAnsi="Times New Roman" w:cs="Times New Roman"/>
          <w:color w:val="374151"/>
          <w:sz w:val="24"/>
          <w:szCs w:val="24"/>
        </w:rPr>
        <w:t xml:space="preserve"> serv</w:t>
      </w:r>
      <w:r w:rsidRPr="69E0E836">
        <w:rPr>
          <w:rFonts w:ascii="Times New Roman" w:eastAsia="Times New Roman" w:hAnsi="Times New Roman" w:cs="Times New Roman"/>
          <w:color w:val="374151"/>
          <w:sz w:val="24"/>
          <w:szCs w:val="24"/>
        </w:rPr>
        <w:t xml:space="preserve">e as more than just compliance measures for </w:t>
      </w:r>
      <w:r w:rsidRPr="001962B8">
        <w:rPr>
          <w:rFonts w:ascii="Times New Roman" w:eastAsia="Times New Roman" w:hAnsi="Times New Roman" w:cs="Times New Roman"/>
          <w:color w:val="374151"/>
          <w:kern w:val="0"/>
          <w:sz w:val="24"/>
          <w:szCs w:val="24"/>
          <w14:ligatures w14:val="none"/>
        </w:rPr>
        <w:t xml:space="preserve">organisations like Accor. Instead, they necessitate the development of innovative solutions, transforming sustainability into an organisational goal and an essential need </w:t>
      </w:r>
      <w:r w:rsidR="00D67E93" w:rsidRPr="001962B8">
        <w:rPr>
          <w:rFonts w:ascii="Times New Roman" w:eastAsia="Times New Roman" w:hAnsi="Times New Roman" w:cs="Times New Roman"/>
          <w:color w:val="374151"/>
          <w:kern w:val="0"/>
          <w:sz w:val="24"/>
          <w:szCs w:val="24"/>
          <w14:ligatures w14:val="none"/>
        </w:rPr>
        <w:t>(Accor</w:t>
      </w:r>
      <w:r w:rsidR="00896B40" w:rsidRPr="001962B8">
        <w:rPr>
          <w:rFonts w:ascii="Times New Roman" w:eastAsia="Times New Roman" w:hAnsi="Times New Roman" w:cs="Times New Roman"/>
          <w:color w:val="374151"/>
          <w:kern w:val="0"/>
          <w:sz w:val="24"/>
          <w:szCs w:val="24"/>
          <w14:ligatures w14:val="none"/>
        </w:rPr>
        <w:t>,</w:t>
      </w:r>
      <w:r w:rsidR="00D67E93" w:rsidRPr="001962B8">
        <w:rPr>
          <w:rFonts w:ascii="Times New Roman" w:eastAsia="Times New Roman" w:hAnsi="Times New Roman" w:cs="Times New Roman"/>
          <w:color w:val="374151"/>
          <w:kern w:val="0"/>
          <w:sz w:val="24"/>
          <w:szCs w:val="24"/>
          <w14:ligatures w14:val="none"/>
        </w:rPr>
        <w:t xml:space="preserve"> 2020). </w:t>
      </w:r>
    </w:p>
    <w:p w14:paraId="3ED675A2" w14:textId="3C59A0D2" w:rsidR="0027344F" w:rsidRPr="001962B8" w:rsidRDefault="0027344F"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The demographics and interests of customers have undergone significant transformations. Travellers who possess </w:t>
      </w:r>
      <w:r w:rsidR="00A912A5" w:rsidRPr="001962B8">
        <w:rPr>
          <w:rFonts w:ascii="Times New Roman" w:eastAsia="Times New Roman" w:hAnsi="Times New Roman" w:cs="Times New Roman"/>
          <w:color w:val="374151"/>
          <w:kern w:val="0"/>
          <w:sz w:val="24"/>
          <w:szCs w:val="24"/>
          <w14:ligatures w14:val="none"/>
        </w:rPr>
        <w:t xml:space="preserve">the </w:t>
      </w:r>
      <w:r w:rsidRPr="001962B8">
        <w:rPr>
          <w:rFonts w:ascii="Times New Roman" w:eastAsia="Times New Roman" w:hAnsi="Times New Roman" w:cs="Times New Roman"/>
          <w:color w:val="374151"/>
          <w:kern w:val="0"/>
          <w:sz w:val="24"/>
          <w:szCs w:val="24"/>
          <w14:ligatures w14:val="none"/>
        </w:rPr>
        <w:t xml:space="preserve">knowledge and a heightened comprehension of global environmental concerns exhibit a preference for accommodations that adhere to sustainable practises. The guests exhibit concern for the environmental </w:t>
      </w:r>
      <w:r w:rsidR="00A912A5" w:rsidRPr="001962B8">
        <w:rPr>
          <w:rFonts w:ascii="Times New Roman" w:eastAsia="Times New Roman" w:hAnsi="Times New Roman" w:cs="Times New Roman"/>
          <w:color w:val="374151"/>
          <w:kern w:val="0"/>
          <w:sz w:val="24"/>
          <w:szCs w:val="24"/>
          <w14:ligatures w14:val="none"/>
        </w:rPr>
        <w:t>effects</w:t>
      </w:r>
      <w:r w:rsidRPr="001962B8">
        <w:rPr>
          <w:rFonts w:ascii="Times New Roman" w:eastAsia="Times New Roman" w:hAnsi="Times New Roman" w:cs="Times New Roman"/>
          <w:color w:val="374151"/>
          <w:kern w:val="0"/>
          <w:sz w:val="24"/>
          <w:szCs w:val="24"/>
          <w14:ligatures w14:val="none"/>
        </w:rPr>
        <w:t xml:space="preserve"> of their accommodations and </w:t>
      </w:r>
      <w:bookmarkStart w:id="1" w:name="_Int_sGl7bntz"/>
      <w:r w:rsidRPr="001962B8">
        <w:rPr>
          <w:rFonts w:ascii="Times New Roman" w:eastAsia="Times New Roman" w:hAnsi="Times New Roman" w:cs="Times New Roman"/>
          <w:color w:val="374151"/>
          <w:kern w:val="0"/>
          <w:sz w:val="24"/>
          <w:szCs w:val="24"/>
          <w14:ligatures w14:val="none"/>
        </w:rPr>
        <w:t>prefer</w:t>
      </w:r>
      <w:bookmarkEnd w:id="1"/>
      <w:r w:rsidRPr="001962B8">
        <w:rPr>
          <w:rFonts w:ascii="Times New Roman" w:eastAsia="Times New Roman" w:hAnsi="Times New Roman" w:cs="Times New Roman"/>
          <w:color w:val="374151"/>
          <w:kern w:val="0"/>
          <w:sz w:val="24"/>
          <w:szCs w:val="24"/>
          <w14:ligatures w14:val="none"/>
        </w:rPr>
        <w:t xml:space="preserve"> eco-friendly hotels. The increasing number of environmentally concerned travellers has compelled hotels to modify their offerings</w:t>
      </w:r>
      <w:r w:rsidR="00C87BD6" w:rsidRPr="001962B8">
        <w:rPr>
          <w:rFonts w:ascii="Times New Roman" w:eastAsia="Times New Roman" w:hAnsi="Times New Roman" w:cs="Times New Roman"/>
          <w:color w:val="374151"/>
          <w:kern w:val="0"/>
          <w:sz w:val="24"/>
          <w:szCs w:val="24"/>
          <w14:ligatures w14:val="none"/>
        </w:rPr>
        <w:t xml:space="preserve"> </w:t>
      </w:r>
      <w:r w:rsidR="00843186" w:rsidRPr="001962B8">
        <w:rPr>
          <w:rFonts w:ascii="Times New Roman" w:eastAsia="Times New Roman" w:hAnsi="Times New Roman" w:cs="Times New Roman"/>
          <w:color w:val="374151"/>
          <w:kern w:val="0"/>
          <w:sz w:val="24"/>
          <w:szCs w:val="24"/>
          <w14:ligatures w14:val="none"/>
        </w:rPr>
        <w:t>(</w:t>
      </w:r>
      <w:r w:rsidR="00C87BD6" w:rsidRPr="001962B8">
        <w:rPr>
          <w:rFonts w:ascii="Times New Roman" w:eastAsia="Times New Roman" w:hAnsi="Times New Roman" w:cs="Times New Roman"/>
          <w:color w:val="374151"/>
          <w:kern w:val="0"/>
          <w:sz w:val="24"/>
          <w:szCs w:val="24"/>
          <w14:ligatures w14:val="none"/>
        </w:rPr>
        <w:t xml:space="preserve">Sheu, Han, Li-Tzang, </w:t>
      </w:r>
      <w:r w:rsidR="00843186" w:rsidRPr="001962B8">
        <w:rPr>
          <w:rFonts w:ascii="Times New Roman" w:eastAsia="Times New Roman" w:hAnsi="Times New Roman" w:cs="Times New Roman"/>
          <w:color w:val="374151"/>
          <w:kern w:val="0"/>
          <w:sz w:val="24"/>
          <w:szCs w:val="24"/>
          <w14:ligatures w14:val="none"/>
        </w:rPr>
        <w:t>Lee, 2011</w:t>
      </w:r>
      <w:r w:rsidR="00C87BD6" w:rsidRPr="001962B8">
        <w:rPr>
          <w:rFonts w:ascii="Times New Roman" w:eastAsia="Times New Roman" w:hAnsi="Times New Roman" w:cs="Times New Roman"/>
          <w:color w:val="374151"/>
          <w:kern w:val="0"/>
          <w:sz w:val="24"/>
          <w:szCs w:val="24"/>
          <w14:ligatures w14:val="none"/>
        </w:rPr>
        <w:t>)</w:t>
      </w:r>
      <w:r w:rsidR="004F3C67">
        <w:rPr>
          <w:rFonts w:ascii="Times New Roman" w:eastAsia="Times New Roman" w:hAnsi="Times New Roman" w:cs="Times New Roman"/>
          <w:color w:val="374151"/>
          <w:kern w:val="0"/>
          <w:sz w:val="24"/>
          <w:szCs w:val="24"/>
          <w14:ligatures w14:val="none"/>
        </w:rPr>
        <w:t>.</w:t>
      </w:r>
    </w:p>
    <w:p w14:paraId="6D04D90D" w14:textId="5CB1E6A3" w:rsidR="0027344F" w:rsidRPr="001962B8" w:rsidRDefault="0027344F"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The intense competition within the hotel sector contributes to the adoption and implementation of CSR practises. Brands have challenges in differentiating themselves inside a highly saturated market. In this </w:t>
      </w:r>
      <w:bookmarkStart w:id="2" w:name="_Int_rvkcqTvJ"/>
      <w:r w:rsidRPr="001962B8">
        <w:rPr>
          <w:rFonts w:ascii="Times New Roman" w:eastAsia="Times New Roman" w:hAnsi="Times New Roman" w:cs="Times New Roman"/>
          <w:color w:val="374151"/>
          <w:kern w:val="0"/>
          <w:sz w:val="24"/>
          <w:szCs w:val="24"/>
          <w14:ligatures w14:val="none"/>
        </w:rPr>
        <w:t>particular circumstance</w:t>
      </w:r>
      <w:bookmarkEnd w:id="2"/>
      <w:r w:rsidRPr="001962B8">
        <w:rPr>
          <w:rFonts w:ascii="Times New Roman" w:eastAsia="Times New Roman" w:hAnsi="Times New Roman" w:cs="Times New Roman"/>
          <w:color w:val="374151"/>
          <w:kern w:val="0"/>
          <w:sz w:val="24"/>
          <w:szCs w:val="24"/>
          <w14:ligatures w14:val="none"/>
        </w:rPr>
        <w:t xml:space="preserve">, the implementation of a strong CSR strategy assumes the role of a strategic tool and a unique selling proposition (USP). Efforts that are genuinely </w:t>
      </w:r>
      <w:r w:rsidRPr="001962B8">
        <w:rPr>
          <w:rFonts w:ascii="Times New Roman" w:eastAsia="Times New Roman" w:hAnsi="Times New Roman" w:cs="Times New Roman"/>
          <w:color w:val="374151"/>
          <w:kern w:val="0"/>
          <w:sz w:val="24"/>
          <w:szCs w:val="24"/>
          <w14:ligatures w14:val="none"/>
        </w:rPr>
        <w:lastRenderedPageBreak/>
        <w:t>sustainable offer hotels a competitive advantage in attracting environmentally concerned consumers and those who prioritise the brand's social influence</w:t>
      </w:r>
      <w:r w:rsidR="00042F21" w:rsidRPr="001962B8">
        <w:rPr>
          <w:rFonts w:ascii="Times New Roman" w:eastAsia="Times New Roman" w:hAnsi="Times New Roman" w:cs="Times New Roman"/>
          <w:color w:val="374151"/>
          <w:kern w:val="0"/>
          <w:sz w:val="24"/>
          <w:szCs w:val="24"/>
          <w14:ligatures w14:val="none"/>
        </w:rPr>
        <w:t xml:space="preserve"> </w:t>
      </w:r>
      <w:r w:rsidR="00F330AF" w:rsidRPr="001962B8">
        <w:rPr>
          <w:rFonts w:ascii="Times New Roman" w:eastAsia="Times New Roman" w:hAnsi="Times New Roman" w:cs="Times New Roman"/>
          <w:color w:val="374151"/>
          <w:kern w:val="0"/>
          <w:sz w:val="24"/>
          <w:szCs w:val="24"/>
          <w14:ligatures w14:val="none"/>
        </w:rPr>
        <w:t>(</w:t>
      </w:r>
      <w:r w:rsidR="00042F21" w:rsidRPr="001962B8">
        <w:rPr>
          <w:rFonts w:ascii="Times New Roman" w:eastAsia="Times New Roman" w:hAnsi="Times New Roman" w:cs="Times New Roman"/>
          <w:color w:val="374151"/>
          <w:kern w:val="0"/>
          <w:sz w:val="24"/>
          <w:szCs w:val="24"/>
          <w14:ligatures w14:val="none"/>
        </w:rPr>
        <w:t>Guevara Plaza, Peña Miranda, Fraiz Brea</w:t>
      </w:r>
      <w:r w:rsidR="00F330AF" w:rsidRPr="001962B8">
        <w:rPr>
          <w:rFonts w:ascii="Times New Roman" w:eastAsia="Times New Roman" w:hAnsi="Times New Roman" w:cs="Times New Roman"/>
          <w:color w:val="374151"/>
          <w:kern w:val="0"/>
          <w:sz w:val="24"/>
          <w:szCs w:val="24"/>
          <w14:ligatures w14:val="none"/>
        </w:rPr>
        <w:t xml:space="preserve"> and</w:t>
      </w:r>
      <w:r w:rsidR="00042F21" w:rsidRPr="001962B8">
        <w:rPr>
          <w:rFonts w:ascii="Times New Roman" w:eastAsia="Times New Roman" w:hAnsi="Times New Roman" w:cs="Times New Roman"/>
          <w:color w:val="374151"/>
          <w:kern w:val="0"/>
          <w:sz w:val="24"/>
          <w:szCs w:val="24"/>
          <w14:ligatures w14:val="none"/>
        </w:rPr>
        <w:t xml:space="preserve"> </w:t>
      </w:r>
      <w:r w:rsidR="009A14BE" w:rsidRPr="001962B8">
        <w:rPr>
          <w:rFonts w:ascii="Times New Roman" w:eastAsia="Times New Roman" w:hAnsi="Times New Roman" w:cs="Times New Roman"/>
          <w:color w:val="374151"/>
          <w:kern w:val="0"/>
          <w:sz w:val="24"/>
          <w:szCs w:val="24"/>
          <w14:ligatures w14:val="none"/>
        </w:rPr>
        <w:t>Camilleri, 2021</w:t>
      </w:r>
      <w:r w:rsidR="00042F21" w:rsidRPr="001962B8">
        <w:rPr>
          <w:rFonts w:ascii="Times New Roman" w:eastAsia="Times New Roman" w:hAnsi="Times New Roman" w:cs="Times New Roman"/>
          <w:color w:val="374151"/>
          <w:kern w:val="0"/>
          <w:sz w:val="24"/>
          <w:szCs w:val="24"/>
          <w14:ligatures w14:val="none"/>
        </w:rPr>
        <w:t>)</w:t>
      </w:r>
      <w:r w:rsidR="004F3C67">
        <w:rPr>
          <w:rFonts w:ascii="Times New Roman" w:eastAsia="Times New Roman" w:hAnsi="Times New Roman" w:cs="Times New Roman"/>
          <w:color w:val="374151"/>
          <w:kern w:val="0"/>
          <w:sz w:val="24"/>
          <w:szCs w:val="24"/>
          <w14:ligatures w14:val="none"/>
        </w:rPr>
        <w:t>.</w:t>
      </w:r>
    </w:p>
    <w:p w14:paraId="3B5143A3" w14:textId="34C8322C" w:rsidR="0027344F" w:rsidRPr="001962B8" w:rsidRDefault="0027344F"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In conjunction with market positioning, CSR facilitates the cultivation of long-term resilience. The use of sustainable practises has been found to result in a reduction of waste, an enhancement of efficiency, and long-term cost savings. Hotels may cultivate loyalty among tourists, staff, and investors by adopting a responsible brand image</w:t>
      </w:r>
      <w:r w:rsidR="00B34318" w:rsidRPr="001962B8">
        <w:rPr>
          <w:rFonts w:ascii="Times New Roman" w:eastAsia="Times New Roman" w:hAnsi="Times New Roman" w:cs="Times New Roman"/>
          <w:color w:val="374151"/>
          <w:kern w:val="0"/>
          <w:sz w:val="24"/>
          <w:szCs w:val="24"/>
          <w14:ligatures w14:val="none"/>
        </w:rPr>
        <w:t xml:space="preserve"> (Basil-Jones, 2023)</w:t>
      </w:r>
      <w:r w:rsidR="004F3C67">
        <w:rPr>
          <w:rFonts w:ascii="Times New Roman" w:eastAsia="Times New Roman" w:hAnsi="Times New Roman" w:cs="Times New Roman"/>
          <w:color w:val="374151"/>
          <w:kern w:val="0"/>
          <w:sz w:val="24"/>
          <w:szCs w:val="24"/>
          <w14:ligatures w14:val="none"/>
        </w:rPr>
        <w:t xml:space="preserve">. </w:t>
      </w:r>
    </w:p>
    <w:p w14:paraId="1BD28755" w14:textId="6A0A5453" w:rsidR="004E4978" w:rsidRPr="001962B8" w:rsidRDefault="0027344F"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 </w:t>
      </w:r>
      <w:bookmarkStart w:id="3" w:name="_Int_rzoYY4Rk"/>
      <w:r w:rsidRPr="001962B8">
        <w:rPr>
          <w:rFonts w:ascii="Times New Roman" w:eastAsia="Times New Roman" w:hAnsi="Times New Roman" w:cs="Times New Roman"/>
          <w:color w:val="374151"/>
          <w:kern w:val="0"/>
          <w:sz w:val="24"/>
          <w:szCs w:val="24"/>
          <w14:ligatures w14:val="none"/>
        </w:rPr>
        <w:t>similar to</w:t>
      </w:r>
      <w:bookmarkEnd w:id="3"/>
      <w:r w:rsidRPr="001962B8">
        <w:rPr>
          <w:rFonts w:ascii="Times New Roman" w:eastAsia="Times New Roman" w:hAnsi="Times New Roman" w:cs="Times New Roman"/>
          <w:color w:val="374151"/>
          <w:kern w:val="0"/>
          <w:sz w:val="24"/>
          <w:szCs w:val="24"/>
          <w14:ligatures w14:val="none"/>
        </w:rPr>
        <w:t xml:space="preserve"> other entities within the industry, possesses multiple justifications for incorporating CSR. The sources of this phenomenon may be attributed to legislative obligations, evolving consumer preferences, competitive positioning, and a proactive commitment to fostering firm resilience and expansion. The adoption of CSR by hoteliers may be seen as a manifestation of prevailing economic needs and the practicalities of the industry, rather than a mere passing trend</w:t>
      </w:r>
      <w:r w:rsidR="004F3C67">
        <w:rPr>
          <w:rFonts w:ascii="Times New Roman" w:eastAsia="Times New Roman" w:hAnsi="Times New Roman" w:cs="Times New Roman"/>
          <w:color w:val="374151"/>
          <w:kern w:val="0"/>
          <w:sz w:val="24"/>
          <w:szCs w:val="24"/>
          <w14:ligatures w14:val="none"/>
        </w:rPr>
        <w:t xml:space="preserve"> (</w:t>
      </w:r>
      <w:r w:rsidR="008D6FA1" w:rsidRPr="001962B8">
        <w:rPr>
          <w:rFonts w:ascii="Times New Roman" w:eastAsia="Times New Roman" w:hAnsi="Times New Roman" w:cs="Times New Roman"/>
          <w:color w:val="374151"/>
          <w:kern w:val="0"/>
          <w:sz w:val="24"/>
          <w:szCs w:val="24"/>
          <w14:ligatures w14:val="none"/>
        </w:rPr>
        <w:t>Nga</w:t>
      </w:r>
      <w:r w:rsidR="007830BD" w:rsidRPr="001962B8">
        <w:rPr>
          <w:rFonts w:ascii="Times New Roman" w:eastAsia="Times New Roman" w:hAnsi="Times New Roman" w:cs="Times New Roman"/>
          <w:color w:val="374151"/>
          <w:kern w:val="0"/>
          <w:sz w:val="24"/>
          <w:szCs w:val="24"/>
          <w14:ligatures w14:val="none"/>
        </w:rPr>
        <w:t xml:space="preserve"> et al.</w:t>
      </w:r>
      <w:r w:rsidR="008D6FA1" w:rsidRPr="001962B8">
        <w:rPr>
          <w:rFonts w:ascii="Times New Roman" w:eastAsia="Times New Roman" w:hAnsi="Times New Roman" w:cs="Times New Roman"/>
          <w:color w:val="374151"/>
          <w:kern w:val="0"/>
          <w:sz w:val="24"/>
          <w:szCs w:val="24"/>
          <w14:ligatures w14:val="none"/>
        </w:rPr>
        <w:t>,</w:t>
      </w:r>
      <w:r w:rsidR="00291130" w:rsidRPr="001962B8">
        <w:rPr>
          <w:rFonts w:ascii="Times New Roman" w:eastAsia="Times New Roman" w:hAnsi="Times New Roman" w:cs="Times New Roman"/>
          <w:color w:val="374151"/>
          <w:kern w:val="0"/>
          <w:sz w:val="24"/>
          <w:szCs w:val="24"/>
          <w14:ligatures w14:val="none"/>
        </w:rPr>
        <w:t xml:space="preserve"> </w:t>
      </w:r>
      <w:r w:rsidR="008D6FA1" w:rsidRPr="001962B8">
        <w:rPr>
          <w:rFonts w:ascii="Times New Roman" w:eastAsia="Times New Roman" w:hAnsi="Times New Roman" w:cs="Times New Roman"/>
          <w:color w:val="374151"/>
          <w:kern w:val="0"/>
          <w:sz w:val="24"/>
          <w:szCs w:val="24"/>
          <w14:ligatures w14:val="none"/>
        </w:rPr>
        <w:t>2020)</w:t>
      </w:r>
      <w:r w:rsidR="004F3C67">
        <w:rPr>
          <w:rFonts w:ascii="Times New Roman" w:eastAsia="Times New Roman" w:hAnsi="Times New Roman" w:cs="Times New Roman"/>
          <w:color w:val="374151"/>
          <w:kern w:val="0"/>
          <w:sz w:val="24"/>
          <w:szCs w:val="24"/>
          <w14:ligatures w14:val="none"/>
        </w:rPr>
        <w:t>.</w:t>
      </w:r>
    </w:p>
    <w:p w14:paraId="02CEF9B4" w14:textId="77777777" w:rsidR="00775B3D" w:rsidRPr="001962B8" w:rsidRDefault="00775B3D" w:rsidP="001962B8">
      <w:pPr>
        <w:spacing w:line="360" w:lineRule="auto"/>
        <w:jc w:val="both"/>
        <w:rPr>
          <w:rFonts w:ascii="Times New Roman" w:eastAsia="Times New Roman" w:hAnsi="Times New Roman" w:cs="Times New Roman"/>
          <w:b/>
          <w:bCs/>
          <w:color w:val="374151"/>
          <w:kern w:val="0"/>
          <w:sz w:val="24"/>
          <w:szCs w:val="24"/>
          <w14:ligatures w14:val="none"/>
        </w:rPr>
      </w:pPr>
    </w:p>
    <w:p w14:paraId="75C6625F" w14:textId="2FD8493B" w:rsidR="00756BFC"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The circular economy has developed as a disruptive concept that presents a compelling alternative to the unsustainable paradigm of 'take, make, dispose' that has traditionally been prevalent in enterprises. The fundamental principle of the circular economy is to imitate the regenerative cycles observed in nature, </w:t>
      </w:r>
      <w:r w:rsidR="00775B3D" w:rsidRPr="001962B8">
        <w:rPr>
          <w:rFonts w:ascii="Times New Roman" w:eastAsia="Times New Roman" w:hAnsi="Times New Roman" w:cs="Times New Roman"/>
          <w:color w:val="374151"/>
          <w:kern w:val="0"/>
          <w:sz w:val="24"/>
          <w:szCs w:val="24"/>
          <w14:ligatures w14:val="none"/>
        </w:rPr>
        <w:t>aiming to minimise waste and ensure</w:t>
      </w:r>
      <w:r w:rsidRPr="001962B8">
        <w:rPr>
          <w:rFonts w:ascii="Times New Roman" w:eastAsia="Times New Roman" w:hAnsi="Times New Roman" w:cs="Times New Roman"/>
          <w:color w:val="374151"/>
          <w:kern w:val="0"/>
          <w:sz w:val="24"/>
          <w:szCs w:val="24"/>
          <w14:ligatures w14:val="none"/>
        </w:rPr>
        <w:t xml:space="preserve"> the continuous reuse, repurposing, or recycling of resources. This concept not only guarantees environmental sustainability but also provides economic advantages by decreasing reliance on limited resources and addressing the potential hazards linked to resource scarcity </w:t>
      </w:r>
      <w:r w:rsidR="004F3C67">
        <w:rPr>
          <w:rFonts w:ascii="Times New Roman" w:eastAsia="Times New Roman" w:hAnsi="Times New Roman" w:cs="Times New Roman"/>
          <w:color w:val="374151"/>
          <w:kern w:val="0"/>
          <w:sz w:val="24"/>
          <w:szCs w:val="24"/>
          <w14:ligatures w14:val="none"/>
        </w:rPr>
        <w:t>(</w:t>
      </w:r>
      <w:r w:rsidR="00B233C5" w:rsidRPr="001962B8">
        <w:rPr>
          <w:rFonts w:ascii="Times New Roman" w:eastAsia="Times New Roman" w:hAnsi="Times New Roman" w:cs="Times New Roman"/>
          <w:color w:val="374151"/>
          <w:kern w:val="0"/>
          <w:sz w:val="24"/>
          <w:szCs w:val="24"/>
          <w14:ligatures w14:val="none"/>
        </w:rPr>
        <w:t>Morea, Fortunati, Cappa and Oriani, 2023).</w:t>
      </w:r>
    </w:p>
    <w:p w14:paraId="0CAD353F" w14:textId="40D5B1A8" w:rsidR="00756BFC"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 through its progressive CSR strategies, serves as a prime example of how enterprises may effectively incorporate ideas of the circular economy into their organisational practises. Their waste management technique, for example, goes beyond simple dumping. Through establishing collaborations with local farmers, Accor effectively diverts organic waste towards composting. This approach not only diminishes the amount of garbage sent to landfills, but also actively promotes agricultural methods that contribute to soil replenishment. In doing so, Accor exemplifies the regenerative principles inherent in the circular model </w:t>
      </w:r>
      <w:r w:rsidR="004F3C67">
        <w:rPr>
          <w:rFonts w:ascii="Times New Roman" w:eastAsia="Times New Roman" w:hAnsi="Times New Roman" w:cs="Times New Roman"/>
          <w:color w:val="374151"/>
          <w:kern w:val="0"/>
          <w:sz w:val="24"/>
          <w:szCs w:val="24"/>
          <w14:ligatures w14:val="none"/>
        </w:rPr>
        <w:t>(</w:t>
      </w:r>
      <w:r w:rsidR="008E2ECA" w:rsidRPr="001962B8">
        <w:rPr>
          <w:rFonts w:ascii="Times New Roman" w:eastAsia="Times New Roman" w:hAnsi="Times New Roman" w:cs="Times New Roman"/>
          <w:color w:val="374151"/>
          <w:kern w:val="0"/>
          <w:sz w:val="24"/>
          <w:szCs w:val="24"/>
          <w14:ligatures w14:val="none"/>
        </w:rPr>
        <w:t>Schaltegger, Burritt and Petersen, 2017).</w:t>
      </w:r>
    </w:p>
    <w:p w14:paraId="1CBCBA04" w14:textId="516BC5F5" w:rsidR="00756BFC"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lastRenderedPageBreak/>
        <w:t>Moreover, Accor's achievements in recycling and resource optimisation demonstrate a profound dedication to preserving value inside goods and resources for extended periods. Collaborations with NGOs aimed at repurposing leftover soaps serve as a noteworthy example. Rather than engaging in the common practise of disposing of these soaps, which is prominent in many hotels, Accor takes measures to repurpose them, therefore aiding individuals in need and concurrently mitigating waste. This</w:t>
      </w:r>
      <w:bookmarkStart w:id="4" w:name="_Int_7IQxoeBI"/>
      <w:r w:rsidRPr="001962B8">
        <w:rPr>
          <w:rFonts w:ascii="Times New Roman" w:eastAsia="Times New Roman" w:hAnsi="Times New Roman" w:cs="Times New Roman"/>
          <w:color w:val="374151"/>
          <w:kern w:val="0"/>
          <w:sz w:val="24"/>
          <w:szCs w:val="24"/>
          <w14:ligatures w14:val="none"/>
        </w:rPr>
        <w:t xml:space="preserve"> straightforward</w:t>
      </w:r>
      <w:bookmarkEnd w:id="4"/>
      <w:r w:rsidRPr="001962B8">
        <w:rPr>
          <w:rFonts w:ascii="Times New Roman" w:eastAsia="Times New Roman" w:hAnsi="Times New Roman" w:cs="Times New Roman"/>
          <w:color w:val="374151"/>
          <w:kern w:val="0"/>
          <w:sz w:val="24"/>
          <w:szCs w:val="24"/>
          <w14:ligatures w14:val="none"/>
        </w:rPr>
        <w:t xml:space="preserve"> activity reflects the underlying principles of the circular economy, which involves the continuous reintegration of goods into the system </w:t>
      </w:r>
      <w:r w:rsidR="004F3C67">
        <w:rPr>
          <w:rFonts w:ascii="Times New Roman" w:eastAsia="Times New Roman" w:hAnsi="Times New Roman" w:cs="Times New Roman"/>
          <w:color w:val="374151"/>
          <w:kern w:val="0"/>
          <w:sz w:val="24"/>
          <w:szCs w:val="24"/>
          <w14:ligatures w14:val="none"/>
        </w:rPr>
        <w:t>(</w:t>
      </w:r>
      <w:r w:rsidR="00310546" w:rsidRPr="001962B8">
        <w:rPr>
          <w:rFonts w:ascii="Times New Roman" w:eastAsia="Times New Roman" w:hAnsi="Times New Roman" w:cs="Times New Roman"/>
          <w:color w:val="374151"/>
          <w:kern w:val="0"/>
          <w:sz w:val="24"/>
          <w:szCs w:val="24"/>
          <w14:ligatures w14:val="none"/>
        </w:rPr>
        <w:t>Bohdanowicz, Zientara, 2016).</w:t>
      </w:r>
    </w:p>
    <w:p w14:paraId="09827611" w14:textId="1EB4C840" w:rsidR="0021389E"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Accor's corporate social responsibility strategies demonstrate a notable degree of agreement with the fundamental concepts of the circular economy. Accor exemplifies the potential for businesses to transition from linear, extractive models to regenerative, circular ones by implementing sustainable waste management, diligent recycling practises, and community-oriented repurposing initiatives. This change in thinking not only contributes to a sustainable future for the environment but also fosters economic sustainability.</w:t>
      </w:r>
      <w:r w:rsidR="00954202" w:rsidRPr="001962B8">
        <w:rPr>
          <w:rFonts w:ascii="Times New Roman" w:eastAsia="Times New Roman" w:hAnsi="Times New Roman" w:cs="Times New Roman"/>
          <w:color w:val="374151"/>
          <w:kern w:val="0"/>
          <w:sz w:val="24"/>
          <w:szCs w:val="24"/>
          <w14:ligatures w14:val="none"/>
        </w:rPr>
        <w:t xml:space="preserve"> </w:t>
      </w:r>
    </w:p>
    <w:p w14:paraId="7AD47D99" w14:textId="6EC558D1" w:rsidR="00756BFC"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Through its advocacy of circular practises, Accor not only enhances its brand reputation but also promotes the crucial notion that the hospitality sector can achieve both profitability and sustainability by implementing appropriate tactics </w:t>
      </w:r>
      <w:r w:rsidR="004F3C67">
        <w:rPr>
          <w:rFonts w:ascii="Times New Roman" w:eastAsia="Times New Roman" w:hAnsi="Times New Roman" w:cs="Times New Roman"/>
          <w:color w:val="374151"/>
          <w:kern w:val="0"/>
          <w:sz w:val="24"/>
          <w:szCs w:val="24"/>
          <w14:ligatures w14:val="none"/>
        </w:rPr>
        <w:t>(</w:t>
      </w:r>
      <w:r w:rsidR="006A709C" w:rsidRPr="001962B8">
        <w:rPr>
          <w:rFonts w:ascii="Times New Roman" w:eastAsia="Times New Roman" w:hAnsi="Times New Roman" w:cs="Times New Roman"/>
          <w:color w:val="374151"/>
          <w:kern w:val="0"/>
          <w:sz w:val="24"/>
          <w:szCs w:val="24"/>
          <w14:ligatures w14:val="none"/>
        </w:rPr>
        <w:t>Atif, 2023).</w:t>
      </w:r>
    </w:p>
    <w:p w14:paraId="1C267445" w14:textId="77777777" w:rsidR="00775B3D" w:rsidRPr="001962B8" w:rsidRDefault="00775B3D" w:rsidP="001962B8">
      <w:pPr>
        <w:spacing w:line="360" w:lineRule="auto"/>
        <w:jc w:val="both"/>
        <w:rPr>
          <w:rFonts w:ascii="Times New Roman" w:hAnsi="Times New Roman" w:cs="Times New Roman"/>
          <w:noProof/>
          <w:sz w:val="24"/>
          <w:szCs w:val="24"/>
        </w:rPr>
      </w:pPr>
    </w:p>
    <w:p w14:paraId="0466790F" w14:textId="507CB65A" w:rsidR="00756BFC" w:rsidRPr="001962B8" w:rsidRDefault="00756BFC" w:rsidP="001962B8">
      <w:pPr>
        <w:spacing w:line="360" w:lineRule="auto"/>
        <w:jc w:val="both"/>
        <w:rPr>
          <w:rFonts w:ascii="Times New Roman" w:hAnsi="Times New Roman" w:cs="Times New Roman"/>
          <w:sz w:val="24"/>
          <w:szCs w:val="24"/>
        </w:rPr>
      </w:pPr>
      <w:r w:rsidRPr="001962B8">
        <w:rPr>
          <w:rFonts w:ascii="Times New Roman" w:eastAsia="Times New Roman" w:hAnsi="Times New Roman" w:cs="Times New Roman"/>
          <w:color w:val="374151"/>
          <w:kern w:val="0"/>
          <w:sz w:val="24"/>
          <w:szCs w:val="24"/>
          <w14:ligatures w14:val="none"/>
        </w:rPr>
        <w:t xml:space="preserve">The Triple Bottom Line (TBL) concept has significantly transformed the </w:t>
      </w:r>
      <w:bookmarkStart w:id="5" w:name="_Int_K478I1cs"/>
      <w:r w:rsidRPr="001962B8">
        <w:rPr>
          <w:rFonts w:ascii="Times New Roman" w:eastAsia="Times New Roman" w:hAnsi="Times New Roman" w:cs="Times New Roman"/>
          <w:color w:val="374151"/>
          <w:kern w:val="0"/>
          <w:sz w:val="24"/>
          <w:szCs w:val="24"/>
          <w14:ligatures w14:val="none"/>
        </w:rPr>
        <w:t>way</w:t>
      </w:r>
      <w:bookmarkEnd w:id="5"/>
      <w:r w:rsidRPr="001962B8">
        <w:rPr>
          <w:rFonts w:ascii="Times New Roman" w:eastAsia="Times New Roman" w:hAnsi="Times New Roman" w:cs="Times New Roman"/>
          <w:color w:val="374151"/>
          <w:kern w:val="0"/>
          <w:sz w:val="24"/>
          <w:szCs w:val="24"/>
          <w14:ligatures w14:val="none"/>
        </w:rPr>
        <w:t xml:space="preserve"> corporations evaluate their achievements. Historically, organisations assessed their success only through the lens of financial earnings. Nevertheless, the TBL paradigm expands upon this viewpoint by incorporating three interconnected dimensions: People, Planet, and Profit. The comprehensive approach entails the evaluation of a company's accomplishments based not just on its financial performance but also on its social and environmental effects </w:t>
      </w:r>
      <w:r w:rsidR="004F3C67">
        <w:rPr>
          <w:rFonts w:ascii="Times New Roman" w:eastAsia="Times New Roman" w:hAnsi="Times New Roman" w:cs="Times New Roman"/>
          <w:color w:val="374151"/>
          <w:kern w:val="0"/>
          <w:sz w:val="24"/>
          <w:szCs w:val="24"/>
          <w14:ligatures w14:val="none"/>
        </w:rPr>
        <w:t>(</w:t>
      </w:r>
      <w:r w:rsidR="004F1383" w:rsidRPr="001962B8">
        <w:rPr>
          <w:rFonts w:ascii="Times New Roman" w:eastAsia="Times New Roman" w:hAnsi="Times New Roman" w:cs="Times New Roman"/>
          <w:color w:val="374151"/>
          <w:kern w:val="0"/>
          <w:sz w:val="24"/>
          <w:szCs w:val="24"/>
          <w14:ligatures w14:val="none"/>
        </w:rPr>
        <w:t>Miller, 2020).</w:t>
      </w:r>
    </w:p>
    <w:p w14:paraId="4D36FF1E" w14:textId="171F2ABD" w:rsidR="770D8D12" w:rsidRPr="001962B8" w:rsidRDefault="770D8D12" w:rsidP="001962B8">
      <w:pPr>
        <w:pStyle w:val="NoSpacing"/>
        <w:spacing w:line="360" w:lineRule="auto"/>
        <w:jc w:val="both"/>
        <w:rPr>
          <w:rFonts w:ascii="Times New Roman" w:eastAsia="Calibri" w:hAnsi="Times New Roman" w:cs="Times New Roman"/>
          <w:sz w:val="24"/>
          <w:szCs w:val="24"/>
        </w:rPr>
      </w:pPr>
    </w:p>
    <w:p w14:paraId="0A5160E7" w14:textId="26639294" w:rsidR="00756BFC" w:rsidRPr="001962B8" w:rsidRDefault="008E4B34"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According to a review conducted by Jaiswal</w:t>
      </w:r>
      <w:r w:rsidR="00060EC2" w:rsidRPr="001962B8">
        <w:rPr>
          <w:rFonts w:ascii="Times New Roman" w:eastAsia="Times New Roman" w:hAnsi="Times New Roman" w:cs="Times New Roman"/>
          <w:color w:val="374151"/>
          <w:kern w:val="0"/>
          <w:sz w:val="24"/>
          <w:szCs w:val="24"/>
          <w14:ligatures w14:val="none"/>
        </w:rPr>
        <w:t xml:space="preserve"> </w:t>
      </w:r>
      <w:r w:rsidRPr="001962B8">
        <w:rPr>
          <w:rFonts w:ascii="Times New Roman" w:eastAsia="Times New Roman" w:hAnsi="Times New Roman" w:cs="Times New Roman"/>
          <w:color w:val="374151"/>
          <w:kern w:val="0"/>
          <w:sz w:val="24"/>
          <w:szCs w:val="24"/>
          <w14:ligatures w14:val="none"/>
        </w:rPr>
        <w:t>(2022)</w:t>
      </w:r>
      <w:r w:rsidR="00060EC2" w:rsidRPr="001962B8">
        <w:rPr>
          <w:rFonts w:ascii="Times New Roman" w:eastAsia="Times New Roman" w:hAnsi="Times New Roman" w:cs="Times New Roman"/>
          <w:color w:val="374151"/>
          <w:kern w:val="0"/>
          <w:sz w:val="24"/>
          <w:szCs w:val="24"/>
          <w14:ligatures w14:val="none"/>
        </w:rPr>
        <w:t>,</w:t>
      </w:r>
      <w:r w:rsidR="00A81B2B" w:rsidRPr="001962B8">
        <w:rPr>
          <w:rFonts w:ascii="Times New Roman" w:eastAsia="Times New Roman" w:hAnsi="Times New Roman" w:cs="Times New Roman"/>
          <w:color w:val="374151"/>
          <w:kern w:val="0"/>
          <w:sz w:val="24"/>
          <w:szCs w:val="24"/>
          <w14:ligatures w14:val="none"/>
        </w:rPr>
        <w:t xml:space="preserve"> t</w:t>
      </w:r>
      <w:r w:rsidR="00756BFC" w:rsidRPr="001962B8">
        <w:rPr>
          <w:rFonts w:ascii="Times New Roman" w:eastAsia="Times New Roman" w:hAnsi="Times New Roman" w:cs="Times New Roman"/>
          <w:color w:val="374151"/>
          <w:kern w:val="0"/>
          <w:sz w:val="24"/>
          <w:szCs w:val="24"/>
          <w14:ligatures w14:val="none"/>
        </w:rPr>
        <w:t xml:space="preserve">he "People" aspect pertains to the social component of corporate activities. This highlights the significance of equitable treatment of employees, cultivating a workplace that embraces diversity and inclusivity, and guaranteeing that organisational activities do not have adverse effects on communities. Instead, it is imperative for </w:t>
      </w:r>
      <w:r w:rsidR="00756BFC" w:rsidRPr="001962B8">
        <w:rPr>
          <w:rFonts w:ascii="Times New Roman" w:eastAsia="Times New Roman" w:hAnsi="Times New Roman" w:cs="Times New Roman"/>
          <w:color w:val="374151"/>
          <w:kern w:val="0"/>
          <w:sz w:val="24"/>
          <w:szCs w:val="24"/>
          <w14:ligatures w14:val="none"/>
        </w:rPr>
        <w:lastRenderedPageBreak/>
        <w:t>corporations to make concerted efforts to enhance and strengthen local communities, make meaningful contributions to their overall welfare, and uphold fundamental human rights.</w:t>
      </w:r>
    </w:p>
    <w:p w14:paraId="4FA39B07" w14:textId="51BB9B19" w:rsidR="00756BFC"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The concept of "planet" in this context places a significant emphasis on the notion of protecting the environment. Organisations are incentivized to mitigate their carbon emissions, minimise the generation of waste, optimise resource utilisation, and advocate for conservation efforts. The primary objective is to establish and maintain sustainable activities that minimise adverse environmental impacts, and ideally, make beneficial contributions to the environment.</w:t>
      </w:r>
      <w:r w:rsidR="005A1F70" w:rsidRPr="001962B8">
        <w:rPr>
          <w:rFonts w:ascii="Times New Roman" w:eastAsia="Times New Roman" w:hAnsi="Times New Roman" w:cs="Times New Roman"/>
          <w:color w:val="374151"/>
          <w:kern w:val="0"/>
          <w:sz w:val="24"/>
          <w:szCs w:val="24"/>
          <w14:ligatures w14:val="none"/>
        </w:rPr>
        <w:t xml:space="preserve"> </w:t>
      </w:r>
    </w:p>
    <w:p w14:paraId="739D5460" w14:textId="68F67201" w:rsidR="00756BFC"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Profit, which is commonly regarded as the conventional metric for evaluating corporate performance, is intricately linked with the other two components within the Triple Bottom Line framework. The attainment of financial success is considered very valued when it is accompanied by favourable social and environmental consequences </w:t>
      </w:r>
      <w:r w:rsidR="004F3C67">
        <w:rPr>
          <w:rFonts w:ascii="Times New Roman" w:eastAsia="Times New Roman" w:hAnsi="Times New Roman" w:cs="Times New Roman"/>
          <w:color w:val="374151"/>
          <w:kern w:val="0"/>
          <w:sz w:val="24"/>
          <w:szCs w:val="24"/>
          <w14:ligatures w14:val="none"/>
        </w:rPr>
        <w:t>(</w:t>
      </w:r>
      <w:r w:rsidR="00AF55BE" w:rsidRPr="001962B8">
        <w:rPr>
          <w:rFonts w:ascii="Times New Roman" w:eastAsia="Times New Roman" w:hAnsi="Times New Roman" w:cs="Times New Roman"/>
          <w:color w:val="374151"/>
          <w:kern w:val="0"/>
          <w:sz w:val="24"/>
          <w:szCs w:val="24"/>
          <w14:ligatures w14:val="none"/>
        </w:rPr>
        <w:t>Collins, Galli, Hipwood and Murthy, 2020).</w:t>
      </w:r>
    </w:p>
    <w:p w14:paraId="1E67FA34" w14:textId="7B701FF3" w:rsidR="00756BFC"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 via its environmental activities, exemplifies the concepts of TBL. The company's extensive corporate social responsibility policies not only aim to promote economic growth, but also prioritise environmental stewardship and societal betterment. This demonstrates the company's dedication to the larger principles of sustainability </w:t>
      </w:r>
      <w:r w:rsidR="004F3C67">
        <w:rPr>
          <w:rFonts w:ascii="Times New Roman" w:eastAsia="Times New Roman" w:hAnsi="Times New Roman" w:cs="Times New Roman"/>
          <w:color w:val="374151"/>
          <w:kern w:val="0"/>
          <w:sz w:val="24"/>
          <w:szCs w:val="24"/>
          <w14:ligatures w14:val="none"/>
        </w:rPr>
        <w:t>(</w:t>
      </w:r>
      <w:r w:rsidR="008A349A" w:rsidRPr="001962B8">
        <w:rPr>
          <w:rFonts w:ascii="Times New Roman" w:eastAsia="Times New Roman" w:hAnsi="Times New Roman" w:cs="Times New Roman"/>
          <w:color w:val="374151"/>
          <w:kern w:val="0"/>
          <w:sz w:val="24"/>
          <w:szCs w:val="24"/>
          <w14:ligatures w14:val="none"/>
        </w:rPr>
        <w:t>Accor</w:t>
      </w:r>
      <w:r w:rsidR="00595859" w:rsidRPr="001962B8">
        <w:rPr>
          <w:rFonts w:ascii="Times New Roman" w:eastAsia="Times New Roman" w:hAnsi="Times New Roman" w:cs="Times New Roman"/>
          <w:color w:val="374151"/>
          <w:kern w:val="0"/>
          <w:sz w:val="24"/>
          <w:szCs w:val="24"/>
          <w14:ligatures w14:val="none"/>
        </w:rPr>
        <w:t>, 202</w:t>
      </w:r>
      <w:r w:rsidR="008B1CE5" w:rsidRPr="001962B8">
        <w:rPr>
          <w:rFonts w:ascii="Times New Roman" w:eastAsia="Times New Roman" w:hAnsi="Times New Roman" w:cs="Times New Roman"/>
          <w:color w:val="374151"/>
          <w:kern w:val="0"/>
          <w:sz w:val="24"/>
          <w:szCs w:val="24"/>
          <w14:ligatures w14:val="none"/>
        </w:rPr>
        <w:t>0).</w:t>
      </w:r>
    </w:p>
    <w:p w14:paraId="449116C9" w14:textId="7589F23F" w:rsidR="0021389E" w:rsidRPr="001962B8" w:rsidRDefault="00756BFC"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The Triple Bottom Line and the three pillars of sustainability provide a framework for businesses, encouraging them to go beyond traditional profit-oriented approaches. By adopting these principles, firms like Accor demonstrate the validation of sustainable operations as not only ethically justified but also strategically advantageous for achieving long-term growth and stability </w:t>
      </w:r>
      <w:r w:rsidR="004F3C67">
        <w:rPr>
          <w:rFonts w:ascii="Times New Roman" w:eastAsia="Times New Roman" w:hAnsi="Times New Roman" w:cs="Times New Roman"/>
          <w:color w:val="374151"/>
          <w:kern w:val="0"/>
          <w:sz w:val="24"/>
          <w:szCs w:val="24"/>
          <w14:ligatures w14:val="none"/>
        </w:rPr>
        <w:t>(</w:t>
      </w:r>
      <w:r w:rsidR="001C1845" w:rsidRPr="001962B8">
        <w:rPr>
          <w:rFonts w:ascii="Times New Roman" w:eastAsia="Times New Roman" w:hAnsi="Times New Roman" w:cs="Times New Roman"/>
          <w:color w:val="374151"/>
          <w:kern w:val="0"/>
          <w:sz w:val="24"/>
          <w:szCs w:val="24"/>
          <w14:ligatures w14:val="none"/>
        </w:rPr>
        <w:t>Accor, 2020).</w:t>
      </w:r>
    </w:p>
    <w:p w14:paraId="5B4E59D6" w14:textId="77777777" w:rsidR="00775B3D" w:rsidRPr="001962B8" w:rsidRDefault="00775B3D" w:rsidP="001962B8">
      <w:pPr>
        <w:spacing w:line="360" w:lineRule="auto"/>
        <w:jc w:val="both"/>
        <w:rPr>
          <w:rFonts w:ascii="Times New Roman" w:hAnsi="Times New Roman" w:cs="Times New Roman"/>
          <w:noProof/>
          <w:sz w:val="24"/>
          <w:szCs w:val="24"/>
        </w:rPr>
      </w:pPr>
    </w:p>
    <w:p w14:paraId="378B8A0D" w14:textId="313AA14F" w:rsidR="0021389E" w:rsidRPr="001962B8" w:rsidRDefault="00F51663" w:rsidP="001962B8">
      <w:pPr>
        <w:spacing w:line="360" w:lineRule="auto"/>
        <w:jc w:val="both"/>
        <w:rPr>
          <w:rFonts w:ascii="Times New Roman" w:eastAsia="Times New Roman" w:hAnsi="Times New Roman" w:cs="Times New Roman"/>
          <w:color w:val="374151"/>
          <w:kern w:val="0"/>
          <w:sz w:val="24"/>
          <w:szCs w:val="24"/>
          <w14:ligatures w14:val="none"/>
        </w:rPr>
      </w:pPr>
      <w:r w:rsidRPr="00F51663">
        <w:rPr>
          <w:rFonts w:ascii="Times New Roman" w:eastAsia="Times New Roman" w:hAnsi="Times New Roman" w:cs="Times New Roman"/>
          <w:color w:val="374151"/>
          <w:kern w:val="0"/>
          <w:sz w:val="24"/>
          <w:szCs w:val="24"/>
          <w14:ligatures w14:val="none"/>
        </w:rPr>
        <w:t>The concept of sustainability is supported by three fundamental pillars, namely the economic, environmental, and social components. These pillars collectively provide a complete framework for promoting complete sustainable development.</w:t>
      </w:r>
      <w:r w:rsidR="00EA08BB" w:rsidRPr="001962B8">
        <w:rPr>
          <w:rFonts w:ascii="Times New Roman" w:eastAsia="Times New Roman" w:hAnsi="Times New Roman" w:cs="Times New Roman"/>
          <w:color w:val="374151"/>
          <w:kern w:val="0"/>
          <w:sz w:val="24"/>
          <w:szCs w:val="24"/>
          <w14:ligatures w14:val="none"/>
        </w:rPr>
        <w:t xml:space="preserve"> The economic pillar places significant emphasis on the imperative for companies to maintain financial viability, therefore guaranteeing both development and stability. The environmental aspect focuses on the mitigation of adverse effects on the Earth, with an emphasis on the preservation of resources and the minimization of waste. The social pillar is centred on the improvement of societal welfare, the promotion of equitable </w:t>
      </w:r>
      <w:r w:rsidR="00EA08BB" w:rsidRPr="001962B8">
        <w:rPr>
          <w:rFonts w:ascii="Times New Roman" w:eastAsia="Times New Roman" w:hAnsi="Times New Roman" w:cs="Times New Roman"/>
          <w:color w:val="374151"/>
          <w:kern w:val="0"/>
          <w:sz w:val="24"/>
          <w:szCs w:val="24"/>
          <w14:ligatures w14:val="none"/>
        </w:rPr>
        <w:lastRenderedPageBreak/>
        <w:t xml:space="preserve">labour practises, and the advancement of community development. The techniques employed by Accor are intricately intertwined with these foundational pillars. The business strategy employed by the organisation enables the promotion of economic growth, while concurrently addressing environmental issues through the implementation of various green projects. Meanwhile, the community outreach initiatives undertaken by the organisation exemplify their dedication to promoting social well-being, therefore embodying a </w:t>
      </w:r>
      <w:bookmarkStart w:id="6" w:name="_Int_5aGmBuap"/>
      <w:r w:rsidR="00EA08BB" w:rsidRPr="001962B8">
        <w:rPr>
          <w:rFonts w:ascii="Times New Roman" w:eastAsia="Times New Roman" w:hAnsi="Times New Roman" w:cs="Times New Roman"/>
          <w:color w:val="374151"/>
          <w:kern w:val="0"/>
          <w:sz w:val="24"/>
          <w:szCs w:val="24"/>
          <w14:ligatures w14:val="none"/>
        </w:rPr>
        <w:t>sustainable</w:t>
      </w:r>
      <w:bookmarkEnd w:id="6"/>
      <w:r w:rsidR="00EA08BB" w:rsidRPr="001962B8">
        <w:rPr>
          <w:rFonts w:ascii="Times New Roman" w:eastAsia="Times New Roman" w:hAnsi="Times New Roman" w:cs="Times New Roman"/>
          <w:color w:val="374151"/>
          <w:kern w:val="0"/>
          <w:sz w:val="24"/>
          <w:szCs w:val="24"/>
          <w14:ligatures w14:val="none"/>
        </w:rPr>
        <w:t xml:space="preserve"> methodology </w:t>
      </w:r>
      <w:r w:rsidR="004F3C67">
        <w:rPr>
          <w:rFonts w:ascii="Times New Roman" w:eastAsia="Times New Roman" w:hAnsi="Times New Roman" w:cs="Times New Roman"/>
          <w:color w:val="374151"/>
          <w:kern w:val="0"/>
          <w:sz w:val="24"/>
          <w:szCs w:val="24"/>
          <w14:ligatures w14:val="none"/>
        </w:rPr>
        <w:t>(</w:t>
      </w:r>
      <w:r w:rsidR="00353341" w:rsidRPr="001962B8">
        <w:rPr>
          <w:rFonts w:ascii="Times New Roman" w:eastAsia="Times New Roman" w:hAnsi="Times New Roman" w:cs="Times New Roman"/>
          <w:color w:val="374151"/>
          <w:kern w:val="0"/>
          <w:sz w:val="24"/>
          <w:szCs w:val="24"/>
          <w14:ligatures w14:val="none"/>
        </w:rPr>
        <w:t>Safdie, 2023).</w:t>
      </w:r>
    </w:p>
    <w:p w14:paraId="0BDB3498" w14:textId="77777777" w:rsidR="00EA08BB" w:rsidRPr="001962B8" w:rsidRDefault="00EA08BB" w:rsidP="001962B8">
      <w:pPr>
        <w:spacing w:line="360" w:lineRule="auto"/>
        <w:jc w:val="both"/>
        <w:rPr>
          <w:rFonts w:ascii="Times New Roman" w:eastAsia="Times New Roman" w:hAnsi="Times New Roman" w:cs="Times New Roman"/>
          <w:color w:val="374151"/>
          <w:kern w:val="0"/>
          <w:sz w:val="24"/>
          <w:szCs w:val="24"/>
          <w14:ligatures w14:val="none"/>
        </w:rPr>
      </w:pPr>
    </w:p>
    <w:p w14:paraId="407C19B0" w14:textId="321B3CF0" w:rsidR="00EA08BB" w:rsidRPr="001962B8" w:rsidRDefault="00EA08BB"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The hospitality industry has experienced a significant transformation in its approach to sustainability and CSR, due to its substantial environmental impact. Accor serves as a monument to this transformation, leading the way in implementing a comprehensive and efficient CSR strategy. The measures implemented by this organisation not only effectively address environmental issues, but also integrate the social and economic aspects, therefore establishing a standard of excellence within the hotel industry </w:t>
      </w:r>
      <w:r w:rsidR="004F3C67">
        <w:rPr>
          <w:rFonts w:ascii="Times New Roman" w:eastAsia="Times New Roman" w:hAnsi="Times New Roman" w:cs="Times New Roman"/>
          <w:color w:val="374151"/>
          <w:kern w:val="0"/>
          <w:sz w:val="24"/>
          <w:szCs w:val="24"/>
          <w14:ligatures w14:val="none"/>
        </w:rPr>
        <w:t>(</w:t>
      </w:r>
      <w:r w:rsidR="00917C7D" w:rsidRPr="001962B8">
        <w:rPr>
          <w:rFonts w:ascii="Times New Roman" w:eastAsia="Times New Roman" w:hAnsi="Times New Roman" w:cs="Times New Roman"/>
          <w:color w:val="374151"/>
          <w:kern w:val="0"/>
          <w:sz w:val="24"/>
          <w:szCs w:val="24"/>
          <w14:ligatures w14:val="none"/>
        </w:rPr>
        <w:t>Accor</w:t>
      </w:r>
      <w:r w:rsidR="00E9153B" w:rsidRPr="001962B8">
        <w:rPr>
          <w:rFonts w:ascii="Times New Roman" w:eastAsia="Times New Roman" w:hAnsi="Times New Roman" w:cs="Times New Roman"/>
          <w:color w:val="374151"/>
          <w:kern w:val="0"/>
          <w:sz w:val="24"/>
          <w:szCs w:val="24"/>
          <w14:ligatures w14:val="none"/>
        </w:rPr>
        <w:t>, 2021).</w:t>
      </w:r>
    </w:p>
    <w:p w14:paraId="73F24C27" w14:textId="4D130874" w:rsidR="00EA08BB" w:rsidRPr="001962B8" w:rsidRDefault="00EA08BB" w:rsidP="001962B8">
      <w:p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The fundamental interconnectivity of the ideas of CSR, the circular economy, the Triple</w:t>
      </w:r>
      <w:r w:rsidR="008E2300" w:rsidRPr="001962B8">
        <w:rPr>
          <w:rFonts w:ascii="Times New Roman" w:eastAsia="Times New Roman" w:hAnsi="Times New Roman" w:cs="Times New Roman"/>
          <w:color w:val="374151"/>
          <w:kern w:val="0"/>
          <w:sz w:val="24"/>
          <w:szCs w:val="24"/>
          <w14:ligatures w14:val="none"/>
        </w:rPr>
        <w:t xml:space="preserve"> </w:t>
      </w:r>
      <w:r w:rsidRPr="001962B8">
        <w:rPr>
          <w:rFonts w:ascii="Times New Roman" w:eastAsia="Times New Roman" w:hAnsi="Times New Roman" w:cs="Times New Roman"/>
          <w:color w:val="374151"/>
          <w:kern w:val="0"/>
          <w:sz w:val="24"/>
          <w:szCs w:val="24"/>
          <w14:ligatures w14:val="none"/>
        </w:rPr>
        <w:t xml:space="preserve">Bottom Line, and the </w:t>
      </w:r>
      <w:r w:rsidR="00E9153B" w:rsidRPr="001962B8">
        <w:rPr>
          <w:rFonts w:ascii="Times New Roman" w:eastAsia="Times New Roman" w:hAnsi="Times New Roman" w:cs="Times New Roman"/>
          <w:color w:val="374151"/>
          <w:kern w:val="0"/>
          <w:sz w:val="24"/>
          <w:szCs w:val="24"/>
          <w14:ligatures w14:val="none"/>
        </w:rPr>
        <w:t>pillar</w:t>
      </w:r>
      <w:r w:rsidRPr="001962B8">
        <w:rPr>
          <w:rFonts w:ascii="Times New Roman" w:eastAsia="Times New Roman" w:hAnsi="Times New Roman" w:cs="Times New Roman"/>
          <w:color w:val="374151"/>
          <w:kern w:val="0"/>
          <w:sz w:val="24"/>
          <w:szCs w:val="24"/>
          <w14:ligatures w14:val="none"/>
        </w:rPr>
        <w:t xml:space="preserve"> of sustainability is highlighted by their alignment. By adopting these conceptual frameworks, Accor guarantees </w:t>
      </w:r>
      <w:r w:rsidR="00F152C1">
        <w:rPr>
          <w:rFonts w:ascii="Times New Roman" w:eastAsia="Times New Roman" w:hAnsi="Times New Roman" w:cs="Times New Roman"/>
          <w:color w:val="374151"/>
          <w:kern w:val="0"/>
          <w:sz w:val="24"/>
          <w:szCs w:val="24"/>
          <w14:ligatures w14:val="none"/>
        </w:rPr>
        <w:t>its</w:t>
      </w:r>
      <w:r w:rsidRPr="001962B8">
        <w:rPr>
          <w:rFonts w:ascii="Times New Roman" w:eastAsia="Times New Roman" w:hAnsi="Times New Roman" w:cs="Times New Roman"/>
          <w:color w:val="374151"/>
          <w:kern w:val="0"/>
          <w:sz w:val="24"/>
          <w:szCs w:val="24"/>
          <w14:ligatures w14:val="none"/>
        </w:rPr>
        <w:t xml:space="preserve"> sustainability overall, enhances stakeholder contentment, and makes positive contributions toward global sustainability objectives </w:t>
      </w:r>
      <w:r w:rsidR="004F3C67">
        <w:rPr>
          <w:rFonts w:ascii="Times New Roman" w:eastAsia="Times New Roman" w:hAnsi="Times New Roman" w:cs="Times New Roman"/>
          <w:color w:val="374151"/>
          <w:kern w:val="0"/>
          <w:sz w:val="24"/>
          <w:szCs w:val="24"/>
          <w14:ligatures w14:val="none"/>
        </w:rPr>
        <w:t>(</w:t>
      </w:r>
      <w:r w:rsidR="00E9153B" w:rsidRPr="001962B8">
        <w:rPr>
          <w:rFonts w:ascii="Times New Roman" w:eastAsia="Times New Roman" w:hAnsi="Times New Roman" w:cs="Times New Roman"/>
          <w:color w:val="374151"/>
          <w:kern w:val="0"/>
          <w:sz w:val="24"/>
          <w:szCs w:val="24"/>
          <w14:ligatures w14:val="none"/>
        </w:rPr>
        <w:t>Accor, 2021).</w:t>
      </w:r>
    </w:p>
    <w:p w14:paraId="1CAF8B15" w14:textId="77777777" w:rsidR="008E2556" w:rsidRPr="001962B8" w:rsidRDefault="008E2556" w:rsidP="001962B8">
      <w:pPr>
        <w:spacing w:line="360" w:lineRule="auto"/>
        <w:jc w:val="both"/>
        <w:rPr>
          <w:rFonts w:ascii="Times New Roman" w:eastAsia="Times New Roman" w:hAnsi="Times New Roman" w:cs="Times New Roman"/>
          <w:color w:val="374151"/>
          <w:kern w:val="0"/>
          <w:sz w:val="24"/>
          <w:szCs w:val="24"/>
          <w14:ligatures w14:val="none"/>
        </w:rPr>
      </w:pPr>
    </w:p>
    <w:p w14:paraId="0A4D79E1" w14:textId="135452EB" w:rsidR="00F05CA8" w:rsidRPr="001962B8" w:rsidRDefault="00706425" w:rsidP="001962B8">
      <w:pPr>
        <w:spacing w:line="360" w:lineRule="auto"/>
        <w:jc w:val="both"/>
        <w:rPr>
          <w:rFonts w:ascii="Times New Roman" w:eastAsia="Times New Roman" w:hAnsi="Times New Roman" w:cs="Times New Roman"/>
          <w:color w:val="374151"/>
          <w:kern w:val="0"/>
          <w:sz w:val="24"/>
          <w:szCs w:val="24"/>
          <w14:ligatures w14:val="none"/>
        </w:rPr>
      </w:pPr>
      <w:r w:rsidRPr="00706425">
        <w:rPr>
          <w:rFonts w:ascii="Times New Roman" w:eastAsia="Times New Roman" w:hAnsi="Times New Roman" w:cs="Times New Roman"/>
          <w:color w:val="374151"/>
          <w:kern w:val="0"/>
          <w:sz w:val="24"/>
          <w:szCs w:val="24"/>
          <w14:ligatures w14:val="none"/>
        </w:rPr>
        <w:t xml:space="preserve">The research conducted by Abdou, Hassam, and El Dief (2020), confirms the essence of what was discussed, that integrating sustainability practises into the hotel industry produces numerous advantages. Furthermore, aside from conferring a competitive advantage and assuring compliance with regulatory requirements, this method also enhances the preparation of the organisation for future challenges. Given the increasing recognition and apprehension regarding environmental issues among consumers, enterprises that prioritise sustainability will not only achieve prosperity but also facilitate positive changes in their immediate surroundings. </w:t>
      </w:r>
    </w:p>
    <w:p w14:paraId="45CE4DB6" w14:textId="77777777" w:rsidR="00E737E6" w:rsidRPr="001962B8" w:rsidRDefault="00E737E6" w:rsidP="001962B8">
      <w:pPr>
        <w:spacing w:line="360" w:lineRule="auto"/>
        <w:jc w:val="both"/>
        <w:rPr>
          <w:rFonts w:ascii="Times New Roman" w:eastAsia="Times New Roman" w:hAnsi="Times New Roman" w:cs="Times New Roman"/>
          <w:color w:val="374151"/>
          <w:kern w:val="0"/>
          <w:sz w:val="24"/>
          <w:szCs w:val="24"/>
          <w14:ligatures w14:val="none"/>
        </w:rPr>
      </w:pPr>
    </w:p>
    <w:p w14:paraId="69A37940" w14:textId="77777777" w:rsidR="00C952D5" w:rsidRPr="001962B8" w:rsidRDefault="00C952D5" w:rsidP="001962B8">
      <w:pPr>
        <w:spacing w:line="360" w:lineRule="auto"/>
        <w:jc w:val="both"/>
        <w:rPr>
          <w:rFonts w:ascii="Times New Roman" w:eastAsia="Times New Roman" w:hAnsi="Times New Roman" w:cs="Times New Roman"/>
          <w:color w:val="374151"/>
          <w:kern w:val="0"/>
          <w:sz w:val="24"/>
          <w:szCs w:val="24"/>
          <w14:ligatures w14:val="none"/>
        </w:rPr>
      </w:pPr>
    </w:p>
    <w:p w14:paraId="3F1733B3" w14:textId="77777777" w:rsidR="00456E81" w:rsidRDefault="00456E81" w:rsidP="001962B8">
      <w:pPr>
        <w:spacing w:line="360" w:lineRule="auto"/>
        <w:jc w:val="both"/>
        <w:rPr>
          <w:rFonts w:ascii="Times New Roman" w:eastAsia="Times New Roman" w:hAnsi="Times New Roman" w:cs="Times New Roman"/>
          <w:b/>
          <w:bCs/>
          <w:color w:val="374151"/>
          <w:kern w:val="0"/>
          <w:sz w:val="24"/>
          <w:szCs w:val="24"/>
          <w14:ligatures w14:val="none"/>
        </w:rPr>
      </w:pPr>
    </w:p>
    <w:p w14:paraId="51DFB12E" w14:textId="0AAA3746" w:rsidR="00E737E6" w:rsidRPr="001962B8" w:rsidRDefault="00E737E6" w:rsidP="001962B8">
      <w:pPr>
        <w:spacing w:line="360" w:lineRule="auto"/>
        <w:jc w:val="both"/>
        <w:rPr>
          <w:rFonts w:ascii="Times New Roman" w:eastAsia="Times New Roman" w:hAnsi="Times New Roman" w:cs="Times New Roman"/>
          <w:b/>
          <w:bCs/>
          <w:color w:val="374151"/>
          <w:kern w:val="0"/>
          <w:sz w:val="24"/>
          <w:szCs w:val="24"/>
          <w14:ligatures w14:val="none"/>
        </w:rPr>
      </w:pPr>
      <w:r w:rsidRPr="001962B8">
        <w:rPr>
          <w:rFonts w:ascii="Times New Roman" w:eastAsia="Times New Roman" w:hAnsi="Times New Roman" w:cs="Times New Roman"/>
          <w:b/>
          <w:bCs/>
          <w:color w:val="374151"/>
          <w:kern w:val="0"/>
          <w:sz w:val="24"/>
          <w:szCs w:val="24"/>
          <w14:ligatures w14:val="none"/>
        </w:rPr>
        <w:t>References</w:t>
      </w:r>
    </w:p>
    <w:p w14:paraId="63B5AD47" w14:textId="77777777" w:rsidR="008E2556" w:rsidRPr="001962B8" w:rsidRDefault="008E2556" w:rsidP="001962B8">
      <w:pPr>
        <w:spacing w:line="360" w:lineRule="auto"/>
        <w:jc w:val="both"/>
        <w:rPr>
          <w:rFonts w:ascii="Times New Roman" w:hAnsi="Times New Roman" w:cs="Times New Roman"/>
          <w:sz w:val="24"/>
          <w:szCs w:val="24"/>
        </w:rPr>
      </w:pPr>
    </w:p>
    <w:p w14:paraId="4BC55702"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Abdou, H. A., Hassam, H. T., El Dief, M. M., 2020. A Description of Green Hotel Practices and Their Role in Achieving Sustainable Development.</w:t>
      </w:r>
    </w:p>
    <w:p w14:paraId="6CA7B5E0"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 2020. Ethics and Corporate Social Responsibility Charter: Available At: </w:t>
      </w:r>
      <w:hyperlink r:id="rId7" w:history="1">
        <w:r w:rsidRPr="001962B8">
          <w:rPr>
            <w:rStyle w:val="Hyperlink"/>
            <w:rFonts w:ascii="Times New Roman" w:eastAsia="Times New Roman" w:hAnsi="Times New Roman" w:cs="Times New Roman"/>
            <w:kern w:val="0"/>
            <w:sz w:val="24"/>
            <w:szCs w:val="24"/>
            <w14:ligatures w14:val="none"/>
          </w:rPr>
          <w:t>https://group.accor.com/-/media/Corporate/Talent/PDF-for-pages/Charte-ethique-et-RSE/ACCOR_Ethics_and_Corporate_Social_Responsibility_Charter_20_ENG.pdf</w:t>
        </w:r>
      </w:hyperlink>
    </w:p>
    <w:p w14:paraId="78F93D85"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Accor, 2020. Integrated report. Our industry has reached a turning point while Accor has consistently focused on the future. Page 5-79</w:t>
      </w:r>
    </w:p>
    <w:p w14:paraId="0CBA0DEE"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 2021. Accor joins global sustainability network, the Sustainable Hospitality Alliance. Available At: </w:t>
      </w:r>
      <w:hyperlink r:id="rId8" w:history="1">
        <w:r w:rsidRPr="001962B8">
          <w:rPr>
            <w:rStyle w:val="Hyperlink"/>
            <w:rFonts w:ascii="Times New Roman" w:eastAsia="Times New Roman" w:hAnsi="Times New Roman" w:cs="Times New Roman"/>
            <w:kern w:val="0"/>
            <w:sz w:val="24"/>
            <w:szCs w:val="24"/>
            <w14:ligatures w14:val="none"/>
          </w:rPr>
          <w:t>https://press.accor.com/accor-joins-global-sustainability-network-the-sustainable-hospitality-alliance/?lang=en</w:t>
        </w:r>
      </w:hyperlink>
    </w:p>
    <w:p w14:paraId="58B52B9E"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Accor, 2021. UNIVERSAL REGISTRATION DOCUMENT. Available at: </w:t>
      </w:r>
      <w:hyperlink r:id="rId9" w:history="1">
        <w:r w:rsidRPr="001962B8">
          <w:rPr>
            <w:rStyle w:val="Hyperlink"/>
            <w:rFonts w:ascii="Times New Roman" w:eastAsia="Times New Roman" w:hAnsi="Times New Roman" w:cs="Times New Roman"/>
            <w:kern w:val="0"/>
            <w:sz w:val="24"/>
            <w:szCs w:val="24"/>
            <w14:ligatures w14:val="none"/>
          </w:rPr>
          <w:t>https://wedocs.unep.org/bitstream/handle/20.500.11822/26490/TEEB_National_In ternational.pdf?sequence=1&amp;isAllowed=y</w:t>
        </w:r>
      </w:hyperlink>
    </w:p>
    <w:p w14:paraId="3957232B"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Atif, S., 2023. The role of industry 4.0‐enabled data‐driven shared platform as an enabler of product‐service system in the context of circular economy: a systematic literature review and future research directions. Business Strategy &amp; Development.</w:t>
      </w:r>
    </w:p>
    <w:p w14:paraId="5EECE922"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Basil-Jones, W., 2023. What is CSR? The fundamentals of Corporate Social Responsibility</w:t>
      </w:r>
    </w:p>
    <w:p w14:paraId="41B8A640"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Bohdanowicz, P. and Zientara, P., 2016. CSR-inspired environmental initiatives in top hotel chains. In Tourism enterprises and the sustainability agenda across Europe (pp. 93-120). Routledge.</w:t>
      </w:r>
    </w:p>
    <w:p w14:paraId="63CECA7A"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Collins, A., Galli, A., Hipwood, T. and Murthy, A., 2020. Living within a One Planet reality: the contribution of personal Footprint calculators. Environmental Research Letters, 15(2), p.025008.</w:t>
      </w:r>
    </w:p>
    <w:p w14:paraId="0F3A9360"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Cowan, K. and Guzman, F., 2020. How CSR reputation, sustainability signals, and country-of-origin sustainability reputation contribute to corporate brand performance: An exploratory study. Journal of business research, 117, pp.683-693.</w:t>
      </w:r>
    </w:p>
    <w:p w14:paraId="55347050"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lastRenderedPageBreak/>
        <w:t>Davis, A.L., 2021. The Impact of Generational Differences on the Employee Turnover Rate in a High-Tech Industry (Doctoral dissertation, Northcentral University).</w:t>
      </w:r>
    </w:p>
    <w:p w14:paraId="57C58DDE"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Edelman, 2020. Edelman Trust Barometer. Published on January 19, </w:t>
      </w:r>
      <w:bookmarkStart w:id="7" w:name="_Int_IYAsGw8h"/>
      <w:r w:rsidRPr="001962B8">
        <w:rPr>
          <w:rFonts w:ascii="Times New Roman" w:eastAsia="Times New Roman" w:hAnsi="Times New Roman" w:cs="Times New Roman"/>
          <w:color w:val="374151"/>
          <w:kern w:val="0"/>
          <w:sz w:val="24"/>
          <w:szCs w:val="24"/>
          <w14:ligatures w14:val="none"/>
        </w:rPr>
        <w:t>2020</w:t>
      </w:r>
      <w:bookmarkEnd w:id="7"/>
      <w:r w:rsidRPr="001962B8">
        <w:rPr>
          <w:rFonts w:ascii="Times New Roman" w:eastAsia="Times New Roman" w:hAnsi="Times New Roman" w:cs="Times New Roman"/>
          <w:color w:val="374151"/>
          <w:kern w:val="0"/>
          <w:sz w:val="24"/>
          <w:szCs w:val="24"/>
          <w14:ligatures w14:val="none"/>
        </w:rPr>
        <w:t xml:space="preserve"> available at: </w:t>
      </w:r>
      <w:hyperlink r:id="rId10" w:history="1">
        <w:r w:rsidRPr="001962B8">
          <w:rPr>
            <w:rStyle w:val="Hyperlink"/>
            <w:rFonts w:ascii="Times New Roman" w:eastAsia="Times New Roman" w:hAnsi="Times New Roman" w:cs="Times New Roman"/>
            <w:kern w:val="0"/>
            <w:sz w:val="24"/>
            <w:szCs w:val="24"/>
            <w14:ligatures w14:val="none"/>
          </w:rPr>
          <w:t>https://www.edelman.com/trust/2020-trust-barometer</w:t>
        </w:r>
      </w:hyperlink>
    </w:p>
    <w:p w14:paraId="50E07190"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Fred, H. 2020. The Basics of Wow! The Guest Knows Best. Hospitality principle: Provide </w:t>
      </w:r>
      <w:bookmarkStart w:id="8" w:name="_Int_SNgKOkmQ"/>
      <w:r w:rsidRPr="001962B8">
        <w:rPr>
          <w:rFonts w:ascii="Times New Roman" w:eastAsia="Times New Roman" w:hAnsi="Times New Roman" w:cs="Times New Roman"/>
          <w:color w:val="374151"/>
          <w:kern w:val="0"/>
          <w:sz w:val="24"/>
          <w:szCs w:val="24"/>
          <w14:ligatures w14:val="none"/>
        </w:rPr>
        <w:t>The</w:t>
      </w:r>
      <w:bookmarkEnd w:id="8"/>
      <w:r w:rsidRPr="001962B8">
        <w:rPr>
          <w:rFonts w:ascii="Times New Roman" w:eastAsia="Times New Roman" w:hAnsi="Times New Roman" w:cs="Times New Roman"/>
          <w:color w:val="374151"/>
          <w:kern w:val="0"/>
          <w:sz w:val="24"/>
          <w:szCs w:val="24"/>
          <w14:ligatures w14:val="none"/>
        </w:rPr>
        <w:t xml:space="preserve"> Service Quality </w:t>
      </w:r>
      <w:bookmarkStart w:id="9" w:name="_Int_zaLn5Xk2"/>
      <w:r w:rsidRPr="001962B8">
        <w:rPr>
          <w:rFonts w:ascii="Times New Roman" w:eastAsia="Times New Roman" w:hAnsi="Times New Roman" w:cs="Times New Roman"/>
          <w:color w:val="374151"/>
          <w:kern w:val="0"/>
          <w:sz w:val="24"/>
          <w:szCs w:val="24"/>
          <w14:ligatures w14:val="none"/>
        </w:rPr>
        <w:t>And</w:t>
      </w:r>
      <w:bookmarkEnd w:id="9"/>
      <w:r w:rsidRPr="001962B8">
        <w:rPr>
          <w:rFonts w:ascii="Times New Roman" w:eastAsia="Times New Roman" w:hAnsi="Times New Roman" w:cs="Times New Roman"/>
          <w:color w:val="374151"/>
          <w:kern w:val="0"/>
          <w:sz w:val="24"/>
          <w:szCs w:val="24"/>
          <w14:ligatures w14:val="none"/>
        </w:rPr>
        <w:t xml:space="preserve"> Value thet Guest Expect. Available at: </w:t>
      </w:r>
      <w:hyperlink r:id="rId11" w:history="1">
        <w:r w:rsidRPr="001962B8">
          <w:rPr>
            <w:rStyle w:val="Hyperlink"/>
            <w:rFonts w:ascii="Times New Roman" w:eastAsia="Times New Roman" w:hAnsi="Times New Roman" w:cs="Times New Roman"/>
            <w:kern w:val="0"/>
            <w:sz w:val="24"/>
            <w:szCs w:val="24"/>
            <w14:ligatures w14:val="none"/>
          </w:rPr>
          <w:t>https://us.sagepub.com/sites/default/files/upm-assets/101863_book_item_101863.pdf</w:t>
        </w:r>
      </w:hyperlink>
    </w:p>
    <w:p w14:paraId="4D717B13"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Guevara Plaza, A., Peña Miranda, D. D., Fraiz Brea, J. A., &amp; Camilleri, M. A. 2021. Corporate social responsibility model for a competitive and resilient hospitality industry.</w:t>
      </w:r>
    </w:p>
    <w:p w14:paraId="158B78F9"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Jaiswal, A. 2022. Interplay of diversity, inclusion, and politics: Impact on employee well-being. IIMB Management Review.</w:t>
      </w:r>
    </w:p>
    <w:p w14:paraId="22AC9F9B"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Kagan, J.A. and Dodge, J., 2023. The third sector and climate change: A literature review and agenda for future research and action. Nonprofit and Voluntary Sector Quarterly, 52(4), pp.871-891.</w:t>
      </w:r>
    </w:p>
    <w:p w14:paraId="1C45B32C"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Marianne Kettunen, Alexandra Vakrou and Heidi Wittmer. THE ECONOMICS OF ECOSYSTEMS AND BIODIVERSITY</w:t>
      </w:r>
    </w:p>
    <w:p w14:paraId="38F75934"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Martínez-Blanco, J., Inaba, A. and Finkbeiner, M., 2016. Life cycle assessment of organizations. Special types of life cycle assessment, pp.333-394.</w:t>
      </w:r>
    </w:p>
    <w:p w14:paraId="0425FEE7"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Miller, K. 2020. The Triple Bottom Line: What It Is &amp; Why </w:t>
      </w:r>
      <w:bookmarkStart w:id="10" w:name="_Int_rIxYbVfu"/>
      <w:r w:rsidRPr="001962B8">
        <w:rPr>
          <w:rFonts w:ascii="Times New Roman" w:eastAsia="Times New Roman" w:hAnsi="Times New Roman" w:cs="Times New Roman"/>
          <w:color w:val="374151"/>
          <w:kern w:val="0"/>
          <w:sz w:val="24"/>
          <w:szCs w:val="24"/>
          <w14:ligatures w14:val="none"/>
        </w:rPr>
        <w:t>It's</w:t>
      </w:r>
      <w:bookmarkEnd w:id="10"/>
      <w:r w:rsidRPr="001962B8">
        <w:rPr>
          <w:rFonts w:ascii="Times New Roman" w:eastAsia="Times New Roman" w:hAnsi="Times New Roman" w:cs="Times New Roman"/>
          <w:color w:val="374151"/>
          <w:kern w:val="0"/>
          <w:sz w:val="24"/>
          <w:szCs w:val="24"/>
          <w14:ligatures w14:val="none"/>
        </w:rPr>
        <w:t xml:space="preserve"> Important.</w:t>
      </w:r>
    </w:p>
    <w:p w14:paraId="40B0A3AF"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Morea, D., Fortunati, S., Cappa, F. and Oriani, R., 2023. Corporate social responsibility as a catalyst of circular economy? A case study perspective in Agri-food. Journal of Knowledge Management, 27(7), pp.1787-1809.</w:t>
      </w:r>
    </w:p>
    <w:p w14:paraId="53843A27"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Nga, M.N.T.T., 2020. Corporate social responsibility: a case study of Accor hotels group. Sustainable tourism: Shaping a Better Future, 203.</w:t>
      </w:r>
    </w:p>
    <w:p w14:paraId="12B7D23F"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 xml:space="preserve">Safdie, S., 2023. What are the Three Pillars of Sustainable Development? Available At: </w:t>
      </w:r>
      <w:hyperlink r:id="rId12" w:history="1">
        <w:r w:rsidRPr="001962B8">
          <w:rPr>
            <w:rStyle w:val="Hyperlink"/>
            <w:rFonts w:ascii="Times New Roman" w:eastAsia="Times New Roman" w:hAnsi="Times New Roman" w:cs="Times New Roman"/>
            <w:kern w:val="0"/>
            <w:sz w:val="24"/>
            <w:szCs w:val="24"/>
            <w14:ligatures w14:val="none"/>
          </w:rPr>
          <w:t>https://greenly.earth/en-us/blog/company-guide/3-pillars-of-sustainable-development</w:t>
        </w:r>
      </w:hyperlink>
    </w:p>
    <w:p w14:paraId="310979D4"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Schaltegger, S., Burritt, R. and Petersen, H., 2017. An introduction to corporate environmental management: Striving for sustainability. Routledge.</w:t>
      </w:r>
    </w:p>
    <w:p w14:paraId="539383AB"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t>Sheu, S., Han, H. Li-Tzang, J. H.,   Lee, J., 2011. International Journal of Hospitality Management 30(2):345-355</w:t>
      </w:r>
    </w:p>
    <w:p w14:paraId="5D2F262A" w14:textId="77777777" w:rsidR="008E2556" w:rsidRPr="001962B8" w:rsidRDefault="008E2556" w:rsidP="001962B8">
      <w:pPr>
        <w:pStyle w:val="ListParagraph"/>
        <w:numPr>
          <w:ilvl w:val="0"/>
          <w:numId w:val="1"/>
        </w:numPr>
        <w:spacing w:line="360" w:lineRule="auto"/>
        <w:jc w:val="both"/>
        <w:rPr>
          <w:rFonts w:ascii="Times New Roman" w:eastAsia="Times New Roman" w:hAnsi="Times New Roman" w:cs="Times New Roman"/>
          <w:color w:val="374151"/>
          <w:kern w:val="0"/>
          <w:sz w:val="24"/>
          <w:szCs w:val="24"/>
          <w14:ligatures w14:val="none"/>
        </w:rPr>
      </w:pPr>
      <w:r w:rsidRPr="001962B8">
        <w:rPr>
          <w:rFonts w:ascii="Times New Roman" w:eastAsia="Times New Roman" w:hAnsi="Times New Roman" w:cs="Times New Roman"/>
          <w:color w:val="374151"/>
          <w:kern w:val="0"/>
          <w:sz w:val="24"/>
          <w:szCs w:val="24"/>
          <w14:ligatures w14:val="none"/>
        </w:rPr>
        <w:lastRenderedPageBreak/>
        <w:t>Susilo, D. and Santos, M.C.K., 2023. DIGITAL MARKETING COMMUNICATION SUSTAINABLE HOTEL PRACTICE OF ACCOR GROUP IN SOCIAL MEDIA. International Journal of Economic, Business, Accounting, Agriculture Management and Sharia Administration (IJEBAS), 3(3), pp.730-743.</w:t>
      </w:r>
    </w:p>
    <w:sectPr w:rsidR="008E2556" w:rsidRPr="001962B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73687" w14:textId="77777777" w:rsidR="001F44CB" w:rsidRDefault="001F44CB" w:rsidP="00014876">
      <w:pPr>
        <w:spacing w:after="0" w:line="240" w:lineRule="auto"/>
      </w:pPr>
      <w:r>
        <w:separator/>
      </w:r>
    </w:p>
  </w:endnote>
  <w:endnote w:type="continuationSeparator" w:id="0">
    <w:p w14:paraId="5E63A366" w14:textId="77777777" w:rsidR="001F44CB" w:rsidRDefault="001F44CB" w:rsidP="00014876">
      <w:pPr>
        <w:spacing w:after="0" w:line="240" w:lineRule="auto"/>
      </w:pPr>
      <w:r>
        <w:continuationSeparator/>
      </w:r>
    </w:p>
  </w:endnote>
  <w:endnote w:type="continuationNotice" w:id="1">
    <w:p w14:paraId="6C587D17" w14:textId="77777777" w:rsidR="001F44CB" w:rsidRDefault="001F44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A819F" w14:textId="77777777" w:rsidR="001F44CB" w:rsidRDefault="001F44CB" w:rsidP="00014876">
      <w:pPr>
        <w:spacing w:after="0" w:line="240" w:lineRule="auto"/>
      </w:pPr>
      <w:r>
        <w:separator/>
      </w:r>
    </w:p>
  </w:footnote>
  <w:footnote w:type="continuationSeparator" w:id="0">
    <w:p w14:paraId="7635E37A" w14:textId="77777777" w:rsidR="001F44CB" w:rsidRDefault="001F44CB" w:rsidP="00014876">
      <w:pPr>
        <w:spacing w:after="0" w:line="240" w:lineRule="auto"/>
      </w:pPr>
      <w:r>
        <w:continuationSeparator/>
      </w:r>
    </w:p>
  </w:footnote>
  <w:footnote w:type="continuationNotice" w:id="1">
    <w:p w14:paraId="109B636D" w14:textId="77777777" w:rsidR="001F44CB" w:rsidRDefault="001F44C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D6037"/>
    <w:multiLevelType w:val="hybridMultilevel"/>
    <w:tmpl w:val="EC7E35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3F55B03"/>
    <w:multiLevelType w:val="hybridMultilevel"/>
    <w:tmpl w:val="323A69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7758113">
    <w:abstractNumId w:val="0"/>
  </w:num>
  <w:num w:numId="2" w16cid:durableId="1726443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EED"/>
    <w:rsid w:val="00014876"/>
    <w:rsid w:val="00015FFE"/>
    <w:rsid w:val="00017711"/>
    <w:rsid w:val="00021E94"/>
    <w:rsid w:val="00034600"/>
    <w:rsid w:val="00042F21"/>
    <w:rsid w:val="000557E2"/>
    <w:rsid w:val="00060EC2"/>
    <w:rsid w:val="00062864"/>
    <w:rsid w:val="00065431"/>
    <w:rsid w:val="0006604F"/>
    <w:rsid w:val="00072AFD"/>
    <w:rsid w:val="00085724"/>
    <w:rsid w:val="00087188"/>
    <w:rsid w:val="00094333"/>
    <w:rsid w:val="000B7CE5"/>
    <w:rsid w:val="000F2200"/>
    <w:rsid w:val="00103185"/>
    <w:rsid w:val="001073FE"/>
    <w:rsid w:val="0013291B"/>
    <w:rsid w:val="00136E28"/>
    <w:rsid w:val="0015568B"/>
    <w:rsid w:val="00181ACF"/>
    <w:rsid w:val="001962B8"/>
    <w:rsid w:val="001C1845"/>
    <w:rsid w:val="001F44CB"/>
    <w:rsid w:val="002045A2"/>
    <w:rsid w:val="0021389E"/>
    <w:rsid w:val="00226088"/>
    <w:rsid w:val="0023307A"/>
    <w:rsid w:val="00237B3C"/>
    <w:rsid w:val="00253BDE"/>
    <w:rsid w:val="002542FF"/>
    <w:rsid w:val="0027344F"/>
    <w:rsid w:val="00291130"/>
    <w:rsid w:val="002968E6"/>
    <w:rsid w:val="002C3210"/>
    <w:rsid w:val="002D1367"/>
    <w:rsid w:val="00303889"/>
    <w:rsid w:val="00310546"/>
    <w:rsid w:val="00316869"/>
    <w:rsid w:val="0031775D"/>
    <w:rsid w:val="00323DA3"/>
    <w:rsid w:val="0032544D"/>
    <w:rsid w:val="00341389"/>
    <w:rsid w:val="00353341"/>
    <w:rsid w:val="00354B12"/>
    <w:rsid w:val="00355737"/>
    <w:rsid w:val="00361C13"/>
    <w:rsid w:val="00367ADD"/>
    <w:rsid w:val="00385FC0"/>
    <w:rsid w:val="00394D98"/>
    <w:rsid w:val="003A689A"/>
    <w:rsid w:val="003B3634"/>
    <w:rsid w:val="003B6122"/>
    <w:rsid w:val="00405996"/>
    <w:rsid w:val="00407901"/>
    <w:rsid w:val="004141A5"/>
    <w:rsid w:val="0044310F"/>
    <w:rsid w:val="00456E81"/>
    <w:rsid w:val="00475515"/>
    <w:rsid w:val="00486EED"/>
    <w:rsid w:val="00495DBE"/>
    <w:rsid w:val="004E4978"/>
    <w:rsid w:val="004F1383"/>
    <w:rsid w:val="004F3C67"/>
    <w:rsid w:val="005201E3"/>
    <w:rsid w:val="005230EE"/>
    <w:rsid w:val="00524157"/>
    <w:rsid w:val="00552F3D"/>
    <w:rsid w:val="00581F62"/>
    <w:rsid w:val="00595859"/>
    <w:rsid w:val="005A1F70"/>
    <w:rsid w:val="005B2EA0"/>
    <w:rsid w:val="005B4FCB"/>
    <w:rsid w:val="005C1AD6"/>
    <w:rsid w:val="005D3CD2"/>
    <w:rsid w:val="00605AA5"/>
    <w:rsid w:val="00616778"/>
    <w:rsid w:val="00625FC2"/>
    <w:rsid w:val="00633E7E"/>
    <w:rsid w:val="00657AE5"/>
    <w:rsid w:val="006933CF"/>
    <w:rsid w:val="006A709C"/>
    <w:rsid w:val="006C4C6D"/>
    <w:rsid w:val="006C6CF2"/>
    <w:rsid w:val="006D75D7"/>
    <w:rsid w:val="006F7590"/>
    <w:rsid w:val="0070290B"/>
    <w:rsid w:val="00706425"/>
    <w:rsid w:val="007069D2"/>
    <w:rsid w:val="00730110"/>
    <w:rsid w:val="00732076"/>
    <w:rsid w:val="007443D7"/>
    <w:rsid w:val="00752E1F"/>
    <w:rsid w:val="007563F1"/>
    <w:rsid w:val="00756BFC"/>
    <w:rsid w:val="007578AD"/>
    <w:rsid w:val="0076498B"/>
    <w:rsid w:val="007712F5"/>
    <w:rsid w:val="0077161A"/>
    <w:rsid w:val="00775B3D"/>
    <w:rsid w:val="0077619E"/>
    <w:rsid w:val="00782B88"/>
    <w:rsid w:val="007830BD"/>
    <w:rsid w:val="007C6184"/>
    <w:rsid w:val="00824859"/>
    <w:rsid w:val="00826B11"/>
    <w:rsid w:val="0082706B"/>
    <w:rsid w:val="00843186"/>
    <w:rsid w:val="008529DD"/>
    <w:rsid w:val="008774C5"/>
    <w:rsid w:val="00896B40"/>
    <w:rsid w:val="008A349A"/>
    <w:rsid w:val="008B1CE5"/>
    <w:rsid w:val="008B474D"/>
    <w:rsid w:val="008C0478"/>
    <w:rsid w:val="008D6FA1"/>
    <w:rsid w:val="008E2300"/>
    <w:rsid w:val="008E2556"/>
    <w:rsid w:val="008E2ECA"/>
    <w:rsid w:val="008E4B34"/>
    <w:rsid w:val="00914CCA"/>
    <w:rsid w:val="00917C7D"/>
    <w:rsid w:val="00930CB8"/>
    <w:rsid w:val="00954202"/>
    <w:rsid w:val="00965153"/>
    <w:rsid w:val="00983ACE"/>
    <w:rsid w:val="009857E9"/>
    <w:rsid w:val="00993B43"/>
    <w:rsid w:val="009A14BE"/>
    <w:rsid w:val="009E06F8"/>
    <w:rsid w:val="009E151B"/>
    <w:rsid w:val="009F1297"/>
    <w:rsid w:val="009F5BED"/>
    <w:rsid w:val="00A115FF"/>
    <w:rsid w:val="00A20669"/>
    <w:rsid w:val="00A26D5C"/>
    <w:rsid w:val="00A35BEF"/>
    <w:rsid w:val="00A4048F"/>
    <w:rsid w:val="00A41A1E"/>
    <w:rsid w:val="00A50A85"/>
    <w:rsid w:val="00A559B0"/>
    <w:rsid w:val="00A60B21"/>
    <w:rsid w:val="00A75A55"/>
    <w:rsid w:val="00A81B2B"/>
    <w:rsid w:val="00A912A5"/>
    <w:rsid w:val="00AA49B7"/>
    <w:rsid w:val="00AB03AD"/>
    <w:rsid w:val="00AD68B0"/>
    <w:rsid w:val="00AE0B7E"/>
    <w:rsid w:val="00AF0728"/>
    <w:rsid w:val="00AF55BE"/>
    <w:rsid w:val="00B03771"/>
    <w:rsid w:val="00B053AC"/>
    <w:rsid w:val="00B11102"/>
    <w:rsid w:val="00B11278"/>
    <w:rsid w:val="00B15C96"/>
    <w:rsid w:val="00B233C5"/>
    <w:rsid w:val="00B23E1D"/>
    <w:rsid w:val="00B3101A"/>
    <w:rsid w:val="00B34318"/>
    <w:rsid w:val="00B83074"/>
    <w:rsid w:val="00B9287D"/>
    <w:rsid w:val="00BA470C"/>
    <w:rsid w:val="00BB0B58"/>
    <w:rsid w:val="00BC5748"/>
    <w:rsid w:val="00BD6535"/>
    <w:rsid w:val="00BD6672"/>
    <w:rsid w:val="00BE5F88"/>
    <w:rsid w:val="00BF3DEC"/>
    <w:rsid w:val="00C1030C"/>
    <w:rsid w:val="00C163C9"/>
    <w:rsid w:val="00C2223E"/>
    <w:rsid w:val="00C314C1"/>
    <w:rsid w:val="00C67DCA"/>
    <w:rsid w:val="00C74F45"/>
    <w:rsid w:val="00C771D3"/>
    <w:rsid w:val="00C87B87"/>
    <w:rsid w:val="00C87BD6"/>
    <w:rsid w:val="00C952D5"/>
    <w:rsid w:val="00C97565"/>
    <w:rsid w:val="00CA7C3E"/>
    <w:rsid w:val="00CB4ED1"/>
    <w:rsid w:val="00CB509F"/>
    <w:rsid w:val="00CB6072"/>
    <w:rsid w:val="00CE7652"/>
    <w:rsid w:val="00CF0053"/>
    <w:rsid w:val="00D4572D"/>
    <w:rsid w:val="00D47367"/>
    <w:rsid w:val="00D67E93"/>
    <w:rsid w:val="00D82811"/>
    <w:rsid w:val="00DA5916"/>
    <w:rsid w:val="00DC0533"/>
    <w:rsid w:val="00DC5A9C"/>
    <w:rsid w:val="00DE3643"/>
    <w:rsid w:val="00E01BF0"/>
    <w:rsid w:val="00E16AEA"/>
    <w:rsid w:val="00E267FD"/>
    <w:rsid w:val="00E46578"/>
    <w:rsid w:val="00E53ED8"/>
    <w:rsid w:val="00E57579"/>
    <w:rsid w:val="00E615E7"/>
    <w:rsid w:val="00E63A41"/>
    <w:rsid w:val="00E6766E"/>
    <w:rsid w:val="00E71439"/>
    <w:rsid w:val="00E737E6"/>
    <w:rsid w:val="00E9153B"/>
    <w:rsid w:val="00EA08BB"/>
    <w:rsid w:val="00EC28F7"/>
    <w:rsid w:val="00EC2E15"/>
    <w:rsid w:val="00EF27E9"/>
    <w:rsid w:val="00EF3C1D"/>
    <w:rsid w:val="00F05CA8"/>
    <w:rsid w:val="00F078C2"/>
    <w:rsid w:val="00F152C1"/>
    <w:rsid w:val="00F226C6"/>
    <w:rsid w:val="00F24193"/>
    <w:rsid w:val="00F330AF"/>
    <w:rsid w:val="00F5085A"/>
    <w:rsid w:val="00F51663"/>
    <w:rsid w:val="00F814ED"/>
    <w:rsid w:val="00F84547"/>
    <w:rsid w:val="00F86CA7"/>
    <w:rsid w:val="00FA3BE7"/>
    <w:rsid w:val="00FA7F00"/>
    <w:rsid w:val="00FB1FDE"/>
    <w:rsid w:val="00FB5A18"/>
    <w:rsid w:val="00FC1051"/>
    <w:rsid w:val="00FC1586"/>
    <w:rsid w:val="00FD04BF"/>
    <w:rsid w:val="00FD50AF"/>
    <w:rsid w:val="00FE540B"/>
    <w:rsid w:val="05B36DCE"/>
    <w:rsid w:val="0D32FE3E"/>
    <w:rsid w:val="0D694A0C"/>
    <w:rsid w:val="12CDCC4A"/>
    <w:rsid w:val="16A55B1E"/>
    <w:rsid w:val="17C7AF2A"/>
    <w:rsid w:val="1C4BAC22"/>
    <w:rsid w:val="1D29D388"/>
    <w:rsid w:val="1EA5EFC7"/>
    <w:rsid w:val="2D8B4735"/>
    <w:rsid w:val="2EA6135D"/>
    <w:rsid w:val="3C94B280"/>
    <w:rsid w:val="3D4C3558"/>
    <w:rsid w:val="4374EC56"/>
    <w:rsid w:val="47E77209"/>
    <w:rsid w:val="4A0AD268"/>
    <w:rsid w:val="4AB96B9B"/>
    <w:rsid w:val="4B07195E"/>
    <w:rsid w:val="4D6FD553"/>
    <w:rsid w:val="4F13F7E1"/>
    <w:rsid w:val="516E6E57"/>
    <w:rsid w:val="51AA48D0"/>
    <w:rsid w:val="526FDF51"/>
    <w:rsid w:val="5554A84C"/>
    <w:rsid w:val="5C458581"/>
    <w:rsid w:val="61914409"/>
    <w:rsid w:val="67330281"/>
    <w:rsid w:val="683EBEE1"/>
    <w:rsid w:val="69E0E836"/>
    <w:rsid w:val="6CCDD08D"/>
    <w:rsid w:val="71AE2669"/>
    <w:rsid w:val="770D8D12"/>
    <w:rsid w:val="7B983936"/>
    <w:rsid w:val="7DFBF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F9D7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389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pPr>
      <w:spacing w:after="0" w:line="240" w:lineRule="auto"/>
    </w:pPr>
  </w:style>
  <w:style w:type="paragraph" w:styleId="ListParagraph">
    <w:name w:val="List Paragraph"/>
    <w:basedOn w:val="Normal"/>
    <w:uiPriority w:val="34"/>
    <w:qFormat/>
    <w:rsid w:val="00752E1F"/>
    <w:pPr>
      <w:ind w:left="720"/>
      <w:contextualSpacing/>
    </w:pPr>
  </w:style>
  <w:style w:type="character" w:styleId="Hyperlink">
    <w:name w:val="Hyperlink"/>
    <w:basedOn w:val="DefaultParagraphFont"/>
    <w:uiPriority w:val="99"/>
    <w:unhideWhenUsed/>
    <w:rsid w:val="00F814ED"/>
    <w:rPr>
      <w:color w:val="0563C1" w:themeColor="hyperlink"/>
      <w:u w:val="single"/>
    </w:rPr>
  </w:style>
  <w:style w:type="character" w:styleId="UnresolvedMention">
    <w:name w:val="Unresolved Mention"/>
    <w:basedOn w:val="DefaultParagraphFont"/>
    <w:uiPriority w:val="99"/>
    <w:semiHidden/>
    <w:unhideWhenUsed/>
    <w:rsid w:val="00F814ED"/>
    <w:rPr>
      <w:color w:val="605E5C"/>
      <w:shd w:val="clear" w:color="auto" w:fill="E1DFDD"/>
    </w:rPr>
  </w:style>
  <w:style w:type="paragraph" w:styleId="Header">
    <w:name w:val="header"/>
    <w:basedOn w:val="Normal"/>
    <w:link w:val="HeaderChar"/>
    <w:uiPriority w:val="99"/>
    <w:unhideWhenUsed/>
    <w:rsid w:val="000148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4876"/>
  </w:style>
  <w:style w:type="paragraph" w:styleId="Footer">
    <w:name w:val="footer"/>
    <w:basedOn w:val="Normal"/>
    <w:link w:val="FooterChar"/>
    <w:uiPriority w:val="99"/>
    <w:unhideWhenUsed/>
    <w:rsid w:val="000148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4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281560">
      <w:bodyDiv w:val="1"/>
      <w:marLeft w:val="0"/>
      <w:marRight w:val="0"/>
      <w:marTop w:val="0"/>
      <w:marBottom w:val="0"/>
      <w:divBdr>
        <w:top w:val="none" w:sz="0" w:space="0" w:color="auto"/>
        <w:left w:val="none" w:sz="0" w:space="0" w:color="auto"/>
        <w:bottom w:val="none" w:sz="0" w:space="0" w:color="auto"/>
        <w:right w:val="none" w:sz="0" w:space="0" w:color="auto"/>
      </w:divBdr>
    </w:div>
    <w:div w:id="1496456625">
      <w:bodyDiv w:val="1"/>
      <w:marLeft w:val="0"/>
      <w:marRight w:val="0"/>
      <w:marTop w:val="0"/>
      <w:marBottom w:val="0"/>
      <w:divBdr>
        <w:top w:val="none" w:sz="0" w:space="0" w:color="auto"/>
        <w:left w:val="none" w:sz="0" w:space="0" w:color="auto"/>
        <w:bottom w:val="none" w:sz="0" w:space="0" w:color="auto"/>
        <w:right w:val="none" w:sz="0" w:space="0" w:color="auto"/>
      </w:divBdr>
    </w:div>
    <w:div w:id="1770613735">
      <w:bodyDiv w:val="1"/>
      <w:marLeft w:val="0"/>
      <w:marRight w:val="0"/>
      <w:marTop w:val="0"/>
      <w:marBottom w:val="0"/>
      <w:divBdr>
        <w:top w:val="none" w:sz="0" w:space="0" w:color="auto"/>
        <w:left w:val="none" w:sz="0" w:space="0" w:color="auto"/>
        <w:bottom w:val="none" w:sz="0" w:space="0" w:color="auto"/>
        <w:right w:val="none" w:sz="0" w:space="0" w:color="auto"/>
      </w:divBdr>
    </w:div>
    <w:div w:id="2059352481">
      <w:bodyDiv w:val="1"/>
      <w:marLeft w:val="0"/>
      <w:marRight w:val="0"/>
      <w:marTop w:val="0"/>
      <w:marBottom w:val="0"/>
      <w:divBdr>
        <w:top w:val="none" w:sz="0" w:space="0" w:color="auto"/>
        <w:left w:val="none" w:sz="0" w:space="0" w:color="auto"/>
        <w:bottom w:val="none" w:sz="0" w:space="0" w:color="auto"/>
        <w:right w:val="none" w:sz="0" w:space="0" w:color="auto"/>
      </w:divBdr>
    </w:div>
    <w:div w:id="2102405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ss.accor.com/accor-joins-global-sustainability-network-the-sustainable-hospitality-alliance/?lang=e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roup.accor.com/-/media/Corporate/Talent/PDF-for-pages/Charte-ethique-et-RSE/ACCOR_Ethics_and_Corporate_Social_Responsibility_Charter_20_ENG.pdf" TargetMode="External"/><Relationship Id="rId12" Type="http://schemas.openxmlformats.org/officeDocument/2006/relationships/hyperlink" Target="https://greenly.earth/en-us/blog/company-guide/3-pillars-of-sustainable-develop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s.sagepub.com/sites/default/files/upm-assets/101863_book_item_101863.pdf" TargetMode="External"/><Relationship Id="rId5" Type="http://schemas.openxmlformats.org/officeDocument/2006/relationships/footnotes" Target="footnotes.xml"/><Relationship Id="rId10" Type="http://schemas.openxmlformats.org/officeDocument/2006/relationships/hyperlink" Target="https://www.edelman.com/trust/2020-trust-barometer" TargetMode="External"/><Relationship Id="rId4" Type="http://schemas.openxmlformats.org/officeDocument/2006/relationships/webSettings" Target="webSettings.xml"/><Relationship Id="rId9" Type="http://schemas.openxmlformats.org/officeDocument/2006/relationships/hyperlink" Target="https://wedocs.unep.org/bitstream/handle/20.500.11822/26490/TEEB_National_In%20ternational.pdf?sequence=1&amp;isAllowed=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3284</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21966</CharactersWithSpaces>
  <SharedDoc>false</SharedDoc>
  <HLinks>
    <vt:vector size="36" baseType="variant">
      <vt:variant>
        <vt:i4>6750243</vt:i4>
      </vt:variant>
      <vt:variant>
        <vt:i4>15</vt:i4>
      </vt:variant>
      <vt:variant>
        <vt:i4>0</vt:i4>
      </vt:variant>
      <vt:variant>
        <vt:i4>5</vt:i4>
      </vt:variant>
      <vt:variant>
        <vt:lpwstr>https://greenly.earth/en-us/blog/company-guide/3-pillars-of-sustainable-development</vt:lpwstr>
      </vt:variant>
      <vt:variant>
        <vt:lpwstr/>
      </vt:variant>
      <vt:variant>
        <vt:i4>3735566</vt:i4>
      </vt:variant>
      <vt:variant>
        <vt:i4>12</vt:i4>
      </vt:variant>
      <vt:variant>
        <vt:i4>0</vt:i4>
      </vt:variant>
      <vt:variant>
        <vt:i4>5</vt:i4>
      </vt:variant>
      <vt:variant>
        <vt:lpwstr>https://us.sagepub.com/sites/default/files/upm-assets/101863_book_item_101863.pdf</vt:lpwstr>
      </vt:variant>
      <vt:variant>
        <vt:lpwstr/>
      </vt:variant>
      <vt:variant>
        <vt:i4>7274551</vt:i4>
      </vt:variant>
      <vt:variant>
        <vt:i4>9</vt:i4>
      </vt:variant>
      <vt:variant>
        <vt:i4>0</vt:i4>
      </vt:variant>
      <vt:variant>
        <vt:i4>5</vt:i4>
      </vt:variant>
      <vt:variant>
        <vt:lpwstr>https://www.edelman.com/trust/2020-trust-barometer</vt:lpwstr>
      </vt:variant>
      <vt:variant>
        <vt:lpwstr/>
      </vt:variant>
      <vt:variant>
        <vt:i4>4980811</vt:i4>
      </vt:variant>
      <vt:variant>
        <vt:i4>6</vt:i4>
      </vt:variant>
      <vt:variant>
        <vt:i4>0</vt:i4>
      </vt:variant>
      <vt:variant>
        <vt:i4>5</vt:i4>
      </vt:variant>
      <vt:variant>
        <vt:lpwstr>https://wedocs.unep.org/bitstream/handle/20.500.11822/26490/TEEB_National_In ternational.pdf?sequence=1&amp;isAllowed=y</vt:lpwstr>
      </vt:variant>
      <vt:variant>
        <vt:lpwstr/>
      </vt:variant>
      <vt:variant>
        <vt:i4>2556023</vt:i4>
      </vt:variant>
      <vt:variant>
        <vt:i4>3</vt:i4>
      </vt:variant>
      <vt:variant>
        <vt:i4>0</vt:i4>
      </vt:variant>
      <vt:variant>
        <vt:i4>5</vt:i4>
      </vt:variant>
      <vt:variant>
        <vt:lpwstr>https://press.accor.com/accor-joins-global-sustainability-network-the-sustainable-hospitality-alliance/?lang=en</vt:lpwstr>
      </vt:variant>
      <vt:variant>
        <vt:lpwstr/>
      </vt:variant>
      <vt:variant>
        <vt:i4>7012408</vt:i4>
      </vt:variant>
      <vt:variant>
        <vt:i4>0</vt:i4>
      </vt:variant>
      <vt:variant>
        <vt:i4>0</vt:i4>
      </vt:variant>
      <vt:variant>
        <vt:i4>5</vt:i4>
      </vt:variant>
      <vt:variant>
        <vt:lpwstr>https://group.accor.com/-/media/Corporate/Talent/PDF-for-pages/Charte-ethique-et-RSE/ACCOR_Ethics_and_Corporate_Social_Responsibility_Charter_20_ENG.pdf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2023-10-18T08:39:00Z</dcterms:created>
  <dcterms:modified xsi:type="dcterms:W3CDTF">2023-10-18T08:40:00Z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aa23df1863213890e187f3ae9641b958164cec79d0f7e7156d1133ed3b21c048</vt:lpwstr>
  </property>
</Properties>
</file>