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4B7A7B6" w14:textId="77777777" w:rsidR="00784EB4" w:rsidRPr="00E12FA4" w:rsidRDefault="00784EB4" w:rsidP="00E12FA4">
      <w:pPr>
        <w:rPr>
          <w:rFonts w:ascii="Arial" w:hAnsi="Arial"/>
          <w:b/>
          <w:bCs/>
          <w:szCs w:val="24"/>
        </w:rPr>
      </w:pPr>
    </w:p>
    <w:p w14:paraId="7D49D3CC" w14:textId="77777777" w:rsidR="00784EB4" w:rsidRDefault="00784EB4" w:rsidP="00784EB4">
      <w:pPr>
        <w:jc w:val="center"/>
        <w:rPr>
          <w:b/>
          <w:bCs/>
          <w:sz w:val="32"/>
          <w:szCs w:val="32"/>
        </w:rPr>
      </w:pPr>
    </w:p>
    <w:p w14:paraId="3F30F9FB" w14:textId="77777777" w:rsidR="00784EB4" w:rsidRDefault="00784EB4" w:rsidP="00784EB4">
      <w:pPr>
        <w:jc w:val="center"/>
        <w:rPr>
          <w:b/>
          <w:bCs/>
          <w:sz w:val="32"/>
          <w:szCs w:val="32"/>
        </w:rPr>
      </w:pPr>
    </w:p>
    <w:p w14:paraId="39F84A3C" w14:textId="2F66D631" w:rsidR="00ED3D92" w:rsidRPr="00784EB4" w:rsidRDefault="00A02EE8" w:rsidP="00926A85">
      <w:pPr>
        <w:rPr>
          <w:b/>
          <w:bCs/>
          <w:sz w:val="32"/>
          <w:szCs w:val="32"/>
        </w:rPr>
      </w:pPr>
      <w:r>
        <w:rPr>
          <w:b/>
          <w:bCs/>
          <w:sz w:val="32"/>
          <w:szCs w:val="32"/>
        </w:rPr>
        <w:t xml:space="preserve">        </w:t>
      </w:r>
      <w:r w:rsidR="00784EB4" w:rsidRPr="00784EB4">
        <w:rPr>
          <w:b/>
          <w:bCs/>
          <w:sz w:val="32"/>
          <w:szCs w:val="32"/>
        </w:rPr>
        <w:t>Sustainable Hospitality &amp; Tourism Management</w:t>
      </w:r>
    </w:p>
    <w:p w14:paraId="7E3CD83B" w14:textId="51673347" w:rsidR="00784EB4" w:rsidRDefault="002513DF" w:rsidP="00926A85">
      <w:pPr>
        <w:jc w:val="center"/>
        <w:rPr>
          <w:b/>
          <w:bCs/>
          <w:sz w:val="32"/>
          <w:szCs w:val="32"/>
        </w:rPr>
      </w:pPr>
      <w:r>
        <w:rPr>
          <w:b/>
          <w:bCs/>
          <w:sz w:val="32"/>
          <w:szCs w:val="32"/>
        </w:rPr>
        <w:t>Re</w:t>
      </w:r>
      <w:bookmarkStart w:id="0" w:name="_GoBack"/>
      <w:bookmarkEnd w:id="0"/>
      <w:r w:rsidR="00A02EE8">
        <w:rPr>
          <w:b/>
          <w:bCs/>
          <w:sz w:val="32"/>
          <w:szCs w:val="32"/>
        </w:rPr>
        <w:t xml:space="preserve">port </w:t>
      </w:r>
    </w:p>
    <w:p w14:paraId="0BD4699E" w14:textId="77777777" w:rsidR="00926A85" w:rsidRDefault="00926A85" w:rsidP="00926A85">
      <w:pPr>
        <w:spacing w:after="200"/>
        <w:jc w:val="left"/>
        <w:rPr>
          <w:rFonts w:ascii="Arial" w:eastAsiaTheme="minorHAnsi" w:hAnsi="Arial"/>
        </w:rPr>
      </w:pPr>
    </w:p>
    <w:p w14:paraId="6EE4947C" w14:textId="77777777" w:rsidR="00926A85" w:rsidRDefault="00926A85" w:rsidP="00926A85">
      <w:pPr>
        <w:spacing w:after="200"/>
        <w:jc w:val="left"/>
        <w:rPr>
          <w:rFonts w:ascii="Arial" w:eastAsiaTheme="minorHAnsi" w:hAnsi="Arial"/>
        </w:rPr>
      </w:pPr>
    </w:p>
    <w:p w14:paraId="52213AD4" w14:textId="77777777" w:rsidR="00926A85" w:rsidRDefault="00926A85" w:rsidP="00926A85">
      <w:pPr>
        <w:spacing w:after="200"/>
        <w:jc w:val="left"/>
        <w:rPr>
          <w:rFonts w:ascii="Arial" w:eastAsiaTheme="minorHAnsi" w:hAnsi="Arial"/>
        </w:rPr>
      </w:pPr>
    </w:p>
    <w:p w14:paraId="5FDAB280" w14:textId="77777777" w:rsidR="00926A85" w:rsidRDefault="00926A85" w:rsidP="00926A85">
      <w:pPr>
        <w:spacing w:after="200"/>
        <w:jc w:val="left"/>
        <w:rPr>
          <w:rFonts w:ascii="Arial" w:eastAsiaTheme="minorHAnsi" w:hAnsi="Arial"/>
        </w:rPr>
      </w:pPr>
    </w:p>
    <w:p w14:paraId="63FED062" w14:textId="77777777" w:rsidR="00926A85" w:rsidRDefault="00926A85" w:rsidP="00926A85">
      <w:pPr>
        <w:spacing w:after="200"/>
        <w:jc w:val="left"/>
        <w:rPr>
          <w:rFonts w:ascii="Arial" w:eastAsiaTheme="minorHAnsi" w:hAnsi="Arial"/>
        </w:rPr>
      </w:pPr>
    </w:p>
    <w:p w14:paraId="418D316B" w14:textId="77777777" w:rsidR="00926A85" w:rsidRDefault="00926A85" w:rsidP="00926A85">
      <w:pPr>
        <w:spacing w:after="200"/>
        <w:jc w:val="left"/>
        <w:rPr>
          <w:rFonts w:ascii="Arial" w:eastAsiaTheme="minorHAnsi" w:hAnsi="Arial"/>
        </w:rPr>
      </w:pPr>
    </w:p>
    <w:p w14:paraId="60ADAC56" w14:textId="77777777" w:rsidR="00926A85" w:rsidRDefault="00926A85" w:rsidP="00926A85">
      <w:pPr>
        <w:spacing w:after="200"/>
        <w:jc w:val="left"/>
        <w:rPr>
          <w:rFonts w:ascii="Arial" w:eastAsiaTheme="minorHAnsi" w:hAnsi="Arial"/>
        </w:rPr>
      </w:pPr>
    </w:p>
    <w:p w14:paraId="280F1439" w14:textId="77777777" w:rsidR="00926A85" w:rsidRPr="00926A85" w:rsidRDefault="00926A85" w:rsidP="00926A85">
      <w:pPr>
        <w:spacing w:after="200"/>
        <w:jc w:val="left"/>
        <w:rPr>
          <w:rFonts w:ascii="Arial" w:eastAsiaTheme="minorHAnsi" w:hAnsi="Arial"/>
        </w:rPr>
      </w:pPr>
      <w:r w:rsidRPr="00926A85">
        <w:rPr>
          <w:rFonts w:ascii="Arial" w:eastAsiaTheme="minorHAnsi" w:hAnsi="Arial"/>
        </w:rPr>
        <w:t>Student Name: Roxana Isabela  Fodor</w:t>
      </w:r>
    </w:p>
    <w:p w14:paraId="6587A70C" w14:textId="77777777" w:rsidR="00926A85" w:rsidRPr="00926A85" w:rsidRDefault="00926A85" w:rsidP="00926A85">
      <w:pPr>
        <w:spacing w:after="200"/>
        <w:jc w:val="left"/>
        <w:rPr>
          <w:rFonts w:ascii="Arial" w:eastAsiaTheme="minorHAnsi" w:hAnsi="Arial"/>
        </w:rPr>
      </w:pPr>
      <w:r w:rsidRPr="00926A85">
        <w:rPr>
          <w:rFonts w:ascii="Arial" w:eastAsiaTheme="minorHAnsi" w:hAnsi="Arial"/>
        </w:rPr>
        <w:t>Student ID: 2123083</w:t>
      </w:r>
    </w:p>
    <w:p w14:paraId="2020571F" w14:textId="77777777" w:rsidR="00926A85" w:rsidRPr="00926A85" w:rsidRDefault="00926A85" w:rsidP="00926A85">
      <w:pPr>
        <w:spacing w:after="200"/>
        <w:jc w:val="left"/>
        <w:rPr>
          <w:rFonts w:ascii="Arial" w:eastAsiaTheme="minorHAnsi" w:hAnsi="Arial"/>
        </w:rPr>
      </w:pPr>
      <w:r w:rsidRPr="00926A85">
        <w:rPr>
          <w:rFonts w:ascii="Arial" w:eastAsiaTheme="minorHAnsi" w:hAnsi="Arial"/>
        </w:rPr>
        <w:t>Module: Sustainable Hospitality &amp;Tourism Management</w:t>
      </w:r>
    </w:p>
    <w:p w14:paraId="13BAF8FC" w14:textId="77777777" w:rsidR="00926A85" w:rsidRPr="00926A85" w:rsidRDefault="00926A85" w:rsidP="00926A85">
      <w:pPr>
        <w:spacing w:after="200"/>
        <w:jc w:val="left"/>
        <w:rPr>
          <w:rFonts w:ascii="Arial" w:eastAsiaTheme="minorHAnsi" w:hAnsi="Arial"/>
        </w:rPr>
      </w:pPr>
      <w:r w:rsidRPr="00926A85">
        <w:rPr>
          <w:rFonts w:ascii="Arial" w:eastAsiaTheme="minorHAnsi" w:hAnsi="Arial"/>
        </w:rPr>
        <w:t>Module Code: BMIH5006</w:t>
      </w:r>
    </w:p>
    <w:p w14:paraId="06EEA248" w14:textId="77777777" w:rsidR="00926A85" w:rsidRPr="00926A85" w:rsidRDefault="00926A85" w:rsidP="00926A85">
      <w:pPr>
        <w:spacing w:after="200"/>
        <w:jc w:val="left"/>
        <w:rPr>
          <w:rFonts w:ascii="Arial" w:eastAsiaTheme="minorHAnsi" w:hAnsi="Arial"/>
        </w:rPr>
      </w:pPr>
      <w:r w:rsidRPr="00926A85">
        <w:rPr>
          <w:rFonts w:ascii="Arial" w:eastAsiaTheme="minorHAnsi" w:hAnsi="Arial"/>
        </w:rPr>
        <w:t>Lecturer: Kathryn Roberts</w:t>
      </w:r>
    </w:p>
    <w:p w14:paraId="0CA34FE3" w14:textId="77777777" w:rsidR="00784EB4" w:rsidRDefault="00784EB4">
      <w:pPr>
        <w:spacing w:after="160" w:line="259" w:lineRule="auto"/>
        <w:jc w:val="left"/>
        <w:rPr>
          <w:b/>
          <w:bCs/>
          <w:sz w:val="32"/>
          <w:szCs w:val="32"/>
        </w:rPr>
      </w:pPr>
      <w:r>
        <w:rPr>
          <w:b/>
          <w:bCs/>
          <w:sz w:val="32"/>
          <w:szCs w:val="32"/>
        </w:rPr>
        <w:br w:type="page"/>
      </w:r>
    </w:p>
    <w:p w14:paraId="3C5E37FF" w14:textId="43F7F2E8" w:rsidR="00784EB4" w:rsidRPr="00E12FA4" w:rsidRDefault="00784EB4" w:rsidP="00E12FA4">
      <w:pPr>
        <w:spacing w:line="360" w:lineRule="auto"/>
        <w:rPr>
          <w:rFonts w:ascii="Arial" w:hAnsi="Arial"/>
          <w:b/>
          <w:bCs/>
        </w:rPr>
      </w:pPr>
      <w:r w:rsidRPr="00E12FA4">
        <w:rPr>
          <w:rFonts w:ascii="Arial" w:hAnsi="Arial"/>
          <w:b/>
          <w:bCs/>
        </w:rPr>
        <w:lastRenderedPageBreak/>
        <w:t>Executive Summary</w:t>
      </w:r>
    </w:p>
    <w:p w14:paraId="04859FEB" w14:textId="68D9D1D0" w:rsidR="00DD3470" w:rsidRPr="00E12FA4" w:rsidRDefault="00DD3470" w:rsidP="00E12FA4">
      <w:pPr>
        <w:spacing w:line="360" w:lineRule="auto"/>
        <w:rPr>
          <w:rFonts w:ascii="Arial" w:hAnsi="Arial"/>
        </w:rPr>
      </w:pPr>
      <w:r w:rsidRPr="00E12FA4">
        <w:rPr>
          <w:rFonts w:ascii="Arial" w:hAnsi="Arial"/>
        </w:rPr>
        <w:t xml:space="preserve">This report has analysed the nuances surrounding accusations of "greenwashing" at The Green House, a well-known Bournemouth organization that has acquired </w:t>
      </w:r>
      <w:r w:rsidR="00E12FA4">
        <w:rPr>
          <w:rFonts w:ascii="Arial" w:hAnsi="Arial"/>
        </w:rPr>
        <w:t xml:space="preserve">a </w:t>
      </w:r>
      <w:r w:rsidRPr="00E12FA4">
        <w:rPr>
          <w:rFonts w:ascii="Arial" w:hAnsi="Arial"/>
        </w:rPr>
        <w:t xml:space="preserve">reputation for its environmental projects. It has additionally tested the factors that might supply </w:t>
      </w:r>
      <w:r w:rsidR="005F5329" w:rsidRPr="00E12FA4">
        <w:rPr>
          <w:rFonts w:ascii="Arial" w:hAnsi="Arial"/>
        </w:rPr>
        <w:t xml:space="preserve">an </w:t>
      </w:r>
      <w:r w:rsidRPr="00E12FA4">
        <w:rPr>
          <w:rFonts w:ascii="Arial" w:hAnsi="Arial"/>
        </w:rPr>
        <w:t xml:space="preserve">upward push to accusations of greenwashing, along with selective sustainability sports and reliance on self-pronounced records. The resort's self-evaluation techniques, its motivations, and upgrades to </w:t>
      </w:r>
      <w:r w:rsidR="00E12FA4">
        <w:rPr>
          <w:rFonts w:ascii="Arial" w:hAnsi="Arial"/>
        </w:rPr>
        <w:t>its</w:t>
      </w:r>
      <w:r w:rsidRPr="00E12FA4">
        <w:rPr>
          <w:rFonts w:ascii="Arial" w:hAnsi="Arial"/>
        </w:rPr>
        <w:t xml:space="preserve"> legitimacy and transparency have all been positioned to take a look at by the look at. Maintaining rigorous adherence to 1/3-celebration certifications, keeping transparent records, and persistently seeking actual sustainability, The Green House can continue to maintain its function as a pioneer in environmental stewardship inside the hospitality enterprise.</w:t>
      </w:r>
    </w:p>
    <w:p w14:paraId="4F74B579" w14:textId="77777777" w:rsidR="00777558" w:rsidRDefault="00777558">
      <w:pPr>
        <w:spacing w:after="160" w:line="259" w:lineRule="auto"/>
        <w:jc w:val="left"/>
        <w:rPr>
          <w:b/>
          <w:sz w:val="28"/>
          <w:szCs w:val="40"/>
          <w:lang w:val="en" w:eastAsia="en-IN"/>
        </w:rPr>
      </w:pPr>
      <w:r>
        <w:br w:type="page"/>
      </w:r>
    </w:p>
    <w:p w14:paraId="037F9D96" w14:textId="1755BE5D" w:rsidR="00784EB4" w:rsidRPr="00B8043B" w:rsidRDefault="00784EB4" w:rsidP="00B8043B">
      <w:pPr>
        <w:pStyle w:val="Titlu1"/>
        <w:spacing w:line="360" w:lineRule="auto"/>
        <w:rPr>
          <w:rFonts w:ascii="Arial" w:hAnsi="Arial"/>
        </w:rPr>
      </w:pPr>
      <w:r>
        <w:lastRenderedPageBreak/>
        <w:t>Introduction</w:t>
      </w:r>
    </w:p>
    <w:p w14:paraId="1E6CCCE2" w14:textId="757E41B1" w:rsidR="00631EEB" w:rsidRPr="00B8043B" w:rsidRDefault="00631EEB" w:rsidP="00B8043B">
      <w:pPr>
        <w:spacing w:line="360" w:lineRule="auto"/>
        <w:rPr>
          <w:rFonts w:ascii="Arial" w:hAnsi="Arial"/>
          <w:lang w:val="en" w:eastAsia="en-IN"/>
        </w:rPr>
      </w:pPr>
      <w:r w:rsidRPr="00B8043B">
        <w:rPr>
          <w:rFonts w:ascii="Arial" w:hAnsi="Arial"/>
          <w:lang w:val="en" w:eastAsia="en-IN"/>
        </w:rPr>
        <w:t xml:space="preserve">Amidst developing concerns approximately greenwashing inside the hospitality zone, this report will explore the sustainability regulations of The Green House, a resort renowned for its environmental efforts. It will research the charges of greenwashing, pinpoint viable contexts wherein those assertions may be credible, and verify the motel's dependence on self-mentioned records if </w:t>
      </w:r>
      <w:r w:rsidR="005F5329" w:rsidRPr="00B8043B">
        <w:rPr>
          <w:rFonts w:ascii="Arial" w:hAnsi="Arial"/>
          <w:lang w:val="en" w:eastAsia="en-IN"/>
        </w:rPr>
        <w:t>wants</w:t>
      </w:r>
      <w:r w:rsidRPr="00B8043B">
        <w:rPr>
          <w:rFonts w:ascii="Arial" w:hAnsi="Arial"/>
          <w:lang w:val="en" w:eastAsia="en-IN"/>
        </w:rPr>
        <w:t xml:space="preserve"> to get green certifications. The cause at the back of The Green House's self-assessment techniques will also </w:t>
      </w:r>
      <w:r w:rsidR="005F5329" w:rsidRPr="00B8043B">
        <w:rPr>
          <w:rFonts w:ascii="Arial" w:hAnsi="Arial"/>
          <w:lang w:val="en" w:eastAsia="en-IN"/>
        </w:rPr>
        <w:t>be described</w:t>
      </w:r>
      <w:r w:rsidRPr="00B8043B">
        <w:rPr>
          <w:rFonts w:ascii="Arial" w:hAnsi="Arial"/>
          <w:lang w:val="en" w:eastAsia="en-IN"/>
        </w:rPr>
        <w:t xml:space="preserve"> alongside the usage of </w:t>
      </w:r>
      <w:r w:rsidR="005F5329" w:rsidRPr="00B8043B">
        <w:rPr>
          <w:rFonts w:ascii="Arial" w:hAnsi="Arial"/>
          <w:lang w:val="en" w:eastAsia="en-IN"/>
        </w:rPr>
        <w:t xml:space="preserve">the </w:t>
      </w:r>
      <w:r w:rsidRPr="00B8043B">
        <w:rPr>
          <w:rFonts w:ascii="Arial" w:hAnsi="Arial"/>
          <w:lang w:val="en" w:eastAsia="en-IN"/>
        </w:rPr>
        <w:t xml:space="preserve">"green" era and the investigation of substitutes for self-evaluation techniques. This </w:t>
      </w:r>
      <w:r w:rsidR="00B93161" w:rsidRPr="00B8043B">
        <w:rPr>
          <w:rFonts w:ascii="Arial" w:hAnsi="Arial"/>
          <w:lang w:val="en" w:eastAsia="en-IN"/>
        </w:rPr>
        <w:t>report will also analyse</w:t>
      </w:r>
      <w:r w:rsidRPr="00B8043B">
        <w:rPr>
          <w:rFonts w:ascii="Arial" w:hAnsi="Arial"/>
          <w:lang w:val="en" w:eastAsia="en-IN"/>
        </w:rPr>
        <w:t xml:space="preserve"> the veracity of The Green House's environmental claims and the efficacy of its sustainability initiatives through in-intensity research.</w:t>
      </w:r>
    </w:p>
    <w:p w14:paraId="337E8233" w14:textId="77777777" w:rsidR="00777558" w:rsidRDefault="00777558" w:rsidP="00B8043B">
      <w:pPr>
        <w:spacing w:after="160" w:line="360" w:lineRule="auto"/>
        <w:rPr>
          <w:b/>
          <w:sz w:val="28"/>
          <w:szCs w:val="40"/>
          <w:lang w:val="en" w:eastAsia="en-IN"/>
        </w:rPr>
      </w:pPr>
      <w:r w:rsidRPr="00B8043B">
        <w:rPr>
          <w:rFonts w:ascii="Arial" w:hAnsi="Arial"/>
        </w:rPr>
        <w:br w:type="page"/>
      </w:r>
    </w:p>
    <w:p w14:paraId="20DE6C97" w14:textId="7F9C8A9C" w:rsidR="00784EB4" w:rsidRPr="00B8043B" w:rsidRDefault="00784EB4" w:rsidP="00B8043B">
      <w:pPr>
        <w:pStyle w:val="Titlu1"/>
        <w:spacing w:line="360" w:lineRule="auto"/>
        <w:rPr>
          <w:rFonts w:ascii="Arial" w:hAnsi="Arial"/>
        </w:rPr>
      </w:pPr>
      <w:r w:rsidRPr="00784EB4">
        <w:lastRenderedPageBreak/>
        <w:t>Accusations of Greenwashing</w:t>
      </w:r>
      <w:r w:rsidR="00777558">
        <w:t xml:space="preserve"> in The Green House</w:t>
      </w:r>
    </w:p>
    <w:p w14:paraId="72A02F77" w14:textId="18F5FF36" w:rsidR="00B93161" w:rsidRDefault="00B93161" w:rsidP="00B8043B">
      <w:pPr>
        <w:spacing w:line="360" w:lineRule="auto"/>
        <w:rPr>
          <w:rFonts w:ascii="Arial" w:hAnsi="Arial"/>
          <w:lang w:val="en" w:eastAsia="en-IN"/>
        </w:rPr>
      </w:pPr>
      <w:r w:rsidRPr="00B8043B">
        <w:rPr>
          <w:rFonts w:ascii="Arial" w:hAnsi="Arial"/>
          <w:lang w:val="en" w:eastAsia="en-IN"/>
        </w:rPr>
        <w:t xml:space="preserve">The resort industry as an entire regularly places doubt on green claims that increasing the opportunity of greenwashing in the enterprise even though The Green House in Bournemouth has obtained recognition for its environmental efforts and aim </w:t>
      </w:r>
      <w:r w:rsidR="005F5329" w:rsidRPr="00B8043B">
        <w:rPr>
          <w:rFonts w:ascii="Arial" w:hAnsi="Arial"/>
          <w:lang w:val="en" w:eastAsia="en-IN"/>
        </w:rPr>
        <w:t>toward</w:t>
      </w:r>
      <w:r w:rsidRPr="00B8043B">
        <w:rPr>
          <w:rFonts w:ascii="Arial" w:hAnsi="Arial"/>
          <w:lang w:val="en" w:eastAsia="en-IN"/>
        </w:rPr>
        <w:t xml:space="preserve"> sustainability. The idea of "greenwashing" is the practice of organisations</w:t>
      </w:r>
      <w:r w:rsidR="00A4588C" w:rsidRPr="00B8043B">
        <w:rPr>
          <w:rFonts w:ascii="Arial" w:hAnsi="Arial"/>
          <w:lang w:val="en" w:eastAsia="en-IN"/>
        </w:rPr>
        <w:t xml:space="preserve"> </w:t>
      </w:r>
      <w:r w:rsidR="005F5329" w:rsidRPr="00B8043B">
        <w:rPr>
          <w:rFonts w:ascii="Arial" w:hAnsi="Arial"/>
          <w:lang w:val="en" w:eastAsia="en-IN"/>
        </w:rPr>
        <w:t>that</w:t>
      </w:r>
      <w:r w:rsidR="00A4588C" w:rsidRPr="00B8043B">
        <w:rPr>
          <w:rFonts w:ascii="Arial" w:hAnsi="Arial"/>
          <w:lang w:val="en" w:eastAsia="en-IN"/>
        </w:rPr>
        <w:t xml:space="preserve"> </w:t>
      </w:r>
      <w:r w:rsidRPr="00B8043B">
        <w:rPr>
          <w:rFonts w:ascii="Arial" w:hAnsi="Arial"/>
          <w:lang w:val="en" w:eastAsia="en-IN"/>
        </w:rPr>
        <w:t xml:space="preserve">appreciably </w:t>
      </w:r>
      <w:r w:rsidR="005F5329" w:rsidRPr="00B8043B">
        <w:rPr>
          <w:rFonts w:ascii="Arial" w:hAnsi="Arial"/>
          <w:lang w:val="en" w:eastAsia="en-IN"/>
        </w:rPr>
        <w:t>resort</w:t>
      </w:r>
      <w:r w:rsidRPr="00B8043B">
        <w:rPr>
          <w:rFonts w:ascii="Arial" w:hAnsi="Arial"/>
          <w:lang w:val="en" w:eastAsia="en-IN"/>
        </w:rPr>
        <w:t xml:space="preserve">, fabricating or exaggerating their environmental efforts to mislead clients who want eco-friendly offerings. The Green House has no longer been accused of greenwashing at once as the maximum current thorough updates. Setting a great instance for the industry, the commercial enterprise is renowned for its </w:t>
      </w:r>
      <w:r w:rsidR="00A4588C" w:rsidRPr="00B8043B">
        <w:rPr>
          <w:rFonts w:ascii="Arial" w:hAnsi="Arial"/>
          <w:lang w:val="en" w:eastAsia="en-IN"/>
        </w:rPr>
        <w:t>significant</w:t>
      </w:r>
      <w:r w:rsidRPr="00B8043B">
        <w:rPr>
          <w:rFonts w:ascii="Arial" w:hAnsi="Arial"/>
          <w:lang w:val="en" w:eastAsia="en-IN"/>
        </w:rPr>
        <w:t xml:space="preserve"> sustainability projects</w:t>
      </w:r>
      <w:r w:rsidR="00A4588C" w:rsidRPr="00B8043B">
        <w:rPr>
          <w:rFonts w:ascii="Arial" w:hAnsi="Arial"/>
          <w:lang w:val="en" w:eastAsia="en-IN"/>
        </w:rPr>
        <w:t xml:space="preserve"> </w:t>
      </w:r>
      <w:r w:rsidRPr="00B8043B">
        <w:rPr>
          <w:rFonts w:ascii="Arial" w:hAnsi="Arial"/>
          <w:lang w:val="en" w:eastAsia="en-IN"/>
        </w:rPr>
        <w:t>which encompass waste discount programmes, energy-efficient operations, buying natural and locally grown food, and employing green substances for restorations</w:t>
      </w:r>
      <w:sdt>
        <w:sdtPr>
          <w:rPr>
            <w:rFonts w:ascii="Arial" w:hAnsi="Arial"/>
            <w:lang w:val="en" w:eastAsia="en-IN"/>
          </w:rPr>
          <w:id w:val="-659147476"/>
          <w:citation/>
        </w:sdtPr>
        <w:sdtEndPr/>
        <w:sdtContent>
          <w:r w:rsidR="00D00C1E" w:rsidRPr="00B8043B">
            <w:rPr>
              <w:rFonts w:ascii="Arial" w:hAnsi="Arial"/>
              <w:lang w:val="en" w:eastAsia="en-IN"/>
            </w:rPr>
            <w:fldChar w:fldCharType="begin"/>
          </w:r>
          <w:r w:rsidR="00D00C1E" w:rsidRPr="00B8043B">
            <w:rPr>
              <w:rFonts w:ascii="Arial" w:hAnsi="Arial"/>
              <w:lang w:val="en-US" w:eastAsia="en-IN"/>
            </w:rPr>
            <w:instrText xml:space="preserve"> CITATION the24 \l 1033 </w:instrText>
          </w:r>
          <w:r w:rsidR="00D00C1E" w:rsidRPr="00B8043B">
            <w:rPr>
              <w:rFonts w:ascii="Arial" w:hAnsi="Arial"/>
              <w:lang w:val="en" w:eastAsia="en-IN"/>
            </w:rPr>
            <w:fldChar w:fldCharType="separate"/>
          </w:r>
          <w:r w:rsidR="00D00C1E" w:rsidRPr="00B8043B">
            <w:rPr>
              <w:rFonts w:ascii="Arial" w:hAnsi="Arial"/>
              <w:noProof/>
              <w:lang w:val="en-US" w:eastAsia="en-IN"/>
            </w:rPr>
            <w:t xml:space="preserve"> (thegreenhousehotel, 2024)</w:t>
          </w:r>
          <w:r w:rsidR="00D00C1E" w:rsidRPr="00B8043B">
            <w:rPr>
              <w:rFonts w:ascii="Arial" w:hAnsi="Arial"/>
              <w:lang w:val="en" w:eastAsia="en-IN"/>
            </w:rPr>
            <w:fldChar w:fldCharType="end"/>
          </w:r>
        </w:sdtContent>
      </w:sdt>
      <w:r w:rsidRPr="00B8043B">
        <w:rPr>
          <w:rFonts w:ascii="Arial" w:hAnsi="Arial"/>
          <w:lang w:val="en" w:eastAsia="en-IN"/>
        </w:rPr>
        <w:t xml:space="preserve">. However, any resort professing inexperienced credentials is </w:t>
      </w:r>
      <w:r w:rsidR="005F5329" w:rsidRPr="00B8043B">
        <w:rPr>
          <w:rFonts w:ascii="Arial" w:hAnsi="Arial"/>
          <w:lang w:val="en" w:eastAsia="en-IN"/>
        </w:rPr>
        <w:t>under</w:t>
      </w:r>
      <w:r w:rsidRPr="00B8043B">
        <w:rPr>
          <w:rFonts w:ascii="Arial" w:hAnsi="Arial"/>
          <w:lang w:val="en" w:eastAsia="en-IN"/>
        </w:rPr>
        <w:t xml:space="preserve"> exam</w:t>
      </w:r>
      <w:r w:rsidR="00A4588C" w:rsidRPr="00B8043B">
        <w:rPr>
          <w:rFonts w:ascii="Arial" w:hAnsi="Arial"/>
          <w:lang w:val="en" w:eastAsia="en-IN"/>
        </w:rPr>
        <w:t>ination</w:t>
      </w:r>
      <w:r w:rsidRPr="00B8043B">
        <w:rPr>
          <w:rFonts w:ascii="Arial" w:hAnsi="Arial"/>
          <w:lang w:val="en" w:eastAsia="en-IN"/>
        </w:rPr>
        <w:t xml:space="preserve"> due to the growing awareness of environmental organisations, customers, and regulatory agencies. This means that for The Green House, it</w:t>
      </w:r>
      <w:r w:rsidR="00A4588C" w:rsidRPr="00B8043B">
        <w:rPr>
          <w:rFonts w:ascii="Arial" w:hAnsi="Arial"/>
          <w:lang w:val="en" w:eastAsia="en-IN"/>
        </w:rPr>
        <w:t xml:space="preserve"> i</w:t>
      </w:r>
      <w:r w:rsidRPr="00B8043B">
        <w:rPr>
          <w:rFonts w:ascii="Arial" w:hAnsi="Arial"/>
          <w:lang w:val="en" w:eastAsia="en-IN"/>
        </w:rPr>
        <w:t xml:space="preserve">s important to preserve not simply the integrity of its environmentally pleasant operations but additionally the openness and accuracy of its statements. It is not always frequently a loss of </w:t>
      </w:r>
      <w:r w:rsidR="00A4588C" w:rsidRPr="00B8043B">
        <w:rPr>
          <w:rFonts w:ascii="Arial" w:hAnsi="Arial"/>
          <w:lang w:val="en" w:eastAsia="en-IN"/>
        </w:rPr>
        <w:t>activities</w:t>
      </w:r>
      <w:r w:rsidRPr="00B8043B">
        <w:rPr>
          <w:rFonts w:ascii="Arial" w:hAnsi="Arial"/>
          <w:lang w:val="en" w:eastAsia="en-IN"/>
        </w:rPr>
        <w:t xml:space="preserve"> that puts one liable to being accused of greenwashing</w:t>
      </w:r>
      <w:r w:rsidR="00A4588C" w:rsidRPr="00B8043B">
        <w:rPr>
          <w:rFonts w:ascii="Arial" w:hAnsi="Arial"/>
          <w:lang w:val="en" w:eastAsia="en-IN"/>
        </w:rPr>
        <w:t xml:space="preserve"> </w:t>
      </w:r>
      <w:r w:rsidRPr="00B8043B">
        <w:rPr>
          <w:rFonts w:ascii="Arial" w:hAnsi="Arial"/>
          <w:lang w:val="en" w:eastAsia="en-IN"/>
        </w:rPr>
        <w:t>as a substitute, it</w:t>
      </w:r>
      <w:r w:rsidR="00A4588C" w:rsidRPr="00B8043B">
        <w:rPr>
          <w:rFonts w:ascii="Arial" w:hAnsi="Arial"/>
          <w:lang w:val="en" w:eastAsia="en-IN"/>
        </w:rPr>
        <w:t xml:space="preserve"> i</w:t>
      </w:r>
      <w:r w:rsidRPr="00B8043B">
        <w:rPr>
          <w:rFonts w:ascii="Arial" w:hAnsi="Arial"/>
          <w:lang w:val="en" w:eastAsia="en-IN"/>
        </w:rPr>
        <w:t>s the absence of unambiguous, third-party certified proof of sustainable effect. As the hospitality sector changes and actual sustainability will become extra critical than token efforts</w:t>
      </w:r>
      <w:r w:rsidR="00A4588C" w:rsidRPr="00B8043B">
        <w:rPr>
          <w:rFonts w:ascii="Arial" w:hAnsi="Arial"/>
          <w:lang w:val="en" w:eastAsia="en-IN"/>
        </w:rPr>
        <w:t xml:space="preserve"> and </w:t>
      </w:r>
      <w:r w:rsidRPr="00B8043B">
        <w:rPr>
          <w:rFonts w:ascii="Arial" w:hAnsi="Arial"/>
          <w:lang w:val="en" w:eastAsia="en-IN"/>
        </w:rPr>
        <w:t xml:space="preserve">establishments like The Green House want to keep setting the same old </w:t>
      </w:r>
      <w:r w:rsidR="00A4588C" w:rsidRPr="00B8043B">
        <w:rPr>
          <w:rFonts w:ascii="Arial" w:hAnsi="Arial"/>
          <w:lang w:val="en" w:eastAsia="en-IN"/>
        </w:rPr>
        <w:t>through</w:t>
      </w:r>
      <w:r w:rsidRPr="00B8043B">
        <w:rPr>
          <w:rFonts w:ascii="Arial" w:hAnsi="Arial"/>
          <w:lang w:val="en" w:eastAsia="en-IN"/>
        </w:rPr>
        <w:t xml:space="preserve"> </w:t>
      </w:r>
      <w:r w:rsidR="00A4588C" w:rsidRPr="00B8043B">
        <w:rPr>
          <w:rFonts w:ascii="Arial" w:hAnsi="Arial"/>
          <w:lang w:val="en" w:eastAsia="en-IN"/>
        </w:rPr>
        <w:t>en</w:t>
      </w:r>
      <w:r w:rsidRPr="00B8043B">
        <w:rPr>
          <w:rFonts w:ascii="Arial" w:hAnsi="Arial"/>
          <w:lang w:val="en" w:eastAsia="en-IN"/>
        </w:rPr>
        <w:t xml:space="preserve">sure that their green guidelines </w:t>
      </w:r>
      <w:r w:rsidR="00A4588C" w:rsidRPr="00B8043B">
        <w:rPr>
          <w:rFonts w:ascii="Arial" w:hAnsi="Arial"/>
          <w:lang w:val="en" w:eastAsia="en-IN"/>
        </w:rPr>
        <w:t>work</w:t>
      </w:r>
      <w:r w:rsidRPr="00B8043B">
        <w:rPr>
          <w:rFonts w:ascii="Arial" w:hAnsi="Arial"/>
          <w:lang w:val="en" w:eastAsia="en-IN"/>
        </w:rPr>
        <w:t xml:space="preserve"> and can be independently confirmed. The Green House must maintain to exercise warning on these surroundings to persuade clean of the traps that include </w:t>
      </w:r>
      <w:r w:rsidR="00A4588C" w:rsidRPr="00B8043B">
        <w:rPr>
          <w:rFonts w:ascii="Arial" w:hAnsi="Arial"/>
          <w:lang w:val="en" w:eastAsia="en-IN"/>
        </w:rPr>
        <w:t>cost</w:t>
      </w:r>
      <w:r w:rsidRPr="00B8043B">
        <w:rPr>
          <w:rFonts w:ascii="Arial" w:hAnsi="Arial"/>
          <w:lang w:val="en" w:eastAsia="en-IN"/>
        </w:rPr>
        <w:t xml:space="preserve"> of greenwashing</w:t>
      </w:r>
      <w:r w:rsidR="00EA0E15" w:rsidRPr="00B8043B">
        <w:rPr>
          <w:rFonts w:ascii="Arial" w:hAnsi="Arial"/>
          <w:lang w:val="en" w:eastAsia="en-IN"/>
        </w:rPr>
        <w:t xml:space="preserve"> (</w:t>
      </w:r>
      <w:r w:rsidR="00EA0E15" w:rsidRPr="00B8043B">
        <w:rPr>
          <w:rFonts w:ascii="Arial" w:hAnsi="Arial"/>
          <w:shd w:val="clear" w:color="auto" w:fill="FFFFFF"/>
        </w:rPr>
        <w:t>de Freitas Netto et al., 2020)</w:t>
      </w:r>
      <w:r w:rsidRPr="00B8043B">
        <w:rPr>
          <w:rFonts w:ascii="Arial" w:hAnsi="Arial"/>
          <w:lang w:val="en" w:eastAsia="en-IN"/>
        </w:rPr>
        <w:t>. The Green House can preserve its position as a real leader in environmental stewardship in the hospitality industry by pursuing credible third-celebration certifications and engaging in stringent, obvious reporting. This will allow The Green House to set itself other than competitors through real sustainability initiatives rather than spurious advertising and marketing.</w:t>
      </w:r>
    </w:p>
    <w:p w14:paraId="77B2251A" w14:textId="77777777" w:rsidR="00B8043B" w:rsidRDefault="00B8043B" w:rsidP="00B8043B">
      <w:pPr>
        <w:spacing w:line="360" w:lineRule="auto"/>
        <w:rPr>
          <w:rFonts w:ascii="Arial" w:hAnsi="Arial"/>
          <w:lang w:val="en" w:eastAsia="en-IN"/>
        </w:rPr>
      </w:pPr>
    </w:p>
    <w:p w14:paraId="5884175D" w14:textId="77777777" w:rsidR="00B8043B" w:rsidRPr="00B93161" w:rsidRDefault="00B8043B" w:rsidP="00B8043B">
      <w:pPr>
        <w:spacing w:line="360" w:lineRule="auto"/>
        <w:rPr>
          <w:lang w:val="en" w:eastAsia="en-IN"/>
        </w:rPr>
      </w:pPr>
    </w:p>
    <w:p w14:paraId="7C32D006" w14:textId="3B0C8716" w:rsidR="00784EB4" w:rsidRDefault="00784EB4" w:rsidP="00777558">
      <w:pPr>
        <w:pStyle w:val="Titlu1"/>
      </w:pPr>
      <w:r w:rsidRPr="00784EB4">
        <w:lastRenderedPageBreak/>
        <w:t>Areas of Potential Greenwashing</w:t>
      </w:r>
      <w:r w:rsidR="00777558">
        <w:t xml:space="preserve"> in The Green House</w:t>
      </w:r>
    </w:p>
    <w:p w14:paraId="173D2FAB" w14:textId="4F00BA0B" w:rsidR="00553111" w:rsidRPr="00B8043B" w:rsidRDefault="00553111" w:rsidP="00B8043B">
      <w:pPr>
        <w:spacing w:line="360" w:lineRule="auto"/>
        <w:rPr>
          <w:rFonts w:ascii="Arial" w:hAnsi="Arial"/>
          <w:lang w:val="en" w:eastAsia="en-IN"/>
        </w:rPr>
      </w:pPr>
      <w:r w:rsidRPr="00553111">
        <w:rPr>
          <w:b/>
          <w:bCs/>
          <w:i/>
          <w:iCs/>
          <w:lang w:val="en" w:eastAsia="en-IN"/>
        </w:rPr>
        <w:t>Selective Sustainability Efforts</w:t>
      </w:r>
      <w:r w:rsidRPr="00B8043B">
        <w:rPr>
          <w:rFonts w:ascii="Arial" w:hAnsi="Arial"/>
          <w:b/>
          <w:bCs/>
          <w:i/>
          <w:iCs/>
          <w:lang w:val="en" w:eastAsia="en-IN"/>
        </w:rPr>
        <w:t xml:space="preserve">: </w:t>
      </w:r>
      <w:r w:rsidRPr="00B8043B">
        <w:rPr>
          <w:rFonts w:ascii="Arial" w:hAnsi="Arial"/>
          <w:lang w:val="en" w:eastAsia="en-IN"/>
        </w:rPr>
        <w:t>The Green House has a few significant sustainability projects, which include waste discount and power efficiency but a few critics contend that emphasising a few "inexperienced" practices like now not washing towels every day may be interpreted as flimsy attempts to appearance inexperienced without addressing extra vital results.</w:t>
      </w:r>
    </w:p>
    <w:p w14:paraId="215A68B2" w14:textId="5338E114" w:rsidR="00553111" w:rsidRPr="00553111" w:rsidRDefault="00553111" w:rsidP="00B8043B">
      <w:pPr>
        <w:spacing w:line="360" w:lineRule="auto"/>
        <w:rPr>
          <w:lang w:val="en" w:eastAsia="en-IN"/>
        </w:rPr>
      </w:pPr>
      <w:r w:rsidRPr="00553111">
        <w:rPr>
          <w:b/>
          <w:bCs/>
          <w:i/>
          <w:iCs/>
          <w:lang w:val="en" w:eastAsia="en-IN"/>
        </w:rPr>
        <w:t xml:space="preserve">Absence of a Comprehensive Approach: </w:t>
      </w:r>
      <w:r w:rsidRPr="00B8043B">
        <w:rPr>
          <w:rFonts w:ascii="Arial" w:hAnsi="Arial"/>
          <w:lang w:val="en" w:eastAsia="en-IN"/>
        </w:rPr>
        <w:t>Greenwashing concerns may want to ground if The Green House locations an extra emphasis on little green projects even as ignoring more large environmental problems like water use, carbon emissions, or sustainable sourcing strategies for all of its items</w:t>
      </w:r>
      <w:r w:rsidR="00EA0E15" w:rsidRPr="00B8043B">
        <w:rPr>
          <w:rFonts w:ascii="Arial" w:hAnsi="Arial"/>
          <w:lang w:val="en" w:eastAsia="en-IN"/>
        </w:rPr>
        <w:t xml:space="preserve"> (</w:t>
      </w:r>
      <w:r w:rsidR="00EA0E15" w:rsidRPr="00B8043B">
        <w:rPr>
          <w:rFonts w:ascii="Arial" w:hAnsi="Arial"/>
          <w:shd w:val="clear" w:color="auto" w:fill="FFFFFF"/>
        </w:rPr>
        <w:t>Szabo and Webster, 2021</w:t>
      </w:r>
      <w:r w:rsidR="00EA0E15">
        <w:rPr>
          <w:shd w:val="clear" w:color="auto" w:fill="FFFFFF"/>
        </w:rPr>
        <w:t>)</w:t>
      </w:r>
      <w:r w:rsidRPr="00553111">
        <w:rPr>
          <w:lang w:val="en" w:eastAsia="en-IN"/>
        </w:rPr>
        <w:t>.</w:t>
      </w:r>
    </w:p>
    <w:p w14:paraId="246F49A2" w14:textId="01F42031" w:rsidR="00553111" w:rsidRPr="00B8043B" w:rsidRDefault="00553111" w:rsidP="00B8043B">
      <w:pPr>
        <w:spacing w:line="360" w:lineRule="auto"/>
        <w:rPr>
          <w:rFonts w:ascii="Arial" w:hAnsi="Arial"/>
          <w:lang w:val="en" w:eastAsia="en-IN"/>
        </w:rPr>
      </w:pPr>
      <w:r w:rsidRPr="00553111">
        <w:rPr>
          <w:b/>
          <w:bCs/>
          <w:i/>
          <w:iCs/>
          <w:lang w:val="en" w:eastAsia="en-IN"/>
        </w:rPr>
        <w:t>Dependency on Self-Reporting:</w:t>
      </w:r>
      <w:r w:rsidRPr="00553111">
        <w:rPr>
          <w:lang w:val="en" w:eastAsia="en-IN"/>
        </w:rPr>
        <w:t xml:space="preserve"> </w:t>
      </w:r>
      <w:r w:rsidRPr="00B8043B">
        <w:rPr>
          <w:rFonts w:ascii="Arial" w:hAnsi="Arial"/>
          <w:lang w:val="en" w:eastAsia="en-IN"/>
        </w:rPr>
        <w:t xml:space="preserve">Sceptics may additionally enhance doubts </w:t>
      </w:r>
      <w:r w:rsidR="005F5329" w:rsidRPr="00B8043B">
        <w:rPr>
          <w:rFonts w:ascii="Arial" w:hAnsi="Arial"/>
          <w:lang w:val="en" w:eastAsia="en-IN"/>
        </w:rPr>
        <w:t>about</w:t>
      </w:r>
      <w:r w:rsidRPr="00B8043B">
        <w:rPr>
          <w:rFonts w:ascii="Arial" w:hAnsi="Arial"/>
          <w:lang w:val="en" w:eastAsia="en-IN"/>
        </w:rPr>
        <w:t xml:space="preserve"> the veracity and great of The Green House's records if it most effectively uses self-mentioned information to lower back up its green claims within the absence of unbiased verification, which may result in fees of greenwashing.</w:t>
      </w:r>
    </w:p>
    <w:p w14:paraId="5C68A4F1" w14:textId="5762C3FF" w:rsidR="00553111" w:rsidRPr="00553111" w:rsidRDefault="00553111" w:rsidP="00B8043B">
      <w:pPr>
        <w:spacing w:line="360" w:lineRule="auto"/>
        <w:rPr>
          <w:lang w:val="en" w:eastAsia="en-IN"/>
        </w:rPr>
      </w:pPr>
      <w:r w:rsidRPr="00553111">
        <w:rPr>
          <w:b/>
          <w:bCs/>
          <w:i/>
          <w:iCs/>
          <w:lang w:val="en" w:eastAsia="en-IN"/>
        </w:rPr>
        <w:t>Limited Transparency:</w:t>
      </w:r>
      <w:r w:rsidRPr="00553111">
        <w:rPr>
          <w:lang w:val="en" w:eastAsia="en-IN"/>
        </w:rPr>
        <w:t xml:space="preserve"> </w:t>
      </w:r>
      <w:r w:rsidRPr="00B8043B">
        <w:rPr>
          <w:rFonts w:ascii="Arial" w:hAnsi="Arial"/>
          <w:lang w:val="en" w:eastAsia="en-IN"/>
        </w:rPr>
        <w:t>There can be concerns approximately greenwashing if there is not clean disclosure about how its activities affect the surroundings. Uncertainty the motel withholds precise measurements or methods for gauging sustainability achievement, it would cast doubt on its sincere choice to practice environmental care</w:t>
      </w:r>
      <w:r w:rsidR="00EA0E15" w:rsidRPr="00B8043B">
        <w:rPr>
          <w:rFonts w:ascii="Arial" w:hAnsi="Arial"/>
          <w:lang w:val="en" w:eastAsia="en-IN"/>
        </w:rPr>
        <w:t xml:space="preserve"> (</w:t>
      </w:r>
      <w:r w:rsidR="00EA0E15" w:rsidRPr="00B8043B">
        <w:rPr>
          <w:rFonts w:ascii="Arial" w:hAnsi="Arial"/>
          <w:shd w:val="clear" w:color="auto" w:fill="FFFFFF"/>
        </w:rPr>
        <w:t>Nemes et al., 2022)</w:t>
      </w:r>
      <w:r w:rsidRPr="00B8043B">
        <w:rPr>
          <w:rFonts w:ascii="Arial" w:hAnsi="Arial"/>
          <w:lang w:val="en" w:eastAsia="en-IN"/>
        </w:rPr>
        <w:t>.</w:t>
      </w:r>
    </w:p>
    <w:p w14:paraId="358C8A44" w14:textId="0D83B47F" w:rsidR="00553111" w:rsidRPr="00553111" w:rsidRDefault="00553111" w:rsidP="00B8043B">
      <w:pPr>
        <w:spacing w:line="360" w:lineRule="auto"/>
        <w:rPr>
          <w:lang w:val="en" w:eastAsia="en-IN"/>
        </w:rPr>
      </w:pPr>
      <w:r w:rsidRPr="00553111">
        <w:rPr>
          <w:b/>
          <w:bCs/>
          <w:i/>
          <w:iCs/>
          <w:lang w:val="en" w:eastAsia="en-IN"/>
        </w:rPr>
        <w:t>Inconsistent Messaging:</w:t>
      </w:r>
      <w:r w:rsidRPr="00553111">
        <w:rPr>
          <w:lang w:val="en" w:eastAsia="en-IN"/>
        </w:rPr>
        <w:t xml:space="preserve"> </w:t>
      </w:r>
      <w:r w:rsidRPr="00B8043B">
        <w:rPr>
          <w:rFonts w:ascii="Arial" w:hAnsi="Arial"/>
          <w:lang w:val="en" w:eastAsia="en-IN"/>
        </w:rPr>
        <w:t xml:space="preserve">Contradictory statements made in marketing and commercial enterprise techniques can also give </w:t>
      </w:r>
      <w:r w:rsidR="005F5329" w:rsidRPr="00B8043B">
        <w:rPr>
          <w:rFonts w:ascii="Arial" w:hAnsi="Arial"/>
          <w:lang w:val="en" w:eastAsia="en-IN"/>
        </w:rPr>
        <w:t xml:space="preserve">an </w:t>
      </w:r>
      <w:r w:rsidRPr="00B8043B">
        <w:rPr>
          <w:rFonts w:ascii="Arial" w:hAnsi="Arial"/>
          <w:lang w:val="en" w:eastAsia="en-IN"/>
        </w:rPr>
        <w:t>upward push to accusations of greenwashing. For instance, The Green House might be visible as setting image over substance if it actively advertises its green efforts however would not continually observe them to all elements of its business</w:t>
      </w:r>
      <w:r w:rsidR="00EA0E15" w:rsidRPr="00B8043B">
        <w:rPr>
          <w:rFonts w:ascii="Arial" w:hAnsi="Arial"/>
          <w:lang w:val="en" w:eastAsia="en-IN"/>
        </w:rPr>
        <w:t xml:space="preserve"> (</w:t>
      </w:r>
      <w:r w:rsidR="00EA0E15" w:rsidRPr="00B8043B">
        <w:rPr>
          <w:rFonts w:ascii="Arial" w:hAnsi="Arial"/>
          <w:shd w:val="clear" w:color="auto" w:fill="FFFFFF"/>
        </w:rPr>
        <w:t>Jakubczak and Gotowska, 2020</w:t>
      </w:r>
      <w:r w:rsidR="00EA0E15">
        <w:rPr>
          <w:shd w:val="clear" w:color="auto" w:fill="FFFFFF"/>
        </w:rPr>
        <w:t>)</w:t>
      </w:r>
      <w:r w:rsidRPr="00553111">
        <w:rPr>
          <w:lang w:val="en" w:eastAsia="en-IN"/>
        </w:rPr>
        <w:t>.</w:t>
      </w:r>
    </w:p>
    <w:p w14:paraId="6BA12EF0" w14:textId="0A381826" w:rsidR="00553111" w:rsidRPr="00553111" w:rsidRDefault="00553111" w:rsidP="00B8043B">
      <w:pPr>
        <w:spacing w:line="360" w:lineRule="auto"/>
        <w:rPr>
          <w:lang w:val="en" w:eastAsia="en-IN"/>
        </w:rPr>
      </w:pPr>
      <w:r w:rsidRPr="00553111">
        <w:rPr>
          <w:b/>
          <w:bCs/>
          <w:i/>
          <w:iCs/>
          <w:lang w:val="en" w:eastAsia="en-IN"/>
        </w:rPr>
        <w:t>Overemphasis on Cosmetic Changes</w:t>
      </w:r>
      <w:r w:rsidRPr="00B8043B">
        <w:rPr>
          <w:rFonts w:ascii="Arial" w:hAnsi="Arial"/>
          <w:b/>
          <w:bCs/>
          <w:i/>
          <w:iCs/>
          <w:lang w:val="en" w:eastAsia="en-IN"/>
        </w:rPr>
        <w:t>:</w:t>
      </w:r>
      <w:r w:rsidRPr="00B8043B">
        <w:rPr>
          <w:rFonts w:ascii="Arial" w:hAnsi="Arial"/>
          <w:lang w:val="en" w:eastAsia="en-IN"/>
        </w:rPr>
        <w:t xml:space="preserve"> Detractors may argue that The Green House's reliance on environmentally friendly upkeep and beauty improvements, including redecorating with recycled substances is greater of an advertising gimmick than a serious attempt to reduce it have an impact on the surroundings</w:t>
      </w:r>
      <w:r w:rsidR="00EA0E15" w:rsidRPr="00B8043B">
        <w:rPr>
          <w:rFonts w:ascii="Arial" w:hAnsi="Arial"/>
          <w:lang w:val="en" w:eastAsia="en-IN"/>
        </w:rPr>
        <w:t xml:space="preserve"> (</w:t>
      </w:r>
      <w:r w:rsidR="00EA0E15" w:rsidRPr="00B8043B">
        <w:rPr>
          <w:rFonts w:ascii="Arial" w:hAnsi="Arial"/>
          <w:shd w:val="clear" w:color="auto" w:fill="FFFFFF"/>
        </w:rPr>
        <w:t>Heras</w:t>
      </w:r>
      <w:r w:rsidR="00EA0E15" w:rsidRPr="00B8043B">
        <w:rPr>
          <w:rFonts w:ascii="Cambria Math" w:hAnsi="Cambria Math" w:cs="Cambria Math"/>
          <w:shd w:val="clear" w:color="auto" w:fill="FFFFFF"/>
        </w:rPr>
        <w:t>‐</w:t>
      </w:r>
      <w:r w:rsidR="00EA0E15" w:rsidRPr="00B8043B">
        <w:rPr>
          <w:rFonts w:ascii="Arial" w:hAnsi="Arial"/>
          <w:shd w:val="clear" w:color="auto" w:fill="FFFFFF"/>
        </w:rPr>
        <w:t>Saizarbitoria et al., 2020)</w:t>
      </w:r>
      <w:r w:rsidRPr="00B8043B">
        <w:rPr>
          <w:rFonts w:ascii="Arial" w:hAnsi="Arial"/>
          <w:lang w:val="en" w:eastAsia="en-IN"/>
        </w:rPr>
        <w:t>.</w:t>
      </w:r>
    </w:p>
    <w:p w14:paraId="21929E08" w14:textId="675D58C4" w:rsidR="00553111" w:rsidRPr="00B8043B" w:rsidRDefault="00553111" w:rsidP="00B8043B">
      <w:pPr>
        <w:spacing w:line="360" w:lineRule="auto"/>
        <w:rPr>
          <w:rFonts w:ascii="Arial" w:hAnsi="Arial"/>
          <w:lang w:val="en" w:eastAsia="en-IN"/>
        </w:rPr>
      </w:pPr>
      <w:r w:rsidRPr="00553111">
        <w:rPr>
          <w:b/>
          <w:bCs/>
          <w:i/>
          <w:iCs/>
          <w:lang w:val="en" w:eastAsia="en-IN"/>
        </w:rPr>
        <w:t>Selective Certification Programme Participation:</w:t>
      </w:r>
      <w:r w:rsidRPr="00553111">
        <w:rPr>
          <w:lang w:val="en" w:eastAsia="en-IN"/>
        </w:rPr>
        <w:t xml:space="preserve"> </w:t>
      </w:r>
      <w:r w:rsidRPr="00B8043B">
        <w:rPr>
          <w:rFonts w:ascii="Arial" w:hAnsi="Arial"/>
          <w:lang w:val="en" w:eastAsia="en-IN"/>
        </w:rPr>
        <w:t>The Green House might also forge doubt on the genuineness of its dedication to sustainability if it selects certifications with laxer necessities or if it decides to highlight simply positive certifications whilst leaving out others.</w:t>
      </w:r>
    </w:p>
    <w:p w14:paraId="36BC2174" w14:textId="50776A2C" w:rsidR="00553111" w:rsidRPr="00B8043B" w:rsidRDefault="00553111" w:rsidP="00553111">
      <w:pPr>
        <w:rPr>
          <w:rFonts w:ascii="Arial" w:hAnsi="Arial"/>
          <w:lang w:val="en" w:eastAsia="en-IN"/>
        </w:rPr>
      </w:pPr>
      <w:r w:rsidRPr="00B8043B">
        <w:rPr>
          <w:rFonts w:ascii="Arial" w:hAnsi="Arial"/>
          <w:lang w:val="en" w:eastAsia="en-IN"/>
        </w:rPr>
        <w:lastRenderedPageBreak/>
        <w:t xml:space="preserve">Failure to Engage in Continuous Improvement: The Green House may be accused of greenwashing if its sustainability initiatives stall out or if it does not </w:t>
      </w:r>
      <w:r w:rsidR="005F5329" w:rsidRPr="00B8043B">
        <w:rPr>
          <w:rFonts w:ascii="Arial" w:hAnsi="Arial"/>
          <w:lang w:val="en" w:eastAsia="en-IN"/>
        </w:rPr>
        <w:t>keep</w:t>
      </w:r>
      <w:r w:rsidRPr="00B8043B">
        <w:rPr>
          <w:rFonts w:ascii="Arial" w:hAnsi="Arial"/>
          <w:lang w:val="en" w:eastAsia="en-IN"/>
        </w:rPr>
        <w:t xml:space="preserve"> up with new era and nice practices, which could imply a lack of sincere dedication to environmental obligation</w:t>
      </w:r>
      <w:r w:rsidR="00EA0E15" w:rsidRPr="00B8043B">
        <w:rPr>
          <w:rFonts w:ascii="Arial" w:hAnsi="Arial"/>
          <w:lang w:val="en" w:eastAsia="en-IN"/>
        </w:rPr>
        <w:t xml:space="preserve"> (</w:t>
      </w:r>
      <w:r w:rsidR="00EA0E15" w:rsidRPr="00B8043B">
        <w:rPr>
          <w:rFonts w:ascii="Arial" w:hAnsi="Arial"/>
          <w:shd w:val="clear" w:color="auto" w:fill="FFFFFF"/>
        </w:rPr>
        <w:t>Montgomery et al., 2022)</w:t>
      </w:r>
      <w:r w:rsidRPr="00B8043B">
        <w:rPr>
          <w:rFonts w:ascii="Arial" w:hAnsi="Arial"/>
          <w:lang w:val="en" w:eastAsia="en-IN"/>
        </w:rPr>
        <w:t>.</w:t>
      </w:r>
    </w:p>
    <w:p w14:paraId="4EEF546B" w14:textId="7FCA8A56" w:rsidR="00784EB4" w:rsidRDefault="00784EB4" w:rsidP="00777558">
      <w:pPr>
        <w:pStyle w:val="Titlu1"/>
      </w:pPr>
      <w:r w:rsidRPr="00784EB4">
        <w:t>Self-Evaluation Practices</w:t>
      </w:r>
      <w:r w:rsidR="00777558">
        <w:t xml:space="preserve"> in The Green House</w:t>
      </w:r>
    </w:p>
    <w:p w14:paraId="7EB63BD4" w14:textId="40F1FD7A" w:rsidR="00553111" w:rsidRPr="00B8043B" w:rsidRDefault="00553111" w:rsidP="00B8043B">
      <w:pPr>
        <w:spacing w:line="360" w:lineRule="auto"/>
        <w:rPr>
          <w:rFonts w:ascii="Arial" w:hAnsi="Arial"/>
          <w:lang w:val="en" w:eastAsia="en-IN"/>
        </w:rPr>
      </w:pPr>
      <w:r w:rsidRPr="00553111">
        <w:rPr>
          <w:b/>
          <w:bCs/>
          <w:i/>
          <w:iCs/>
          <w:lang w:val="en" w:eastAsia="en-IN"/>
        </w:rPr>
        <w:t>Internal Evaluation Procedures:</w:t>
      </w:r>
      <w:r w:rsidRPr="00553111">
        <w:rPr>
          <w:lang w:val="en" w:eastAsia="en-IN"/>
        </w:rPr>
        <w:t xml:space="preserve"> </w:t>
      </w:r>
      <w:r w:rsidR="005F5329" w:rsidRPr="00B8043B">
        <w:rPr>
          <w:rFonts w:ascii="Arial" w:hAnsi="Arial"/>
          <w:lang w:val="en" w:eastAsia="en-IN"/>
        </w:rPr>
        <w:t>To</w:t>
      </w:r>
      <w:r w:rsidRPr="00B8043B">
        <w:rPr>
          <w:rFonts w:ascii="Arial" w:hAnsi="Arial"/>
          <w:lang w:val="en" w:eastAsia="en-IN"/>
        </w:rPr>
        <w:t xml:space="preserve"> become aware of areas for improvement and to gauge its influence on the environment, The Green House frequently evaluates its sustainability sports. These checks would possibly include various operational subjects, along with water conservation, waste management, electricity performance, and sourcing procedures</w:t>
      </w:r>
      <w:r w:rsidR="00EA0E15" w:rsidRPr="00B8043B">
        <w:rPr>
          <w:rFonts w:ascii="Arial" w:hAnsi="Arial"/>
          <w:lang w:val="en" w:eastAsia="en-IN"/>
        </w:rPr>
        <w:t xml:space="preserve"> (</w:t>
      </w:r>
      <w:r w:rsidR="00EA0E15" w:rsidRPr="00B8043B">
        <w:rPr>
          <w:rFonts w:ascii="Arial" w:hAnsi="Arial"/>
          <w:shd w:val="clear" w:color="auto" w:fill="FFFFFF"/>
        </w:rPr>
        <w:t>Vangeli et al., 2023)</w:t>
      </w:r>
      <w:r w:rsidRPr="00B8043B">
        <w:rPr>
          <w:rFonts w:ascii="Arial" w:hAnsi="Arial"/>
          <w:lang w:val="en" w:eastAsia="en-IN"/>
        </w:rPr>
        <w:t>.</w:t>
      </w:r>
    </w:p>
    <w:p w14:paraId="3022205D" w14:textId="10310D3A" w:rsidR="00553111" w:rsidRPr="00B8043B" w:rsidRDefault="00553111" w:rsidP="00B8043B">
      <w:pPr>
        <w:spacing w:line="360" w:lineRule="auto"/>
        <w:rPr>
          <w:rFonts w:ascii="Arial" w:hAnsi="Arial"/>
          <w:lang w:val="en" w:eastAsia="en-IN"/>
        </w:rPr>
      </w:pPr>
      <w:r w:rsidRPr="00553111">
        <w:rPr>
          <w:b/>
          <w:bCs/>
          <w:i/>
          <w:iCs/>
          <w:lang w:val="en" w:eastAsia="en-IN"/>
        </w:rPr>
        <w:t>Data Collection and Analysis:</w:t>
      </w:r>
      <w:r w:rsidRPr="00553111">
        <w:rPr>
          <w:lang w:val="en" w:eastAsia="en-IN"/>
        </w:rPr>
        <w:t xml:space="preserve"> </w:t>
      </w:r>
      <w:r w:rsidRPr="00B8043B">
        <w:rPr>
          <w:rFonts w:ascii="Arial" w:hAnsi="Arial"/>
          <w:lang w:val="en" w:eastAsia="en-IN"/>
        </w:rPr>
        <w:t xml:space="preserve">The motel uses some techniques to acquire statistics about its environmental overall performance, along with monitoring trash advent and recycling costs, monitoring strength and water consumption, and assessing the sustainability of its supplier chain. After that, this fact is examined to </w:t>
      </w:r>
      <w:r w:rsidR="00EA0E15" w:rsidRPr="00B8043B">
        <w:rPr>
          <w:rFonts w:ascii="Arial" w:hAnsi="Arial"/>
          <w:lang w:val="en" w:eastAsia="en-IN"/>
        </w:rPr>
        <w:t>measure</w:t>
      </w:r>
      <w:r w:rsidRPr="00B8043B">
        <w:rPr>
          <w:rFonts w:ascii="Arial" w:hAnsi="Arial"/>
          <w:lang w:val="en" w:eastAsia="en-IN"/>
        </w:rPr>
        <w:t xml:space="preserve"> the advancement of sustainability targets and assist in making choices</w:t>
      </w:r>
      <w:r w:rsidR="00EA0E15" w:rsidRPr="00B8043B">
        <w:rPr>
          <w:rFonts w:ascii="Arial" w:hAnsi="Arial"/>
          <w:lang w:val="en" w:eastAsia="en-IN"/>
        </w:rPr>
        <w:t xml:space="preserve"> (</w:t>
      </w:r>
      <w:r w:rsidR="00EA0E15" w:rsidRPr="00B8043B">
        <w:rPr>
          <w:rFonts w:ascii="Arial" w:hAnsi="Arial"/>
          <w:shd w:val="clear" w:color="auto" w:fill="FFFFFF"/>
        </w:rPr>
        <w:t>Santos et al., 2023)</w:t>
      </w:r>
      <w:r w:rsidRPr="00B8043B">
        <w:rPr>
          <w:rFonts w:ascii="Arial" w:hAnsi="Arial"/>
          <w:lang w:val="en" w:eastAsia="en-IN"/>
        </w:rPr>
        <w:t>.</w:t>
      </w:r>
    </w:p>
    <w:p w14:paraId="28405C70" w14:textId="5E2E22B8" w:rsidR="00553111" w:rsidRPr="00553111" w:rsidRDefault="00553111" w:rsidP="00B8043B">
      <w:pPr>
        <w:spacing w:line="360" w:lineRule="auto"/>
        <w:rPr>
          <w:lang w:val="en" w:eastAsia="en-IN"/>
        </w:rPr>
      </w:pPr>
      <w:r w:rsidRPr="00553111">
        <w:rPr>
          <w:b/>
          <w:bCs/>
          <w:i/>
          <w:iCs/>
          <w:lang w:val="en" w:eastAsia="en-IN"/>
        </w:rPr>
        <w:t>Internal Audits:</w:t>
      </w:r>
      <w:r w:rsidRPr="00553111">
        <w:rPr>
          <w:lang w:val="en" w:eastAsia="en-IN"/>
        </w:rPr>
        <w:t xml:space="preserve"> </w:t>
      </w:r>
      <w:r w:rsidRPr="00B8043B">
        <w:rPr>
          <w:rFonts w:ascii="Arial" w:hAnsi="Arial"/>
          <w:lang w:val="en" w:eastAsia="en-IN"/>
        </w:rPr>
        <w:t xml:space="preserve">The Green House incorporates internal audits to make sure that its sustainability rules and guidelines are being observed. As part of these audits, working methods can be tested, </w:t>
      </w:r>
      <w:r w:rsidR="005F5329" w:rsidRPr="00B8043B">
        <w:rPr>
          <w:rFonts w:ascii="Arial" w:hAnsi="Arial"/>
          <w:lang w:val="en" w:eastAsia="en-IN"/>
        </w:rPr>
        <w:t>websites</w:t>
      </w:r>
      <w:r w:rsidRPr="00B8043B">
        <w:rPr>
          <w:rFonts w:ascii="Arial" w:hAnsi="Arial"/>
          <w:lang w:val="en" w:eastAsia="en-IN"/>
        </w:rPr>
        <w:t xml:space="preserve"> can be inspected, and compliance with environmental legal guidelines and standards can be evaluated</w:t>
      </w:r>
      <w:r w:rsidRPr="00553111">
        <w:rPr>
          <w:lang w:val="en" w:eastAsia="en-IN"/>
        </w:rPr>
        <w:t>.</w:t>
      </w:r>
    </w:p>
    <w:p w14:paraId="4827078F" w14:textId="79913CA0" w:rsidR="00553111" w:rsidRPr="00553111" w:rsidRDefault="00553111" w:rsidP="00B8043B">
      <w:pPr>
        <w:spacing w:line="360" w:lineRule="auto"/>
        <w:rPr>
          <w:lang w:val="en" w:eastAsia="en-IN"/>
        </w:rPr>
      </w:pPr>
      <w:r w:rsidRPr="00553111">
        <w:rPr>
          <w:b/>
          <w:bCs/>
          <w:i/>
          <w:iCs/>
          <w:lang w:val="en" w:eastAsia="en-IN"/>
        </w:rPr>
        <w:t>Stakeholder Engagement:</w:t>
      </w:r>
      <w:r w:rsidRPr="00553111">
        <w:rPr>
          <w:lang w:val="en" w:eastAsia="en-IN"/>
        </w:rPr>
        <w:t xml:space="preserve"> </w:t>
      </w:r>
      <w:r w:rsidRPr="00B8043B">
        <w:rPr>
          <w:rFonts w:ascii="Arial" w:hAnsi="Arial"/>
          <w:lang w:val="en" w:eastAsia="en-IN"/>
        </w:rPr>
        <w:t xml:space="preserve">As part of its self-evaluation procedure, the lodge interacts with quite a few stakeholders, along with </w:t>
      </w:r>
      <w:r w:rsidR="005F5329" w:rsidRPr="00B8043B">
        <w:rPr>
          <w:rFonts w:ascii="Arial" w:hAnsi="Arial"/>
          <w:lang w:val="en" w:eastAsia="en-IN"/>
        </w:rPr>
        <w:t xml:space="preserve">a </w:t>
      </w:r>
      <w:r w:rsidRPr="00B8043B">
        <w:rPr>
          <w:rFonts w:ascii="Arial" w:hAnsi="Arial"/>
          <w:lang w:val="en" w:eastAsia="en-IN"/>
        </w:rPr>
        <w:t xml:space="preserve">team of workers members, site visitors, suppliers, and </w:t>
      </w:r>
      <w:r w:rsidR="005F5329" w:rsidRPr="00B8043B">
        <w:rPr>
          <w:rFonts w:ascii="Arial" w:hAnsi="Arial"/>
          <w:lang w:val="en" w:eastAsia="en-IN"/>
        </w:rPr>
        <w:t>neighbourhood</w:t>
      </w:r>
      <w:r w:rsidRPr="00B8043B">
        <w:rPr>
          <w:rFonts w:ascii="Arial" w:hAnsi="Arial"/>
          <w:lang w:val="en" w:eastAsia="en-IN"/>
        </w:rPr>
        <w:t xml:space="preserve"> groups. When determining areas for development and evaluating the success of sustainability initiatives, feedback and input from numerous stakeholders are taken into account</w:t>
      </w:r>
      <w:r w:rsidR="00EA0E15" w:rsidRPr="00B8043B">
        <w:rPr>
          <w:rFonts w:ascii="Arial" w:hAnsi="Arial"/>
          <w:lang w:val="en" w:eastAsia="en-IN"/>
        </w:rPr>
        <w:t xml:space="preserve"> (</w:t>
      </w:r>
      <w:r w:rsidR="00EA0E15" w:rsidRPr="00B8043B">
        <w:rPr>
          <w:rFonts w:ascii="Arial" w:hAnsi="Arial"/>
          <w:shd w:val="clear" w:color="auto" w:fill="FFFFFF"/>
        </w:rPr>
        <w:t>Adamkiewicz et al., 2022</w:t>
      </w:r>
      <w:r w:rsidR="00EA0E15">
        <w:rPr>
          <w:shd w:val="clear" w:color="auto" w:fill="FFFFFF"/>
        </w:rPr>
        <w:t>)</w:t>
      </w:r>
      <w:r w:rsidRPr="00553111">
        <w:rPr>
          <w:lang w:val="en" w:eastAsia="en-IN"/>
        </w:rPr>
        <w:t>.</w:t>
      </w:r>
    </w:p>
    <w:p w14:paraId="1C59CEBF" w14:textId="0AA14790" w:rsidR="00553111" w:rsidRPr="00B8043B" w:rsidRDefault="00553111" w:rsidP="00B8043B">
      <w:pPr>
        <w:spacing w:line="360" w:lineRule="auto"/>
        <w:rPr>
          <w:rFonts w:ascii="Arial" w:hAnsi="Arial"/>
          <w:lang w:val="en" w:eastAsia="en-IN"/>
        </w:rPr>
      </w:pPr>
      <w:r w:rsidRPr="00553111">
        <w:rPr>
          <w:b/>
          <w:bCs/>
          <w:i/>
          <w:iCs/>
          <w:lang w:val="en" w:eastAsia="en-IN"/>
        </w:rPr>
        <w:t>Comparing and Benchmarking:</w:t>
      </w:r>
      <w:r w:rsidRPr="00553111">
        <w:rPr>
          <w:lang w:val="en" w:eastAsia="en-IN"/>
        </w:rPr>
        <w:t xml:space="preserve"> </w:t>
      </w:r>
      <w:r w:rsidRPr="00B8043B">
        <w:rPr>
          <w:rFonts w:ascii="Arial" w:hAnsi="Arial"/>
          <w:lang w:val="en" w:eastAsia="en-IN"/>
        </w:rPr>
        <w:t>The Green House measures its sustainability performance towards similar institutions, industry requirements, and high-quality practices. This allows the lodge to determine satisfactory practices, assess its own overall performance in comparison, and establish dreams for development</w:t>
      </w:r>
      <w:r w:rsidR="00EA0E15" w:rsidRPr="00B8043B">
        <w:rPr>
          <w:rFonts w:ascii="Arial" w:hAnsi="Arial"/>
          <w:lang w:val="en" w:eastAsia="en-IN"/>
        </w:rPr>
        <w:t xml:space="preserve"> (</w:t>
      </w:r>
      <w:r w:rsidR="00EA0E15" w:rsidRPr="00B8043B">
        <w:rPr>
          <w:rFonts w:ascii="Arial" w:hAnsi="Arial"/>
          <w:shd w:val="clear" w:color="auto" w:fill="FFFFFF"/>
        </w:rPr>
        <w:t>Torelli et al., 2020)</w:t>
      </w:r>
      <w:r w:rsidRPr="00B8043B">
        <w:rPr>
          <w:rFonts w:ascii="Arial" w:hAnsi="Arial"/>
          <w:lang w:val="en" w:eastAsia="en-IN"/>
        </w:rPr>
        <w:t>.</w:t>
      </w:r>
    </w:p>
    <w:p w14:paraId="3C5D280A" w14:textId="4C90F28C" w:rsidR="00553111" w:rsidRPr="004E6487" w:rsidRDefault="00553111" w:rsidP="004E6487">
      <w:pPr>
        <w:spacing w:line="360" w:lineRule="auto"/>
        <w:rPr>
          <w:rFonts w:ascii="Arial" w:hAnsi="Arial"/>
          <w:lang w:val="en" w:eastAsia="en-IN"/>
        </w:rPr>
      </w:pPr>
      <w:r w:rsidRPr="00553111">
        <w:rPr>
          <w:b/>
          <w:bCs/>
          <w:i/>
          <w:iCs/>
          <w:lang w:val="en" w:eastAsia="en-IN"/>
        </w:rPr>
        <w:lastRenderedPageBreak/>
        <w:t>Constant Improvement:</w:t>
      </w:r>
      <w:r w:rsidRPr="00553111">
        <w:rPr>
          <w:lang w:val="en" w:eastAsia="en-IN"/>
        </w:rPr>
        <w:t xml:space="preserve"> </w:t>
      </w:r>
      <w:r w:rsidRPr="004E6487">
        <w:rPr>
          <w:rFonts w:ascii="Arial" w:hAnsi="Arial"/>
          <w:lang w:val="en" w:eastAsia="en-IN"/>
        </w:rPr>
        <w:t xml:space="preserve">At The Green House, self-evaluation is a chronic process that aims to sell continuous improvement in environmental overall performance in preference to just a one-time occasion. The motel </w:t>
      </w:r>
      <w:r w:rsidR="005F5329" w:rsidRPr="004E6487">
        <w:rPr>
          <w:rFonts w:ascii="Arial" w:hAnsi="Arial"/>
          <w:lang w:val="en" w:eastAsia="en-IN"/>
        </w:rPr>
        <w:t>focuses</w:t>
      </w:r>
      <w:r w:rsidRPr="004E6487">
        <w:rPr>
          <w:rFonts w:ascii="Arial" w:hAnsi="Arial"/>
          <w:lang w:val="en" w:eastAsia="en-IN"/>
        </w:rPr>
        <w:t xml:space="preserve"> on new developments and moving priorities </w:t>
      </w:r>
      <w:r w:rsidR="005F5329" w:rsidRPr="004E6487">
        <w:rPr>
          <w:rFonts w:ascii="Arial" w:hAnsi="Arial"/>
          <w:lang w:val="en" w:eastAsia="en-IN"/>
        </w:rPr>
        <w:t>using</w:t>
      </w:r>
      <w:r w:rsidRPr="004E6487">
        <w:rPr>
          <w:rFonts w:ascii="Arial" w:hAnsi="Arial"/>
          <w:lang w:val="en" w:eastAsia="en-IN"/>
        </w:rPr>
        <w:t xml:space="preserve"> periodically reviewing and enhancing its sustainability objectives, techniques, and movement plans.</w:t>
      </w:r>
    </w:p>
    <w:p w14:paraId="5CD5D961" w14:textId="2A5BEAF6" w:rsidR="00553111" w:rsidRPr="004E6487" w:rsidRDefault="00553111" w:rsidP="004E6487">
      <w:pPr>
        <w:spacing w:line="360" w:lineRule="auto"/>
        <w:rPr>
          <w:rFonts w:ascii="Arial" w:hAnsi="Arial"/>
          <w:lang w:val="en" w:eastAsia="en-IN"/>
        </w:rPr>
      </w:pPr>
      <w:r w:rsidRPr="00553111">
        <w:rPr>
          <w:b/>
          <w:bCs/>
          <w:i/>
          <w:iCs/>
          <w:lang w:val="en" w:eastAsia="en-IN"/>
        </w:rPr>
        <w:t>Transparency and Reporting:</w:t>
      </w:r>
      <w:r w:rsidRPr="00553111">
        <w:rPr>
          <w:lang w:val="en" w:eastAsia="en-IN"/>
        </w:rPr>
        <w:t xml:space="preserve"> </w:t>
      </w:r>
      <w:r w:rsidRPr="004E6487">
        <w:rPr>
          <w:rFonts w:ascii="Arial" w:hAnsi="Arial"/>
          <w:lang w:val="en" w:eastAsia="en-IN"/>
        </w:rPr>
        <w:t xml:space="preserve">The Green House uses </w:t>
      </w:r>
      <w:r w:rsidR="005F5329" w:rsidRPr="004E6487">
        <w:rPr>
          <w:rFonts w:ascii="Arial" w:hAnsi="Arial"/>
          <w:lang w:val="en" w:eastAsia="en-IN"/>
        </w:rPr>
        <w:t>some</w:t>
      </w:r>
      <w:r w:rsidRPr="004E6487">
        <w:rPr>
          <w:rFonts w:ascii="Arial" w:hAnsi="Arial"/>
          <w:lang w:val="en" w:eastAsia="en-IN"/>
        </w:rPr>
        <w:t xml:space="preserve"> channels, including sustainability reviews and website disclosures, to brazenly percentage with stakeholders the effects of its self-opinions. This ensures responsibility and shows the lodge's willpower to transparency and honesty in its environmental projects</w:t>
      </w:r>
      <w:r w:rsidR="00EA0E15" w:rsidRPr="004E6487">
        <w:rPr>
          <w:rFonts w:ascii="Arial" w:hAnsi="Arial"/>
          <w:lang w:val="en" w:eastAsia="en-IN"/>
        </w:rPr>
        <w:t xml:space="preserve"> (</w:t>
      </w:r>
      <w:r w:rsidR="00EA0E15" w:rsidRPr="004E6487">
        <w:rPr>
          <w:rFonts w:ascii="Arial" w:hAnsi="Arial"/>
          <w:shd w:val="clear" w:color="auto" w:fill="FFFFFF"/>
        </w:rPr>
        <w:t>Pizzetti et al., 2021)</w:t>
      </w:r>
      <w:r w:rsidRPr="004E6487">
        <w:rPr>
          <w:rFonts w:ascii="Arial" w:hAnsi="Arial"/>
          <w:lang w:val="en" w:eastAsia="en-IN"/>
        </w:rPr>
        <w:t>.</w:t>
      </w:r>
    </w:p>
    <w:p w14:paraId="375AD582" w14:textId="13013E99" w:rsidR="00553111" w:rsidRPr="00553111" w:rsidRDefault="00553111" w:rsidP="004E6487">
      <w:pPr>
        <w:spacing w:line="360" w:lineRule="auto"/>
        <w:rPr>
          <w:lang w:val="en" w:eastAsia="en-IN"/>
        </w:rPr>
      </w:pPr>
      <w:r w:rsidRPr="00553111">
        <w:rPr>
          <w:b/>
          <w:bCs/>
          <w:i/>
          <w:iCs/>
          <w:lang w:val="en" w:eastAsia="en-IN"/>
        </w:rPr>
        <w:t>External Validation:</w:t>
      </w:r>
      <w:r w:rsidRPr="00553111">
        <w:rPr>
          <w:lang w:val="en" w:eastAsia="en-IN"/>
        </w:rPr>
        <w:t xml:space="preserve"> </w:t>
      </w:r>
      <w:r w:rsidRPr="004E6487">
        <w:rPr>
          <w:rFonts w:ascii="Arial" w:hAnsi="Arial"/>
          <w:lang w:val="en" w:eastAsia="en-IN"/>
        </w:rPr>
        <w:t>The lodge may additionally pursue outside validation through independent audits, certifications, and 1/3-birthday party exams to bolster credibility and assure the rigour of its sustainability practices, even though self-evaluation is the cornerstone of The Green House's sustainability assessment method.</w:t>
      </w:r>
    </w:p>
    <w:p w14:paraId="26325694" w14:textId="11939A90" w:rsidR="00784EB4" w:rsidRDefault="00784EB4" w:rsidP="00777558">
      <w:pPr>
        <w:pStyle w:val="Titlu1"/>
      </w:pPr>
      <w:r w:rsidRPr="00784EB4">
        <w:t>Motivations for Self-Evaluation</w:t>
      </w:r>
    </w:p>
    <w:p w14:paraId="758B5D0B" w14:textId="77777777" w:rsidR="00466ABD" w:rsidRPr="00466ABD" w:rsidRDefault="00466ABD" w:rsidP="004E6487">
      <w:pPr>
        <w:spacing w:line="360" w:lineRule="auto"/>
        <w:rPr>
          <w:lang w:val="en" w:eastAsia="en-IN"/>
        </w:rPr>
      </w:pPr>
      <w:r w:rsidRPr="00466ABD">
        <w:rPr>
          <w:b/>
          <w:bCs/>
          <w:i/>
          <w:iCs/>
          <w:lang w:val="en" w:eastAsia="en-IN"/>
        </w:rPr>
        <w:t>Performance Monitoring:</w:t>
      </w:r>
      <w:r w:rsidRPr="00466ABD">
        <w:rPr>
          <w:lang w:val="en" w:eastAsia="en-IN"/>
        </w:rPr>
        <w:t xml:space="preserve"> </w:t>
      </w:r>
      <w:r w:rsidRPr="004E6487">
        <w:rPr>
          <w:rFonts w:ascii="Arial" w:hAnsi="Arial"/>
          <w:lang w:val="en" w:eastAsia="en-IN"/>
        </w:rPr>
        <w:t>Through self-evaluation, businesses might also hold an eye fixed on how they are doing in terms of monetary, operational, and strategic goals, amongst different regions in their enterprise. Through regular evaluation of their overall performance measures, businesses may screen improvements, spot styles, and determine how properly they are carrying out corporate targets.</w:t>
      </w:r>
    </w:p>
    <w:p w14:paraId="7E7D6634" w14:textId="0CA62CB2" w:rsidR="00466ABD" w:rsidRPr="004E6487" w:rsidRDefault="00466ABD" w:rsidP="004E6487">
      <w:pPr>
        <w:spacing w:line="360" w:lineRule="auto"/>
        <w:rPr>
          <w:rFonts w:ascii="Arial" w:hAnsi="Arial"/>
          <w:lang w:val="en" w:eastAsia="en-IN"/>
        </w:rPr>
      </w:pPr>
      <w:r w:rsidRPr="00466ABD">
        <w:rPr>
          <w:b/>
          <w:bCs/>
          <w:i/>
          <w:iCs/>
          <w:lang w:val="en" w:eastAsia="en-IN"/>
        </w:rPr>
        <w:t>Finding Strengths and shortcomings:</w:t>
      </w:r>
      <w:r w:rsidRPr="00466ABD">
        <w:rPr>
          <w:lang w:val="en" w:eastAsia="en-IN"/>
        </w:rPr>
        <w:t xml:space="preserve"> </w:t>
      </w:r>
      <w:r w:rsidRPr="004E6487">
        <w:rPr>
          <w:rFonts w:ascii="Arial" w:hAnsi="Arial"/>
          <w:lang w:val="en" w:eastAsia="en-IN"/>
        </w:rPr>
        <w:t xml:space="preserve">Self-assessment assists groups in recognising their strengths and shortcomings, letting them construct their sturdy points and enhance their awful ones. Companies might also identify precise regions wherein they perform nicely and areas where they are probably lacking through this introspective method, which ends up in </w:t>
      </w:r>
      <w:r w:rsidR="005F5329" w:rsidRPr="004E6487">
        <w:rPr>
          <w:rFonts w:ascii="Arial" w:hAnsi="Arial"/>
          <w:lang w:val="en" w:eastAsia="en-IN"/>
        </w:rPr>
        <w:t>extra-centred</w:t>
      </w:r>
      <w:r w:rsidRPr="004E6487">
        <w:rPr>
          <w:rFonts w:ascii="Arial" w:hAnsi="Arial"/>
          <w:lang w:val="en" w:eastAsia="en-IN"/>
        </w:rPr>
        <w:t xml:space="preserve"> boost and development projects</w:t>
      </w:r>
      <w:r w:rsidR="00EA0E15" w:rsidRPr="004E6487">
        <w:rPr>
          <w:rFonts w:ascii="Arial" w:hAnsi="Arial"/>
          <w:lang w:val="en" w:eastAsia="en-IN"/>
        </w:rPr>
        <w:t xml:space="preserve"> (</w:t>
      </w:r>
      <w:r w:rsidR="00EA0E15" w:rsidRPr="004E6487">
        <w:rPr>
          <w:rFonts w:ascii="Arial" w:hAnsi="Arial"/>
          <w:shd w:val="clear" w:color="auto" w:fill="FFFFFF"/>
        </w:rPr>
        <w:t>Gregory, 2023)</w:t>
      </w:r>
      <w:r w:rsidRPr="004E6487">
        <w:rPr>
          <w:rFonts w:ascii="Arial" w:hAnsi="Arial"/>
          <w:lang w:val="en" w:eastAsia="en-IN"/>
        </w:rPr>
        <w:t>.</w:t>
      </w:r>
    </w:p>
    <w:p w14:paraId="2BC6D8CB" w14:textId="40866EE8" w:rsidR="00466ABD" w:rsidRPr="00466ABD" w:rsidRDefault="00466ABD" w:rsidP="00466ABD">
      <w:pPr>
        <w:rPr>
          <w:lang w:val="en" w:eastAsia="en-IN"/>
        </w:rPr>
      </w:pPr>
      <w:r w:rsidRPr="00466ABD">
        <w:rPr>
          <w:b/>
          <w:bCs/>
          <w:i/>
          <w:iCs/>
          <w:lang w:val="en" w:eastAsia="en-IN"/>
        </w:rPr>
        <w:t>Encouraging Decision-Making:</w:t>
      </w:r>
      <w:r w:rsidRPr="00466ABD">
        <w:rPr>
          <w:lang w:val="en" w:eastAsia="en-IN"/>
        </w:rPr>
        <w:t xml:space="preserve"> </w:t>
      </w:r>
      <w:r w:rsidRPr="004E6487">
        <w:rPr>
          <w:rFonts w:ascii="Arial" w:hAnsi="Arial"/>
          <w:lang w:val="en" w:eastAsia="en-IN"/>
        </w:rPr>
        <w:t xml:space="preserve">Self-assessment offers agencies insightful methods based on statistics that could help them make higher choices. Companies </w:t>
      </w:r>
      <w:r w:rsidR="005F5329" w:rsidRPr="004E6487">
        <w:rPr>
          <w:rFonts w:ascii="Arial" w:hAnsi="Arial"/>
          <w:lang w:val="en" w:eastAsia="en-IN"/>
        </w:rPr>
        <w:t>can</w:t>
      </w:r>
      <w:r w:rsidRPr="004E6487">
        <w:rPr>
          <w:rFonts w:ascii="Arial" w:hAnsi="Arial"/>
          <w:lang w:val="en" w:eastAsia="en-IN"/>
        </w:rPr>
        <w:t xml:space="preserve"> make higher choices on the allocation of resources, strategic direction, and operational priorities by inspecting overall performance records and the outcomes of previous selections</w:t>
      </w:r>
      <w:r w:rsidRPr="00466ABD">
        <w:rPr>
          <w:lang w:val="en" w:eastAsia="en-IN"/>
        </w:rPr>
        <w:t>.</w:t>
      </w:r>
    </w:p>
    <w:p w14:paraId="0677BFFD" w14:textId="6E502F80" w:rsidR="00466ABD" w:rsidRPr="004E6487" w:rsidRDefault="00466ABD" w:rsidP="004E6487">
      <w:pPr>
        <w:spacing w:line="360" w:lineRule="auto"/>
        <w:rPr>
          <w:rFonts w:ascii="Arial" w:hAnsi="Arial"/>
          <w:lang w:val="en" w:eastAsia="en-IN"/>
        </w:rPr>
      </w:pPr>
      <w:r w:rsidRPr="00466ABD">
        <w:rPr>
          <w:b/>
          <w:bCs/>
          <w:i/>
          <w:iCs/>
          <w:lang w:val="en" w:eastAsia="en-IN"/>
        </w:rPr>
        <w:lastRenderedPageBreak/>
        <w:t>Risk control:</w:t>
      </w:r>
      <w:r w:rsidRPr="00466ABD">
        <w:rPr>
          <w:lang w:val="en" w:eastAsia="en-IN"/>
        </w:rPr>
        <w:t xml:space="preserve"> </w:t>
      </w:r>
      <w:r w:rsidRPr="004E6487">
        <w:rPr>
          <w:rFonts w:ascii="Arial" w:hAnsi="Arial"/>
          <w:lang w:val="en" w:eastAsia="en-IN"/>
        </w:rPr>
        <w:t xml:space="preserve">Businesses may additionally proactively become aware of possible dangers and weaknesses of their operations </w:t>
      </w:r>
      <w:r w:rsidR="005F5329" w:rsidRPr="004E6487">
        <w:rPr>
          <w:rFonts w:ascii="Arial" w:hAnsi="Arial"/>
          <w:lang w:val="en" w:eastAsia="en-IN"/>
        </w:rPr>
        <w:t>using</w:t>
      </w:r>
      <w:r w:rsidRPr="004E6487">
        <w:rPr>
          <w:rFonts w:ascii="Arial" w:hAnsi="Arial"/>
          <w:lang w:val="en" w:eastAsia="en-IN"/>
        </w:rPr>
        <w:t xml:space="preserve"> carrying out a self-assessment. Defending against damaging occurrences and </w:t>
      </w:r>
      <w:r w:rsidR="005F5329" w:rsidRPr="004E6487">
        <w:rPr>
          <w:rFonts w:ascii="Arial" w:hAnsi="Arial"/>
          <w:lang w:val="en" w:eastAsia="en-IN"/>
        </w:rPr>
        <w:t>holding</w:t>
      </w:r>
      <w:r w:rsidRPr="004E6487">
        <w:rPr>
          <w:rFonts w:ascii="Arial" w:hAnsi="Arial"/>
          <w:lang w:val="en" w:eastAsia="en-IN"/>
        </w:rPr>
        <w:t xml:space="preserve"> their interests, organisations may additionally create hazard mitigation plans by comparing inner approaches, regulatory compliance, and external market conditions</w:t>
      </w:r>
      <w:r w:rsidR="00EA0E15" w:rsidRPr="004E6487">
        <w:rPr>
          <w:rFonts w:ascii="Arial" w:hAnsi="Arial"/>
          <w:lang w:val="en" w:eastAsia="en-IN"/>
        </w:rPr>
        <w:t xml:space="preserve"> (</w:t>
      </w:r>
      <w:r w:rsidR="00EA0E15" w:rsidRPr="004E6487">
        <w:rPr>
          <w:rFonts w:ascii="Arial" w:hAnsi="Arial"/>
          <w:shd w:val="clear" w:color="auto" w:fill="FFFFFF"/>
        </w:rPr>
        <w:t>Pimonenko et al., 2020)</w:t>
      </w:r>
      <w:r w:rsidRPr="004E6487">
        <w:rPr>
          <w:rFonts w:ascii="Arial" w:hAnsi="Arial"/>
          <w:lang w:val="en" w:eastAsia="en-IN"/>
        </w:rPr>
        <w:t>.</w:t>
      </w:r>
    </w:p>
    <w:p w14:paraId="3B0CF107" w14:textId="4C12CB23" w:rsidR="00466ABD" w:rsidRPr="00466ABD" w:rsidRDefault="00466ABD" w:rsidP="004E6487">
      <w:pPr>
        <w:spacing w:line="360" w:lineRule="auto"/>
        <w:rPr>
          <w:lang w:val="en" w:eastAsia="en-IN"/>
        </w:rPr>
      </w:pPr>
      <w:r w:rsidRPr="00466ABD">
        <w:rPr>
          <w:b/>
          <w:bCs/>
          <w:i/>
          <w:iCs/>
          <w:lang w:val="en" w:eastAsia="en-IN"/>
        </w:rPr>
        <w:t xml:space="preserve">Continuous Improvement: </w:t>
      </w:r>
      <w:r w:rsidRPr="004E6487">
        <w:rPr>
          <w:rFonts w:ascii="Arial" w:hAnsi="Arial"/>
          <w:lang w:val="en" w:eastAsia="en-IN"/>
        </w:rPr>
        <w:t xml:space="preserve">Self-evaluation helps businesses create a tradition of continuous development by way of motivating </w:t>
      </w:r>
      <w:r w:rsidR="005F5329" w:rsidRPr="004E6487">
        <w:rPr>
          <w:rFonts w:ascii="Arial" w:hAnsi="Arial"/>
          <w:lang w:val="en" w:eastAsia="en-IN"/>
        </w:rPr>
        <w:t>several</w:t>
      </w:r>
      <w:r w:rsidRPr="004E6487">
        <w:rPr>
          <w:rFonts w:ascii="Arial" w:hAnsi="Arial"/>
          <w:lang w:val="en" w:eastAsia="en-IN"/>
        </w:rPr>
        <w:t xml:space="preserve"> workers and participants to aim for innovation and excellence. Companies may also foresee new trends, stay in advance of the opposition, and react to converting marketplace dynamics by automatically comparing their overall performance and looking for possibilities for development</w:t>
      </w:r>
      <w:r w:rsidRPr="00466ABD">
        <w:rPr>
          <w:lang w:val="en" w:eastAsia="en-IN"/>
        </w:rPr>
        <w:t>.</w:t>
      </w:r>
    </w:p>
    <w:p w14:paraId="7A876225" w14:textId="1AAC1EEA" w:rsidR="00466ABD" w:rsidRPr="004E6487" w:rsidRDefault="00466ABD" w:rsidP="004E6487">
      <w:pPr>
        <w:spacing w:line="360" w:lineRule="auto"/>
        <w:rPr>
          <w:rFonts w:ascii="Arial" w:hAnsi="Arial"/>
          <w:lang w:val="en" w:eastAsia="en-IN"/>
        </w:rPr>
      </w:pPr>
      <w:r w:rsidRPr="00466ABD">
        <w:rPr>
          <w:b/>
          <w:bCs/>
          <w:i/>
          <w:iCs/>
          <w:lang w:val="en" w:eastAsia="en-IN"/>
        </w:rPr>
        <w:t>Increasing Accountability:</w:t>
      </w:r>
      <w:r w:rsidRPr="00466ABD">
        <w:rPr>
          <w:lang w:val="en" w:eastAsia="en-IN"/>
        </w:rPr>
        <w:t xml:space="preserve"> </w:t>
      </w:r>
      <w:r w:rsidRPr="004E6487">
        <w:rPr>
          <w:rFonts w:ascii="Arial" w:hAnsi="Arial"/>
          <w:lang w:val="en" w:eastAsia="en-IN"/>
        </w:rPr>
        <w:t>Through making people and teams liable for their actions, self-evaluation encourages duty and openness inside businesses. Establishing unambiguous overall performance measurements and assessment standards helps foster an accountable tradition of interior businesses, encouraging people to take obligation for people's work and aim for excellence</w:t>
      </w:r>
      <w:r w:rsidR="00EA0E15" w:rsidRPr="004E6487">
        <w:rPr>
          <w:rFonts w:ascii="Arial" w:hAnsi="Arial"/>
          <w:lang w:val="en" w:eastAsia="en-IN"/>
        </w:rPr>
        <w:t xml:space="preserve"> (</w:t>
      </w:r>
      <w:r w:rsidR="00EA0E15" w:rsidRPr="004E6487">
        <w:rPr>
          <w:rFonts w:ascii="Arial" w:hAnsi="Arial"/>
          <w:shd w:val="clear" w:color="auto" w:fill="FFFFFF"/>
        </w:rPr>
        <w:t>Ferrón</w:t>
      </w:r>
      <w:r w:rsidR="00EA0E15" w:rsidRPr="004E6487">
        <w:rPr>
          <w:rFonts w:ascii="Cambria Math" w:hAnsi="Cambria Math" w:cs="Cambria Math"/>
          <w:shd w:val="clear" w:color="auto" w:fill="FFFFFF"/>
        </w:rPr>
        <w:t>‐</w:t>
      </w:r>
      <w:r w:rsidR="00EA0E15" w:rsidRPr="004E6487">
        <w:rPr>
          <w:rFonts w:ascii="Arial" w:hAnsi="Arial"/>
          <w:shd w:val="clear" w:color="auto" w:fill="FFFFFF"/>
        </w:rPr>
        <w:t>Vílchez et al., 2021)</w:t>
      </w:r>
      <w:r w:rsidRPr="004E6487">
        <w:rPr>
          <w:rFonts w:ascii="Arial" w:hAnsi="Arial"/>
          <w:lang w:val="en" w:eastAsia="en-IN"/>
        </w:rPr>
        <w:t>.</w:t>
      </w:r>
    </w:p>
    <w:p w14:paraId="3C00668D" w14:textId="20FABADE" w:rsidR="00784EB4" w:rsidRDefault="00784EB4" w:rsidP="00777558">
      <w:pPr>
        <w:pStyle w:val="Titlu1"/>
      </w:pPr>
      <w:r w:rsidRPr="00784EB4">
        <w:t>Use of 'Green' Technology</w:t>
      </w:r>
      <w:r w:rsidR="00777558">
        <w:t xml:space="preserve"> in The Green House</w:t>
      </w:r>
    </w:p>
    <w:p w14:paraId="5C51123F" w14:textId="0DD3FB4B" w:rsidR="00466ABD" w:rsidRPr="00466ABD" w:rsidRDefault="00466ABD" w:rsidP="004E6487">
      <w:pPr>
        <w:spacing w:line="360" w:lineRule="auto"/>
        <w:rPr>
          <w:lang w:val="en" w:eastAsia="en-IN"/>
        </w:rPr>
      </w:pPr>
      <w:r w:rsidRPr="00466ABD">
        <w:rPr>
          <w:b/>
          <w:bCs/>
          <w:i/>
          <w:iCs/>
          <w:lang w:val="en" w:eastAsia="en-IN"/>
        </w:rPr>
        <w:t>Adoption of Renewable Energy Sources:</w:t>
      </w:r>
      <w:r w:rsidRPr="00466ABD">
        <w:rPr>
          <w:lang w:val="en" w:eastAsia="en-IN"/>
        </w:rPr>
        <w:t xml:space="preserve"> </w:t>
      </w:r>
      <w:r w:rsidRPr="004E6487">
        <w:rPr>
          <w:rFonts w:ascii="Arial" w:hAnsi="Arial"/>
          <w:lang w:val="en" w:eastAsia="en-IN"/>
        </w:rPr>
        <w:t xml:space="preserve">The Green House uses renewable strength sources, such </w:t>
      </w:r>
      <w:r w:rsidR="005F5329" w:rsidRPr="004E6487">
        <w:rPr>
          <w:rFonts w:ascii="Arial" w:hAnsi="Arial"/>
          <w:lang w:val="en" w:eastAsia="en-IN"/>
        </w:rPr>
        <w:t xml:space="preserve">as </w:t>
      </w:r>
      <w:r w:rsidRPr="004E6487">
        <w:rPr>
          <w:rFonts w:ascii="Arial" w:hAnsi="Arial"/>
          <w:lang w:val="en" w:eastAsia="en-IN"/>
        </w:rPr>
        <w:t>wind turbines and solar panels, to energy its activities, incorporating inexperienced technology. When compared to traditional fossil fuels, those renewable power resources offer electricity with lesser carbon emissions, which lessens their effect on the surroundings</w:t>
      </w:r>
      <w:r w:rsidRPr="00466ABD">
        <w:rPr>
          <w:lang w:val="en" w:eastAsia="en-IN"/>
        </w:rPr>
        <w:t>.</w:t>
      </w:r>
    </w:p>
    <w:p w14:paraId="2D35D840" w14:textId="36DF8DB6" w:rsidR="00466ABD" w:rsidRPr="00466ABD" w:rsidRDefault="00466ABD" w:rsidP="004E6487">
      <w:pPr>
        <w:spacing w:line="360" w:lineRule="auto"/>
        <w:rPr>
          <w:lang w:val="en" w:eastAsia="en-IN"/>
        </w:rPr>
      </w:pPr>
      <w:r w:rsidRPr="00466ABD">
        <w:rPr>
          <w:b/>
          <w:bCs/>
          <w:i/>
          <w:iCs/>
          <w:lang w:val="en" w:eastAsia="en-IN"/>
        </w:rPr>
        <w:t>Energy-saving measures:</w:t>
      </w:r>
      <w:r w:rsidRPr="00466ABD">
        <w:rPr>
          <w:lang w:val="en" w:eastAsia="en-IN"/>
        </w:rPr>
        <w:t xml:space="preserve"> </w:t>
      </w:r>
      <w:r w:rsidRPr="004E6487">
        <w:rPr>
          <w:rFonts w:ascii="Arial" w:hAnsi="Arial"/>
          <w:lang w:val="en" w:eastAsia="en-IN"/>
        </w:rPr>
        <w:t xml:space="preserve">LED lights, smart thermostats, and high-performance home equipment are only a few of the innovations the inn has included </w:t>
      </w:r>
      <w:r w:rsidR="005F5329" w:rsidRPr="004E6487">
        <w:rPr>
          <w:rFonts w:ascii="Arial" w:hAnsi="Arial"/>
          <w:lang w:val="en" w:eastAsia="en-IN"/>
        </w:rPr>
        <w:t>in</w:t>
      </w:r>
      <w:r w:rsidRPr="004E6487">
        <w:rPr>
          <w:rFonts w:ascii="Arial" w:hAnsi="Arial"/>
          <w:lang w:val="en" w:eastAsia="en-IN"/>
        </w:rPr>
        <w:t xml:space="preserve"> its areas. These technologies reduce energy consumption and operating expenses by maintaining or enhancing overall performance whilst using much less strength</w:t>
      </w:r>
      <w:r w:rsidR="00EA0E15" w:rsidRPr="004E6487">
        <w:rPr>
          <w:rFonts w:ascii="Arial" w:hAnsi="Arial"/>
          <w:lang w:val="en" w:eastAsia="en-IN"/>
        </w:rPr>
        <w:t xml:space="preserve"> (</w:t>
      </w:r>
      <w:r w:rsidR="00EA0E15" w:rsidRPr="004E6487">
        <w:rPr>
          <w:rFonts w:ascii="Arial" w:hAnsi="Arial"/>
          <w:shd w:val="clear" w:color="auto" w:fill="FFFFFF"/>
        </w:rPr>
        <w:t>Ghitti al., 2023</w:t>
      </w:r>
      <w:r w:rsidR="004E6487" w:rsidRPr="004E6487">
        <w:rPr>
          <w:rFonts w:ascii="Arial" w:hAnsi="Arial"/>
          <w:shd w:val="clear" w:color="auto" w:fill="FFFFFF"/>
        </w:rPr>
        <w:t xml:space="preserve"> et</w:t>
      </w:r>
      <w:r w:rsidR="00EA0E15" w:rsidRPr="004E6487">
        <w:rPr>
          <w:rFonts w:ascii="Arial" w:hAnsi="Arial"/>
          <w:shd w:val="clear" w:color="auto" w:fill="FFFFFF"/>
        </w:rPr>
        <w:t>)</w:t>
      </w:r>
      <w:r w:rsidRPr="004E6487">
        <w:rPr>
          <w:rFonts w:ascii="Arial" w:hAnsi="Arial"/>
          <w:lang w:val="en" w:eastAsia="en-IN"/>
        </w:rPr>
        <w:t>.</w:t>
      </w:r>
    </w:p>
    <w:p w14:paraId="05B5CF2B" w14:textId="2372F446" w:rsidR="00466ABD" w:rsidRPr="00466ABD" w:rsidRDefault="00466ABD" w:rsidP="004E6487">
      <w:pPr>
        <w:spacing w:line="360" w:lineRule="auto"/>
        <w:rPr>
          <w:lang w:val="en" w:eastAsia="en-IN"/>
        </w:rPr>
      </w:pPr>
      <w:r w:rsidRPr="00466ABD">
        <w:rPr>
          <w:b/>
          <w:bCs/>
          <w:i/>
          <w:iCs/>
          <w:lang w:val="en" w:eastAsia="en-IN"/>
        </w:rPr>
        <w:t>Water Conservation Technologies:</w:t>
      </w:r>
      <w:r w:rsidRPr="00466ABD">
        <w:rPr>
          <w:lang w:val="en" w:eastAsia="en-IN"/>
        </w:rPr>
        <w:t xml:space="preserve"> </w:t>
      </w:r>
      <w:r w:rsidRPr="004E6487">
        <w:rPr>
          <w:rFonts w:ascii="Arial" w:hAnsi="Arial"/>
          <w:lang w:val="en" w:eastAsia="en-IN"/>
        </w:rPr>
        <w:t xml:space="preserve">Low-glide plumbing furnishings, rainwater collection systems, and graywater recycling systems are just a few of the water-saving strategies utilized in The Green House. Particularly in areas </w:t>
      </w:r>
      <w:r w:rsidR="005F5329" w:rsidRPr="004E6487">
        <w:rPr>
          <w:rFonts w:ascii="Arial" w:hAnsi="Arial"/>
          <w:lang w:val="en" w:eastAsia="en-IN"/>
        </w:rPr>
        <w:t>where water scarcity is a concern, these technologies minimise the environmental impact of water use and reduce</w:t>
      </w:r>
      <w:r w:rsidRPr="004E6487">
        <w:rPr>
          <w:rFonts w:ascii="Arial" w:hAnsi="Arial"/>
          <w:lang w:val="en" w:eastAsia="en-IN"/>
        </w:rPr>
        <w:t xml:space="preserve"> water usage.</w:t>
      </w:r>
    </w:p>
    <w:p w14:paraId="2AD955C7" w14:textId="5E3636C1" w:rsidR="00466ABD" w:rsidRPr="004E6487" w:rsidRDefault="00466ABD" w:rsidP="004E6487">
      <w:pPr>
        <w:spacing w:line="360" w:lineRule="auto"/>
        <w:rPr>
          <w:rFonts w:ascii="Arial" w:hAnsi="Arial"/>
          <w:lang w:val="en" w:eastAsia="en-IN"/>
        </w:rPr>
      </w:pPr>
      <w:r w:rsidRPr="00466ABD">
        <w:rPr>
          <w:b/>
          <w:bCs/>
          <w:i/>
          <w:iCs/>
          <w:lang w:val="en" w:eastAsia="en-IN"/>
        </w:rPr>
        <w:lastRenderedPageBreak/>
        <w:t>Waste Management Solutions:</w:t>
      </w:r>
      <w:r w:rsidRPr="00466ABD">
        <w:rPr>
          <w:lang w:val="en" w:eastAsia="en-IN"/>
        </w:rPr>
        <w:t xml:space="preserve"> </w:t>
      </w:r>
      <w:r w:rsidRPr="004E6487">
        <w:rPr>
          <w:rFonts w:ascii="Arial" w:hAnsi="Arial"/>
          <w:lang w:val="en" w:eastAsia="en-IN"/>
        </w:rPr>
        <w:t>At The Green House, recycling programmes, composting systems, and waste-to-electricity conversion are all stepped forward by using the software of inexperienced generation. These technologies lessen environmental pollutants, encourage resource restoration, and make it simpler to divert rubbish from landfills</w:t>
      </w:r>
      <w:r w:rsidR="00EA0E15" w:rsidRPr="004E6487">
        <w:rPr>
          <w:rFonts w:ascii="Arial" w:hAnsi="Arial"/>
          <w:lang w:val="en" w:eastAsia="en-IN"/>
        </w:rPr>
        <w:t xml:space="preserve"> (</w:t>
      </w:r>
      <w:r w:rsidR="00EA0E15" w:rsidRPr="004E6487">
        <w:rPr>
          <w:rFonts w:ascii="Arial" w:hAnsi="Arial"/>
          <w:shd w:val="clear" w:color="auto" w:fill="FFFFFF"/>
        </w:rPr>
        <w:t>Ruiz-Blanco et al., 2022)</w:t>
      </w:r>
      <w:r w:rsidRPr="004E6487">
        <w:rPr>
          <w:rFonts w:ascii="Arial" w:hAnsi="Arial"/>
          <w:lang w:val="en" w:eastAsia="en-IN"/>
        </w:rPr>
        <w:t>.</w:t>
      </w:r>
    </w:p>
    <w:p w14:paraId="4DA55AE4" w14:textId="7FC20FE4" w:rsidR="00466ABD" w:rsidRPr="00466ABD" w:rsidRDefault="00466ABD" w:rsidP="004E6487">
      <w:pPr>
        <w:spacing w:line="360" w:lineRule="auto"/>
        <w:rPr>
          <w:lang w:val="en" w:eastAsia="en-IN"/>
        </w:rPr>
      </w:pPr>
      <w:r w:rsidRPr="00466ABD">
        <w:rPr>
          <w:b/>
          <w:bCs/>
          <w:i/>
          <w:iCs/>
          <w:lang w:val="en" w:eastAsia="en-IN"/>
        </w:rPr>
        <w:t xml:space="preserve">Lifetime Analysis: </w:t>
      </w:r>
      <w:r w:rsidRPr="004E6487">
        <w:rPr>
          <w:rFonts w:ascii="Arial" w:hAnsi="Arial"/>
          <w:lang w:val="en" w:eastAsia="en-IN"/>
        </w:rPr>
        <w:t xml:space="preserve">The Green House carries out lifetime analyses to look </w:t>
      </w:r>
      <w:r w:rsidR="005F5329" w:rsidRPr="004E6487">
        <w:rPr>
          <w:rFonts w:ascii="Arial" w:hAnsi="Arial"/>
          <w:lang w:val="en" w:eastAsia="en-IN"/>
        </w:rPr>
        <w:t xml:space="preserve">at </w:t>
      </w:r>
      <w:r w:rsidRPr="004E6487">
        <w:rPr>
          <w:rFonts w:ascii="Arial" w:hAnsi="Arial"/>
          <w:lang w:val="en" w:eastAsia="en-IN"/>
        </w:rPr>
        <w:t xml:space="preserve">how its technological choices, from production to disposal, will </w:t>
      </w:r>
      <w:r w:rsidR="005F5329" w:rsidRPr="004E6487">
        <w:rPr>
          <w:rFonts w:ascii="Arial" w:hAnsi="Arial"/>
          <w:lang w:val="en" w:eastAsia="en-IN"/>
        </w:rPr>
        <w:t>affect</w:t>
      </w:r>
      <w:r w:rsidRPr="004E6487">
        <w:rPr>
          <w:rFonts w:ascii="Arial" w:hAnsi="Arial"/>
          <w:lang w:val="en" w:eastAsia="en-IN"/>
        </w:rPr>
        <w:t xml:space="preserve"> the environment. The inn makes positive that its technological investments assist standard sustainability targets by taking into account variables including raw material extraction, production methods, transportation, and </w:t>
      </w:r>
      <w:r w:rsidR="005F5329" w:rsidRPr="004E6487">
        <w:rPr>
          <w:rFonts w:ascii="Arial" w:hAnsi="Arial"/>
          <w:lang w:val="en" w:eastAsia="en-IN"/>
        </w:rPr>
        <w:t>give-up-of-lifestyles</w:t>
      </w:r>
      <w:r w:rsidRPr="004E6487">
        <w:rPr>
          <w:rFonts w:ascii="Arial" w:hAnsi="Arial"/>
          <w:lang w:val="en" w:eastAsia="en-IN"/>
        </w:rPr>
        <w:t xml:space="preserve"> disposal</w:t>
      </w:r>
      <w:r w:rsidRPr="00466ABD">
        <w:rPr>
          <w:lang w:val="en" w:eastAsia="en-IN"/>
        </w:rPr>
        <w:t>.</w:t>
      </w:r>
    </w:p>
    <w:p w14:paraId="2CF01510" w14:textId="7B502D31" w:rsidR="00466ABD" w:rsidRDefault="00466ABD" w:rsidP="004E6487">
      <w:pPr>
        <w:spacing w:line="360" w:lineRule="auto"/>
        <w:rPr>
          <w:rFonts w:ascii="Arial" w:hAnsi="Arial"/>
          <w:lang w:val="en" w:eastAsia="en-IN"/>
        </w:rPr>
      </w:pPr>
      <w:r w:rsidRPr="00466ABD">
        <w:rPr>
          <w:b/>
          <w:bCs/>
          <w:i/>
          <w:iCs/>
          <w:lang w:val="en" w:eastAsia="en-IN"/>
        </w:rPr>
        <w:t>Long-Term Sustainability Benefits:</w:t>
      </w:r>
      <w:r w:rsidRPr="00466ABD">
        <w:rPr>
          <w:lang w:val="en" w:eastAsia="en-IN"/>
        </w:rPr>
        <w:t xml:space="preserve"> </w:t>
      </w:r>
      <w:r w:rsidRPr="004E6487">
        <w:rPr>
          <w:rFonts w:ascii="Arial" w:hAnsi="Arial"/>
          <w:lang w:val="en" w:eastAsia="en-IN"/>
        </w:rPr>
        <w:t xml:space="preserve">The Green House's use of </w:t>
      </w:r>
      <w:r w:rsidR="005F5329" w:rsidRPr="004E6487">
        <w:rPr>
          <w:rFonts w:ascii="Arial" w:hAnsi="Arial"/>
          <w:lang w:val="en" w:eastAsia="en-IN"/>
        </w:rPr>
        <w:t xml:space="preserve">the </w:t>
      </w:r>
      <w:r w:rsidRPr="004E6487">
        <w:rPr>
          <w:rFonts w:ascii="Arial" w:hAnsi="Arial"/>
          <w:lang w:val="en" w:eastAsia="en-IN"/>
        </w:rPr>
        <w:t xml:space="preserve">green era has a high-quality </w:t>
      </w:r>
      <w:r w:rsidR="005F5329" w:rsidRPr="004E6487">
        <w:rPr>
          <w:rFonts w:ascii="Arial" w:hAnsi="Arial"/>
          <w:lang w:val="en" w:eastAsia="en-IN"/>
        </w:rPr>
        <w:t>long-term</w:t>
      </w:r>
      <w:r w:rsidRPr="004E6487">
        <w:rPr>
          <w:rFonts w:ascii="Arial" w:hAnsi="Arial"/>
          <w:lang w:val="en" w:eastAsia="en-IN"/>
        </w:rPr>
        <w:t xml:space="preserve"> sustainability effect in addition to a discount </w:t>
      </w:r>
      <w:r w:rsidR="005F5329" w:rsidRPr="004E6487">
        <w:rPr>
          <w:rFonts w:ascii="Arial" w:hAnsi="Arial"/>
          <w:lang w:val="en" w:eastAsia="en-IN"/>
        </w:rPr>
        <w:t>on</w:t>
      </w:r>
      <w:r w:rsidRPr="004E6487">
        <w:rPr>
          <w:rFonts w:ascii="Arial" w:hAnsi="Arial"/>
          <w:lang w:val="en" w:eastAsia="en-IN"/>
        </w:rPr>
        <w:t xml:space="preserve"> its on-the-spot environmental impact. The hotel exhibits its determination to sustainable development and climate trade resilience by </w:t>
      </w:r>
      <w:r w:rsidR="005F5329" w:rsidRPr="004E6487">
        <w:rPr>
          <w:rFonts w:ascii="Arial" w:hAnsi="Arial"/>
          <w:lang w:val="en" w:eastAsia="en-IN"/>
        </w:rPr>
        <w:t>investing</w:t>
      </w:r>
      <w:r w:rsidRPr="004E6487">
        <w:rPr>
          <w:rFonts w:ascii="Arial" w:hAnsi="Arial"/>
          <w:lang w:val="en" w:eastAsia="en-IN"/>
        </w:rPr>
        <w:t xml:space="preserve"> in </w:t>
      </w:r>
      <w:r w:rsidR="005F5329" w:rsidRPr="004E6487">
        <w:rPr>
          <w:rFonts w:ascii="Arial" w:hAnsi="Arial"/>
          <w:lang w:val="en" w:eastAsia="en-IN"/>
        </w:rPr>
        <w:t xml:space="preserve">an </w:t>
      </w:r>
      <w:r w:rsidRPr="004E6487">
        <w:rPr>
          <w:rFonts w:ascii="Arial" w:hAnsi="Arial"/>
          <w:lang w:val="en" w:eastAsia="en-IN"/>
        </w:rPr>
        <w:t>era related to waste management, water conservation, energy performance, and renewable electricity</w:t>
      </w:r>
      <w:r w:rsidR="00EA0E15" w:rsidRPr="004E6487">
        <w:rPr>
          <w:rFonts w:ascii="Arial" w:hAnsi="Arial"/>
          <w:lang w:val="en" w:eastAsia="en-IN"/>
        </w:rPr>
        <w:t xml:space="preserve"> (</w:t>
      </w:r>
      <w:r w:rsidR="00EA0E15" w:rsidRPr="004E6487">
        <w:rPr>
          <w:rFonts w:ascii="Arial" w:hAnsi="Arial"/>
          <w:shd w:val="clear" w:color="auto" w:fill="FFFFFF"/>
        </w:rPr>
        <w:t>Lashitew, 2021)</w:t>
      </w:r>
      <w:r w:rsidRPr="004E6487">
        <w:rPr>
          <w:rFonts w:ascii="Arial" w:hAnsi="Arial"/>
          <w:lang w:val="en" w:eastAsia="en-IN"/>
        </w:rPr>
        <w:t>.</w:t>
      </w:r>
    </w:p>
    <w:p w14:paraId="6E43AD84" w14:textId="77777777" w:rsidR="000946EF" w:rsidRDefault="000946EF" w:rsidP="004E6487">
      <w:pPr>
        <w:spacing w:line="360" w:lineRule="auto"/>
        <w:rPr>
          <w:rFonts w:ascii="Arial" w:hAnsi="Arial"/>
          <w:lang w:val="en" w:eastAsia="en-IN"/>
        </w:rPr>
      </w:pPr>
    </w:p>
    <w:p w14:paraId="35648210" w14:textId="77777777" w:rsidR="000946EF" w:rsidRDefault="000946EF" w:rsidP="004E6487">
      <w:pPr>
        <w:spacing w:line="360" w:lineRule="auto"/>
        <w:rPr>
          <w:rFonts w:ascii="Arial" w:hAnsi="Arial"/>
          <w:lang w:val="en" w:eastAsia="en-IN"/>
        </w:rPr>
      </w:pPr>
    </w:p>
    <w:p w14:paraId="6BDE62DF" w14:textId="77777777" w:rsidR="000946EF" w:rsidRDefault="000946EF" w:rsidP="004E6487">
      <w:pPr>
        <w:spacing w:line="360" w:lineRule="auto"/>
        <w:rPr>
          <w:rFonts w:ascii="Arial" w:hAnsi="Arial"/>
          <w:lang w:val="en" w:eastAsia="en-IN"/>
        </w:rPr>
      </w:pPr>
    </w:p>
    <w:p w14:paraId="4D83F4A8" w14:textId="77777777" w:rsidR="000946EF" w:rsidRDefault="000946EF" w:rsidP="004E6487">
      <w:pPr>
        <w:spacing w:line="360" w:lineRule="auto"/>
        <w:rPr>
          <w:rFonts w:ascii="Arial" w:hAnsi="Arial"/>
          <w:lang w:val="en" w:eastAsia="en-IN"/>
        </w:rPr>
      </w:pPr>
    </w:p>
    <w:p w14:paraId="5A4D9D62" w14:textId="77777777" w:rsidR="000946EF" w:rsidRDefault="000946EF" w:rsidP="004E6487">
      <w:pPr>
        <w:spacing w:line="360" w:lineRule="auto"/>
        <w:rPr>
          <w:rFonts w:ascii="Arial" w:hAnsi="Arial"/>
          <w:lang w:val="en" w:eastAsia="en-IN"/>
        </w:rPr>
      </w:pPr>
    </w:p>
    <w:p w14:paraId="6E9B95F6" w14:textId="77777777" w:rsidR="000946EF" w:rsidRDefault="000946EF" w:rsidP="004E6487">
      <w:pPr>
        <w:spacing w:line="360" w:lineRule="auto"/>
        <w:rPr>
          <w:rFonts w:ascii="Arial" w:hAnsi="Arial"/>
          <w:lang w:val="en" w:eastAsia="en-IN"/>
        </w:rPr>
      </w:pPr>
    </w:p>
    <w:p w14:paraId="61D4E4A4" w14:textId="77777777" w:rsidR="000946EF" w:rsidRDefault="000946EF" w:rsidP="004E6487">
      <w:pPr>
        <w:spacing w:line="360" w:lineRule="auto"/>
        <w:rPr>
          <w:rFonts w:ascii="Arial" w:hAnsi="Arial"/>
          <w:lang w:val="en" w:eastAsia="en-IN"/>
        </w:rPr>
      </w:pPr>
    </w:p>
    <w:p w14:paraId="3F546588" w14:textId="77777777" w:rsidR="000946EF" w:rsidRDefault="000946EF" w:rsidP="004E6487">
      <w:pPr>
        <w:spacing w:line="360" w:lineRule="auto"/>
        <w:rPr>
          <w:rFonts w:ascii="Arial" w:hAnsi="Arial"/>
          <w:lang w:val="en" w:eastAsia="en-IN"/>
        </w:rPr>
      </w:pPr>
    </w:p>
    <w:p w14:paraId="23C7F936" w14:textId="77777777" w:rsidR="000946EF" w:rsidRDefault="000946EF" w:rsidP="004E6487">
      <w:pPr>
        <w:spacing w:line="360" w:lineRule="auto"/>
        <w:rPr>
          <w:rFonts w:ascii="Arial" w:hAnsi="Arial"/>
          <w:lang w:val="en" w:eastAsia="en-IN"/>
        </w:rPr>
      </w:pPr>
    </w:p>
    <w:p w14:paraId="49B0482F" w14:textId="77777777" w:rsidR="000946EF" w:rsidRDefault="000946EF" w:rsidP="004E6487">
      <w:pPr>
        <w:spacing w:line="360" w:lineRule="auto"/>
        <w:rPr>
          <w:rFonts w:ascii="Arial" w:hAnsi="Arial"/>
          <w:lang w:val="en" w:eastAsia="en-IN"/>
        </w:rPr>
      </w:pPr>
    </w:p>
    <w:p w14:paraId="0ACE1C6D" w14:textId="77777777" w:rsidR="000946EF" w:rsidRDefault="000946EF" w:rsidP="004E6487">
      <w:pPr>
        <w:spacing w:line="360" w:lineRule="auto"/>
        <w:rPr>
          <w:rFonts w:ascii="Arial" w:hAnsi="Arial"/>
          <w:lang w:val="en" w:eastAsia="en-IN"/>
        </w:rPr>
      </w:pPr>
    </w:p>
    <w:p w14:paraId="202543E9" w14:textId="77777777" w:rsidR="000946EF" w:rsidRDefault="000946EF" w:rsidP="004E6487">
      <w:pPr>
        <w:spacing w:line="360" w:lineRule="auto"/>
        <w:rPr>
          <w:rFonts w:ascii="Arial" w:hAnsi="Arial"/>
          <w:lang w:val="en" w:eastAsia="en-IN"/>
        </w:rPr>
      </w:pPr>
    </w:p>
    <w:p w14:paraId="50AB11F8" w14:textId="77777777" w:rsidR="000946EF" w:rsidRDefault="000946EF" w:rsidP="004E6487">
      <w:pPr>
        <w:spacing w:line="360" w:lineRule="auto"/>
        <w:rPr>
          <w:rFonts w:ascii="Arial" w:hAnsi="Arial"/>
          <w:lang w:val="en" w:eastAsia="en-IN"/>
        </w:rPr>
      </w:pPr>
    </w:p>
    <w:p w14:paraId="4DDD2625" w14:textId="77777777" w:rsidR="000946EF" w:rsidRDefault="000946EF" w:rsidP="004E6487">
      <w:pPr>
        <w:spacing w:line="360" w:lineRule="auto"/>
        <w:rPr>
          <w:rFonts w:ascii="Arial" w:hAnsi="Arial"/>
          <w:lang w:val="en" w:eastAsia="en-IN"/>
        </w:rPr>
      </w:pPr>
    </w:p>
    <w:p w14:paraId="380D251F" w14:textId="77777777" w:rsidR="000946EF" w:rsidRPr="00466ABD" w:rsidRDefault="000946EF" w:rsidP="004E6487">
      <w:pPr>
        <w:spacing w:line="360" w:lineRule="auto"/>
        <w:rPr>
          <w:lang w:val="en" w:eastAsia="en-IN"/>
        </w:rPr>
      </w:pPr>
    </w:p>
    <w:p w14:paraId="3822648D" w14:textId="14AFD23E" w:rsidR="00784EB4" w:rsidRDefault="00784EB4" w:rsidP="00777558">
      <w:pPr>
        <w:pStyle w:val="Titlu1"/>
      </w:pPr>
      <w:r w:rsidRPr="00784EB4">
        <w:lastRenderedPageBreak/>
        <w:t>Alternatives to Self-Evaluation</w:t>
      </w:r>
    </w:p>
    <w:p w14:paraId="4C1992A6" w14:textId="0DFD95E8" w:rsidR="00936128" w:rsidRDefault="00936128" w:rsidP="00FA27F5">
      <w:pPr>
        <w:spacing w:line="360" w:lineRule="auto"/>
      </w:pPr>
      <w:r w:rsidRPr="00936128">
        <w:rPr>
          <w:b/>
          <w:bCs/>
          <w:i/>
          <w:iCs/>
        </w:rPr>
        <w:t>Independent Audits</w:t>
      </w:r>
      <w:r w:rsidRPr="00FA27F5">
        <w:rPr>
          <w:rFonts w:ascii="Arial" w:hAnsi="Arial"/>
          <w:b/>
          <w:bCs/>
          <w:i/>
          <w:iCs/>
        </w:rPr>
        <w:t xml:space="preserve">: </w:t>
      </w:r>
      <w:r w:rsidRPr="00FA27F5">
        <w:rPr>
          <w:rFonts w:ascii="Arial" w:hAnsi="Arial"/>
        </w:rPr>
        <w:t xml:space="preserve">The Green House have to hire sustainability professionals or independent auditors to offer in-intensity analyses of its environmental practices in place of depending just on internal tests. These </w:t>
      </w:r>
      <w:r w:rsidR="005F5329" w:rsidRPr="00FA27F5">
        <w:rPr>
          <w:rFonts w:ascii="Arial" w:hAnsi="Arial"/>
        </w:rPr>
        <w:t>out-of-door</w:t>
      </w:r>
      <w:r w:rsidRPr="00FA27F5">
        <w:rPr>
          <w:rFonts w:ascii="Arial" w:hAnsi="Arial"/>
        </w:rPr>
        <w:t xml:space="preserve"> professionals may additionally provide objective reviews, new insights, and confirmation of the efficacy of sustainability programmes.</w:t>
      </w:r>
    </w:p>
    <w:p w14:paraId="0C1BC918" w14:textId="29D2097E" w:rsidR="00936128" w:rsidRDefault="00936128" w:rsidP="00FA27F5">
      <w:pPr>
        <w:spacing w:line="360" w:lineRule="auto"/>
      </w:pPr>
      <w:r w:rsidRPr="00936128">
        <w:rPr>
          <w:b/>
          <w:bCs/>
          <w:i/>
          <w:iCs/>
        </w:rPr>
        <w:t>Third-Party certificates</w:t>
      </w:r>
      <w:r w:rsidRPr="00FA27F5">
        <w:rPr>
          <w:rFonts w:ascii="Arial" w:hAnsi="Arial"/>
          <w:b/>
          <w:bCs/>
          <w:i/>
          <w:iCs/>
        </w:rPr>
        <w:t xml:space="preserve">: </w:t>
      </w:r>
      <w:r w:rsidRPr="00FA27F5">
        <w:rPr>
          <w:rFonts w:ascii="Arial" w:hAnsi="Arial"/>
        </w:rPr>
        <w:t xml:space="preserve">The inn might also observe </w:t>
      </w:r>
      <w:r w:rsidR="005F5329" w:rsidRPr="00FA27F5">
        <w:rPr>
          <w:rFonts w:ascii="Arial" w:hAnsi="Arial"/>
        </w:rPr>
        <w:t>getting</w:t>
      </w:r>
      <w:r w:rsidRPr="00FA27F5">
        <w:rPr>
          <w:rFonts w:ascii="Arial" w:hAnsi="Arial"/>
        </w:rPr>
        <w:t xml:space="preserve"> </w:t>
      </w:r>
      <w:r w:rsidR="005F5329" w:rsidRPr="00FA27F5">
        <w:rPr>
          <w:rFonts w:ascii="Arial" w:hAnsi="Arial"/>
        </w:rPr>
        <w:t>certificates</w:t>
      </w:r>
      <w:r w:rsidRPr="00FA27F5">
        <w:rPr>
          <w:rFonts w:ascii="Arial" w:hAnsi="Arial"/>
        </w:rPr>
        <w:t xml:space="preserve"> from decent 0.33-birthday party groups like EarthCheck, Green Globe, or LEED (Leadership in Energy and Environmental Design). The aforementioned certifications include stringent criteria and 1/3-birthday celebration verification processes, ensuring stakeholders and customers of The Green House's honest dedication to sustainability</w:t>
      </w:r>
      <w:r w:rsidR="00EA0E15" w:rsidRPr="00FA27F5">
        <w:rPr>
          <w:rFonts w:ascii="Arial" w:hAnsi="Arial"/>
        </w:rPr>
        <w:t xml:space="preserve"> (</w:t>
      </w:r>
      <w:r w:rsidR="00EA0E15" w:rsidRPr="00FA27F5">
        <w:rPr>
          <w:rFonts w:ascii="Arial" w:hAnsi="Arial"/>
          <w:shd w:val="clear" w:color="auto" w:fill="FFFFFF"/>
        </w:rPr>
        <w:t>Mangini et al., 2020)</w:t>
      </w:r>
      <w:r w:rsidRPr="00FA27F5">
        <w:rPr>
          <w:rFonts w:ascii="Arial" w:hAnsi="Arial"/>
        </w:rPr>
        <w:t>.</w:t>
      </w:r>
    </w:p>
    <w:p w14:paraId="20FE540B" w14:textId="18A122FD" w:rsidR="00936128" w:rsidRPr="00FA27F5" w:rsidRDefault="00936128" w:rsidP="00FA27F5">
      <w:pPr>
        <w:spacing w:line="360" w:lineRule="auto"/>
        <w:rPr>
          <w:rFonts w:ascii="Arial" w:hAnsi="Arial"/>
        </w:rPr>
      </w:pPr>
      <w:r w:rsidRPr="00936128">
        <w:rPr>
          <w:b/>
          <w:bCs/>
          <w:i/>
          <w:iCs/>
        </w:rPr>
        <w:t>Industry Best Practices and Benchmarks:</w:t>
      </w:r>
      <w:r>
        <w:t xml:space="preserve"> </w:t>
      </w:r>
      <w:r w:rsidRPr="00FA27F5">
        <w:rPr>
          <w:rFonts w:ascii="Arial" w:hAnsi="Arial"/>
        </w:rPr>
        <w:t xml:space="preserve">The Green House may examine its sustainability performance to enterprise norms and benchmarks. The inn can pinpoint </w:t>
      </w:r>
      <w:r w:rsidR="005F5329" w:rsidRPr="00FA27F5">
        <w:rPr>
          <w:rFonts w:ascii="Arial" w:hAnsi="Arial"/>
        </w:rPr>
        <w:t>development opportunities</w:t>
      </w:r>
      <w:r w:rsidRPr="00FA27F5">
        <w:rPr>
          <w:rFonts w:ascii="Arial" w:hAnsi="Arial"/>
        </w:rPr>
        <w:t xml:space="preserve"> and pursue excellence in environmental stewardship by way of contrasting its operations with the ones of comparable groups and outstanding figures in the discipline.</w:t>
      </w:r>
    </w:p>
    <w:p w14:paraId="158738D9" w14:textId="661EB018" w:rsidR="00777558" w:rsidRPr="00FA27F5" w:rsidRDefault="00936128" w:rsidP="00FA27F5">
      <w:pPr>
        <w:spacing w:line="360" w:lineRule="auto"/>
        <w:rPr>
          <w:rFonts w:ascii="Arial" w:hAnsi="Arial"/>
          <w:sz w:val="28"/>
          <w:szCs w:val="40"/>
          <w:lang w:val="en" w:eastAsia="en-IN"/>
        </w:rPr>
      </w:pPr>
      <w:r w:rsidRPr="00936128">
        <w:rPr>
          <w:b/>
          <w:bCs/>
          <w:i/>
          <w:iCs/>
        </w:rPr>
        <w:t xml:space="preserve">Engagement with Stakeholders and Feedback: </w:t>
      </w:r>
      <w:r w:rsidRPr="00FA27F5">
        <w:rPr>
          <w:rFonts w:ascii="Arial" w:hAnsi="Arial"/>
        </w:rPr>
        <w:t xml:space="preserve">The Green House may additionally get crucial insights into its environmental overall performance with the aid of actively searching for input from its stakeholders, which consist of visitors, </w:t>
      </w:r>
      <w:r w:rsidR="005F5329" w:rsidRPr="00FA27F5">
        <w:rPr>
          <w:rFonts w:ascii="Arial" w:hAnsi="Arial"/>
        </w:rPr>
        <w:t xml:space="preserve">a </w:t>
      </w:r>
      <w:r w:rsidRPr="00FA27F5">
        <w:rPr>
          <w:rFonts w:ascii="Arial" w:hAnsi="Arial"/>
        </w:rPr>
        <w:t xml:space="preserve">team of workers contributors, providers, and </w:t>
      </w:r>
      <w:r w:rsidR="005F5329" w:rsidRPr="00FA27F5">
        <w:rPr>
          <w:rFonts w:ascii="Arial" w:hAnsi="Arial"/>
        </w:rPr>
        <w:t>neighbourhood</w:t>
      </w:r>
      <w:r w:rsidRPr="00FA27F5">
        <w:rPr>
          <w:rFonts w:ascii="Arial" w:hAnsi="Arial"/>
        </w:rPr>
        <w:t xml:space="preserve"> communities. Stakeholder expectancies and desires are aligned with sustainability projects whilst stakeholder viewpoints are included </w:t>
      </w:r>
      <w:r w:rsidR="005F5329" w:rsidRPr="00FA27F5">
        <w:rPr>
          <w:rFonts w:ascii="Arial" w:hAnsi="Arial"/>
        </w:rPr>
        <w:t>in</w:t>
      </w:r>
      <w:r w:rsidRPr="00FA27F5">
        <w:rPr>
          <w:rFonts w:ascii="Arial" w:hAnsi="Arial"/>
        </w:rPr>
        <w:t xml:space="preserve"> assessment procedures</w:t>
      </w:r>
      <w:r w:rsidR="00EA0E15" w:rsidRPr="00FA27F5">
        <w:rPr>
          <w:rFonts w:ascii="Arial" w:hAnsi="Arial"/>
        </w:rPr>
        <w:t xml:space="preserve"> (</w:t>
      </w:r>
      <w:r w:rsidR="00EA0E15" w:rsidRPr="00FA27F5">
        <w:rPr>
          <w:rFonts w:ascii="Arial" w:hAnsi="Arial"/>
          <w:shd w:val="clear" w:color="auto" w:fill="FFFFFF"/>
        </w:rPr>
        <w:t>Dixon, 2020)</w:t>
      </w:r>
      <w:r w:rsidRPr="00FA27F5">
        <w:rPr>
          <w:rFonts w:ascii="Arial" w:hAnsi="Arial"/>
        </w:rPr>
        <w:t>.</w:t>
      </w:r>
      <w:r w:rsidR="00777558" w:rsidRPr="00FA27F5">
        <w:rPr>
          <w:rFonts w:ascii="Arial" w:hAnsi="Arial"/>
        </w:rPr>
        <w:br w:type="page"/>
      </w:r>
    </w:p>
    <w:p w14:paraId="7215BFAD" w14:textId="3669D7C4" w:rsidR="00784EB4" w:rsidRDefault="00784EB4" w:rsidP="00777558">
      <w:pPr>
        <w:pStyle w:val="Titlu1"/>
      </w:pPr>
      <w:r>
        <w:lastRenderedPageBreak/>
        <w:t>Conclusion</w:t>
      </w:r>
    </w:p>
    <w:p w14:paraId="1B80F9E8" w14:textId="30F01F1C" w:rsidR="00D00C1E" w:rsidRPr="00FA27F5" w:rsidRDefault="00936128" w:rsidP="00FA27F5">
      <w:pPr>
        <w:spacing w:line="360" w:lineRule="auto"/>
        <w:rPr>
          <w:rFonts w:ascii="Arial" w:hAnsi="Arial"/>
          <w:lang w:val="en" w:eastAsia="en-IN"/>
        </w:rPr>
      </w:pPr>
      <w:r w:rsidRPr="00FA27F5">
        <w:rPr>
          <w:rFonts w:ascii="Arial" w:hAnsi="Arial"/>
          <w:lang w:val="en" w:eastAsia="en-IN"/>
        </w:rPr>
        <w:t xml:space="preserve">The complexities surrounding claims of "greenwashing" at The Green House, a well-known Bournemouth organisation praised for its environmental activities </w:t>
      </w:r>
      <w:r w:rsidR="005F5329" w:rsidRPr="00FA27F5">
        <w:rPr>
          <w:rFonts w:ascii="Arial" w:hAnsi="Arial"/>
          <w:lang w:val="en" w:eastAsia="en-IN"/>
        </w:rPr>
        <w:t>have</w:t>
      </w:r>
      <w:r w:rsidRPr="00FA27F5">
        <w:rPr>
          <w:rFonts w:ascii="Arial" w:hAnsi="Arial"/>
          <w:lang w:val="en" w:eastAsia="en-IN"/>
        </w:rPr>
        <w:t xml:space="preserve"> been examined </w:t>
      </w:r>
      <w:r w:rsidR="005F5329" w:rsidRPr="00FA27F5">
        <w:rPr>
          <w:rFonts w:ascii="Arial" w:hAnsi="Arial"/>
          <w:lang w:val="en" w:eastAsia="en-IN"/>
        </w:rPr>
        <w:t>in</w:t>
      </w:r>
      <w:r w:rsidRPr="00FA27F5">
        <w:rPr>
          <w:rFonts w:ascii="Arial" w:hAnsi="Arial"/>
          <w:lang w:val="en" w:eastAsia="en-IN"/>
        </w:rPr>
        <w:t xml:space="preserve"> these studies. It has also analysed the factors including selective sustainability initiatives and dependence on self-said data which can </w:t>
      </w:r>
      <w:r w:rsidR="005F5329" w:rsidRPr="00FA27F5">
        <w:rPr>
          <w:rFonts w:ascii="Arial" w:hAnsi="Arial"/>
          <w:lang w:val="en" w:eastAsia="en-IN"/>
        </w:rPr>
        <w:t>raise</w:t>
      </w:r>
      <w:r w:rsidRPr="00FA27F5">
        <w:rPr>
          <w:rFonts w:ascii="Arial" w:hAnsi="Arial"/>
          <w:lang w:val="en" w:eastAsia="en-IN"/>
        </w:rPr>
        <w:t xml:space="preserve"> suspicions of greenwashing. The research has also tested the hotel's self-evaluation methods, the motives behind them, and ability enhancements to their legitimacy and openness. The Green House can hold its status as a pioneer in environmental stewardship inside the hospitality sector by using adhering to strict third-celebration certifications, preserving open facts, and constantly pursuing authentic sustainability.</w:t>
      </w:r>
    </w:p>
    <w:p w14:paraId="304BF4A8" w14:textId="77777777" w:rsidR="00EC14DE" w:rsidRDefault="00EC14DE">
      <w:pPr>
        <w:spacing w:after="160" w:line="259" w:lineRule="auto"/>
        <w:jc w:val="left"/>
        <w:rPr>
          <w:lang w:val="en" w:eastAsia="en-IN"/>
        </w:rPr>
      </w:pPr>
    </w:p>
    <w:p w14:paraId="6CF59AC2" w14:textId="77777777" w:rsidR="00EC14DE" w:rsidRDefault="00EC14DE">
      <w:pPr>
        <w:spacing w:after="160" w:line="259" w:lineRule="auto"/>
        <w:jc w:val="left"/>
        <w:rPr>
          <w:lang w:val="en" w:eastAsia="en-IN"/>
        </w:rPr>
      </w:pPr>
    </w:p>
    <w:p w14:paraId="51C0A87D" w14:textId="77777777" w:rsidR="00D00C1E" w:rsidRDefault="00D00C1E">
      <w:pPr>
        <w:spacing w:after="160" w:line="259" w:lineRule="auto"/>
        <w:jc w:val="left"/>
        <w:rPr>
          <w:lang w:val="en" w:eastAsia="en-IN"/>
        </w:rPr>
      </w:pPr>
      <w:r>
        <w:rPr>
          <w:lang w:val="en" w:eastAsia="en-IN"/>
        </w:rPr>
        <w:br w:type="page"/>
      </w:r>
    </w:p>
    <w:p w14:paraId="45F17ED4" w14:textId="710FAE2B" w:rsidR="00936128" w:rsidRDefault="00D00C1E" w:rsidP="00D00C1E">
      <w:pPr>
        <w:pStyle w:val="Titlu1"/>
      </w:pPr>
      <w:r>
        <w:lastRenderedPageBreak/>
        <w:t>References</w:t>
      </w:r>
    </w:p>
    <w:p w14:paraId="20D3C5B9" w14:textId="77777777" w:rsidR="005A584A" w:rsidRPr="00EC14DE" w:rsidRDefault="005A584A" w:rsidP="00EC14DE">
      <w:pPr>
        <w:spacing w:line="360" w:lineRule="auto"/>
        <w:rPr>
          <w:rFonts w:ascii="Arial" w:hAnsi="Arial"/>
          <w:shd w:val="clear" w:color="auto" w:fill="FFFFFF"/>
        </w:rPr>
      </w:pPr>
      <w:r w:rsidRPr="00EC14DE">
        <w:rPr>
          <w:rFonts w:ascii="Arial" w:hAnsi="Arial"/>
          <w:shd w:val="clear" w:color="auto" w:fill="FFFFFF"/>
        </w:rPr>
        <w:t>Adamkiewicz, J., Kochańska, E., Adamkiewicz, I. and Łukasik, R.M., (2022). Greenwashing and sustainable fashion industry. </w:t>
      </w:r>
      <w:r w:rsidRPr="00EC14DE">
        <w:rPr>
          <w:rFonts w:ascii="Arial" w:hAnsi="Arial"/>
          <w:i/>
          <w:iCs/>
          <w:shd w:val="clear" w:color="auto" w:fill="FFFFFF"/>
        </w:rPr>
        <w:t>Current Opinion in Green and Sustainable Chemistry</w:t>
      </w:r>
      <w:r w:rsidRPr="00EC14DE">
        <w:rPr>
          <w:rFonts w:ascii="Arial" w:hAnsi="Arial"/>
          <w:shd w:val="clear" w:color="auto" w:fill="FFFFFF"/>
        </w:rPr>
        <w:t>, </w:t>
      </w:r>
      <w:r w:rsidRPr="00EC14DE">
        <w:rPr>
          <w:rFonts w:ascii="Arial" w:hAnsi="Arial"/>
          <w:i/>
          <w:iCs/>
          <w:shd w:val="clear" w:color="auto" w:fill="FFFFFF"/>
        </w:rPr>
        <w:t>38</w:t>
      </w:r>
      <w:r w:rsidRPr="00EC14DE">
        <w:rPr>
          <w:rFonts w:ascii="Arial" w:hAnsi="Arial"/>
          <w:shd w:val="clear" w:color="auto" w:fill="FFFFFF"/>
        </w:rPr>
        <w:t>, p.100710.</w:t>
      </w:r>
    </w:p>
    <w:p w14:paraId="77551CED" w14:textId="77777777" w:rsidR="005A584A" w:rsidRPr="00EC14DE" w:rsidRDefault="005A584A" w:rsidP="00EC14DE">
      <w:pPr>
        <w:spacing w:line="360" w:lineRule="auto"/>
        <w:rPr>
          <w:rFonts w:ascii="Arial" w:hAnsi="Arial"/>
          <w:shd w:val="clear" w:color="auto" w:fill="FFFFFF"/>
        </w:rPr>
      </w:pPr>
      <w:r w:rsidRPr="00EC14DE">
        <w:rPr>
          <w:rFonts w:ascii="Arial" w:hAnsi="Arial"/>
          <w:shd w:val="clear" w:color="auto" w:fill="FFFFFF"/>
        </w:rPr>
        <w:t>de Freitas Netto, S.V., Sobral, M.F.F., Ribeiro, A.R.B. and Soares, G.R.D.L., (2020). Concepts and forms of greenwashing: A systematic review. </w:t>
      </w:r>
      <w:r w:rsidRPr="00EC14DE">
        <w:rPr>
          <w:rFonts w:ascii="Arial" w:hAnsi="Arial"/>
          <w:i/>
          <w:iCs/>
          <w:shd w:val="clear" w:color="auto" w:fill="FFFFFF"/>
        </w:rPr>
        <w:t>Environmental Sciences Europe</w:t>
      </w:r>
      <w:r w:rsidRPr="00EC14DE">
        <w:rPr>
          <w:rFonts w:ascii="Arial" w:hAnsi="Arial"/>
          <w:shd w:val="clear" w:color="auto" w:fill="FFFFFF"/>
        </w:rPr>
        <w:t>, </w:t>
      </w:r>
      <w:r w:rsidRPr="00EC14DE">
        <w:rPr>
          <w:rFonts w:ascii="Arial" w:hAnsi="Arial"/>
          <w:i/>
          <w:iCs/>
          <w:shd w:val="clear" w:color="auto" w:fill="FFFFFF"/>
        </w:rPr>
        <w:t>32</w:t>
      </w:r>
      <w:r w:rsidRPr="00EC14DE">
        <w:rPr>
          <w:rFonts w:ascii="Arial" w:hAnsi="Arial"/>
          <w:shd w:val="clear" w:color="auto" w:fill="FFFFFF"/>
        </w:rPr>
        <w:t>(1), pp.1-12.</w:t>
      </w:r>
    </w:p>
    <w:p w14:paraId="17439E52" w14:textId="77777777" w:rsidR="005A584A" w:rsidRPr="00EC14DE" w:rsidRDefault="005A584A" w:rsidP="00EC14DE">
      <w:pPr>
        <w:spacing w:line="360" w:lineRule="auto"/>
        <w:rPr>
          <w:rFonts w:ascii="Arial" w:hAnsi="Arial"/>
          <w:shd w:val="clear" w:color="auto" w:fill="FFFFFF"/>
        </w:rPr>
      </w:pPr>
      <w:r w:rsidRPr="00EC14DE">
        <w:rPr>
          <w:rFonts w:ascii="Arial" w:hAnsi="Arial"/>
          <w:shd w:val="clear" w:color="auto" w:fill="FFFFFF"/>
        </w:rPr>
        <w:t>Dixon, L., (2020). Autonowashing: The greenwashing of vehicle automation. </w:t>
      </w:r>
      <w:r w:rsidRPr="00EC14DE">
        <w:rPr>
          <w:rFonts w:ascii="Arial" w:hAnsi="Arial"/>
          <w:i/>
          <w:iCs/>
          <w:shd w:val="clear" w:color="auto" w:fill="FFFFFF"/>
        </w:rPr>
        <w:t>Transportation research interdisciplinary perspectives</w:t>
      </w:r>
      <w:r w:rsidRPr="00EC14DE">
        <w:rPr>
          <w:rFonts w:ascii="Arial" w:hAnsi="Arial"/>
          <w:shd w:val="clear" w:color="auto" w:fill="FFFFFF"/>
        </w:rPr>
        <w:t>, </w:t>
      </w:r>
      <w:r w:rsidRPr="00EC14DE">
        <w:rPr>
          <w:rFonts w:ascii="Arial" w:hAnsi="Arial"/>
          <w:i/>
          <w:iCs/>
          <w:shd w:val="clear" w:color="auto" w:fill="FFFFFF"/>
        </w:rPr>
        <w:t>5</w:t>
      </w:r>
      <w:r w:rsidRPr="00EC14DE">
        <w:rPr>
          <w:rFonts w:ascii="Arial" w:hAnsi="Arial"/>
          <w:shd w:val="clear" w:color="auto" w:fill="FFFFFF"/>
        </w:rPr>
        <w:t>, p.100113.</w:t>
      </w:r>
    </w:p>
    <w:p w14:paraId="181D6AC3" w14:textId="77777777" w:rsidR="005A584A" w:rsidRPr="00EC14DE" w:rsidRDefault="005A584A" w:rsidP="00EC14DE">
      <w:pPr>
        <w:spacing w:line="360" w:lineRule="auto"/>
        <w:rPr>
          <w:rFonts w:ascii="Arial" w:hAnsi="Arial"/>
          <w:shd w:val="clear" w:color="auto" w:fill="FFFFFF"/>
        </w:rPr>
      </w:pPr>
      <w:r w:rsidRPr="00EC14DE">
        <w:rPr>
          <w:rFonts w:ascii="Arial" w:hAnsi="Arial"/>
          <w:shd w:val="clear" w:color="auto" w:fill="FFFFFF"/>
        </w:rPr>
        <w:t>Dumitrescu, A., Gil-Bazo, J. and Zhou, F., (2022). Defining greenwashing. </w:t>
      </w:r>
      <w:r w:rsidRPr="00EC14DE">
        <w:rPr>
          <w:rFonts w:ascii="Arial" w:hAnsi="Arial"/>
          <w:i/>
          <w:iCs/>
          <w:shd w:val="clear" w:color="auto" w:fill="FFFFFF"/>
        </w:rPr>
        <w:t>Available at SSRN 4098411</w:t>
      </w:r>
      <w:r w:rsidRPr="00EC14DE">
        <w:rPr>
          <w:rFonts w:ascii="Arial" w:hAnsi="Arial"/>
          <w:shd w:val="clear" w:color="auto" w:fill="FFFFFF"/>
        </w:rPr>
        <w:t>.</w:t>
      </w:r>
    </w:p>
    <w:p w14:paraId="3B956C71" w14:textId="77777777" w:rsidR="005A584A" w:rsidRPr="00EC14DE" w:rsidRDefault="005A584A" w:rsidP="00EC14DE">
      <w:pPr>
        <w:spacing w:line="360" w:lineRule="auto"/>
        <w:rPr>
          <w:rFonts w:ascii="Arial" w:hAnsi="Arial"/>
          <w:shd w:val="clear" w:color="auto" w:fill="FFFFFF"/>
        </w:rPr>
      </w:pPr>
      <w:r w:rsidRPr="00EC14DE">
        <w:rPr>
          <w:rFonts w:ascii="Arial" w:hAnsi="Arial"/>
          <w:shd w:val="clear" w:color="auto" w:fill="FFFFFF"/>
        </w:rPr>
        <w:t>Ferrón</w:t>
      </w:r>
      <w:r w:rsidRPr="00EC14DE">
        <w:rPr>
          <w:rFonts w:ascii="Cambria Math" w:hAnsi="Cambria Math" w:cs="Cambria Math"/>
          <w:shd w:val="clear" w:color="auto" w:fill="FFFFFF"/>
        </w:rPr>
        <w:t>‐</w:t>
      </w:r>
      <w:r w:rsidRPr="00EC14DE">
        <w:rPr>
          <w:rFonts w:ascii="Arial" w:hAnsi="Arial"/>
          <w:shd w:val="clear" w:color="auto" w:fill="FFFFFF"/>
        </w:rPr>
        <w:t>Vílchez, V., Valero</w:t>
      </w:r>
      <w:r w:rsidRPr="00EC14DE">
        <w:rPr>
          <w:rFonts w:ascii="Cambria Math" w:hAnsi="Cambria Math" w:cs="Cambria Math"/>
          <w:shd w:val="clear" w:color="auto" w:fill="FFFFFF"/>
        </w:rPr>
        <w:t>‐</w:t>
      </w:r>
      <w:r w:rsidRPr="00EC14DE">
        <w:rPr>
          <w:rFonts w:ascii="Arial" w:hAnsi="Arial"/>
          <w:shd w:val="clear" w:color="auto" w:fill="FFFFFF"/>
        </w:rPr>
        <w:t>Gil, J. and Suárez</w:t>
      </w:r>
      <w:r w:rsidRPr="00EC14DE">
        <w:rPr>
          <w:rFonts w:ascii="Cambria Math" w:hAnsi="Cambria Math" w:cs="Cambria Math"/>
          <w:shd w:val="clear" w:color="auto" w:fill="FFFFFF"/>
        </w:rPr>
        <w:t>‐</w:t>
      </w:r>
      <w:r w:rsidRPr="00EC14DE">
        <w:rPr>
          <w:rFonts w:ascii="Arial" w:hAnsi="Arial"/>
          <w:shd w:val="clear" w:color="auto" w:fill="FFFFFF"/>
        </w:rPr>
        <w:t>Perales, I., (2021). How does greenwashing influence managers' decision</w:t>
      </w:r>
      <w:r w:rsidRPr="00EC14DE">
        <w:rPr>
          <w:rFonts w:ascii="Cambria Math" w:hAnsi="Cambria Math" w:cs="Cambria Math"/>
          <w:shd w:val="clear" w:color="auto" w:fill="FFFFFF"/>
        </w:rPr>
        <w:t>‐</w:t>
      </w:r>
      <w:r w:rsidRPr="00EC14DE">
        <w:rPr>
          <w:rFonts w:ascii="Arial" w:hAnsi="Arial"/>
          <w:shd w:val="clear" w:color="auto" w:fill="FFFFFF"/>
        </w:rPr>
        <w:t>making? An experimental approach under stakeholder view. </w:t>
      </w:r>
      <w:r w:rsidRPr="00EC14DE">
        <w:rPr>
          <w:rFonts w:ascii="Arial" w:hAnsi="Arial"/>
          <w:i/>
          <w:iCs/>
          <w:shd w:val="clear" w:color="auto" w:fill="FFFFFF"/>
        </w:rPr>
        <w:t>Corporate Social Responsibility and Environmental Management</w:t>
      </w:r>
      <w:r w:rsidRPr="00EC14DE">
        <w:rPr>
          <w:rFonts w:ascii="Arial" w:hAnsi="Arial"/>
          <w:shd w:val="clear" w:color="auto" w:fill="FFFFFF"/>
        </w:rPr>
        <w:t>, </w:t>
      </w:r>
      <w:r w:rsidRPr="00EC14DE">
        <w:rPr>
          <w:rFonts w:ascii="Arial" w:hAnsi="Arial"/>
          <w:i/>
          <w:iCs/>
          <w:shd w:val="clear" w:color="auto" w:fill="FFFFFF"/>
        </w:rPr>
        <w:t>28</w:t>
      </w:r>
      <w:r w:rsidRPr="00EC14DE">
        <w:rPr>
          <w:rFonts w:ascii="Arial" w:hAnsi="Arial"/>
          <w:shd w:val="clear" w:color="auto" w:fill="FFFFFF"/>
        </w:rPr>
        <w:t>(2), pp.860-880.</w:t>
      </w:r>
    </w:p>
    <w:p w14:paraId="6E6E0E54" w14:textId="77777777" w:rsidR="005A584A" w:rsidRPr="00EC14DE" w:rsidRDefault="005A584A" w:rsidP="00EC14DE">
      <w:pPr>
        <w:spacing w:line="360" w:lineRule="auto"/>
        <w:rPr>
          <w:rFonts w:ascii="Arial" w:hAnsi="Arial"/>
          <w:shd w:val="clear" w:color="auto" w:fill="FFFFFF"/>
        </w:rPr>
      </w:pPr>
      <w:r w:rsidRPr="00EC14DE">
        <w:rPr>
          <w:rFonts w:ascii="Arial" w:hAnsi="Arial"/>
          <w:shd w:val="clear" w:color="auto" w:fill="FFFFFF"/>
        </w:rPr>
        <w:t>Ghitti, M., Gianfrate, G. and Palma, L., (2023). The agency of greenwashing. </w:t>
      </w:r>
      <w:r w:rsidRPr="00EC14DE">
        <w:rPr>
          <w:rFonts w:ascii="Arial" w:hAnsi="Arial"/>
          <w:i/>
          <w:iCs/>
          <w:shd w:val="clear" w:color="auto" w:fill="FFFFFF"/>
        </w:rPr>
        <w:t>Journal of Management and Governance</w:t>
      </w:r>
      <w:r w:rsidRPr="00EC14DE">
        <w:rPr>
          <w:rFonts w:ascii="Arial" w:hAnsi="Arial"/>
          <w:shd w:val="clear" w:color="auto" w:fill="FFFFFF"/>
        </w:rPr>
        <w:t>, pp.1-37.</w:t>
      </w:r>
    </w:p>
    <w:p w14:paraId="0F28A035" w14:textId="6601CDDE" w:rsidR="005A584A" w:rsidRPr="00EC14DE" w:rsidRDefault="005A584A" w:rsidP="00EC14DE">
      <w:pPr>
        <w:spacing w:line="360" w:lineRule="auto"/>
        <w:rPr>
          <w:rFonts w:ascii="Arial" w:hAnsi="Arial"/>
          <w:shd w:val="clear" w:color="auto" w:fill="FFFFFF"/>
        </w:rPr>
      </w:pPr>
      <w:r w:rsidRPr="00EC14DE">
        <w:rPr>
          <w:rFonts w:ascii="Arial" w:hAnsi="Arial"/>
          <w:shd w:val="clear" w:color="auto" w:fill="FFFFFF"/>
        </w:rPr>
        <w:t>Gregory, R.P., (2023). When is greenwashing an easy fix</w:t>
      </w:r>
      <w:r w:rsidR="000946EF">
        <w:rPr>
          <w:rFonts w:ascii="Arial" w:hAnsi="Arial"/>
          <w:shd w:val="clear" w:color="auto" w:fill="FFFFFF"/>
        </w:rPr>
        <w:t>?</w:t>
      </w:r>
      <w:r w:rsidRPr="00EC14DE">
        <w:rPr>
          <w:rFonts w:ascii="Arial" w:hAnsi="Arial"/>
          <w:shd w:val="clear" w:color="auto" w:fill="FFFFFF"/>
        </w:rPr>
        <w:t> </w:t>
      </w:r>
      <w:r w:rsidRPr="00EC14DE">
        <w:rPr>
          <w:rFonts w:ascii="Arial" w:hAnsi="Arial"/>
          <w:i/>
          <w:iCs/>
          <w:shd w:val="clear" w:color="auto" w:fill="FFFFFF"/>
        </w:rPr>
        <w:t>Journal of Sustainable Finance &amp; Investment</w:t>
      </w:r>
      <w:r w:rsidRPr="00EC14DE">
        <w:rPr>
          <w:rFonts w:ascii="Arial" w:hAnsi="Arial"/>
          <w:shd w:val="clear" w:color="auto" w:fill="FFFFFF"/>
        </w:rPr>
        <w:t>, </w:t>
      </w:r>
      <w:r w:rsidRPr="00EC14DE">
        <w:rPr>
          <w:rFonts w:ascii="Arial" w:hAnsi="Arial"/>
          <w:i/>
          <w:iCs/>
          <w:shd w:val="clear" w:color="auto" w:fill="FFFFFF"/>
        </w:rPr>
        <w:t>13</w:t>
      </w:r>
      <w:r w:rsidRPr="00EC14DE">
        <w:rPr>
          <w:rFonts w:ascii="Arial" w:hAnsi="Arial"/>
          <w:shd w:val="clear" w:color="auto" w:fill="FFFFFF"/>
        </w:rPr>
        <w:t>(2), pp.919-942.</w:t>
      </w:r>
    </w:p>
    <w:p w14:paraId="2496D61D" w14:textId="77777777" w:rsidR="005A584A" w:rsidRPr="00EC14DE" w:rsidRDefault="005A584A" w:rsidP="00EC14DE">
      <w:pPr>
        <w:spacing w:line="360" w:lineRule="auto"/>
        <w:rPr>
          <w:rFonts w:ascii="Arial" w:hAnsi="Arial"/>
          <w:shd w:val="clear" w:color="auto" w:fill="FFFFFF"/>
        </w:rPr>
      </w:pPr>
      <w:r w:rsidRPr="00EC14DE">
        <w:rPr>
          <w:rFonts w:ascii="Arial" w:hAnsi="Arial"/>
          <w:shd w:val="clear" w:color="auto" w:fill="FFFFFF"/>
          <w:lang w:val="es-AR"/>
        </w:rPr>
        <w:t>Heras</w:t>
      </w:r>
      <w:r w:rsidRPr="00EC14DE">
        <w:rPr>
          <w:rFonts w:ascii="Cambria Math" w:hAnsi="Cambria Math" w:cs="Cambria Math"/>
          <w:shd w:val="clear" w:color="auto" w:fill="FFFFFF"/>
          <w:lang w:val="es-AR"/>
        </w:rPr>
        <w:t>‐</w:t>
      </w:r>
      <w:r w:rsidRPr="00EC14DE">
        <w:rPr>
          <w:rFonts w:ascii="Arial" w:hAnsi="Arial"/>
          <w:shd w:val="clear" w:color="auto" w:fill="FFFFFF"/>
          <w:lang w:val="es-AR"/>
        </w:rPr>
        <w:t xml:space="preserve">Saizarbitoria, I., Boiral, O. and Díaz de Junguitu, A., (2020). </w:t>
      </w:r>
      <w:r w:rsidRPr="00EC14DE">
        <w:rPr>
          <w:rFonts w:ascii="Arial" w:hAnsi="Arial"/>
          <w:shd w:val="clear" w:color="auto" w:fill="FFFFFF"/>
        </w:rPr>
        <w:t>Environmental management certification and environmental performance: Greening or greenwashing?. </w:t>
      </w:r>
      <w:r w:rsidRPr="00EC14DE">
        <w:rPr>
          <w:rFonts w:ascii="Arial" w:hAnsi="Arial"/>
          <w:i/>
          <w:iCs/>
          <w:shd w:val="clear" w:color="auto" w:fill="FFFFFF"/>
        </w:rPr>
        <w:t>Business Strategy and the Environment</w:t>
      </w:r>
      <w:r w:rsidRPr="00EC14DE">
        <w:rPr>
          <w:rFonts w:ascii="Arial" w:hAnsi="Arial"/>
          <w:shd w:val="clear" w:color="auto" w:fill="FFFFFF"/>
        </w:rPr>
        <w:t>, </w:t>
      </w:r>
      <w:r w:rsidRPr="00EC14DE">
        <w:rPr>
          <w:rFonts w:ascii="Arial" w:hAnsi="Arial"/>
          <w:i/>
          <w:iCs/>
          <w:shd w:val="clear" w:color="auto" w:fill="FFFFFF"/>
        </w:rPr>
        <w:t>29</w:t>
      </w:r>
      <w:r w:rsidRPr="00EC14DE">
        <w:rPr>
          <w:rFonts w:ascii="Arial" w:hAnsi="Arial"/>
          <w:shd w:val="clear" w:color="auto" w:fill="FFFFFF"/>
        </w:rPr>
        <w:t>(6), pp.2829-2841.</w:t>
      </w:r>
    </w:p>
    <w:p w14:paraId="49A0ED9A" w14:textId="77777777" w:rsidR="005A584A" w:rsidRPr="00EC14DE" w:rsidRDefault="005A584A" w:rsidP="00EC14DE">
      <w:pPr>
        <w:spacing w:line="360" w:lineRule="auto"/>
        <w:rPr>
          <w:rFonts w:ascii="Arial" w:hAnsi="Arial"/>
          <w:shd w:val="clear" w:color="auto" w:fill="FFFFFF"/>
        </w:rPr>
      </w:pPr>
      <w:r w:rsidRPr="00EC14DE">
        <w:rPr>
          <w:rFonts w:ascii="Arial" w:hAnsi="Arial"/>
          <w:shd w:val="clear" w:color="auto" w:fill="FFFFFF"/>
        </w:rPr>
        <w:t>Jakubczak, A. and Gotowska, M., (2020). Green consumerism vs. greenwashing.</w:t>
      </w:r>
    </w:p>
    <w:p w14:paraId="3DC80955" w14:textId="2FB4FC6E" w:rsidR="005A584A" w:rsidRPr="00EC14DE" w:rsidRDefault="005A584A" w:rsidP="00EC14DE">
      <w:pPr>
        <w:spacing w:line="360" w:lineRule="auto"/>
        <w:rPr>
          <w:shd w:val="clear" w:color="auto" w:fill="FFFFFF"/>
        </w:rPr>
      </w:pPr>
      <w:r w:rsidRPr="00EC14DE">
        <w:rPr>
          <w:shd w:val="clear" w:color="auto" w:fill="FFFFFF"/>
        </w:rPr>
        <w:t xml:space="preserve">Lashitew, A.A., (2021). Corporate uptake of the Sustainable Development Goals: Mere greenwashing or </w:t>
      </w:r>
      <w:r w:rsidR="000946EF">
        <w:rPr>
          <w:shd w:val="clear" w:color="auto" w:fill="FFFFFF"/>
        </w:rPr>
        <w:t xml:space="preserve">the </w:t>
      </w:r>
      <w:r w:rsidRPr="00EC14DE">
        <w:rPr>
          <w:shd w:val="clear" w:color="auto" w:fill="FFFFFF"/>
        </w:rPr>
        <w:t>advent of institutional change</w:t>
      </w:r>
      <w:r w:rsidR="000946EF">
        <w:rPr>
          <w:shd w:val="clear" w:color="auto" w:fill="FFFFFF"/>
        </w:rPr>
        <w:t>?</w:t>
      </w:r>
      <w:r w:rsidRPr="00EC14DE">
        <w:rPr>
          <w:shd w:val="clear" w:color="auto" w:fill="FFFFFF"/>
        </w:rPr>
        <w:t> </w:t>
      </w:r>
      <w:r w:rsidRPr="00EC14DE">
        <w:rPr>
          <w:i/>
          <w:iCs/>
          <w:shd w:val="clear" w:color="auto" w:fill="FFFFFF"/>
        </w:rPr>
        <w:t>Journal of International Business Policy</w:t>
      </w:r>
      <w:r w:rsidRPr="00EC14DE">
        <w:rPr>
          <w:shd w:val="clear" w:color="auto" w:fill="FFFFFF"/>
        </w:rPr>
        <w:t>, </w:t>
      </w:r>
      <w:r w:rsidRPr="00EC14DE">
        <w:rPr>
          <w:i/>
          <w:iCs/>
          <w:shd w:val="clear" w:color="auto" w:fill="FFFFFF"/>
        </w:rPr>
        <w:t>4</w:t>
      </w:r>
      <w:r w:rsidRPr="00EC14DE">
        <w:rPr>
          <w:shd w:val="clear" w:color="auto" w:fill="FFFFFF"/>
        </w:rPr>
        <w:t>, pp.184-200.</w:t>
      </w:r>
    </w:p>
    <w:p w14:paraId="3E1ADA4B" w14:textId="2FBF1128" w:rsidR="005A584A" w:rsidRPr="00EC14DE" w:rsidRDefault="005A584A" w:rsidP="00EC14DE">
      <w:pPr>
        <w:spacing w:line="360" w:lineRule="auto"/>
        <w:rPr>
          <w:shd w:val="clear" w:color="auto" w:fill="FFFFFF"/>
        </w:rPr>
      </w:pPr>
      <w:r w:rsidRPr="00EC14DE">
        <w:rPr>
          <w:shd w:val="clear" w:color="auto" w:fill="FFFFFF"/>
        </w:rPr>
        <w:t xml:space="preserve">Mangini, E.R., Amaral, L.M., Conejero, M.A. and Pires, C.S., (2020). Greenwashing study and consumers’ </w:t>
      </w:r>
      <w:r w:rsidR="000946EF">
        <w:rPr>
          <w:shd w:val="clear" w:color="auto" w:fill="FFFFFF"/>
        </w:rPr>
        <w:t>behavioural</w:t>
      </w:r>
      <w:r w:rsidRPr="00EC14DE">
        <w:rPr>
          <w:shd w:val="clear" w:color="auto" w:fill="FFFFFF"/>
        </w:rPr>
        <w:t xml:space="preserve"> intentions. </w:t>
      </w:r>
      <w:r w:rsidRPr="00EC14DE">
        <w:rPr>
          <w:i/>
          <w:iCs/>
          <w:shd w:val="clear" w:color="auto" w:fill="FFFFFF"/>
        </w:rPr>
        <w:t>Consumer Behavior Review</w:t>
      </w:r>
      <w:r w:rsidRPr="00EC14DE">
        <w:rPr>
          <w:shd w:val="clear" w:color="auto" w:fill="FFFFFF"/>
        </w:rPr>
        <w:t>, </w:t>
      </w:r>
      <w:r w:rsidRPr="00EC14DE">
        <w:rPr>
          <w:i/>
          <w:iCs/>
          <w:shd w:val="clear" w:color="auto" w:fill="FFFFFF"/>
        </w:rPr>
        <w:t>4</w:t>
      </w:r>
      <w:r w:rsidRPr="00EC14DE">
        <w:rPr>
          <w:shd w:val="clear" w:color="auto" w:fill="FFFFFF"/>
        </w:rPr>
        <w:t>(3), pp.229-244.</w:t>
      </w:r>
    </w:p>
    <w:p w14:paraId="273555FA" w14:textId="77777777" w:rsidR="005A584A" w:rsidRPr="00EC14DE" w:rsidRDefault="005A584A" w:rsidP="00EC14DE">
      <w:pPr>
        <w:spacing w:line="360" w:lineRule="auto"/>
        <w:rPr>
          <w:shd w:val="clear" w:color="auto" w:fill="FFFFFF"/>
        </w:rPr>
      </w:pPr>
      <w:r w:rsidRPr="00EC14DE">
        <w:rPr>
          <w:shd w:val="clear" w:color="auto" w:fill="FFFFFF"/>
        </w:rPr>
        <w:t>Nemes, N., Scanlan, S.J., Smith, P., Smith, T., Aronczyk, M., Hill, S., Lewis, S.L., Montgomery, A.W., Tubiello, F.N. and Stabinsky, D., (2022). An integrated framework to assess greenwashing. </w:t>
      </w:r>
      <w:r w:rsidRPr="00EC14DE">
        <w:rPr>
          <w:i/>
          <w:iCs/>
          <w:shd w:val="clear" w:color="auto" w:fill="FFFFFF"/>
        </w:rPr>
        <w:t>Sustainability</w:t>
      </w:r>
      <w:r w:rsidRPr="00EC14DE">
        <w:rPr>
          <w:shd w:val="clear" w:color="auto" w:fill="FFFFFF"/>
        </w:rPr>
        <w:t>, </w:t>
      </w:r>
      <w:r w:rsidRPr="00EC14DE">
        <w:rPr>
          <w:i/>
          <w:iCs/>
          <w:shd w:val="clear" w:color="auto" w:fill="FFFFFF"/>
        </w:rPr>
        <w:t>14</w:t>
      </w:r>
      <w:r w:rsidRPr="00EC14DE">
        <w:rPr>
          <w:shd w:val="clear" w:color="auto" w:fill="FFFFFF"/>
        </w:rPr>
        <w:t>(8), p.4431.</w:t>
      </w:r>
    </w:p>
    <w:p w14:paraId="44300C6C" w14:textId="77777777" w:rsidR="005A584A" w:rsidRPr="00EC14DE" w:rsidRDefault="005A584A" w:rsidP="00EC14DE">
      <w:pPr>
        <w:spacing w:line="360" w:lineRule="auto"/>
        <w:rPr>
          <w:rFonts w:ascii="Arial" w:hAnsi="Arial"/>
          <w:shd w:val="clear" w:color="auto" w:fill="FFFFFF"/>
        </w:rPr>
      </w:pPr>
      <w:r w:rsidRPr="00EC14DE">
        <w:rPr>
          <w:rFonts w:ascii="Arial" w:hAnsi="Arial"/>
          <w:shd w:val="clear" w:color="auto" w:fill="FFFFFF"/>
        </w:rPr>
        <w:lastRenderedPageBreak/>
        <w:t>Pimonenko, T., Bilan, Y., Horák, J., Starchenko, L. and Gajda, W., (2020). Green brand of companies and greenwashing under sustainable development goals. </w:t>
      </w:r>
      <w:r w:rsidRPr="00EC14DE">
        <w:rPr>
          <w:rFonts w:ascii="Arial" w:hAnsi="Arial"/>
          <w:i/>
          <w:iCs/>
          <w:shd w:val="clear" w:color="auto" w:fill="FFFFFF"/>
        </w:rPr>
        <w:t>Sustainability</w:t>
      </w:r>
      <w:r w:rsidRPr="00EC14DE">
        <w:rPr>
          <w:rFonts w:ascii="Arial" w:hAnsi="Arial"/>
          <w:shd w:val="clear" w:color="auto" w:fill="FFFFFF"/>
        </w:rPr>
        <w:t>, </w:t>
      </w:r>
      <w:r w:rsidRPr="00EC14DE">
        <w:rPr>
          <w:rFonts w:ascii="Arial" w:hAnsi="Arial"/>
          <w:i/>
          <w:iCs/>
          <w:shd w:val="clear" w:color="auto" w:fill="FFFFFF"/>
        </w:rPr>
        <w:t>12</w:t>
      </w:r>
      <w:r w:rsidRPr="00EC14DE">
        <w:rPr>
          <w:rFonts w:ascii="Arial" w:hAnsi="Arial"/>
          <w:shd w:val="clear" w:color="auto" w:fill="FFFFFF"/>
        </w:rPr>
        <w:t>(4), p.1679.</w:t>
      </w:r>
    </w:p>
    <w:p w14:paraId="02595258" w14:textId="77777777" w:rsidR="005A584A" w:rsidRPr="00EC14DE" w:rsidRDefault="005A584A" w:rsidP="00EA0E15">
      <w:pPr>
        <w:rPr>
          <w:rFonts w:ascii="Arial" w:hAnsi="Arial"/>
          <w:shd w:val="clear" w:color="auto" w:fill="FFFFFF"/>
        </w:rPr>
      </w:pPr>
      <w:r w:rsidRPr="00EC14DE">
        <w:rPr>
          <w:rFonts w:ascii="Arial" w:hAnsi="Arial"/>
          <w:shd w:val="clear" w:color="auto" w:fill="FFFFFF"/>
        </w:rPr>
        <w:t>Pizzetti, M., Gatti, L. and Seele, P., (2021). Firms talk, suppliers walk: Analyzing the locus of greenwashing in the blame game and introducing ‘vicarious greenwashing’. </w:t>
      </w:r>
      <w:r w:rsidRPr="00EC14DE">
        <w:rPr>
          <w:rFonts w:ascii="Arial" w:hAnsi="Arial"/>
          <w:i/>
          <w:iCs/>
          <w:shd w:val="clear" w:color="auto" w:fill="FFFFFF"/>
        </w:rPr>
        <w:t>Journal of Business Ethics</w:t>
      </w:r>
      <w:r w:rsidRPr="00EC14DE">
        <w:rPr>
          <w:rFonts w:ascii="Arial" w:hAnsi="Arial"/>
          <w:shd w:val="clear" w:color="auto" w:fill="FFFFFF"/>
        </w:rPr>
        <w:t>, </w:t>
      </w:r>
      <w:r w:rsidRPr="00EC14DE">
        <w:rPr>
          <w:rFonts w:ascii="Arial" w:hAnsi="Arial"/>
          <w:i/>
          <w:iCs/>
          <w:shd w:val="clear" w:color="auto" w:fill="FFFFFF"/>
        </w:rPr>
        <w:t>170</w:t>
      </w:r>
      <w:r w:rsidRPr="00EC14DE">
        <w:rPr>
          <w:rFonts w:ascii="Arial" w:hAnsi="Arial"/>
          <w:shd w:val="clear" w:color="auto" w:fill="FFFFFF"/>
        </w:rPr>
        <w:t>, pp.21-38.</w:t>
      </w:r>
    </w:p>
    <w:p w14:paraId="37B8BBE8" w14:textId="77777777" w:rsidR="005A584A" w:rsidRPr="00EC14DE" w:rsidRDefault="005A584A" w:rsidP="00EA0E15">
      <w:pPr>
        <w:rPr>
          <w:rFonts w:ascii="Arial" w:hAnsi="Arial"/>
          <w:shd w:val="clear" w:color="auto" w:fill="FFFFFF"/>
        </w:rPr>
      </w:pPr>
      <w:r w:rsidRPr="00EC14DE">
        <w:rPr>
          <w:rFonts w:ascii="Arial" w:hAnsi="Arial"/>
          <w:shd w:val="clear" w:color="auto" w:fill="FFFFFF"/>
          <w:lang w:val="es-AR"/>
        </w:rPr>
        <w:t xml:space="preserve">Ruiz-Blanco, S., Romero, S. and Fernandez-Feijoo, B., (2022). </w:t>
      </w:r>
      <w:r w:rsidRPr="00EC14DE">
        <w:rPr>
          <w:rFonts w:ascii="Arial" w:hAnsi="Arial"/>
          <w:shd w:val="clear" w:color="auto" w:fill="FFFFFF"/>
        </w:rPr>
        <w:t>Green, blue or black, but washing–What company characteristics determine greenwashing?. </w:t>
      </w:r>
      <w:r w:rsidRPr="00EC14DE">
        <w:rPr>
          <w:rFonts w:ascii="Arial" w:hAnsi="Arial"/>
          <w:i/>
          <w:iCs/>
          <w:shd w:val="clear" w:color="auto" w:fill="FFFFFF"/>
        </w:rPr>
        <w:t>Environment, Development and Sustainability</w:t>
      </w:r>
      <w:r w:rsidRPr="00EC14DE">
        <w:rPr>
          <w:rFonts w:ascii="Arial" w:hAnsi="Arial"/>
          <w:shd w:val="clear" w:color="auto" w:fill="FFFFFF"/>
        </w:rPr>
        <w:t>, pp.1-22.</w:t>
      </w:r>
    </w:p>
    <w:p w14:paraId="450D8721" w14:textId="77777777" w:rsidR="005A584A" w:rsidRPr="00EC14DE" w:rsidRDefault="005A584A" w:rsidP="00EA0E15">
      <w:pPr>
        <w:rPr>
          <w:rFonts w:ascii="Arial" w:hAnsi="Arial"/>
          <w:shd w:val="clear" w:color="auto" w:fill="FFFFFF"/>
        </w:rPr>
      </w:pPr>
      <w:r w:rsidRPr="00EC14DE">
        <w:rPr>
          <w:rFonts w:ascii="Arial" w:hAnsi="Arial"/>
          <w:shd w:val="clear" w:color="auto" w:fill="FFFFFF"/>
          <w:lang w:val="es-AR"/>
        </w:rPr>
        <w:t xml:space="preserve">Santos, C., Coelho, A. and Marques, A., (2023). </w:t>
      </w:r>
      <w:r w:rsidRPr="00EC14DE">
        <w:rPr>
          <w:rFonts w:ascii="Arial" w:hAnsi="Arial"/>
          <w:shd w:val="clear" w:color="auto" w:fill="FFFFFF"/>
        </w:rPr>
        <w:t>A systematic literature review on greenwashing and its relationship to stakeholders: state of art and future research agenda. </w:t>
      </w:r>
      <w:r w:rsidRPr="00EC14DE">
        <w:rPr>
          <w:rFonts w:ascii="Arial" w:hAnsi="Arial"/>
          <w:i/>
          <w:iCs/>
          <w:shd w:val="clear" w:color="auto" w:fill="FFFFFF"/>
        </w:rPr>
        <w:t>Management Review Quarterly</w:t>
      </w:r>
      <w:r w:rsidRPr="00EC14DE">
        <w:rPr>
          <w:rFonts w:ascii="Arial" w:hAnsi="Arial"/>
          <w:shd w:val="clear" w:color="auto" w:fill="FFFFFF"/>
        </w:rPr>
        <w:t>, pp.1-25.</w:t>
      </w:r>
    </w:p>
    <w:p w14:paraId="3305D149" w14:textId="77777777" w:rsidR="005A584A" w:rsidRPr="00EC14DE" w:rsidRDefault="005A584A" w:rsidP="00EA0E15">
      <w:pPr>
        <w:rPr>
          <w:rFonts w:ascii="Arial" w:hAnsi="Arial"/>
          <w:shd w:val="clear" w:color="auto" w:fill="FFFFFF"/>
        </w:rPr>
      </w:pPr>
      <w:r w:rsidRPr="00EC14DE">
        <w:rPr>
          <w:rFonts w:ascii="Arial" w:hAnsi="Arial"/>
          <w:shd w:val="clear" w:color="auto" w:fill="FFFFFF"/>
        </w:rPr>
        <w:t>Szabo, S. and Webster, J., (2021). Perceived greenwashing: the effects of green marketing on environmental and product perceptions. </w:t>
      </w:r>
      <w:r w:rsidRPr="00EC14DE">
        <w:rPr>
          <w:rFonts w:ascii="Arial" w:hAnsi="Arial"/>
          <w:i/>
          <w:iCs/>
          <w:shd w:val="clear" w:color="auto" w:fill="FFFFFF"/>
        </w:rPr>
        <w:t>Journal of business ethics</w:t>
      </w:r>
      <w:r w:rsidRPr="00EC14DE">
        <w:rPr>
          <w:rFonts w:ascii="Arial" w:hAnsi="Arial"/>
          <w:shd w:val="clear" w:color="auto" w:fill="FFFFFF"/>
        </w:rPr>
        <w:t>, </w:t>
      </w:r>
      <w:r w:rsidRPr="00EC14DE">
        <w:rPr>
          <w:rFonts w:ascii="Arial" w:hAnsi="Arial"/>
          <w:i/>
          <w:iCs/>
          <w:shd w:val="clear" w:color="auto" w:fill="FFFFFF"/>
        </w:rPr>
        <w:t>171</w:t>
      </w:r>
      <w:r w:rsidRPr="00EC14DE">
        <w:rPr>
          <w:rFonts w:ascii="Arial" w:hAnsi="Arial"/>
          <w:shd w:val="clear" w:color="auto" w:fill="FFFFFF"/>
        </w:rPr>
        <w:t>, pp.719-739.</w:t>
      </w:r>
    </w:p>
    <w:p w14:paraId="013A9E43" w14:textId="77777777" w:rsidR="005A584A" w:rsidRPr="00EC14DE" w:rsidRDefault="005A584A" w:rsidP="005A584A">
      <w:pPr>
        <w:pStyle w:val="Bibliografie"/>
        <w:rPr>
          <w:rFonts w:ascii="Arial" w:hAnsi="Arial"/>
          <w:noProof/>
          <w:szCs w:val="24"/>
        </w:rPr>
      </w:pPr>
      <w:r w:rsidRPr="00EC14DE">
        <w:rPr>
          <w:rFonts w:ascii="Arial" w:hAnsi="Arial"/>
          <w:noProof/>
        </w:rPr>
        <w:t xml:space="preserve">thegreenhousehotel. (2024). </w:t>
      </w:r>
      <w:r w:rsidRPr="00EC14DE">
        <w:rPr>
          <w:rFonts w:ascii="Arial" w:hAnsi="Arial"/>
          <w:i/>
          <w:iCs/>
          <w:noProof/>
        </w:rPr>
        <w:t>Welcome to The Green House, the luxury boutique hotel in Bournemouth</w:t>
      </w:r>
      <w:r w:rsidRPr="00EC14DE">
        <w:rPr>
          <w:rFonts w:ascii="Arial" w:hAnsi="Arial"/>
          <w:noProof/>
        </w:rPr>
        <w:t>. [Online] Available at: https://www.thegreenhousehotel.co.uk/#:~:text=Welcome%20to%20The%20Green%20House%2C%20the%20luxury%20boutique%20hotel%20in%20Bournemouth&amp;text=On%20the%20face%20of%20it,mysteries%20of%20the%20New%20Forest [Accessed 22 February 2023].</w:t>
      </w:r>
    </w:p>
    <w:p w14:paraId="40D6216B" w14:textId="77777777" w:rsidR="005A584A" w:rsidRPr="00EC14DE" w:rsidRDefault="005A584A" w:rsidP="00EA0E15">
      <w:pPr>
        <w:rPr>
          <w:rFonts w:ascii="Arial" w:hAnsi="Arial"/>
          <w:shd w:val="clear" w:color="auto" w:fill="FFFFFF"/>
        </w:rPr>
      </w:pPr>
      <w:r w:rsidRPr="00EC14DE">
        <w:rPr>
          <w:rFonts w:ascii="Arial" w:hAnsi="Arial"/>
          <w:shd w:val="clear" w:color="auto" w:fill="FFFFFF"/>
        </w:rPr>
        <w:t>Torelli, R., Balluchi, F. and Lazzini, A., (2020). Greenwashing and environmental communication: Effects on stakeholders' perceptions. </w:t>
      </w:r>
      <w:r w:rsidRPr="00EC14DE">
        <w:rPr>
          <w:rFonts w:ascii="Arial" w:hAnsi="Arial"/>
          <w:i/>
          <w:iCs/>
          <w:shd w:val="clear" w:color="auto" w:fill="FFFFFF"/>
        </w:rPr>
        <w:t>Business strategy and the Environment</w:t>
      </w:r>
      <w:r w:rsidRPr="00EC14DE">
        <w:rPr>
          <w:rFonts w:ascii="Arial" w:hAnsi="Arial"/>
          <w:shd w:val="clear" w:color="auto" w:fill="FFFFFF"/>
        </w:rPr>
        <w:t>, </w:t>
      </w:r>
      <w:r w:rsidRPr="00EC14DE">
        <w:rPr>
          <w:rFonts w:ascii="Arial" w:hAnsi="Arial"/>
          <w:i/>
          <w:iCs/>
          <w:shd w:val="clear" w:color="auto" w:fill="FFFFFF"/>
        </w:rPr>
        <w:t>29</w:t>
      </w:r>
      <w:r w:rsidRPr="00EC14DE">
        <w:rPr>
          <w:rFonts w:ascii="Arial" w:hAnsi="Arial"/>
          <w:shd w:val="clear" w:color="auto" w:fill="FFFFFF"/>
        </w:rPr>
        <w:t>(2), pp.407-421.</w:t>
      </w:r>
    </w:p>
    <w:p w14:paraId="71CCDEBC" w14:textId="77777777" w:rsidR="005A584A" w:rsidRPr="00EC14DE" w:rsidRDefault="005A584A" w:rsidP="00EC14DE">
      <w:pPr>
        <w:spacing w:line="360" w:lineRule="auto"/>
        <w:rPr>
          <w:rFonts w:ascii="Arial" w:hAnsi="Arial"/>
          <w:shd w:val="clear" w:color="auto" w:fill="FFFFFF"/>
        </w:rPr>
      </w:pPr>
      <w:r w:rsidRPr="00EC14DE">
        <w:rPr>
          <w:rFonts w:ascii="Arial" w:hAnsi="Arial"/>
          <w:shd w:val="clear" w:color="auto" w:fill="FFFFFF"/>
        </w:rPr>
        <w:t>Vangeli, A., Małecka, A., Mitręga, M. and Pfajfar, G., (2023). From greenwashing to green B2B marketing: A systematic literature review. </w:t>
      </w:r>
      <w:r w:rsidRPr="00EC14DE">
        <w:rPr>
          <w:rFonts w:ascii="Arial" w:hAnsi="Arial"/>
          <w:i/>
          <w:iCs/>
          <w:shd w:val="clear" w:color="auto" w:fill="FFFFFF"/>
        </w:rPr>
        <w:t>Industrial Marketing Management</w:t>
      </w:r>
      <w:r w:rsidRPr="00EC14DE">
        <w:rPr>
          <w:rFonts w:ascii="Arial" w:hAnsi="Arial"/>
          <w:shd w:val="clear" w:color="auto" w:fill="FFFFFF"/>
        </w:rPr>
        <w:t>, </w:t>
      </w:r>
      <w:r w:rsidRPr="00EC14DE">
        <w:rPr>
          <w:rFonts w:ascii="Arial" w:hAnsi="Arial"/>
          <w:i/>
          <w:iCs/>
          <w:shd w:val="clear" w:color="auto" w:fill="FFFFFF"/>
        </w:rPr>
        <w:t>115</w:t>
      </w:r>
      <w:r w:rsidRPr="00EC14DE">
        <w:rPr>
          <w:rFonts w:ascii="Arial" w:hAnsi="Arial"/>
          <w:shd w:val="clear" w:color="auto" w:fill="FFFFFF"/>
        </w:rPr>
        <w:t>, pp.281-299.</w:t>
      </w:r>
    </w:p>
    <w:p w14:paraId="3CDD6D6D" w14:textId="77777777" w:rsidR="005A584A" w:rsidRPr="005A584A" w:rsidRDefault="005A584A" w:rsidP="005A584A">
      <w:pPr>
        <w:rPr>
          <w:lang w:eastAsia="en-IN"/>
        </w:rPr>
      </w:pPr>
    </w:p>
    <w:p w14:paraId="6C1DC948" w14:textId="77777777" w:rsidR="00936128" w:rsidRPr="00936128" w:rsidRDefault="00936128" w:rsidP="00936128">
      <w:pPr>
        <w:rPr>
          <w:lang w:val="en" w:eastAsia="en-IN"/>
        </w:rPr>
      </w:pPr>
    </w:p>
    <w:sectPr w:rsidR="00936128" w:rsidRPr="00936128" w:rsidSect="003B6CB4">
      <w:footerReference w:type="default" r:id="rId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8DBBC01" w14:textId="77777777" w:rsidR="00731416" w:rsidRDefault="00731416" w:rsidP="00784EB4">
      <w:pPr>
        <w:spacing w:line="240" w:lineRule="auto"/>
      </w:pPr>
      <w:r>
        <w:separator/>
      </w:r>
    </w:p>
  </w:endnote>
  <w:endnote w:type="continuationSeparator" w:id="0">
    <w:p w14:paraId="44811AC4" w14:textId="77777777" w:rsidR="00731416" w:rsidRDefault="00731416" w:rsidP="00784EB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455694"/>
      <w:docPartObj>
        <w:docPartGallery w:val="Page Numbers (Bottom of Page)"/>
        <w:docPartUnique/>
      </w:docPartObj>
    </w:sdtPr>
    <w:sdtEndPr/>
    <w:sdtContent>
      <w:sdt>
        <w:sdtPr>
          <w:id w:val="-1769616900"/>
          <w:docPartObj>
            <w:docPartGallery w:val="Page Numbers (Top of Page)"/>
            <w:docPartUnique/>
          </w:docPartObj>
        </w:sdtPr>
        <w:sdtEndPr/>
        <w:sdtContent>
          <w:p w14:paraId="2A5C2E44" w14:textId="7F808F9B" w:rsidR="00784EB4" w:rsidRDefault="00784EB4">
            <w:pPr>
              <w:pStyle w:val="Subsol"/>
              <w:jc w:val="right"/>
            </w:pPr>
            <w:r>
              <w:t xml:space="preserve">Page </w:t>
            </w:r>
            <w:r>
              <w:rPr>
                <w:b/>
                <w:bCs/>
                <w:szCs w:val="24"/>
              </w:rPr>
              <w:fldChar w:fldCharType="begin"/>
            </w:r>
            <w:r>
              <w:rPr>
                <w:b/>
                <w:bCs/>
              </w:rPr>
              <w:instrText>PAGE</w:instrText>
            </w:r>
            <w:r>
              <w:rPr>
                <w:b/>
                <w:bCs/>
                <w:szCs w:val="24"/>
              </w:rPr>
              <w:fldChar w:fldCharType="separate"/>
            </w:r>
            <w:r w:rsidR="002513DF">
              <w:rPr>
                <w:b/>
                <w:bCs/>
                <w:noProof/>
              </w:rPr>
              <w:t>3</w:t>
            </w:r>
            <w:r>
              <w:rPr>
                <w:b/>
                <w:bCs/>
                <w:szCs w:val="24"/>
              </w:rPr>
              <w:fldChar w:fldCharType="end"/>
            </w:r>
            <w:r>
              <w:t xml:space="preserve"> of </w:t>
            </w:r>
            <w:r>
              <w:rPr>
                <w:b/>
                <w:bCs/>
                <w:szCs w:val="24"/>
              </w:rPr>
              <w:fldChar w:fldCharType="begin"/>
            </w:r>
            <w:r>
              <w:rPr>
                <w:b/>
                <w:bCs/>
              </w:rPr>
              <w:instrText>NUMPAGES</w:instrText>
            </w:r>
            <w:r>
              <w:rPr>
                <w:b/>
                <w:bCs/>
                <w:szCs w:val="24"/>
              </w:rPr>
              <w:fldChar w:fldCharType="separate"/>
            </w:r>
            <w:r w:rsidR="002513DF">
              <w:rPr>
                <w:b/>
                <w:bCs/>
                <w:noProof/>
              </w:rPr>
              <w:t>14</w:t>
            </w:r>
            <w:r>
              <w:rPr>
                <w:b/>
                <w:bCs/>
                <w:szCs w:val="24"/>
              </w:rPr>
              <w:fldChar w:fldCharType="end"/>
            </w:r>
          </w:p>
        </w:sdtContent>
      </w:sdt>
    </w:sdtContent>
  </w:sdt>
  <w:p w14:paraId="3587C14D" w14:textId="77777777" w:rsidR="00784EB4" w:rsidRDefault="00784EB4">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EBBE739" w14:textId="77777777" w:rsidR="00731416" w:rsidRDefault="00731416" w:rsidP="00784EB4">
      <w:pPr>
        <w:spacing w:line="240" w:lineRule="auto"/>
      </w:pPr>
      <w:r>
        <w:separator/>
      </w:r>
    </w:p>
  </w:footnote>
  <w:footnote w:type="continuationSeparator" w:id="0">
    <w:p w14:paraId="04BE096C" w14:textId="77777777" w:rsidR="00731416" w:rsidRDefault="00731416" w:rsidP="00784EB4">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37CE"/>
    <w:rsid w:val="000046BF"/>
    <w:rsid w:val="0000578A"/>
    <w:rsid w:val="00016F11"/>
    <w:rsid w:val="0004453C"/>
    <w:rsid w:val="00050728"/>
    <w:rsid w:val="000731B0"/>
    <w:rsid w:val="000946EF"/>
    <w:rsid w:val="000A2A7C"/>
    <w:rsid w:val="000A62B9"/>
    <w:rsid w:val="000C4809"/>
    <w:rsid w:val="000E0B19"/>
    <w:rsid w:val="000E5385"/>
    <w:rsid w:val="000F74C2"/>
    <w:rsid w:val="0017522A"/>
    <w:rsid w:val="00196ACF"/>
    <w:rsid w:val="001A1154"/>
    <w:rsid w:val="001E7E01"/>
    <w:rsid w:val="002513DF"/>
    <w:rsid w:val="0026152E"/>
    <w:rsid w:val="00261C23"/>
    <w:rsid w:val="002A0AD3"/>
    <w:rsid w:val="002E6F62"/>
    <w:rsid w:val="002F7712"/>
    <w:rsid w:val="00357571"/>
    <w:rsid w:val="003A3DA0"/>
    <w:rsid w:val="003B6CB4"/>
    <w:rsid w:val="003E6C6C"/>
    <w:rsid w:val="00402820"/>
    <w:rsid w:val="004225A1"/>
    <w:rsid w:val="00440A86"/>
    <w:rsid w:val="004422B1"/>
    <w:rsid w:val="004437CE"/>
    <w:rsid w:val="00455B6A"/>
    <w:rsid w:val="00466ABD"/>
    <w:rsid w:val="004C18AD"/>
    <w:rsid w:val="004C7EA9"/>
    <w:rsid w:val="004D179D"/>
    <w:rsid w:val="004E6487"/>
    <w:rsid w:val="00501241"/>
    <w:rsid w:val="00553111"/>
    <w:rsid w:val="005A584A"/>
    <w:rsid w:val="005B68FC"/>
    <w:rsid w:val="005C05F4"/>
    <w:rsid w:val="005D7F60"/>
    <w:rsid w:val="005F5329"/>
    <w:rsid w:val="00631EEB"/>
    <w:rsid w:val="00646FB0"/>
    <w:rsid w:val="00651A41"/>
    <w:rsid w:val="0067291C"/>
    <w:rsid w:val="00684540"/>
    <w:rsid w:val="0071648D"/>
    <w:rsid w:val="00731416"/>
    <w:rsid w:val="0073300E"/>
    <w:rsid w:val="007446B7"/>
    <w:rsid w:val="00757704"/>
    <w:rsid w:val="00773116"/>
    <w:rsid w:val="00777558"/>
    <w:rsid w:val="00784EB4"/>
    <w:rsid w:val="007F6F49"/>
    <w:rsid w:val="008311D7"/>
    <w:rsid w:val="00854746"/>
    <w:rsid w:val="0092042D"/>
    <w:rsid w:val="00926A85"/>
    <w:rsid w:val="00936128"/>
    <w:rsid w:val="00953E24"/>
    <w:rsid w:val="009E0FFE"/>
    <w:rsid w:val="00A00B6E"/>
    <w:rsid w:val="00A02EE8"/>
    <w:rsid w:val="00A4588C"/>
    <w:rsid w:val="00A963E5"/>
    <w:rsid w:val="00AB4D51"/>
    <w:rsid w:val="00B00086"/>
    <w:rsid w:val="00B46BDB"/>
    <w:rsid w:val="00B8043B"/>
    <w:rsid w:val="00B93161"/>
    <w:rsid w:val="00BA43D4"/>
    <w:rsid w:val="00BC6BC0"/>
    <w:rsid w:val="00C32AF4"/>
    <w:rsid w:val="00C531A4"/>
    <w:rsid w:val="00CC429A"/>
    <w:rsid w:val="00D00C1E"/>
    <w:rsid w:val="00D738A9"/>
    <w:rsid w:val="00D759F3"/>
    <w:rsid w:val="00D979D7"/>
    <w:rsid w:val="00DB43F4"/>
    <w:rsid w:val="00DD3470"/>
    <w:rsid w:val="00E12FA4"/>
    <w:rsid w:val="00E45C10"/>
    <w:rsid w:val="00E8181A"/>
    <w:rsid w:val="00E92360"/>
    <w:rsid w:val="00EA0E15"/>
    <w:rsid w:val="00EC14DE"/>
    <w:rsid w:val="00EC7CBE"/>
    <w:rsid w:val="00ED3D92"/>
    <w:rsid w:val="00F01A4B"/>
    <w:rsid w:val="00F2246D"/>
    <w:rsid w:val="00F62421"/>
    <w:rsid w:val="00F635A4"/>
    <w:rsid w:val="00FA27F5"/>
    <w:rsid w:val="00FB4964"/>
    <w:rsid w:val="00FB6164"/>
    <w:rsid w:val="00FD11F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0E4ED2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Arial"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2246D"/>
    <w:pPr>
      <w:spacing w:after="0" w:line="480" w:lineRule="auto"/>
      <w:jc w:val="both"/>
    </w:pPr>
    <w:rPr>
      <w:rFonts w:ascii="Times New Roman" w:hAnsi="Times New Roman" w:cs="Arial"/>
      <w:kern w:val="0"/>
      <w:sz w:val="24"/>
      <w:lang w:val="en-GB"/>
      <w14:ligatures w14:val="none"/>
    </w:rPr>
  </w:style>
  <w:style w:type="paragraph" w:styleId="Titlu1">
    <w:name w:val="heading 1"/>
    <w:basedOn w:val="Normal"/>
    <w:next w:val="Normal"/>
    <w:link w:val="Titlu1Caracter"/>
    <w:autoRedefine/>
    <w:uiPriority w:val="9"/>
    <w:qFormat/>
    <w:rsid w:val="007F6F49"/>
    <w:pPr>
      <w:keepNext/>
      <w:keepLines/>
      <w:spacing w:before="400"/>
      <w:outlineLvl w:val="0"/>
    </w:pPr>
    <w:rPr>
      <w:b/>
      <w:sz w:val="28"/>
      <w:szCs w:val="40"/>
      <w:lang w:val="en" w:eastAsia="en-IN"/>
    </w:rPr>
  </w:style>
  <w:style w:type="paragraph" w:styleId="Titlu2">
    <w:name w:val="heading 2"/>
    <w:basedOn w:val="Normal"/>
    <w:next w:val="Normal"/>
    <w:link w:val="Titlu2Caracter"/>
    <w:autoRedefine/>
    <w:uiPriority w:val="9"/>
    <w:unhideWhenUsed/>
    <w:qFormat/>
    <w:rsid w:val="0092042D"/>
    <w:pPr>
      <w:keepNext/>
      <w:keepLines/>
      <w:outlineLvl w:val="1"/>
    </w:pPr>
    <w:rPr>
      <w:rFonts w:eastAsiaTheme="majorEastAsia"/>
      <w:b/>
      <w:sz w:val="26"/>
      <w:szCs w:val="24"/>
    </w:rPr>
  </w:style>
  <w:style w:type="paragraph" w:styleId="Titlu3">
    <w:name w:val="heading 3"/>
    <w:basedOn w:val="Normal"/>
    <w:next w:val="Normal"/>
    <w:link w:val="Titlu3Caracter"/>
    <w:autoRedefine/>
    <w:uiPriority w:val="9"/>
    <w:unhideWhenUsed/>
    <w:qFormat/>
    <w:rsid w:val="00C32AF4"/>
    <w:pPr>
      <w:keepNext/>
      <w:keepLines/>
      <w:spacing w:before="40"/>
      <w:outlineLvl w:val="2"/>
    </w:pPr>
    <w:rPr>
      <w:rFonts w:eastAsiaTheme="majorEastAsia" w:cstheme="majorBidi"/>
      <w:i/>
      <w:szCs w:val="24"/>
      <w:u w:val="single"/>
      <w:lang w:val="en" w:eastAsia="en-IN"/>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7F6F49"/>
    <w:rPr>
      <w:rFonts w:ascii="Times New Roman" w:hAnsi="Times New Roman" w:cs="Arial"/>
      <w:b/>
      <w:kern w:val="0"/>
      <w:sz w:val="28"/>
      <w:szCs w:val="40"/>
      <w:lang w:val="en" w:eastAsia="en-IN"/>
      <w14:ligatures w14:val="none"/>
    </w:rPr>
  </w:style>
  <w:style w:type="character" w:customStyle="1" w:styleId="Titlu2Caracter">
    <w:name w:val="Titlu 2 Caracter"/>
    <w:basedOn w:val="Fontdeparagrafimplicit"/>
    <w:link w:val="Titlu2"/>
    <w:uiPriority w:val="9"/>
    <w:rsid w:val="0092042D"/>
    <w:rPr>
      <w:rFonts w:ascii="Times New Roman" w:eastAsiaTheme="majorEastAsia" w:hAnsi="Times New Roman" w:cs="Times New Roman"/>
      <w:b/>
      <w:sz w:val="26"/>
      <w:szCs w:val="24"/>
      <w:lang w:val="en-GB"/>
    </w:rPr>
  </w:style>
  <w:style w:type="character" w:customStyle="1" w:styleId="Titlu3Caracter">
    <w:name w:val="Titlu 3 Caracter"/>
    <w:basedOn w:val="Fontdeparagrafimplicit"/>
    <w:link w:val="Titlu3"/>
    <w:uiPriority w:val="9"/>
    <w:rsid w:val="00C32AF4"/>
    <w:rPr>
      <w:rFonts w:ascii="Times New Roman" w:eastAsiaTheme="majorEastAsia" w:hAnsi="Times New Roman" w:cstheme="majorBidi"/>
      <w:i/>
      <w:kern w:val="0"/>
      <w:sz w:val="24"/>
      <w:szCs w:val="24"/>
      <w:u w:val="single"/>
      <w:lang w:val="en" w:eastAsia="en-IN"/>
      <w14:ligatures w14:val="none"/>
    </w:rPr>
  </w:style>
  <w:style w:type="paragraph" w:customStyle="1" w:styleId="heading2">
    <w:name w:val="heading2"/>
    <w:basedOn w:val="Normal"/>
    <w:link w:val="heading2Char"/>
    <w:autoRedefine/>
    <w:qFormat/>
    <w:rsid w:val="00D738A9"/>
    <w:pPr>
      <w:spacing w:before="240" w:after="240"/>
    </w:pPr>
    <w:rPr>
      <w:b/>
      <w:bCs/>
      <w:sz w:val="26"/>
      <w:szCs w:val="26"/>
      <w:shd w:val="clear" w:color="auto" w:fill="FFFFFF"/>
      <w:lang w:eastAsia="en-IN"/>
    </w:rPr>
  </w:style>
  <w:style w:type="character" w:customStyle="1" w:styleId="heading2Char">
    <w:name w:val="heading2 Char"/>
    <w:basedOn w:val="Fontdeparagrafimplicit"/>
    <w:link w:val="heading2"/>
    <w:rsid w:val="00D738A9"/>
    <w:rPr>
      <w:rFonts w:ascii="Times New Roman" w:hAnsi="Times New Roman"/>
      <w:b/>
      <w:bCs/>
      <w:sz w:val="26"/>
      <w:szCs w:val="26"/>
      <w:lang w:eastAsia="en-IN"/>
    </w:rPr>
  </w:style>
  <w:style w:type="paragraph" w:styleId="Antet">
    <w:name w:val="header"/>
    <w:basedOn w:val="Normal"/>
    <w:link w:val="AntetCaracter"/>
    <w:uiPriority w:val="99"/>
    <w:unhideWhenUsed/>
    <w:rsid w:val="00784EB4"/>
    <w:pPr>
      <w:tabs>
        <w:tab w:val="center" w:pos="4513"/>
        <w:tab w:val="right" w:pos="9026"/>
      </w:tabs>
      <w:spacing w:line="240" w:lineRule="auto"/>
    </w:pPr>
  </w:style>
  <w:style w:type="character" w:customStyle="1" w:styleId="AntetCaracter">
    <w:name w:val="Antet Caracter"/>
    <w:basedOn w:val="Fontdeparagrafimplicit"/>
    <w:link w:val="Antet"/>
    <w:uiPriority w:val="99"/>
    <w:rsid w:val="00784EB4"/>
    <w:rPr>
      <w:rFonts w:ascii="Times New Roman" w:hAnsi="Times New Roman" w:cs="Arial"/>
      <w:kern w:val="0"/>
      <w:sz w:val="24"/>
      <w:lang w:val="en-GB"/>
      <w14:ligatures w14:val="none"/>
    </w:rPr>
  </w:style>
  <w:style w:type="paragraph" w:styleId="Subsol">
    <w:name w:val="footer"/>
    <w:basedOn w:val="Normal"/>
    <w:link w:val="SubsolCaracter"/>
    <w:uiPriority w:val="99"/>
    <w:unhideWhenUsed/>
    <w:rsid w:val="00784EB4"/>
    <w:pPr>
      <w:tabs>
        <w:tab w:val="center" w:pos="4513"/>
        <w:tab w:val="right" w:pos="9026"/>
      </w:tabs>
      <w:spacing w:line="240" w:lineRule="auto"/>
    </w:pPr>
  </w:style>
  <w:style w:type="character" w:customStyle="1" w:styleId="SubsolCaracter">
    <w:name w:val="Subsol Caracter"/>
    <w:basedOn w:val="Fontdeparagrafimplicit"/>
    <w:link w:val="Subsol"/>
    <w:uiPriority w:val="99"/>
    <w:rsid w:val="00784EB4"/>
    <w:rPr>
      <w:rFonts w:ascii="Times New Roman" w:hAnsi="Times New Roman" w:cs="Arial"/>
      <w:kern w:val="0"/>
      <w:sz w:val="24"/>
      <w:lang w:val="en-GB"/>
      <w14:ligatures w14:val="none"/>
    </w:rPr>
  </w:style>
  <w:style w:type="paragraph" w:styleId="Bibliografie">
    <w:name w:val="Bibliography"/>
    <w:basedOn w:val="Normal"/>
    <w:next w:val="Normal"/>
    <w:uiPriority w:val="37"/>
    <w:unhideWhenUsed/>
    <w:rsid w:val="005A584A"/>
  </w:style>
  <w:style w:type="character" w:styleId="Hyperlink">
    <w:name w:val="Hyperlink"/>
    <w:basedOn w:val="Fontdeparagrafimplicit"/>
    <w:uiPriority w:val="99"/>
    <w:unhideWhenUsed/>
    <w:rsid w:val="005A584A"/>
    <w:rPr>
      <w:color w:val="0563C1" w:themeColor="hyperlink"/>
      <w:u w:val="single"/>
    </w:rPr>
  </w:style>
  <w:style w:type="character" w:customStyle="1" w:styleId="UnresolvedMention">
    <w:name w:val="Unresolved Mention"/>
    <w:basedOn w:val="Fontdeparagrafimplicit"/>
    <w:uiPriority w:val="99"/>
    <w:semiHidden/>
    <w:unhideWhenUsed/>
    <w:rsid w:val="005A584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2692444">
      <w:bodyDiv w:val="1"/>
      <w:marLeft w:val="0"/>
      <w:marRight w:val="0"/>
      <w:marTop w:val="0"/>
      <w:marBottom w:val="0"/>
      <w:divBdr>
        <w:top w:val="none" w:sz="0" w:space="0" w:color="auto"/>
        <w:left w:val="none" w:sz="0" w:space="0" w:color="auto"/>
        <w:bottom w:val="none" w:sz="0" w:space="0" w:color="auto"/>
        <w:right w:val="none" w:sz="0" w:space="0" w:color="auto"/>
      </w:divBdr>
    </w:div>
    <w:div w:id="1072849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the24</b:Tag>
    <b:SourceType>InternetSite</b:SourceType>
    <b:Guid>{30DC90F5-AD6D-4858-A504-5EAFB22D05CE}</b:Guid>
    <b:Author>
      <b:Author>
        <b:Corporate>thegreenhousehotel</b:Corporate>
      </b:Author>
    </b:Author>
    <b:Title>Welcome to The Green House, the luxury boutique hotel in Bournemouth</b:Title>
    <b:Year>2024</b:Year>
    <b:Month>February</b:Month>
    <b:Day>22</b:Day>
    <b:URL>https://www.thegreenhousehotel.co.uk/#:~:text=Welcome%20to%20The%20Green%20House%2C%20the%20luxury%20boutique%20hotel%20in%20Bournemouth&amp;text=On%20the%20face%20of%20it,mysteries%20of%20the%20New%20Forest.</b:URL>
    <b:RefOrder>1</b:RefOrder>
  </b:Source>
</b:Sources>
</file>

<file path=customXml/itemProps1.xml><?xml version="1.0" encoding="utf-8"?>
<ds:datastoreItem xmlns:ds="http://schemas.openxmlformats.org/officeDocument/2006/customXml" ds:itemID="{679FF8D1-7A53-4B7C-B3EA-54E38A965E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2762</Words>
  <Characters>17928</Characters>
  <Application>Microsoft Office Word</Application>
  <DocSecurity>0</DocSecurity>
  <Lines>325</Lines>
  <Paragraphs>84</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20606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2024-03-01T03:03:00Z</dcterms:created>
  <dcterms:modified xsi:type="dcterms:W3CDTF">2024-03-01T17:47:00Z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1008505a042297a60260f158efb62d553c04b0b2fbda5e4232e4c264f3c9ab30</vt:lpwstr>
  </property>
</Properties>
</file>