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BA26A" w14:textId="099B1198" w:rsidR="006F3D56" w:rsidRPr="006F3D56" w:rsidRDefault="006F3D56" w:rsidP="006F3D56">
      <w:pPr>
        <w:pStyle w:val="Heading1"/>
        <w:spacing w:after="200"/>
        <w:jc w:val="both"/>
        <w:rPr>
          <w:rFonts w:ascii="Times New Roman" w:eastAsia="Times New Roman" w:hAnsi="Times New Roman" w:cs="Times New Roman"/>
          <w:lang w:val="en-GB"/>
        </w:rPr>
      </w:pPr>
      <w:r w:rsidRPr="006F3D56">
        <w:rPr>
          <w:rFonts w:ascii="Times New Roman" w:eastAsia="Times New Roman" w:hAnsi="Times New Roman" w:cs="Times New Roman"/>
          <w:lang w:val="en-GB"/>
        </w:rPr>
        <w:drawing>
          <wp:anchor distT="0" distB="0" distL="114300" distR="114300" simplePos="0" relativeHeight="251659264" behindDoc="0" locked="0" layoutInCell="1" allowOverlap="1" wp14:anchorId="6099248A" wp14:editId="5DA7CE1D">
            <wp:simplePos x="0" y="0"/>
            <wp:positionH relativeFrom="margin">
              <wp:align>left</wp:align>
            </wp:positionH>
            <wp:positionV relativeFrom="paragraph">
              <wp:posOffset>294640</wp:posOffset>
            </wp:positionV>
            <wp:extent cx="2076450" cy="85725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pic:spPr>
                </pic:pic>
              </a:graphicData>
            </a:graphic>
            <wp14:sizeRelH relativeFrom="margin">
              <wp14:pctWidth>0</wp14:pctWidth>
            </wp14:sizeRelH>
            <wp14:sizeRelV relativeFrom="margin">
              <wp14:pctHeight>0</wp14:pctHeight>
            </wp14:sizeRelV>
          </wp:anchor>
        </w:drawing>
      </w:r>
    </w:p>
    <w:p w14:paraId="3532A602" w14:textId="77777777" w:rsidR="006F3D56" w:rsidRPr="006F3D56" w:rsidRDefault="006F3D56" w:rsidP="006F3D56">
      <w:pPr>
        <w:pStyle w:val="Heading1"/>
        <w:spacing w:after="200"/>
        <w:jc w:val="both"/>
        <w:rPr>
          <w:rFonts w:ascii="Times New Roman" w:eastAsia="Times New Roman" w:hAnsi="Times New Roman" w:cs="Times New Roman"/>
          <w:lang w:val="en-GB"/>
        </w:rPr>
      </w:pPr>
    </w:p>
    <w:p w14:paraId="34DD7688" w14:textId="631640D3" w:rsidR="006F3D56" w:rsidRDefault="006F3D56" w:rsidP="006F3D56">
      <w:pPr>
        <w:pStyle w:val="Heading1"/>
        <w:spacing w:after="200" w:line="360" w:lineRule="auto"/>
        <w:jc w:val="both"/>
        <w:rPr>
          <w:rFonts w:ascii="Times New Roman" w:eastAsia="Times New Roman" w:hAnsi="Times New Roman" w:cs="Times New Roman"/>
          <w:b/>
          <w:bCs/>
          <w:u w:val="single"/>
          <w:lang w:val="en-GB"/>
        </w:rPr>
      </w:pPr>
      <w:r>
        <w:rPr>
          <w:rFonts w:ascii="Times New Roman" w:eastAsia="Times New Roman" w:hAnsi="Times New Roman" w:cs="Times New Roman"/>
          <w:lang w:val="en-GB"/>
        </w:rPr>
        <w:t xml:space="preserve"> </w:t>
      </w:r>
      <w:r w:rsidRPr="006F3D56">
        <w:rPr>
          <w:rFonts w:ascii="Times New Roman" w:eastAsia="Times New Roman" w:hAnsi="Times New Roman" w:cs="Times New Roman"/>
          <w:b/>
          <w:bCs/>
          <w:u w:val="single"/>
          <w:lang w:val="en-GB"/>
        </w:rPr>
        <w:t xml:space="preserve">Assessment Component 1 </w:t>
      </w:r>
    </w:p>
    <w:p w14:paraId="7A0F7CA1" w14:textId="3D35E888" w:rsidR="006F3D56" w:rsidRDefault="006F3D56" w:rsidP="006F3D56">
      <w:pPr>
        <w:pStyle w:val="Heading1"/>
        <w:spacing w:after="200" w:line="360" w:lineRule="auto"/>
        <w:rPr>
          <w:rFonts w:ascii="Times New Roman" w:eastAsia="Times New Roman" w:hAnsi="Times New Roman" w:cs="Times New Roman"/>
          <w:b/>
          <w:bCs/>
          <w:u w:val="single"/>
          <w:lang w:val="en-GB"/>
        </w:rPr>
      </w:pPr>
      <w:r w:rsidRPr="006F3D56">
        <w:rPr>
          <w:rFonts w:ascii="Times New Roman" w:eastAsia="Times New Roman" w:hAnsi="Times New Roman" w:cs="Times New Roman"/>
          <w:b/>
          <w:bCs/>
          <w:u w:val="single"/>
          <w:lang w:val="en-GB"/>
        </w:rPr>
        <w:t>Case study - Written Report</w:t>
      </w:r>
    </w:p>
    <w:p w14:paraId="077E04A2" w14:textId="26327F1A" w:rsidR="006F3D56" w:rsidRPr="006F3D56" w:rsidRDefault="006F3D56" w:rsidP="006F3D56">
      <w:pPr>
        <w:pStyle w:val="Heading1"/>
        <w:spacing w:after="200" w:line="360" w:lineRule="auto"/>
        <w:jc w:val="both"/>
        <w:rPr>
          <w:rFonts w:ascii="Times New Roman" w:eastAsia="Times New Roman" w:hAnsi="Times New Roman" w:cs="Times New Roman"/>
          <w:b/>
          <w:bCs/>
          <w:u w:val="single"/>
          <w:lang w:val="en-GB"/>
        </w:rPr>
      </w:pPr>
      <w:r w:rsidRPr="006F3D56">
        <w:rPr>
          <w:rFonts w:ascii="Times New Roman" w:eastAsia="Times New Roman" w:hAnsi="Times New Roman" w:cs="Times New Roman"/>
          <w:b/>
          <w:bCs/>
          <w:lang w:val="en-GB"/>
        </w:rPr>
        <w:t>Student name</w:t>
      </w:r>
      <w:r>
        <w:rPr>
          <w:rFonts w:ascii="Times New Roman" w:eastAsia="Times New Roman" w:hAnsi="Times New Roman" w:cs="Times New Roman"/>
          <w:b/>
          <w:bCs/>
          <w:lang w:val="en-GB"/>
        </w:rPr>
        <w:t xml:space="preserve">: </w:t>
      </w:r>
      <w:r>
        <w:rPr>
          <w:rFonts w:ascii="Times New Roman" w:eastAsia="Times New Roman" w:hAnsi="Times New Roman" w:cs="Times New Roman"/>
          <w:lang w:val="en-GB"/>
        </w:rPr>
        <w:t>Marinela Ancuta Szeri</w:t>
      </w:r>
    </w:p>
    <w:p w14:paraId="08845DC6" w14:textId="7A42D3E5" w:rsidR="006F3D56" w:rsidRPr="006F3D56" w:rsidRDefault="006F3D56" w:rsidP="006F3D56">
      <w:pPr>
        <w:pStyle w:val="Heading1"/>
        <w:spacing w:after="200"/>
        <w:jc w:val="both"/>
        <w:rPr>
          <w:rFonts w:ascii="Times New Roman" w:eastAsia="Times New Roman" w:hAnsi="Times New Roman" w:cs="Times New Roman"/>
          <w:lang w:val="en-GB"/>
        </w:rPr>
      </w:pPr>
      <w:r w:rsidRPr="006F3D56">
        <w:rPr>
          <w:rFonts w:ascii="Times New Roman" w:eastAsia="Times New Roman" w:hAnsi="Times New Roman" w:cs="Times New Roman"/>
          <w:b/>
          <w:bCs/>
          <w:lang w:val="en-GB"/>
        </w:rPr>
        <w:t>Student ID</w:t>
      </w:r>
      <w:r w:rsidRPr="006F3D56">
        <w:rPr>
          <w:rFonts w:ascii="Times New Roman" w:eastAsia="Times New Roman" w:hAnsi="Times New Roman" w:cs="Times New Roman"/>
          <w:lang w:val="en-GB"/>
        </w:rPr>
        <w:t>:</w:t>
      </w:r>
      <w:r>
        <w:rPr>
          <w:rFonts w:ascii="Times New Roman" w:eastAsia="Times New Roman" w:hAnsi="Times New Roman" w:cs="Times New Roman"/>
          <w:lang w:val="en-GB"/>
        </w:rPr>
        <w:t xml:space="preserve"> 1917613</w:t>
      </w:r>
    </w:p>
    <w:p w14:paraId="590E1AC4" w14:textId="77777777" w:rsidR="006F3D56" w:rsidRPr="006F3D56" w:rsidRDefault="006F3D56" w:rsidP="006F3D56">
      <w:pPr>
        <w:pStyle w:val="Heading1"/>
        <w:spacing w:after="200"/>
        <w:jc w:val="both"/>
        <w:rPr>
          <w:rFonts w:ascii="Times New Roman" w:eastAsia="Times New Roman" w:hAnsi="Times New Roman" w:cs="Times New Roman"/>
          <w:lang w:val="en-GB"/>
        </w:rPr>
      </w:pPr>
    </w:p>
    <w:p w14:paraId="0D25C6FE" w14:textId="77777777" w:rsidR="006F3D56" w:rsidRPr="006F3D56" w:rsidRDefault="006F3D56" w:rsidP="006F3D56">
      <w:pPr>
        <w:pStyle w:val="Heading1"/>
        <w:spacing w:after="200"/>
        <w:jc w:val="both"/>
        <w:rPr>
          <w:rFonts w:ascii="Times New Roman" w:eastAsia="Times New Roman" w:hAnsi="Times New Roman" w:cs="Times New Roman"/>
          <w:lang w:val="en-GB"/>
        </w:rPr>
      </w:pPr>
      <w:r w:rsidRPr="006F3D56">
        <w:rPr>
          <w:rFonts w:ascii="Times New Roman" w:eastAsia="Times New Roman" w:hAnsi="Times New Roman" w:cs="Times New Roman"/>
          <w:b/>
          <w:bCs/>
          <w:lang w:val="en-GB"/>
        </w:rPr>
        <w:t>Module name</w:t>
      </w:r>
      <w:r w:rsidRPr="006F3D56">
        <w:rPr>
          <w:rFonts w:ascii="Times New Roman" w:eastAsia="Times New Roman" w:hAnsi="Times New Roman" w:cs="Times New Roman"/>
          <w:lang w:val="en-GB"/>
        </w:rPr>
        <w:t>: Children, Young People and Families</w:t>
      </w:r>
    </w:p>
    <w:p w14:paraId="7D4FC66D" w14:textId="77777777" w:rsidR="006F3D56" w:rsidRPr="006F3D56" w:rsidRDefault="006F3D56" w:rsidP="006F3D56">
      <w:pPr>
        <w:pStyle w:val="Heading1"/>
        <w:spacing w:after="200"/>
        <w:jc w:val="both"/>
        <w:rPr>
          <w:rFonts w:ascii="Times New Roman" w:eastAsia="Times New Roman" w:hAnsi="Times New Roman" w:cs="Times New Roman"/>
          <w:lang w:val="en-GB"/>
        </w:rPr>
      </w:pPr>
      <w:r w:rsidRPr="006F3D56">
        <w:rPr>
          <w:rFonts w:ascii="Times New Roman" w:eastAsia="Times New Roman" w:hAnsi="Times New Roman" w:cs="Times New Roman"/>
          <w:b/>
          <w:bCs/>
          <w:lang w:val="en-GB"/>
        </w:rPr>
        <w:t>Module code</w:t>
      </w:r>
      <w:r w:rsidRPr="006F3D56">
        <w:rPr>
          <w:rFonts w:ascii="Times New Roman" w:eastAsia="Times New Roman" w:hAnsi="Times New Roman" w:cs="Times New Roman"/>
          <w:lang w:val="en-GB"/>
        </w:rPr>
        <w:t>: (BMHP5004_LON)</w:t>
      </w:r>
    </w:p>
    <w:p w14:paraId="51CC0699" w14:textId="66B2AE6E" w:rsidR="006F3D56" w:rsidRPr="006F3D56" w:rsidRDefault="006F3D56" w:rsidP="006F3D56">
      <w:pPr>
        <w:pStyle w:val="Heading1"/>
        <w:spacing w:after="200"/>
        <w:jc w:val="both"/>
        <w:rPr>
          <w:rFonts w:ascii="Times New Roman" w:eastAsia="Times New Roman" w:hAnsi="Times New Roman" w:cs="Times New Roman"/>
          <w:lang w:val="en-GB"/>
        </w:rPr>
      </w:pPr>
      <w:r w:rsidRPr="006F3D56">
        <w:rPr>
          <w:rFonts w:ascii="Times New Roman" w:eastAsia="Times New Roman" w:hAnsi="Times New Roman" w:cs="Times New Roman"/>
          <w:b/>
          <w:bCs/>
          <w:lang w:val="en-GB"/>
        </w:rPr>
        <w:t>Lecturer name</w:t>
      </w:r>
      <w:r w:rsidRPr="006F3D56">
        <w:rPr>
          <w:rFonts w:ascii="Times New Roman" w:eastAsia="Times New Roman" w:hAnsi="Times New Roman" w:cs="Times New Roman"/>
          <w:lang w:val="en-GB"/>
        </w:rPr>
        <w:t>:</w:t>
      </w:r>
      <w:r>
        <w:rPr>
          <w:rFonts w:ascii="Times New Roman" w:eastAsia="Times New Roman" w:hAnsi="Times New Roman" w:cs="Times New Roman"/>
          <w:lang w:val="en-GB"/>
        </w:rPr>
        <w:t xml:space="preserve"> Bianca Sanfilippo</w:t>
      </w:r>
    </w:p>
    <w:p w14:paraId="1B25EC22" w14:textId="77777777" w:rsidR="006F3D56" w:rsidRPr="006F3D56" w:rsidRDefault="006F3D56" w:rsidP="006F3D56">
      <w:pPr>
        <w:pStyle w:val="Heading1"/>
        <w:spacing w:after="200"/>
        <w:jc w:val="both"/>
        <w:rPr>
          <w:rFonts w:ascii="Times New Roman" w:eastAsia="Times New Roman" w:hAnsi="Times New Roman" w:cs="Times New Roman"/>
          <w:lang w:val="en-GB"/>
        </w:rPr>
      </w:pPr>
    </w:p>
    <w:p w14:paraId="00000001" w14:textId="77777777" w:rsidR="007E1C5F" w:rsidRDefault="007E1C5F">
      <w:pPr>
        <w:pStyle w:val="Heading1"/>
        <w:spacing w:after="200" w:line="360" w:lineRule="auto"/>
        <w:jc w:val="both"/>
        <w:rPr>
          <w:rFonts w:ascii="Times New Roman" w:eastAsia="Times New Roman" w:hAnsi="Times New Roman" w:cs="Times New Roman"/>
        </w:rPr>
      </w:pPr>
    </w:p>
    <w:p w14:paraId="00000002" w14:textId="77777777" w:rsidR="007E1C5F" w:rsidRDefault="006F3D56">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t>Contents</w:t>
      </w:r>
    </w:p>
    <w:sdt>
      <w:sdtPr>
        <w:id w:val="1312370166"/>
        <w:docPartObj>
          <w:docPartGallery w:val="Table of Contents"/>
          <w:docPartUnique/>
        </w:docPartObj>
      </w:sdtPr>
      <w:sdtContent>
        <w:p w14:paraId="00000003" w14:textId="77777777" w:rsidR="007E1C5F" w:rsidRDefault="006F3D56">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1fob9te">
            <w:r>
              <w:rPr>
                <w:rFonts w:ascii="Times New Roman" w:eastAsia="Times New Roman" w:hAnsi="Times New Roman" w:cs="Times New Roman"/>
                <w:color w:val="000000"/>
              </w:rPr>
              <w:t>Introduction</w:t>
            </w:r>
          </w:hyperlink>
          <w:hyperlink w:anchor="_heading=h.1fob9te">
            <w:r>
              <w:rPr>
                <w:color w:val="000000"/>
              </w:rPr>
              <w:tab/>
              <w:t>1</w:t>
            </w:r>
          </w:hyperlink>
        </w:p>
        <w:p w14:paraId="00000004" w14:textId="77777777" w:rsidR="007E1C5F" w:rsidRDefault="006F3D56">
          <w:pPr>
            <w:pBdr>
              <w:top w:val="nil"/>
              <w:left w:val="nil"/>
              <w:bottom w:val="nil"/>
              <w:right w:val="nil"/>
              <w:between w:val="nil"/>
            </w:pBdr>
            <w:tabs>
              <w:tab w:val="right" w:pos="9350"/>
            </w:tabs>
            <w:spacing w:after="100"/>
            <w:rPr>
              <w:color w:val="000000"/>
            </w:rPr>
          </w:pPr>
          <w:hyperlink w:anchor="_heading=h.3znysh7">
            <w:r>
              <w:rPr>
                <w:rFonts w:ascii="Times New Roman" w:eastAsia="Times New Roman" w:hAnsi="Times New Roman" w:cs="Times New Roman"/>
                <w:color w:val="000000"/>
              </w:rPr>
              <w:t>Case study</w:t>
            </w:r>
          </w:hyperlink>
          <w:hyperlink w:anchor="_heading=h.3znysh7">
            <w:r>
              <w:rPr>
                <w:color w:val="000000"/>
              </w:rPr>
              <w:tab/>
              <w:t>2</w:t>
            </w:r>
          </w:hyperlink>
        </w:p>
        <w:p w14:paraId="00000005" w14:textId="77777777" w:rsidR="007E1C5F" w:rsidRDefault="006F3D56">
          <w:pPr>
            <w:pBdr>
              <w:top w:val="nil"/>
              <w:left w:val="nil"/>
              <w:bottom w:val="nil"/>
              <w:right w:val="nil"/>
              <w:between w:val="nil"/>
            </w:pBdr>
            <w:tabs>
              <w:tab w:val="right" w:pos="9350"/>
            </w:tabs>
            <w:spacing w:after="100"/>
            <w:rPr>
              <w:color w:val="000000"/>
            </w:rPr>
          </w:pPr>
          <w:hyperlink w:anchor="_heading=h.2et92p0">
            <w:r>
              <w:rPr>
                <w:rFonts w:ascii="Times New Roman" w:eastAsia="Times New Roman" w:hAnsi="Times New Roman" w:cs="Times New Roman"/>
                <w:color w:val="000000"/>
              </w:rPr>
              <w:t>Analysis</w:t>
            </w:r>
          </w:hyperlink>
          <w:hyperlink w:anchor="_heading=h.2et92p0">
            <w:r>
              <w:rPr>
                <w:color w:val="000000"/>
              </w:rPr>
              <w:tab/>
              <w:t>3</w:t>
            </w:r>
          </w:hyperlink>
        </w:p>
        <w:p w14:paraId="00000006" w14:textId="77777777" w:rsidR="007E1C5F" w:rsidRDefault="006F3D56">
          <w:pPr>
            <w:pBdr>
              <w:top w:val="nil"/>
              <w:left w:val="nil"/>
              <w:bottom w:val="nil"/>
              <w:right w:val="nil"/>
              <w:between w:val="nil"/>
            </w:pBdr>
            <w:tabs>
              <w:tab w:val="right" w:pos="9350"/>
            </w:tabs>
            <w:spacing w:after="100"/>
            <w:rPr>
              <w:color w:val="000000"/>
            </w:rPr>
          </w:pPr>
          <w:hyperlink w:anchor="_heading=h.tyjcwt">
            <w:r>
              <w:rPr>
                <w:rFonts w:ascii="Times New Roman" w:eastAsia="Times New Roman" w:hAnsi="Times New Roman" w:cs="Times New Roman"/>
                <w:color w:val="000000"/>
              </w:rPr>
              <w:t>Evaluation</w:t>
            </w:r>
          </w:hyperlink>
          <w:hyperlink w:anchor="_heading=h.tyjcwt">
            <w:r>
              <w:rPr>
                <w:color w:val="000000"/>
              </w:rPr>
              <w:tab/>
              <w:t>4</w:t>
            </w:r>
          </w:hyperlink>
        </w:p>
        <w:p w14:paraId="00000007" w14:textId="77777777" w:rsidR="007E1C5F" w:rsidRDefault="006F3D56">
          <w:pPr>
            <w:pBdr>
              <w:top w:val="nil"/>
              <w:left w:val="nil"/>
              <w:bottom w:val="nil"/>
              <w:right w:val="nil"/>
              <w:between w:val="nil"/>
            </w:pBdr>
            <w:tabs>
              <w:tab w:val="right" w:pos="9350"/>
            </w:tabs>
            <w:spacing w:after="100"/>
            <w:rPr>
              <w:color w:val="000000"/>
            </w:rPr>
          </w:pPr>
          <w:hyperlink w:anchor="_heading=h.3dy6vkm">
            <w:r>
              <w:rPr>
                <w:rFonts w:ascii="Times New Roman" w:eastAsia="Times New Roman" w:hAnsi="Times New Roman" w:cs="Times New Roman"/>
                <w:color w:val="000000"/>
              </w:rPr>
              <w:t>Conclusion</w:t>
            </w:r>
          </w:hyperlink>
          <w:hyperlink w:anchor="_heading=h.3dy6vkm">
            <w:r>
              <w:rPr>
                <w:color w:val="000000"/>
              </w:rPr>
              <w:tab/>
              <w:t>5</w:t>
            </w:r>
          </w:hyperlink>
        </w:p>
        <w:p w14:paraId="00000008" w14:textId="77777777" w:rsidR="007E1C5F" w:rsidRDefault="006F3D56">
          <w:pPr>
            <w:pBdr>
              <w:top w:val="nil"/>
              <w:left w:val="nil"/>
              <w:bottom w:val="nil"/>
              <w:right w:val="nil"/>
              <w:between w:val="nil"/>
            </w:pBdr>
            <w:tabs>
              <w:tab w:val="right" w:pos="9350"/>
            </w:tabs>
            <w:spacing w:after="100"/>
            <w:rPr>
              <w:color w:val="000000"/>
            </w:rPr>
          </w:pPr>
          <w:hyperlink w:anchor="_heading=h.1t3h5sf">
            <w:r>
              <w:rPr>
                <w:rFonts w:ascii="Times New Roman" w:eastAsia="Times New Roman" w:hAnsi="Times New Roman" w:cs="Times New Roman"/>
                <w:color w:val="000000"/>
              </w:rPr>
              <w:t>Reference</w:t>
            </w:r>
          </w:hyperlink>
          <w:hyperlink w:anchor="_heading=h.1t3h5sf">
            <w:r>
              <w:rPr>
                <w:color w:val="000000"/>
              </w:rPr>
              <w:tab/>
              <w:t>5</w:t>
            </w:r>
          </w:hyperlink>
        </w:p>
        <w:p w14:paraId="00000009" w14:textId="77777777" w:rsidR="007E1C5F" w:rsidRDefault="006F3D56">
          <w:r>
            <w:fldChar w:fldCharType="end"/>
          </w:r>
        </w:p>
      </w:sdtContent>
    </w:sdt>
    <w:p w14:paraId="0000000A" w14:textId="77777777" w:rsidR="007E1C5F" w:rsidRDefault="007E1C5F">
      <w:pPr>
        <w:rPr>
          <w:rFonts w:ascii="Times New Roman" w:eastAsia="Times New Roman" w:hAnsi="Times New Roman" w:cs="Times New Roman"/>
        </w:rPr>
      </w:pPr>
    </w:p>
    <w:p w14:paraId="0000000B" w14:textId="77777777" w:rsidR="007E1C5F" w:rsidRDefault="007E1C5F">
      <w:pPr>
        <w:pStyle w:val="Heading1"/>
        <w:spacing w:after="200" w:line="360" w:lineRule="auto"/>
        <w:jc w:val="both"/>
        <w:rPr>
          <w:rFonts w:ascii="Times New Roman" w:eastAsia="Times New Roman" w:hAnsi="Times New Roman" w:cs="Times New Roman"/>
        </w:rPr>
      </w:pPr>
      <w:bookmarkStart w:id="0" w:name="_heading=h.30j0zll" w:colFirst="0" w:colLast="0"/>
      <w:bookmarkEnd w:id="0"/>
    </w:p>
    <w:p w14:paraId="0000000C" w14:textId="77777777" w:rsidR="007E1C5F" w:rsidRDefault="006F3D56">
      <w:pPr>
        <w:rPr>
          <w:rFonts w:ascii="Times New Roman" w:eastAsia="Times New Roman" w:hAnsi="Times New Roman" w:cs="Times New Roman"/>
          <w:sz w:val="40"/>
          <w:szCs w:val="40"/>
        </w:rPr>
      </w:pPr>
      <w:bookmarkStart w:id="1" w:name="_heading=h.1fob9te" w:colFirst="0" w:colLast="0"/>
      <w:bookmarkEnd w:id="1"/>
      <w:r>
        <w:br w:type="page"/>
      </w:r>
    </w:p>
    <w:p w14:paraId="0000000D" w14:textId="77777777" w:rsidR="007E1C5F" w:rsidRDefault="006F3D56">
      <w:pPr>
        <w:pStyle w:val="Heading1"/>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Introduction </w:t>
      </w:r>
    </w:p>
    <w:p w14:paraId="0000000E"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capacity of the parent to supervise, nurse and care for their children may be badly affected by factors like family violence, parental drugs and alcohol, parental mental </w:t>
      </w:r>
      <w:proofErr w:type="gramStart"/>
      <w:r>
        <w:rPr>
          <w:rFonts w:ascii="Times New Roman" w:eastAsia="Times New Roman" w:hAnsi="Times New Roman" w:cs="Times New Roman"/>
          <w:sz w:val="24"/>
          <w:szCs w:val="24"/>
        </w:rPr>
        <w:t>illness</w:t>
      </w:r>
      <w:proofErr w:type="gramEnd"/>
      <w:r>
        <w:rPr>
          <w:rFonts w:ascii="Times New Roman" w:eastAsia="Times New Roman" w:hAnsi="Times New Roman" w:cs="Times New Roman"/>
          <w:sz w:val="24"/>
          <w:szCs w:val="24"/>
        </w:rPr>
        <w:t xml:space="preserve"> and intellectual disabilities. This lack of surveillance can expose children and young children to severe bodily damage, as well as environmental neglect (</w:t>
      </w:r>
      <w:r>
        <w:rPr>
          <w:rFonts w:ascii="Times New Roman" w:eastAsia="Times New Roman" w:hAnsi="Times New Roman" w:cs="Times New Roman"/>
          <w:color w:val="222222"/>
          <w:sz w:val="24"/>
          <w:szCs w:val="24"/>
          <w:highlight w:val="white"/>
        </w:rPr>
        <w:t>Jacob and Marlais,2021</w:t>
      </w:r>
      <w:r>
        <w:rPr>
          <w:rFonts w:ascii="Times New Roman" w:eastAsia="Times New Roman" w:hAnsi="Times New Roman" w:cs="Times New Roman"/>
          <w:sz w:val="24"/>
          <w:szCs w:val="24"/>
        </w:rPr>
        <w:t xml:space="preserve">). The vulnerability may be described as situations when a family's requirements cannot be satisfied from its resources or kith. Family relationships and services can contribute significantly to the welfare of the children and the family. This essay will discuss the </w:t>
      </w:r>
      <w:proofErr w:type="gramStart"/>
      <w:r>
        <w:rPr>
          <w:rFonts w:ascii="Times New Roman" w:eastAsia="Times New Roman" w:hAnsi="Times New Roman" w:cs="Times New Roman"/>
          <w:sz w:val="24"/>
          <w:szCs w:val="24"/>
        </w:rPr>
        <w:t>families</w:t>
      </w:r>
      <w:proofErr w:type="gramEnd"/>
      <w:r>
        <w:rPr>
          <w:rFonts w:ascii="Times New Roman" w:eastAsia="Times New Roman" w:hAnsi="Times New Roman" w:cs="Times New Roman"/>
          <w:sz w:val="24"/>
          <w:szCs w:val="24"/>
        </w:rPr>
        <w:t xml:space="preserve"> unit case study from Norfolk. Holly is a 37-year-old woman, single parent, and a mother of three (Sarah 13, mark 9 and kylie,2). The local government reported the family to the unit. The children had a safeguard scheme for children. The provincial government sets out what measures a family must take to improve how their children are cared for via emotional abuse and neglect. The factors detected regarding the vulnerability are that Holly was addicted to alcohol and has not taken or nurtured. On the estate, the family was both the culprit and the victim of anti-social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and the children's attendance was close to zero.</w:t>
      </w:r>
    </w:p>
    <w:p w14:paraId="0000000F" w14:textId="77777777" w:rsidR="007E1C5F" w:rsidRDefault="006F3D56">
      <w:pPr>
        <w:rPr>
          <w:rFonts w:ascii="Times New Roman" w:eastAsia="Times New Roman" w:hAnsi="Times New Roman" w:cs="Times New Roman"/>
          <w:sz w:val="32"/>
          <w:szCs w:val="32"/>
        </w:rPr>
      </w:pPr>
      <w:bookmarkStart w:id="2" w:name="_heading=h.3znysh7" w:colFirst="0" w:colLast="0"/>
      <w:bookmarkEnd w:id="2"/>
      <w:r>
        <w:br w:type="page"/>
      </w:r>
    </w:p>
    <w:p w14:paraId="00000010" w14:textId="77777777" w:rsidR="007E1C5F" w:rsidRDefault="006F3D56">
      <w:pPr>
        <w:pStyle w:val="Heading2"/>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Case study </w:t>
      </w:r>
    </w:p>
    <w:p w14:paraId="00000011"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families</w:t>
      </w:r>
      <w:proofErr w:type="gramEnd"/>
      <w:r>
        <w:rPr>
          <w:rFonts w:ascii="Times New Roman" w:eastAsia="Times New Roman" w:hAnsi="Times New Roman" w:cs="Times New Roman"/>
          <w:sz w:val="24"/>
          <w:szCs w:val="24"/>
        </w:rPr>
        <w:t xml:space="preserve"> unit case study is from Norfolk, Holly, 37 by age, single parent and a mother of three, Sarah, age 13, mark age 9 and Kylie, age 2. The local government reported the family to the unit. A child safety strategy was in place for children. The provincial government sets out what </w:t>
      </w:r>
      <w:proofErr w:type="gramStart"/>
      <w:r>
        <w:rPr>
          <w:rFonts w:ascii="Times New Roman" w:eastAsia="Times New Roman" w:hAnsi="Times New Roman" w:cs="Times New Roman"/>
          <w:sz w:val="24"/>
          <w:szCs w:val="24"/>
        </w:rPr>
        <w:t>measures</w:t>
      </w:r>
      <w:proofErr w:type="gramEnd"/>
      <w:r>
        <w:rPr>
          <w:rFonts w:ascii="Times New Roman" w:eastAsia="Times New Roman" w:hAnsi="Times New Roman" w:cs="Times New Roman"/>
          <w:sz w:val="24"/>
          <w:szCs w:val="24"/>
        </w:rPr>
        <w:t xml:space="preserve"> families must take steps to enhance their children's lives cared for via emotional abuse and neglect. The factor identified in the case study is followed. Domestic violence in the family has been seen and experienced for a long time. Holly experienced alcohol problems and panic attacks, and anxiety. She also had some past abusive relationships, which lead to these anti-social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She had weak problem-solving abilities and found it difficult for children to establish acceptable limits. The family was the offender and the victim of antisocial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school students were lacking. </w:t>
      </w:r>
    </w:p>
    <w:p w14:paraId="00000012"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provided specific policies to address this type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help to overcome vulnerable situations. According to the United Nations Convention on the Rights of the Child (UNCRC), Article 4 protects the rights. All reasonable efforts must be taken by governments to ensure that children's rights are acknowledged, protected, and fulfilled. When a country ratifies the Convention, it undertakes to review its laws concerning children (</w:t>
      </w:r>
      <w:r>
        <w:rPr>
          <w:rFonts w:ascii="Times New Roman" w:eastAsia="Times New Roman" w:hAnsi="Times New Roman" w:cs="Times New Roman"/>
          <w:color w:val="222222"/>
          <w:sz w:val="24"/>
          <w:szCs w:val="24"/>
          <w:highlight w:val="white"/>
        </w:rPr>
        <w:t>Bengtsson,2017</w:t>
      </w:r>
      <w:r>
        <w:rPr>
          <w:rFonts w:ascii="Times New Roman" w:eastAsia="Times New Roman" w:hAnsi="Times New Roman" w:cs="Times New Roman"/>
          <w:sz w:val="24"/>
          <w:szCs w:val="24"/>
        </w:rPr>
        <w:t>). This includes assessing their socioeconomic, legislative, health, and educational institutions, as well as the budgets allocated to these services. Therefore, governments must make all necessary efforts to ensure that the Convention's minimum requirements are satisfied in these areas. They must assist families in safeguarding children's rights and creating an environment where they can develop and achieve their full potential (</w:t>
      </w:r>
      <w:r>
        <w:rPr>
          <w:rFonts w:ascii="Times New Roman" w:eastAsia="Times New Roman" w:hAnsi="Times New Roman" w:cs="Times New Roman"/>
          <w:color w:val="222222"/>
          <w:sz w:val="24"/>
          <w:szCs w:val="24"/>
          <w:highlight w:val="white"/>
        </w:rPr>
        <w:t>Alderson,2017</w:t>
      </w:r>
      <w:r>
        <w:rPr>
          <w:rFonts w:ascii="Times New Roman" w:eastAsia="Times New Roman" w:hAnsi="Times New Roman" w:cs="Times New Roman"/>
          <w:sz w:val="24"/>
          <w:szCs w:val="24"/>
        </w:rPr>
        <w:t>). This may include amending current laws or enacting new ones in some cases. Such legal changes are not imposed but rather result from the same process that any legislation in a country goes through when it is made or modified. All children and young people have the right to survive and grow, according to Article 6 of the UNCRC. It states that the government should do everything possible to prevent children and young people from suffering (</w:t>
      </w:r>
      <w:r>
        <w:rPr>
          <w:rFonts w:ascii="Times New Roman" w:eastAsia="Times New Roman" w:hAnsi="Times New Roman" w:cs="Times New Roman"/>
          <w:color w:val="222222"/>
          <w:sz w:val="24"/>
          <w:szCs w:val="24"/>
          <w:highlight w:val="white"/>
        </w:rPr>
        <w:t>Murray,2019</w:t>
      </w:r>
      <w:r>
        <w:rPr>
          <w:rFonts w:ascii="Times New Roman" w:eastAsia="Times New Roman" w:hAnsi="Times New Roman" w:cs="Times New Roman"/>
          <w:sz w:val="24"/>
          <w:szCs w:val="24"/>
        </w:rPr>
        <w:t>). This article also states that children and adolescents should be allowed to grow up in environments that do not compromise their physical and mental health.</w:t>
      </w:r>
    </w:p>
    <w:p w14:paraId="00000013" w14:textId="77777777" w:rsidR="007E1C5F" w:rsidRDefault="006F3D56">
      <w:pPr>
        <w:pStyle w:val="Heading2"/>
        <w:spacing w:after="200" w:line="360" w:lineRule="auto"/>
        <w:jc w:val="both"/>
        <w:rPr>
          <w:rFonts w:ascii="Times New Roman" w:eastAsia="Times New Roman" w:hAnsi="Times New Roman" w:cs="Times New Roman"/>
        </w:rPr>
      </w:pPr>
      <w:bookmarkStart w:id="3" w:name="_heading=h.2et92p0" w:colFirst="0" w:colLast="0"/>
      <w:bookmarkEnd w:id="3"/>
      <w:r>
        <w:rPr>
          <w:rFonts w:ascii="Times New Roman" w:eastAsia="Times New Roman" w:hAnsi="Times New Roman" w:cs="Times New Roman"/>
        </w:rPr>
        <w:lastRenderedPageBreak/>
        <w:t xml:space="preserve">Analysis </w:t>
      </w:r>
    </w:p>
    <w:p w14:paraId="00000014"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Familie</w:t>
      </w:r>
      <w:proofErr w:type="spellEnd"/>
      <w:r>
        <w:rPr>
          <w:rFonts w:ascii="Times New Roman" w:eastAsia="Times New Roman" w:hAnsi="Times New Roman" w:cs="Times New Roman"/>
          <w:sz w:val="24"/>
          <w:szCs w:val="24"/>
        </w:rPr>
        <w:t xml:space="preserve"> unit has worked closely with the family for 11 months and has significantly improved the antisocial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family, which has prompted them to relocate to their homes. Holly received assistance in leaving a violent relationship. Holly stopped her anti-social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why she was always entangled in harmful situations after working on comprehending the consequences of her actions. Holly received assistance and direction for the children's boundaries and enhanced her childhood. Following school mediation to handle bullying, Sarah's school participation rose from 65 per cent to 96 per cent. Sarah takes dancing classes, and Mark was in a dramatic course, helping her increase trust and self-esteem. Holly was also relieved to access her youngest child Kylie to obtain a preschool. </w:t>
      </w:r>
    </w:p>
    <w:p w14:paraId="00000015"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work practice in the United Kingdom has traditionally been based on legislation and public policy concerning children, </w:t>
      </w:r>
      <w:proofErr w:type="gramStart"/>
      <w:r>
        <w:rPr>
          <w:rFonts w:ascii="Times New Roman" w:eastAsia="Times New Roman" w:hAnsi="Times New Roman" w:cs="Times New Roman"/>
          <w:sz w:val="24"/>
          <w:szCs w:val="24"/>
        </w:rPr>
        <w:t>families</w:t>
      </w:r>
      <w:proofErr w:type="gramEnd"/>
      <w:r>
        <w:rPr>
          <w:rFonts w:ascii="Times New Roman" w:eastAsia="Times New Roman" w:hAnsi="Times New Roman" w:cs="Times New Roman"/>
          <w:sz w:val="24"/>
          <w:szCs w:val="24"/>
        </w:rPr>
        <w:t xml:space="preserve"> and individuals. As this framework develops, new working and innovation methods based on evidence are needed to suit people's needs and specific situations. Strength-based practice is the process of collaboration between the service-supporter and the supporting individuals to work together to decide the result based on the strengths and assets of the individual (</w:t>
      </w:r>
      <w:r>
        <w:rPr>
          <w:rFonts w:ascii="Times New Roman" w:eastAsia="Times New Roman" w:hAnsi="Times New Roman" w:cs="Times New Roman"/>
          <w:color w:val="222222"/>
          <w:sz w:val="24"/>
          <w:szCs w:val="24"/>
          <w:highlight w:val="white"/>
        </w:rPr>
        <w:t>Swartz,2017</w:t>
      </w:r>
      <w:r>
        <w:rPr>
          <w:rFonts w:ascii="Times New Roman" w:eastAsia="Times New Roman" w:hAnsi="Times New Roman" w:cs="Times New Roman"/>
          <w:sz w:val="24"/>
          <w:szCs w:val="24"/>
        </w:rPr>
        <w:t>). It focuses mainly on the quality of the interaction between those who provide support and supporters and the components that the support seeker significantly contributes. In Holly’s case, the professional used this similar approach to leave behind her past experiences and was given support to set boundaries with her kid and leave her violent relationship (</w:t>
      </w:r>
      <w:r>
        <w:rPr>
          <w:rFonts w:ascii="Times New Roman" w:eastAsia="Times New Roman" w:hAnsi="Times New Roman" w:cs="Times New Roman"/>
          <w:color w:val="222222"/>
          <w:sz w:val="24"/>
          <w:szCs w:val="24"/>
          <w:highlight w:val="white"/>
        </w:rPr>
        <w:t>Fortune,2018</w:t>
      </w:r>
      <w:r>
        <w:rPr>
          <w:rFonts w:ascii="Times New Roman" w:eastAsia="Times New Roman" w:hAnsi="Times New Roman" w:cs="Times New Roman"/>
          <w:sz w:val="24"/>
          <w:szCs w:val="24"/>
        </w:rPr>
        <w:t xml:space="preserve">). A significant catalyst for change was the adoption of the Care Act in 2014. The Act underlines that SBAs are one of the main concepts of co-production, </w:t>
      </w:r>
      <w:proofErr w:type="gramStart"/>
      <w:r>
        <w:rPr>
          <w:rFonts w:ascii="Times New Roman" w:eastAsia="Times New Roman" w:hAnsi="Times New Roman" w:cs="Times New Roman"/>
          <w:sz w:val="24"/>
          <w:szCs w:val="24"/>
        </w:rPr>
        <w:t>preventive</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in connection to evaluations and treatments. </w:t>
      </w:r>
    </w:p>
    <w:p w14:paraId="00000016"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a fundamental move from a deficit understanding of children and young people as 'problems of being' to being 'on promise' – constructive agents of life changes – was mirrored in the emerging political and legislative process addressed here (</w:t>
      </w:r>
      <w:r>
        <w:rPr>
          <w:rFonts w:ascii="Times New Roman" w:eastAsia="Times New Roman" w:hAnsi="Times New Roman" w:cs="Times New Roman"/>
          <w:color w:val="222222"/>
          <w:sz w:val="24"/>
          <w:szCs w:val="24"/>
          <w:highlight w:val="white"/>
        </w:rPr>
        <w:t>Swartz,2017</w:t>
      </w:r>
      <w:r>
        <w:rPr>
          <w:rFonts w:ascii="Times New Roman" w:eastAsia="Times New Roman" w:hAnsi="Times New Roman" w:cs="Times New Roman"/>
          <w:sz w:val="24"/>
          <w:szCs w:val="24"/>
        </w:rPr>
        <w:t>). An SBA on social care is founded on rights and is person-</w:t>
      </w:r>
      <w:proofErr w:type="spellStart"/>
      <w:proofErr w:type="gram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and</w:t>
      </w:r>
      <w:proofErr w:type="gramEnd"/>
      <w:r>
        <w:rPr>
          <w:rFonts w:ascii="Times New Roman" w:eastAsia="Times New Roman" w:hAnsi="Times New Roman" w:cs="Times New Roman"/>
          <w:sz w:val="24"/>
          <w:szCs w:val="24"/>
        </w:rPr>
        <w:t xml:space="preserve"> based on ethics and values. As a result, it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the function of the Mental Capacity Act in assisting the decision-making of young persons aged 16 and over. Individuals, families, and communities are placed at the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social care. It is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that they play an essential role in caring for children and young </w:t>
      </w:r>
      <w:r>
        <w:rPr>
          <w:rFonts w:ascii="Times New Roman" w:eastAsia="Times New Roman" w:hAnsi="Times New Roman" w:cs="Times New Roman"/>
          <w:sz w:val="24"/>
          <w:szCs w:val="24"/>
        </w:rPr>
        <w:lastRenderedPageBreak/>
        <w:t>people that cannot be substituted exclusively by professional involvement. This involves a new way to look at people and take on the basic concept that, while they are faced with challenges, they can make suitable changes in their life if they can and are supported by them (</w:t>
      </w:r>
      <w:proofErr w:type="spellStart"/>
      <w:r>
        <w:rPr>
          <w:rFonts w:ascii="Times New Roman" w:eastAsia="Times New Roman" w:hAnsi="Times New Roman" w:cs="Times New Roman"/>
          <w:color w:val="222222"/>
          <w:sz w:val="24"/>
          <w:szCs w:val="24"/>
          <w:highlight w:val="white"/>
        </w:rPr>
        <w:t>Pulla</w:t>
      </w:r>
      <w:proofErr w:type="spellEnd"/>
      <w:r>
        <w:rPr>
          <w:rFonts w:ascii="Times New Roman" w:eastAsia="Times New Roman" w:hAnsi="Times New Roman" w:cs="Times New Roman"/>
          <w:color w:val="222222"/>
          <w:sz w:val="24"/>
          <w:szCs w:val="24"/>
          <w:highlight w:val="white"/>
        </w:rPr>
        <w:t xml:space="preserve"> and del Villar,2020</w:t>
      </w:r>
      <w:r>
        <w:rPr>
          <w:rFonts w:ascii="Times New Roman" w:eastAsia="Times New Roman" w:hAnsi="Times New Roman" w:cs="Times New Roman"/>
          <w:sz w:val="24"/>
          <w:szCs w:val="24"/>
        </w:rPr>
        <w:t xml:space="preserve">). It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that children and young people and their families have significant abilities and experiences essential for getting together and developing solutions. SBAs may be effective if a system-wide strategy is adopted to change to establish the vital circumstances for success. </w:t>
      </w:r>
      <w:proofErr w:type="gramStart"/>
      <w:r>
        <w:rPr>
          <w:rFonts w:ascii="Times New Roman" w:eastAsia="Times New Roman" w:hAnsi="Times New Roman" w:cs="Times New Roman"/>
          <w:sz w:val="24"/>
          <w:szCs w:val="24"/>
        </w:rPr>
        <w:t>In particular, this</w:t>
      </w:r>
      <w:proofErr w:type="gramEnd"/>
      <w:r>
        <w:rPr>
          <w:rFonts w:ascii="Times New Roman" w:eastAsia="Times New Roman" w:hAnsi="Times New Roman" w:cs="Times New Roman"/>
          <w:sz w:val="24"/>
          <w:szCs w:val="24"/>
        </w:rPr>
        <w:t xml:space="preserve"> calls for a change in the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attitudes, relationships and abilities needed to engage with people successfully and get the care they need. The session focuses on the challenges, problems and needs of individuals, their capability, family and community support, and the services and professional skills (</w:t>
      </w:r>
      <w:r>
        <w:rPr>
          <w:rFonts w:ascii="Times New Roman" w:eastAsia="Times New Roman" w:hAnsi="Times New Roman" w:cs="Times New Roman"/>
          <w:color w:val="222222"/>
          <w:sz w:val="24"/>
          <w:szCs w:val="24"/>
          <w:highlight w:val="white"/>
        </w:rPr>
        <w:t xml:space="preserve">Appleton, </w:t>
      </w:r>
      <w:proofErr w:type="gramStart"/>
      <w:r>
        <w:rPr>
          <w:rFonts w:ascii="Times New Roman" w:eastAsia="Times New Roman" w:hAnsi="Times New Roman" w:cs="Times New Roman"/>
          <w:color w:val="222222"/>
          <w:sz w:val="24"/>
          <w:szCs w:val="24"/>
          <w:highlight w:val="white"/>
        </w:rPr>
        <w:t>Harrison</w:t>
      </w:r>
      <w:proofErr w:type="gramEnd"/>
      <w:r>
        <w:rPr>
          <w:rFonts w:ascii="Times New Roman" w:eastAsia="Times New Roman" w:hAnsi="Times New Roman" w:cs="Times New Roman"/>
          <w:color w:val="222222"/>
          <w:sz w:val="24"/>
          <w:szCs w:val="24"/>
          <w:highlight w:val="white"/>
        </w:rPr>
        <w:t xml:space="preserve"> and Mumby-Croft,2020</w:t>
      </w:r>
      <w:r>
        <w:rPr>
          <w:rFonts w:ascii="Times New Roman" w:eastAsia="Times New Roman" w:hAnsi="Times New Roman" w:cs="Times New Roman"/>
          <w:sz w:val="24"/>
          <w:szCs w:val="24"/>
        </w:rPr>
        <w:t xml:space="preserve">). A comprehensive approach involves children, young </w:t>
      </w:r>
      <w:proofErr w:type="gramStart"/>
      <w:r>
        <w:rPr>
          <w:rFonts w:ascii="Times New Roman" w:eastAsia="Times New Roman" w:hAnsi="Times New Roman" w:cs="Times New Roman"/>
          <w:sz w:val="24"/>
          <w:szCs w:val="24"/>
        </w:rPr>
        <w:t>people</w:t>
      </w:r>
      <w:proofErr w:type="gramEnd"/>
      <w:r>
        <w:rPr>
          <w:rFonts w:ascii="Times New Roman" w:eastAsia="Times New Roman" w:hAnsi="Times New Roman" w:cs="Times New Roman"/>
          <w:sz w:val="24"/>
          <w:szCs w:val="24"/>
        </w:rPr>
        <w:t xml:space="preserve"> and their families alike. The method works together, based on valuable talents or assets for every member of the community. It is an entire family strategy aimed at building connections and links using one's networks. The project runs via the local coordinator, one point of contact, who works with families to develop reasonable solutions limited in time and not limited in time 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reliance, where feasible and implement support. To be </w:t>
      </w:r>
      <w:proofErr w:type="gramStart"/>
      <w:r>
        <w:rPr>
          <w:rFonts w:ascii="Times New Roman" w:eastAsia="Times New Roman" w:hAnsi="Times New Roman" w:cs="Times New Roman"/>
          <w:sz w:val="24"/>
          <w:szCs w:val="24"/>
        </w:rPr>
        <w:t>effective in reality, the</w:t>
      </w:r>
      <w:proofErr w:type="gramEnd"/>
      <w:r>
        <w:rPr>
          <w:rFonts w:ascii="Times New Roman" w:eastAsia="Times New Roman" w:hAnsi="Times New Roman" w:cs="Times New Roman"/>
          <w:sz w:val="24"/>
          <w:szCs w:val="24"/>
        </w:rPr>
        <w:t xml:space="preserve"> existing regulatory frameworks and local institutions are overly focused on risk prevention and compliance. A positive approach to risk and a readiness on behalf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practicers</w:t>
      </w:r>
      <w:proofErr w:type="spellEnd"/>
      <w:r>
        <w:rPr>
          <w:rFonts w:ascii="Times New Roman" w:eastAsia="Times New Roman" w:hAnsi="Times New Roman" w:cs="Times New Roman"/>
          <w:sz w:val="24"/>
          <w:szCs w:val="24"/>
        </w:rPr>
        <w:t xml:space="preserve"> to experiment, develop and be creative are essential changes needed for SBA to be effective (</w:t>
      </w:r>
      <w:proofErr w:type="spellStart"/>
      <w:r>
        <w:rPr>
          <w:rFonts w:ascii="Times New Roman" w:eastAsia="Times New Roman" w:hAnsi="Times New Roman" w:cs="Times New Roman"/>
          <w:color w:val="222222"/>
          <w:sz w:val="24"/>
          <w:szCs w:val="24"/>
          <w:highlight w:val="white"/>
        </w:rPr>
        <w:t>Pulla</w:t>
      </w:r>
      <w:proofErr w:type="spellEnd"/>
      <w:r>
        <w:rPr>
          <w:rFonts w:ascii="Times New Roman" w:eastAsia="Times New Roman" w:hAnsi="Times New Roman" w:cs="Times New Roman"/>
          <w:color w:val="222222"/>
          <w:sz w:val="24"/>
          <w:szCs w:val="24"/>
          <w:highlight w:val="white"/>
        </w:rPr>
        <w:t xml:space="preserve"> and del Villar,2020</w:t>
      </w:r>
      <w:r>
        <w:rPr>
          <w:rFonts w:ascii="Times New Roman" w:eastAsia="Times New Roman" w:hAnsi="Times New Roman" w:cs="Times New Roman"/>
          <w:sz w:val="24"/>
          <w:szCs w:val="24"/>
        </w:rPr>
        <w:t xml:space="preserve">). The dangers of specific interventions or methods, such as conflicts produced by legal duties and statutory regulations,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understood simultaneously. The necessary techniques for risk management and the establishment of flexible systems for changing approaches and interventions that don't work are pragmatic and transparent. It concerns a change in viewpoint: from the perspective of practitioners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the identification of what are the most significant dangers to children, young people and their families, the rewards of dangerous action, their risk management capacity and ultimately their assistance (</w:t>
      </w:r>
      <w:r>
        <w:rPr>
          <w:rFonts w:ascii="Times New Roman" w:eastAsia="Times New Roman" w:hAnsi="Times New Roman" w:cs="Times New Roman"/>
          <w:color w:val="222222"/>
          <w:sz w:val="24"/>
          <w:szCs w:val="24"/>
          <w:highlight w:val="white"/>
        </w:rPr>
        <w:t xml:space="preserve">Appleton, </w:t>
      </w:r>
      <w:proofErr w:type="gramStart"/>
      <w:r>
        <w:rPr>
          <w:rFonts w:ascii="Times New Roman" w:eastAsia="Times New Roman" w:hAnsi="Times New Roman" w:cs="Times New Roman"/>
          <w:color w:val="222222"/>
          <w:sz w:val="24"/>
          <w:szCs w:val="24"/>
          <w:highlight w:val="white"/>
        </w:rPr>
        <w:t>Harrison</w:t>
      </w:r>
      <w:proofErr w:type="gramEnd"/>
      <w:r>
        <w:rPr>
          <w:rFonts w:ascii="Times New Roman" w:eastAsia="Times New Roman" w:hAnsi="Times New Roman" w:cs="Times New Roman"/>
          <w:color w:val="222222"/>
          <w:sz w:val="24"/>
          <w:szCs w:val="24"/>
          <w:highlight w:val="white"/>
        </w:rPr>
        <w:t xml:space="preserve"> and Mumby-Croft,2020</w:t>
      </w:r>
      <w:r>
        <w:rPr>
          <w:rFonts w:ascii="Times New Roman" w:eastAsia="Times New Roman" w:hAnsi="Times New Roman" w:cs="Times New Roman"/>
          <w:sz w:val="24"/>
          <w:szCs w:val="24"/>
        </w:rPr>
        <w:t xml:space="preserve">). </w:t>
      </w:r>
    </w:p>
    <w:p w14:paraId="00000017" w14:textId="77777777" w:rsidR="007E1C5F" w:rsidRDefault="006F3D56">
      <w:pPr>
        <w:pStyle w:val="Heading2"/>
        <w:spacing w:after="200" w:line="360" w:lineRule="auto"/>
        <w:jc w:val="both"/>
        <w:rPr>
          <w:rFonts w:ascii="Times New Roman" w:eastAsia="Times New Roman" w:hAnsi="Times New Roman" w:cs="Times New Roman"/>
        </w:rPr>
      </w:pPr>
      <w:bookmarkStart w:id="4" w:name="_heading=h.tyjcwt" w:colFirst="0" w:colLast="0"/>
      <w:bookmarkEnd w:id="4"/>
      <w:r>
        <w:rPr>
          <w:rFonts w:ascii="Times New Roman" w:eastAsia="Times New Roman" w:hAnsi="Times New Roman" w:cs="Times New Roman"/>
        </w:rPr>
        <w:lastRenderedPageBreak/>
        <w:t xml:space="preserve">Evaluation </w:t>
      </w:r>
    </w:p>
    <w:p w14:paraId="00000018"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intervention strategies help Holly a critical decrease in the anti-social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family, which allowed them to move home. Holly had been helped to flee violence. Holly halted her anti-social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why she often found herself in abusive situations after understanding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repercussions. Holly received assistance and direction for the children's boundaries and enhanced her childhood. Following school mediation to handle bullying, Sarah's school participation rose from 65 per cent to 96 per cent. Sarah takes dancing classes, and Mark is on a dramatic course - this has improved her and her trust. The team worked with this family for 11 months and achieved significant improvements. Most of our units are interdisciplinary with experience in various treatment methods, including psychoanalysis, cognitive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therapy and systemic psychotherapy, which helped Holly overcome her fear and anxiety issues and develop critical thinking. The Local and Children's units were subject to a plan for the protection of children in the context of emotional abuses and negligence (where a local authority lays out what action the family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do to increase the care of its children). There are several residential treatment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for mothers with their children described in the literature (</w:t>
      </w:r>
      <w:r>
        <w:rPr>
          <w:rFonts w:ascii="Times New Roman" w:eastAsia="Times New Roman" w:hAnsi="Times New Roman" w:cs="Times New Roman"/>
          <w:color w:val="222222"/>
          <w:sz w:val="24"/>
          <w:szCs w:val="24"/>
          <w:highlight w:val="white"/>
        </w:rPr>
        <w:t xml:space="preserve">Nguyen, </w:t>
      </w:r>
      <w:proofErr w:type="spellStart"/>
      <w:r>
        <w:rPr>
          <w:rFonts w:ascii="Times New Roman" w:eastAsia="Times New Roman" w:hAnsi="Times New Roman" w:cs="Times New Roman"/>
          <w:color w:val="222222"/>
          <w:sz w:val="24"/>
          <w:szCs w:val="24"/>
          <w:highlight w:val="white"/>
        </w:rPr>
        <w:t>Palisano</w:t>
      </w:r>
      <w:proofErr w:type="spellEnd"/>
      <w:r>
        <w:rPr>
          <w:rFonts w:ascii="Times New Roman" w:eastAsia="Times New Roman" w:hAnsi="Times New Roman" w:cs="Times New Roman"/>
          <w:color w:val="222222"/>
          <w:sz w:val="24"/>
          <w:szCs w:val="24"/>
          <w:highlight w:val="white"/>
        </w:rPr>
        <w:t xml:space="preserve"> and Graham,2019</w:t>
      </w:r>
      <w:r>
        <w:rPr>
          <w:rFonts w:ascii="Times New Roman" w:eastAsia="Times New Roman" w:hAnsi="Times New Roman" w:cs="Times New Roman"/>
          <w:sz w:val="24"/>
          <w:szCs w:val="24"/>
        </w:rPr>
        <w:t xml:space="preserve">). </w:t>
      </w:r>
    </w:p>
    <w:p w14:paraId="00000019"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research shows good parent and child results employing designs for pre-post assessment. Research has shown that family and parental qualification may be enhanced by integrating </w:t>
      </w:r>
      <w:proofErr w:type="gramStart"/>
      <w:r>
        <w:rPr>
          <w:rFonts w:ascii="Times New Roman" w:eastAsia="Times New Roman" w:hAnsi="Times New Roman" w:cs="Times New Roman"/>
          <w:sz w:val="24"/>
          <w:szCs w:val="24"/>
        </w:rPr>
        <w:t>particular parenting</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 drug misuse treatment. Few parenting treatments for parents who have or recover from such disturbances have been established. Nurturing Parenting Programs (NPP) and Empowering Families are two of the few group-based parenting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that have received excellent ratings (</w:t>
      </w:r>
      <w:r>
        <w:rPr>
          <w:rFonts w:ascii="Times New Roman" w:eastAsia="Times New Roman" w:hAnsi="Times New Roman" w:cs="Times New Roman"/>
          <w:color w:val="222222"/>
          <w:sz w:val="24"/>
          <w:szCs w:val="24"/>
          <w:highlight w:val="white"/>
        </w:rPr>
        <w:t>Fortune,2018</w:t>
      </w:r>
      <w:r>
        <w:rPr>
          <w:rFonts w:ascii="Times New Roman" w:eastAsia="Times New Roman" w:hAnsi="Times New Roman" w:cs="Times New Roman"/>
          <w:sz w:val="24"/>
          <w:szCs w:val="24"/>
        </w:rPr>
        <w:t xml:space="preserve">). Substance addiction and parenting are primarily addressed in Strengthening Families and the NPP for Families in Substance Abuse Treatment and Recovery. These curricula are extensively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drug misuse treatment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across the country, typically in inpatient or outpatient settings. Both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lowering parents' alcohol and drug usage while also assisting them in learning new child-rearing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to replace old, potentially harmful ones. </w:t>
      </w:r>
    </w:p>
    <w:p w14:paraId="0000001A"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child, the authorities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work in the best interest, as said in article 3 of UNCRC. When making decisions that may affect children, the best interests of the children must </w:t>
      </w:r>
      <w:r>
        <w:rPr>
          <w:rFonts w:ascii="Times New Roman" w:eastAsia="Times New Roman" w:hAnsi="Times New Roman" w:cs="Times New Roman"/>
          <w:sz w:val="24"/>
          <w:szCs w:val="24"/>
        </w:rPr>
        <w:lastRenderedPageBreak/>
        <w:t>come first. All adults should act in the interests of the child. Adults should consider how their decisions may influence children while making decisions (</w:t>
      </w:r>
      <w:r>
        <w:rPr>
          <w:rFonts w:ascii="Times New Roman" w:eastAsia="Times New Roman" w:hAnsi="Times New Roman" w:cs="Times New Roman"/>
          <w:color w:val="222222"/>
          <w:sz w:val="24"/>
          <w:szCs w:val="24"/>
          <w:highlight w:val="white"/>
        </w:rPr>
        <w:t>Fothergill,2017</w:t>
      </w:r>
      <w:r>
        <w:rPr>
          <w:rFonts w:ascii="Times New Roman" w:eastAsia="Times New Roman" w:hAnsi="Times New Roman" w:cs="Times New Roman"/>
          <w:sz w:val="24"/>
          <w:szCs w:val="24"/>
        </w:rPr>
        <w:t xml:space="preserve">). This is especially true when it comes to budgets, policies, and legislators. The findings suggest that combining substance addiction treatment with a parenting intervention may be more successful in reducing parental substance use and improving parenting than substance abuse treatment alone. Before learning </w:t>
      </w:r>
      <w:proofErr w:type="gramStart"/>
      <w:r>
        <w:rPr>
          <w:rFonts w:ascii="Times New Roman" w:eastAsia="Times New Roman" w:hAnsi="Times New Roman" w:cs="Times New Roman"/>
          <w:sz w:val="24"/>
          <w:szCs w:val="24"/>
        </w:rPr>
        <w:t>particular parenting</w:t>
      </w:r>
      <w:proofErr w:type="gramEnd"/>
      <w:r>
        <w:rPr>
          <w:rFonts w:ascii="Times New Roman" w:eastAsia="Times New Roman" w:hAnsi="Times New Roman" w:cs="Times New Roman"/>
          <w:sz w:val="24"/>
          <w:szCs w:val="24"/>
        </w:rPr>
        <w:t xml:space="preserve"> skills, Holly tended to benefit the best when they acquired basic psychological coping mechanisms, such as establishing emotional regulation. </w:t>
      </w:r>
    </w:p>
    <w:p w14:paraId="0000001B"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many parenting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revealed similar barriers to participation, such as a lack of transportation, hunger, unsupervised children, and stigma. Social learning theory is at the heart of effective parenting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 child welfare (</w:t>
      </w:r>
      <w:r>
        <w:rPr>
          <w:rFonts w:ascii="Times New Roman" w:eastAsia="Times New Roman" w:hAnsi="Times New Roman" w:cs="Times New Roman"/>
          <w:color w:val="222222"/>
          <w:sz w:val="24"/>
          <w:szCs w:val="24"/>
          <w:highlight w:val="white"/>
        </w:rPr>
        <w:t>McGhee et al,2018</w:t>
      </w:r>
      <w:r>
        <w:rPr>
          <w:rFonts w:ascii="Times New Roman" w:eastAsia="Times New Roman" w:hAnsi="Times New Roman" w:cs="Times New Roman"/>
          <w:sz w:val="24"/>
          <w:szCs w:val="24"/>
        </w:rPr>
        <w:t xml:space="preserve">). They encourage parents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anticipatory advice and timely attention to improve their positive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as a result, educate their children to use these skills more successfully. Positive improvements in children's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according to the idea, will reinforce parents' positive attitudes and beliefs about their children and the likelihood of successful parenting. In this case study, the social worker and team worked together, and the results were positive as the children are no longer on a child protection plan, Holly isn't abusing alcohol, and the family loves their new house (</w:t>
      </w:r>
      <w:r>
        <w:rPr>
          <w:rFonts w:ascii="Times New Roman" w:eastAsia="Times New Roman" w:hAnsi="Times New Roman" w:cs="Times New Roman"/>
          <w:color w:val="222222"/>
          <w:sz w:val="24"/>
          <w:szCs w:val="24"/>
          <w:highlight w:val="white"/>
        </w:rPr>
        <w:t>Glatz et al,2020</w:t>
      </w:r>
      <w:r>
        <w:rPr>
          <w:rFonts w:ascii="Times New Roman" w:eastAsia="Times New Roman" w:hAnsi="Times New Roman" w:cs="Times New Roman"/>
          <w:sz w:val="24"/>
          <w:szCs w:val="24"/>
        </w:rPr>
        <w:t xml:space="preserve">). </w:t>
      </w:r>
    </w:p>
    <w:p w14:paraId="0000001C" w14:textId="77777777" w:rsidR="007E1C5F" w:rsidRDefault="006F3D56">
      <w:pPr>
        <w:rPr>
          <w:rFonts w:ascii="Times New Roman" w:eastAsia="Times New Roman" w:hAnsi="Times New Roman" w:cs="Times New Roman"/>
          <w:sz w:val="32"/>
          <w:szCs w:val="32"/>
        </w:rPr>
      </w:pPr>
      <w:bookmarkStart w:id="5" w:name="_heading=h.3dy6vkm" w:colFirst="0" w:colLast="0"/>
      <w:bookmarkEnd w:id="5"/>
      <w:r>
        <w:br w:type="page"/>
      </w:r>
    </w:p>
    <w:p w14:paraId="0000001D" w14:textId="77777777" w:rsidR="007E1C5F" w:rsidRDefault="006F3D56">
      <w:pPr>
        <w:pStyle w:val="Heading2"/>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Conclusion </w:t>
      </w:r>
    </w:p>
    <w:p w14:paraId="0000001E" w14:textId="77777777" w:rsidR="007E1C5F" w:rsidRDefault="006F3D5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statutory social work, working with children and families necessitates a high level of competence and knowledge, notably in evaluation. As part of the evaluation process, the challenges were conveyed to explain what was going on to children and eliciting facts about their experiences as families (</w:t>
      </w:r>
      <w:r>
        <w:rPr>
          <w:rFonts w:ascii="Times New Roman" w:eastAsia="Times New Roman" w:hAnsi="Times New Roman" w:cs="Times New Roman"/>
          <w:color w:val="222222"/>
          <w:sz w:val="24"/>
          <w:szCs w:val="24"/>
          <w:highlight w:val="white"/>
        </w:rPr>
        <w:t xml:space="preserve">Saxe </w:t>
      </w:r>
      <w:proofErr w:type="spellStart"/>
      <w:r>
        <w:rPr>
          <w:rFonts w:ascii="Times New Roman" w:eastAsia="Times New Roman" w:hAnsi="Times New Roman" w:cs="Times New Roman"/>
          <w:color w:val="222222"/>
          <w:sz w:val="24"/>
          <w:szCs w:val="24"/>
          <w:highlight w:val="white"/>
        </w:rPr>
        <w:t>Zerden</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Lombardi</w:t>
      </w:r>
      <w:proofErr w:type="gramEnd"/>
      <w:r>
        <w:rPr>
          <w:rFonts w:ascii="Times New Roman" w:eastAsia="Times New Roman" w:hAnsi="Times New Roman" w:cs="Times New Roman"/>
          <w:color w:val="222222"/>
          <w:sz w:val="24"/>
          <w:szCs w:val="24"/>
          <w:highlight w:val="white"/>
        </w:rPr>
        <w:t xml:space="preserve"> and Jones,2019</w:t>
      </w:r>
      <w:r>
        <w:rPr>
          <w:rFonts w:ascii="Times New Roman" w:eastAsia="Times New Roman" w:hAnsi="Times New Roman" w:cs="Times New Roman"/>
          <w:sz w:val="24"/>
          <w:szCs w:val="24"/>
        </w:rPr>
        <w:t>). If children's personal experiences are to be incorporated in the evaluation process as policy demands, the employment of interpreters is essential. More study on the dynamics of multi-agency ports' safeguarding work, particularly the assessment process and systems in this setting, might assist find methods to resolve and manage tensions and disparities in practice. Given that multi-agency child, port protection is a relatively recent practice development (</w:t>
      </w:r>
      <w:r>
        <w:rPr>
          <w:rFonts w:ascii="Times New Roman" w:eastAsia="Times New Roman" w:hAnsi="Times New Roman" w:cs="Times New Roman"/>
          <w:color w:val="222222"/>
          <w:sz w:val="24"/>
          <w:szCs w:val="24"/>
          <w:highlight w:val="white"/>
        </w:rPr>
        <w:t>Bengtsson,2017</w:t>
      </w:r>
      <w:r>
        <w:rPr>
          <w:rFonts w:ascii="Times New Roman" w:eastAsia="Times New Roman" w:hAnsi="Times New Roman" w:cs="Times New Roman"/>
          <w:sz w:val="24"/>
          <w:szCs w:val="24"/>
        </w:rPr>
        <w:t xml:space="preserve">). It is appropriate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and assess the work regarding its usefulness in generating improved child outcomes.</w:t>
      </w:r>
    </w:p>
    <w:p w14:paraId="0000001F" w14:textId="77777777" w:rsidR="007E1C5F" w:rsidRDefault="006F3D56">
      <w:pPr>
        <w:rPr>
          <w:rFonts w:ascii="Times New Roman" w:eastAsia="Times New Roman" w:hAnsi="Times New Roman" w:cs="Times New Roman"/>
          <w:sz w:val="32"/>
          <w:szCs w:val="32"/>
        </w:rPr>
      </w:pPr>
      <w:bookmarkStart w:id="6" w:name="_heading=h.1t3h5sf" w:colFirst="0" w:colLast="0"/>
      <w:bookmarkEnd w:id="6"/>
      <w:r>
        <w:br w:type="page"/>
      </w:r>
    </w:p>
    <w:p w14:paraId="00000020" w14:textId="77777777" w:rsidR="007E1C5F" w:rsidRDefault="006F3D56">
      <w:pPr>
        <w:pStyle w:val="Heading2"/>
        <w:rPr>
          <w:rFonts w:ascii="Times New Roman" w:eastAsia="Times New Roman" w:hAnsi="Times New Roman" w:cs="Times New Roman"/>
        </w:rPr>
      </w:pPr>
      <w:r>
        <w:rPr>
          <w:rFonts w:ascii="Times New Roman" w:eastAsia="Times New Roman" w:hAnsi="Times New Roman" w:cs="Times New Roman"/>
        </w:rPr>
        <w:lastRenderedPageBreak/>
        <w:t xml:space="preserve">Reference </w:t>
      </w:r>
    </w:p>
    <w:p w14:paraId="00000021"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Jacob, H. and </w:t>
      </w:r>
      <w:proofErr w:type="spellStart"/>
      <w:r>
        <w:rPr>
          <w:rFonts w:ascii="Times New Roman" w:eastAsia="Times New Roman" w:hAnsi="Times New Roman" w:cs="Times New Roman"/>
          <w:color w:val="222222"/>
          <w:sz w:val="24"/>
          <w:szCs w:val="24"/>
          <w:highlight w:val="white"/>
        </w:rPr>
        <w:t>Marlais</w:t>
      </w:r>
      <w:proofErr w:type="spellEnd"/>
      <w:r>
        <w:rPr>
          <w:rFonts w:ascii="Times New Roman" w:eastAsia="Times New Roman" w:hAnsi="Times New Roman" w:cs="Times New Roman"/>
          <w:color w:val="222222"/>
          <w:sz w:val="24"/>
          <w:szCs w:val="24"/>
          <w:highlight w:val="white"/>
        </w:rPr>
        <w:t xml:space="preserve">, M., 2021. Safeguarding children and young people requiring kidney replacement therapy: challenges and potential opportunities. </w:t>
      </w:r>
      <w:r>
        <w:rPr>
          <w:rFonts w:ascii="Times New Roman" w:eastAsia="Times New Roman" w:hAnsi="Times New Roman" w:cs="Times New Roman"/>
          <w:i/>
          <w:color w:val="222222"/>
          <w:sz w:val="24"/>
          <w:szCs w:val="24"/>
          <w:highlight w:val="white"/>
        </w:rPr>
        <w:t>Pediatric Nephrology</w:t>
      </w:r>
      <w:r>
        <w:rPr>
          <w:rFonts w:ascii="Times New Roman" w:eastAsia="Times New Roman" w:hAnsi="Times New Roman" w:cs="Times New Roman"/>
          <w:color w:val="222222"/>
          <w:sz w:val="24"/>
          <w:szCs w:val="24"/>
          <w:highlight w:val="white"/>
        </w:rPr>
        <w:t>, pp.1-9.</w:t>
      </w:r>
    </w:p>
    <w:p w14:paraId="00000022"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Appleton, J.V., Harrison, J. and </w:t>
      </w:r>
      <w:proofErr w:type="spellStart"/>
      <w:r>
        <w:rPr>
          <w:rFonts w:ascii="Times New Roman" w:eastAsia="Times New Roman" w:hAnsi="Times New Roman" w:cs="Times New Roman"/>
          <w:color w:val="222222"/>
          <w:sz w:val="24"/>
          <w:szCs w:val="24"/>
          <w:highlight w:val="white"/>
        </w:rPr>
        <w:t>Mumby</w:t>
      </w:r>
      <w:proofErr w:type="spellEnd"/>
      <w:r>
        <w:rPr>
          <w:rFonts w:ascii="Times New Roman" w:eastAsia="Times New Roman" w:hAnsi="Times New Roman" w:cs="Times New Roman"/>
          <w:color w:val="222222"/>
          <w:sz w:val="24"/>
          <w:szCs w:val="24"/>
          <w:highlight w:val="white"/>
        </w:rPr>
        <w:t xml:space="preserve">-Croft, K., 2020. Safeguarding children: a public health imperative. </w:t>
      </w:r>
      <w:r>
        <w:rPr>
          <w:rFonts w:ascii="Times New Roman" w:eastAsia="Times New Roman" w:hAnsi="Times New Roman" w:cs="Times New Roman"/>
          <w:i/>
          <w:color w:val="222222"/>
          <w:sz w:val="24"/>
          <w:szCs w:val="24"/>
          <w:highlight w:val="white"/>
        </w:rPr>
        <w:t>Community Public Health in Policy and Practice E-Book: A Sourcebook</w:t>
      </w:r>
      <w:r>
        <w:rPr>
          <w:rFonts w:ascii="Times New Roman" w:eastAsia="Times New Roman" w:hAnsi="Times New Roman" w:cs="Times New Roman"/>
          <w:color w:val="222222"/>
          <w:sz w:val="24"/>
          <w:szCs w:val="24"/>
          <w:highlight w:val="white"/>
        </w:rPr>
        <w:t>, p.263.</w:t>
      </w:r>
    </w:p>
    <w:p w14:paraId="00000023"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Bengtsson, S., 2017. Children’s rights, educational research and the UNCRC: Past, </w:t>
      </w:r>
      <w:proofErr w:type="gramStart"/>
      <w:r>
        <w:rPr>
          <w:rFonts w:ascii="Times New Roman" w:eastAsia="Times New Roman" w:hAnsi="Times New Roman" w:cs="Times New Roman"/>
          <w:color w:val="222222"/>
          <w:sz w:val="24"/>
          <w:szCs w:val="24"/>
          <w:highlight w:val="white"/>
        </w:rPr>
        <w:t>present</w:t>
      </w:r>
      <w:proofErr w:type="gramEnd"/>
      <w:r>
        <w:rPr>
          <w:rFonts w:ascii="Times New Roman" w:eastAsia="Times New Roman" w:hAnsi="Times New Roman" w:cs="Times New Roman"/>
          <w:color w:val="222222"/>
          <w:sz w:val="24"/>
          <w:szCs w:val="24"/>
          <w:highlight w:val="white"/>
        </w:rPr>
        <w:t xml:space="preserve"> and future.</w:t>
      </w:r>
    </w:p>
    <w:p w14:paraId="00000024"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Alderson, P., 2017. Children’s rights and power. </w:t>
      </w:r>
      <w:r>
        <w:rPr>
          <w:rFonts w:ascii="Times New Roman" w:eastAsia="Times New Roman" w:hAnsi="Times New Roman" w:cs="Times New Roman"/>
          <w:i/>
          <w:color w:val="222222"/>
          <w:sz w:val="24"/>
          <w:szCs w:val="24"/>
          <w:highlight w:val="white"/>
        </w:rPr>
        <w:t>30 Years of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80</w:t>
      </w:r>
      <w:r>
        <w:rPr>
          <w:rFonts w:ascii="Times New Roman" w:eastAsia="Times New Roman" w:hAnsi="Times New Roman" w:cs="Times New Roman"/>
          <w:color w:val="222222"/>
          <w:sz w:val="24"/>
          <w:szCs w:val="24"/>
          <w:highlight w:val="white"/>
        </w:rPr>
        <w:t>.</w:t>
      </w:r>
    </w:p>
    <w:p w14:paraId="00000025"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Murray, J., 2019. Introduction: Young children’s rights to protection. In </w:t>
      </w:r>
      <w:r>
        <w:rPr>
          <w:rFonts w:ascii="Times New Roman" w:eastAsia="Times New Roman" w:hAnsi="Times New Roman" w:cs="Times New Roman"/>
          <w:i/>
          <w:color w:val="222222"/>
          <w:sz w:val="24"/>
          <w:szCs w:val="24"/>
          <w:highlight w:val="white"/>
        </w:rPr>
        <w:t>The Routledge International Handbook of Young Children’s Rights</w:t>
      </w:r>
      <w:r>
        <w:rPr>
          <w:rFonts w:ascii="Times New Roman" w:eastAsia="Times New Roman" w:hAnsi="Times New Roman" w:cs="Times New Roman"/>
          <w:color w:val="222222"/>
          <w:sz w:val="24"/>
          <w:szCs w:val="24"/>
          <w:highlight w:val="white"/>
        </w:rPr>
        <w:t xml:space="preserve"> (pp. 79-84). Routledge.</w:t>
      </w:r>
    </w:p>
    <w:p w14:paraId="00000026"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Nguyen, T., </w:t>
      </w:r>
      <w:proofErr w:type="spellStart"/>
      <w:r>
        <w:rPr>
          <w:rFonts w:ascii="Times New Roman" w:eastAsia="Times New Roman" w:hAnsi="Times New Roman" w:cs="Times New Roman"/>
          <w:color w:val="222222"/>
          <w:sz w:val="24"/>
          <w:szCs w:val="24"/>
          <w:highlight w:val="white"/>
        </w:rPr>
        <w:t>Palisano</w:t>
      </w:r>
      <w:proofErr w:type="spellEnd"/>
      <w:r>
        <w:rPr>
          <w:rFonts w:ascii="Times New Roman" w:eastAsia="Times New Roman" w:hAnsi="Times New Roman" w:cs="Times New Roman"/>
          <w:color w:val="222222"/>
          <w:sz w:val="24"/>
          <w:szCs w:val="24"/>
          <w:highlight w:val="white"/>
        </w:rPr>
        <w:t xml:space="preserve">, R.J. and Graham, I., 2019. Perspectives and experiences with engaging youth and families in research. </w:t>
      </w:r>
      <w:r>
        <w:rPr>
          <w:rFonts w:ascii="Times New Roman" w:eastAsia="Times New Roman" w:hAnsi="Times New Roman" w:cs="Times New Roman"/>
          <w:i/>
          <w:color w:val="222222"/>
          <w:sz w:val="24"/>
          <w:szCs w:val="24"/>
          <w:highlight w:val="white"/>
        </w:rPr>
        <w:t>Physical &amp; occupational therapy in pediatrics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(3), pp.310-323.</w:t>
      </w:r>
    </w:p>
    <w:p w14:paraId="00000027"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Fothergill</w:t>
      </w:r>
      <w:proofErr w:type="spellEnd"/>
      <w:r>
        <w:rPr>
          <w:rFonts w:ascii="Times New Roman" w:eastAsia="Times New Roman" w:hAnsi="Times New Roman" w:cs="Times New Roman"/>
          <w:color w:val="222222"/>
          <w:sz w:val="24"/>
          <w:szCs w:val="24"/>
          <w:highlight w:val="white"/>
        </w:rPr>
        <w:t xml:space="preserve">, A., 2017. Children, youth, and disaster. In </w:t>
      </w:r>
      <w:r>
        <w:rPr>
          <w:rFonts w:ascii="Times New Roman" w:eastAsia="Times New Roman" w:hAnsi="Times New Roman" w:cs="Times New Roman"/>
          <w:i/>
          <w:color w:val="222222"/>
          <w:sz w:val="24"/>
          <w:szCs w:val="24"/>
          <w:highlight w:val="white"/>
        </w:rPr>
        <w:t>Oxford Research Encyclopedia of Natural Hazard Science</w:t>
      </w:r>
      <w:r>
        <w:rPr>
          <w:rFonts w:ascii="Times New Roman" w:eastAsia="Times New Roman" w:hAnsi="Times New Roman" w:cs="Times New Roman"/>
          <w:color w:val="222222"/>
          <w:sz w:val="24"/>
          <w:szCs w:val="24"/>
          <w:highlight w:val="white"/>
        </w:rPr>
        <w:t>.</w:t>
      </w:r>
    </w:p>
    <w:p w14:paraId="00000028"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McGhee, J., Bunting, L., McCartan, C., Elliott, M., </w:t>
      </w:r>
      <w:proofErr w:type="spellStart"/>
      <w:r>
        <w:rPr>
          <w:rFonts w:ascii="Times New Roman" w:eastAsia="Times New Roman" w:hAnsi="Times New Roman" w:cs="Times New Roman"/>
          <w:color w:val="222222"/>
          <w:sz w:val="24"/>
          <w:szCs w:val="24"/>
          <w:highlight w:val="white"/>
        </w:rPr>
        <w:t>Bywaters</w:t>
      </w:r>
      <w:proofErr w:type="spellEnd"/>
      <w:r>
        <w:rPr>
          <w:rFonts w:ascii="Times New Roman" w:eastAsia="Times New Roman" w:hAnsi="Times New Roman" w:cs="Times New Roman"/>
          <w:color w:val="222222"/>
          <w:sz w:val="24"/>
          <w:szCs w:val="24"/>
          <w:highlight w:val="white"/>
        </w:rPr>
        <w:t xml:space="preserve">, P. and Featherstone, B., 2018. Looking after children in the UK—convergence or </w:t>
      </w:r>
      <w:proofErr w:type="gramStart"/>
      <w:r>
        <w:rPr>
          <w:rFonts w:ascii="Times New Roman" w:eastAsia="Times New Roman" w:hAnsi="Times New Roman" w:cs="Times New Roman"/>
          <w:color w:val="222222"/>
          <w:sz w:val="24"/>
          <w:szCs w:val="24"/>
          <w:highlight w:val="white"/>
        </w:rPr>
        <w:t>divergence?.</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British Journal of Social 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(5), pp.1176-1198.</w:t>
      </w:r>
    </w:p>
    <w:p w14:paraId="00000029"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Glatz, T., </w:t>
      </w:r>
      <w:proofErr w:type="spellStart"/>
      <w:r>
        <w:rPr>
          <w:rFonts w:ascii="Times New Roman" w:eastAsia="Times New Roman" w:hAnsi="Times New Roman" w:cs="Times New Roman"/>
          <w:color w:val="222222"/>
          <w:sz w:val="24"/>
          <w:szCs w:val="24"/>
          <w:highlight w:val="white"/>
        </w:rPr>
        <w:t>Lippold</w:t>
      </w:r>
      <w:proofErr w:type="spellEnd"/>
      <w:r>
        <w:rPr>
          <w:rFonts w:ascii="Times New Roman" w:eastAsia="Times New Roman" w:hAnsi="Times New Roman" w:cs="Times New Roman"/>
          <w:color w:val="222222"/>
          <w:sz w:val="24"/>
          <w:szCs w:val="24"/>
          <w:highlight w:val="white"/>
        </w:rPr>
        <w:t xml:space="preserve">, M., Jensen, T.M., </w:t>
      </w:r>
      <w:proofErr w:type="spellStart"/>
      <w:r>
        <w:rPr>
          <w:rFonts w:ascii="Times New Roman" w:eastAsia="Times New Roman" w:hAnsi="Times New Roman" w:cs="Times New Roman"/>
          <w:color w:val="222222"/>
          <w:sz w:val="24"/>
          <w:szCs w:val="24"/>
          <w:highlight w:val="white"/>
        </w:rPr>
        <w:t>Fosco</w:t>
      </w:r>
      <w:proofErr w:type="spellEnd"/>
      <w:r>
        <w:rPr>
          <w:rFonts w:ascii="Times New Roman" w:eastAsia="Times New Roman" w:hAnsi="Times New Roman" w:cs="Times New Roman"/>
          <w:color w:val="222222"/>
          <w:sz w:val="24"/>
          <w:szCs w:val="24"/>
          <w:highlight w:val="white"/>
        </w:rPr>
        <w:t xml:space="preserve">, G.M. and Feinberg, M.E., 2020. Hostile interactions in the family: Patterns and links to youth externalizing problems. </w:t>
      </w:r>
      <w:r>
        <w:rPr>
          <w:rFonts w:ascii="Times New Roman" w:eastAsia="Times New Roman" w:hAnsi="Times New Roman" w:cs="Times New Roman"/>
          <w:i/>
          <w:color w:val="222222"/>
          <w:sz w:val="24"/>
          <w:szCs w:val="24"/>
          <w:highlight w:val="white"/>
        </w:rPr>
        <w:t>The Journal of early adolescence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(1), pp.56-82.</w:t>
      </w:r>
    </w:p>
    <w:p w14:paraId="0000002A"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Saxe </w:t>
      </w:r>
      <w:proofErr w:type="spellStart"/>
      <w:r>
        <w:rPr>
          <w:rFonts w:ascii="Times New Roman" w:eastAsia="Times New Roman" w:hAnsi="Times New Roman" w:cs="Times New Roman"/>
          <w:color w:val="222222"/>
          <w:sz w:val="24"/>
          <w:szCs w:val="24"/>
          <w:highlight w:val="white"/>
        </w:rPr>
        <w:t>Zerden</w:t>
      </w:r>
      <w:proofErr w:type="spellEnd"/>
      <w:r>
        <w:rPr>
          <w:rFonts w:ascii="Times New Roman" w:eastAsia="Times New Roman" w:hAnsi="Times New Roman" w:cs="Times New Roman"/>
          <w:color w:val="222222"/>
          <w:sz w:val="24"/>
          <w:szCs w:val="24"/>
          <w:highlight w:val="white"/>
        </w:rPr>
        <w:t xml:space="preserve">, L.D., Lombardi, B.M. and Jones, A., 2019. Social workers in integrated health care: Improving care throughout the life course. </w:t>
      </w:r>
      <w:r>
        <w:rPr>
          <w:rFonts w:ascii="Times New Roman" w:eastAsia="Times New Roman" w:hAnsi="Times New Roman" w:cs="Times New Roman"/>
          <w:i/>
          <w:color w:val="222222"/>
          <w:sz w:val="24"/>
          <w:szCs w:val="24"/>
          <w:highlight w:val="white"/>
        </w:rPr>
        <w:t>Social Work in Health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58</w:t>
      </w:r>
      <w:r>
        <w:rPr>
          <w:rFonts w:ascii="Times New Roman" w:eastAsia="Times New Roman" w:hAnsi="Times New Roman" w:cs="Times New Roman"/>
          <w:color w:val="222222"/>
          <w:sz w:val="24"/>
          <w:szCs w:val="24"/>
          <w:highlight w:val="white"/>
        </w:rPr>
        <w:t>(1), pp.142-149.</w:t>
      </w:r>
    </w:p>
    <w:p w14:paraId="0000002B"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Fortune, C.A., 2018. The Good Lives Model: A strength-based approach for youth offenders. Aggression and violent behavior, 38, pp.21-30.</w:t>
      </w:r>
    </w:p>
    <w:p w14:paraId="0000002C"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Pulla</w:t>
      </w:r>
      <w:proofErr w:type="spellEnd"/>
      <w:r>
        <w:rPr>
          <w:rFonts w:ascii="Times New Roman" w:eastAsia="Times New Roman" w:hAnsi="Times New Roman" w:cs="Times New Roman"/>
          <w:color w:val="222222"/>
          <w:sz w:val="24"/>
          <w:szCs w:val="24"/>
          <w:highlight w:val="white"/>
        </w:rPr>
        <w:t xml:space="preserve">, V. and del Villar, E.S.M., 2020. Strength-based approach for social change. In Contemporary social work education, </w:t>
      </w:r>
      <w:proofErr w:type="gramStart"/>
      <w:r>
        <w:rPr>
          <w:rFonts w:ascii="Times New Roman" w:eastAsia="Times New Roman" w:hAnsi="Times New Roman" w:cs="Times New Roman"/>
          <w:color w:val="222222"/>
          <w:sz w:val="24"/>
          <w:szCs w:val="24"/>
          <w:highlight w:val="white"/>
        </w:rPr>
        <w:t>training</w:t>
      </w:r>
      <w:proofErr w:type="gramEnd"/>
      <w:r>
        <w:rPr>
          <w:rFonts w:ascii="Times New Roman" w:eastAsia="Times New Roman" w:hAnsi="Times New Roman" w:cs="Times New Roman"/>
          <w:color w:val="222222"/>
          <w:sz w:val="24"/>
          <w:szCs w:val="24"/>
          <w:highlight w:val="white"/>
        </w:rPr>
        <w:t xml:space="preserve"> and practice. Institute Social Malaysia, Ministry of Women, </w:t>
      </w:r>
      <w:proofErr w:type="gramStart"/>
      <w:r>
        <w:rPr>
          <w:rFonts w:ascii="Times New Roman" w:eastAsia="Times New Roman" w:hAnsi="Times New Roman" w:cs="Times New Roman"/>
          <w:color w:val="222222"/>
          <w:sz w:val="24"/>
          <w:szCs w:val="24"/>
          <w:highlight w:val="white"/>
        </w:rPr>
        <w:t>family</w:t>
      </w:r>
      <w:proofErr w:type="gramEnd"/>
      <w:r>
        <w:rPr>
          <w:rFonts w:ascii="Times New Roman" w:eastAsia="Times New Roman" w:hAnsi="Times New Roman" w:cs="Times New Roman"/>
          <w:color w:val="222222"/>
          <w:sz w:val="24"/>
          <w:szCs w:val="24"/>
          <w:highlight w:val="white"/>
        </w:rPr>
        <w:t xml:space="preserve"> and Community development.</w:t>
      </w:r>
    </w:p>
    <w:p w14:paraId="0000002D" w14:textId="77777777" w:rsidR="007E1C5F" w:rsidRDefault="006F3D5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Swartz, M.K., 2017. A strength-based approach to care. Journal of Pediatric Health Care, 31(1), p.1.</w:t>
      </w:r>
    </w:p>
    <w:sectPr w:rsidR="007E1C5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E1C5F"/>
    <w:rsid w:val="003F3BB3"/>
    <w:rsid w:val="006F3D56"/>
    <w:rsid w:val="007E1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5917A"/>
  <w15:docId w15:val="{DE2A908C-8DE1-4989-8AED-69949151B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E5B5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E5B5D"/>
    <w:pPr>
      <w:spacing w:after="100"/>
    </w:pPr>
  </w:style>
  <w:style w:type="paragraph" w:styleId="TOC2">
    <w:name w:val="toc 2"/>
    <w:basedOn w:val="Normal"/>
    <w:next w:val="Normal"/>
    <w:autoRedefine/>
    <w:uiPriority w:val="39"/>
    <w:unhideWhenUsed/>
    <w:rsid w:val="00EE5B5D"/>
    <w:pPr>
      <w:spacing w:after="100"/>
      <w:ind w:left="220"/>
    </w:pPr>
  </w:style>
  <w:style w:type="character" w:styleId="Hyperlink">
    <w:name w:val="Hyperlink"/>
    <w:basedOn w:val="DefaultParagraphFont"/>
    <w:uiPriority w:val="99"/>
    <w:unhideWhenUsed/>
    <w:rsid w:val="00EE5B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674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6NTizeH3uePgA6ugDenI1B15oQ==">AMUW2mUdLrSzYJ8S/0ZuQjbGGN/Z1o6JK7Mis4yQZQyYAK4r3zlrWoUHSVk6MtuCusEaCxPwI78T0D4aEypH72tr1jOaiiglBPm3Z7jTbhPWJZ76LLI604FnOPo1UeAnEf3H6xWJanTeVgljt3ycPpMcEWEywwSOnVbJo4ulp3muw489UjgoVfKL62AGIBE7H2Io0Il8tXWAsBNjhTlysqyDysCfeYdyuBT105QL2SaxtMyUaJVnjjo=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Ancuta Szeri (1917613)</dc:creator>
  <cp:keywords/>
  <dc:description/>
  <cp:lastModifiedBy>Marinela Ancuta Szeri (1917613)</cp:lastModifiedBy>
  <cp:revision>1</cp:revision>
  <dcterms:created xsi:type="dcterms:W3CDTF">2021-07-26T10:30:00Z</dcterms:created>
  <dcterms:modified xsi:type="dcterms:W3CDTF">2021-08-25T19:51:00Z</dcterms:modified>
</cp:coreProperties>
</file>