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59AD2" w14:textId="77777777" w:rsidR="00431B2C" w:rsidRDefault="00431B2C" w:rsidP="00431B2C">
      <w:pPr>
        <w:jc w:val="center"/>
        <w:rPr>
          <w:sz w:val="28"/>
          <w:szCs w:val="28"/>
          <w:u w:val="single"/>
        </w:rPr>
      </w:pPr>
    </w:p>
    <w:p w14:paraId="5E59FFC6" w14:textId="2F2DCBF1" w:rsidR="00431B2C" w:rsidRPr="00431B2C" w:rsidRDefault="00431B2C" w:rsidP="00431B2C">
      <w:pPr>
        <w:jc w:val="center"/>
        <w:rPr>
          <w:sz w:val="28"/>
          <w:szCs w:val="28"/>
          <w:u w:val="single"/>
        </w:rPr>
      </w:pPr>
      <w:r w:rsidRPr="00431B2C">
        <w:rPr>
          <w:sz w:val="28"/>
          <w:szCs w:val="28"/>
          <w:u w:val="single"/>
        </w:rPr>
        <w:t>The Professional Practitioner</w:t>
      </w:r>
    </w:p>
    <w:p w14:paraId="64192921" w14:textId="77777777" w:rsidR="00431B2C" w:rsidRDefault="00431B2C" w:rsidP="00431B2C">
      <w:pPr>
        <w:jc w:val="center"/>
      </w:pPr>
    </w:p>
    <w:p w14:paraId="5618B95C" w14:textId="6A519B21" w:rsidR="00431B2C" w:rsidRPr="00431B2C" w:rsidRDefault="00431B2C" w:rsidP="00431B2C">
      <w:pPr>
        <w:pStyle w:val="paragraph"/>
        <w:numPr>
          <w:ilvl w:val="0"/>
          <w:numId w:val="2"/>
        </w:numPr>
        <w:spacing w:before="0" w:beforeAutospacing="0" w:after="0" w:afterAutospacing="0"/>
        <w:textAlignment w:val="baseline"/>
        <w:rPr>
          <w:rFonts w:ascii="Arial" w:hAnsi="Arial" w:cs="Arial"/>
        </w:rPr>
      </w:pPr>
      <w:r w:rsidRPr="00431B2C">
        <w:rPr>
          <w:rStyle w:val="normaltextrun"/>
          <w:rFonts w:ascii="Arial" w:eastAsiaTheme="majorEastAsia" w:hAnsi="Arial" w:cs="Arial"/>
          <w:color w:val="00000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431B2C">
        <w:rPr>
          <w:rStyle w:val="tabchar"/>
          <w:rFonts w:ascii="Calibri" w:eastAsiaTheme="majorEastAsia" w:hAnsi="Calibri" w:cs="Calibri"/>
          <w:color w:val="000000"/>
        </w:rPr>
        <w:tab/>
      </w:r>
      <w:r w:rsidRPr="00431B2C">
        <w:rPr>
          <w:rStyle w:val="tabchar"/>
          <w:rFonts w:ascii="Calibri" w:eastAsiaTheme="majorEastAsia" w:hAnsi="Calibri" w:cs="Calibri"/>
        </w:rPr>
        <w:tab/>
      </w:r>
      <w:r w:rsidRPr="00431B2C">
        <w:rPr>
          <w:rStyle w:val="eop"/>
          <w:rFonts w:ascii="Arial" w:eastAsiaTheme="majorEastAsia" w:hAnsi="Arial" w:cs="Arial"/>
          <w:color w:val="000000"/>
        </w:rPr>
        <w:t> </w:t>
      </w:r>
    </w:p>
    <w:p w14:paraId="4C5509E8" w14:textId="77777777" w:rsidR="00431B2C" w:rsidRDefault="00431B2C" w:rsidP="00431B2C">
      <w:pPr>
        <w:jc w:val="center"/>
      </w:pPr>
    </w:p>
    <w:p w14:paraId="1A80B554" w14:textId="77777777" w:rsidR="00431B2C" w:rsidRDefault="00431B2C" w:rsidP="00431B2C">
      <w:pPr>
        <w:jc w:val="center"/>
      </w:pPr>
    </w:p>
    <w:p w14:paraId="5A1EDFEE" w14:textId="173EA36A" w:rsidR="00431B2C" w:rsidRPr="00431B2C" w:rsidRDefault="00431B2C" w:rsidP="00431B2C">
      <w:pPr>
        <w:rPr>
          <w:rFonts w:ascii="Arial" w:hAnsi="Arial" w:cs="Arial"/>
          <w:u w:val="single"/>
        </w:rPr>
      </w:pPr>
      <w:r w:rsidRPr="00431B2C">
        <w:rPr>
          <w:rFonts w:ascii="Arial" w:hAnsi="Arial" w:cs="Arial"/>
          <w:u w:val="single"/>
        </w:rPr>
        <w:t xml:space="preserve">Component 1 </w:t>
      </w:r>
    </w:p>
    <w:p w14:paraId="609685C2" w14:textId="77777777" w:rsidR="00431B2C" w:rsidRDefault="00431B2C" w:rsidP="00431B2C"/>
    <w:p w14:paraId="4F3A2612" w14:textId="38AE467F" w:rsidR="00431B2C" w:rsidRDefault="00431B2C" w:rsidP="00431B2C">
      <w:r w:rsidRPr="00431B2C">
        <w:drawing>
          <wp:inline distT="0" distB="0" distL="0" distR="0" wp14:anchorId="10D34590" wp14:editId="261E4375">
            <wp:extent cx="5731510" cy="3223895"/>
            <wp:effectExtent l="0" t="0" r="0" b="1905"/>
            <wp:docPr id="1245449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49161" name=""/>
                    <pic:cNvPicPr/>
                  </pic:nvPicPr>
                  <pic:blipFill>
                    <a:blip r:embed="rId7"/>
                    <a:stretch>
                      <a:fillRect/>
                    </a:stretch>
                  </pic:blipFill>
                  <pic:spPr>
                    <a:xfrm>
                      <a:off x="0" y="0"/>
                      <a:ext cx="5731510" cy="3223895"/>
                    </a:xfrm>
                    <a:prstGeom prst="rect">
                      <a:avLst/>
                    </a:prstGeom>
                  </pic:spPr>
                </pic:pic>
              </a:graphicData>
            </a:graphic>
          </wp:inline>
        </w:drawing>
      </w:r>
    </w:p>
    <w:p w14:paraId="14E198B2" w14:textId="77777777" w:rsidR="00431B2C" w:rsidRDefault="00431B2C" w:rsidP="00431B2C"/>
    <w:p w14:paraId="2D1C4A41" w14:textId="77777777" w:rsidR="00431B2C" w:rsidRPr="00431B2C" w:rsidRDefault="00431B2C" w:rsidP="00431B2C"/>
    <w:p w14:paraId="4B8D62C0" w14:textId="77777777" w:rsidR="00431B2C" w:rsidRPr="00431B2C" w:rsidRDefault="00431B2C" w:rsidP="00431B2C"/>
    <w:p w14:paraId="78DEE006" w14:textId="77777777" w:rsidR="00431B2C" w:rsidRDefault="00431B2C" w:rsidP="00431B2C"/>
    <w:p w14:paraId="10457F63" w14:textId="77777777" w:rsidR="00431B2C" w:rsidRDefault="00431B2C" w:rsidP="00431B2C">
      <w:pPr>
        <w:jc w:val="center"/>
      </w:pPr>
    </w:p>
    <w:p w14:paraId="6399BC43" w14:textId="77777777" w:rsidR="00431B2C" w:rsidRDefault="00431B2C" w:rsidP="00431B2C">
      <w:pPr>
        <w:jc w:val="center"/>
      </w:pPr>
    </w:p>
    <w:p w14:paraId="4FE284B3" w14:textId="77777777" w:rsidR="00431B2C" w:rsidRDefault="00431B2C" w:rsidP="00431B2C">
      <w:pPr>
        <w:jc w:val="center"/>
      </w:pPr>
    </w:p>
    <w:p w14:paraId="4FD42F22" w14:textId="77777777" w:rsidR="00431B2C" w:rsidRDefault="00431B2C" w:rsidP="00431B2C">
      <w:pPr>
        <w:jc w:val="center"/>
      </w:pPr>
    </w:p>
    <w:p w14:paraId="0E0AE374" w14:textId="391CBB69" w:rsidR="00431B2C" w:rsidRDefault="00431B2C" w:rsidP="00431B2C">
      <w:pPr>
        <w:rPr>
          <w:rFonts w:ascii="Arial" w:hAnsi="Arial" w:cs="Arial"/>
          <w:u w:val="single"/>
        </w:rPr>
      </w:pPr>
      <w:r w:rsidRPr="00431B2C">
        <w:rPr>
          <w:rFonts w:ascii="Arial" w:hAnsi="Arial" w:cs="Arial"/>
          <w:u w:val="single"/>
        </w:rPr>
        <w:t>Component 2</w:t>
      </w:r>
    </w:p>
    <w:p w14:paraId="452D2C1D" w14:textId="77777777" w:rsidR="00431B2C" w:rsidRDefault="00431B2C" w:rsidP="00431B2C">
      <w:pPr>
        <w:rPr>
          <w:rFonts w:ascii="Arial" w:hAnsi="Arial" w:cs="Arial"/>
          <w:u w:val="single"/>
        </w:rPr>
      </w:pPr>
    </w:p>
    <w:p w14:paraId="7E380DD5" w14:textId="4090A745" w:rsidR="00431B2C" w:rsidRDefault="00431B2C" w:rsidP="00431B2C">
      <w:pPr>
        <w:rPr>
          <w:rFonts w:ascii="Arial" w:hAnsi="Arial" w:cs="Arial"/>
          <w:u w:val="single"/>
        </w:rPr>
      </w:pPr>
      <w:r w:rsidRPr="00431B2C">
        <w:rPr>
          <w:rFonts w:ascii="Arial" w:hAnsi="Arial" w:cs="Arial"/>
          <w:u w:val="single"/>
        </w:rPr>
        <w:drawing>
          <wp:inline distT="0" distB="0" distL="0" distR="0" wp14:anchorId="31471E20" wp14:editId="61EC8979">
            <wp:extent cx="4819135" cy="6840011"/>
            <wp:effectExtent l="0" t="0" r="0" b="5715"/>
            <wp:docPr id="397259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59835" name=""/>
                    <pic:cNvPicPr/>
                  </pic:nvPicPr>
                  <pic:blipFill>
                    <a:blip r:embed="rId8"/>
                    <a:stretch>
                      <a:fillRect/>
                    </a:stretch>
                  </pic:blipFill>
                  <pic:spPr>
                    <a:xfrm>
                      <a:off x="0" y="0"/>
                      <a:ext cx="4835646" cy="6863445"/>
                    </a:xfrm>
                    <a:prstGeom prst="rect">
                      <a:avLst/>
                    </a:prstGeom>
                  </pic:spPr>
                </pic:pic>
              </a:graphicData>
            </a:graphic>
          </wp:inline>
        </w:drawing>
      </w:r>
    </w:p>
    <w:p w14:paraId="086DD923" w14:textId="77777777" w:rsidR="00431B2C" w:rsidRDefault="00431B2C">
      <w:pPr>
        <w:rPr>
          <w:rFonts w:ascii="Arial" w:hAnsi="Arial" w:cs="Arial"/>
          <w:u w:val="single"/>
        </w:rPr>
      </w:pPr>
      <w:r>
        <w:rPr>
          <w:rFonts w:ascii="Arial" w:hAnsi="Arial" w:cs="Arial"/>
          <w:u w:val="single"/>
        </w:rPr>
        <w:br w:type="page"/>
      </w:r>
    </w:p>
    <w:p w14:paraId="4AF5537C" w14:textId="55090D51" w:rsidR="00431B2C" w:rsidRDefault="00431B2C" w:rsidP="00431B2C">
      <w:pPr>
        <w:rPr>
          <w:rFonts w:ascii="Arial" w:hAnsi="Arial" w:cs="Arial"/>
          <w:u w:val="single"/>
        </w:rPr>
      </w:pPr>
      <w:r w:rsidRPr="00431B2C">
        <w:rPr>
          <w:rFonts w:ascii="Arial" w:hAnsi="Arial" w:cs="Arial"/>
          <w:u w:val="single"/>
        </w:rPr>
        <w:lastRenderedPageBreak/>
        <w:drawing>
          <wp:inline distT="0" distB="0" distL="0" distR="0" wp14:anchorId="5750BCDB" wp14:editId="3B08F255">
            <wp:extent cx="4460789" cy="6331395"/>
            <wp:effectExtent l="0" t="0" r="0" b="3810"/>
            <wp:docPr id="1360429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29084" name=""/>
                    <pic:cNvPicPr/>
                  </pic:nvPicPr>
                  <pic:blipFill>
                    <a:blip r:embed="rId9"/>
                    <a:stretch>
                      <a:fillRect/>
                    </a:stretch>
                  </pic:blipFill>
                  <pic:spPr>
                    <a:xfrm>
                      <a:off x="0" y="0"/>
                      <a:ext cx="4460789" cy="6331395"/>
                    </a:xfrm>
                    <a:prstGeom prst="rect">
                      <a:avLst/>
                    </a:prstGeom>
                  </pic:spPr>
                </pic:pic>
              </a:graphicData>
            </a:graphic>
          </wp:inline>
        </w:drawing>
      </w:r>
    </w:p>
    <w:p w14:paraId="401D7EE6" w14:textId="77777777" w:rsidR="00431B2C" w:rsidRPr="00431B2C" w:rsidRDefault="00431B2C" w:rsidP="00431B2C">
      <w:pPr>
        <w:rPr>
          <w:rFonts w:ascii="Arial" w:hAnsi="Arial" w:cs="Arial"/>
        </w:rPr>
      </w:pPr>
    </w:p>
    <w:p w14:paraId="76F52141" w14:textId="77777777" w:rsidR="00431B2C" w:rsidRPr="00431B2C" w:rsidRDefault="00431B2C" w:rsidP="00431B2C">
      <w:pPr>
        <w:rPr>
          <w:rFonts w:ascii="Arial" w:hAnsi="Arial" w:cs="Arial"/>
        </w:rPr>
      </w:pPr>
    </w:p>
    <w:p w14:paraId="4D62A2F0" w14:textId="77777777" w:rsidR="00431B2C" w:rsidRDefault="00431B2C" w:rsidP="00431B2C">
      <w:pPr>
        <w:rPr>
          <w:rFonts w:ascii="Arial" w:hAnsi="Arial" w:cs="Arial"/>
          <w:u w:val="single"/>
        </w:rPr>
      </w:pPr>
    </w:p>
    <w:p w14:paraId="2B84EC9B" w14:textId="2575C762" w:rsidR="00431B2C" w:rsidRDefault="00431B2C" w:rsidP="00431B2C">
      <w:pPr>
        <w:tabs>
          <w:tab w:val="left" w:pos="8329"/>
        </w:tabs>
        <w:rPr>
          <w:rFonts w:ascii="Arial" w:hAnsi="Arial" w:cs="Arial"/>
        </w:rPr>
      </w:pPr>
      <w:r>
        <w:rPr>
          <w:rFonts w:ascii="Arial" w:hAnsi="Arial" w:cs="Arial"/>
        </w:rPr>
        <w:tab/>
      </w:r>
    </w:p>
    <w:p w14:paraId="72C33206" w14:textId="77777777" w:rsidR="00431B2C" w:rsidRDefault="00431B2C" w:rsidP="00431B2C">
      <w:pPr>
        <w:tabs>
          <w:tab w:val="left" w:pos="8329"/>
        </w:tabs>
        <w:rPr>
          <w:rFonts w:ascii="Arial" w:hAnsi="Arial" w:cs="Arial"/>
          <w:u w:val="single"/>
        </w:rPr>
      </w:pPr>
    </w:p>
    <w:p w14:paraId="0538E89D" w14:textId="77777777" w:rsidR="00431B2C" w:rsidRDefault="00431B2C" w:rsidP="00431B2C">
      <w:pPr>
        <w:tabs>
          <w:tab w:val="left" w:pos="8329"/>
        </w:tabs>
        <w:rPr>
          <w:rFonts w:ascii="Arial" w:hAnsi="Arial" w:cs="Arial"/>
          <w:u w:val="single"/>
        </w:rPr>
      </w:pPr>
    </w:p>
    <w:p w14:paraId="0BA81B1A" w14:textId="77777777" w:rsidR="00431B2C" w:rsidRDefault="00431B2C" w:rsidP="00431B2C">
      <w:pPr>
        <w:tabs>
          <w:tab w:val="left" w:pos="8329"/>
        </w:tabs>
        <w:rPr>
          <w:rFonts w:ascii="Arial" w:hAnsi="Arial" w:cs="Arial"/>
          <w:u w:val="single"/>
        </w:rPr>
      </w:pPr>
    </w:p>
    <w:p w14:paraId="517C7A55" w14:textId="77777777" w:rsidR="00431B2C" w:rsidRDefault="00431B2C" w:rsidP="00431B2C">
      <w:pPr>
        <w:tabs>
          <w:tab w:val="left" w:pos="8329"/>
        </w:tabs>
        <w:rPr>
          <w:rFonts w:ascii="Arial" w:hAnsi="Arial" w:cs="Arial"/>
          <w:u w:val="single"/>
        </w:rPr>
      </w:pPr>
    </w:p>
    <w:p w14:paraId="5E2CA380" w14:textId="4B247A81" w:rsidR="00431B2C" w:rsidRDefault="00431B2C" w:rsidP="00431B2C">
      <w:pPr>
        <w:tabs>
          <w:tab w:val="left" w:pos="8329"/>
        </w:tabs>
        <w:rPr>
          <w:rFonts w:ascii="Arial" w:hAnsi="Arial" w:cs="Arial"/>
          <w:u w:val="single"/>
        </w:rPr>
      </w:pPr>
      <w:r w:rsidRPr="00431B2C">
        <w:rPr>
          <w:rFonts w:ascii="Arial" w:hAnsi="Arial" w:cs="Arial"/>
          <w:u w:val="single"/>
        </w:rPr>
        <w:t xml:space="preserve">Component 3 </w:t>
      </w:r>
      <w:r>
        <w:rPr>
          <w:rFonts w:ascii="Arial" w:hAnsi="Arial" w:cs="Arial"/>
          <w:u w:val="single"/>
        </w:rPr>
        <w:br/>
      </w:r>
    </w:p>
    <w:p w14:paraId="2C7C62CE" w14:textId="77777777" w:rsidR="00431B2C" w:rsidRDefault="00431B2C" w:rsidP="00431B2C">
      <w:pPr>
        <w:spacing w:line="360" w:lineRule="auto"/>
      </w:pPr>
      <w:r>
        <w:t xml:space="preserve">A professional has been described in different ways according to different authors. Schön, D (2016) refers to a professional as an individual who is specialises in a particular line of work. Schön also illustrates a professional to be a person who is prepared to help another who, for unknown reasons, is unequipped to manage the task alone. Part of being a professional is knowing how to apply the knowledge and skills learned. Professional practice involves working respectfully around colleagues and other individuals, ensuring confidentiality and safeguarding is present within every aspect of practice and knowing the standards of practice required and following regulations. However, professional practice is also building positive relationships with the children within the setting as well as the communities behind the children, understanding the child’s rights and individual needs and ensuring that those needs are being focussed on in activities which will support holistic development. </w:t>
      </w:r>
    </w:p>
    <w:p w14:paraId="3AE7500E" w14:textId="77777777" w:rsidR="00431B2C" w:rsidRDefault="00431B2C" w:rsidP="00431B2C">
      <w:pPr>
        <w:spacing w:line="360" w:lineRule="auto"/>
      </w:pPr>
    </w:p>
    <w:p w14:paraId="56F6ED0B" w14:textId="77777777" w:rsidR="00431B2C" w:rsidRDefault="00431B2C" w:rsidP="00431B2C">
      <w:pPr>
        <w:spacing w:line="360" w:lineRule="auto"/>
      </w:pPr>
      <w:r>
        <w:t xml:space="preserve">When working as an </w:t>
      </w:r>
      <w:proofErr w:type="gramStart"/>
      <w:r>
        <w:t>early years</w:t>
      </w:r>
      <w:proofErr w:type="gramEnd"/>
      <w:r>
        <w:t xml:space="preserve"> professional, there are certain values and standards that an individual must be aware of. This is to ensure that the practice that is carried out is to the highest standard. One of the key values that must be kept at the centre of our work is to maintain respect for each individual child and be mindful that all children should receive the same quality of care and opportunities, no matter their background or ability. Moreover, another value that needs to be considered is prioritising safeguarding and the well-being of the individuals. Ensuring that the children in your care are and healthy and safe is paramount. This aspect goes hand in hand with being able to build strong bond and relationships as without this, the child would not feel safe or confident enough to express their emotions. Therefore, establishing a trusting bond with the children in your care will allow them to feel secure, which will naturally allow you to know about any concerns and safeguard the individual in an appropriate manner. Another important value that must be considered when working as an early year professional is supporting the learning and development of these individuals. As we are </w:t>
      </w:r>
      <w:r>
        <w:lastRenderedPageBreak/>
        <w:t xml:space="preserve">aware, not every child is the same and they all grow and mature at different times and rates. Observing and assessing the child can play a big role as it allows easy access of the rate of progression and it will show strengths and weaknesses within the child meaning there is an opportunity for a more tailored and individual planning schedule to support the child’s specific needs.  </w:t>
      </w:r>
    </w:p>
    <w:p w14:paraId="59F0B588" w14:textId="77777777" w:rsidR="00431B2C" w:rsidRDefault="00431B2C" w:rsidP="00431B2C">
      <w:pPr>
        <w:spacing w:line="360" w:lineRule="auto"/>
      </w:pPr>
    </w:p>
    <w:p w14:paraId="027109E3" w14:textId="77777777" w:rsidR="00431B2C" w:rsidRDefault="00431B2C" w:rsidP="00431B2C">
      <w:pPr>
        <w:spacing w:line="360" w:lineRule="auto"/>
      </w:pPr>
      <w:r>
        <w:t xml:space="preserve">Professionals in the early years must know how to effectively communicate with a variety of different people, with ages ranging from a few months old to two-year-olds and up to school ages perhaps. As well as the adults in those children’s lives. Poulter-Jewson, B and Skinner, R (2024) believes that communication is the way in which individuals or groups of people </w:t>
      </w:r>
      <w:proofErr w:type="gramStart"/>
      <w:r>
        <w:t>are able to</w:t>
      </w:r>
      <w:proofErr w:type="gramEnd"/>
      <w:r>
        <w:t xml:space="preserve"> share messages, ideas and information. Poulter-Jewson and Skinner also discuss that one’s body language and non-verbal actions can express feelings and show readiness. From communication, a trust and connection </w:t>
      </w:r>
      <w:proofErr w:type="gramStart"/>
      <w:r>
        <w:t>is</w:t>
      </w:r>
      <w:proofErr w:type="gramEnd"/>
      <w:r>
        <w:t xml:space="preserve"> built meaning a relationship or bond can be formed. These relationships can be extremely important to a young person </w:t>
      </w:r>
      <w:proofErr w:type="gramStart"/>
      <w:r>
        <w:t>due to the fact that</w:t>
      </w:r>
      <w:proofErr w:type="gramEnd"/>
      <w:r>
        <w:t xml:space="preserve"> when they are around practitioners, this tends to mean that their usual trusted adults are not beside them. This can make a child very uneasy and anxious. However, once those bonds are established, the child will feel significantly happier and safer as they are around adults they are able to trust. </w:t>
      </w:r>
    </w:p>
    <w:p w14:paraId="4594F705" w14:textId="77777777" w:rsidR="00431B2C" w:rsidRDefault="00431B2C" w:rsidP="00431B2C">
      <w:pPr>
        <w:spacing w:line="360" w:lineRule="auto"/>
      </w:pPr>
    </w:p>
    <w:p w14:paraId="7ED56570" w14:textId="77777777" w:rsidR="00431B2C" w:rsidRDefault="00431B2C" w:rsidP="00431B2C">
      <w:pPr>
        <w:spacing w:line="360" w:lineRule="auto"/>
      </w:pPr>
      <w:r>
        <w:t xml:space="preserve">As a professional practitioner, it is one of the many responsibilities to protect and safeguard the children in our care. Safeguarding in the process of keeping the children in the settings safe that is undertaken by the professionals. Having the knowledge and the understanding of the fundamentals </w:t>
      </w:r>
      <w:proofErr w:type="gramStart"/>
      <w:r>
        <w:t>in regard to</w:t>
      </w:r>
      <w:proofErr w:type="gramEnd"/>
      <w:r>
        <w:t xml:space="preserve"> early years practice and professionalism, will enable individuals to make clear decisions and judgments which will affect the children within the settings. Being aware of the safeguarding regulations will ensure that professionals are alerted by any signs that could cause concern or need attention. A study taken by Bilson, A and Martin, E.C (2017) reveals that 22.5% of children are referred to children’s social services, 17% of children require a social work </w:t>
      </w:r>
      <w:r>
        <w:lastRenderedPageBreak/>
        <w:t xml:space="preserve">assessment, 14.3% of children have been a child in need and 11.1% of children have been in need due to concerns of abuse or neglect, all before a child’s fifth birthday. These results prove that professionals need to constantly be aware of the children in their care and notice any changes, also to be aware of the safeguarding policies and regulations so in a case where a report needs to be made, valuable time is not wasted. </w:t>
      </w:r>
    </w:p>
    <w:p w14:paraId="5BA17CBC" w14:textId="77777777" w:rsidR="00431B2C" w:rsidRDefault="00431B2C" w:rsidP="00431B2C">
      <w:pPr>
        <w:spacing w:line="360" w:lineRule="auto"/>
      </w:pPr>
    </w:p>
    <w:p w14:paraId="5D3B2CA9" w14:textId="77777777" w:rsidR="00431B2C" w:rsidRDefault="00431B2C" w:rsidP="00431B2C">
      <w:pPr>
        <w:spacing w:line="360" w:lineRule="auto"/>
      </w:pPr>
      <w:r>
        <w:t xml:space="preserve">An equally important aspect we must consider is multi-agency working. Also referred to as partnership working can have many benefits for young people. It is the professionals around the young children who create the opportunities by effective communication and partnership working. It can be defined as the professionals that care for young individuals working together and communicating </w:t>
      </w:r>
      <w:proofErr w:type="gramStart"/>
      <w:r>
        <w:t>in order to</w:t>
      </w:r>
      <w:proofErr w:type="gramEnd"/>
      <w:r>
        <w:t xml:space="preserve"> safeguard the child or to maintain and protect the well-being of the child. The failure to collaborate has led to many devastating cases, for instance, the case of Victoria Climbié. These tragic cases led to fundamental changes and provided a new urgency for effective partnership work by professionals according to Gasper, M (2010). Multi-agency working is one of the most essential aspects to being a professional in the early years sector, as having the ability to collaborate will create a safe place for a child in need, and enable children who are slightly behind in the ‘societal norms’ and need more attention will receive the support they need to reach their full potential. </w:t>
      </w:r>
    </w:p>
    <w:p w14:paraId="422D2C9B" w14:textId="77777777" w:rsidR="00431B2C" w:rsidRDefault="00431B2C" w:rsidP="00431B2C">
      <w:pPr>
        <w:spacing w:line="360" w:lineRule="auto"/>
      </w:pPr>
    </w:p>
    <w:p w14:paraId="5A150EA6" w14:textId="77777777" w:rsidR="00431B2C" w:rsidRDefault="00431B2C" w:rsidP="00431B2C">
      <w:pPr>
        <w:spacing w:line="360" w:lineRule="auto"/>
      </w:pPr>
    </w:p>
    <w:p w14:paraId="74DFD60F" w14:textId="77777777" w:rsidR="00431B2C" w:rsidRDefault="00431B2C" w:rsidP="00431B2C">
      <w:pPr>
        <w:spacing w:line="360" w:lineRule="auto"/>
      </w:pPr>
      <w:r>
        <w:t xml:space="preserve">Observing and planning is another element that professionals who care and educate children must remain a priority as the activities planned need to engage the child as well as provide the key skills and life lessons they will need as they develop and grow. Smidt, S (2015) argues that we can use what we see during an observation to recognise a child’s strengths and weaknesses, identify significant milestones in a child’s development and we are able to expand on our findings. Using findings from observations allows professionals to truly see what the children enjoy and what they are not entertained with. Gaining this information will enable professionals to plan </w:t>
      </w:r>
      <w:r>
        <w:lastRenderedPageBreak/>
        <w:t xml:space="preserve">accordingly to cater for the children’s individual needs to support weaknesses and build confidence through showing strength. </w:t>
      </w:r>
    </w:p>
    <w:p w14:paraId="4A2402E5" w14:textId="77777777" w:rsidR="00431B2C" w:rsidRDefault="00431B2C" w:rsidP="00431B2C">
      <w:pPr>
        <w:spacing w:line="360" w:lineRule="auto"/>
      </w:pPr>
    </w:p>
    <w:p w14:paraId="628FF85C" w14:textId="77777777" w:rsidR="00431B2C" w:rsidRDefault="00431B2C" w:rsidP="00431B2C">
      <w:pPr>
        <w:spacing w:line="360" w:lineRule="auto"/>
      </w:pPr>
      <w:r>
        <w:t xml:space="preserve">Moreover, the United Nations Convention on the Right of the Child (UNCRC) should also be a main priority to a professional working in early years as it gives a clear overview of every element of what a child should be receiving.  The different articles within the UNCRC influence practice in the early years sector meaning that it promotes a child-centred approach, provides clear boundaries for the professionals and reminds those working in early years that the children are the priority over anything else. This therefore leads to better care for the children meaning more positive outcomes. Focussing on the UNCRC will encourage professionals to think in a reflective manner to assess their practice, ensuring the child’s rights where present. </w:t>
      </w:r>
    </w:p>
    <w:p w14:paraId="4837D436" w14:textId="77777777" w:rsidR="00431B2C" w:rsidRDefault="00431B2C" w:rsidP="00431B2C">
      <w:pPr>
        <w:spacing w:line="360" w:lineRule="auto"/>
      </w:pPr>
    </w:p>
    <w:p w14:paraId="20D4FFF3" w14:textId="77777777" w:rsidR="00431B2C" w:rsidRDefault="00431B2C" w:rsidP="00431B2C">
      <w:pPr>
        <w:spacing w:line="360" w:lineRule="auto"/>
      </w:pPr>
      <w:r>
        <w:t xml:space="preserve">To conclude, there are numerous different aspects that contribute to professional practice; all of them being important in meeting the child’s individual needs. </w:t>
      </w:r>
      <w:proofErr w:type="gramStart"/>
      <w:r>
        <w:t>In order to</w:t>
      </w:r>
      <w:proofErr w:type="gramEnd"/>
      <w:r>
        <w:t xml:space="preserve"> maintain a professional manner whilst working in the early years sector, practitioners must consider a variety of values and skills to confidently plan meaningful activities for the children alongside upholding a professional manner. Within these settings is where the children in our care will learn and develop skills that will last a lifetime, this encourages practitioners to provide care to the best of their ability to make an impact to the young children’s lives. </w:t>
      </w:r>
    </w:p>
    <w:p w14:paraId="266BC912" w14:textId="77777777" w:rsidR="00431B2C" w:rsidRDefault="00431B2C" w:rsidP="00431B2C">
      <w:pPr>
        <w:spacing w:line="360" w:lineRule="auto"/>
      </w:pPr>
    </w:p>
    <w:p w14:paraId="100D8F6F" w14:textId="77777777" w:rsidR="00431B2C" w:rsidRDefault="00431B2C" w:rsidP="00431B2C">
      <w:pPr>
        <w:spacing w:line="360" w:lineRule="auto"/>
      </w:pPr>
    </w:p>
    <w:p w14:paraId="73444B45" w14:textId="77777777" w:rsidR="00431B2C" w:rsidRDefault="00431B2C" w:rsidP="00431B2C">
      <w:pPr>
        <w:spacing w:line="360" w:lineRule="auto"/>
      </w:pPr>
    </w:p>
    <w:p w14:paraId="1E088DE1" w14:textId="77777777" w:rsidR="00431B2C" w:rsidRDefault="00431B2C" w:rsidP="00431B2C">
      <w:pPr>
        <w:spacing w:line="360" w:lineRule="auto"/>
      </w:pPr>
    </w:p>
    <w:p w14:paraId="4937B54C" w14:textId="77777777" w:rsidR="00431B2C" w:rsidRDefault="00431B2C" w:rsidP="00431B2C">
      <w:pPr>
        <w:spacing w:line="360" w:lineRule="auto"/>
      </w:pPr>
    </w:p>
    <w:p w14:paraId="7933062A" w14:textId="77777777" w:rsidR="00431B2C" w:rsidRDefault="00431B2C" w:rsidP="00431B2C">
      <w:pPr>
        <w:spacing w:line="360" w:lineRule="auto"/>
      </w:pPr>
    </w:p>
    <w:p w14:paraId="35806621" w14:textId="77777777" w:rsidR="00431B2C" w:rsidRDefault="00431B2C" w:rsidP="00431B2C">
      <w:pPr>
        <w:spacing w:line="360" w:lineRule="auto"/>
      </w:pPr>
    </w:p>
    <w:p w14:paraId="19DAD6FC" w14:textId="77777777" w:rsidR="00431B2C" w:rsidRDefault="00431B2C" w:rsidP="00431B2C">
      <w:pPr>
        <w:spacing w:line="360" w:lineRule="auto"/>
      </w:pPr>
    </w:p>
    <w:p w14:paraId="7B763099" w14:textId="77777777" w:rsidR="00431B2C" w:rsidRDefault="00431B2C" w:rsidP="00431B2C">
      <w:pPr>
        <w:spacing w:line="360" w:lineRule="auto"/>
      </w:pPr>
    </w:p>
    <w:p w14:paraId="0033607C" w14:textId="77777777" w:rsidR="00431B2C" w:rsidRPr="00474F6F" w:rsidRDefault="00431B2C" w:rsidP="00431B2C">
      <w:pPr>
        <w:spacing w:line="360" w:lineRule="auto"/>
        <w:rPr>
          <w:rFonts w:ascii="Arial" w:hAnsi="Arial" w:cs="Arial"/>
        </w:rPr>
      </w:pPr>
      <w:r w:rsidRPr="00474F6F">
        <w:rPr>
          <w:rFonts w:ascii="Arial" w:hAnsi="Arial" w:cs="Arial"/>
        </w:rPr>
        <w:t xml:space="preserve">Reference List </w:t>
      </w:r>
    </w:p>
    <w:p w14:paraId="4E09351C" w14:textId="77777777" w:rsidR="00431B2C" w:rsidRDefault="00431B2C" w:rsidP="00431B2C">
      <w:pPr>
        <w:spacing w:line="360" w:lineRule="auto"/>
      </w:pPr>
    </w:p>
    <w:p w14:paraId="524758A0" w14:textId="77777777" w:rsidR="00431B2C" w:rsidRPr="00C367EC" w:rsidRDefault="00431B2C" w:rsidP="00431B2C">
      <w:pPr>
        <w:spacing w:line="360" w:lineRule="auto"/>
        <w:rPr>
          <w:rFonts w:ascii="Arial" w:hAnsi="Arial" w:cs="Arial"/>
          <w:i/>
          <w:iCs/>
        </w:rPr>
      </w:pPr>
      <w:r w:rsidRPr="00C367EC">
        <w:rPr>
          <w:rFonts w:ascii="Arial" w:hAnsi="Arial" w:cs="Arial"/>
          <w:i/>
          <w:iCs/>
        </w:rPr>
        <w:t>Bilson, A., and Martin, E.C. (2017). Referrals and Child Protection in England: One in Five Children Referred to Children’s Services and One in Nineteen Investigated before the Age of Five. The British Journal of Social Work, Volume 47, Issue 3, Pages 793–811.</w:t>
      </w:r>
    </w:p>
    <w:p w14:paraId="161FD81B" w14:textId="77777777" w:rsidR="00431B2C" w:rsidRDefault="00431B2C" w:rsidP="00431B2C">
      <w:pPr>
        <w:spacing w:line="360" w:lineRule="auto"/>
        <w:rPr>
          <w:rFonts w:ascii="Source Sans Pro" w:hAnsi="Source Sans Pro"/>
          <w:i/>
          <w:iCs/>
          <w:color w:val="3A3A3A"/>
          <w:shd w:val="clear" w:color="auto" w:fill="FFFFFF"/>
        </w:rPr>
      </w:pPr>
    </w:p>
    <w:p w14:paraId="5EB23F73" w14:textId="77777777" w:rsidR="00431B2C" w:rsidRPr="00C367EC" w:rsidRDefault="00431B2C" w:rsidP="00431B2C">
      <w:pPr>
        <w:spacing w:line="360" w:lineRule="auto"/>
        <w:rPr>
          <w:rFonts w:ascii="Arial" w:hAnsi="Arial" w:cs="Arial"/>
          <w:i/>
          <w:iCs/>
          <w:color w:val="3A3A3A"/>
          <w:shd w:val="clear" w:color="auto" w:fill="FFFFFF"/>
        </w:rPr>
      </w:pPr>
      <w:r w:rsidRPr="00C367EC">
        <w:rPr>
          <w:rFonts w:ascii="Arial" w:hAnsi="Arial" w:cs="Arial"/>
          <w:i/>
          <w:iCs/>
          <w:color w:val="3A3A3A"/>
          <w:shd w:val="clear" w:color="auto" w:fill="FFFFFF"/>
        </w:rPr>
        <w:t>Gasper, M. (2010)</w:t>
      </w:r>
      <w:r w:rsidRPr="00C367EC">
        <w:rPr>
          <w:rStyle w:val="apple-converted-space"/>
          <w:rFonts w:ascii="Arial" w:hAnsi="Arial" w:cs="Arial"/>
          <w:i/>
          <w:iCs/>
          <w:color w:val="3A3A3A"/>
          <w:shd w:val="clear" w:color="auto" w:fill="FFFFFF"/>
        </w:rPr>
        <w:t> </w:t>
      </w:r>
      <w:r w:rsidRPr="00C367EC">
        <w:rPr>
          <w:rFonts w:ascii="Arial" w:hAnsi="Arial" w:cs="Arial"/>
          <w:i/>
          <w:iCs/>
          <w:color w:val="3A3A3A"/>
        </w:rPr>
        <w:t xml:space="preserve">Multi-agency working in the early </w:t>
      </w:r>
      <w:proofErr w:type="gramStart"/>
      <w:r w:rsidRPr="00C367EC">
        <w:rPr>
          <w:rFonts w:ascii="Arial" w:hAnsi="Arial" w:cs="Arial"/>
          <w:i/>
          <w:iCs/>
          <w:color w:val="3A3A3A"/>
        </w:rPr>
        <w:t>years :</w:t>
      </w:r>
      <w:proofErr w:type="gramEnd"/>
      <w:r w:rsidRPr="00C367EC">
        <w:rPr>
          <w:rFonts w:ascii="Arial" w:hAnsi="Arial" w:cs="Arial"/>
          <w:i/>
          <w:iCs/>
          <w:color w:val="3A3A3A"/>
        </w:rPr>
        <w:t xml:space="preserve"> challenges and opportunities</w:t>
      </w:r>
      <w:r w:rsidRPr="00C367EC">
        <w:rPr>
          <w:rFonts w:ascii="Arial" w:hAnsi="Arial" w:cs="Arial"/>
          <w:i/>
          <w:iCs/>
          <w:color w:val="3A3A3A"/>
          <w:shd w:val="clear" w:color="auto" w:fill="FFFFFF"/>
        </w:rPr>
        <w:t xml:space="preserve">. </w:t>
      </w:r>
      <w:proofErr w:type="gramStart"/>
      <w:r w:rsidRPr="00C367EC">
        <w:rPr>
          <w:rFonts w:ascii="Arial" w:hAnsi="Arial" w:cs="Arial"/>
          <w:i/>
          <w:iCs/>
          <w:color w:val="3A3A3A"/>
          <w:shd w:val="clear" w:color="auto" w:fill="FFFFFF"/>
        </w:rPr>
        <w:t>London ;</w:t>
      </w:r>
      <w:proofErr w:type="gramEnd"/>
      <w:r w:rsidRPr="00C367EC">
        <w:rPr>
          <w:rFonts w:ascii="Arial" w:hAnsi="Arial" w:cs="Arial"/>
          <w:i/>
          <w:iCs/>
          <w:color w:val="3A3A3A"/>
          <w:shd w:val="clear" w:color="auto" w:fill="FFFFFF"/>
        </w:rPr>
        <w:t xml:space="preserve"> SAGE.</w:t>
      </w:r>
    </w:p>
    <w:p w14:paraId="77390F18" w14:textId="77777777" w:rsidR="00431B2C" w:rsidRPr="00C367EC" w:rsidRDefault="00431B2C" w:rsidP="00431B2C">
      <w:pPr>
        <w:spacing w:line="360" w:lineRule="auto"/>
        <w:rPr>
          <w:rFonts w:ascii="Arial" w:hAnsi="Arial" w:cs="Arial"/>
          <w:i/>
          <w:iCs/>
          <w:color w:val="3A3A3A"/>
          <w:shd w:val="clear" w:color="auto" w:fill="FFFFFF"/>
        </w:rPr>
      </w:pPr>
    </w:p>
    <w:p w14:paraId="6304F045" w14:textId="77777777" w:rsidR="00431B2C" w:rsidRPr="00C367EC" w:rsidRDefault="00431B2C" w:rsidP="00431B2C">
      <w:pPr>
        <w:spacing w:line="360" w:lineRule="auto"/>
        <w:rPr>
          <w:rFonts w:ascii="Arial" w:hAnsi="Arial" w:cs="Arial"/>
          <w:i/>
          <w:iCs/>
          <w:color w:val="3A3A3A"/>
          <w:shd w:val="clear" w:color="auto" w:fill="FFFFFF"/>
        </w:rPr>
      </w:pPr>
      <w:r w:rsidRPr="00C367EC">
        <w:rPr>
          <w:rFonts w:ascii="Arial" w:hAnsi="Arial" w:cs="Arial"/>
          <w:i/>
          <w:iCs/>
          <w:color w:val="3A3A3A"/>
          <w:shd w:val="clear" w:color="auto" w:fill="FFFFFF"/>
        </w:rPr>
        <w:t>Jewson, B.P. and Skinner, R. (2024)</w:t>
      </w:r>
      <w:r w:rsidRPr="00C367EC">
        <w:rPr>
          <w:rStyle w:val="apple-converted-space"/>
          <w:rFonts w:ascii="Arial" w:hAnsi="Arial" w:cs="Arial"/>
          <w:i/>
          <w:iCs/>
          <w:color w:val="3A3A3A"/>
          <w:shd w:val="clear" w:color="auto" w:fill="FFFFFF"/>
        </w:rPr>
        <w:t> </w:t>
      </w:r>
      <w:r w:rsidRPr="00C367EC">
        <w:rPr>
          <w:rFonts w:ascii="Arial" w:hAnsi="Arial" w:cs="Arial"/>
          <w:i/>
          <w:iCs/>
          <w:color w:val="3A3A3A"/>
        </w:rPr>
        <w:t xml:space="preserve">Speech, language and communication for healthy little </w:t>
      </w:r>
      <w:proofErr w:type="gramStart"/>
      <w:r w:rsidRPr="00C367EC">
        <w:rPr>
          <w:rFonts w:ascii="Arial" w:hAnsi="Arial" w:cs="Arial"/>
          <w:i/>
          <w:iCs/>
          <w:color w:val="3A3A3A"/>
        </w:rPr>
        <w:t>minds :</w:t>
      </w:r>
      <w:proofErr w:type="gramEnd"/>
      <w:r w:rsidRPr="00C367EC">
        <w:rPr>
          <w:rFonts w:ascii="Arial" w:hAnsi="Arial" w:cs="Arial"/>
          <w:i/>
          <w:iCs/>
          <w:color w:val="3A3A3A"/>
        </w:rPr>
        <w:t xml:space="preserve"> practical ideas to promote communication for wellbeing in the early years</w:t>
      </w:r>
      <w:r w:rsidRPr="00C367EC">
        <w:rPr>
          <w:rFonts w:ascii="Arial" w:hAnsi="Arial" w:cs="Arial"/>
          <w:i/>
          <w:iCs/>
          <w:color w:val="3A3A3A"/>
          <w:shd w:val="clear" w:color="auto" w:fill="FFFFFF"/>
        </w:rPr>
        <w:t xml:space="preserve">. Abingdon, </w:t>
      </w:r>
      <w:proofErr w:type="gramStart"/>
      <w:r w:rsidRPr="00C367EC">
        <w:rPr>
          <w:rFonts w:ascii="Arial" w:hAnsi="Arial" w:cs="Arial"/>
          <w:i/>
          <w:iCs/>
          <w:color w:val="3A3A3A"/>
          <w:shd w:val="clear" w:color="auto" w:fill="FFFFFF"/>
        </w:rPr>
        <w:t>Oxon ;</w:t>
      </w:r>
      <w:proofErr w:type="gramEnd"/>
      <w:r w:rsidRPr="00C367EC">
        <w:rPr>
          <w:rFonts w:ascii="Arial" w:hAnsi="Arial" w:cs="Arial"/>
          <w:i/>
          <w:iCs/>
          <w:color w:val="3A3A3A"/>
          <w:shd w:val="clear" w:color="auto" w:fill="FFFFFF"/>
        </w:rPr>
        <w:t xml:space="preserve"> Routledge, Taylor &amp; Francis Group.</w:t>
      </w:r>
    </w:p>
    <w:p w14:paraId="4F827E20" w14:textId="77777777" w:rsidR="00431B2C" w:rsidRPr="00C367EC" w:rsidRDefault="00431B2C" w:rsidP="00431B2C">
      <w:pPr>
        <w:spacing w:line="360" w:lineRule="auto"/>
        <w:rPr>
          <w:rFonts w:ascii="Arial" w:hAnsi="Arial" w:cs="Arial"/>
          <w:i/>
          <w:iCs/>
          <w:color w:val="3A3A3A"/>
          <w:shd w:val="clear" w:color="auto" w:fill="FFFFFF"/>
        </w:rPr>
      </w:pPr>
    </w:p>
    <w:p w14:paraId="5C2D8384" w14:textId="77777777" w:rsidR="00431B2C" w:rsidRPr="00C367EC" w:rsidRDefault="00431B2C" w:rsidP="00431B2C">
      <w:pPr>
        <w:spacing w:line="360" w:lineRule="auto"/>
        <w:rPr>
          <w:rFonts w:ascii="Arial" w:hAnsi="Arial" w:cs="Arial"/>
          <w:i/>
          <w:iCs/>
          <w:color w:val="3A3A3A"/>
          <w:shd w:val="clear" w:color="auto" w:fill="FFFFFF"/>
        </w:rPr>
      </w:pPr>
      <w:proofErr w:type="spellStart"/>
      <w:r w:rsidRPr="00C367EC">
        <w:rPr>
          <w:rFonts w:ascii="Arial" w:hAnsi="Arial" w:cs="Arial"/>
          <w:i/>
          <w:iCs/>
          <w:color w:val="3A3A3A"/>
          <w:shd w:val="clear" w:color="auto" w:fill="FFFFFF"/>
        </w:rPr>
        <w:t>Schön</w:t>
      </w:r>
      <w:proofErr w:type="spellEnd"/>
      <w:r w:rsidRPr="00C367EC">
        <w:rPr>
          <w:rFonts w:ascii="Arial" w:hAnsi="Arial" w:cs="Arial"/>
          <w:i/>
          <w:iCs/>
          <w:color w:val="3A3A3A"/>
          <w:shd w:val="clear" w:color="auto" w:fill="FFFFFF"/>
        </w:rPr>
        <w:t>, D.A. (2016)</w:t>
      </w:r>
      <w:r w:rsidRPr="00C367EC">
        <w:rPr>
          <w:rStyle w:val="apple-converted-space"/>
          <w:rFonts w:ascii="Arial" w:hAnsi="Arial" w:cs="Arial"/>
          <w:i/>
          <w:iCs/>
          <w:color w:val="3A3A3A"/>
          <w:shd w:val="clear" w:color="auto" w:fill="FFFFFF"/>
        </w:rPr>
        <w:t> </w:t>
      </w:r>
      <w:r w:rsidRPr="00C367EC">
        <w:rPr>
          <w:rFonts w:ascii="Arial" w:hAnsi="Arial" w:cs="Arial"/>
          <w:i/>
          <w:iCs/>
          <w:color w:val="3A3A3A"/>
        </w:rPr>
        <w:t xml:space="preserve">The reflective </w:t>
      </w:r>
      <w:proofErr w:type="gramStart"/>
      <w:r w:rsidRPr="00C367EC">
        <w:rPr>
          <w:rFonts w:ascii="Arial" w:hAnsi="Arial" w:cs="Arial"/>
          <w:i/>
          <w:iCs/>
          <w:color w:val="3A3A3A"/>
        </w:rPr>
        <w:t>practitioner :</w:t>
      </w:r>
      <w:proofErr w:type="gramEnd"/>
      <w:r w:rsidRPr="00C367EC">
        <w:rPr>
          <w:rFonts w:ascii="Arial" w:hAnsi="Arial" w:cs="Arial"/>
          <w:i/>
          <w:iCs/>
          <w:color w:val="3A3A3A"/>
        </w:rPr>
        <w:t xml:space="preserve"> how professionals think in action</w:t>
      </w:r>
      <w:r w:rsidRPr="00C367EC">
        <w:rPr>
          <w:rFonts w:ascii="Arial" w:hAnsi="Arial" w:cs="Arial"/>
          <w:i/>
          <w:iCs/>
          <w:color w:val="3A3A3A"/>
          <w:shd w:val="clear" w:color="auto" w:fill="FFFFFF"/>
        </w:rPr>
        <w:t xml:space="preserve">. Abingdon, </w:t>
      </w:r>
      <w:proofErr w:type="gramStart"/>
      <w:r w:rsidRPr="00C367EC">
        <w:rPr>
          <w:rFonts w:ascii="Arial" w:hAnsi="Arial" w:cs="Arial"/>
          <w:i/>
          <w:iCs/>
          <w:color w:val="3A3A3A"/>
          <w:shd w:val="clear" w:color="auto" w:fill="FFFFFF"/>
        </w:rPr>
        <w:t>England ;</w:t>
      </w:r>
      <w:proofErr w:type="gramEnd"/>
      <w:r w:rsidRPr="00C367EC">
        <w:rPr>
          <w:rFonts w:ascii="Arial" w:hAnsi="Arial" w:cs="Arial"/>
          <w:i/>
          <w:iCs/>
          <w:color w:val="3A3A3A"/>
          <w:shd w:val="clear" w:color="auto" w:fill="FFFFFF"/>
        </w:rPr>
        <w:t xml:space="preserve"> Routledge.</w:t>
      </w:r>
    </w:p>
    <w:p w14:paraId="591B3C63" w14:textId="77777777" w:rsidR="00431B2C" w:rsidRPr="00C367EC" w:rsidRDefault="00431B2C" w:rsidP="00431B2C">
      <w:pPr>
        <w:spacing w:line="360" w:lineRule="auto"/>
        <w:rPr>
          <w:rFonts w:ascii="Arial" w:hAnsi="Arial" w:cs="Arial"/>
          <w:i/>
          <w:iCs/>
          <w:color w:val="3A3A3A"/>
          <w:shd w:val="clear" w:color="auto" w:fill="FFFFFF"/>
        </w:rPr>
      </w:pPr>
    </w:p>
    <w:p w14:paraId="04E88F37" w14:textId="77777777" w:rsidR="00431B2C" w:rsidRPr="00C367EC" w:rsidRDefault="00431B2C" w:rsidP="00431B2C">
      <w:pPr>
        <w:spacing w:line="360" w:lineRule="auto"/>
        <w:rPr>
          <w:rFonts w:ascii="Arial" w:hAnsi="Arial" w:cs="Arial"/>
          <w:i/>
          <w:iCs/>
        </w:rPr>
      </w:pPr>
      <w:r w:rsidRPr="00C367EC">
        <w:rPr>
          <w:rFonts w:ascii="Arial" w:hAnsi="Arial" w:cs="Arial"/>
          <w:i/>
          <w:iCs/>
          <w:color w:val="3A3A3A"/>
          <w:shd w:val="clear" w:color="auto" w:fill="FFFFFF"/>
        </w:rPr>
        <w:t>Smidt, S. (2015)</w:t>
      </w:r>
      <w:r w:rsidRPr="00C367EC">
        <w:rPr>
          <w:rStyle w:val="apple-converted-space"/>
          <w:rFonts w:ascii="Arial" w:hAnsi="Arial" w:cs="Arial"/>
          <w:i/>
          <w:iCs/>
          <w:color w:val="3A3A3A"/>
          <w:shd w:val="clear" w:color="auto" w:fill="FFFFFF"/>
        </w:rPr>
        <w:t> </w:t>
      </w:r>
      <w:r w:rsidRPr="00C367EC">
        <w:rPr>
          <w:rFonts w:ascii="Arial" w:hAnsi="Arial" w:cs="Arial"/>
          <w:i/>
          <w:iCs/>
          <w:color w:val="3A3A3A"/>
        </w:rPr>
        <w:t xml:space="preserve">Observing young </w:t>
      </w:r>
      <w:proofErr w:type="gramStart"/>
      <w:r w:rsidRPr="00C367EC">
        <w:rPr>
          <w:rFonts w:ascii="Arial" w:hAnsi="Arial" w:cs="Arial"/>
          <w:i/>
          <w:iCs/>
          <w:color w:val="3A3A3A"/>
        </w:rPr>
        <w:t>children :</w:t>
      </w:r>
      <w:proofErr w:type="gramEnd"/>
      <w:r w:rsidRPr="00C367EC">
        <w:rPr>
          <w:rFonts w:ascii="Arial" w:hAnsi="Arial" w:cs="Arial"/>
          <w:i/>
          <w:iCs/>
          <w:color w:val="3A3A3A"/>
        </w:rPr>
        <w:t xml:space="preserve"> the role of observation and assessment in early childhood settings</w:t>
      </w:r>
      <w:r w:rsidRPr="00C367EC">
        <w:rPr>
          <w:rFonts w:ascii="Arial" w:hAnsi="Arial" w:cs="Arial"/>
          <w:i/>
          <w:iCs/>
          <w:color w:val="3A3A3A"/>
          <w:shd w:val="clear" w:color="auto" w:fill="FFFFFF"/>
        </w:rPr>
        <w:t xml:space="preserve">. Second edition. </w:t>
      </w:r>
      <w:proofErr w:type="gramStart"/>
      <w:r w:rsidRPr="00C367EC">
        <w:rPr>
          <w:rFonts w:ascii="Arial" w:hAnsi="Arial" w:cs="Arial"/>
          <w:i/>
          <w:iCs/>
          <w:color w:val="3A3A3A"/>
          <w:shd w:val="clear" w:color="auto" w:fill="FFFFFF"/>
        </w:rPr>
        <w:t>London ;</w:t>
      </w:r>
      <w:proofErr w:type="gramEnd"/>
      <w:r w:rsidRPr="00C367EC">
        <w:rPr>
          <w:rFonts w:ascii="Arial" w:hAnsi="Arial" w:cs="Arial"/>
          <w:i/>
          <w:iCs/>
          <w:color w:val="3A3A3A"/>
          <w:shd w:val="clear" w:color="auto" w:fill="FFFFFF"/>
        </w:rPr>
        <w:t xml:space="preserve"> Routledge.</w:t>
      </w:r>
    </w:p>
    <w:p w14:paraId="1931F478" w14:textId="77777777" w:rsidR="00431B2C" w:rsidRPr="00431B2C" w:rsidRDefault="00431B2C" w:rsidP="00431B2C">
      <w:pPr>
        <w:tabs>
          <w:tab w:val="left" w:pos="8329"/>
        </w:tabs>
        <w:rPr>
          <w:rFonts w:ascii="Arial" w:hAnsi="Arial" w:cs="Arial"/>
          <w:u w:val="single"/>
        </w:rPr>
      </w:pPr>
    </w:p>
    <w:sectPr w:rsidR="00431B2C" w:rsidRPr="00431B2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A4C68" w14:textId="77777777" w:rsidR="00431B2C" w:rsidRDefault="00431B2C" w:rsidP="00431B2C">
      <w:pPr>
        <w:spacing w:after="0" w:line="240" w:lineRule="auto"/>
      </w:pPr>
      <w:r>
        <w:separator/>
      </w:r>
    </w:p>
  </w:endnote>
  <w:endnote w:type="continuationSeparator" w:id="0">
    <w:p w14:paraId="3A2942CB" w14:textId="77777777" w:rsidR="00431B2C" w:rsidRDefault="00431B2C" w:rsidP="00431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DC2C1" w14:textId="77777777" w:rsidR="00431B2C" w:rsidRDefault="00431B2C" w:rsidP="00431B2C">
      <w:pPr>
        <w:spacing w:after="0" w:line="240" w:lineRule="auto"/>
      </w:pPr>
      <w:r>
        <w:separator/>
      </w:r>
    </w:p>
  </w:footnote>
  <w:footnote w:type="continuationSeparator" w:id="0">
    <w:p w14:paraId="021A8F2F" w14:textId="77777777" w:rsidR="00431B2C" w:rsidRDefault="00431B2C" w:rsidP="00431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CE655" w14:textId="3DC50AD6" w:rsidR="00431B2C" w:rsidRDefault="00431B2C">
    <w:pPr>
      <w:pStyle w:val="Header"/>
    </w:pPr>
    <w:r>
      <w:t>Student number: 2511439</w:t>
    </w:r>
  </w:p>
  <w:p w14:paraId="13CF1A68" w14:textId="7CC6EA3C" w:rsidR="00431B2C" w:rsidRDefault="00431B2C">
    <w:pPr>
      <w:pStyle w:val="Header"/>
    </w:pPr>
    <w:r>
      <w:t xml:space="preserve">Word count: </w:t>
    </w:r>
  </w:p>
  <w:p w14:paraId="1C71CB69" w14:textId="0A4D146B" w:rsidR="00431B2C" w:rsidRDefault="00431B2C">
    <w:pPr>
      <w:pStyle w:val="Header"/>
    </w:pPr>
    <w:r>
      <w:t>Module Code: ECGE4009</w:t>
    </w:r>
  </w:p>
  <w:p w14:paraId="755F7273" w14:textId="77777777" w:rsidR="00431B2C" w:rsidRDefault="00431B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B7FE0"/>
    <w:multiLevelType w:val="multilevel"/>
    <w:tmpl w:val="3766CA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7F2B5EAF"/>
    <w:multiLevelType w:val="hybridMultilevel"/>
    <w:tmpl w:val="83909D9A"/>
    <w:lvl w:ilvl="0" w:tplc="51E08206">
      <w:start w:val="1"/>
      <w:numFmt w:val="lowerLetter"/>
      <w:lvlText w:val="%1."/>
      <w:lvlJc w:val="left"/>
      <w:pPr>
        <w:ind w:left="720" w:hanging="360"/>
      </w:pPr>
      <w:rPr>
        <w:rFonts w:eastAsiaTheme="majorEastAsia"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6253214">
    <w:abstractNumId w:val="0"/>
  </w:num>
  <w:num w:numId="2" w16cid:durableId="1983774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2C"/>
    <w:rsid w:val="00431B2C"/>
    <w:rsid w:val="005D4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240BD0"/>
  <w15:chartTrackingRefBased/>
  <w15:docId w15:val="{A15891DA-06F5-EC40-AE04-903C0D7B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B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B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B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B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B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B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B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B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B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B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B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B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B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B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B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B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B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B2C"/>
    <w:rPr>
      <w:rFonts w:eastAsiaTheme="majorEastAsia" w:cstheme="majorBidi"/>
      <w:color w:val="272727" w:themeColor="text1" w:themeTint="D8"/>
    </w:rPr>
  </w:style>
  <w:style w:type="paragraph" w:styleId="Title">
    <w:name w:val="Title"/>
    <w:basedOn w:val="Normal"/>
    <w:next w:val="Normal"/>
    <w:link w:val="TitleChar"/>
    <w:uiPriority w:val="10"/>
    <w:qFormat/>
    <w:rsid w:val="00431B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B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B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B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B2C"/>
    <w:pPr>
      <w:spacing w:before="160"/>
      <w:jc w:val="center"/>
    </w:pPr>
    <w:rPr>
      <w:i/>
      <w:iCs/>
      <w:color w:val="404040" w:themeColor="text1" w:themeTint="BF"/>
    </w:rPr>
  </w:style>
  <w:style w:type="character" w:customStyle="1" w:styleId="QuoteChar">
    <w:name w:val="Quote Char"/>
    <w:basedOn w:val="DefaultParagraphFont"/>
    <w:link w:val="Quote"/>
    <w:uiPriority w:val="29"/>
    <w:rsid w:val="00431B2C"/>
    <w:rPr>
      <w:i/>
      <w:iCs/>
      <w:color w:val="404040" w:themeColor="text1" w:themeTint="BF"/>
    </w:rPr>
  </w:style>
  <w:style w:type="paragraph" w:styleId="ListParagraph">
    <w:name w:val="List Paragraph"/>
    <w:basedOn w:val="Normal"/>
    <w:uiPriority w:val="34"/>
    <w:qFormat/>
    <w:rsid w:val="00431B2C"/>
    <w:pPr>
      <w:ind w:left="720"/>
      <w:contextualSpacing/>
    </w:pPr>
  </w:style>
  <w:style w:type="character" w:styleId="IntenseEmphasis">
    <w:name w:val="Intense Emphasis"/>
    <w:basedOn w:val="DefaultParagraphFont"/>
    <w:uiPriority w:val="21"/>
    <w:qFormat/>
    <w:rsid w:val="00431B2C"/>
    <w:rPr>
      <w:i/>
      <w:iCs/>
      <w:color w:val="0F4761" w:themeColor="accent1" w:themeShade="BF"/>
    </w:rPr>
  </w:style>
  <w:style w:type="paragraph" w:styleId="IntenseQuote">
    <w:name w:val="Intense Quote"/>
    <w:basedOn w:val="Normal"/>
    <w:next w:val="Normal"/>
    <w:link w:val="IntenseQuoteChar"/>
    <w:uiPriority w:val="30"/>
    <w:qFormat/>
    <w:rsid w:val="00431B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B2C"/>
    <w:rPr>
      <w:i/>
      <w:iCs/>
      <w:color w:val="0F4761" w:themeColor="accent1" w:themeShade="BF"/>
    </w:rPr>
  </w:style>
  <w:style w:type="character" w:styleId="IntenseReference">
    <w:name w:val="Intense Reference"/>
    <w:basedOn w:val="DefaultParagraphFont"/>
    <w:uiPriority w:val="32"/>
    <w:qFormat/>
    <w:rsid w:val="00431B2C"/>
    <w:rPr>
      <w:b/>
      <w:bCs/>
      <w:smallCaps/>
      <w:color w:val="0F4761" w:themeColor="accent1" w:themeShade="BF"/>
      <w:spacing w:val="5"/>
    </w:rPr>
  </w:style>
  <w:style w:type="paragraph" w:styleId="Header">
    <w:name w:val="header"/>
    <w:basedOn w:val="Normal"/>
    <w:link w:val="HeaderChar"/>
    <w:uiPriority w:val="99"/>
    <w:unhideWhenUsed/>
    <w:rsid w:val="00431B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B2C"/>
  </w:style>
  <w:style w:type="paragraph" w:styleId="Footer">
    <w:name w:val="footer"/>
    <w:basedOn w:val="Normal"/>
    <w:link w:val="FooterChar"/>
    <w:uiPriority w:val="99"/>
    <w:unhideWhenUsed/>
    <w:rsid w:val="00431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B2C"/>
  </w:style>
  <w:style w:type="paragraph" w:customStyle="1" w:styleId="paragraph">
    <w:name w:val="paragraph"/>
    <w:basedOn w:val="Normal"/>
    <w:rsid w:val="00431B2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31B2C"/>
  </w:style>
  <w:style w:type="character" w:customStyle="1" w:styleId="tabchar">
    <w:name w:val="tabchar"/>
    <w:basedOn w:val="DefaultParagraphFont"/>
    <w:rsid w:val="00431B2C"/>
  </w:style>
  <w:style w:type="character" w:customStyle="1" w:styleId="eop">
    <w:name w:val="eop"/>
    <w:basedOn w:val="DefaultParagraphFont"/>
    <w:rsid w:val="00431B2C"/>
  </w:style>
  <w:style w:type="character" w:customStyle="1" w:styleId="apple-converted-space">
    <w:name w:val="apple-converted-space"/>
    <w:basedOn w:val="DefaultParagraphFont"/>
    <w:rsid w:val="00431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1710</Words>
  <Characters>7683</Characters>
  <Application>Microsoft Office Word</Application>
  <DocSecurity>0</DocSecurity>
  <Lines>144</Lines>
  <Paragraphs>34</Paragraphs>
  <ScaleCrop>false</ScaleCrop>
  <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Collier (2511439)</dc:creator>
  <cp:keywords/>
  <dc:description/>
  <cp:lastModifiedBy>Emily Collier (2511439)</cp:lastModifiedBy>
  <cp:revision>1</cp:revision>
  <dcterms:created xsi:type="dcterms:W3CDTF">2025-10-24T09:17:00Z</dcterms:created>
  <dcterms:modified xsi:type="dcterms:W3CDTF">2025-10-24T09:59:00Z</dcterms:modified>
</cp:coreProperties>
</file>